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8A1D0" w14:textId="77777777" w:rsidR="00925171" w:rsidRDefault="00925171" w:rsidP="00A63F5A">
      <w:pPr>
        <w:spacing w:after="0" w:line="360" w:lineRule="auto"/>
        <w:rPr>
          <w:rFonts w:ascii="Times New Roman" w:eastAsia="MS PGothic" w:hAnsi="Times New Roman" w:cs="Times New Roman"/>
          <w:b/>
          <w:bCs/>
          <w:color w:val="000000" w:themeColor="text1"/>
          <w:kern w:val="24"/>
          <w:sz w:val="28"/>
          <w:szCs w:val="28"/>
        </w:rPr>
      </w:pPr>
    </w:p>
    <w:p w14:paraId="39821BD2" w14:textId="77777777" w:rsidR="00925171" w:rsidRDefault="00925171" w:rsidP="00A63F5A">
      <w:pPr>
        <w:spacing w:after="0" w:line="360" w:lineRule="auto"/>
        <w:rPr>
          <w:rFonts w:ascii="Times New Roman" w:eastAsia="MS PGothic" w:hAnsi="Times New Roman" w:cs="Times New Roman"/>
          <w:b/>
          <w:bCs/>
          <w:color w:val="000000" w:themeColor="text1"/>
          <w:kern w:val="24"/>
          <w:sz w:val="28"/>
          <w:szCs w:val="28"/>
        </w:rPr>
      </w:pPr>
    </w:p>
    <w:p w14:paraId="78B09B39" w14:textId="77777777" w:rsidR="007E7780" w:rsidRDefault="007E7780" w:rsidP="00700BBF">
      <w:pPr>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noProof/>
          <w:sz w:val="24"/>
          <w:szCs w:val="24"/>
          <w:lang w:eastAsia="zh-CN"/>
        </w:rPr>
        <w:drawing>
          <wp:anchor distT="0" distB="0" distL="114300" distR="114300" simplePos="0" relativeHeight="251659264" behindDoc="0" locked="0" layoutInCell="1" allowOverlap="1" wp14:anchorId="231244BE" wp14:editId="6A87EAF6">
            <wp:simplePos x="0" y="0"/>
            <wp:positionH relativeFrom="column">
              <wp:posOffset>1310652</wp:posOffset>
            </wp:positionH>
            <wp:positionV relativeFrom="paragraph">
              <wp:posOffset>-310515</wp:posOffset>
            </wp:positionV>
            <wp:extent cx="3036570" cy="1104265"/>
            <wp:effectExtent l="0" t="0" r="0" b="0"/>
            <wp:wrapNone/>
            <wp:docPr id="2" name="Picture 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2A3FD318" w14:textId="77777777" w:rsidR="007E7780" w:rsidRDefault="007E7780" w:rsidP="00700BBF">
      <w:pPr>
        <w:autoSpaceDE w:val="0"/>
        <w:autoSpaceDN w:val="0"/>
        <w:adjustRightInd w:val="0"/>
        <w:spacing w:after="0" w:line="480" w:lineRule="auto"/>
        <w:rPr>
          <w:rFonts w:asciiTheme="majorBidi" w:hAnsiTheme="majorBidi" w:cstheme="majorBidi"/>
          <w:sz w:val="24"/>
          <w:szCs w:val="24"/>
        </w:rPr>
      </w:pPr>
    </w:p>
    <w:p w14:paraId="6B83640F" w14:textId="0A2F88E5" w:rsidR="007E7780" w:rsidRPr="00916386" w:rsidRDefault="007E7780" w:rsidP="00700BBF">
      <w:pPr>
        <w:autoSpaceDE w:val="0"/>
        <w:autoSpaceDN w:val="0"/>
        <w:adjustRightInd w:val="0"/>
        <w:spacing w:after="0" w:line="480" w:lineRule="auto"/>
        <w:rPr>
          <w:rFonts w:asciiTheme="majorBidi" w:hAnsiTheme="majorBidi" w:cstheme="majorBidi"/>
          <w:b/>
          <w:bCs/>
          <w:color w:val="222222"/>
          <w:sz w:val="28"/>
          <w:szCs w:val="28"/>
          <w:shd w:val="clear" w:color="auto" w:fill="FFFFFF"/>
        </w:rPr>
      </w:pPr>
    </w:p>
    <w:p w14:paraId="3E537260" w14:textId="77777777" w:rsidR="007E7780" w:rsidRPr="00916386" w:rsidRDefault="007E7780" w:rsidP="00700BBF">
      <w:pPr>
        <w:spacing w:after="0" w:line="360" w:lineRule="auto"/>
        <w:jc w:val="center"/>
        <w:rPr>
          <w:rFonts w:ascii="Times New Roman" w:eastAsia="Times New Roman" w:hAnsi="Times New Roman" w:cs="Times New Roman"/>
          <w:b/>
          <w:caps/>
          <w:sz w:val="28"/>
          <w:szCs w:val="28"/>
        </w:rPr>
      </w:pPr>
      <w:r w:rsidRPr="00916386">
        <w:rPr>
          <w:rFonts w:ascii="Times New Roman" w:eastAsia="MS PGothic" w:hAnsi="Times New Roman" w:cs="Times New Roman"/>
          <w:b/>
          <w:bCs/>
          <w:caps/>
          <w:color w:val="000000" w:themeColor="text1"/>
          <w:kern w:val="24"/>
          <w:sz w:val="28"/>
          <w:szCs w:val="28"/>
        </w:rPr>
        <w:t>Antibodies to Infliximab in patients with Inflammatory Bowel Disease: Clinical and Molecular Targets</w:t>
      </w:r>
    </w:p>
    <w:p w14:paraId="53A326AE" w14:textId="77777777" w:rsidR="007E7780" w:rsidRPr="00916386" w:rsidRDefault="007E7780" w:rsidP="00700BBF">
      <w:pPr>
        <w:autoSpaceDE w:val="0"/>
        <w:autoSpaceDN w:val="0"/>
        <w:adjustRightInd w:val="0"/>
        <w:spacing w:after="0" w:line="360" w:lineRule="auto"/>
        <w:rPr>
          <w:rFonts w:ascii="Times New Roman" w:hAnsi="Times New Roman" w:cs="Times New Roman"/>
          <w:b/>
          <w:bCs/>
          <w:sz w:val="24"/>
          <w:szCs w:val="24"/>
        </w:rPr>
      </w:pPr>
    </w:p>
    <w:p w14:paraId="01FFB956" w14:textId="77777777" w:rsidR="00916386" w:rsidRPr="00916386" w:rsidRDefault="00916386" w:rsidP="00700BBF">
      <w:pPr>
        <w:autoSpaceDE w:val="0"/>
        <w:autoSpaceDN w:val="0"/>
        <w:adjustRightInd w:val="0"/>
        <w:spacing w:after="0" w:line="360" w:lineRule="auto"/>
        <w:jc w:val="center"/>
        <w:rPr>
          <w:rFonts w:ascii="Times New Roman" w:hAnsi="Times New Roman" w:cs="Times New Roman"/>
          <w:b/>
          <w:bCs/>
          <w:sz w:val="24"/>
          <w:szCs w:val="24"/>
        </w:rPr>
      </w:pPr>
      <w:r w:rsidRPr="00916386">
        <w:rPr>
          <w:rFonts w:ascii="Times New Roman" w:hAnsi="Times New Roman" w:cs="Times New Roman"/>
          <w:b/>
          <w:bCs/>
          <w:sz w:val="24"/>
          <w:szCs w:val="24"/>
        </w:rPr>
        <w:t>By:</w:t>
      </w:r>
    </w:p>
    <w:p w14:paraId="350FCF48" w14:textId="74F54FB5" w:rsidR="007E7780" w:rsidRPr="00916386" w:rsidRDefault="00603664" w:rsidP="00700BBF">
      <w:pPr>
        <w:autoSpaceDE w:val="0"/>
        <w:autoSpaceDN w:val="0"/>
        <w:adjustRightInd w:val="0"/>
        <w:spacing w:after="0" w:line="360" w:lineRule="auto"/>
        <w:jc w:val="center"/>
        <w:rPr>
          <w:rFonts w:ascii="Times New Roman" w:hAnsi="Times New Roman" w:cs="Times New Roman"/>
          <w:b/>
          <w:bCs/>
          <w:sz w:val="24"/>
          <w:szCs w:val="24"/>
        </w:rPr>
      </w:pPr>
      <w:r w:rsidRPr="00916386">
        <w:rPr>
          <w:rFonts w:ascii="Times New Roman" w:hAnsi="Times New Roman" w:cs="Times New Roman"/>
          <w:b/>
          <w:bCs/>
          <w:sz w:val="24"/>
          <w:szCs w:val="24"/>
        </w:rPr>
        <w:t>Gloria Shwe Zin Tun</w:t>
      </w:r>
    </w:p>
    <w:p w14:paraId="2F1DF9FC" w14:textId="77777777" w:rsidR="00916386" w:rsidRPr="00916386" w:rsidRDefault="00916386" w:rsidP="00700BBF">
      <w:pPr>
        <w:autoSpaceDE w:val="0"/>
        <w:autoSpaceDN w:val="0"/>
        <w:adjustRightInd w:val="0"/>
        <w:spacing w:after="0" w:line="360" w:lineRule="auto"/>
        <w:rPr>
          <w:rFonts w:ascii="Times New Roman" w:hAnsi="Times New Roman" w:cs="Times New Roman"/>
          <w:sz w:val="24"/>
          <w:szCs w:val="24"/>
        </w:rPr>
      </w:pPr>
    </w:p>
    <w:p w14:paraId="4342539A" w14:textId="34CA7394" w:rsidR="007E7780" w:rsidRPr="00916386" w:rsidRDefault="007E7780" w:rsidP="00700BBF">
      <w:pPr>
        <w:autoSpaceDE w:val="0"/>
        <w:autoSpaceDN w:val="0"/>
        <w:adjustRightInd w:val="0"/>
        <w:spacing w:after="0" w:line="360" w:lineRule="auto"/>
        <w:jc w:val="center"/>
        <w:rPr>
          <w:rFonts w:ascii="Times New Roman" w:hAnsi="Times New Roman" w:cs="Times New Roman"/>
          <w:sz w:val="24"/>
          <w:szCs w:val="24"/>
        </w:rPr>
      </w:pPr>
      <w:r w:rsidRPr="00916386">
        <w:rPr>
          <w:rFonts w:ascii="Times New Roman" w:hAnsi="Times New Roman" w:cs="Times New Roman"/>
          <w:sz w:val="24"/>
          <w:szCs w:val="24"/>
        </w:rPr>
        <w:t xml:space="preserve">A thesis submitted </w:t>
      </w:r>
      <w:r w:rsidR="00916386" w:rsidRPr="00916386">
        <w:rPr>
          <w:rFonts w:ascii="Times New Roman" w:hAnsi="Times New Roman" w:cs="Times New Roman"/>
          <w:sz w:val="24"/>
          <w:szCs w:val="24"/>
        </w:rPr>
        <w:t xml:space="preserve">in partial fulfilment of the requirements </w:t>
      </w:r>
      <w:r w:rsidRPr="00916386">
        <w:rPr>
          <w:rFonts w:ascii="Times New Roman" w:hAnsi="Times New Roman" w:cs="Times New Roman"/>
          <w:sz w:val="24"/>
          <w:szCs w:val="24"/>
        </w:rPr>
        <w:t>for the degree of</w:t>
      </w:r>
    </w:p>
    <w:p w14:paraId="628E0D4A" w14:textId="77777777" w:rsidR="007E7780" w:rsidRPr="00916386" w:rsidRDefault="007E7780" w:rsidP="00700BBF">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 xml:space="preserve">Doctor of Philosophy </w:t>
      </w:r>
    </w:p>
    <w:p w14:paraId="7EA0C19F" w14:textId="77777777" w:rsidR="007E7780" w:rsidRPr="00916386" w:rsidRDefault="007E7780" w:rsidP="00700BBF">
      <w:pPr>
        <w:spacing w:line="360" w:lineRule="auto"/>
        <w:jc w:val="center"/>
        <w:rPr>
          <w:rFonts w:ascii="Times New Roman" w:hAnsi="Times New Roman" w:cs="Times New Roman"/>
          <w:sz w:val="24"/>
          <w:szCs w:val="24"/>
        </w:rPr>
      </w:pPr>
    </w:p>
    <w:p w14:paraId="7830E69F" w14:textId="77A3E8DC" w:rsidR="007E7780" w:rsidRPr="00916386" w:rsidRDefault="00916386" w:rsidP="00700BBF">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Co-supervised by:</w:t>
      </w:r>
    </w:p>
    <w:p w14:paraId="66292E70" w14:textId="7940F5AF" w:rsidR="00916386" w:rsidRPr="00916386" w:rsidRDefault="00916386" w:rsidP="00700BBF">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Professor Alan J Lobo</w:t>
      </w:r>
    </w:p>
    <w:p w14:paraId="37709E3E" w14:textId="4FDC442B" w:rsidR="00E2482D" w:rsidRPr="00916386" w:rsidRDefault="00916386" w:rsidP="00E2482D">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Dr Bernard Corfe</w:t>
      </w:r>
    </w:p>
    <w:p w14:paraId="070C5754" w14:textId="27CA9E80" w:rsidR="007E7780" w:rsidRDefault="008C54BC" w:rsidP="00700BBF">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Dr </w:t>
      </w:r>
      <w:proofErr w:type="spellStart"/>
      <w:r w:rsidR="0063688D">
        <w:rPr>
          <w:rFonts w:ascii="Times New Roman" w:hAnsi="Times New Roman" w:cs="Times New Roman"/>
          <w:sz w:val="24"/>
          <w:szCs w:val="24"/>
        </w:rPr>
        <w:t>Munitta</w:t>
      </w:r>
      <w:proofErr w:type="spellEnd"/>
      <w:r w:rsidR="0063688D">
        <w:rPr>
          <w:rFonts w:ascii="Times New Roman" w:hAnsi="Times New Roman" w:cs="Times New Roman"/>
          <w:sz w:val="24"/>
          <w:szCs w:val="24"/>
        </w:rPr>
        <w:t xml:space="preserve"> Muthana</w:t>
      </w:r>
    </w:p>
    <w:p w14:paraId="4F2FA974" w14:textId="77777777" w:rsidR="00E50247" w:rsidRPr="00916386" w:rsidRDefault="00E50247" w:rsidP="00700BBF">
      <w:pPr>
        <w:spacing w:line="360" w:lineRule="auto"/>
        <w:jc w:val="center"/>
        <w:rPr>
          <w:rFonts w:ascii="Times New Roman" w:hAnsi="Times New Roman" w:cs="Times New Roman"/>
          <w:sz w:val="24"/>
          <w:szCs w:val="24"/>
        </w:rPr>
      </w:pPr>
    </w:p>
    <w:p w14:paraId="7F7EE4D7" w14:textId="77777777" w:rsidR="007E7780" w:rsidRPr="00916386" w:rsidRDefault="007E7780" w:rsidP="00700BBF">
      <w:pPr>
        <w:spacing w:after="0" w:line="360" w:lineRule="auto"/>
        <w:jc w:val="center"/>
        <w:rPr>
          <w:rFonts w:ascii="Times New Roman" w:hAnsi="Times New Roman" w:cs="Times New Roman"/>
          <w:sz w:val="24"/>
          <w:szCs w:val="24"/>
        </w:rPr>
      </w:pPr>
      <w:r w:rsidRPr="00916386">
        <w:rPr>
          <w:rFonts w:ascii="Times New Roman" w:hAnsi="Times New Roman" w:cs="Times New Roman"/>
          <w:sz w:val="24"/>
          <w:szCs w:val="24"/>
        </w:rPr>
        <w:t>The University of Sheffield</w:t>
      </w:r>
    </w:p>
    <w:p w14:paraId="421DF634" w14:textId="22530EE6" w:rsidR="007E7780" w:rsidRPr="00916386" w:rsidRDefault="007E7780" w:rsidP="00700BBF">
      <w:pPr>
        <w:autoSpaceDE w:val="0"/>
        <w:autoSpaceDN w:val="0"/>
        <w:adjustRightInd w:val="0"/>
        <w:spacing w:after="0" w:line="360" w:lineRule="auto"/>
        <w:jc w:val="center"/>
        <w:rPr>
          <w:rFonts w:ascii="Times New Roman" w:hAnsi="Times New Roman" w:cs="Times New Roman"/>
          <w:sz w:val="24"/>
          <w:szCs w:val="24"/>
        </w:rPr>
      </w:pPr>
      <w:r w:rsidRPr="00916386">
        <w:rPr>
          <w:rFonts w:ascii="Times New Roman" w:hAnsi="Times New Roman" w:cs="Times New Roman"/>
          <w:sz w:val="24"/>
          <w:szCs w:val="24"/>
        </w:rPr>
        <w:t xml:space="preserve">Faculty of </w:t>
      </w:r>
      <w:r w:rsidR="00603664" w:rsidRPr="00916386">
        <w:rPr>
          <w:rFonts w:ascii="Times New Roman" w:hAnsi="Times New Roman" w:cs="Times New Roman"/>
          <w:sz w:val="24"/>
          <w:szCs w:val="24"/>
        </w:rPr>
        <w:t>Medicine</w:t>
      </w:r>
    </w:p>
    <w:p w14:paraId="15FB32C4" w14:textId="306C71C3" w:rsidR="00916386" w:rsidRPr="00916386" w:rsidRDefault="007E7780" w:rsidP="00700BBF">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 xml:space="preserve">Department of </w:t>
      </w:r>
      <w:r w:rsidR="00603664" w:rsidRPr="00916386">
        <w:rPr>
          <w:rFonts w:ascii="Times New Roman" w:hAnsi="Times New Roman" w:cs="Times New Roman"/>
          <w:sz w:val="24"/>
          <w:szCs w:val="24"/>
        </w:rPr>
        <w:t>Oncology and Metabolism</w:t>
      </w:r>
      <w:r w:rsidR="00916386" w:rsidRPr="00916386">
        <w:rPr>
          <w:rFonts w:ascii="Times New Roman" w:hAnsi="Times New Roman" w:cs="Times New Roman"/>
          <w:sz w:val="24"/>
          <w:szCs w:val="24"/>
        </w:rPr>
        <w:t xml:space="preserve"> </w:t>
      </w:r>
    </w:p>
    <w:p w14:paraId="4B5521ED" w14:textId="09633D2D" w:rsidR="00916386" w:rsidRPr="00916386" w:rsidRDefault="00916386" w:rsidP="00700BBF">
      <w:pPr>
        <w:spacing w:line="360" w:lineRule="auto"/>
        <w:jc w:val="center"/>
        <w:rPr>
          <w:rFonts w:ascii="Times New Roman" w:hAnsi="Times New Roman" w:cs="Times New Roman"/>
          <w:sz w:val="24"/>
          <w:szCs w:val="24"/>
        </w:rPr>
      </w:pPr>
      <w:r w:rsidRPr="00916386">
        <w:rPr>
          <w:rFonts w:ascii="Times New Roman" w:hAnsi="Times New Roman" w:cs="Times New Roman"/>
          <w:sz w:val="24"/>
          <w:szCs w:val="24"/>
        </w:rPr>
        <w:t>Academic Unit of Gastroenterology</w:t>
      </w:r>
    </w:p>
    <w:p w14:paraId="71B8201F" w14:textId="77777777" w:rsidR="00916386" w:rsidRDefault="00916386" w:rsidP="00700BBF">
      <w:pPr>
        <w:spacing w:line="360" w:lineRule="auto"/>
        <w:ind w:left="2880" w:firstLine="720"/>
        <w:rPr>
          <w:rFonts w:ascii="Times New Roman" w:hAnsi="Times New Roman" w:cs="Times New Roman"/>
          <w:sz w:val="24"/>
          <w:szCs w:val="24"/>
        </w:rPr>
      </w:pPr>
    </w:p>
    <w:p w14:paraId="27B71D57" w14:textId="7F23EFCC" w:rsidR="00590597" w:rsidRDefault="007E7780" w:rsidP="00700BBF">
      <w:pPr>
        <w:spacing w:line="360" w:lineRule="auto"/>
        <w:ind w:left="2880" w:firstLine="720"/>
        <w:rPr>
          <w:rFonts w:ascii="Times New Roman" w:hAnsi="Times New Roman" w:cs="Times New Roman"/>
          <w:sz w:val="24"/>
          <w:szCs w:val="24"/>
        </w:rPr>
      </w:pPr>
      <w:r w:rsidRPr="00916386">
        <w:rPr>
          <w:rFonts w:ascii="Times New Roman" w:hAnsi="Times New Roman" w:cs="Times New Roman"/>
          <w:sz w:val="24"/>
          <w:szCs w:val="24"/>
        </w:rPr>
        <w:t>Submission Date</w:t>
      </w:r>
      <w:r w:rsidR="0063688D">
        <w:rPr>
          <w:rFonts w:ascii="Times New Roman" w:hAnsi="Times New Roman" w:cs="Times New Roman"/>
          <w:sz w:val="24"/>
          <w:szCs w:val="24"/>
        </w:rPr>
        <w:t xml:space="preserve"> </w:t>
      </w:r>
      <w:r w:rsidR="00EB65F0">
        <w:rPr>
          <w:rFonts w:ascii="Times New Roman" w:hAnsi="Times New Roman" w:cs="Times New Roman"/>
          <w:sz w:val="24"/>
          <w:szCs w:val="24"/>
        </w:rPr>
        <w:t xml:space="preserve">7 </w:t>
      </w:r>
      <w:r w:rsidR="0063688D">
        <w:rPr>
          <w:rFonts w:ascii="Times New Roman" w:hAnsi="Times New Roman" w:cs="Times New Roman"/>
          <w:sz w:val="24"/>
          <w:szCs w:val="24"/>
        </w:rPr>
        <w:t>July 2023</w:t>
      </w:r>
    </w:p>
    <w:p w14:paraId="38F0B0EA" w14:textId="77777777" w:rsidR="00D13ADE" w:rsidRDefault="00D13ADE" w:rsidP="00D13ADE">
      <w:pPr>
        <w:spacing w:line="360" w:lineRule="auto"/>
        <w:rPr>
          <w:rFonts w:ascii="Times New Roman" w:hAnsi="Times New Roman" w:cs="Times New Roman"/>
          <w:sz w:val="24"/>
          <w:szCs w:val="24"/>
        </w:rPr>
      </w:pPr>
    </w:p>
    <w:p w14:paraId="28309606" w14:textId="1FEC5AD8" w:rsidR="00D13ADE" w:rsidRPr="00D13ADE" w:rsidRDefault="00D13ADE" w:rsidP="00D13ADE">
      <w:pPr>
        <w:pStyle w:val="Heading1"/>
        <w:spacing w:line="480" w:lineRule="auto"/>
        <w:rPr>
          <w:rFonts w:ascii="Times New Roman" w:hAnsi="Times New Roman" w:cs="Times New Roman"/>
          <w:sz w:val="32"/>
          <w:szCs w:val="32"/>
        </w:rPr>
      </w:pPr>
      <w:bookmarkStart w:id="0" w:name="_Toc151020442"/>
      <w:r w:rsidRPr="00D13ADE">
        <w:rPr>
          <w:rFonts w:ascii="Times New Roman" w:hAnsi="Times New Roman" w:cs="Times New Roman"/>
          <w:sz w:val="32"/>
          <w:szCs w:val="32"/>
        </w:rPr>
        <w:lastRenderedPageBreak/>
        <w:t>Table of contents</w:t>
      </w:r>
      <w:bookmarkEnd w:id="0"/>
    </w:p>
    <w:sdt>
      <w:sdtPr>
        <w:rPr>
          <w:rFonts w:asciiTheme="minorHAnsi" w:hAnsiTheme="minorHAnsi" w:cstheme="minorBidi"/>
          <w:b/>
          <w:bCs/>
          <w:caps/>
          <w:noProof w:val="0"/>
          <w:sz w:val="24"/>
          <w:szCs w:val="24"/>
        </w:rPr>
        <w:id w:val="1980650911"/>
        <w:docPartObj>
          <w:docPartGallery w:val="Table of Contents"/>
          <w:docPartUnique/>
        </w:docPartObj>
      </w:sdtPr>
      <w:sdtEndPr>
        <w:rPr>
          <w:rFonts w:ascii="Times New Roman" w:hAnsi="Times New Roman" w:cs="Times New Roman"/>
          <w:b w:val="0"/>
          <w:bCs w:val="0"/>
          <w:caps w:val="0"/>
        </w:rPr>
      </w:sdtEndPr>
      <w:sdtContent>
        <w:p w14:paraId="18209716" w14:textId="6E74856C" w:rsidR="0031067D" w:rsidRPr="004049D2" w:rsidRDefault="00E25112" w:rsidP="0046238D">
          <w:pPr>
            <w:pStyle w:val="TOC1"/>
            <w:spacing w:line="240" w:lineRule="auto"/>
            <w:rPr>
              <w:rFonts w:asciiTheme="minorHAnsi" w:hAnsiTheme="minorHAnsi" w:cstheme="minorBidi"/>
              <w:kern w:val="2"/>
              <w:sz w:val="24"/>
              <w:szCs w:val="24"/>
              <w:lang w:eastAsia="en-GB"/>
              <w14:ligatures w14:val="standardContextual"/>
            </w:rPr>
          </w:pPr>
          <w:r w:rsidRPr="004049D2">
            <w:rPr>
              <w:rFonts w:eastAsiaTheme="majorEastAsia"/>
              <w:caps/>
              <w:noProof w:val="0"/>
              <w:spacing w:val="4"/>
              <w:sz w:val="24"/>
              <w:szCs w:val="24"/>
            </w:rPr>
            <w:fldChar w:fldCharType="begin"/>
          </w:r>
          <w:r w:rsidRPr="004049D2">
            <w:rPr>
              <w:sz w:val="24"/>
              <w:szCs w:val="24"/>
            </w:rPr>
            <w:instrText xml:space="preserve"> TOC \o "1-3" \h \z \u </w:instrText>
          </w:r>
          <w:r w:rsidRPr="004049D2">
            <w:rPr>
              <w:rFonts w:eastAsiaTheme="majorEastAsia"/>
              <w:caps/>
              <w:noProof w:val="0"/>
              <w:spacing w:val="4"/>
              <w:sz w:val="24"/>
              <w:szCs w:val="24"/>
            </w:rPr>
            <w:fldChar w:fldCharType="separate"/>
          </w:r>
          <w:hyperlink w:anchor="_Toc151020442" w:history="1">
            <w:r w:rsidR="0031067D" w:rsidRPr="004049D2">
              <w:rPr>
                <w:rStyle w:val="Hyperlink"/>
                <w:sz w:val="24"/>
                <w:szCs w:val="24"/>
              </w:rPr>
              <w:t>Table of contents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2</w:t>
            </w:r>
            <w:r w:rsidR="0031067D" w:rsidRPr="004049D2">
              <w:rPr>
                <w:webHidden/>
                <w:sz w:val="24"/>
                <w:szCs w:val="24"/>
              </w:rPr>
              <w:fldChar w:fldCharType="end"/>
            </w:r>
          </w:hyperlink>
        </w:p>
        <w:p w14:paraId="3550DA2B" w14:textId="4E76456A"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3" w:history="1">
            <w:r w:rsidR="0031067D" w:rsidRPr="004049D2">
              <w:rPr>
                <w:rStyle w:val="Hyperlink"/>
                <w:sz w:val="24"/>
                <w:szCs w:val="24"/>
              </w:rPr>
              <w:t>List of Figures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5</w:t>
            </w:r>
            <w:r w:rsidR="0031067D" w:rsidRPr="004049D2">
              <w:rPr>
                <w:webHidden/>
                <w:sz w:val="24"/>
                <w:szCs w:val="24"/>
              </w:rPr>
              <w:fldChar w:fldCharType="end"/>
            </w:r>
          </w:hyperlink>
        </w:p>
        <w:p w14:paraId="79CE7FC8" w14:textId="7AD01408"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4" w:history="1">
            <w:r w:rsidR="0031067D" w:rsidRPr="004049D2">
              <w:rPr>
                <w:rStyle w:val="Hyperlink"/>
                <w:sz w:val="24"/>
                <w:szCs w:val="24"/>
              </w:rPr>
              <w:t>List of tables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w:t>
            </w:r>
            <w:r w:rsidR="0031067D" w:rsidRPr="004049D2">
              <w:rPr>
                <w:webHidden/>
                <w:sz w:val="24"/>
                <w:szCs w:val="24"/>
              </w:rPr>
              <w:fldChar w:fldCharType="end"/>
            </w:r>
          </w:hyperlink>
        </w:p>
        <w:p w14:paraId="02090589" w14:textId="4D6C54F2"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5" w:history="1">
            <w:r w:rsidR="0031067D" w:rsidRPr="004049D2">
              <w:rPr>
                <w:rStyle w:val="Hyperlink"/>
                <w:sz w:val="24"/>
                <w:szCs w:val="24"/>
              </w:rPr>
              <w:t>List of abbreviations used</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w:t>
            </w:r>
            <w:r w:rsidR="0031067D" w:rsidRPr="004049D2">
              <w:rPr>
                <w:webHidden/>
                <w:sz w:val="24"/>
                <w:szCs w:val="24"/>
              </w:rPr>
              <w:fldChar w:fldCharType="end"/>
            </w:r>
          </w:hyperlink>
        </w:p>
        <w:p w14:paraId="2F25FF36" w14:textId="4A9C95FB"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6" w:history="1">
            <w:r w:rsidR="0031067D" w:rsidRPr="004049D2">
              <w:rPr>
                <w:rStyle w:val="Hyperlink"/>
                <w:sz w:val="24"/>
                <w:szCs w:val="24"/>
              </w:rPr>
              <w:t>Abstract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w:t>
            </w:r>
            <w:r w:rsidR="0031067D" w:rsidRPr="004049D2">
              <w:rPr>
                <w:webHidden/>
                <w:sz w:val="24"/>
                <w:szCs w:val="24"/>
              </w:rPr>
              <w:fldChar w:fldCharType="end"/>
            </w:r>
          </w:hyperlink>
        </w:p>
        <w:p w14:paraId="5FBC7510" w14:textId="158C646F"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7" w:history="1">
            <w:r w:rsidR="0031067D" w:rsidRPr="004049D2">
              <w:rPr>
                <w:rStyle w:val="Hyperlink"/>
                <w:sz w:val="24"/>
                <w:szCs w:val="24"/>
              </w:rPr>
              <w:t>Acknowledgements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w:t>
            </w:r>
            <w:r w:rsidR="0031067D" w:rsidRPr="004049D2">
              <w:rPr>
                <w:webHidden/>
                <w:sz w:val="24"/>
                <w:szCs w:val="24"/>
              </w:rPr>
              <w:fldChar w:fldCharType="end"/>
            </w:r>
          </w:hyperlink>
        </w:p>
        <w:p w14:paraId="5BE3CB5D" w14:textId="2D8D0A71"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48" w:history="1">
            <w:r w:rsidR="0031067D" w:rsidRPr="004049D2">
              <w:rPr>
                <w:rStyle w:val="Hyperlink"/>
                <w:sz w:val="24"/>
                <w:szCs w:val="24"/>
              </w:rPr>
              <w:t>Chapter 1: Introduction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_Toc151020448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w:t>
            </w:r>
            <w:r w:rsidR="0031067D" w:rsidRPr="004049D2">
              <w:rPr>
                <w:webHidden/>
                <w:sz w:val="24"/>
                <w:szCs w:val="24"/>
              </w:rPr>
              <w:fldChar w:fldCharType="end"/>
            </w:r>
          </w:hyperlink>
        </w:p>
        <w:p w14:paraId="4CFDA5D9" w14:textId="4534CDE4"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49" w:history="1">
            <w:r w:rsidR="0031067D" w:rsidRPr="004049D2">
              <w:rPr>
                <w:rStyle w:val="Hyperlink"/>
                <w:b w:val="0"/>
                <w:bCs w:val="0"/>
                <w:sz w:val="24"/>
                <w:szCs w:val="24"/>
              </w:rPr>
              <w:t>1.1 Inflammatory bowel disease</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_Toc151020449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14</w:t>
            </w:r>
            <w:r w:rsidR="0031067D" w:rsidRPr="004049D2">
              <w:rPr>
                <w:b w:val="0"/>
                <w:bCs w:val="0"/>
                <w:webHidden/>
                <w:sz w:val="24"/>
                <w:szCs w:val="24"/>
              </w:rPr>
              <w:fldChar w:fldCharType="end"/>
            </w:r>
          </w:hyperlink>
        </w:p>
        <w:p w14:paraId="39D0415C" w14:textId="03545A1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0" w:history="1">
            <w:r w:rsidR="0031067D" w:rsidRPr="004049D2">
              <w:rPr>
                <w:rStyle w:val="Hyperlink"/>
                <w:sz w:val="24"/>
                <w:szCs w:val="24"/>
              </w:rPr>
              <w:t>1.1.1 Epidemiology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w:t>
            </w:r>
            <w:r w:rsidR="0031067D" w:rsidRPr="004049D2">
              <w:rPr>
                <w:webHidden/>
                <w:sz w:val="24"/>
                <w:szCs w:val="24"/>
              </w:rPr>
              <w:fldChar w:fldCharType="end"/>
            </w:r>
          </w:hyperlink>
        </w:p>
        <w:p w14:paraId="056843DD" w14:textId="7A5874D1"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1" w:history="1">
            <w:r w:rsidR="0031067D" w:rsidRPr="004049D2">
              <w:rPr>
                <w:rStyle w:val="Hyperlink"/>
                <w:sz w:val="24"/>
                <w:szCs w:val="24"/>
              </w:rPr>
              <w:t>1.1.2 Aetiology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15</w:t>
            </w:r>
            <w:r w:rsidR="0031067D" w:rsidRPr="004049D2">
              <w:rPr>
                <w:webHidden/>
                <w:sz w:val="24"/>
                <w:szCs w:val="24"/>
              </w:rPr>
              <w:fldChar w:fldCharType="end"/>
            </w:r>
          </w:hyperlink>
        </w:p>
        <w:p w14:paraId="0C0015CF" w14:textId="6EC8006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2" w:history="1">
            <w:r w:rsidR="0031067D" w:rsidRPr="004049D2">
              <w:rPr>
                <w:rStyle w:val="Hyperlink"/>
                <w:sz w:val="24"/>
                <w:szCs w:val="24"/>
              </w:rPr>
              <w:t>1.1.3 Clinical features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16</w:t>
            </w:r>
            <w:r w:rsidR="0031067D" w:rsidRPr="004049D2">
              <w:rPr>
                <w:webHidden/>
                <w:sz w:val="24"/>
                <w:szCs w:val="24"/>
              </w:rPr>
              <w:fldChar w:fldCharType="end"/>
            </w:r>
          </w:hyperlink>
        </w:p>
        <w:p w14:paraId="7A51533A" w14:textId="71A2288B"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3" w:history="1">
            <w:r w:rsidR="0031067D" w:rsidRPr="004049D2">
              <w:rPr>
                <w:rStyle w:val="Hyperlink"/>
                <w:sz w:val="24"/>
                <w:szCs w:val="24"/>
              </w:rPr>
              <w:t>1.1.4 Treatment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18</w:t>
            </w:r>
            <w:r w:rsidR="0031067D" w:rsidRPr="004049D2">
              <w:rPr>
                <w:webHidden/>
                <w:sz w:val="24"/>
                <w:szCs w:val="24"/>
              </w:rPr>
              <w:fldChar w:fldCharType="end"/>
            </w:r>
          </w:hyperlink>
        </w:p>
        <w:p w14:paraId="1CF2DEA5" w14:textId="430DD7B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4" w:history="1">
            <w:r w:rsidR="0031067D" w:rsidRPr="004049D2">
              <w:rPr>
                <w:rStyle w:val="Hyperlink"/>
                <w:sz w:val="24"/>
                <w:szCs w:val="24"/>
              </w:rPr>
              <w:t>1.1.5 Role of tumour necrosis factor-</w:t>
            </w:r>
            <w:r w:rsidR="0031067D" w:rsidRPr="004049D2">
              <w:rPr>
                <w:rStyle w:val="Hyperlink"/>
                <w:rFonts w:ascii="Calibri" w:hAnsi="Calibri" w:cs="Calibri"/>
                <w:sz w:val="24"/>
                <w:szCs w:val="24"/>
              </w:rPr>
              <w:t>α</w:t>
            </w:r>
            <w:r w:rsidR="0031067D" w:rsidRPr="004049D2">
              <w:rPr>
                <w:rStyle w:val="Hyperlink"/>
                <w:sz w:val="24"/>
                <w:szCs w:val="24"/>
              </w:rPr>
              <w:t xml:space="preserve"> (TNFα) in IBD</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20</w:t>
            </w:r>
            <w:r w:rsidR="0031067D" w:rsidRPr="004049D2">
              <w:rPr>
                <w:webHidden/>
                <w:sz w:val="24"/>
                <w:szCs w:val="24"/>
              </w:rPr>
              <w:fldChar w:fldCharType="end"/>
            </w:r>
          </w:hyperlink>
        </w:p>
        <w:p w14:paraId="2C541C1C" w14:textId="3633F3BB"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5" w:history="1">
            <w:r w:rsidR="0031067D" w:rsidRPr="004049D2">
              <w:rPr>
                <w:rStyle w:val="Hyperlink"/>
                <w:sz w:val="24"/>
                <w:szCs w:val="24"/>
              </w:rPr>
              <w:t>1.1.6 Infliximab</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23</w:t>
            </w:r>
            <w:r w:rsidR="0031067D" w:rsidRPr="004049D2">
              <w:rPr>
                <w:webHidden/>
                <w:sz w:val="24"/>
                <w:szCs w:val="24"/>
              </w:rPr>
              <w:fldChar w:fldCharType="end"/>
            </w:r>
          </w:hyperlink>
        </w:p>
        <w:p w14:paraId="31C7328B" w14:textId="7D42E8DD"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6" w:history="1">
            <w:r w:rsidR="0031067D" w:rsidRPr="004049D2">
              <w:rPr>
                <w:rStyle w:val="Hyperlink"/>
                <w:sz w:val="24"/>
                <w:szCs w:val="24"/>
              </w:rPr>
              <w:t>1.1.7 Side effects of infliximab</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28</w:t>
            </w:r>
            <w:r w:rsidR="0031067D" w:rsidRPr="004049D2">
              <w:rPr>
                <w:webHidden/>
                <w:sz w:val="24"/>
                <w:szCs w:val="24"/>
              </w:rPr>
              <w:fldChar w:fldCharType="end"/>
            </w:r>
          </w:hyperlink>
        </w:p>
        <w:p w14:paraId="41EAC634" w14:textId="53EABBE9"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7" w:history="1">
            <w:r w:rsidR="0031067D" w:rsidRPr="004049D2">
              <w:rPr>
                <w:rStyle w:val="Hyperlink"/>
                <w:sz w:val="24"/>
                <w:szCs w:val="24"/>
              </w:rPr>
              <w:t>1.1.8 Biosimilars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30</w:t>
            </w:r>
            <w:r w:rsidR="0031067D" w:rsidRPr="004049D2">
              <w:rPr>
                <w:webHidden/>
                <w:sz w:val="24"/>
                <w:szCs w:val="24"/>
              </w:rPr>
              <w:fldChar w:fldCharType="end"/>
            </w:r>
          </w:hyperlink>
        </w:p>
        <w:p w14:paraId="66C28C35" w14:textId="32FF4684"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58" w:history="1">
            <w:r w:rsidR="0031067D" w:rsidRPr="004049D2">
              <w:rPr>
                <w:rStyle w:val="Hyperlink"/>
                <w:b w:val="0"/>
                <w:bCs w:val="0"/>
                <w:sz w:val="24"/>
                <w:szCs w:val="24"/>
              </w:rPr>
              <w:t>1.2 Monoclonal antibodies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_Toc151020458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35</w:t>
            </w:r>
            <w:r w:rsidR="0031067D" w:rsidRPr="004049D2">
              <w:rPr>
                <w:b w:val="0"/>
                <w:bCs w:val="0"/>
                <w:webHidden/>
                <w:sz w:val="24"/>
                <w:szCs w:val="24"/>
              </w:rPr>
              <w:fldChar w:fldCharType="end"/>
            </w:r>
          </w:hyperlink>
        </w:p>
        <w:p w14:paraId="5089CCDB" w14:textId="32F05A7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59" w:history="1">
            <w:r w:rsidR="0031067D" w:rsidRPr="004049D2">
              <w:rPr>
                <w:rStyle w:val="Hyperlink"/>
                <w:sz w:val="24"/>
                <w:szCs w:val="24"/>
              </w:rPr>
              <w:t>1.2.1 Immunoglobulins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_Toc151020459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35</w:t>
            </w:r>
            <w:r w:rsidR="0031067D" w:rsidRPr="004049D2">
              <w:rPr>
                <w:webHidden/>
                <w:sz w:val="24"/>
                <w:szCs w:val="24"/>
              </w:rPr>
              <w:fldChar w:fldCharType="end"/>
            </w:r>
          </w:hyperlink>
        </w:p>
        <w:p w14:paraId="5184D436" w14:textId="3122DA39"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0" w:history="1">
            <w:r w:rsidR="0031067D" w:rsidRPr="004049D2">
              <w:rPr>
                <w:rStyle w:val="Hyperlink"/>
                <w:sz w:val="24"/>
                <w:szCs w:val="24"/>
              </w:rPr>
              <w:t>1.2.2 Epitopes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37</w:t>
            </w:r>
            <w:r w:rsidR="0031067D" w:rsidRPr="004049D2">
              <w:rPr>
                <w:webHidden/>
                <w:sz w:val="24"/>
                <w:szCs w:val="24"/>
              </w:rPr>
              <w:fldChar w:fldCharType="end"/>
            </w:r>
          </w:hyperlink>
        </w:p>
        <w:p w14:paraId="6FCDEF9C" w14:textId="0B470460"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1" w:history="1">
            <w:r w:rsidR="0031067D" w:rsidRPr="004049D2">
              <w:rPr>
                <w:rStyle w:val="Hyperlink"/>
                <w:sz w:val="24"/>
                <w:szCs w:val="24"/>
              </w:rPr>
              <w:t>1.2.3 Monoclonal antibodies as biotherapeutic agents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38</w:t>
            </w:r>
            <w:r w:rsidR="0031067D" w:rsidRPr="004049D2">
              <w:rPr>
                <w:webHidden/>
                <w:sz w:val="24"/>
                <w:szCs w:val="24"/>
              </w:rPr>
              <w:fldChar w:fldCharType="end"/>
            </w:r>
          </w:hyperlink>
        </w:p>
        <w:p w14:paraId="4A6E2543" w14:textId="7C50D062"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62" w:history="1">
            <w:r w:rsidR="0031067D" w:rsidRPr="004049D2">
              <w:rPr>
                <w:rStyle w:val="Hyperlink"/>
                <w:b w:val="0"/>
                <w:bCs w:val="0"/>
                <w:sz w:val="24"/>
                <w:szCs w:val="24"/>
              </w:rPr>
              <w:t>1.3 Clinical implications of antibodies to infliximab (ATI)</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_Toc151020462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40</w:t>
            </w:r>
            <w:r w:rsidR="0031067D" w:rsidRPr="004049D2">
              <w:rPr>
                <w:b w:val="0"/>
                <w:bCs w:val="0"/>
                <w:webHidden/>
                <w:sz w:val="24"/>
                <w:szCs w:val="24"/>
              </w:rPr>
              <w:fldChar w:fldCharType="end"/>
            </w:r>
          </w:hyperlink>
        </w:p>
        <w:p w14:paraId="7E986343" w14:textId="1EF98A87"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3" w:history="1">
            <w:r w:rsidR="0031067D" w:rsidRPr="004049D2">
              <w:rPr>
                <w:rStyle w:val="Hyperlink"/>
                <w:sz w:val="24"/>
                <w:szCs w:val="24"/>
              </w:rPr>
              <w:t>1.3.1 Measurement of ATI</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40</w:t>
            </w:r>
            <w:r w:rsidR="0031067D" w:rsidRPr="004049D2">
              <w:rPr>
                <w:webHidden/>
                <w:sz w:val="24"/>
                <w:szCs w:val="24"/>
              </w:rPr>
              <w:fldChar w:fldCharType="end"/>
            </w:r>
          </w:hyperlink>
        </w:p>
        <w:p w14:paraId="3724FF12" w14:textId="1A8BF52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4" w:history="1">
            <w:r w:rsidR="0031067D" w:rsidRPr="004049D2">
              <w:rPr>
                <w:rStyle w:val="Hyperlink"/>
                <w:sz w:val="24"/>
                <w:szCs w:val="24"/>
              </w:rPr>
              <w:t>1.3.2 Development of ATI</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43</w:t>
            </w:r>
            <w:r w:rsidR="0031067D" w:rsidRPr="004049D2">
              <w:rPr>
                <w:webHidden/>
                <w:sz w:val="24"/>
                <w:szCs w:val="24"/>
              </w:rPr>
              <w:fldChar w:fldCharType="end"/>
            </w:r>
          </w:hyperlink>
        </w:p>
        <w:p w14:paraId="215A2796" w14:textId="2B842091"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5" w:history="1">
            <w:r w:rsidR="0031067D" w:rsidRPr="004049D2">
              <w:rPr>
                <w:rStyle w:val="Hyperlink"/>
                <w:sz w:val="24"/>
                <w:szCs w:val="24"/>
                <w:lang w:eastAsia="en-GB"/>
              </w:rPr>
              <w:t>1.3.3 The association between ATI and infliximab trough levels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44</w:t>
            </w:r>
            <w:r w:rsidR="0031067D" w:rsidRPr="004049D2">
              <w:rPr>
                <w:webHidden/>
                <w:sz w:val="24"/>
                <w:szCs w:val="24"/>
              </w:rPr>
              <w:fldChar w:fldCharType="end"/>
            </w:r>
          </w:hyperlink>
        </w:p>
        <w:p w14:paraId="1AAD7B5D" w14:textId="0C970954"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6" w:history="1">
            <w:r w:rsidR="0031067D" w:rsidRPr="004049D2">
              <w:rPr>
                <w:rStyle w:val="Hyperlink"/>
                <w:sz w:val="24"/>
                <w:szCs w:val="24"/>
              </w:rPr>
              <w:t>1.3.4 The association between ATI and clinical response</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46</w:t>
            </w:r>
            <w:r w:rsidR="0031067D" w:rsidRPr="004049D2">
              <w:rPr>
                <w:webHidden/>
                <w:sz w:val="24"/>
                <w:szCs w:val="24"/>
              </w:rPr>
              <w:fldChar w:fldCharType="end"/>
            </w:r>
          </w:hyperlink>
        </w:p>
        <w:p w14:paraId="0C625869" w14:textId="1F7C0354"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7" w:history="1">
            <w:r w:rsidR="0031067D" w:rsidRPr="004049D2">
              <w:rPr>
                <w:rStyle w:val="Hyperlink"/>
                <w:sz w:val="24"/>
                <w:szCs w:val="24"/>
                <w:lang w:eastAsia="en-GB"/>
              </w:rPr>
              <w:t>1.3.5 The association between ATI and infusion reactions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48</w:t>
            </w:r>
            <w:r w:rsidR="0031067D" w:rsidRPr="004049D2">
              <w:rPr>
                <w:webHidden/>
                <w:sz w:val="24"/>
                <w:szCs w:val="24"/>
              </w:rPr>
              <w:fldChar w:fldCharType="end"/>
            </w:r>
          </w:hyperlink>
        </w:p>
        <w:p w14:paraId="33E65B68" w14:textId="2C89AC56"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68" w:history="1">
            <w:r w:rsidR="0031067D" w:rsidRPr="004049D2">
              <w:rPr>
                <w:rStyle w:val="Hyperlink"/>
                <w:b w:val="0"/>
                <w:bCs w:val="0"/>
                <w:sz w:val="24"/>
                <w:szCs w:val="24"/>
              </w:rPr>
              <w:t>1.4 Characterisation of ATI</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_Toc151020468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49</w:t>
            </w:r>
            <w:r w:rsidR="0031067D" w:rsidRPr="004049D2">
              <w:rPr>
                <w:b w:val="0"/>
                <w:bCs w:val="0"/>
                <w:webHidden/>
                <w:sz w:val="24"/>
                <w:szCs w:val="24"/>
              </w:rPr>
              <w:fldChar w:fldCharType="end"/>
            </w:r>
          </w:hyperlink>
        </w:p>
        <w:p w14:paraId="274D8584" w14:textId="4A7CFC78"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69" w:history="1">
            <w:r w:rsidR="0031067D" w:rsidRPr="004049D2">
              <w:rPr>
                <w:rStyle w:val="Hyperlink"/>
                <w:sz w:val="24"/>
                <w:szCs w:val="24"/>
              </w:rPr>
              <w:t>1.4.1 Neutralising and non-neutralising ATI</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_Toc151020469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49</w:t>
            </w:r>
            <w:r w:rsidR="0031067D" w:rsidRPr="004049D2">
              <w:rPr>
                <w:webHidden/>
                <w:sz w:val="24"/>
                <w:szCs w:val="24"/>
              </w:rPr>
              <w:fldChar w:fldCharType="end"/>
            </w:r>
          </w:hyperlink>
        </w:p>
        <w:p w14:paraId="6407DF89" w14:textId="638C3C87"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0" w:history="1">
            <w:r w:rsidR="0031067D" w:rsidRPr="004049D2">
              <w:rPr>
                <w:rStyle w:val="Hyperlink"/>
                <w:sz w:val="24"/>
                <w:szCs w:val="24"/>
              </w:rPr>
              <w:t>1.4.2 Functional epitope mapping using phage display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50</w:t>
            </w:r>
            <w:r w:rsidR="0031067D" w:rsidRPr="004049D2">
              <w:rPr>
                <w:webHidden/>
                <w:sz w:val="24"/>
                <w:szCs w:val="24"/>
              </w:rPr>
              <w:fldChar w:fldCharType="end"/>
            </w:r>
          </w:hyperlink>
        </w:p>
        <w:p w14:paraId="1D1768A8" w14:textId="29D409C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1" w:history="1">
            <w:r w:rsidR="0031067D" w:rsidRPr="004049D2">
              <w:rPr>
                <w:rStyle w:val="Hyperlink"/>
                <w:sz w:val="24"/>
                <w:szCs w:val="24"/>
              </w:rPr>
              <w:t>1.4.3 B cell epitopes on infliximab</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56</w:t>
            </w:r>
            <w:r w:rsidR="0031067D" w:rsidRPr="004049D2">
              <w:rPr>
                <w:webHidden/>
                <w:sz w:val="24"/>
                <w:szCs w:val="24"/>
              </w:rPr>
              <w:fldChar w:fldCharType="end"/>
            </w:r>
          </w:hyperlink>
        </w:p>
        <w:p w14:paraId="2616BF5D" w14:textId="195F6CC4"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72" w:history="1">
            <w:r w:rsidR="0031067D" w:rsidRPr="004049D2">
              <w:rPr>
                <w:rStyle w:val="Hyperlink"/>
                <w:b w:val="0"/>
                <w:bCs w:val="0"/>
                <w:sz w:val="24"/>
                <w:szCs w:val="24"/>
              </w:rPr>
              <w:t>1.5: Aims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_Toc151020472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58</w:t>
            </w:r>
            <w:r w:rsidR="0031067D" w:rsidRPr="004049D2">
              <w:rPr>
                <w:b w:val="0"/>
                <w:bCs w:val="0"/>
                <w:webHidden/>
                <w:sz w:val="24"/>
                <w:szCs w:val="24"/>
              </w:rPr>
              <w:fldChar w:fldCharType="end"/>
            </w:r>
          </w:hyperlink>
        </w:p>
        <w:p w14:paraId="51B80D74" w14:textId="74F35F9E"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73" w:history="1">
            <w:r w:rsidR="0031067D" w:rsidRPr="004049D2">
              <w:rPr>
                <w:rStyle w:val="Hyperlink"/>
                <w:sz w:val="24"/>
                <w:szCs w:val="24"/>
              </w:rPr>
              <w:t xml:space="preserve">Chapter 2: </w:t>
            </w:r>
            <w:r w:rsidR="0031067D" w:rsidRPr="004049D2">
              <w:rPr>
                <w:rStyle w:val="Hyperlink"/>
                <w:sz w:val="24"/>
                <w:szCs w:val="24"/>
                <w:shd w:val="clear" w:color="auto" w:fill="FFFFFF"/>
              </w:rPr>
              <w:t>High prevalence of antibodies to infliximab and their relation to clinical outcomes in inflammatory bowel disease patients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60</w:t>
            </w:r>
            <w:r w:rsidR="0031067D" w:rsidRPr="004049D2">
              <w:rPr>
                <w:webHidden/>
                <w:sz w:val="24"/>
                <w:szCs w:val="24"/>
              </w:rPr>
              <w:fldChar w:fldCharType="end"/>
            </w:r>
          </w:hyperlink>
        </w:p>
        <w:p w14:paraId="1CE8FD99" w14:textId="5A2420CD" w:rsidR="0031067D" w:rsidRPr="004049D2" w:rsidRDefault="00000000" w:rsidP="0046238D">
          <w:pPr>
            <w:pStyle w:val="TOC2"/>
            <w:tabs>
              <w:tab w:val="left" w:pos="880"/>
            </w:tabs>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74" w:history="1">
            <w:r w:rsidR="0031067D" w:rsidRPr="004049D2">
              <w:rPr>
                <w:rStyle w:val="Hyperlink"/>
                <w:b w:val="0"/>
                <w:bCs w:val="0"/>
                <w:sz w:val="24"/>
                <w:szCs w:val="24"/>
              </w:rPr>
              <w:t>2.1</w:t>
            </w:r>
            <w:r w:rsidR="0031067D" w:rsidRPr="004049D2">
              <w:rPr>
                <w:rFonts w:asciiTheme="minorHAnsi" w:eastAsiaTheme="minorEastAsia" w:hAnsiTheme="minorHAnsi" w:cstheme="minorBidi"/>
                <w:b w:val="0"/>
                <w:bCs w:val="0"/>
                <w:kern w:val="2"/>
                <w:sz w:val="24"/>
                <w:szCs w:val="24"/>
                <w:lang w:eastAsia="en-GB"/>
                <w14:ligatures w14:val="standardContextual"/>
              </w:rPr>
              <w:tab/>
            </w:r>
            <w:r w:rsidR="0031067D" w:rsidRPr="004049D2">
              <w:rPr>
                <w:rStyle w:val="Hyperlink"/>
                <w:b w:val="0"/>
                <w:bCs w:val="0"/>
                <w:sz w:val="24"/>
                <w:szCs w:val="24"/>
              </w:rPr>
              <w:t>Introduction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_Toc151020474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60</w:t>
            </w:r>
            <w:r w:rsidR="0031067D" w:rsidRPr="004049D2">
              <w:rPr>
                <w:b w:val="0"/>
                <w:bCs w:val="0"/>
                <w:webHidden/>
                <w:sz w:val="24"/>
                <w:szCs w:val="24"/>
              </w:rPr>
              <w:fldChar w:fldCharType="end"/>
            </w:r>
          </w:hyperlink>
        </w:p>
        <w:p w14:paraId="3155A3FC" w14:textId="160665BC"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75" w:history="1">
            <w:r w:rsidR="0031067D" w:rsidRPr="004049D2">
              <w:rPr>
                <w:rStyle w:val="Hyperlink"/>
                <w:b w:val="0"/>
                <w:bCs w:val="0"/>
                <w:sz w:val="24"/>
                <w:szCs w:val="24"/>
              </w:rPr>
              <w:t>2.2 Materials and Methods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_Toc151020475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61</w:t>
            </w:r>
            <w:r w:rsidR="0031067D" w:rsidRPr="004049D2">
              <w:rPr>
                <w:b w:val="0"/>
                <w:bCs w:val="0"/>
                <w:webHidden/>
                <w:sz w:val="24"/>
                <w:szCs w:val="24"/>
              </w:rPr>
              <w:fldChar w:fldCharType="end"/>
            </w:r>
          </w:hyperlink>
        </w:p>
        <w:p w14:paraId="3D80C660" w14:textId="3EA1597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6" w:history="1">
            <w:r w:rsidR="0031067D" w:rsidRPr="004049D2">
              <w:rPr>
                <w:rStyle w:val="Hyperlink"/>
                <w:sz w:val="24"/>
                <w:szCs w:val="24"/>
              </w:rPr>
              <w:t>2.2.1 Patient population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61</w:t>
            </w:r>
            <w:r w:rsidR="0031067D" w:rsidRPr="004049D2">
              <w:rPr>
                <w:webHidden/>
                <w:sz w:val="24"/>
                <w:szCs w:val="24"/>
              </w:rPr>
              <w:fldChar w:fldCharType="end"/>
            </w:r>
          </w:hyperlink>
        </w:p>
        <w:p w14:paraId="104723D3" w14:textId="6E39C37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7" w:history="1">
            <w:r w:rsidR="0031067D" w:rsidRPr="004049D2">
              <w:rPr>
                <w:rStyle w:val="Hyperlink"/>
                <w:sz w:val="24"/>
                <w:szCs w:val="24"/>
              </w:rPr>
              <w:t>2.2.2 Clinical assessment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61</w:t>
            </w:r>
            <w:r w:rsidR="0031067D" w:rsidRPr="004049D2">
              <w:rPr>
                <w:webHidden/>
                <w:sz w:val="24"/>
                <w:szCs w:val="24"/>
              </w:rPr>
              <w:fldChar w:fldCharType="end"/>
            </w:r>
          </w:hyperlink>
        </w:p>
        <w:p w14:paraId="14360C0E" w14:textId="453E3A7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8" w:history="1">
            <w:r w:rsidR="0031067D" w:rsidRPr="004049D2">
              <w:rPr>
                <w:rStyle w:val="Hyperlink"/>
                <w:sz w:val="24"/>
                <w:szCs w:val="24"/>
              </w:rPr>
              <w:t>2.2.3 Therapeutic drug monitoring (TDM)</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62</w:t>
            </w:r>
            <w:r w:rsidR="0031067D" w:rsidRPr="004049D2">
              <w:rPr>
                <w:webHidden/>
                <w:sz w:val="24"/>
                <w:szCs w:val="24"/>
              </w:rPr>
              <w:fldChar w:fldCharType="end"/>
            </w:r>
          </w:hyperlink>
        </w:p>
        <w:p w14:paraId="7879239D" w14:textId="4983262D"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79" w:history="1">
            <w:r w:rsidR="0031067D" w:rsidRPr="004049D2">
              <w:rPr>
                <w:rStyle w:val="Hyperlink"/>
                <w:sz w:val="24"/>
                <w:szCs w:val="24"/>
              </w:rPr>
              <w:t>2.2.4 Ethical approval</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_Toc151020479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63</w:t>
            </w:r>
            <w:r w:rsidR="0031067D" w:rsidRPr="004049D2">
              <w:rPr>
                <w:webHidden/>
                <w:sz w:val="24"/>
                <w:szCs w:val="24"/>
              </w:rPr>
              <w:fldChar w:fldCharType="end"/>
            </w:r>
          </w:hyperlink>
        </w:p>
        <w:p w14:paraId="5A583685" w14:textId="75A9DC9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0" w:history="1">
            <w:r w:rsidR="0031067D" w:rsidRPr="004049D2">
              <w:rPr>
                <w:rStyle w:val="Hyperlink"/>
                <w:sz w:val="24"/>
                <w:szCs w:val="24"/>
              </w:rPr>
              <w:t>2.2.5 Statistical analyses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64</w:t>
            </w:r>
            <w:r w:rsidR="0031067D" w:rsidRPr="004049D2">
              <w:rPr>
                <w:webHidden/>
                <w:sz w:val="24"/>
                <w:szCs w:val="24"/>
              </w:rPr>
              <w:fldChar w:fldCharType="end"/>
            </w:r>
          </w:hyperlink>
        </w:p>
        <w:p w14:paraId="05306928" w14:textId="29EE77CD"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81" w:history="1">
            <w:r w:rsidR="0031067D" w:rsidRPr="004049D2">
              <w:rPr>
                <w:rStyle w:val="Hyperlink"/>
                <w:b w:val="0"/>
                <w:bCs w:val="0"/>
                <w:sz w:val="24"/>
                <w:szCs w:val="24"/>
              </w:rPr>
              <w:t>2.3 Results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_Toc151020481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64</w:t>
            </w:r>
            <w:r w:rsidR="0031067D" w:rsidRPr="004049D2">
              <w:rPr>
                <w:b w:val="0"/>
                <w:bCs w:val="0"/>
                <w:webHidden/>
                <w:sz w:val="24"/>
                <w:szCs w:val="24"/>
              </w:rPr>
              <w:fldChar w:fldCharType="end"/>
            </w:r>
          </w:hyperlink>
        </w:p>
        <w:p w14:paraId="2D3ED908" w14:textId="4BB60F9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2" w:history="1">
            <w:r w:rsidR="0031067D" w:rsidRPr="004049D2">
              <w:rPr>
                <w:rStyle w:val="Hyperlink"/>
                <w:rFonts w:eastAsiaTheme="minorHAnsi"/>
                <w:sz w:val="24"/>
                <w:szCs w:val="24"/>
              </w:rPr>
              <w:t>2.3.1 Patient cohort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64</w:t>
            </w:r>
            <w:r w:rsidR="0031067D" w:rsidRPr="004049D2">
              <w:rPr>
                <w:webHidden/>
                <w:sz w:val="24"/>
                <w:szCs w:val="24"/>
              </w:rPr>
              <w:fldChar w:fldCharType="end"/>
            </w:r>
          </w:hyperlink>
        </w:p>
        <w:p w14:paraId="5F18D5E8" w14:textId="603A7D1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3" w:history="1">
            <w:r w:rsidR="0031067D" w:rsidRPr="004049D2">
              <w:rPr>
                <w:rStyle w:val="Hyperlink"/>
                <w:rFonts w:eastAsiaTheme="minorHAnsi"/>
                <w:sz w:val="24"/>
                <w:szCs w:val="24"/>
              </w:rPr>
              <w:t>2.3.2 Prevalence of immunogenicity in patients with IBD</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66</w:t>
            </w:r>
            <w:r w:rsidR="0031067D" w:rsidRPr="004049D2">
              <w:rPr>
                <w:webHidden/>
                <w:sz w:val="24"/>
                <w:szCs w:val="24"/>
              </w:rPr>
              <w:fldChar w:fldCharType="end"/>
            </w:r>
          </w:hyperlink>
        </w:p>
        <w:p w14:paraId="56D3027E" w14:textId="59889178"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4" w:history="1">
            <w:r w:rsidR="0031067D" w:rsidRPr="004049D2">
              <w:rPr>
                <w:rStyle w:val="Hyperlink"/>
                <w:rFonts w:eastAsiaTheme="minorHAnsi"/>
                <w:sz w:val="24"/>
                <w:szCs w:val="24"/>
              </w:rPr>
              <w:t>2.3.3 Temporal development of ATI and risk-factors for ATI development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67</w:t>
            </w:r>
            <w:r w:rsidR="0031067D" w:rsidRPr="004049D2">
              <w:rPr>
                <w:webHidden/>
                <w:sz w:val="24"/>
                <w:szCs w:val="24"/>
              </w:rPr>
              <w:fldChar w:fldCharType="end"/>
            </w:r>
          </w:hyperlink>
        </w:p>
        <w:p w14:paraId="7813741C" w14:textId="05C4CBDE"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5" w:history="1">
            <w:r w:rsidR="0031067D" w:rsidRPr="004049D2">
              <w:rPr>
                <w:rStyle w:val="Hyperlink"/>
                <w:rFonts w:eastAsiaTheme="minorHAnsi"/>
                <w:sz w:val="24"/>
                <w:szCs w:val="24"/>
              </w:rPr>
              <w:t>2.3.4 Chronological relation of ATI to infliximab levels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68</w:t>
            </w:r>
            <w:r w:rsidR="0031067D" w:rsidRPr="004049D2">
              <w:rPr>
                <w:webHidden/>
                <w:sz w:val="24"/>
                <w:szCs w:val="24"/>
              </w:rPr>
              <w:fldChar w:fldCharType="end"/>
            </w:r>
          </w:hyperlink>
        </w:p>
        <w:p w14:paraId="1D5A5C4C" w14:textId="0115B61B"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6" w:history="1">
            <w:r w:rsidR="0031067D" w:rsidRPr="004049D2">
              <w:rPr>
                <w:rStyle w:val="Hyperlink"/>
                <w:rFonts w:eastAsiaTheme="minorHAnsi"/>
                <w:sz w:val="24"/>
                <w:szCs w:val="24"/>
              </w:rPr>
              <w:t>2.3.5 TDM at first maintenance dose (Week 14)</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69</w:t>
            </w:r>
            <w:r w:rsidR="0031067D" w:rsidRPr="004049D2">
              <w:rPr>
                <w:webHidden/>
                <w:sz w:val="24"/>
                <w:szCs w:val="24"/>
              </w:rPr>
              <w:fldChar w:fldCharType="end"/>
            </w:r>
          </w:hyperlink>
        </w:p>
        <w:p w14:paraId="2E93887B" w14:textId="0D4E541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7" w:history="1">
            <w:r w:rsidR="0031067D" w:rsidRPr="004049D2">
              <w:rPr>
                <w:rStyle w:val="Hyperlink"/>
                <w:rFonts w:eastAsiaTheme="minorHAnsi"/>
                <w:sz w:val="24"/>
                <w:szCs w:val="24"/>
              </w:rPr>
              <w:t>2.3.6 The association between ATI and clinical outcomes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70</w:t>
            </w:r>
            <w:r w:rsidR="0031067D" w:rsidRPr="004049D2">
              <w:rPr>
                <w:webHidden/>
                <w:sz w:val="24"/>
                <w:szCs w:val="24"/>
              </w:rPr>
              <w:fldChar w:fldCharType="end"/>
            </w:r>
          </w:hyperlink>
        </w:p>
        <w:p w14:paraId="6CE7AB5A" w14:textId="76EEB0D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88" w:history="1">
            <w:r w:rsidR="0031067D" w:rsidRPr="004049D2">
              <w:rPr>
                <w:rStyle w:val="Hyperlink"/>
                <w:rFonts w:eastAsiaTheme="minorHAnsi"/>
                <w:sz w:val="24"/>
                <w:szCs w:val="24"/>
              </w:rPr>
              <w:t>2.3.6 Association of ATI levels with loss of clinical remission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_Toc151020488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72</w:t>
            </w:r>
            <w:r w:rsidR="0031067D" w:rsidRPr="004049D2">
              <w:rPr>
                <w:webHidden/>
                <w:sz w:val="24"/>
                <w:szCs w:val="24"/>
              </w:rPr>
              <w:fldChar w:fldCharType="end"/>
            </w:r>
          </w:hyperlink>
        </w:p>
        <w:p w14:paraId="0EA57F47" w14:textId="13EF0688"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89" w:history="1">
            <w:r w:rsidR="0031067D" w:rsidRPr="004049D2">
              <w:rPr>
                <w:rStyle w:val="Hyperlink"/>
                <w:b w:val="0"/>
                <w:bCs w:val="0"/>
                <w:sz w:val="24"/>
                <w:szCs w:val="24"/>
              </w:rPr>
              <w:t>2.4 Discussion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_Toc151020489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74</w:t>
            </w:r>
            <w:r w:rsidR="0031067D" w:rsidRPr="004049D2">
              <w:rPr>
                <w:b w:val="0"/>
                <w:bCs w:val="0"/>
                <w:webHidden/>
                <w:sz w:val="24"/>
                <w:szCs w:val="24"/>
              </w:rPr>
              <w:fldChar w:fldCharType="end"/>
            </w:r>
          </w:hyperlink>
        </w:p>
        <w:p w14:paraId="7E1089B3" w14:textId="0AC9A931"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490" w:history="1">
            <w:r w:rsidR="0031067D" w:rsidRPr="004049D2">
              <w:rPr>
                <w:rStyle w:val="Hyperlink"/>
                <w:sz w:val="24"/>
                <w:szCs w:val="24"/>
              </w:rPr>
              <w:t>Chapter 3: The effect of infliximab dose escalation in inflammatory bowel disease patients with antibodies to infliximab</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77</w:t>
            </w:r>
            <w:r w:rsidR="0031067D" w:rsidRPr="004049D2">
              <w:rPr>
                <w:webHidden/>
                <w:sz w:val="24"/>
                <w:szCs w:val="24"/>
              </w:rPr>
              <w:fldChar w:fldCharType="end"/>
            </w:r>
          </w:hyperlink>
        </w:p>
        <w:p w14:paraId="5B7FA019" w14:textId="1718B6D9" w:rsidR="0031067D" w:rsidRPr="004049D2" w:rsidRDefault="00000000" w:rsidP="0046238D">
          <w:pPr>
            <w:pStyle w:val="TOC2"/>
            <w:tabs>
              <w:tab w:val="left" w:pos="880"/>
            </w:tabs>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91" w:history="1">
            <w:r w:rsidR="0031067D" w:rsidRPr="004049D2">
              <w:rPr>
                <w:rStyle w:val="Hyperlink"/>
                <w:b w:val="0"/>
                <w:bCs w:val="0"/>
                <w:sz w:val="24"/>
                <w:szCs w:val="24"/>
              </w:rPr>
              <w:t>3.1</w:t>
            </w:r>
            <w:r w:rsidR="0031067D" w:rsidRPr="004049D2">
              <w:rPr>
                <w:rFonts w:asciiTheme="minorHAnsi" w:eastAsiaTheme="minorEastAsia" w:hAnsiTheme="minorHAnsi" w:cstheme="minorBidi"/>
                <w:b w:val="0"/>
                <w:bCs w:val="0"/>
                <w:kern w:val="2"/>
                <w:sz w:val="24"/>
                <w:szCs w:val="24"/>
                <w:lang w:eastAsia="en-GB"/>
                <w14:ligatures w14:val="standardContextual"/>
              </w:rPr>
              <w:tab/>
            </w:r>
            <w:r w:rsidR="0031067D" w:rsidRPr="004049D2">
              <w:rPr>
                <w:rStyle w:val="Hyperlink"/>
                <w:b w:val="0"/>
                <w:bCs w:val="0"/>
                <w:sz w:val="24"/>
                <w:szCs w:val="24"/>
              </w:rPr>
              <w:t>Introduction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_Toc151020491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77</w:t>
            </w:r>
            <w:r w:rsidR="0031067D" w:rsidRPr="004049D2">
              <w:rPr>
                <w:b w:val="0"/>
                <w:bCs w:val="0"/>
                <w:webHidden/>
                <w:sz w:val="24"/>
                <w:szCs w:val="24"/>
              </w:rPr>
              <w:fldChar w:fldCharType="end"/>
            </w:r>
          </w:hyperlink>
        </w:p>
        <w:p w14:paraId="4A2DB387" w14:textId="485BB2F5"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92" w:history="1">
            <w:r w:rsidR="0031067D" w:rsidRPr="004049D2">
              <w:rPr>
                <w:rStyle w:val="Hyperlink"/>
                <w:b w:val="0"/>
                <w:bCs w:val="0"/>
                <w:sz w:val="24"/>
                <w:szCs w:val="24"/>
              </w:rPr>
              <w:t>3.2 Materials and Methods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_Toc151020492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78</w:t>
            </w:r>
            <w:r w:rsidR="0031067D" w:rsidRPr="004049D2">
              <w:rPr>
                <w:b w:val="0"/>
                <w:bCs w:val="0"/>
                <w:webHidden/>
                <w:sz w:val="24"/>
                <w:szCs w:val="24"/>
              </w:rPr>
              <w:fldChar w:fldCharType="end"/>
            </w:r>
          </w:hyperlink>
        </w:p>
        <w:p w14:paraId="564D10B7" w14:textId="7C9AD6A9"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3" w:history="1">
            <w:r w:rsidR="0031067D" w:rsidRPr="004049D2">
              <w:rPr>
                <w:rStyle w:val="Hyperlink"/>
                <w:sz w:val="24"/>
                <w:szCs w:val="24"/>
                <w:shd w:val="clear" w:color="auto" w:fill="FFFFFF"/>
              </w:rPr>
              <w:t>3.2.1 Patient population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78</w:t>
            </w:r>
            <w:r w:rsidR="0031067D" w:rsidRPr="004049D2">
              <w:rPr>
                <w:webHidden/>
                <w:sz w:val="24"/>
                <w:szCs w:val="24"/>
              </w:rPr>
              <w:fldChar w:fldCharType="end"/>
            </w:r>
          </w:hyperlink>
        </w:p>
        <w:p w14:paraId="6587320A" w14:textId="2481AB0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4" w:history="1">
            <w:r w:rsidR="0031067D" w:rsidRPr="004049D2">
              <w:rPr>
                <w:rStyle w:val="Hyperlink"/>
                <w:sz w:val="24"/>
                <w:szCs w:val="24"/>
              </w:rPr>
              <w:t>3.2.2 Clinical assessment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79</w:t>
            </w:r>
            <w:r w:rsidR="0031067D" w:rsidRPr="004049D2">
              <w:rPr>
                <w:webHidden/>
                <w:sz w:val="24"/>
                <w:szCs w:val="24"/>
              </w:rPr>
              <w:fldChar w:fldCharType="end"/>
            </w:r>
          </w:hyperlink>
        </w:p>
        <w:p w14:paraId="0E97A99D" w14:textId="08CD3C2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5" w:history="1">
            <w:r w:rsidR="0031067D" w:rsidRPr="004049D2">
              <w:rPr>
                <w:rStyle w:val="Hyperlink"/>
                <w:sz w:val="24"/>
                <w:szCs w:val="24"/>
              </w:rPr>
              <w:t>3.2.3 Therapeutic Drug Monitoring (TDM)</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79</w:t>
            </w:r>
            <w:r w:rsidR="0031067D" w:rsidRPr="004049D2">
              <w:rPr>
                <w:webHidden/>
                <w:sz w:val="24"/>
                <w:szCs w:val="24"/>
              </w:rPr>
              <w:fldChar w:fldCharType="end"/>
            </w:r>
          </w:hyperlink>
        </w:p>
        <w:p w14:paraId="6B52A8CD" w14:textId="11EEF9B0"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6" w:history="1">
            <w:r w:rsidR="0031067D" w:rsidRPr="004049D2">
              <w:rPr>
                <w:rStyle w:val="Hyperlink"/>
                <w:sz w:val="24"/>
                <w:szCs w:val="24"/>
              </w:rPr>
              <w:t>3.2.4 Ethical approval</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80</w:t>
            </w:r>
            <w:r w:rsidR="0031067D" w:rsidRPr="004049D2">
              <w:rPr>
                <w:webHidden/>
                <w:sz w:val="24"/>
                <w:szCs w:val="24"/>
              </w:rPr>
              <w:fldChar w:fldCharType="end"/>
            </w:r>
          </w:hyperlink>
        </w:p>
        <w:p w14:paraId="5D22A639" w14:textId="49BEA8DD"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7" w:history="1">
            <w:r w:rsidR="0031067D" w:rsidRPr="004049D2">
              <w:rPr>
                <w:rStyle w:val="Hyperlink"/>
                <w:sz w:val="24"/>
                <w:szCs w:val="24"/>
                <w:shd w:val="clear" w:color="auto" w:fill="FFFFFF"/>
              </w:rPr>
              <w:t>3.2.5 Statistical analyses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80</w:t>
            </w:r>
            <w:r w:rsidR="0031067D" w:rsidRPr="004049D2">
              <w:rPr>
                <w:webHidden/>
                <w:sz w:val="24"/>
                <w:szCs w:val="24"/>
              </w:rPr>
              <w:fldChar w:fldCharType="end"/>
            </w:r>
          </w:hyperlink>
        </w:p>
        <w:p w14:paraId="154FCC53" w14:textId="0FEC8AB3"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498" w:history="1">
            <w:r w:rsidR="0031067D" w:rsidRPr="004049D2">
              <w:rPr>
                <w:rStyle w:val="Hyperlink"/>
                <w:b w:val="0"/>
                <w:bCs w:val="0"/>
                <w:sz w:val="24"/>
                <w:szCs w:val="24"/>
              </w:rPr>
              <w:t>3.3 Results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_Toc151020498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81</w:t>
            </w:r>
            <w:r w:rsidR="0031067D" w:rsidRPr="004049D2">
              <w:rPr>
                <w:b w:val="0"/>
                <w:bCs w:val="0"/>
                <w:webHidden/>
                <w:sz w:val="24"/>
                <w:szCs w:val="24"/>
              </w:rPr>
              <w:fldChar w:fldCharType="end"/>
            </w:r>
          </w:hyperlink>
        </w:p>
        <w:p w14:paraId="315E4A0B" w14:textId="16B1E1A2"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499" w:history="1">
            <w:r w:rsidR="0031067D" w:rsidRPr="004049D2">
              <w:rPr>
                <w:rStyle w:val="Hyperlink"/>
                <w:sz w:val="24"/>
                <w:szCs w:val="24"/>
              </w:rPr>
              <w:t>3.3.1 Patients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_Toc151020499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81</w:t>
            </w:r>
            <w:r w:rsidR="0031067D" w:rsidRPr="004049D2">
              <w:rPr>
                <w:webHidden/>
                <w:sz w:val="24"/>
                <w:szCs w:val="24"/>
              </w:rPr>
              <w:fldChar w:fldCharType="end"/>
            </w:r>
          </w:hyperlink>
        </w:p>
        <w:p w14:paraId="094B6330" w14:textId="5EDB762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0" w:history="1">
            <w:r w:rsidR="0031067D" w:rsidRPr="004049D2">
              <w:rPr>
                <w:rStyle w:val="Hyperlink"/>
                <w:sz w:val="24"/>
                <w:szCs w:val="24"/>
              </w:rPr>
              <w:t>3.3.2 The effect of DE on trough infliximab levels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84</w:t>
            </w:r>
            <w:r w:rsidR="0031067D" w:rsidRPr="004049D2">
              <w:rPr>
                <w:webHidden/>
                <w:sz w:val="24"/>
                <w:szCs w:val="24"/>
              </w:rPr>
              <w:fldChar w:fldCharType="end"/>
            </w:r>
          </w:hyperlink>
        </w:p>
        <w:p w14:paraId="2C28DE16" w14:textId="7CF1131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1" w:history="1">
            <w:r w:rsidR="0031067D" w:rsidRPr="004049D2">
              <w:rPr>
                <w:rStyle w:val="Hyperlink"/>
                <w:sz w:val="24"/>
                <w:szCs w:val="24"/>
              </w:rPr>
              <w:t>3.3.3 The effect of infliximab dose escalation on ATI levels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86</w:t>
            </w:r>
            <w:r w:rsidR="0031067D" w:rsidRPr="004049D2">
              <w:rPr>
                <w:webHidden/>
                <w:sz w:val="24"/>
                <w:szCs w:val="24"/>
              </w:rPr>
              <w:fldChar w:fldCharType="end"/>
            </w:r>
          </w:hyperlink>
        </w:p>
        <w:p w14:paraId="36DCCDEE" w14:textId="75F70901"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2" w:history="1">
            <w:r w:rsidR="0031067D" w:rsidRPr="004049D2">
              <w:rPr>
                <w:rStyle w:val="Hyperlink"/>
                <w:sz w:val="24"/>
                <w:szCs w:val="24"/>
              </w:rPr>
              <w:t>3.3.4 The effect of infliximab dose escalation on clinical outcomes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88</w:t>
            </w:r>
            <w:r w:rsidR="0031067D" w:rsidRPr="004049D2">
              <w:rPr>
                <w:webHidden/>
                <w:sz w:val="24"/>
                <w:szCs w:val="24"/>
              </w:rPr>
              <w:fldChar w:fldCharType="end"/>
            </w:r>
          </w:hyperlink>
        </w:p>
        <w:p w14:paraId="4FD4F86E" w14:textId="5505D05E"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3" w:history="1">
            <w:r w:rsidR="0031067D" w:rsidRPr="004049D2">
              <w:rPr>
                <w:rStyle w:val="Hyperlink"/>
                <w:sz w:val="24"/>
                <w:szCs w:val="24"/>
              </w:rPr>
              <w:t>3.3.5 Comparison of the different methods of dose escalation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90</w:t>
            </w:r>
            <w:r w:rsidR="0031067D" w:rsidRPr="004049D2">
              <w:rPr>
                <w:webHidden/>
                <w:sz w:val="24"/>
                <w:szCs w:val="24"/>
              </w:rPr>
              <w:fldChar w:fldCharType="end"/>
            </w:r>
          </w:hyperlink>
        </w:p>
        <w:p w14:paraId="384B6D0D" w14:textId="6624EF66"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04" w:history="1">
            <w:r w:rsidR="0031067D" w:rsidRPr="004049D2">
              <w:rPr>
                <w:rStyle w:val="Hyperlink"/>
                <w:b w:val="0"/>
                <w:bCs w:val="0"/>
                <w:sz w:val="24"/>
                <w:szCs w:val="24"/>
              </w:rPr>
              <w:t>3.4 Discussion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_Toc151020504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94</w:t>
            </w:r>
            <w:r w:rsidR="0031067D" w:rsidRPr="004049D2">
              <w:rPr>
                <w:b w:val="0"/>
                <w:bCs w:val="0"/>
                <w:webHidden/>
                <w:sz w:val="24"/>
                <w:szCs w:val="24"/>
              </w:rPr>
              <w:fldChar w:fldCharType="end"/>
            </w:r>
          </w:hyperlink>
        </w:p>
        <w:p w14:paraId="40A36470" w14:textId="38915503"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05" w:history="1">
            <w:r w:rsidR="0031067D" w:rsidRPr="004049D2">
              <w:rPr>
                <w:rStyle w:val="Hyperlink"/>
                <w:sz w:val="24"/>
                <w:szCs w:val="24"/>
              </w:rPr>
              <w:t>Chapter 4: Generation of an infliximab Fab gene fragment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97</w:t>
            </w:r>
            <w:r w:rsidR="0031067D" w:rsidRPr="004049D2">
              <w:rPr>
                <w:webHidden/>
                <w:sz w:val="24"/>
                <w:szCs w:val="24"/>
              </w:rPr>
              <w:fldChar w:fldCharType="end"/>
            </w:r>
          </w:hyperlink>
        </w:p>
        <w:p w14:paraId="5750F8EC" w14:textId="0D16B91F"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06" w:history="1">
            <w:r w:rsidR="0031067D" w:rsidRPr="004049D2">
              <w:rPr>
                <w:rStyle w:val="Hyperlink"/>
                <w:b w:val="0"/>
                <w:bCs w:val="0"/>
                <w:sz w:val="24"/>
                <w:szCs w:val="24"/>
              </w:rPr>
              <w:t>4.1 Introduction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_Toc151020506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97</w:t>
            </w:r>
            <w:r w:rsidR="0031067D" w:rsidRPr="004049D2">
              <w:rPr>
                <w:b w:val="0"/>
                <w:bCs w:val="0"/>
                <w:webHidden/>
                <w:sz w:val="24"/>
                <w:szCs w:val="24"/>
              </w:rPr>
              <w:fldChar w:fldCharType="end"/>
            </w:r>
          </w:hyperlink>
        </w:p>
        <w:p w14:paraId="586A6693" w14:textId="0C57421C"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07" w:history="1">
            <w:r w:rsidR="0031067D" w:rsidRPr="004049D2">
              <w:rPr>
                <w:rStyle w:val="Hyperlink"/>
                <w:b w:val="0"/>
                <w:bCs w:val="0"/>
                <w:sz w:val="24"/>
                <w:szCs w:val="24"/>
              </w:rPr>
              <w:t>4.2 Materials and Methods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_Toc151020507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99</w:t>
            </w:r>
            <w:r w:rsidR="0031067D" w:rsidRPr="004049D2">
              <w:rPr>
                <w:b w:val="0"/>
                <w:bCs w:val="0"/>
                <w:webHidden/>
                <w:sz w:val="24"/>
                <w:szCs w:val="24"/>
              </w:rPr>
              <w:fldChar w:fldCharType="end"/>
            </w:r>
          </w:hyperlink>
        </w:p>
        <w:p w14:paraId="04EE0460" w14:textId="6B6C7550"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8" w:history="1">
            <w:r w:rsidR="0031067D" w:rsidRPr="004049D2">
              <w:rPr>
                <w:rStyle w:val="Hyperlink"/>
                <w:sz w:val="24"/>
                <w:szCs w:val="24"/>
              </w:rPr>
              <w:t>4.2.1 Polymerase Chain Reaction (PCR) amplification of infliximab Fab gene</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99</w:t>
            </w:r>
            <w:r w:rsidR="0031067D" w:rsidRPr="004049D2">
              <w:rPr>
                <w:webHidden/>
                <w:sz w:val="24"/>
                <w:szCs w:val="24"/>
              </w:rPr>
              <w:fldChar w:fldCharType="end"/>
            </w:r>
          </w:hyperlink>
        </w:p>
        <w:p w14:paraId="3A2A8ABA" w14:textId="07E9F46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09" w:history="1">
            <w:r w:rsidR="0031067D" w:rsidRPr="004049D2">
              <w:rPr>
                <w:rStyle w:val="Hyperlink"/>
                <w:sz w:val="24"/>
                <w:szCs w:val="24"/>
              </w:rPr>
              <w:t>4.2.2 DNA purification of infliximab light and Fab heavy chain</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_Toc151020509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101</w:t>
            </w:r>
            <w:r w:rsidR="0031067D" w:rsidRPr="004049D2">
              <w:rPr>
                <w:webHidden/>
                <w:sz w:val="24"/>
                <w:szCs w:val="24"/>
              </w:rPr>
              <w:fldChar w:fldCharType="end"/>
            </w:r>
          </w:hyperlink>
        </w:p>
        <w:p w14:paraId="0D18CFB9" w14:textId="4876FCD4"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0" w:history="1">
            <w:r w:rsidR="0031067D" w:rsidRPr="004049D2">
              <w:rPr>
                <w:rStyle w:val="Hyperlink"/>
                <w:sz w:val="24"/>
                <w:szCs w:val="24"/>
              </w:rPr>
              <w:t>4.2.3 Production of infliximab Fab gene fragments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101</w:t>
            </w:r>
            <w:r w:rsidR="0031067D" w:rsidRPr="004049D2">
              <w:rPr>
                <w:webHidden/>
                <w:sz w:val="24"/>
                <w:szCs w:val="24"/>
              </w:rPr>
              <w:fldChar w:fldCharType="end"/>
            </w:r>
          </w:hyperlink>
        </w:p>
        <w:p w14:paraId="0BE5B0FF" w14:textId="2E5A163D"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1" w:history="1">
            <w:r w:rsidR="0031067D" w:rsidRPr="004049D2">
              <w:rPr>
                <w:rStyle w:val="Hyperlink"/>
                <w:sz w:val="24"/>
                <w:szCs w:val="24"/>
              </w:rPr>
              <w:t>4.2.4 Preparation of phagemid vector</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102</w:t>
            </w:r>
            <w:r w:rsidR="0031067D" w:rsidRPr="004049D2">
              <w:rPr>
                <w:webHidden/>
                <w:sz w:val="24"/>
                <w:szCs w:val="24"/>
              </w:rPr>
              <w:fldChar w:fldCharType="end"/>
            </w:r>
          </w:hyperlink>
        </w:p>
        <w:p w14:paraId="05C3D060" w14:textId="10A8E1EF"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2" w:history="1">
            <w:r w:rsidR="0031067D" w:rsidRPr="004049D2">
              <w:rPr>
                <w:rStyle w:val="Hyperlink"/>
                <w:sz w:val="24"/>
                <w:szCs w:val="24"/>
                <w:lang w:eastAsia="en-GB"/>
              </w:rPr>
              <w:t>4.2.5 Construction of infliximab Fab gene fragment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106</w:t>
            </w:r>
            <w:r w:rsidR="0031067D" w:rsidRPr="004049D2">
              <w:rPr>
                <w:webHidden/>
                <w:sz w:val="24"/>
                <w:szCs w:val="24"/>
              </w:rPr>
              <w:fldChar w:fldCharType="end"/>
            </w:r>
          </w:hyperlink>
        </w:p>
        <w:p w14:paraId="441DAD05" w14:textId="439B7B9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3" w:history="1">
            <w:r w:rsidR="0031067D" w:rsidRPr="004049D2">
              <w:rPr>
                <w:rStyle w:val="Hyperlink"/>
                <w:sz w:val="24"/>
                <w:szCs w:val="24"/>
                <w:lang w:eastAsia="en-GB"/>
              </w:rPr>
              <w:t xml:space="preserve">4.2.6 </w:t>
            </w:r>
            <w:r w:rsidR="0031067D" w:rsidRPr="004049D2">
              <w:rPr>
                <w:rStyle w:val="Hyperlink"/>
                <w:sz w:val="24"/>
                <w:szCs w:val="24"/>
              </w:rPr>
              <w:t>Analysis of phage clones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107</w:t>
            </w:r>
            <w:r w:rsidR="0031067D" w:rsidRPr="004049D2">
              <w:rPr>
                <w:webHidden/>
                <w:sz w:val="24"/>
                <w:szCs w:val="24"/>
              </w:rPr>
              <w:fldChar w:fldCharType="end"/>
            </w:r>
          </w:hyperlink>
        </w:p>
        <w:p w14:paraId="418370DB" w14:textId="0BA037F7"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4" w:history="1">
            <w:r w:rsidR="0031067D" w:rsidRPr="004049D2">
              <w:rPr>
                <w:rStyle w:val="Hyperlink"/>
                <w:rFonts w:eastAsia="MS PGothic"/>
                <w:sz w:val="24"/>
                <w:szCs w:val="24"/>
              </w:rPr>
              <w:t>4.2.7 Summary of the generation of the infliximab Fab GFL</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108</w:t>
            </w:r>
            <w:r w:rsidR="0031067D" w:rsidRPr="004049D2">
              <w:rPr>
                <w:webHidden/>
                <w:sz w:val="24"/>
                <w:szCs w:val="24"/>
              </w:rPr>
              <w:fldChar w:fldCharType="end"/>
            </w:r>
          </w:hyperlink>
        </w:p>
        <w:p w14:paraId="6A8D6BCE" w14:textId="02941BC0"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15" w:history="1">
            <w:r w:rsidR="0031067D" w:rsidRPr="004049D2">
              <w:rPr>
                <w:rStyle w:val="Hyperlink"/>
                <w:b w:val="0"/>
                <w:bCs w:val="0"/>
                <w:sz w:val="24"/>
                <w:szCs w:val="24"/>
                <w:lang w:eastAsia="en-GB"/>
              </w:rPr>
              <w:t>4.3 Results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_Toc151020515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109</w:t>
            </w:r>
            <w:r w:rsidR="0031067D" w:rsidRPr="004049D2">
              <w:rPr>
                <w:b w:val="0"/>
                <w:bCs w:val="0"/>
                <w:webHidden/>
                <w:sz w:val="24"/>
                <w:szCs w:val="24"/>
              </w:rPr>
              <w:fldChar w:fldCharType="end"/>
            </w:r>
          </w:hyperlink>
        </w:p>
        <w:p w14:paraId="4E6DAD67" w14:textId="56F0099E"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6" w:history="1">
            <w:r w:rsidR="0031067D" w:rsidRPr="004049D2">
              <w:rPr>
                <w:rStyle w:val="Hyperlink"/>
                <w:sz w:val="24"/>
                <w:szCs w:val="24"/>
              </w:rPr>
              <w:t>4.3.1 Production of infliximab Fab gene fragments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109</w:t>
            </w:r>
            <w:r w:rsidR="0031067D" w:rsidRPr="004049D2">
              <w:rPr>
                <w:webHidden/>
                <w:sz w:val="24"/>
                <w:szCs w:val="24"/>
              </w:rPr>
              <w:fldChar w:fldCharType="end"/>
            </w:r>
          </w:hyperlink>
        </w:p>
        <w:p w14:paraId="60A23403" w14:textId="16CC9A2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7" w:history="1">
            <w:r w:rsidR="0031067D" w:rsidRPr="004049D2">
              <w:rPr>
                <w:rStyle w:val="Hyperlink"/>
                <w:sz w:val="24"/>
                <w:szCs w:val="24"/>
                <w:lang w:eastAsia="en-GB"/>
              </w:rPr>
              <w:t>4.3.2 Construction of infliximab Fab gene fragment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110</w:t>
            </w:r>
            <w:r w:rsidR="0031067D" w:rsidRPr="004049D2">
              <w:rPr>
                <w:webHidden/>
                <w:sz w:val="24"/>
                <w:szCs w:val="24"/>
              </w:rPr>
              <w:fldChar w:fldCharType="end"/>
            </w:r>
          </w:hyperlink>
        </w:p>
        <w:p w14:paraId="49B250FF" w14:textId="7877A5C0"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18" w:history="1">
            <w:r w:rsidR="0031067D" w:rsidRPr="004049D2">
              <w:rPr>
                <w:rStyle w:val="Hyperlink"/>
                <w:sz w:val="24"/>
                <w:szCs w:val="24"/>
                <w:lang w:eastAsia="en-GB"/>
              </w:rPr>
              <w:t>4.3.3 DNA sequencing</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_Toc151020518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111</w:t>
            </w:r>
            <w:r w:rsidR="0031067D" w:rsidRPr="004049D2">
              <w:rPr>
                <w:webHidden/>
                <w:sz w:val="24"/>
                <w:szCs w:val="24"/>
              </w:rPr>
              <w:fldChar w:fldCharType="end"/>
            </w:r>
          </w:hyperlink>
        </w:p>
        <w:p w14:paraId="58DA34C8" w14:textId="7F07BF9B"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19" w:history="1">
            <w:r w:rsidR="0031067D" w:rsidRPr="004049D2">
              <w:rPr>
                <w:rStyle w:val="Hyperlink"/>
                <w:b w:val="0"/>
                <w:bCs w:val="0"/>
                <w:sz w:val="24"/>
                <w:szCs w:val="24"/>
              </w:rPr>
              <w:t>4.4 Discussion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_Toc151020519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113</w:t>
            </w:r>
            <w:r w:rsidR="0031067D" w:rsidRPr="004049D2">
              <w:rPr>
                <w:b w:val="0"/>
                <w:bCs w:val="0"/>
                <w:webHidden/>
                <w:sz w:val="24"/>
                <w:szCs w:val="24"/>
              </w:rPr>
              <w:fldChar w:fldCharType="end"/>
            </w:r>
          </w:hyperlink>
        </w:p>
        <w:p w14:paraId="4627B6F2" w14:textId="20C7D8F8"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20" w:history="1">
            <w:r w:rsidR="0031067D" w:rsidRPr="004049D2">
              <w:rPr>
                <w:rStyle w:val="Hyperlink"/>
                <w:sz w:val="24"/>
                <w:szCs w:val="24"/>
              </w:rPr>
              <w:t>Chapter 5: The identification of infliximab linear epitopes using an novel gene fragment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115</w:t>
            </w:r>
            <w:r w:rsidR="0031067D" w:rsidRPr="004049D2">
              <w:rPr>
                <w:webHidden/>
                <w:sz w:val="24"/>
                <w:szCs w:val="24"/>
              </w:rPr>
              <w:fldChar w:fldCharType="end"/>
            </w:r>
          </w:hyperlink>
        </w:p>
        <w:p w14:paraId="7CA23707" w14:textId="78CE305B"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21" w:history="1">
            <w:r w:rsidR="0031067D" w:rsidRPr="004049D2">
              <w:rPr>
                <w:rStyle w:val="Hyperlink"/>
                <w:b w:val="0"/>
                <w:bCs w:val="0"/>
                <w:sz w:val="24"/>
                <w:szCs w:val="24"/>
              </w:rPr>
              <w:t>5.1 Introduction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_Toc151020521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115</w:t>
            </w:r>
            <w:r w:rsidR="0031067D" w:rsidRPr="004049D2">
              <w:rPr>
                <w:b w:val="0"/>
                <w:bCs w:val="0"/>
                <w:webHidden/>
                <w:sz w:val="24"/>
                <w:szCs w:val="24"/>
              </w:rPr>
              <w:fldChar w:fldCharType="end"/>
            </w:r>
          </w:hyperlink>
        </w:p>
        <w:p w14:paraId="762614EE" w14:textId="11D28762"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22" w:history="1">
            <w:r w:rsidR="0031067D" w:rsidRPr="004049D2">
              <w:rPr>
                <w:rStyle w:val="Hyperlink"/>
                <w:b w:val="0"/>
                <w:bCs w:val="0"/>
                <w:sz w:val="24"/>
                <w:szCs w:val="24"/>
              </w:rPr>
              <w:t>5.2 Method</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_Toc151020522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116</w:t>
            </w:r>
            <w:r w:rsidR="0031067D" w:rsidRPr="004049D2">
              <w:rPr>
                <w:b w:val="0"/>
                <w:bCs w:val="0"/>
                <w:webHidden/>
                <w:sz w:val="24"/>
                <w:szCs w:val="24"/>
              </w:rPr>
              <w:fldChar w:fldCharType="end"/>
            </w:r>
          </w:hyperlink>
        </w:p>
        <w:p w14:paraId="2DFDE560" w14:textId="1C6F766D"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3" w:history="1">
            <w:r w:rsidR="0031067D" w:rsidRPr="004049D2">
              <w:rPr>
                <w:rStyle w:val="Hyperlink"/>
                <w:sz w:val="24"/>
                <w:szCs w:val="24"/>
              </w:rPr>
              <w:t>5.2.1 Patients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116</w:t>
            </w:r>
            <w:r w:rsidR="0031067D" w:rsidRPr="004049D2">
              <w:rPr>
                <w:webHidden/>
                <w:sz w:val="24"/>
                <w:szCs w:val="24"/>
              </w:rPr>
              <w:fldChar w:fldCharType="end"/>
            </w:r>
          </w:hyperlink>
        </w:p>
        <w:p w14:paraId="0055518C" w14:textId="2B7E7C0B"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4" w:history="1">
            <w:r w:rsidR="0031067D" w:rsidRPr="004049D2">
              <w:rPr>
                <w:rStyle w:val="Hyperlink"/>
                <w:sz w:val="24"/>
                <w:szCs w:val="24"/>
              </w:rPr>
              <w:t>5.2.2 Clinical assessment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118</w:t>
            </w:r>
            <w:r w:rsidR="0031067D" w:rsidRPr="004049D2">
              <w:rPr>
                <w:webHidden/>
                <w:sz w:val="24"/>
                <w:szCs w:val="24"/>
              </w:rPr>
              <w:fldChar w:fldCharType="end"/>
            </w:r>
          </w:hyperlink>
        </w:p>
        <w:p w14:paraId="642607C7" w14:textId="4421B56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5" w:history="1">
            <w:r w:rsidR="0031067D" w:rsidRPr="004049D2">
              <w:rPr>
                <w:rStyle w:val="Hyperlink"/>
                <w:sz w:val="24"/>
                <w:szCs w:val="24"/>
              </w:rPr>
              <w:t>5.2.3 TDM</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118</w:t>
            </w:r>
            <w:r w:rsidR="0031067D" w:rsidRPr="004049D2">
              <w:rPr>
                <w:webHidden/>
                <w:sz w:val="24"/>
                <w:szCs w:val="24"/>
              </w:rPr>
              <w:fldChar w:fldCharType="end"/>
            </w:r>
          </w:hyperlink>
        </w:p>
        <w:p w14:paraId="220545AC" w14:textId="2A3B8D5C"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6" w:history="1">
            <w:r w:rsidR="0031067D" w:rsidRPr="004049D2">
              <w:rPr>
                <w:rStyle w:val="Hyperlink"/>
                <w:sz w:val="24"/>
                <w:szCs w:val="24"/>
              </w:rPr>
              <w:t>5.2.4 Blood samples for epitope mapping</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118</w:t>
            </w:r>
            <w:r w:rsidR="0031067D" w:rsidRPr="004049D2">
              <w:rPr>
                <w:webHidden/>
                <w:sz w:val="24"/>
                <w:szCs w:val="24"/>
              </w:rPr>
              <w:fldChar w:fldCharType="end"/>
            </w:r>
          </w:hyperlink>
        </w:p>
        <w:p w14:paraId="3F4E9A52" w14:textId="53610279"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7" w:history="1">
            <w:r w:rsidR="0031067D" w:rsidRPr="004049D2">
              <w:rPr>
                <w:rStyle w:val="Hyperlink"/>
                <w:sz w:val="24"/>
                <w:szCs w:val="24"/>
              </w:rPr>
              <w:t>5.2.5 Study cohort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118</w:t>
            </w:r>
            <w:r w:rsidR="0031067D" w:rsidRPr="004049D2">
              <w:rPr>
                <w:webHidden/>
                <w:sz w:val="24"/>
                <w:szCs w:val="24"/>
              </w:rPr>
              <w:fldChar w:fldCharType="end"/>
            </w:r>
          </w:hyperlink>
        </w:p>
        <w:p w14:paraId="45831687" w14:textId="0FB39F03"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8" w:history="1">
            <w:r w:rsidR="0031067D" w:rsidRPr="004049D2">
              <w:rPr>
                <w:rStyle w:val="Hyperlink"/>
                <w:sz w:val="24"/>
                <w:szCs w:val="24"/>
              </w:rPr>
              <w:t>5.2.6 Construction of infliximab designer full gene fragment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120</w:t>
            </w:r>
            <w:r w:rsidR="0031067D" w:rsidRPr="004049D2">
              <w:rPr>
                <w:webHidden/>
                <w:sz w:val="24"/>
                <w:szCs w:val="24"/>
              </w:rPr>
              <w:fldChar w:fldCharType="end"/>
            </w:r>
          </w:hyperlink>
        </w:p>
        <w:p w14:paraId="5104119C" w14:textId="6E2FEC70"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29" w:history="1">
            <w:r w:rsidR="0031067D" w:rsidRPr="004049D2">
              <w:rPr>
                <w:rStyle w:val="Hyperlink"/>
                <w:sz w:val="24"/>
                <w:szCs w:val="24"/>
              </w:rPr>
              <w:t>5.2.7 Serological selection of infliximab phage display libraries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_Toc151020529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120</w:t>
            </w:r>
            <w:r w:rsidR="0031067D" w:rsidRPr="004049D2">
              <w:rPr>
                <w:webHidden/>
                <w:sz w:val="24"/>
                <w:szCs w:val="24"/>
              </w:rPr>
              <w:fldChar w:fldCharType="end"/>
            </w:r>
          </w:hyperlink>
        </w:p>
        <w:p w14:paraId="24245BF9" w14:textId="7DD8132F"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0" w:history="1">
            <w:r w:rsidR="0031067D" w:rsidRPr="004049D2">
              <w:rPr>
                <w:rStyle w:val="Hyperlink"/>
                <w:sz w:val="24"/>
                <w:szCs w:val="24"/>
                <w:lang w:eastAsia="en-GB"/>
              </w:rPr>
              <w:t xml:space="preserve">5.2.8 </w:t>
            </w:r>
            <w:r w:rsidR="0031067D" w:rsidRPr="004049D2">
              <w:rPr>
                <w:rStyle w:val="Hyperlink"/>
                <w:sz w:val="24"/>
                <w:szCs w:val="24"/>
              </w:rPr>
              <w:t>Analysis of Clones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_Toc151020530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122</w:t>
            </w:r>
            <w:r w:rsidR="0031067D" w:rsidRPr="004049D2">
              <w:rPr>
                <w:webHidden/>
                <w:sz w:val="24"/>
                <w:szCs w:val="24"/>
              </w:rPr>
              <w:fldChar w:fldCharType="end"/>
            </w:r>
          </w:hyperlink>
        </w:p>
        <w:p w14:paraId="21E9322E" w14:textId="7A1375A2"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1" w:history="1">
            <w:r w:rsidR="0031067D" w:rsidRPr="004049D2">
              <w:rPr>
                <w:rStyle w:val="Hyperlink"/>
                <w:sz w:val="24"/>
                <w:szCs w:val="24"/>
              </w:rPr>
              <w:t>5.2.9 Monoclonal phage ELISA</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122</w:t>
            </w:r>
            <w:r w:rsidR="0031067D" w:rsidRPr="004049D2">
              <w:rPr>
                <w:webHidden/>
                <w:sz w:val="24"/>
                <w:szCs w:val="24"/>
              </w:rPr>
              <w:fldChar w:fldCharType="end"/>
            </w:r>
          </w:hyperlink>
        </w:p>
        <w:p w14:paraId="0A36D692" w14:textId="7231457A"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32" w:history="1">
            <w:r w:rsidR="0031067D" w:rsidRPr="004049D2">
              <w:rPr>
                <w:rStyle w:val="Hyperlink"/>
                <w:b w:val="0"/>
                <w:bCs w:val="0"/>
                <w:sz w:val="24"/>
                <w:szCs w:val="24"/>
              </w:rPr>
              <w:t>5.3 Results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_Toc151020532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123</w:t>
            </w:r>
            <w:r w:rsidR="0031067D" w:rsidRPr="004049D2">
              <w:rPr>
                <w:b w:val="0"/>
                <w:bCs w:val="0"/>
                <w:webHidden/>
                <w:sz w:val="24"/>
                <w:szCs w:val="24"/>
              </w:rPr>
              <w:fldChar w:fldCharType="end"/>
            </w:r>
          </w:hyperlink>
        </w:p>
        <w:p w14:paraId="74D259EE" w14:textId="0BCD6DDA"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3" w:history="1">
            <w:r w:rsidR="0031067D" w:rsidRPr="004049D2">
              <w:rPr>
                <w:rStyle w:val="Hyperlink"/>
                <w:sz w:val="24"/>
                <w:szCs w:val="24"/>
              </w:rPr>
              <w:t>5.3.1 NGS of infliximab designer full gene fragment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123</w:t>
            </w:r>
            <w:r w:rsidR="0031067D" w:rsidRPr="004049D2">
              <w:rPr>
                <w:webHidden/>
                <w:sz w:val="24"/>
                <w:szCs w:val="24"/>
              </w:rPr>
              <w:fldChar w:fldCharType="end"/>
            </w:r>
          </w:hyperlink>
        </w:p>
        <w:p w14:paraId="44D0F6D2" w14:textId="60572D7B"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4" w:history="1">
            <w:r w:rsidR="0031067D" w:rsidRPr="004049D2">
              <w:rPr>
                <w:rStyle w:val="Hyperlink"/>
                <w:sz w:val="24"/>
                <w:szCs w:val="24"/>
              </w:rPr>
              <w:t>5.3.2 Mapping of infliximab epitopes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123</w:t>
            </w:r>
            <w:r w:rsidR="0031067D" w:rsidRPr="004049D2">
              <w:rPr>
                <w:webHidden/>
                <w:sz w:val="24"/>
                <w:szCs w:val="24"/>
              </w:rPr>
              <w:fldChar w:fldCharType="end"/>
            </w:r>
          </w:hyperlink>
        </w:p>
        <w:p w14:paraId="1F99BDC4" w14:textId="03B94ABF"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5" w:history="1">
            <w:r w:rsidR="0031067D" w:rsidRPr="004049D2">
              <w:rPr>
                <w:rStyle w:val="Hyperlink"/>
                <w:sz w:val="24"/>
                <w:szCs w:val="24"/>
              </w:rPr>
              <w:t>5.3.3 Monoclonal phage ELISA</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126</w:t>
            </w:r>
            <w:r w:rsidR="0031067D" w:rsidRPr="004049D2">
              <w:rPr>
                <w:webHidden/>
                <w:sz w:val="24"/>
                <w:szCs w:val="24"/>
              </w:rPr>
              <w:fldChar w:fldCharType="end"/>
            </w:r>
          </w:hyperlink>
        </w:p>
        <w:p w14:paraId="6811DC1F" w14:textId="48E70EB5"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36" w:history="1">
            <w:r w:rsidR="0031067D" w:rsidRPr="004049D2">
              <w:rPr>
                <w:rStyle w:val="Hyperlink"/>
                <w:sz w:val="24"/>
                <w:szCs w:val="24"/>
              </w:rPr>
              <w:t>5.3.4 Comparison to the literature</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128</w:t>
            </w:r>
            <w:r w:rsidR="0031067D" w:rsidRPr="004049D2">
              <w:rPr>
                <w:webHidden/>
                <w:sz w:val="24"/>
                <w:szCs w:val="24"/>
              </w:rPr>
              <w:fldChar w:fldCharType="end"/>
            </w:r>
          </w:hyperlink>
        </w:p>
        <w:p w14:paraId="10367BE3" w14:textId="571FCA2C"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37" w:history="1">
            <w:r w:rsidR="0031067D" w:rsidRPr="004049D2">
              <w:rPr>
                <w:rStyle w:val="Hyperlink"/>
                <w:b w:val="0"/>
                <w:bCs w:val="0"/>
                <w:sz w:val="24"/>
                <w:szCs w:val="24"/>
              </w:rPr>
              <w:t>5.4 Discussion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_Toc151020537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130</w:t>
            </w:r>
            <w:r w:rsidR="0031067D" w:rsidRPr="004049D2">
              <w:rPr>
                <w:b w:val="0"/>
                <w:bCs w:val="0"/>
                <w:webHidden/>
                <w:sz w:val="24"/>
                <w:szCs w:val="24"/>
              </w:rPr>
              <w:fldChar w:fldCharType="end"/>
            </w:r>
          </w:hyperlink>
        </w:p>
        <w:p w14:paraId="153B7927" w14:textId="4A426A46"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38" w:history="1">
            <w:r w:rsidR="0031067D" w:rsidRPr="004049D2">
              <w:rPr>
                <w:rStyle w:val="Hyperlink"/>
                <w:sz w:val="24"/>
                <w:szCs w:val="24"/>
              </w:rPr>
              <w:t>Chapter 6: The identification of infliximab conformational epitopes using a random peptide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_Toc151020538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134</w:t>
            </w:r>
            <w:r w:rsidR="0031067D" w:rsidRPr="004049D2">
              <w:rPr>
                <w:webHidden/>
                <w:sz w:val="24"/>
                <w:szCs w:val="24"/>
              </w:rPr>
              <w:fldChar w:fldCharType="end"/>
            </w:r>
          </w:hyperlink>
        </w:p>
        <w:p w14:paraId="25A37DCC" w14:textId="58ADE6A3"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39" w:history="1">
            <w:r w:rsidR="0031067D" w:rsidRPr="004049D2">
              <w:rPr>
                <w:rStyle w:val="Hyperlink"/>
                <w:b w:val="0"/>
                <w:bCs w:val="0"/>
                <w:sz w:val="24"/>
                <w:szCs w:val="24"/>
              </w:rPr>
              <w:t>6.1 Introduction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_Toc151020539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134</w:t>
            </w:r>
            <w:r w:rsidR="0031067D" w:rsidRPr="004049D2">
              <w:rPr>
                <w:b w:val="0"/>
                <w:bCs w:val="0"/>
                <w:webHidden/>
                <w:sz w:val="24"/>
                <w:szCs w:val="24"/>
              </w:rPr>
              <w:fldChar w:fldCharType="end"/>
            </w:r>
          </w:hyperlink>
        </w:p>
        <w:p w14:paraId="0C1DD088" w14:textId="332114AD"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40" w:history="1">
            <w:r w:rsidR="0031067D" w:rsidRPr="004049D2">
              <w:rPr>
                <w:rStyle w:val="Hyperlink"/>
                <w:b w:val="0"/>
                <w:bCs w:val="0"/>
                <w:sz w:val="24"/>
                <w:szCs w:val="24"/>
              </w:rPr>
              <w:t>6.2 Method</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_Toc151020540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135</w:t>
            </w:r>
            <w:r w:rsidR="0031067D" w:rsidRPr="004049D2">
              <w:rPr>
                <w:b w:val="0"/>
                <w:bCs w:val="0"/>
                <w:webHidden/>
                <w:sz w:val="24"/>
                <w:szCs w:val="24"/>
              </w:rPr>
              <w:fldChar w:fldCharType="end"/>
            </w:r>
          </w:hyperlink>
        </w:p>
        <w:p w14:paraId="6ED5A794" w14:textId="46A4FCFF"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1" w:history="1">
            <w:r w:rsidR="0031067D" w:rsidRPr="004049D2">
              <w:rPr>
                <w:rStyle w:val="Hyperlink"/>
                <w:sz w:val="24"/>
                <w:szCs w:val="24"/>
              </w:rPr>
              <w:t>6.2.1 Patients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135</w:t>
            </w:r>
            <w:r w:rsidR="0031067D" w:rsidRPr="004049D2">
              <w:rPr>
                <w:webHidden/>
                <w:sz w:val="24"/>
                <w:szCs w:val="24"/>
              </w:rPr>
              <w:fldChar w:fldCharType="end"/>
            </w:r>
          </w:hyperlink>
        </w:p>
        <w:p w14:paraId="158ABF1F" w14:textId="49E4B14F"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2" w:history="1">
            <w:r w:rsidR="0031067D" w:rsidRPr="004049D2">
              <w:rPr>
                <w:rStyle w:val="Hyperlink"/>
                <w:sz w:val="24"/>
                <w:szCs w:val="24"/>
              </w:rPr>
              <w:t>6.2.2 Clinical assessment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135</w:t>
            </w:r>
            <w:r w:rsidR="0031067D" w:rsidRPr="004049D2">
              <w:rPr>
                <w:webHidden/>
                <w:sz w:val="24"/>
                <w:szCs w:val="24"/>
              </w:rPr>
              <w:fldChar w:fldCharType="end"/>
            </w:r>
          </w:hyperlink>
        </w:p>
        <w:p w14:paraId="06D2C089" w14:textId="2638AC64"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3" w:history="1">
            <w:r w:rsidR="0031067D" w:rsidRPr="004049D2">
              <w:rPr>
                <w:rStyle w:val="Hyperlink"/>
                <w:sz w:val="24"/>
                <w:szCs w:val="24"/>
              </w:rPr>
              <w:t>6.2.3 TDM</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135</w:t>
            </w:r>
            <w:r w:rsidR="0031067D" w:rsidRPr="004049D2">
              <w:rPr>
                <w:webHidden/>
                <w:sz w:val="24"/>
                <w:szCs w:val="24"/>
              </w:rPr>
              <w:fldChar w:fldCharType="end"/>
            </w:r>
          </w:hyperlink>
        </w:p>
        <w:p w14:paraId="5E310B0E" w14:textId="3FE2FF5E"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4" w:history="1">
            <w:r w:rsidR="0031067D" w:rsidRPr="004049D2">
              <w:rPr>
                <w:rStyle w:val="Hyperlink"/>
                <w:sz w:val="24"/>
                <w:szCs w:val="24"/>
              </w:rPr>
              <w:t>6.2.4 Blood samples for epitope mapping</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_Toc151020544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135</w:t>
            </w:r>
            <w:r w:rsidR="0031067D" w:rsidRPr="004049D2">
              <w:rPr>
                <w:webHidden/>
                <w:sz w:val="24"/>
                <w:szCs w:val="24"/>
              </w:rPr>
              <w:fldChar w:fldCharType="end"/>
            </w:r>
          </w:hyperlink>
        </w:p>
        <w:p w14:paraId="1A81F646" w14:textId="5B5E5824"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5" w:history="1">
            <w:r w:rsidR="0031067D" w:rsidRPr="004049D2">
              <w:rPr>
                <w:rStyle w:val="Hyperlink"/>
                <w:sz w:val="24"/>
                <w:szCs w:val="24"/>
              </w:rPr>
              <w:t>6.2.5 Study cohort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136</w:t>
            </w:r>
            <w:r w:rsidR="0031067D" w:rsidRPr="004049D2">
              <w:rPr>
                <w:webHidden/>
                <w:sz w:val="24"/>
                <w:szCs w:val="24"/>
              </w:rPr>
              <w:fldChar w:fldCharType="end"/>
            </w:r>
          </w:hyperlink>
        </w:p>
        <w:p w14:paraId="06D19B46" w14:textId="1B24D1E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6" w:history="1">
            <w:r w:rsidR="0031067D" w:rsidRPr="004049D2">
              <w:rPr>
                <w:rStyle w:val="Hyperlink"/>
                <w:sz w:val="24"/>
                <w:szCs w:val="24"/>
              </w:rPr>
              <w:t>6.2.6 Random peptide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136</w:t>
            </w:r>
            <w:r w:rsidR="0031067D" w:rsidRPr="004049D2">
              <w:rPr>
                <w:webHidden/>
                <w:sz w:val="24"/>
                <w:szCs w:val="24"/>
              </w:rPr>
              <w:fldChar w:fldCharType="end"/>
            </w:r>
          </w:hyperlink>
        </w:p>
        <w:p w14:paraId="323E769E" w14:textId="675FEBAE"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7" w:history="1">
            <w:r w:rsidR="0031067D" w:rsidRPr="004049D2">
              <w:rPr>
                <w:rStyle w:val="Hyperlink"/>
                <w:sz w:val="24"/>
                <w:szCs w:val="24"/>
              </w:rPr>
              <w:t>6.2.7 Selection of the RPL using in solution method with Protein A Dynabeads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136</w:t>
            </w:r>
            <w:r w:rsidR="0031067D" w:rsidRPr="004049D2">
              <w:rPr>
                <w:webHidden/>
                <w:sz w:val="24"/>
                <w:szCs w:val="24"/>
              </w:rPr>
              <w:fldChar w:fldCharType="end"/>
            </w:r>
          </w:hyperlink>
        </w:p>
        <w:p w14:paraId="215948FE" w14:textId="6C33F922"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8" w:history="1">
            <w:r w:rsidR="0031067D" w:rsidRPr="004049D2">
              <w:rPr>
                <w:rStyle w:val="Hyperlink"/>
                <w:sz w:val="24"/>
                <w:szCs w:val="24"/>
                <w:lang w:eastAsia="en-GB"/>
              </w:rPr>
              <w:t xml:space="preserve">6.2.8 </w:t>
            </w:r>
            <w:r w:rsidR="0031067D" w:rsidRPr="004049D2">
              <w:rPr>
                <w:rStyle w:val="Hyperlink"/>
                <w:sz w:val="24"/>
                <w:szCs w:val="24"/>
              </w:rPr>
              <w:t>Analysis of selected phage clones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140</w:t>
            </w:r>
            <w:r w:rsidR="0031067D" w:rsidRPr="004049D2">
              <w:rPr>
                <w:webHidden/>
                <w:sz w:val="24"/>
                <w:szCs w:val="24"/>
              </w:rPr>
              <w:fldChar w:fldCharType="end"/>
            </w:r>
          </w:hyperlink>
        </w:p>
        <w:p w14:paraId="7951F796" w14:textId="768C4B68"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49" w:history="1">
            <w:r w:rsidR="0031067D" w:rsidRPr="004049D2">
              <w:rPr>
                <w:rStyle w:val="Hyperlink"/>
                <w:sz w:val="24"/>
                <w:szCs w:val="24"/>
              </w:rPr>
              <w:t>6.2.9 Monoclonal phage ELISA</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_Toc151020549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140</w:t>
            </w:r>
            <w:r w:rsidR="0031067D" w:rsidRPr="004049D2">
              <w:rPr>
                <w:webHidden/>
                <w:sz w:val="24"/>
                <w:szCs w:val="24"/>
              </w:rPr>
              <w:fldChar w:fldCharType="end"/>
            </w:r>
          </w:hyperlink>
        </w:p>
        <w:p w14:paraId="589421FD" w14:textId="634E6A94"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50" w:history="1">
            <w:r w:rsidR="0031067D" w:rsidRPr="004049D2">
              <w:rPr>
                <w:rStyle w:val="Hyperlink"/>
                <w:b w:val="0"/>
                <w:bCs w:val="0"/>
                <w:sz w:val="24"/>
                <w:szCs w:val="24"/>
              </w:rPr>
              <w:t>6.3 Results</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_Toc151020550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142</w:t>
            </w:r>
            <w:r w:rsidR="0031067D" w:rsidRPr="004049D2">
              <w:rPr>
                <w:b w:val="0"/>
                <w:bCs w:val="0"/>
                <w:webHidden/>
                <w:sz w:val="24"/>
                <w:szCs w:val="24"/>
              </w:rPr>
              <w:fldChar w:fldCharType="end"/>
            </w:r>
          </w:hyperlink>
        </w:p>
        <w:p w14:paraId="45E8C159" w14:textId="7B1CC8E6"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51" w:history="1">
            <w:r w:rsidR="0031067D" w:rsidRPr="004049D2">
              <w:rPr>
                <w:rStyle w:val="Hyperlink"/>
                <w:sz w:val="24"/>
                <w:szCs w:val="24"/>
              </w:rPr>
              <w:t>6.3.1 Selection of random peptide phage display library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_Toc151020551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142</w:t>
            </w:r>
            <w:r w:rsidR="0031067D" w:rsidRPr="004049D2">
              <w:rPr>
                <w:webHidden/>
                <w:sz w:val="24"/>
                <w:szCs w:val="24"/>
              </w:rPr>
              <w:fldChar w:fldCharType="end"/>
            </w:r>
          </w:hyperlink>
        </w:p>
        <w:p w14:paraId="0D4E5664" w14:textId="5E5244A7"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52" w:history="1">
            <w:r w:rsidR="0031067D" w:rsidRPr="004049D2">
              <w:rPr>
                <w:rStyle w:val="Hyperlink"/>
                <w:sz w:val="24"/>
                <w:szCs w:val="24"/>
              </w:rPr>
              <w:t>6.3.2 Epitope mapping of selected peptides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_Toc151020552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144</w:t>
            </w:r>
            <w:r w:rsidR="0031067D" w:rsidRPr="004049D2">
              <w:rPr>
                <w:webHidden/>
                <w:sz w:val="24"/>
                <w:szCs w:val="24"/>
              </w:rPr>
              <w:fldChar w:fldCharType="end"/>
            </w:r>
          </w:hyperlink>
        </w:p>
        <w:p w14:paraId="1154F2C1" w14:textId="4F243CE1" w:rsidR="0031067D" w:rsidRPr="004049D2" w:rsidRDefault="00000000" w:rsidP="0046238D">
          <w:pPr>
            <w:pStyle w:val="TOC3"/>
            <w:spacing w:line="240" w:lineRule="auto"/>
            <w:rPr>
              <w:rFonts w:asciiTheme="minorHAnsi" w:hAnsiTheme="minorHAnsi" w:cstheme="minorBidi"/>
              <w:kern w:val="2"/>
              <w:sz w:val="24"/>
              <w:szCs w:val="24"/>
              <w:lang w:eastAsia="en-GB"/>
              <w14:ligatures w14:val="standardContextual"/>
            </w:rPr>
          </w:pPr>
          <w:hyperlink w:anchor="_Toc151020553" w:history="1">
            <w:r w:rsidR="0031067D" w:rsidRPr="004049D2">
              <w:rPr>
                <w:rStyle w:val="Hyperlink"/>
                <w:sz w:val="24"/>
                <w:szCs w:val="24"/>
              </w:rPr>
              <w:t>6.3.3 Phage ELISA</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_Toc151020553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147</w:t>
            </w:r>
            <w:r w:rsidR="0031067D" w:rsidRPr="004049D2">
              <w:rPr>
                <w:webHidden/>
                <w:sz w:val="24"/>
                <w:szCs w:val="24"/>
              </w:rPr>
              <w:fldChar w:fldCharType="end"/>
            </w:r>
          </w:hyperlink>
        </w:p>
        <w:p w14:paraId="02F180FA" w14:textId="1D8F80BA" w:rsidR="0031067D" w:rsidRPr="004049D2" w:rsidRDefault="00000000" w:rsidP="0046238D">
          <w:pPr>
            <w:pStyle w:val="TOC2"/>
            <w:spacing w:line="240" w:lineRule="auto"/>
            <w:rPr>
              <w:rFonts w:asciiTheme="minorHAnsi" w:eastAsiaTheme="minorEastAsia" w:hAnsiTheme="minorHAnsi" w:cstheme="minorBidi"/>
              <w:b w:val="0"/>
              <w:bCs w:val="0"/>
              <w:kern w:val="2"/>
              <w:sz w:val="24"/>
              <w:szCs w:val="24"/>
              <w:lang w:eastAsia="en-GB"/>
              <w14:ligatures w14:val="standardContextual"/>
            </w:rPr>
          </w:pPr>
          <w:hyperlink w:anchor="_Toc151020554" w:history="1">
            <w:r w:rsidR="0031067D" w:rsidRPr="004049D2">
              <w:rPr>
                <w:rStyle w:val="Hyperlink"/>
                <w:b w:val="0"/>
                <w:bCs w:val="0"/>
                <w:sz w:val="24"/>
                <w:szCs w:val="24"/>
              </w:rPr>
              <w:t>6.4 Discussion</w:t>
            </w:r>
            <w:r w:rsidR="0031067D" w:rsidRPr="004049D2">
              <w:rPr>
                <w:b w:val="0"/>
                <w:bCs w:val="0"/>
                <w:webHidden/>
                <w:sz w:val="24"/>
                <w:szCs w:val="24"/>
              </w:rPr>
              <w:tab/>
            </w:r>
            <w:r w:rsidR="0031067D" w:rsidRPr="004049D2">
              <w:rPr>
                <w:b w:val="0"/>
                <w:bCs w:val="0"/>
                <w:webHidden/>
                <w:sz w:val="24"/>
                <w:szCs w:val="24"/>
              </w:rPr>
              <w:fldChar w:fldCharType="begin"/>
            </w:r>
            <w:r w:rsidR="0031067D" w:rsidRPr="004049D2">
              <w:rPr>
                <w:b w:val="0"/>
                <w:bCs w:val="0"/>
                <w:webHidden/>
                <w:sz w:val="24"/>
                <w:szCs w:val="24"/>
              </w:rPr>
              <w:instrText xml:space="preserve"> PAGEREF _Toc151020554 \h </w:instrText>
            </w:r>
            <w:r w:rsidR="0031067D" w:rsidRPr="004049D2">
              <w:rPr>
                <w:b w:val="0"/>
                <w:bCs w:val="0"/>
                <w:webHidden/>
                <w:sz w:val="24"/>
                <w:szCs w:val="24"/>
              </w:rPr>
            </w:r>
            <w:r w:rsidR="0031067D" w:rsidRPr="004049D2">
              <w:rPr>
                <w:b w:val="0"/>
                <w:bCs w:val="0"/>
                <w:webHidden/>
                <w:sz w:val="24"/>
                <w:szCs w:val="24"/>
              </w:rPr>
              <w:fldChar w:fldCharType="separate"/>
            </w:r>
            <w:r w:rsidR="0031067D" w:rsidRPr="004049D2">
              <w:rPr>
                <w:b w:val="0"/>
                <w:bCs w:val="0"/>
                <w:webHidden/>
                <w:sz w:val="24"/>
                <w:szCs w:val="24"/>
              </w:rPr>
              <w:t>150</w:t>
            </w:r>
            <w:r w:rsidR="0031067D" w:rsidRPr="004049D2">
              <w:rPr>
                <w:b w:val="0"/>
                <w:bCs w:val="0"/>
                <w:webHidden/>
                <w:sz w:val="24"/>
                <w:szCs w:val="24"/>
              </w:rPr>
              <w:fldChar w:fldCharType="end"/>
            </w:r>
          </w:hyperlink>
        </w:p>
        <w:p w14:paraId="05EDA667" w14:textId="26F78976"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55" w:history="1">
            <w:r w:rsidR="0031067D" w:rsidRPr="004049D2">
              <w:rPr>
                <w:rStyle w:val="Hyperlink"/>
                <w:sz w:val="24"/>
                <w:szCs w:val="24"/>
              </w:rPr>
              <w:t>Chapter 7: Summary, final Discussion and future directions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_Toc151020555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153</w:t>
            </w:r>
            <w:r w:rsidR="0031067D" w:rsidRPr="004049D2">
              <w:rPr>
                <w:webHidden/>
                <w:sz w:val="24"/>
                <w:szCs w:val="24"/>
              </w:rPr>
              <w:fldChar w:fldCharType="end"/>
            </w:r>
          </w:hyperlink>
        </w:p>
        <w:p w14:paraId="09157E03" w14:textId="6E2960B7"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56" w:history="1">
            <w:r w:rsidR="0031067D" w:rsidRPr="004049D2">
              <w:rPr>
                <w:rStyle w:val="Hyperlink"/>
                <w:sz w:val="24"/>
                <w:szCs w:val="24"/>
              </w:rPr>
              <w:t>Bibliography</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_Toc151020556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158</w:t>
            </w:r>
            <w:r w:rsidR="0031067D" w:rsidRPr="004049D2">
              <w:rPr>
                <w:webHidden/>
                <w:sz w:val="24"/>
                <w:szCs w:val="24"/>
              </w:rPr>
              <w:fldChar w:fldCharType="end"/>
            </w:r>
          </w:hyperlink>
        </w:p>
        <w:p w14:paraId="188FF33A" w14:textId="53375CEB"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57" w:history="1">
            <w:r w:rsidR="0031067D" w:rsidRPr="004049D2">
              <w:rPr>
                <w:rStyle w:val="Hyperlink"/>
                <w:sz w:val="24"/>
                <w:szCs w:val="24"/>
              </w:rPr>
              <w:t>Appendix 1: Publications and presentations</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_Toc151020557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171</w:t>
            </w:r>
            <w:r w:rsidR="0031067D" w:rsidRPr="004049D2">
              <w:rPr>
                <w:webHidden/>
                <w:sz w:val="24"/>
                <w:szCs w:val="24"/>
              </w:rPr>
              <w:fldChar w:fldCharType="end"/>
            </w:r>
          </w:hyperlink>
        </w:p>
        <w:p w14:paraId="6572C0DA" w14:textId="4FB0D871"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58" w:history="1">
            <w:r w:rsidR="0031067D" w:rsidRPr="004049D2">
              <w:rPr>
                <w:rStyle w:val="Hyperlink"/>
                <w:sz w:val="24"/>
                <w:szCs w:val="24"/>
              </w:rPr>
              <w:t>Appendix 2: Patient information leaflet</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_Toc151020558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175</w:t>
            </w:r>
            <w:r w:rsidR="0031067D" w:rsidRPr="004049D2">
              <w:rPr>
                <w:webHidden/>
                <w:sz w:val="24"/>
                <w:szCs w:val="24"/>
              </w:rPr>
              <w:fldChar w:fldCharType="end"/>
            </w:r>
          </w:hyperlink>
        </w:p>
        <w:p w14:paraId="7E5D5AC3" w14:textId="6DD85F83" w:rsidR="0031067D" w:rsidRPr="004049D2" w:rsidRDefault="00000000" w:rsidP="0046238D">
          <w:pPr>
            <w:pStyle w:val="TOC1"/>
            <w:spacing w:line="240" w:lineRule="auto"/>
            <w:rPr>
              <w:rFonts w:asciiTheme="minorHAnsi" w:hAnsiTheme="minorHAnsi" w:cstheme="minorBidi"/>
              <w:kern w:val="2"/>
              <w:sz w:val="24"/>
              <w:szCs w:val="24"/>
              <w:lang w:eastAsia="en-GB"/>
              <w14:ligatures w14:val="standardContextual"/>
            </w:rPr>
          </w:pPr>
          <w:hyperlink w:anchor="_Toc151020559" w:history="1">
            <w:r w:rsidR="0031067D" w:rsidRPr="004049D2">
              <w:rPr>
                <w:rStyle w:val="Hyperlink"/>
                <w:sz w:val="24"/>
                <w:szCs w:val="24"/>
              </w:rPr>
              <w:t>Appendix 3: Consent form</w:t>
            </w:r>
            <w:r w:rsidR="0031067D" w:rsidRPr="004049D2">
              <w:rPr>
                <w:webHidden/>
                <w:sz w:val="24"/>
                <w:szCs w:val="24"/>
              </w:rPr>
              <w:tab/>
            </w:r>
            <w:r w:rsidR="0031067D" w:rsidRPr="004049D2">
              <w:rPr>
                <w:webHidden/>
                <w:sz w:val="24"/>
                <w:szCs w:val="24"/>
              </w:rPr>
              <w:fldChar w:fldCharType="begin"/>
            </w:r>
            <w:r w:rsidR="0031067D" w:rsidRPr="004049D2">
              <w:rPr>
                <w:webHidden/>
                <w:sz w:val="24"/>
                <w:szCs w:val="24"/>
              </w:rPr>
              <w:instrText xml:space="preserve"> PAGEREF _Toc151020559 \h </w:instrText>
            </w:r>
            <w:r w:rsidR="0031067D" w:rsidRPr="004049D2">
              <w:rPr>
                <w:webHidden/>
                <w:sz w:val="24"/>
                <w:szCs w:val="24"/>
              </w:rPr>
            </w:r>
            <w:r w:rsidR="0031067D" w:rsidRPr="004049D2">
              <w:rPr>
                <w:webHidden/>
                <w:sz w:val="24"/>
                <w:szCs w:val="24"/>
              </w:rPr>
              <w:fldChar w:fldCharType="separate"/>
            </w:r>
            <w:r w:rsidR="0031067D" w:rsidRPr="004049D2">
              <w:rPr>
                <w:webHidden/>
                <w:sz w:val="24"/>
                <w:szCs w:val="24"/>
              </w:rPr>
              <w:t>178</w:t>
            </w:r>
            <w:r w:rsidR="0031067D" w:rsidRPr="004049D2">
              <w:rPr>
                <w:webHidden/>
                <w:sz w:val="24"/>
                <w:szCs w:val="24"/>
              </w:rPr>
              <w:fldChar w:fldCharType="end"/>
            </w:r>
          </w:hyperlink>
        </w:p>
        <w:p w14:paraId="2CAECC4E" w14:textId="5E6FD66F" w:rsidR="00BD7F6C" w:rsidRPr="004049D2" w:rsidRDefault="00E25112" w:rsidP="0046238D">
          <w:pPr>
            <w:tabs>
              <w:tab w:val="center" w:pos="4513"/>
            </w:tabs>
            <w:spacing w:line="240" w:lineRule="auto"/>
            <w:rPr>
              <w:rFonts w:ascii="Times New Roman" w:hAnsi="Times New Roman" w:cs="Times New Roman"/>
              <w:noProof/>
              <w:sz w:val="24"/>
              <w:szCs w:val="24"/>
            </w:rPr>
          </w:pPr>
          <w:r w:rsidRPr="004049D2">
            <w:rPr>
              <w:rFonts w:ascii="Times New Roman" w:hAnsi="Times New Roman" w:cs="Times New Roman"/>
              <w:noProof/>
              <w:sz w:val="24"/>
              <w:szCs w:val="24"/>
            </w:rPr>
            <w:fldChar w:fldCharType="end"/>
          </w:r>
        </w:p>
      </w:sdtContent>
    </w:sdt>
    <w:p w14:paraId="32335E59" w14:textId="77777777" w:rsidR="0057101A" w:rsidRPr="004049D2" w:rsidRDefault="0057101A" w:rsidP="0046238D">
      <w:pPr>
        <w:pStyle w:val="Heading1"/>
        <w:spacing w:line="240" w:lineRule="auto"/>
        <w:rPr>
          <w:rFonts w:ascii="Times New Roman" w:hAnsi="Times New Roman" w:cs="Times New Roman"/>
          <w:b w:val="0"/>
          <w:bCs w:val="0"/>
          <w:sz w:val="24"/>
          <w:szCs w:val="24"/>
        </w:rPr>
      </w:pPr>
    </w:p>
    <w:p w14:paraId="6529C02B" w14:textId="77777777" w:rsidR="00191989" w:rsidRPr="004049D2" w:rsidRDefault="00191989" w:rsidP="0046238D">
      <w:pPr>
        <w:spacing w:line="240" w:lineRule="auto"/>
        <w:rPr>
          <w:rFonts w:ascii="Times New Roman" w:hAnsi="Times New Roman" w:cs="Times New Roman"/>
          <w:b/>
          <w:bCs/>
          <w:sz w:val="24"/>
          <w:szCs w:val="24"/>
        </w:rPr>
      </w:pPr>
    </w:p>
    <w:p w14:paraId="441B3B14" w14:textId="77777777" w:rsidR="004049D2" w:rsidRPr="004049D2" w:rsidRDefault="004049D2" w:rsidP="0046238D">
      <w:pPr>
        <w:spacing w:line="240" w:lineRule="auto"/>
        <w:rPr>
          <w:rFonts w:ascii="Times New Roman" w:hAnsi="Times New Roman" w:cs="Times New Roman"/>
          <w:b/>
          <w:bCs/>
          <w:sz w:val="24"/>
          <w:szCs w:val="24"/>
        </w:rPr>
      </w:pPr>
    </w:p>
    <w:p w14:paraId="38EB137D" w14:textId="77777777" w:rsidR="004049D2" w:rsidRDefault="004049D2" w:rsidP="0046238D">
      <w:pPr>
        <w:spacing w:line="240" w:lineRule="auto"/>
        <w:rPr>
          <w:rFonts w:ascii="Times New Roman" w:hAnsi="Times New Roman" w:cs="Times New Roman"/>
          <w:b/>
          <w:bCs/>
          <w:sz w:val="24"/>
          <w:szCs w:val="24"/>
        </w:rPr>
      </w:pPr>
    </w:p>
    <w:p w14:paraId="3A6DD499" w14:textId="77777777" w:rsidR="0046238D" w:rsidRDefault="0046238D" w:rsidP="0046238D">
      <w:pPr>
        <w:spacing w:line="240" w:lineRule="auto"/>
        <w:rPr>
          <w:rFonts w:ascii="Times New Roman" w:hAnsi="Times New Roman" w:cs="Times New Roman"/>
          <w:b/>
          <w:bCs/>
          <w:sz w:val="24"/>
          <w:szCs w:val="24"/>
        </w:rPr>
      </w:pPr>
    </w:p>
    <w:p w14:paraId="60E4E015" w14:textId="77777777" w:rsidR="0046238D" w:rsidRDefault="0046238D" w:rsidP="0046238D">
      <w:pPr>
        <w:spacing w:line="240" w:lineRule="auto"/>
        <w:rPr>
          <w:rFonts w:ascii="Times New Roman" w:hAnsi="Times New Roman" w:cs="Times New Roman"/>
          <w:b/>
          <w:bCs/>
          <w:sz w:val="24"/>
          <w:szCs w:val="24"/>
        </w:rPr>
      </w:pPr>
    </w:p>
    <w:p w14:paraId="53A061E2" w14:textId="77777777" w:rsidR="0046238D" w:rsidRDefault="0046238D" w:rsidP="0046238D">
      <w:pPr>
        <w:spacing w:line="240" w:lineRule="auto"/>
        <w:rPr>
          <w:rFonts w:ascii="Times New Roman" w:hAnsi="Times New Roman" w:cs="Times New Roman"/>
          <w:b/>
          <w:bCs/>
          <w:sz w:val="24"/>
          <w:szCs w:val="24"/>
        </w:rPr>
      </w:pPr>
    </w:p>
    <w:p w14:paraId="738F1FCA" w14:textId="77777777" w:rsidR="0046238D" w:rsidRDefault="0046238D" w:rsidP="0046238D">
      <w:pPr>
        <w:spacing w:line="240" w:lineRule="auto"/>
        <w:rPr>
          <w:rFonts w:ascii="Times New Roman" w:hAnsi="Times New Roman" w:cs="Times New Roman"/>
          <w:b/>
          <w:bCs/>
          <w:sz w:val="24"/>
          <w:szCs w:val="24"/>
        </w:rPr>
      </w:pPr>
    </w:p>
    <w:p w14:paraId="6001AD80" w14:textId="77777777" w:rsidR="0046238D" w:rsidRDefault="0046238D" w:rsidP="0046238D">
      <w:pPr>
        <w:spacing w:line="240" w:lineRule="auto"/>
        <w:rPr>
          <w:rFonts w:ascii="Times New Roman" w:hAnsi="Times New Roman" w:cs="Times New Roman"/>
          <w:b/>
          <w:bCs/>
          <w:sz w:val="24"/>
          <w:szCs w:val="24"/>
        </w:rPr>
      </w:pPr>
    </w:p>
    <w:p w14:paraId="1FC1E404" w14:textId="77777777" w:rsidR="0046238D" w:rsidRDefault="0046238D" w:rsidP="0046238D">
      <w:pPr>
        <w:spacing w:line="240" w:lineRule="auto"/>
        <w:rPr>
          <w:rFonts w:ascii="Times New Roman" w:hAnsi="Times New Roman" w:cs="Times New Roman"/>
          <w:b/>
          <w:bCs/>
          <w:sz w:val="24"/>
          <w:szCs w:val="24"/>
        </w:rPr>
      </w:pPr>
    </w:p>
    <w:p w14:paraId="69C671CB" w14:textId="77777777" w:rsidR="0046238D" w:rsidRDefault="0046238D" w:rsidP="0046238D">
      <w:pPr>
        <w:spacing w:line="240" w:lineRule="auto"/>
        <w:rPr>
          <w:rFonts w:ascii="Times New Roman" w:hAnsi="Times New Roman" w:cs="Times New Roman"/>
          <w:b/>
          <w:bCs/>
          <w:sz w:val="24"/>
          <w:szCs w:val="24"/>
        </w:rPr>
      </w:pPr>
    </w:p>
    <w:p w14:paraId="3C1A7425" w14:textId="77777777" w:rsidR="0046238D" w:rsidRDefault="0046238D" w:rsidP="0046238D">
      <w:pPr>
        <w:spacing w:line="240" w:lineRule="auto"/>
        <w:rPr>
          <w:rFonts w:ascii="Times New Roman" w:hAnsi="Times New Roman" w:cs="Times New Roman"/>
          <w:b/>
          <w:bCs/>
          <w:sz w:val="24"/>
          <w:szCs w:val="24"/>
        </w:rPr>
      </w:pPr>
    </w:p>
    <w:p w14:paraId="0B7B1EB1" w14:textId="77777777" w:rsidR="0046238D" w:rsidRDefault="0046238D" w:rsidP="0046238D">
      <w:pPr>
        <w:spacing w:line="240" w:lineRule="auto"/>
        <w:rPr>
          <w:rFonts w:ascii="Times New Roman" w:hAnsi="Times New Roman" w:cs="Times New Roman"/>
          <w:b/>
          <w:bCs/>
          <w:sz w:val="24"/>
          <w:szCs w:val="24"/>
        </w:rPr>
      </w:pPr>
    </w:p>
    <w:p w14:paraId="25BCF224" w14:textId="77777777" w:rsidR="0046238D" w:rsidRDefault="0046238D" w:rsidP="0046238D">
      <w:pPr>
        <w:spacing w:line="240" w:lineRule="auto"/>
        <w:rPr>
          <w:rFonts w:ascii="Times New Roman" w:hAnsi="Times New Roman" w:cs="Times New Roman"/>
          <w:b/>
          <w:bCs/>
          <w:sz w:val="24"/>
          <w:szCs w:val="24"/>
        </w:rPr>
      </w:pPr>
    </w:p>
    <w:p w14:paraId="63EA3EDC" w14:textId="77777777" w:rsidR="0046238D" w:rsidRDefault="0046238D" w:rsidP="0046238D">
      <w:pPr>
        <w:spacing w:line="240" w:lineRule="auto"/>
        <w:rPr>
          <w:rFonts w:ascii="Times New Roman" w:hAnsi="Times New Roman" w:cs="Times New Roman"/>
          <w:b/>
          <w:bCs/>
          <w:sz w:val="24"/>
          <w:szCs w:val="24"/>
        </w:rPr>
      </w:pPr>
    </w:p>
    <w:p w14:paraId="58F9D2AB" w14:textId="77777777" w:rsidR="0046238D" w:rsidRDefault="0046238D" w:rsidP="0046238D">
      <w:pPr>
        <w:spacing w:line="240" w:lineRule="auto"/>
        <w:rPr>
          <w:rFonts w:ascii="Times New Roman" w:hAnsi="Times New Roman" w:cs="Times New Roman"/>
          <w:b/>
          <w:bCs/>
          <w:sz w:val="24"/>
          <w:szCs w:val="24"/>
        </w:rPr>
      </w:pPr>
    </w:p>
    <w:p w14:paraId="45FBF466" w14:textId="77777777" w:rsidR="0046238D" w:rsidRPr="00563714" w:rsidRDefault="0046238D" w:rsidP="0046238D">
      <w:pPr>
        <w:spacing w:line="240" w:lineRule="auto"/>
        <w:rPr>
          <w:rFonts w:ascii="Times New Roman" w:hAnsi="Times New Roman" w:cs="Times New Roman"/>
          <w:b/>
          <w:bCs/>
          <w:sz w:val="24"/>
          <w:szCs w:val="24"/>
        </w:rPr>
      </w:pPr>
    </w:p>
    <w:p w14:paraId="6CF5B636" w14:textId="46BEB3A0" w:rsidR="003D581B" w:rsidRPr="0046238D" w:rsidRDefault="00D13ADE" w:rsidP="00546F27">
      <w:pPr>
        <w:pStyle w:val="Heading1"/>
        <w:tabs>
          <w:tab w:val="center" w:pos="4513"/>
        </w:tabs>
        <w:spacing w:line="480" w:lineRule="auto"/>
        <w:rPr>
          <w:rFonts w:ascii="Times New Roman" w:hAnsi="Times New Roman" w:cs="Times New Roman"/>
          <w:sz w:val="24"/>
          <w:szCs w:val="24"/>
        </w:rPr>
      </w:pPr>
      <w:bookmarkStart w:id="1" w:name="_Toc151020443"/>
      <w:r w:rsidRPr="00512283">
        <w:rPr>
          <w:rFonts w:ascii="Times New Roman" w:hAnsi="Times New Roman" w:cs="Times New Roman"/>
          <w:sz w:val="32"/>
          <w:szCs w:val="32"/>
        </w:rPr>
        <w:lastRenderedPageBreak/>
        <w:t>List</w:t>
      </w:r>
      <w:r w:rsidR="003D581B" w:rsidRPr="00512283">
        <w:rPr>
          <w:rFonts w:ascii="Times New Roman" w:hAnsi="Times New Roman" w:cs="Times New Roman"/>
          <w:sz w:val="32"/>
          <w:szCs w:val="32"/>
        </w:rPr>
        <w:t xml:space="preserve"> of Figures</w:t>
      </w:r>
      <w:bookmarkEnd w:id="1"/>
      <w:r w:rsidR="00546F27" w:rsidRPr="0046238D">
        <w:rPr>
          <w:rFonts w:ascii="Times New Roman" w:hAnsi="Times New Roman" w:cs="Times New Roman"/>
          <w:sz w:val="24"/>
          <w:szCs w:val="24"/>
        </w:rPr>
        <w:tab/>
      </w:r>
    </w:p>
    <w:p w14:paraId="4A627181" w14:textId="538F4D8B" w:rsidR="0046238D" w:rsidRPr="0046238D" w:rsidRDefault="0046238D"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r w:rsidRPr="0046238D">
        <w:rPr>
          <w:rFonts w:ascii="Times New Roman" w:hAnsi="Times New Roman" w:cs="Times New Roman"/>
          <w:sz w:val="24"/>
          <w:szCs w:val="24"/>
        </w:rPr>
        <w:fldChar w:fldCharType="begin"/>
      </w:r>
      <w:r w:rsidRPr="0046238D">
        <w:rPr>
          <w:rFonts w:ascii="Times New Roman" w:hAnsi="Times New Roman" w:cs="Times New Roman"/>
          <w:sz w:val="24"/>
          <w:szCs w:val="24"/>
        </w:rPr>
        <w:instrText xml:space="preserve"> TOC \h \z \c "Figure" </w:instrText>
      </w:r>
      <w:r w:rsidRPr="0046238D">
        <w:rPr>
          <w:rFonts w:ascii="Times New Roman" w:hAnsi="Times New Roman" w:cs="Times New Roman"/>
          <w:sz w:val="24"/>
          <w:szCs w:val="24"/>
        </w:rPr>
        <w:fldChar w:fldCharType="separate"/>
      </w:r>
      <w:hyperlink w:anchor="_Toc151020646" w:history="1">
        <w:r w:rsidRPr="0046238D">
          <w:rPr>
            <w:rStyle w:val="Hyperlink"/>
            <w:rFonts w:ascii="Times New Roman" w:hAnsi="Times New Roman" w:cs="Times New Roman"/>
            <w:noProof/>
            <w:sz w:val="24"/>
            <w:szCs w:val="24"/>
          </w:rPr>
          <w:t>Figure 1. Anatomical involvement in inflammatory bowel disease.</w:t>
        </w:r>
        <w:r w:rsidRPr="0046238D">
          <w:rPr>
            <w:rFonts w:ascii="Times New Roman" w:hAnsi="Times New Roman" w:cs="Times New Roman"/>
            <w:noProof/>
            <w:webHidden/>
            <w:sz w:val="24"/>
            <w:szCs w:val="24"/>
          </w:rPr>
          <w:tab/>
        </w:r>
        <w:r w:rsidRPr="0046238D">
          <w:rPr>
            <w:rFonts w:ascii="Times New Roman" w:hAnsi="Times New Roman" w:cs="Times New Roman"/>
            <w:noProof/>
            <w:webHidden/>
            <w:sz w:val="24"/>
            <w:szCs w:val="24"/>
          </w:rPr>
          <w:fldChar w:fldCharType="begin"/>
        </w:r>
        <w:r w:rsidRPr="0046238D">
          <w:rPr>
            <w:rFonts w:ascii="Times New Roman" w:hAnsi="Times New Roman" w:cs="Times New Roman"/>
            <w:noProof/>
            <w:webHidden/>
            <w:sz w:val="24"/>
            <w:szCs w:val="24"/>
          </w:rPr>
          <w:instrText xml:space="preserve"> PAGEREF _Toc151020646 \h </w:instrText>
        </w:r>
        <w:r w:rsidRPr="0046238D">
          <w:rPr>
            <w:rFonts w:ascii="Times New Roman" w:hAnsi="Times New Roman" w:cs="Times New Roman"/>
            <w:noProof/>
            <w:webHidden/>
            <w:sz w:val="24"/>
            <w:szCs w:val="24"/>
          </w:rPr>
        </w:r>
        <w:r w:rsidRPr="0046238D">
          <w:rPr>
            <w:rFonts w:ascii="Times New Roman" w:hAnsi="Times New Roman" w:cs="Times New Roman"/>
            <w:noProof/>
            <w:webHidden/>
            <w:sz w:val="24"/>
            <w:szCs w:val="24"/>
          </w:rPr>
          <w:fldChar w:fldCharType="separate"/>
        </w:r>
        <w:r w:rsidRPr="0046238D">
          <w:rPr>
            <w:rFonts w:ascii="Times New Roman" w:hAnsi="Times New Roman" w:cs="Times New Roman"/>
            <w:noProof/>
            <w:webHidden/>
            <w:sz w:val="24"/>
            <w:szCs w:val="24"/>
          </w:rPr>
          <w:t>17</w:t>
        </w:r>
        <w:r w:rsidRPr="0046238D">
          <w:rPr>
            <w:rFonts w:ascii="Times New Roman" w:hAnsi="Times New Roman" w:cs="Times New Roman"/>
            <w:noProof/>
            <w:webHidden/>
            <w:sz w:val="24"/>
            <w:szCs w:val="24"/>
          </w:rPr>
          <w:fldChar w:fldCharType="end"/>
        </w:r>
      </w:hyperlink>
    </w:p>
    <w:p w14:paraId="3DA948F7" w14:textId="477DBA82"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r:id="rId9" w:anchor="_Toc151020647" w:history="1">
        <w:r w:rsidR="0046238D" w:rsidRPr="0046238D">
          <w:rPr>
            <w:rStyle w:val="Hyperlink"/>
            <w:rFonts w:ascii="Times New Roman" w:hAnsi="Times New Roman" w:cs="Times New Roman"/>
            <w:noProof/>
            <w:sz w:val="24"/>
            <w:szCs w:val="24"/>
          </w:rPr>
          <w:t>Figure 2. “Step up” approach to treament of inflammatory bowel disease.</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_Toc151020647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18</w:t>
        </w:r>
        <w:r w:rsidR="0046238D" w:rsidRPr="0046238D">
          <w:rPr>
            <w:rFonts w:ascii="Times New Roman" w:hAnsi="Times New Roman" w:cs="Times New Roman"/>
            <w:noProof/>
            <w:webHidden/>
            <w:sz w:val="24"/>
            <w:szCs w:val="24"/>
          </w:rPr>
          <w:fldChar w:fldCharType="end"/>
        </w:r>
      </w:hyperlink>
    </w:p>
    <w:p w14:paraId="2261032D" w14:textId="230A43EC"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48" w:history="1">
        <w:r w:rsidR="0046238D" w:rsidRPr="0046238D">
          <w:rPr>
            <w:rStyle w:val="Hyperlink"/>
            <w:rFonts w:ascii="Times New Roman" w:hAnsi="Times New Roman" w:cs="Times New Roman"/>
            <w:noProof/>
            <w:sz w:val="24"/>
            <w:szCs w:val="24"/>
          </w:rPr>
          <w:t>Figure 3. Signalling pathways of tumour necrosis factor (TNF) receptors 1 and 2.</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_Toc151020648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22</w:t>
        </w:r>
        <w:r w:rsidR="0046238D" w:rsidRPr="0046238D">
          <w:rPr>
            <w:rFonts w:ascii="Times New Roman" w:hAnsi="Times New Roman" w:cs="Times New Roman"/>
            <w:noProof/>
            <w:webHidden/>
            <w:sz w:val="24"/>
            <w:szCs w:val="24"/>
          </w:rPr>
          <w:fldChar w:fldCharType="end"/>
        </w:r>
      </w:hyperlink>
    </w:p>
    <w:p w14:paraId="7EC387D9" w14:textId="39873889"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49" w:history="1">
        <w:r w:rsidR="0046238D" w:rsidRPr="0046238D">
          <w:rPr>
            <w:rStyle w:val="Hyperlink"/>
            <w:rFonts w:ascii="Times New Roman" w:hAnsi="Times New Roman" w:cs="Times New Roman"/>
            <w:noProof/>
            <w:sz w:val="24"/>
            <w:szCs w:val="24"/>
          </w:rPr>
          <w:t>Figure 4. Mechanism of action of infliximab.</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_Toc151020649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24</w:t>
        </w:r>
        <w:r w:rsidR="0046238D" w:rsidRPr="0046238D">
          <w:rPr>
            <w:rFonts w:ascii="Times New Roman" w:hAnsi="Times New Roman" w:cs="Times New Roman"/>
            <w:noProof/>
            <w:webHidden/>
            <w:sz w:val="24"/>
            <w:szCs w:val="24"/>
          </w:rPr>
          <w:fldChar w:fldCharType="end"/>
        </w:r>
      </w:hyperlink>
    </w:p>
    <w:p w14:paraId="2E3F7A02" w14:textId="55DBE78F"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0" w:history="1">
        <w:r w:rsidR="0046238D" w:rsidRPr="0046238D">
          <w:rPr>
            <w:rStyle w:val="Hyperlink"/>
            <w:rFonts w:ascii="Times New Roman" w:hAnsi="Times New Roman" w:cs="Times New Roman"/>
            <w:noProof/>
            <w:sz w:val="24"/>
            <w:szCs w:val="24"/>
          </w:rPr>
          <w:t>Figure 5. Structure of a monomeric immunoglobulin</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_Toc151020650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35</w:t>
        </w:r>
        <w:r w:rsidR="0046238D" w:rsidRPr="0046238D">
          <w:rPr>
            <w:rFonts w:ascii="Times New Roman" w:hAnsi="Times New Roman" w:cs="Times New Roman"/>
            <w:noProof/>
            <w:webHidden/>
            <w:sz w:val="24"/>
            <w:szCs w:val="24"/>
          </w:rPr>
          <w:fldChar w:fldCharType="end"/>
        </w:r>
      </w:hyperlink>
    </w:p>
    <w:p w14:paraId="5438610A" w14:textId="6A497A74"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1" w:history="1">
        <w:r w:rsidR="0046238D" w:rsidRPr="0046238D">
          <w:rPr>
            <w:rStyle w:val="Hyperlink"/>
            <w:rFonts w:ascii="Times New Roman" w:hAnsi="Times New Roman" w:cs="Times New Roman"/>
            <w:noProof/>
            <w:sz w:val="24"/>
            <w:szCs w:val="24"/>
          </w:rPr>
          <w:t>Figure 6. Linear and conformational epitopes.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_Toc151020651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36</w:t>
        </w:r>
        <w:r w:rsidR="0046238D" w:rsidRPr="0046238D">
          <w:rPr>
            <w:rFonts w:ascii="Times New Roman" w:hAnsi="Times New Roman" w:cs="Times New Roman"/>
            <w:noProof/>
            <w:webHidden/>
            <w:sz w:val="24"/>
            <w:szCs w:val="24"/>
          </w:rPr>
          <w:fldChar w:fldCharType="end"/>
        </w:r>
      </w:hyperlink>
    </w:p>
    <w:p w14:paraId="11EF8CF6" w14:textId="37E93FC2"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2" w:history="1">
        <w:r w:rsidR="0046238D" w:rsidRPr="0046238D">
          <w:rPr>
            <w:rStyle w:val="Hyperlink"/>
            <w:rFonts w:ascii="Times New Roman" w:hAnsi="Times New Roman" w:cs="Times New Roman"/>
            <w:noProof/>
            <w:sz w:val="24"/>
            <w:szCs w:val="24"/>
          </w:rPr>
          <w:t xml:space="preserve">Figure 7. Diagrammatic representation of infliximab total anti-drug antibodies sandwich ELISA IDKmonitor, a commonly used commercial ELISA </w:t>
        </w:r>
        <w:r w:rsidR="0046238D" w:rsidRPr="0046238D">
          <w:rPr>
            <w:rStyle w:val="Hyperlink"/>
            <w:rFonts w:ascii="Times New Roman" w:hAnsi="Times New Roman" w:cs="Times New Roman"/>
            <w:noProof/>
            <w:sz w:val="24"/>
            <w:szCs w:val="24"/>
            <w:vertAlign w:val="superscript"/>
          </w:rPr>
          <w:t>117</w:t>
        </w:r>
        <w:r w:rsidR="0046238D" w:rsidRPr="0046238D">
          <w:rPr>
            <w:rStyle w:val="Hyperlink"/>
            <w:rFonts w:ascii="Times New Roman" w:hAnsi="Times New Roman" w:cs="Times New Roman"/>
            <w:noProof/>
            <w:sz w:val="24"/>
            <w:szCs w:val="24"/>
          </w:rPr>
          <w:t>.</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_Toc151020652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41</w:t>
        </w:r>
        <w:r w:rsidR="0046238D" w:rsidRPr="0046238D">
          <w:rPr>
            <w:rFonts w:ascii="Times New Roman" w:hAnsi="Times New Roman" w:cs="Times New Roman"/>
            <w:noProof/>
            <w:webHidden/>
            <w:sz w:val="24"/>
            <w:szCs w:val="24"/>
          </w:rPr>
          <w:fldChar w:fldCharType="end"/>
        </w:r>
      </w:hyperlink>
    </w:p>
    <w:p w14:paraId="2DFF620E" w14:textId="66D7DD8A"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r:id="rId10" w:anchor="_Toc151020653" w:history="1">
        <w:r w:rsidR="0046238D" w:rsidRPr="0046238D">
          <w:rPr>
            <w:rStyle w:val="Hyperlink"/>
            <w:rFonts w:ascii="Times New Roman" w:hAnsi="Times New Roman" w:cs="Times New Roman"/>
            <w:noProof/>
            <w:sz w:val="24"/>
            <w:szCs w:val="24"/>
          </w:rPr>
          <w:t>Figure 8. The filamentous bacteriophage.</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_Toc151020653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51</w:t>
        </w:r>
        <w:r w:rsidR="0046238D" w:rsidRPr="0046238D">
          <w:rPr>
            <w:rFonts w:ascii="Times New Roman" w:hAnsi="Times New Roman" w:cs="Times New Roman"/>
            <w:noProof/>
            <w:webHidden/>
            <w:sz w:val="24"/>
            <w:szCs w:val="24"/>
          </w:rPr>
          <w:fldChar w:fldCharType="end"/>
        </w:r>
      </w:hyperlink>
    </w:p>
    <w:p w14:paraId="39617EC4" w14:textId="7571DCD1"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4" w:history="1">
        <w:r w:rsidR="0046238D" w:rsidRPr="0046238D">
          <w:rPr>
            <w:rStyle w:val="Hyperlink"/>
            <w:rFonts w:ascii="Times New Roman" w:hAnsi="Times New Roman" w:cs="Times New Roman"/>
            <w:noProof/>
            <w:sz w:val="24"/>
            <w:szCs w:val="24"/>
          </w:rPr>
          <w:t>Figure 9. Overview of phage and phagemid infection of bacterial cells.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_Toc151020654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52</w:t>
        </w:r>
        <w:r w:rsidR="0046238D" w:rsidRPr="0046238D">
          <w:rPr>
            <w:rFonts w:ascii="Times New Roman" w:hAnsi="Times New Roman" w:cs="Times New Roman"/>
            <w:noProof/>
            <w:webHidden/>
            <w:sz w:val="24"/>
            <w:szCs w:val="24"/>
          </w:rPr>
          <w:fldChar w:fldCharType="end"/>
        </w:r>
      </w:hyperlink>
    </w:p>
    <w:p w14:paraId="6C48EA36" w14:textId="4B32F808"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5" w:history="1">
        <w:r w:rsidR="0046238D" w:rsidRPr="0046238D">
          <w:rPr>
            <w:rStyle w:val="Hyperlink"/>
            <w:rFonts w:ascii="Times New Roman" w:hAnsi="Times New Roman" w:cs="Times New Roman"/>
            <w:noProof/>
            <w:sz w:val="24"/>
            <w:szCs w:val="24"/>
          </w:rPr>
          <w:t>Figure 10. Diagrammatic representation of serological selection of a phage display library.</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_Toc151020655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54</w:t>
        </w:r>
        <w:r w:rsidR="0046238D" w:rsidRPr="0046238D">
          <w:rPr>
            <w:rFonts w:ascii="Times New Roman" w:hAnsi="Times New Roman" w:cs="Times New Roman"/>
            <w:noProof/>
            <w:webHidden/>
            <w:sz w:val="24"/>
            <w:szCs w:val="24"/>
          </w:rPr>
          <w:fldChar w:fldCharType="end"/>
        </w:r>
      </w:hyperlink>
    </w:p>
    <w:p w14:paraId="444DFE9F" w14:textId="5255609F"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6" w:history="1">
        <w:r w:rsidR="0046238D" w:rsidRPr="0046238D">
          <w:rPr>
            <w:rStyle w:val="Hyperlink"/>
            <w:rFonts w:ascii="Times New Roman" w:hAnsi="Times New Roman" w:cs="Times New Roman"/>
            <w:noProof/>
            <w:sz w:val="24"/>
            <w:szCs w:val="24"/>
          </w:rPr>
          <w:t>Figure 11. Workflow for the PhD.</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_Toc151020656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58</w:t>
        </w:r>
        <w:r w:rsidR="0046238D" w:rsidRPr="0046238D">
          <w:rPr>
            <w:rFonts w:ascii="Times New Roman" w:hAnsi="Times New Roman" w:cs="Times New Roman"/>
            <w:noProof/>
            <w:webHidden/>
            <w:sz w:val="24"/>
            <w:szCs w:val="24"/>
          </w:rPr>
          <w:fldChar w:fldCharType="end"/>
        </w:r>
      </w:hyperlink>
    </w:p>
    <w:p w14:paraId="7F2DEDE7" w14:textId="204B8088"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7" w:history="1">
        <w:r w:rsidR="0046238D" w:rsidRPr="0046238D">
          <w:rPr>
            <w:rStyle w:val="Hyperlink"/>
            <w:rFonts w:ascii="Times New Roman" w:hAnsi="Times New Roman" w:cs="Times New Roman"/>
            <w:noProof/>
            <w:sz w:val="24"/>
            <w:szCs w:val="24"/>
          </w:rPr>
          <w:t>Figure 12. Summary of patient cohorts included in this study.</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_Toc151020657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64</w:t>
        </w:r>
        <w:r w:rsidR="0046238D" w:rsidRPr="0046238D">
          <w:rPr>
            <w:rFonts w:ascii="Times New Roman" w:hAnsi="Times New Roman" w:cs="Times New Roman"/>
            <w:noProof/>
            <w:webHidden/>
            <w:sz w:val="24"/>
            <w:szCs w:val="24"/>
          </w:rPr>
          <w:fldChar w:fldCharType="end"/>
        </w:r>
      </w:hyperlink>
    </w:p>
    <w:p w14:paraId="200CB673" w14:textId="0985C9F4"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8" w:history="1">
        <w:r w:rsidR="0046238D" w:rsidRPr="0046238D">
          <w:rPr>
            <w:rStyle w:val="Hyperlink"/>
            <w:rFonts w:ascii="Times New Roman" w:hAnsi="Times New Roman" w:cs="Times New Roman"/>
            <w:noProof/>
            <w:sz w:val="24"/>
            <w:szCs w:val="24"/>
          </w:rPr>
          <w:t>Figure 13. Time to development of antibodies to infliximab during infliximab treatment.</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_Toc151020658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66</w:t>
        </w:r>
        <w:r w:rsidR="0046238D" w:rsidRPr="0046238D">
          <w:rPr>
            <w:rFonts w:ascii="Times New Roman" w:hAnsi="Times New Roman" w:cs="Times New Roman"/>
            <w:noProof/>
            <w:webHidden/>
            <w:sz w:val="24"/>
            <w:szCs w:val="24"/>
          </w:rPr>
          <w:fldChar w:fldCharType="end"/>
        </w:r>
      </w:hyperlink>
    </w:p>
    <w:p w14:paraId="22C01340" w14:textId="4AB01467"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59" w:history="1">
        <w:r w:rsidR="0046238D" w:rsidRPr="0046238D">
          <w:rPr>
            <w:rStyle w:val="Hyperlink"/>
            <w:rFonts w:ascii="Times New Roman" w:hAnsi="Times New Roman" w:cs="Times New Roman"/>
            <w:noProof/>
            <w:sz w:val="24"/>
            <w:szCs w:val="24"/>
          </w:rPr>
          <w:t>Figure 14. Chronology between antibodies to infliximab and infliximab trough levels.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_Toc151020659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68</w:t>
        </w:r>
        <w:r w:rsidR="0046238D" w:rsidRPr="0046238D">
          <w:rPr>
            <w:rFonts w:ascii="Times New Roman" w:hAnsi="Times New Roman" w:cs="Times New Roman"/>
            <w:noProof/>
            <w:webHidden/>
            <w:sz w:val="24"/>
            <w:szCs w:val="24"/>
          </w:rPr>
          <w:fldChar w:fldCharType="end"/>
        </w:r>
      </w:hyperlink>
    </w:p>
    <w:p w14:paraId="3DAF3DF1" w14:textId="6644277F"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0" w:history="1">
        <w:r w:rsidR="0046238D" w:rsidRPr="0046238D">
          <w:rPr>
            <w:rStyle w:val="Hyperlink"/>
            <w:rFonts w:ascii="Times New Roman" w:hAnsi="Times New Roman" w:cs="Times New Roman"/>
            <w:noProof/>
            <w:sz w:val="24"/>
            <w:szCs w:val="24"/>
          </w:rPr>
          <w:t>Figure 15. The effect of antibodies to infliximab on time to loss of clinical remission.</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_Toc151020660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70</w:t>
        </w:r>
        <w:r w:rsidR="0046238D" w:rsidRPr="0046238D">
          <w:rPr>
            <w:rFonts w:ascii="Times New Roman" w:hAnsi="Times New Roman" w:cs="Times New Roman"/>
            <w:noProof/>
            <w:webHidden/>
            <w:sz w:val="24"/>
            <w:szCs w:val="24"/>
          </w:rPr>
          <w:fldChar w:fldCharType="end"/>
        </w:r>
      </w:hyperlink>
    </w:p>
    <w:p w14:paraId="06E8092A" w14:textId="71BD411C"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1" w:history="1">
        <w:r w:rsidR="0046238D" w:rsidRPr="0046238D">
          <w:rPr>
            <w:rStyle w:val="Hyperlink"/>
            <w:rFonts w:ascii="Times New Roman" w:hAnsi="Times New Roman" w:cs="Times New Roman"/>
            <w:noProof/>
            <w:sz w:val="24"/>
            <w:szCs w:val="24"/>
          </w:rPr>
          <w:t>Figure 16. Receiver operator curve analysis of antibodies to infliximab threshold of 2.5 mg/L to a) loss of clinical remission ≤ 8 weeks and b) loss of clinical remission ≤ 6 months by IBD subtype: Crohn’s disease and ulcerative colitis.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_Toc151020661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72</w:t>
        </w:r>
        <w:r w:rsidR="0046238D" w:rsidRPr="0046238D">
          <w:rPr>
            <w:rFonts w:ascii="Times New Roman" w:hAnsi="Times New Roman" w:cs="Times New Roman"/>
            <w:noProof/>
            <w:webHidden/>
            <w:sz w:val="24"/>
            <w:szCs w:val="24"/>
          </w:rPr>
          <w:fldChar w:fldCharType="end"/>
        </w:r>
      </w:hyperlink>
    </w:p>
    <w:p w14:paraId="0EB45618" w14:textId="001A83E5"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2" w:history="1">
        <w:r w:rsidR="0046238D" w:rsidRPr="0046238D">
          <w:rPr>
            <w:rStyle w:val="Hyperlink"/>
            <w:rFonts w:ascii="Times New Roman" w:hAnsi="Times New Roman" w:cs="Times New Roman"/>
            <w:noProof/>
            <w:sz w:val="24"/>
            <w:szCs w:val="24"/>
          </w:rPr>
          <w:t>Figure 17. Summary of IBD cohort receiving infliximab dose escalation.</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_Toc151020662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81</w:t>
        </w:r>
        <w:r w:rsidR="0046238D" w:rsidRPr="0046238D">
          <w:rPr>
            <w:rFonts w:ascii="Times New Roman" w:hAnsi="Times New Roman" w:cs="Times New Roman"/>
            <w:noProof/>
            <w:webHidden/>
            <w:sz w:val="24"/>
            <w:szCs w:val="24"/>
          </w:rPr>
          <w:fldChar w:fldCharType="end"/>
        </w:r>
      </w:hyperlink>
    </w:p>
    <w:p w14:paraId="37579549" w14:textId="2B644DAA"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3" w:history="1">
        <w:r w:rsidR="0046238D" w:rsidRPr="0046238D">
          <w:rPr>
            <w:rStyle w:val="Hyperlink"/>
            <w:rFonts w:ascii="Times New Roman" w:hAnsi="Times New Roman" w:cs="Times New Roman"/>
            <w:noProof/>
            <w:sz w:val="24"/>
            <w:szCs w:val="24"/>
          </w:rPr>
          <w:t>Figure 18. Median trough drug levels (error bars indicate the 25</w:t>
        </w:r>
        <w:r w:rsidR="0046238D" w:rsidRPr="0046238D">
          <w:rPr>
            <w:rStyle w:val="Hyperlink"/>
            <w:rFonts w:ascii="Times New Roman" w:hAnsi="Times New Roman" w:cs="Times New Roman"/>
            <w:noProof/>
            <w:sz w:val="24"/>
            <w:szCs w:val="24"/>
            <w:vertAlign w:val="superscript"/>
          </w:rPr>
          <w:t>th</w:t>
        </w:r>
        <w:r w:rsidR="0046238D" w:rsidRPr="0046238D">
          <w:rPr>
            <w:rStyle w:val="Hyperlink"/>
            <w:rFonts w:ascii="Times New Roman" w:hAnsi="Times New Roman" w:cs="Times New Roman"/>
            <w:noProof/>
            <w:sz w:val="24"/>
            <w:szCs w:val="24"/>
          </w:rPr>
          <w:t>-75</w:t>
        </w:r>
        <w:r w:rsidR="0046238D" w:rsidRPr="0046238D">
          <w:rPr>
            <w:rStyle w:val="Hyperlink"/>
            <w:rFonts w:ascii="Times New Roman" w:hAnsi="Times New Roman" w:cs="Times New Roman"/>
            <w:noProof/>
            <w:sz w:val="24"/>
            <w:szCs w:val="24"/>
            <w:vertAlign w:val="superscript"/>
          </w:rPr>
          <w:t>th</w:t>
        </w:r>
        <w:r w:rsidR="0046238D" w:rsidRPr="0046238D">
          <w:rPr>
            <w:rStyle w:val="Hyperlink"/>
            <w:rFonts w:ascii="Times New Roman" w:hAnsi="Times New Roman" w:cs="Times New Roman"/>
            <w:noProof/>
            <w:sz w:val="24"/>
            <w:szCs w:val="24"/>
          </w:rPr>
          <w:t xml:space="preserve"> percentiles of the trough drug levels) following infliximab dose escalation in patients a) with ATI &gt;10 AU/mL at baseline and b) with ATI ≤ 10 AU/mL at baseline.</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_Toc151020663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84</w:t>
        </w:r>
        <w:r w:rsidR="0046238D" w:rsidRPr="0046238D">
          <w:rPr>
            <w:rFonts w:ascii="Times New Roman" w:hAnsi="Times New Roman" w:cs="Times New Roman"/>
            <w:noProof/>
            <w:webHidden/>
            <w:sz w:val="24"/>
            <w:szCs w:val="24"/>
          </w:rPr>
          <w:fldChar w:fldCharType="end"/>
        </w:r>
      </w:hyperlink>
    </w:p>
    <w:p w14:paraId="3606DEB2" w14:textId="2A7FD93F"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4" w:history="1">
        <w:r w:rsidR="0046238D" w:rsidRPr="0046238D">
          <w:rPr>
            <w:rStyle w:val="Hyperlink"/>
            <w:rFonts w:ascii="Times New Roman" w:hAnsi="Times New Roman" w:cs="Times New Roman"/>
            <w:noProof/>
            <w:sz w:val="24"/>
            <w:szCs w:val="24"/>
          </w:rPr>
          <w:t>Figure 19. Median antibodies to infliximab levels (error bars indicate the 25</w:t>
        </w:r>
        <w:r w:rsidR="0046238D" w:rsidRPr="0046238D">
          <w:rPr>
            <w:rStyle w:val="Hyperlink"/>
            <w:rFonts w:ascii="Times New Roman" w:hAnsi="Times New Roman" w:cs="Times New Roman"/>
            <w:noProof/>
            <w:sz w:val="24"/>
            <w:szCs w:val="24"/>
            <w:vertAlign w:val="superscript"/>
          </w:rPr>
          <w:t>th</w:t>
        </w:r>
        <w:r w:rsidR="0046238D" w:rsidRPr="0046238D">
          <w:rPr>
            <w:rStyle w:val="Hyperlink"/>
            <w:rFonts w:ascii="Times New Roman" w:hAnsi="Times New Roman" w:cs="Times New Roman"/>
            <w:noProof/>
            <w:sz w:val="24"/>
            <w:szCs w:val="24"/>
          </w:rPr>
          <w:t>-75</w:t>
        </w:r>
        <w:r w:rsidR="0046238D" w:rsidRPr="0046238D">
          <w:rPr>
            <w:rStyle w:val="Hyperlink"/>
            <w:rFonts w:ascii="Times New Roman" w:hAnsi="Times New Roman" w:cs="Times New Roman"/>
            <w:noProof/>
            <w:sz w:val="24"/>
            <w:szCs w:val="24"/>
            <w:vertAlign w:val="superscript"/>
          </w:rPr>
          <w:t>th</w:t>
        </w:r>
        <w:r w:rsidR="0046238D" w:rsidRPr="0046238D">
          <w:rPr>
            <w:rStyle w:val="Hyperlink"/>
            <w:rFonts w:ascii="Times New Roman" w:hAnsi="Times New Roman" w:cs="Times New Roman"/>
            <w:noProof/>
            <w:sz w:val="24"/>
            <w:szCs w:val="24"/>
          </w:rPr>
          <w:t xml:space="preserve"> percentiles) following dose escalation in patients with positive antibodies (&gt;10 AU/mL).</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_Toc151020664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86</w:t>
        </w:r>
        <w:r w:rsidR="0046238D" w:rsidRPr="0046238D">
          <w:rPr>
            <w:rFonts w:ascii="Times New Roman" w:hAnsi="Times New Roman" w:cs="Times New Roman"/>
            <w:noProof/>
            <w:webHidden/>
            <w:sz w:val="24"/>
            <w:szCs w:val="24"/>
          </w:rPr>
          <w:fldChar w:fldCharType="end"/>
        </w:r>
      </w:hyperlink>
    </w:p>
    <w:p w14:paraId="409A2FF3" w14:textId="46473B1E"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5" w:history="1">
        <w:r w:rsidR="0046238D" w:rsidRPr="0046238D">
          <w:rPr>
            <w:rStyle w:val="Hyperlink"/>
            <w:rFonts w:ascii="Times New Roman" w:hAnsi="Times New Roman" w:cs="Times New Roman"/>
            <w:noProof/>
            <w:sz w:val="24"/>
            <w:szCs w:val="24"/>
          </w:rPr>
          <w:t>Figure 20. Sankey diagram to illustrate clinical outcomes of patients receiving infliximab dose escalation at week 24 based on initial ATI and clinical status.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_Toc151020665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88</w:t>
        </w:r>
        <w:r w:rsidR="0046238D" w:rsidRPr="0046238D">
          <w:rPr>
            <w:rFonts w:ascii="Times New Roman" w:hAnsi="Times New Roman" w:cs="Times New Roman"/>
            <w:noProof/>
            <w:webHidden/>
            <w:sz w:val="24"/>
            <w:szCs w:val="24"/>
          </w:rPr>
          <w:fldChar w:fldCharType="end"/>
        </w:r>
      </w:hyperlink>
    </w:p>
    <w:p w14:paraId="762E5C95" w14:textId="7BB30C3A"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6" w:history="1">
        <w:r w:rsidR="0046238D" w:rsidRPr="0046238D">
          <w:rPr>
            <w:rStyle w:val="Hyperlink"/>
            <w:rFonts w:ascii="Times New Roman" w:hAnsi="Times New Roman" w:cs="Times New Roman"/>
            <w:noProof/>
            <w:sz w:val="24"/>
            <w:szCs w:val="24"/>
          </w:rPr>
          <w:t>Figure 21. Time in clinical remission following different methods of infliximab dose escalation.</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_Toc151020666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92</w:t>
        </w:r>
        <w:r w:rsidR="0046238D" w:rsidRPr="0046238D">
          <w:rPr>
            <w:rFonts w:ascii="Times New Roman" w:hAnsi="Times New Roman" w:cs="Times New Roman"/>
            <w:noProof/>
            <w:webHidden/>
            <w:sz w:val="24"/>
            <w:szCs w:val="24"/>
          </w:rPr>
          <w:fldChar w:fldCharType="end"/>
        </w:r>
      </w:hyperlink>
    </w:p>
    <w:p w14:paraId="6BA2C221" w14:textId="7713885D"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7" w:history="1">
        <w:r w:rsidR="0046238D" w:rsidRPr="0046238D">
          <w:rPr>
            <w:rStyle w:val="Hyperlink"/>
            <w:rFonts w:ascii="Times New Roman" w:hAnsi="Times New Roman" w:cs="Times New Roman"/>
            <w:noProof/>
            <w:sz w:val="24"/>
            <w:szCs w:val="24"/>
          </w:rPr>
          <w:t>Figure 22. Diagrammatic representation of a pNIBS-1 phagemid vector.</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_Toc151020667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103</w:t>
        </w:r>
        <w:r w:rsidR="0046238D" w:rsidRPr="0046238D">
          <w:rPr>
            <w:rFonts w:ascii="Times New Roman" w:hAnsi="Times New Roman" w:cs="Times New Roman"/>
            <w:noProof/>
            <w:webHidden/>
            <w:sz w:val="24"/>
            <w:szCs w:val="24"/>
          </w:rPr>
          <w:fldChar w:fldCharType="end"/>
        </w:r>
      </w:hyperlink>
    </w:p>
    <w:p w14:paraId="5DFE4B85" w14:textId="25F4BB23"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8" w:history="1">
        <w:r w:rsidR="0046238D" w:rsidRPr="0046238D">
          <w:rPr>
            <w:rStyle w:val="Hyperlink"/>
            <w:rFonts w:ascii="Times New Roman" w:hAnsi="Times New Roman" w:cs="Times New Roman"/>
            <w:noProof/>
            <w:sz w:val="24"/>
            <w:szCs w:val="24"/>
          </w:rPr>
          <w:t>Figure 23</w:t>
        </w:r>
        <w:r w:rsidR="0046238D" w:rsidRPr="0046238D">
          <w:rPr>
            <w:rStyle w:val="Hyperlink"/>
            <w:rFonts w:ascii="Times New Roman" w:hAnsi="Times New Roman" w:cs="Times New Roman"/>
            <w:noProof/>
            <w:kern w:val="24"/>
            <w:sz w:val="24"/>
            <w:szCs w:val="24"/>
          </w:rPr>
          <w:t xml:space="preserve">. </w:t>
        </w:r>
        <w:r w:rsidR="0046238D" w:rsidRPr="0046238D">
          <w:rPr>
            <w:rStyle w:val="Hyperlink"/>
            <w:rFonts w:ascii="Times New Roman" w:hAnsi="Times New Roman" w:cs="Times New Roman"/>
            <w:noProof/>
            <w:sz w:val="24"/>
            <w:szCs w:val="24"/>
            <w:shd w:val="clear" w:color="auto" w:fill="FFFFFF"/>
          </w:rPr>
          <w:t xml:space="preserve">Gel electrophoresis </w:t>
        </w:r>
        <w:r w:rsidR="0046238D" w:rsidRPr="0046238D">
          <w:rPr>
            <w:rStyle w:val="Hyperlink"/>
            <w:rFonts w:ascii="Times New Roman" w:hAnsi="Times New Roman" w:cs="Times New Roman"/>
            <w:noProof/>
            <w:kern w:val="24"/>
            <w:sz w:val="24"/>
            <w:szCs w:val="24"/>
          </w:rPr>
          <w:t>of pNIBS-1 phagemid vector after SmaI digestion.</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_Toc151020668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104</w:t>
        </w:r>
        <w:r w:rsidR="0046238D" w:rsidRPr="0046238D">
          <w:rPr>
            <w:rFonts w:ascii="Times New Roman" w:hAnsi="Times New Roman" w:cs="Times New Roman"/>
            <w:noProof/>
            <w:webHidden/>
            <w:sz w:val="24"/>
            <w:szCs w:val="24"/>
          </w:rPr>
          <w:fldChar w:fldCharType="end"/>
        </w:r>
      </w:hyperlink>
    </w:p>
    <w:p w14:paraId="7FA41DEE" w14:textId="0D036B12"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69" w:history="1">
        <w:r w:rsidR="0046238D" w:rsidRPr="0046238D">
          <w:rPr>
            <w:rStyle w:val="Hyperlink"/>
            <w:rFonts w:ascii="Times New Roman" w:hAnsi="Times New Roman" w:cs="Times New Roman"/>
            <w:noProof/>
            <w:sz w:val="24"/>
            <w:szCs w:val="24"/>
          </w:rPr>
          <w:t>Figure 24. Diagrammatic summary of the generation on the infliximab Fab GFL.</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_Toc151020669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107</w:t>
        </w:r>
        <w:r w:rsidR="0046238D" w:rsidRPr="0046238D">
          <w:rPr>
            <w:rFonts w:ascii="Times New Roman" w:hAnsi="Times New Roman" w:cs="Times New Roman"/>
            <w:noProof/>
            <w:webHidden/>
            <w:sz w:val="24"/>
            <w:szCs w:val="24"/>
          </w:rPr>
          <w:fldChar w:fldCharType="end"/>
        </w:r>
      </w:hyperlink>
    </w:p>
    <w:p w14:paraId="561D33E3" w14:textId="7285FC92"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0" w:history="1">
        <w:r w:rsidR="0046238D" w:rsidRPr="0046238D">
          <w:rPr>
            <w:rStyle w:val="Hyperlink"/>
            <w:rFonts w:ascii="Times New Roman" w:hAnsi="Times New Roman" w:cs="Times New Roman"/>
            <w:noProof/>
            <w:sz w:val="24"/>
            <w:szCs w:val="24"/>
          </w:rPr>
          <w:t xml:space="preserve">Figure 25. </w:t>
        </w:r>
        <w:r w:rsidR="0046238D" w:rsidRPr="0046238D">
          <w:rPr>
            <w:rStyle w:val="Hyperlink"/>
            <w:rFonts w:ascii="Times New Roman" w:hAnsi="Times New Roman" w:cs="Times New Roman"/>
            <w:noProof/>
            <w:kern w:val="24"/>
            <w:sz w:val="24"/>
            <w:szCs w:val="24"/>
            <w:lang w:eastAsia="en-GB"/>
          </w:rPr>
          <w:t>Gel electrophoresis to confirm PCR amplification of infliximab light chain (LC) and Fab heavy chain (HC) with DNA digestion using sonication at different time stops (0-7 m).</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_Toc151020670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108</w:t>
        </w:r>
        <w:r w:rsidR="0046238D" w:rsidRPr="0046238D">
          <w:rPr>
            <w:rFonts w:ascii="Times New Roman" w:hAnsi="Times New Roman" w:cs="Times New Roman"/>
            <w:noProof/>
            <w:webHidden/>
            <w:sz w:val="24"/>
            <w:szCs w:val="24"/>
          </w:rPr>
          <w:fldChar w:fldCharType="end"/>
        </w:r>
      </w:hyperlink>
    </w:p>
    <w:p w14:paraId="395C7231" w14:textId="4D5CFD1B"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1" w:history="1">
        <w:r w:rsidR="0046238D" w:rsidRPr="0046238D">
          <w:rPr>
            <w:rStyle w:val="Hyperlink"/>
            <w:rFonts w:ascii="Times New Roman" w:hAnsi="Times New Roman" w:cs="Times New Roman"/>
            <w:noProof/>
            <w:sz w:val="24"/>
            <w:szCs w:val="24"/>
          </w:rPr>
          <w:t>Figure 26. Colony PCR of 20 clones from the large-scale infliximab fab gene fragment library.</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_Toc151020671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110</w:t>
        </w:r>
        <w:r w:rsidR="0046238D" w:rsidRPr="0046238D">
          <w:rPr>
            <w:rFonts w:ascii="Times New Roman" w:hAnsi="Times New Roman" w:cs="Times New Roman"/>
            <w:noProof/>
            <w:webHidden/>
            <w:sz w:val="24"/>
            <w:szCs w:val="24"/>
          </w:rPr>
          <w:fldChar w:fldCharType="end"/>
        </w:r>
      </w:hyperlink>
    </w:p>
    <w:p w14:paraId="2A959CC4" w14:textId="7CE0F967"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2" w:history="1">
        <w:r w:rsidR="0046238D" w:rsidRPr="0046238D">
          <w:rPr>
            <w:rStyle w:val="Hyperlink"/>
            <w:rFonts w:ascii="Times New Roman" w:hAnsi="Times New Roman" w:cs="Times New Roman"/>
            <w:noProof/>
            <w:sz w:val="24"/>
            <w:szCs w:val="24"/>
          </w:rPr>
          <w:t>Figure 27</w:t>
        </w:r>
        <w:r w:rsidR="0046238D" w:rsidRPr="0046238D">
          <w:rPr>
            <w:rStyle w:val="Hyperlink"/>
            <w:rFonts w:ascii="Times New Roman" w:eastAsia="Times New Roman" w:hAnsi="Times New Roman" w:cs="Times New Roman"/>
            <w:i/>
            <w:iCs/>
            <w:noProof/>
            <w:sz w:val="24"/>
            <w:szCs w:val="24"/>
            <w:lang w:eastAsia="en-GB"/>
          </w:rPr>
          <w:t>. All</w:t>
        </w:r>
        <w:r w:rsidR="0046238D" w:rsidRPr="0046238D">
          <w:rPr>
            <w:rStyle w:val="Hyperlink"/>
            <w:rFonts w:ascii="Times New Roman" w:hAnsi="Times New Roman" w:cs="Times New Roman"/>
            <w:noProof/>
            <w:sz w:val="24"/>
            <w:szCs w:val="24"/>
          </w:rPr>
          <w:t xml:space="preserve"> peptide sequences selected from round 3 of infliximab whole gene fragment library showing enrichment of three peptides mapped to complementarity determining regions of infliximab.</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_Toc151020672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123</w:t>
        </w:r>
        <w:r w:rsidR="0046238D" w:rsidRPr="0046238D">
          <w:rPr>
            <w:rFonts w:ascii="Times New Roman" w:hAnsi="Times New Roman" w:cs="Times New Roman"/>
            <w:noProof/>
            <w:webHidden/>
            <w:sz w:val="24"/>
            <w:szCs w:val="24"/>
          </w:rPr>
          <w:fldChar w:fldCharType="end"/>
        </w:r>
      </w:hyperlink>
    </w:p>
    <w:p w14:paraId="48ABD24F" w14:textId="5C64DA9A"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3" w:history="1">
        <w:r w:rsidR="0046238D" w:rsidRPr="0046238D">
          <w:rPr>
            <w:rStyle w:val="Hyperlink"/>
            <w:rFonts w:ascii="Times New Roman" w:hAnsi="Times New Roman" w:cs="Times New Roman"/>
            <w:noProof/>
            <w:sz w:val="24"/>
            <w:szCs w:val="24"/>
          </w:rPr>
          <w:t>Figure 28. Model of infliximab Fab fragment bound to tumour necrosis factor-α with mapped peptides.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_Toc151020673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124</w:t>
        </w:r>
        <w:r w:rsidR="0046238D" w:rsidRPr="0046238D">
          <w:rPr>
            <w:rFonts w:ascii="Times New Roman" w:hAnsi="Times New Roman" w:cs="Times New Roman"/>
            <w:noProof/>
            <w:webHidden/>
            <w:sz w:val="24"/>
            <w:szCs w:val="24"/>
          </w:rPr>
          <w:fldChar w:fldCharType="end"/>
        </w:r>
      </w:hyperlink>
    </w:p>
    <w:p w14:paraId="02B00901" w14:textId="3768A31C"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4" w:history="1">
        <w:r w:rsidR="0046238D" w:rsidRPr="0046238D">
          <w:rPr>
            <w:rStyle w:val="Hyperlink"/>
            <w:rFonts w:ascii="Times New Roman" w:hAnsi="Times New Roman" w:cs="Times New Roman"/>
            <w:noProof/>
            <w:sz w:val="24"/>
            <w:szCs w:val="24"/>
          </w:rPr>
          <w:t>Figure 29. Monoclonal phage ELISA demonstrating similar reactivity of individual patients’ ATI positive sera against selected peptides: heavy chain peptide 1, light chain peptide 1, light chain peptide 2 and an unselected control peptide.</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_Toc151020674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126</w:t>
        </w:r>
        <w:r w:rsidR="0046238D" w:rsidRPr="0046238D">
          <w:rPr>
            <w:rFonts w:ascii="Times New Roman" w:hAnsi="Times New Roman" w:cs="Times New Roman"/>
            <w:noProof/>
            <w:webHidden/>
            <w:sz w:val="24"/>
            <w:szCs w:val="24"/>
          </w:rPr>
          <w:fldChar w:fldCharType="end"/>
        </w:r>
      </w:hyperlink>
    </w:p>
    <w:p w14:paraId="365618D8" w14:textId="67EC2D6D"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r:id="rId11" w:anchor="_Toc151020675" w:history="1">
        <w:r w:rsidR="0046238D" w:rsidRPr="0046238D">
          <w:rPr>
            <w:rStyle w:val="Hyperlink"/>
            <w:rFonts w:ascii="Times New Roman" w:hAnsi="Times New Roman" w:cs="Times New Roman"/>
            <w:noProof/>
            <w:sz w:val="24"/>
            <w:szCs w:val="24"/>
          </w:rPr>
          <w:t>Figure 30. Selected candidate peptides compared to peptides previously selected in the literature.</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_Toc151020675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128</w:t>
        </w:r>
        <w:r w:rsidR="0046238D" w:rsidRPr="0046238D">
          <w:rPr>
            <w:rFonts w:ascii="Times New Roman" w:hAnsi="Times New Roman" w:cs="Times New Roman"/>
            <w:noProof/>
            <w:webHidden/>
            <w:sz w:val="24"/>
            <w:szCs w:val="24"/>
          </w:rPr>
          <w:fldChar w:fldCharType="end"/>
        </w:r>
      </w:hyperlink>
    </w:p>
    <w:p w14:paraId="2003FA21" w14:textId="3C811251"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6" w:history="1">
        <w:r w:rsidR="0046238D" w:rsidRPr="0046238D">
          <w:rPr>
            <w:rStyle w:val="Hyperlink"/>
            <w:rFonts w:ascii="Times New Roman" w:hAnsi="Times New Roman" w:cs="Times New Roman"/>
            <w:noProof/>
            <w:sz w:val="24"/>
            <w:szCs w:val="24"/>
          </w:rPr>
          <w:t>Figure 31. Diagrammatic summary of the selection of the 12-mer random peptide phage library (RPL) using pooled ATI positive sera and protein A magnetic beads.</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_Toc151020676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136</w:t>
        </w:r>
        <w:r w:rsidR="0046238D" w:rsidRPr="0046238D">
          <w:rPr>
            <w:rFonts w:ascii="Times New Roman" w:hAnsi="Times New Roman" w:cs="Times New Roman"/>
            <w:noProof/>
            <w:webHidden/>
            <w:sz w:val="24"/>
            <w:szCs w:val="24"/>
          </w:rPr>
          <w:fldChar w:fldCharType="end"/>
        </w:r>
      </w:hyperlink>
    </w:p>
    <w:p w14:paraId="539F7E6E" w14:textId="26509BB6"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7" w:history="1">
        <w:r w:rsidR="0046238D" w:rsidRPr="0046238D">
          <w:rPr>
            <w:rStyle w:val="Hyperlink"/>
            <w:rFonts w:ascii="Times New Roman" w:hAnsi="Times New Roman" w:cs="Times New Roman"/>
            <w:noProof/>
            <w:sz w:val="24"/>
            <w:szCs w:val="24"/>
          </w:rPr>
          <w:t>Figure 32. Model of infliximab Fab fragment bound to tumour necrosis factor-α with mapped predicted peptides selected from the random peptide library.</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_Toc151020677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145</w:t>
        </w:r>
        <w:r w:rsidR="0046238D" w:rsidRPr="0046238D">
          <w:rPr>
            <w:rFonts w:ascii="Times New Roman" w:hAnsi="Times New Roman" w:cs="Times New Roman"/>
            <w:noProof/>
            <w:webHidden/>
            <w:sz w:val="24"/>
            <w:szCs w:val="24"/>
          </w:rPr>
          <w:fldChar w:fldCharType="end"/>
        </w:r>
      </w:hyperlink>
    </w:p>
    <w:p w14:paraId="28C235E0" w14:textId="743C3F73" w:rsidR="0046238D"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51020678" w:history="1">
        <w:r w:rsidR="0046238D" w:rsidRPr="0046238D">
          <w:rPr>
            <w:rStyle w:val="Hyperlink"/>
            <w:rFonts w:ascii="Times New Roman" w:hAnsi="Times New Roman" w:cs="Times New Roman"/>
            <w:noProof/>
            <w:sz w:val="24"/>
            <w:szCs w:val="24"/>
          </w:rPr>
          <w:t>Figure 33. Monoclonal phage ELISA demonstrating similar reactivity of pooled ATI positive sera against the three selected peptides and the unselected control peptide from the random peptide library.</w:t>
        </w:r>
        <w:r w:rsidR="0046238D" w:rsidRPr="0046238D">
          <w:rPr>
            <w:rFonts w:ascii="Times New Roman" w:hAnsi="Times New Roman" w:cs="Times New Roman"/>
            <w:noProof/>
            <w:webHidden/>
            <w:sz w:val="24"/>
            <w:szCs w:val="24"/>
          </w:rPr>
          <w:tab/>
        </w:r>
        <w:r w:rsidR="0046238D" w:rsidRPr="0046238D">
          <w:rPr>
            <w:rFonts w:ascii="Times New Roman" w:hAnsi="Times New Roman" w:cs="Times New Roman"/>
            <w:noProof/>
            <w:webHidden/>
            <w:sz w:val="24"/>
            <w:szCs w:val="24"/>
          </w:rPr>
          <w:fldChar w:fldCharType="begin"/>
        </w:r>
        <w:r w:rsidR="0046238D" w:rsidRPr="0046238D">
          <w:rPr>
            <w:rFonts w:ascii="Times New Roman" w:hAnsi="Times New Roman" w:cs="Times New Roman"/>
            <w:noProof/>
            <w:webHidden/>
            <w:sz w:val="24"/>
            <w:szCs w:val="24"/>
          </w:rPr>
          <w:instrText xml:space="preserve"> PAGEREF _Toc151020678 \h </w:instrText>
        </w:r>
        <w:r w:rsidR="0046238D" w:rsidRPr="0046238D">
          <w:rPr>
            <w:rFonts w:ascii="Times New Roman" w:hAnsi="Times New Roman" w:cs="Times New Roman"/>
            <w:noProof/>
            <w:webHidden/>
            <w:sz w:val="24"/>
            <w:szCs w:val="24"/>
          </w:rPr>
        </w:r>
        <w:r w:rsidR="0046238D" w:rsidRPr="0046238D">
          <w:rPr>
            <w:rFonts w:ascii="Times New Roman" w:hAnsi="Times New Roman" w:cs="Times New Roman"/>
            <w:noProof/>
            <w:webHidden/>
            <w:sz w:val="24"/>
            <w:szCs w:val="24"/>
          </w:rPr>
          <w:fldChar w:fldCharType="separate"/>
        </w:r>
        <w:r w:rsidR="0046238D" w:rsidRPr="0046238D">
          <w:rPr>
            <w:rFonts w:ascii="Times New Roman" w:hAnsi="Times New Roman" w:cs="Times New Roman"/>
            <w:noProof/>
            <w:webHidden/>
            <w:sz w:val="24"/>
            <w:szCs w:val="24"/>
          </w:rPr>
          <w:t>147</w:t>
        </w:r>
        <w:r w:rsidR="0046238D" w:rsidRPr="0046238D">
          <w:rPr>
            <w:rFonts w:ascii="Times New Roman" w:hAnsi="Times New Roman" w:cs="Times New Roman"/>
            <w:noProof/>
            <w:webHidden/>
            <w:sz w:val="24"/>
            <w:szCs w:val="24"/>
          </w:rPr>
          <w:fldChar w:fldCharType="end"/>
        </w:r>
      </w:hyperlink>
    </w:p>
    <w:p w14:paraId="47E2FEC6" w14:textId="3D99AC24" w:rsidR="007A2E1E" w:rsidRPr="0046238D" w:rsidRDefault="0046238D" w:rsidP="0046238D">
      <w:pPr>
        <w:spacing w:line="240" w:lineRule="auto"/>
        <w:rPr>
          <w:rFonts w:ascii="Times New Roman" w:hAnsi="Times New Roman" w:cs="Times New Roman"/>
          <w:sz w:val="24"/>
          <w:szCs w:val="24"/>
        </w:rPr>
      </w:pPr>
      <w:r w:rsidRPr="0046238D">
        <w:rPr>
          <w:rFonts w:ascii="Times New Roman" w:hAnsi="Times New Roman" w:cs="Times New Roman"/>
          <w:sz w:val="24"/>
          <w:szCs w:val="24"/>
        </w:rPr>
        <w:fldChar w:fldCharType="end"/>
      </w:r>
    </w:p>
    <w:p w14:paraId="33AA4A62" w14:textId="77777777" w:rsidR="007A2E1E" w:rsidRPr="00546F27" w:rsidRDefault="007A2E1E" w:rsidP="0046238D">
      <w:pPr>
        <w:spacing w:line="240" w:lineRule="auto"/>
        <w:rPr>
          <w:rFonts w:ascii="Times New Roman" w:hAnsi="Times New Roman" w:cs="Times New Roman"/>
          <w:b/>
          <w:bCs/>
          <w:sz w:val="24"/>
          <w:szCs w:val="24"/>
        </w:rPr>
      </w:pPr>
    </w:p>
    <w:p w14:paraId="0854F08A" w14:textId="77777777" w:rsidR="007A2E1E" w:rsidRPr="00546F27" w:rsidRDefault="007A2E1E" w:rsidP="00546F27">
      <w:pPr>
        <w:spacing w:line="480" w:lineRule="auto"/>
        <w:rPr>
          <w:rFonts w:ascii="Times New Roman" w:hAnsi="Times New Roman" w:cs="Times New Roman"/>
          <w:b/>
          <w:bCs/>
          <w:sz w:val="24"/>
          <w:szCs w:val="24"/>
        </w:rPr>
      </w:pPr>
    </w:p>
    <w:p w14:paraId="3A45E273" w14:textId="77777777" w:rsidR="007A2E1E" w:rsidRPr="00546F27" w:rsidRDefault="007A2E1E" w:rsidP="00546F27">
      <w:pPr>
        <w:spacing w:line="480" w:lineRule="auto"/>
        <w:rPr>
          <w:rFonts w:ascii="Times New Roman" w:hAnsi="Times New Roman" w:cs="Times New Roman"/>
          <w:b/>
          <w:bCs/>
          <w:sz w:val="24"/>
          <w:szCs w:val="24"/>
        </w:rPr>
      </w:pPr>
    </w:p>
    <w:p w14:paraId="606A6EC7" w14:textId="77777777" w:rsidR="007A2E1E" w:rsidRPr="00546F27" w:rsidRDefault="007A2E1E" w:rsidP="00546F27">
      <w:pPr>
        <w:spacing w:line="480" w:lineRule="auto"/>
        <w:rPr>
          <w:rFonts w:ascii="Times New Roman" w:hAnsi="Times New Roman" w:cs="Times New Roman"/>
          <w:b/>
          <w:bCs/>
          <w:sz w:val="24"/>
          <w:szCs w:val="24"/>
        </w:rPr>
      </w:pPr>
    </w:p>
    <w:p w14:paraId="2CAF0CAC" w14:textId="77777777" w:rsidR="007A2E1E" w:rsidRPr="00546F27" w:rsidRDefault="007A2E1E" w:rsidP="00546F27">
      <w:pPr>
        <w:spacing w:line="480" w:lineRule="auto"/>
        <w:rPr>
          <w:rFonts w:ascii="Times New Roman" w:hAnsi="Times New Roman" w:cs="Times New Roman"/>
          <w:b/>
          <w:bCs/>
          <w:sz w:val="24"/>
          <w:szCs w:val="24"/>
        </w:rPr>
      </w:pPr>
    </w:p>
    <w:p w14:paraId="7944CCC9" w14:textId="77777777" w:rsidR="007A2E1E" w:rsidRPr="00546F27" w:rsidRDefault="007A2E1E" w:rsidP="00546F27">
      <w:pPr>
        <w:spacing w:line="480" w:lineRule="auto"/>
        <w:rPr>
          <w:rFonts w:ascii="Times New Roman" w:hAnsi="Times New Roman" w:cs="Times New Roman"/>
          <w:b/>
          <w:bCs/>
          <w:sz w:val="24"/>
          <w:szCs w:val="24"/>
        </w:rPr>
      </w:pPr>
    </w:p>
    <w:p w14:paraId="16B782EC" w14:textId="77777777" w:rsidR="007A2E1E" w:rsidRPr="00546F27" w:rsidRDefault="007A2E1E" w:rsidP="00546F27">
      <w:pPr>
        <w:spacing w:line="480" w:lineRule="auto"/>
        <w:rPr>
          <w:rFonts w:ascii="Times New Roman" w:hAnsi="Times New Roman" w:cs="Times New Roman"/>
          <w:b/>
          <w:bCs/>
          <w:sz w:val="24"/>
          <w:szCs w:val="24"/>
        </w:rPr>
      </w:pPr>
    </w:p>
    <w:p w14:paraId="29C0B136" w14:textId="77777777" w:rsidR="00E906B1" w:rsidRPr="00546F27" w:rsidRDefault="00E906B1" w:rsidP="00546F27">
      <w:pPr>
        <w:spacing w:line="480" w:lineRule="auto"/>
        <w:rPr>
          <w:rFonts w:ascii="Times New Roman" w:hAnsi="Times New Roman" w:cs="Times New Roman"/>
          <w:b/>
          <w:bCs/>
          <w:sz w:val="24"/>
          <w:szCs w:val="24"/>
        </w:rPr>
      </w:pPr>
    </w:p>
    <w:p w14:paraId="23646F20" w14:textId="77777777" w:rsidR="00E906B1" w:rsidRDefault="00E906B1" w:rsidP="007A2E1E"/>
    <w:p w14:paraId="6D9602FC" w14:textId="77777777" w:rsidR="007A2E1E" w:rsidRDefault="007A2E1E" w:rsidP="007A2E1E"/>
    <w:p w14:paraId="4B69BC1E" w14:textId="77777777" w:rsidR="007A2E1E" w:rsidRDefault="007A2E1E" w:rsidP="007A2E1E"/>
    <w:p w14:paraId="0EACC8F2" w14:textId="77777777" w:rsidR="007A2E1E" w:rsidRDefault="007A2E1E" w:rsidP="007A2E1E"/>
    <w:p w14:paraId="0F0E636D" w14:textId="77777777" w:rsidR="007A2E1E" w:rsidRDefault="007A2E1E" w:rsidP="007A2E1E"/>
    <w:p w14:paraId="10A85DD9" w14:textId="77777777" w:rsidR="007A2E1E" w:rsidRDefault="007A2E1E" w:rsidP="007A2E1E"/>
    <w:p w14:paraId="5312065E" w14:textId="77777777" w:rsidR="00BC5A68" w:rsidRDefault="00BC5A68" w:rsidP="00BC5A68"/>
    <w:p w14:paraId="49E8654B" w14:textId="77777777" w:rsidR="0046238D" w:rsidRDefault="0046238D" w:rsidP="00BC5A68"/>
    <w:p w14:paraId="791815A0" w14:textId="77777777" w:rsidR="0046238D" w:rsidRDefault="0046238D" w:rsidP="00BC5A68"/>
    <w:p w14:paraId="396398C0" w14:textId="77777777" w:rsidR="0046238D" w:rsidRDefault="0046238D" w:rsidP="00BC5A68"/>
    <w:p w14:paraId="0241F27E" w14:textId="77777777" w:rsidR="0046238D" w:rsidRPr="00BC5A68" w:rsidRDefault="0046238D" w:rsidP="00BC5A68"/>
    <w:p w14:paraId="7330CF81" w14:textId="77777777" w:rsidR="00BC5A68" w:rsidRPr="00F776D6" w:rsidRDefault="00BC5A68" w:rsidP="00F776D6">
      <w:pPr>
        <w:pStyle w:val="Heading1"/>
        <w:spacing w:line="480" w:lineRule="auto"/>
        <w:rPr>
          <w:rFonts w:ascii="Times New Roman" w:hAnsi="Times New Roman" w:cs="Times New Roman"/>
          <w:sz w:val="32"/>
          <w:szCs w:val="32"/>
        </w:rPr>
      </w:pPr>
      <w:bookmarkStart w:id="2" w:name="_Toc151020444"/>
      <w:r w:rsidRPr="00F776D6">
        <w:rPr>
          <w:rFonts w:ascii="Times New Roman" w:hAnsi="Times New Roman" w:cs="Times New Roman"/>
          <w:sz w:val="32"/>
          <w:szCs w:val="32"/>
        </w:rPr>
        <w:lastRenderedPageBreak/>
        <w:t>List of tables</w:t>
      </w:r>
      <w:bookmarkEnd w:id="2"/>
    </w:p>
    <w:p w14:paraId="1518F1A5" w14:textId="74C7D783" w:rsidR="004B3AAE" w:rsidRPr="0046238D" w:rsidRDefault="004B3AAE"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r w:rsidRPr="0046238D">
        <w:rPr>
          <w:rFonts w:ascii="Times New Roman" w:hAnsi="Times New Roman" w:cs="Times New Roman"/>
          <w:sz w:val="24"/>
          <w:szCs w:val="24"/>
        </w:rPr>
        <w:fldChar w:fldCharType="begin"/>
      </w:r>
      <w:r w:rsidRPr="0046238D">
        <w:rPr>
          <w:rFonts w:ascii="Times New Roman" w:hAnsi="Times New Roman" w:cs="Times New Roman"/>
          <w:sz w:val="24"/>
          <w:szCs w:val="24"/>
        </w:rPr>
        <w:instrText xml:space="preserve"> TOC \h \z \c "Table" </w:instrText>
      </w:r>
      <w:r w:rsidRPr="0046238D">
        <w:rPr>
          <w:rFonts w:ascii="Times New Roman" w:hAnsi="Times New Roman" w:cs="Times New Roman"/>
          <w:sz w:val="24"/>
          <w:szCs w:val="24"/>
        </w:rPr>
        <w:fldChar w:fldCharType="separate"/>
      </w:r>
      <w:hyperlink w:anchor="_Toc139306954" w:history="1">
        <w:r w:rsidRPr="0046238D">
          <w:rPr>
            <w:rStyle w:val="Hyperlink"/>
            <w:rFonts w:ascii="Times New Roman" w:hAnsi="Times New Roman" w:cs="Times New Roman"/>
            <w:noProof/>
            <w:sz w:val="24"/>
            <w:szCs w:val="24"/>
          </w:rPr>
          <w:t xml:space="preserve">Table 1. Infliximab biosimilars licensed for use in the European Union </w:t>
        </w:r>
        <w:r w:rsidRPr="0046238D">
          <w:rPr>
            <w:rStyle w:val="Hyperlink"/>
            <w:rFonts w:ascii="Times New Roman" w:hAnsi="Times New Roman" w:cs="Times New Roman"/>
            <w:noProof/>
            <w:sz w:val="24"/>
            <w:szCs w:val="24"/>
            <w:vertAlign w:val="superscript"/>
          </w:rPr>
          <w:t>71,98,99,101,102</w:t>
        </w:r>
        <w:r w:rsidRPr="0046238D">
          <w:rPr>
            <w:rStyle w:val="Hyperlink"/>
            <w:rFonts w:ascii="Times New Roman" w:hAnsi="Times New Roman" w:cs="Times New Roman"/>
            <w:noProof/>
            <w:sz w:val="24"/>
            <w:szCs w:val="24"/>
          </w:rPr>
          <w:t>.</w:t>
        </w:r>
        <w:r w:rsidRPr="0046238D">
          <w:rPr>
            <w:rFonts w:ascii="Times New Roman" w:hAnsi="Times New Roman" w:cs="Times New Roman"/>
            <w:noProof/>
            <w:webHidden/>
            <w:sz w:val="24"/>
            <w:szCs w:val="24"/>
          </w:rPr>
          <w:tab/>
        </w:r>
        <w:r w:rsidRPr="0046238D">
          <w:rPr>
            <w:rFonts w:ascii="Times New Roman" w:hAnsi="Times New Roman" w:cs="Times New Roman"/>
            <w:noProof/>
            <w:webHidden/>
            <w:sz w:val="24"/>
            <w:szCs w:val="24"/>
          </w:rPr>
          <w:fldChar w:fldCharType="begin"/>
        </w:r>
        <w:r w:rsidRPr="0046238D">
          <w:rPr>
            <w:rFonts w:ascii="Times New Roman" w:hAnsi="Times New Roman" w:cs="Times New Roman"/>
            <w:noProof/>
            <w:webHidden/>
            <w:sz w:val="24"/>
            <w:szCs w:val="24"/>
          </w:rPr>
          <w:instrText xml:space="preserve"> PAGEREF _Toc139306954 \h </w:instrText>
        </w:r>
        <w:r w:rsidRPr="0046238D">
          <w:rPr>
            <w:rFonts w:ascii="Times New Roman" w:hAnsi="Times New Roman" w:cs="Times New Roman"/>
            <w:noProof/>
            <w:webHidden/>
            <w:sz w:val="24"/>
            <w:szCs w:val="24"/>
          </w:rPr>
        </w:r>
        <w:r w:rsidRPr="0046238D">
          <w:rPr>
            <w:rFonts w:ascii="Times New Roman" w:hAnsi="Times New Roman" w:cs="Times New Roman"/>
            <w:noProof/>
            <w:webHidden/>
            <w:sz w:val="24"/>
            <w:szCs w:val="24"/>
          </w:rPr>
          <w:fldChar w:fldCharType="separate"/>
        </w:r>
        <w:r w:rsidRPr="0046238D">
          <w:rPr>
            <w:rFonts w:ascii="Times New Roman" w:hAnsi="Times New Roman" w:cs="Times New Roman"/>
            <w:noProof/>
            <w:webHidden/>
            <w:sz w:val="24"/>
            <w:szCs w:val="24"/>
          </w:rPr>
          <w:t>40</w:t>
        </w:r>
        <w:r w:rsidRPr="0046238D">
          <w:rPr>
            <w:rFonts w:ascii="Times New Roman" w:hAnsi="Times New Roman" w:cs="Times New Roman"/>
            <w:noProof/>
            <w:webHidden/>
            <w:sz w:val="24"/>
            <w:szCs w:val="24"/>
          </w:rPr>
          <w:fldChar w:fldCharType="end"/>
        </w:r>
      </w:hyperlink>
    </w:p>
    <w:p w14:paraId="78FB15FD" w14:textId="6146CF57"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55" w:history="1">
        <w:r w:rsidR="004B3AAE" w:rsidRPr="0046238D">
          <w:rPr>
            <w:rStyle w:val="Hyperlink"/>
            <w:rFonts w:ascii="Times New Roman" w:hAnsi="Times New Roman" w:cs="Times New Roman"/>
            <w:noProof/>
            <w:sz w:val="24"/>
            <w:szCs w:val="24"/>
          </w:rPr>
          <w:t>Table 2. Baseline demographics of study cohort (n=214).</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_Toc139306955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69</w:t>
        </w:r>
        <w:r w:rsidR="004B3AAE" w:rsidRPr="0046238D">
          <w:rPr>
            <w:rFonts w:ascii="Times New Roman" w:hAnsi="Times New Roman" w:cs="Times New Roman"/>
            <w:noProof/>
            <w:webHidden/>
            <w:sz w:val="24"/>
            <w:szCs w:val="24"/>
          </w:rPr>
          <w:fldChar w:fldCharType="end"/>
        </w:r>
      </w:hyperlink>
    </w:p>
    <w:p w14:paraId="53877CF3" w14:textId="7D223A98"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56" w:history="1">
        <w:r w:rsidR="004B3AAE" w:rsidRPr="0046238D">
          <w:rPr>
            <w:rStyle w:val="Hyperlink"/>
            <w:rFonts w:ascii="Times New Roman" w:hAnsi="Times New Roman" w:cs="Times New Roman"/>
            <w:noProof/>
            <w:sz w:val="24"/>
            <w:szCs w:val="24"/>
          </w:rPr>
          <w:t>Table 3. Relationship between antibodies to infliximab status and infliximab trough levels at first maintenance dose (n=50).</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_Toc139306956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73</w:t>
        </w:r>
        <w:r w:rsidR="004B3AAE" w:rsidRPr="0046238D">
          <w:rPr>
            <w:rFonts w:ascii="Times New Roman" w:hAnsi="Times New Roman" w:cs="Times New Roman"/>
            <w:noProof/>
            <w:webHidden/>
            <w:sz w:val="24"/>
            <w:szCs w:val="24"/>
          </w:rPr>
          <w:fldChar w:fldCharType="end"/>
        </w:r>
      </w:hyperlink>
    </w:p>
    <w:p w14:paraId="0FD161CD" w14:textId="48F13D52"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57" w:history="1">
        <w:r w:rsidR="004B3AAE" w:rsidRPr="0046238D">
          <w:rPr>
            <w:rStyle w:val="Hyperlink"/>
            <w:rFonts w:ascii="Times New Roman" w:hAnsi="Times New Roman" w:cs="Times New Roman"/>
            <w:noProof/>
            <w:sz w:val="24"/>
            <w:szCs w:val="24"/>
          </w:rPr>
          <w:t>Table 4. Outcomes of patients with positive antibodies to infliximab and loss of clinical remission n=49.</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_Toc139306957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75</w:t>
        </w:r>
        <w:r w:rsidR="004B3AAE" w:rsidRPr="0046238D">
          <w:rPr>
            <w:rFonts w:ascii="Times New Roman" w:hAnsi="Times New Roman" w:cs="Times New Roman"/>
            <w:noProof/>
            <w:webHidden/>
            <w:sz w:val="24"/>
            <w:szCs w:val="24"/>
          </w:rPr>
          <w:fldChar w:fldCharType="end"/>
        </w:r>
      </w:hyperlink>
    </w:p>
    <w:p w14:paraId="6EA1C20C" w14:textId="51D391E3"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58" w:history="1">
        <w:r w:rsidR="004B3AAE" w:rsidRPr="0046238D">
          <w:rPr>
            <w:rStyle w:val="Hyperlink"/>
            <w:rFonts w:ascii="Times New Roman" w:hAnsi="Times New Roman" w:cs="Times New Roman"/>
            <w:noProof/>
            <w:sz w:val="24"/>
            <w:szCs w:val="24"/>
          </w:rPr>
          <w:t>Table 5. Demographic details of patient cohort receiving infliximab dose escalation.</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_Toc139306958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87</w:t>
        </w:r>
        <w:r w:rsidR="004B3AAE" w:rsidRPr="0046238D">
          <w:rPr>
            <w:rFonts w:ascii="Times New Roman" w:hAnsi="Times New Roman" w:cs="Times New Roman"/>
            <w:noProof/>
            <w:webHidden/>
            <w:sz w:val="24"/>
            <w:szCs w:val="24"/>
          </w:rPr>
          <w:fldChar w:fldCharType="end"/>
        </w:r>
      </w:hyperlink>
    </w:p>
    <w:p w14:paraId="4E9E38A0" w14:textId="7365CA0B"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59" w:history="1">
        <w:r w:rsidR="004B3AAE" w:rsidRPr="0046238D">
          <w:rPr>
            <w:rStyle w:val="Hyperlink"/>
            <w:rFonts w:ascii="Times New Roman" w:hAnsi="Times New Roman" w:cs="Times New Roman"/>
            <w:noProof/>
            <w:sz w:val="24"/>
            <w:szCs w:val="24"/>
          </w:rPr>
          <w:t>Table 6. Comparison of infliximab trough level following different methods of dose escalation in patients with inflammatory bowel disease</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_Toc139306959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96</w:t>
        </w:r>
        <w:r w:rsidR="004B3AAE" w:rsidRPr="0046238D">
          <w:rPr>
            <w:rFonts w:ascii="Times New Roman" w:hAnsi="Times New Roman" w:cs="Times New Roman"/>
            <w:noProof/>
            <w:webHidden/>
            <w:sz w:val="24"/>
            <w:szCs w:val="24"/>
          </w:rPr>
          <w:fldChar w:fldCharType="end"/>
        </w:r>
      </w:hyperlink>
    </w:p>
    <w:p w14:paraId="26EF2C1E" w14:textId="3ECA3958"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0" w:history="1">
        <w:r w:rsidR="004B3AAE" w:rsidRPr="0046238D">
          <w:rPr>
            <w:rStyle w:val="Hyperlink"/>
            <w:rFonts w:ascii="Times New Roman" w:hAnsi="Times New Roman" w:cs="Times New Roman"/>
            <w:noProof/>
            <w:sz w:val="24"/>
            <w:szCs w:val="24"/>
          </w:rPr>
          <w:t>Table 7. Domain specific primers used for separate PCR amplification of infliximab light and infliximab Fab heavy chain.</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_Toc139306960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105</w:t>
        </w:r>
        <w:r w:rsidR="004B3AAE" w:rsidRPr="0046238D">
          <w:rPr>
            <w:rFonts w:ascii="Times New Roman" w:hAnsi="Times New Roman" w:cs="Times New Roman"/>
            <w:noProof/>
            <w:webHidden/>
            <w:sz w:val="24"/>
            <w:szCs w:val="24"/>
          </w:rPr>
          <w:fldChar w:fldCharType="end"/>
        </w:r>
      </w:hyperlink>
    </w:p>
    <w:p w14:paraId="407C3425" w14:textId="75CC6F30"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1" w:history="1">
        <w:r w:rsidR="004B3AAE" w:rsidRPr="0046238D">
          <w:rPr>
            <w:rStyle w:val="Hyperlink"/>
            <w:rFonts w:ascii="Times New Roman" w:hAnsi="Times New Roman" w:cs="Times New Roman"/>
            <w:noProof/>
            <w:sz w:val="24"/>
            <w:szCs w:val="24"/>
          </w:rPr>
          <w:t>Table 8</w:t>
        </w:r>
        <w:r w:rsidR="004B3AAE" w:rsidRPr="0046238D">
          <w:rPr>
            <w:rStyle w:val="Hyperlink"/>
            <w:rFonts w:ascii="Times New Roman" w:hAnsi="Times New Roman" w:cs="Times New Roman"/>
            <w:noProof/>
            <w:kern w:val="24"/>
            <w:sz w:val="24"/>
            <w:szCs w:val="24"/>
            <w:lang w:val="en-US" w:eastAsia="en-GB"/>
          </w:rPr>
          <w:t>. Sonication conditions assessed in digestion of infliximab light chain and heavy chain Fab.</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_Toc139306961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106</w:t>
        </w:r>
        <w:r w:rsidR="004B3AAE" w:rsidRPr="0046238D">
          <w:rPr>
            <w:rFonts w:ascii="Times New Roman" w:hAnsi="Times New Roman" w:cs="Times New Roman"/>
            <w:noProof/>
            <w:webHidden/>
            <w:sz w:val="24"/>
            <w:szCs w:val="24"/>
          </w:rPr>
          <w:fldChar w:fldCharType="end"/>
        </w:r>
      </w:hyperlink>
    </w:p>
    <w:p w14:paraId="77E94096" w14:textId="26349C41"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2" w:history="1">
        <w:r w:rsidR="004B3AAE" w:rsidRPr="0046238D">
          <w:rPr>
            <w:rStyle w:val="Hyperlink"/>
            <w:rFonts w:ascii="Times New Roman" w:hAnsi="Times New Roman" w:cs="Times New Roman"/>
            <w:noProof/>
            <w:sz w:val="24"/>
            <w:szCs w:val="24"/>
          </w:rPr>
          <w:t xml:space="preserve">Table 9. Transformation results following different ligation conditions: </w:t>
        </w:r>
        <w:r w:rsidR="004B3AAE" w:rsidRPr="0046238D">
          <w:rPr>
            <w:rStyle w:val="Hyperlink"/>
            <w:rFonts w:ascii="Times New Roman" w:hAnsi="Times New Roman" w:cs="Times New Roman"/>
            <w:noProof/>
            <w:kern w:val="24"/>
            <w:sz w:val="24"/>
            <w:szCs w:val="24"/>
            <w:lang w:eastAsia="en-GB"/>
          </w:rPr>
          <w:t>1) dephosphorylated digested pNIBS1 vector</w:t>
        </w:r>
        <w:r w:rsidR="004B3AAE" w:rsidRPr="0046238D">
          <w:rPr>
            <w:rStyle w:val="Hyperlink"/>
            <w:rFonts w:ascii="Times New Roman" w:hAnsi="Times New Roman" w:cs="Times New Roman"/>
            <w:noProof/>
            <w:sz w:val="24"/>
            <w:szCs w:val="24"/>
          </w:rPr>
          <w:t xml:space="preserve"> (D pNIBS1),</w:t>
        </w:r>
        <w:r w:rsidR="004B3AAE" w:rsidRPr="0046238D">
          <w:rPr>
            <w:rStyle w:val="Hyperlink"/>
            <w:rFonts w:ascii="Times New Roman" w:hAnsi="Times New Roman" w:cs="Times New Roman"/>
            <w:noProof/>
            <w:kern w:val="24"/>
            <w:sz w:val="24"/>
            <w:szCs w:val="24"/>
            <w:lang w:eastAsia="en-GB"/>
          </w:rPr>
          <w:t xml:space="preserve"> 2) dephosphorylated digested pNIBS1 vector (D pNIBS1) and SrfI restriction enzyme using different vector: insert ratios.</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_Toc139306962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114</w:t>
        </w:r>
        <w:r w:rsidR="004B3AAE" w:rsidRPr="0046238D">
          <w:rPr>
            <w:rFonts w:ascii="Times New Roman" w:hAnsi="Times New Roman" w:cs="Times New Roman"/>
            <w:noProof/>
            <w:webHidden/>
            <w:sz w:val="24"/>
            <w:szCs w:val="24"/>
          </w:rPr>
          <w:fldChar w:fldCharType="end"/>
        </w:r>
      </w:hyperlink>
    </w:p>
    <w:p w14:paraId="4A5FAFD4" w14:textId="1EABABAA"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3" w:history="1">
        <w:r w:rsidR="004B3AAE" w:rsidRPr="0046238D">
          <w:rPr>
            <w:rStyle w:val="Hyperlink"/>
            <w:rFonts w:ascii="Times New Roman" w:hAnsi="Times New Roman" w:cs="Times New Roman"/>
            <w:noProof/>
            <w:sz w:val="24"/>
            <w:szCs w:val="24"/>
          </w:rPr>
          <w:t>Table 10. DNA sequencing of randomly selected colonies from infliximab Fab gene fragment library.</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_Toc139306963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116</w:t>
        </w:r>
        <w:r w:rsidR="004B3AAE" w:rsidRPr="0046238D">
          <w:rPr>
            <w:rFonts w:ascii="Times New Roman" w:hAnsi="Times New Roman" w:cs="Times New Roman"/>
            <w:noProof/>
            <w:webHidden/>
            <w:sz w:val="24"/>
            <w:szCs w:val="24"/>
          </w:rPr>
          <w:fldChar w:fldCharType="end"/>
        </w:r>
      </w:hyperlink>
    </w:p>
    <w:p w14:paraId="53E9433D" w14:textId="08F3868B"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4" w:history="1">
        <w:r w:rsidR="004B3AAE" w:rsidRPr="0046238D">
          <w:rPr>
            <w:rStyle w:val="Hyperlink"/>
            <w:rFonts w:ascii="Times New Roman" w:hAnsi="Times New Roman" w:cs="Times New Roman"/>
            <w:noProof/>
            <w:sz w:val="24"/>
            <w:szCs w:val="24"/>
          </w:rPr>
          <w:t>Table 11. Definition of the clinical phenotypes of patients’ sera used for selection of B cell epitopes.</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_Toc139306964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124</w:t>
        </w:r>
        <w:r w:rsidR="004B3AAE" w:rsidRPr="0046238D">
          <w:rPr>
            <w:rFonts w:ascii="Times New Roman" w:hAnsi="Times New Roman" w:cs="Times New Roman"/>
            <w:noProof/>
            <w:webHidden/>
            <w:sz w:val="24"/>
            <w:szCs w:val="24"/>
          </w:rPr>
          <w:fldChar w:fldCharType="end"/>
        </w:r>
      </w:hyperlink>
    </w:p>
    <w:p w14:paraId="36C5523A" w14:textId="50AB3212"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5" w:history="1">
        <w:r w:rsidR="004B3AAE" w:rsidRPr="0046238D">
          <w:rPr>
            <w:rStyle w:val="Hyperlink"/>
            <w:rFonts w:ascii="Times New Roman" w:hAnsi="Times New Roman" w:cs="Times New Roman"/>
            <w:noProof/>
            <w:sz w:val="24"/>
            <w:szCs w:val="24"/>
          </w:rPr>
          <w:t>Table 12. Clinical details of antibody to infliximab positive IBD patients used for pooled serological selection.</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_Toc139306965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125</w:t>
        </w:r>
        <w:r w:rsidR="004B3AAE" w:rsidRPr="0046238D">
          <w:rPr>
            <w:rFonts w:ascii="Times New Roman" w:hAnsi="Times New Roman" w:cs="Times New Roman"/>
            <w:noProof/>
            <w:webHidden/>
            <w:sz w:val="24"/>
            <w:szCs w:val="24"/>
          </w:rPr>
          <w:fldChar w:fldCharType="end"/>
        </w:r>
      </w:hyperlink>
    </w:p>
    <w:p w14:paraId="4AF05775" w14:textId="0098EEB0"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6" w:history="1">
        <w:r w:rsidR="004B3AAE" w:rsidRPr="0046238D">
          <w:rPr>
            <w:rStyle w:val="Hyperlink"/>
            <w:rFonts w:ascii="Times New Roman" w:hAnsi="Times New Roman" w:cs="Times New Roman"/>
            <w:noProof/>
            <w:sz w:val="24"/>
            <w:szCs w:val="24"/>
          </w:rPr>
          <w:t xml:space="preserve">Table 13. Binding affinity of Protein A for human immunoglobulins </w:t>
        </w:r>
        <w:r w:rsidR="004B3AAE" w:rsidRPr="0046238D">
          <w:rPr>
            <w:rStyle w:val="Hyperlink"/>
            <w:rFonts w:ascii="Times New Roman" w:hAnsi="Times New Roman" w:cs="Times New Roman"/>
            <w:noProof/>
            <w:sz w:val="24"/>
            <w:szCs w:val="24"/>
            <w:vertAlign w:val="superscript"/>
          </w:rPr>
          <w:t>199</w:t>
        </w:r>
        <w:r w:rsidR="004B3AAE" w:rsidRPr="0046238D">
          <w:rPr>
            <w:rStyle w:val="Hyperlink"/>
            <w:rFonts w:ascii="Times New Roman" w:hAnsi="Times New Roman" w:cs="Times New Roman"/>
            <w:noProof/>
            <w:sz w:val="24"/>
            <w:szCs w:val="24"/>
          </w:rPr>
          <w:t>.</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_Toc139306966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146</w:t>
        </w:r>
        <w:r w:rsidR="004B3AAE" w:rsidRPr="0046238D">
          <w:rPr>
            <w:rFonts w:ascii="Times New Roman" w:hAnsi="Times New Roman" w:cs="Times New Roman"/>
            <w:noProof/>
            <w:webHidden/>
            <w:sz w:val="24"/>
            <w:szCs w:val="24"/>
          </w:rPr>
          <w:fldChar w:fldCharType="end"/>
        </w:r>
      </w:hyperlink>
    </w:p>
    <w:p w14:paraId="0157FBEC" w14:textId="6E970ED6" w:rsidR="004B3AAE" w:rsidRPr="0046238D" w:rsidRDefault="00000000" w:rsidP="0046238D">
      <w:pPr>
        <w:pStyle w:val="TableofFigures"/>
        <w:tabs>
          <w:tab w:val="right" w:leader="dot" w:pos="9016"/>
        </w:tabs>
        <w:spacing w:line="240" w:lineRule="auto"/>
        <w:rPr>
          <w:rFonts w:ascii="Times New Roman" w:hAnsi="Times New Roman" w:cs="Times New Roman"/>
          <w:noProof/>
          <w:kern w:val="2"/>
          <w:sz w:val="24"/>
          <w:szCs w:val="24"/>
          <w:lang w:eastAsia="en-GB"/>
          <w14:ligatures w14:val="standardContextual"/>
        </w:rPr>
      </w:pPr>
      <w:hyperlink w:anchor="_Toc139306967" w:history="1">
        <w:r w:rsidR="004B3AAE" w:rsidRPr="0046238D">
          <w:rPr>
            <w:rStyle w:val="Hyperlink"/>
            <w:rFonts w:ascii="Times New Roman" w:hAnsi="Times New Roman" w:cs="Times New Roman"/>
            <w:noProof/>
            <w:sz w:val="24"/>
            <w:szCs w:val="24"/>
          </w:rPr>
          <w:t>Table 14. Selection of random peptide phage display library using ATI positive pooled sera, blank selection with no sera and normal AB sera.</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_Toc139306967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150</w:t>
        </w:r>
        <w:r w:rsidR="004B3AAE" w:rsidRPr="0046238D">
          <w:rPr>
            <w:rFonts w:ascii="Times New Roman" w:hAnsi="Times New Roman" w:cs="Times New Roman"/>
            <w:noProof/>
            <w:webHidden/>
            <w:sz w:val="24"/>
            <w:szCs w:val="24"/>
          </w:rPr>
          <w:fldChar w:fldCharType="end"/>
        </w:r>
      </w:hyperlink>
    </w:p>
    <w:p w14:paraId="27684D19" w14:textId="012A3999" w:rsidR="004B3AAE" w:rsidRPr="0046238D" w:rsidRDefault="00000000" w:rsidP="0046238D">
      <w:pPr>
        <w:pStyle w:val="TableofFigures"/>
        <w:tabs>
          <w:tab w:val="right" w:leader="dot" w:pos="9016"/>
        </w:tabs>
        <w:spacing w:line="240" w:lineRule="auto"/>
        <w:rPr>
          <w:rStyle w:val="Hyperlink"/>
          <w:rFonts w:ascii="Times New Roman" w:eastAsia="Times New Roman" w:hAnsi="Times New Roman" w:cs="Times New Roman"/>
          <w:noProof/>
          <w:kern w:val="24"/>
          <w:sz w:val="24"/>
          <w:szCs w:val="24"/>
          <w:lang w:eastAsia="en-GB"/>
        </w:rPr>
      </w:pPr>
      <w:hyperlink w:anchor="_Toc139306968" w:history="1">
        <w:r w:rsidR="004B3AAE" w:rsidRPr="0046238D">
          <w:rPr>
            <w:rStyle w:val="Hyperlink"/>
            <w:rFonts w:ascii="Times New Roman" w:hAnsi="Times New Roman" w:cs="Times New Roman"/>
            <w:noProof/>
            <w:sz w:val="24"/>
            <w:szCs w:val="24"/>
          </w:rPr>
          <w:t>Table 15.</w:t>
        </w:r>
        <w:r w:rsidR="004B3AAE" w:rsidRPr="0046238D">
          <w:rPr>
            <w:rStyle w:val="Hyperlink"/>
            <w:rFonts w:ascii="Times New Roman" w:eastAsia="Times New Roman" w:hAnsi="Times New Roman" w:cs="Times New Roman"/>
            <w:noProof/>
            <w:kern w:val="24"/>
            <w:sz w:val="24"/>
            <w:szCs w:val="24"/>
            <w:lang w:eastAsia="en-GB"/>
          </w:rPr>
          <w:t xml:space="preserve"> Composition and position of predicted epitopes on infliximab Fab from the selectively enriched and non-selectively enriched peptides from the random peptide phage display library using Pepitope: Pepsurf Server.</w:t>
        </w:r>
        <w:r w:rsidR="004B3AAE" w:rsidRPr="0046238D">
          <w:rPr>
            <w:rFonts w:ascii="Times New Roman" w:hAnsi="Times New Roman" w:cs="Times New Roman"/>
            <w:noProof/>
            <w:webHidden/>
            <w:sz w:val="24"/>
            <w:szCs w:val="24"/>
          </w:rPr>
          <w:tab/>
        </w:r>
        <w:r w:rsidR="004B3AAE" w:rsidRPr="0046238D">
          <w:rPr>
            <w:rFonts w:ascii="Times New Roman" w:hAnsi="Times New Roman" w:cs="Times New Roman"/>
            <w:noProof/>
            <w:webHidden/>
            <w:sz w:val="24"/>
            <w:szCs w:val="24"/>
          </w:rPr>
          <w:fldChar w:fldCharType="begin"/>
        </w:r>
        <w:r w:rsidR="004B3AAE" w:rsidRPr="0046238D">
          <w:rPr>
            <w:rFonts w:ascii="Times New Roman" w:hAnsi="Times New Roman" w:cs="Times New Roman"/>
            <w:noProof/>
            <w:webHidden/>
            <w:sz w:val="24"/>
            <w:szCs w:val="24"/>
          </w:rPr>
          <w:instrText xml:space="preserve"> PAGEREF _Toc139306968 \h </w:instrText>
        </w:r>
        <w:r w:rsidR="004B3AAE" w:rsidRPr="0046238D">
          <w:rPr>
            <w:rFonts w:ascii="Times New Roman" w:hAnsi="Times New Roman" w:cs="Times New Roman"/>
            <w:noProof/>
            <w:webHidden/>
            <w:sz w:val="24"/>
            <w:szCs w:val="24"/>
          </w:rPr>
        </w:r>
        <w:r w:rsidR="004B3AAE" w:rsidRPr="0046238D">
          <w:rPr>
            <w:rFonts w:ascii="Times New Roman" w:hAnsi="Times New Roman" w:cs="Times New Roman"/>
            <w:noProof/>
            <w:webHidden/>
            <w:sz w:val="24"/>
            <w:szCs w:val="24"/>
          </w:rPr>
          <w:fldChar w:fldCharType="separate"/>
        </w:r>
        <w:r w:rsidR="004B3AAE" w:rsidRPr="0046238D">
          <w:rPr>
            <w:rFonts w:ascii="Times New Roman" w:hAnsi="Times New Roman" w:cs="Times New Roman"/>
            <w:noProof/>
            <w:webHidden/>
            <w:sz w:val="24"/>
            <w:szCs w:val="24"/>
          </w:rPr>
          <w:t>152</w:t>
        </w:r>
        <w:r w:rsidR="004B3AAE" w:rsidRPr="0046238D">
          <w:rPr>
            <w:rFonts w:ascii="Times New Roman" w:hAnsi="Times New Roman" w:cs="Times New Roman"/>
            <w:noProof/>
            <w:webHidden/>
            <w:sz w:val="24"/>
            <w:szCs w:val="24"/>
          </w:rPr>
          <w:fldChar w:fldCharType="end"/>
        </w:r>
      </w:hyperlink>
    </w:p>
    <w:p w14:paraId="27947789" w14:textId="77777777" w:rsidR="00296932" w:rsidRPr="0046238D" w:rsidRDefault="00296932" w:rsidP="00296932">
      <w:pPr>
        <w:rPr>
          <w:lang w:eastAsia="en-GB"/>
        </w:rPr>
      </w:pPr>
    </w:p>
    <w:p w14:paraId="61F76B46" w14:textId="77777777" w:rsidR="00296932" w:rsidRPr="0046238D" w:rsidRDefault="00296932" w:rsidP="00296932">
      <w:pPr>
        <w:rPr>
          <w:lang w:eastAsia="en-GB"/>
        </w:rPr>
      </w:pPr>
    </w:p>
    <w:p w14:paraId="57F0D65F" w14:textId="77777777" w:rsidR="00296932" w:rsidRPr="0046238D" w:rsidRDefault="00296932" w:rsidP="00296932">
      <w:pPr>
        <w:rPr>
          <w:rStyle w:val="Hyperlink"/>
          <w:rFonts w:ascii="Times New Roman" w:eastAsia="Times New Roman" w:hAnsi="Times New Roman" w:cs="Times New Roman"/>
          <w:noProof/>
          <w:kern w:val="24"/>
          <w:sz w:val="24"/>
          <w:szCs w:val="24"/>
          <w:lang w:eastAsia="en-GB"/>
        </w:rPr>
      </w:pPr>
    </w:p>
    <w:p w14:paraId="7C375EC7" w14:textId="733C0408" w:rsidR="00296932" w:rsidRPr="0046238D" w:rsidRDefault="00296932" w:rsidP="00296932">
      <w:pPr>
        <w:tabs>
          <w:tab w:val="left" w:pos="1700"/>
        </w:tabs>
        <w:rPr>
          <w:lang w:eastAsia="en-GB"/>
        </w:rPr>
      </w:pPr>
      <w:r w:rsidRPr="0046238D">
        <w:rPr>
          <w:lang w:eastAsia="en-GB"/>
        </w:rPr>
        <w:tab/>
      </w:r>
    </w:p>
    <w:p w14:paraId="5BC6CED9" w14:textId="356362E1" w:rsidR="00BC5A68" w:rsidRDefault="004B3AAE" w:rsidP="00296932">
      <w:pPr>
        <w:rPr>
          <w:sz w:val="32"/>
          <w:szCs w:val="32"/>
        </w:rPr>
      </w:pPr>
      <w:r w:rsidRPr="0046238D">
        <w:fldChar w:fldCharType="end"/>
      </w:r>
    </w:p>
    <w:p w14:paraId="4D7CB85C" w14:textId="77777777" w:rsidR="00296932" w:rsidRDefault="00296932" w:rsidP="00296932"/>
    <w:p w14:paraId="1A616F06" w14:textId="77777777" w:rsidR="00296932" w:rsidRDefault="00296932" w:rsidP="00296932"/>
    <w:p w14:paraId="39C02BEF" w14:textId="77777777" w:rsidR="00296932" w:rsidRDefault="00296932" w:rsidP="00296932"/>
    <w:p w14:paraId="75C012D2" w14:textId="7BCF1727" w:rsidR="007E6F91" w:rsidRPr="003D581B" w:rsidRDefault="0057101A" w:rsidP="00700BBF">
      <w:pPr>
        <w:pStyle w:val="Heading1"/>
        <w:spacing w:line="480" w:lineRule="auto"/>
        <w:rPr>
          <w:rFonts w:ascii="Times New Roman" w:hAnsi="Times New Roman" w:cs="Times New Roman"/>
          <w:sz w:val="32"/>
          <w:szCs w:val="32"/>
        </w:rPr>
      </w:pPr>
      <w:bookmarkStart w:id="3" w:name="_Toc151020445"/>
      <w:r>
        <w:rPr>
          <w:rFonts w:ascii="Times New Roman" w:hAnsi="Times New Roman" w:cs="Times New Roman"/>
          <w:sz w:val="32"/>
          <w:szCs w:val="32"/>
        </w:rPr>
        <w:lastRenderedPageBreak/>
        <w:t>List of abbreviations used</w:t>
      </w:r>
      <w:bookmarkEnd w:id="3"/>
    </w:p>
    <w:tbl>
      <w:tblPr>
        <w:tblpPr w:leftFromText="180" w:rightFromText="180" w:vertAnchor="text" w:horzAnchor="margin" w:tblpY="73"/>
        <w:tblW w:w="0" w:type="auto"/>
        <w:tblLook w:val="04A0" w:firstRow="1" w:lastRow="0" w:firstColumn="1" w:lastColumn="0" w:noHBand="0" w:noVBand="1"/>
      </w:tblPr>
      <w:tblGrid>
        <w:gridCol w:w="4493"/>
        <w:gridCol w:w="4523"/>
      </w:tblGrid>
      <w:tr w:rsidR="00B61771" w:rsidRPr="00433865" w14:paraId="3132E0EE" w14:textId="77777777" w:rsidTr="00B61771">
        <w:tc>
          <w:tcPr>
            <w:tcW w:w="4493" w:type="dxa"/>
          </w:tcPr>
          <w:p w14:paraId="3A8D160E"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ADA</w:t>
            </w:r>
          </w:p>
        </w:tc>
        <w:tc>
          <w:tcPr>
            <w:tcW w:w="4523" w:type="dxa"/>
          </w:tcPr>
          <w:p w14:paraId="5193E130"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Anti-drug antibodies</w:t>
            </w:r>
          </w:p>
        </w:tc>
      </w:tr>
      <w:tr w:rsidR="00B61771" w:rsidRPr="00433865" w14:paraId="1C3AAFB3" w14:textId="77777777" w:rsidTr="00B61771">
        <w:tc>
          <w:tcPr>
            <w:tcW w:w="4493" w:type="dxa"/>
          </w:tcPr>
          <w:p w14:paraId="07EBD2EC"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ATI</w:t>
            </w:r>
          </w:p>
        </w:tc>
        <w:tc>
          <w:tcPr>
            <w:tcW w:w="4523" w:type="dxa"/>
          </w:tcPr>
          <w:p w14:paraId="7D074DA5"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Antibodies to infliximab</w:t>
            </w:r>
          </w:p>
        </w:tc>
      </w:tr>
      <w:tr w:rsidR="00B61771" w:rsidRPr="00433865" w14:paraId="7956A3E2" w14:textId="77777777" w:rsidTr="00B61771">
        <w:tc>
          <w:tcPr>
            <w:tcW w:w="4493" w:type="dxa"/>
          </w:tcPr>
          <w:p w14:paraId="12732A24"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CD</w:t>
            </w:r>
          </w:p>
        </w:tc>
        <w:tc>
          <w:tcPr>
            <w:tcW w:w="4523" w:type="dxa"/>
          </w:tcPr>
          <w:p w14:paraId="67245ED3"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Crohn’s disease</w:t>
            </w:r>
          </w:p>
        </w:tc>
      </w:tr>
      <w:tr w:rsidR="00925171" w:rsidRPr="00433865" w14:paraId="6CDF0217" w14:textId="77777777" w:rsidTr="00B61771">
        <w:tc>
          <w:tcPr>
            <w:tcW w:w="4493" w:type="dxa"/>
          </w:tcPr>
          <w:p w14:paraId="7E3F1441" w14:textId="3545BC80" w:rsidR="00925171" w:rsidRPr="00433865" w:rsidRDefault="00925171" w:rsidP="00700BBF">
            <w:pPr>
              <w:spacing w:line="480" w:lineRule="auto"/>
              <w:rPr>
                <w:rFonts w:ascii="Times New Roman" w:hAnsi="Times New Roman" w:cs="Times New Roman"/>
              </w:rPr>
            </w:pPr>
            <w:r w:rsidRPr="00433865">
              <w:rPr>
                <w:rFonts w:ascii="Times New Roman" w:hAnsi="Times New Roman" w:cs="Times New Roman"/>
              </w:rPr>
              <w:t>CDR</w:t>
            </w:r>
          </w:p>
        </w:tc>
        <w:tc>
          <w:tcPr>
            <w:tcW w:w="4523" w:type="dxa"/>
          </w:tcPr>
          <w:p w14:paraId="54F8EE69" w14:textId="0109951C" w:rsidR="00925171" w:rsidRPr="00433865" w:rsidRDefault="00925171" w:rsidP="00700BBF">
            <w:pPr>
              <w:spacing w:line="480" w:lineRule="auto"/>
              <w:rPr>
                <w:rFonts w:ascii="Times New Roman" w:hAnsi="Times New Roman" w:cs="Times New Roman"/>
              </w:rPr>
            </w:pPr>
            <w:r w:rsidRPr="00433865">
              <w:rPr>
                <w:rFonts w:ascii="Times New Roman" w:hAnsi="Times New Roman" w:cs="Times New Roman"/>
              </w:rPr>
              <w:t>Complementarity determining regions</w:t>
            </w:r>
          </w:p>
        </w:tc>
      </w:tr>
      <w:tr w:rsidR="00B61771" w:rsidRPr="00433865" w14:paraId="580152A9" w14:textId="77777777" w:rsidTr="00B61771">
        <w:tc>
          <w:tcPr>
            <w:tcW w:w="4493" w:type="dxa"/>
          </w:tcPr>
          <w:p w14:paraId="0BDA1023"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w:t>
            </w:r>
            <w:proofErr w:type="spellStart"/>
            <w:r w:rsidRPr="00433865">
              <w:rPr>
                <w:rFonts w:ascii="Times New Roman" w:hAnsi="Times New Roman" w:cs="Times New Roman"/>
              </w:rPr>
              <w:t>Myc</w:t>
            </w:r>
            <w:proofErr w:type="spellEnd"/>
          </w:p>
        </w:tc>
        <w:tc>
          <w:tcPr>
            <w:tcW w:w="4523" w:type="dxa"/>
          </w:tcPr>
          <w:p w14:paraId="47A9CBEE"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C-terminal</w:t>
            </w:r>
          </w:p>
        </w:tc>
      </w:tr>
      <w:tr w:rsidR="002D5589" w:rsidRPr="00433865" w14:paraId="3A99C715" w14:textId="77777777" w:rsidTr="00B61771">
        <w:tc>
          <w:tcPr>
            <w:tcW w:w="4493" w:type="dxa"/>
          </w:tcPr>
          <w:p w14:paraId="6943E7EA" w14:textId="4FB09A76" w:rsidR="002D5589" w:rsidRPr="00433865" w:rsidRDefault="002D5589" w:rsidP="00700BBF">
            <w:pPr>
              <w:spacing w:line="480" w:lineRule="auto"/>
              <w:rPr>
                <w:rFonts w:ascii="Times New Roman" w:hAnsi="Times New Roman" w:cs="Times New Roman"/>
              </w:rPr>
            </w:pPr>
            <w:r w:rsidRPr="00433865">
              <w:rPr>
                <w:rFonts w:ascii="Times New Roman" w:hAnsi="Times New Roman" w:cs="Times New Roman"/>
              </w:rPr>
              <w:t>DE</w:t>
            </w:r>
          </w:p>
        </w:tc>
        <w:tc>
          <w:tcPr>
            <w:tcW w:w="4523" w:type="dxa"/>
          </w:tcPr>
          <w:p w14:paraId="6D24DF5C" w14:textId="301CE7C5" w:rsidR="002D5589" w:rsidRPr="00433865" w:rsidRDefault="002D5589" w:rsidP="00700BBF">
            <w:pPr>
              <w:spacing w:line="480" w:lineRule="auto"/>
              <w:rPr>
                <w:rFonts w:ascii="Times New Roman" w:hAnsi="Times New Roman" w:cs="Times New Roman"/>
              </w:rPr>
            </w:pPr>
            <w:r w:rsidRPr="00433865">
              <w:rPr>
                <w:rFonts w:ascii="Times New Roman" w:hAnsi="Times New Roman" w:cs="Times New Roman"/>
              </w:rPr>
              <w:t>Dose escalation</w:t>
            </w:r>
          </w:p>
        </w:tc>
      </w:tr>
      <w:tr w:rsidR="00B61771" w:rsidRPr="00433865" w14:paraId="435AEDAC" w14:textId="77777777" w:rsidTr="00B61771">
        <w:tc>
          <w:tcPr>
            <w:tcW w:w="4493" w:type="dxa"/>
          </w:tcPr>
          <w:p w14:paraId="45CCF822"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ELISA</w:t>
            </w:r>
          </w:p>
        </w:tc>
        <w:tc>
          <w:tcPr>
            <w:tcW w:w="4523" w:type="dxa"/>
          </w:tcPr>
          <w:p w14:paraId="635808EA"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Enzyme linked immunosorbent assay</w:t>
            </w:r>
          </w:p>
        </w:tc>
      </w:tr>
      <w:tr w:rsidR="00B61771" w:rsidRPr="00433865" w14:paraId="2D400A6E" w14:textId="77777777" w:rsidTr="00B61771">
        <w:tc>
          <w:tcPr>
            <w:tcW w:w="4493" w:type="dxa"/>
          </w:tcPr>
          <w:p w14:paraId="125CB235"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Fab</w:t>
            </w:r>
          </w:p>
        </w:tc>
        <w:tc>
          <w:tcPr>
            <w:tcW w:w="4523" w:type="dxa"/>
          </w:tcPr>
          <w:p w14:paraId="092D631D"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Antigen binding fragment</w:t>
            </w:r>
          </w:p>
        </w:tc>
      </w:tr>
      <w:tr w:rsidR="00B61771" w:rsidRPr="00433865" w14:paraId="20C3A6BC" w14:textId="77777777" w:rsidTr="00B61771">
        <w:tc>
          <w:tcPr>
            <w:tcW w:w="4493" w:type="dxa"/>
          </w:tcPr>
          <w:p w14:paraId="0CDCEEF6"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Fb</w:t>
            </w:r>
          </w:p>
        </w:tc>
        <w:tc>
          <w:tcPr>
            <w:tcW w:w="4523" w:type="dxa"/>
          </w:tcPr>
          <w:p w14:paraId="12C81468"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Constant fragment</w:t>
            </w:r>
          </w:p>
        </w:tc>
      </w:tr>
      <w:tr w:rsidR="00B61771" w:rsidRPr="00433865" w14:paraId="271B12D5" w14:textId="77777777" w:rsidTr="00B61771">
        <w:tc>
          <w:tcPr>
            <w:tcW w:w="4493" w:type="dxa"/>
          </w:tcPr>
          <w:p w14:paraId="0CE042AE"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Fc </w:t>
            </w:r>
          </w:p>
        </w:tc>
        <w:tc>
          <w:tcPr>
            <w:tcW w:w="4523" w:type="dxa"/>
          </w:tcPr>
          <w:p w14:paraId="126AD286"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Crystalline fragment</w:t>
            </w:r>
          </w:p>
        </w:tc>
      </w:tr>
      <w:tr w:rsidR="00B61771" w:rsidRPr="00433865" w14:paraId="348AA835" w14:textId="77777777" w:rsidTr="00B61771">
        <w:tc>
          <w:tcPr>
            <w:tcW w:w="4493" w:type="dxa"/>
          </w:tcPr>
          <w:p w14:paraId="54AE390A" w14:textId="77777777" w:rsidR="00B61771" w:rsidRPr="00433865" w:rsidRDefault="00B61771" w:rsidP="00700BBF">
            <w:pPr>
              <w:spacing w:line="480" w:lineRule="auto"/>
              <w:rPr>
                <w:rFonts w:ascii="Times New Roman" w:hAnsi="Times New Roman" w:cs="Times New Roman"/>
              </w:rPr>
            </w:pPr>
            <w:proofErr w:type="spellStart"/>
            <w:r w:rsidRPr="00433865">
              <w:rPr>
                <w:rFonts w:ascii="Times New Roman" w:hAnsi="Times New Roman" w:cs="Times New Roman"/>
              </w:rPr>
              <w:t>FcRn</w:t>
            </w:r>
            <w:proofErr w:type="spellEnd"/>
          </w:p>
        </w:tc>
        <w:tc>
          <w:tcPr>
            <w:tcW w:w="4523" w:type="dxa"/>
          </w:tcPr>
          <w:p w14:paraId="3ACF0F4C"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Neonatal Fc Receptor</w:t>
            </w:r>
          </w:p>
        </w:tc>
      </w:tr>
      <w:tr w:rsidR="00B61771" w:rsidRPr="00433865" w14:paraId="1EBB0F8B" w14:textId="77777777" w:rsidTr="00B61771">
        <w:tc>
          <w:tcPr>
            <w:tcW w:w="4493" w:type="dxa"/>
          </w:tcPr>
          <w:p w14:paraId="4663CBAD" w14:textId="77777777" w:rsidR="00B61771" w:rsidRPr="00433865" w:rsidRDefault="00B61771" w:rsidP="00700BBF">
            <w:pPr>
              <w:spacing w:line="480" w:lineRule="auto"/>
              <w:rPr>
                <w:rFonts w:ascii="Times New Roman" w:hAnsi="Times New Roman" w:cs="Times New Roman"/>
              </w:rPr>
            </w:pPr>
            <w:proofErr w:type="spellStart"/>
            <w:r w:rsidRPr="00433865">
              <w:rPr>
                <w:rFonts w:ascii="Times New Roman" w:hAnsi="Times New Roman" w:cs="Times New Roman"/>
              </w:rPr>
              <w:t>Fv</w:t>
            </w:r>
            <w:proofErr w:type="spellEnd"/>
          </w:p>
        </w:tc>
        <w:tc>
          <w:tcPr>
            <w:tcW w:w="4523" w:type="dxa"/>
          </w:tcPr>
          <w:p w14:paraId="7D897E31"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Variable fragment</w:t>
            </w:r>
          </w:p>
        </w:tc>
      </w:tr>
      <w:tr w:rsidR="00353F9D" w:rsidRPr="00433865" w14:paraId="4D5B4077" w14:textId="77777777" w:rsidTr="00B61771">
        <w:tc>
          <w:tcPr>
            <w:tcW w:w="4493" w:type="dxa"/>
          </w:tcPr>
          <w:p w14:paraId="0B1CF60F" w14:textId="07E6A336" w:rsidR="00353F9D" w:rsidRPr="00433865" w:rsidRDefault="00353F9D" w:rsidP="00700BBF">
            <w:pPr>
              <w:spacing w:line="480" w:lineRule="auto"/>
              <w:rPr>
                <w:rFonts w:ascii="Times New Roman" w:hAnsi="Times New Roman" w:cs="Times New Roman"/>
              </w:rPr>
            </w:pPr>
            <w:r w:rsidRPr="00433865">
              <w:rPr>
                <w:rFonts w:ascii="Times New Roman" w:hAnsi="Times New Roman" w:cs="Times New Roman"/>
              </w:rPr>
              <w:t>GFL</w:t>
            </w:r>
          </w:p>
        </w:tc>
        <w:tc>
          <w:tcPr>
            <w:tcW w:w="4523" w:type="dxa"/>
          </w:tcPr>
          <w:p w14:paraId="711853FF" w14:textId="676177A1" w:rsidR="00353F9D" w:rsidRPr="00433865" w:rsidRDefault="00353F9D" w:rsidP="00700BBF">
            <w:pPr>
              <w:spacing w:line="480" w:lineRule="auto"/>
              <w:rPr>
                <w:rFonts w:ascii="Times New Roman" w:hAnsi="Times New Roman" w:cs="Times New Roman"/>
              </w:rPr>
            </w:pPr>
            <w:r w:rsidRPr="00433865">
              <w:rPr>
                <w:rFonts w:ascii="Times New Roman" w:hAnsi="Times New Roman" w:cs="Times New Roman"/>
              </w:rPr>
              <w:t>Gene fragment library</w:t>
            </w:r>
          </w:p>
        </w:tc>
      </w:tr>
      <w:tr w:rsidR="00B61771" w:rsidRPr="00433865" w14:paraId="6990227C" w14:textId="77777777" w:rsidTr="00B61771">
        <w:tc>
          <w:tcPr>
            <w:tcW w:w="4493" w:type="dxa"/>
          </w:tcPr>
          <w:p w14:paraId="09501700"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HA</w:t>
            </w:r>
          </w:p>
        </w:tc>
        <w:tc>
          <w:tcPr>
            <w:tcW w:w="4523" w:type="dxa"/>
          </w:tcPr>
          <w:p w14:paraId="608F03C2"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Hemagglutinin </w:t>
            </w:r>
          </w:p>
        </w:tc>
      </w:tr>
      <w:tr w:rsidR="00353F9D" w:rsidRPr="00433865" w14:paraId="4E530AB8" w14:textId="77777777" w:rsidTr="00B61771">
        <w:tc>
          <w:tcPr>
            <w:tcW w:w="4493" w:type="dxa"/>
          </w:tcPr>
          <w:p w14:paraId="022E9BFF" w14:textId="3A12F4FB" w:rsidR="00353F9D" w:rsidRPr="00433865" w:rsidRDefault="008767C8" w:rsidP="00700BBF">
            <w:pPr>
              <w:spacing w:line="480" w:lineRule="auto"/>
              <w:rPr>
                <w:rFonts w:ascii="Times New Roman" w:hAnsi="Times New Roman" w:cs="Times New Roman"/>
              </w:rPr>
            </w:pPr>
            <w:r w:rsidRPr="00433865">
              <w:rPr>
                <w:rFonts w:ascii="Times New Roman" w:hAnsi="Times New Roman" w:cs="Times New Roman"/>
              </w:rPr>
              <w:t>HRP</w:t>
            </w:r>
          </w:p>
        </w:tc>
        <w:tc>
          <w:tcPr>
            <w:tcW w:w="4523" w:type="dxa"/>
          </w:tcPr>
          <w:p w14:paraId="51233271" w14:textId="6BF01A69" w:rsidR="00353F9D" w:rsidRPr="00433865" w:rsidRDefault="008767C8" w:rsidP="00700BBF">
            <w:pPr>
              <w:spacing w:line="480" w:lineRule="auto"/>
              <w:rPr>
                <w:rFonts w:ascii="Times New Roman" w:hAnsi="Times New Roman" w:cs="Times New Roman"/>
              </w:rPr>
            </w:pPr>
            <w:r w:rsidRPr="00433865">
              <w:rPr>
                <w:rFonts w:ascii="Times New Roman" w:hAnsi="Times New Roman" w:cs="Times New Roman"/>
              </w:rPr>
              <w:t>Horseradish peroxidase</w:t>
            </w:r>
          </w:p>
        </w:tc>
      </w:tr>
      <w:tr w:rsidR="00B61771" w:rsidRPr="00433865" w14:paraId="4C59E888" w14:textId="77777777" w:rsidTr="00B61771">
        <w:tc>
          <w:tcPr>
            <w:tcW w:w="4493" w:type="dxa"/>
          </w:tcPr>
          <w:p w14:paraId="5987D64C"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IBD</w:t>
            </w:r>
          </w:p>
        </w:tc>
        <w:tc>
          <w:tcPr>
            <w:tcW w:w="4523" w:type="dxa"/>
          </w:tcPr>
          <w:p w14:paraId="4B3506FD"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Inflammatory bowel disease</w:t>
            </w:r>
          </w:p>
        </w:tc>
      </w:tr>
      <w:tr w:rsidR="00B61771" w:rsidRPr="00433865" w14:paraId="44626B69" w14:textId="77777777" w:rsidTr="00B61771">
        <w:tc>
          <w:tcPr>
            <w:tcW w:w="4493" w:type="dxa"/>
          </w:tcPr>
          <w:p w14:paraId="303A9455"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Ig</w:t>
            </w:r>
          </w:p>
        </w:tc>
        <w:tc>
          <w:tcPr>
            <w:tcW w:w="4523" w:type="dxa"/>
          </w:tcPr>
          <w:p w14:paraId="52593C12"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Immunoglobulin </w:t>
            </w:r>
          </w:p>
        </w:tc>
      </w:tr>
      <w:tr w:rsidR="00B61771" w:rsidRPr="00433865" w14:paraId="2ACF5100" w14:textId="77777777" w:rsidTr="00B61771">
        <w:tc>
          <w:tcPr>
            <w:tcW w:w="4493" w:type="dxa"/>
          </w:tcPr>
          <w:p w14:paraId="0EBF7211"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IL</w:t>
            </w:r>
          </w:p>
        </w:tc>
        <w:tc>
          <w:tcPr>
            <w:tcW w:w="4523" w:type="dxa"/>
          </w:tcPr>
          <w:p w14:paraId="61879E43"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Interleukin </w:t>
            </w:r>
          </w:p>
        </w:tc>
      </w:tr>
      <w:tr w:rsidR="00B61771" w:rsidRPr="00433865" w14:paraId="163820F4" w14:textId="77777777" w:rsidTr="00B61771">
        <w:tc>
          <w:tcPr>
            <w:tcW w:w="4493" w:type="dxa"/>
          </w:tcPr>
          <w:p w14:paraId="1519963C" w14:textId="1C41ADAA" w:rsidR="00992B8A" w:rsidRPr="00433865" w:rsidRDefault="00992B8A" w:rsidP="00700BBF">
            <w:pPr>
              <w:spacing w:line="480" w:lineRule="auto"/>
              <w:rPr>
                <w:rFonts w:ascii="Times New Roman" w:hAnsi="Times New Roman" w:cs="Times New Roman"/>
              </w:rPr>
            </w:pPr>
            <w:r w:rsidRPr="00433865">
              <w:rPr>
                <w:rFonts w:ascii="Times New Roman" w:hAnsi="Times New Roman" w:cs="Times New Roman"/>
              </w:rPr>
              <w:t>IPTG</w:t>
            </w:r>
          </w:p>
          <w:p w14:paraId="6E632C9D" w14:textId="3760BC03"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lastRenderedPageBreak/>
              <w:t>MHC</w:t>
            </w:r>
          </w:p>
        </w:tc>
        <w:tc>
          <w:tcPr>
            <w:tcW w:w="4523" w:type="dxa"/>
          </w:tcPr>
          <w:p w14:paraId="0A8071AE" w14:textId="4D51C3AF" w:rsidR="00992B8A" w:rsidRPr="00433865" w:rsidRDefault="00992B8A" w:rsidP="00700BBF">
            <w:pPr>
              <w:spacing w:line="480" w:lineRule="auto"/>
              <w:rPr>
                <w:rFonts w:ascii="Times New Roman" w:hAnsi="Times New Roman" w:cs="Times New Roman"/>
                <w:color w:val="222222"/>
                <w:shd w:val="clear" w:color="auto" w:fill="FFFFFF"/>
              </w:rPr>
            </w:pPr>
            <w:r w:rsidRPr="00433865">
              <w:rPr>
                <w:rFonts w:ascii="Times New Roman" w:eastAsia="Times New Roman" w:hAnsi="Times New Roman" w:cs="Times New Roman"/>
                <w:shd w:val="clear" w:color="auto" w:fill="FFFFFF"/>
                <w:lang w:eastAsia="en-GB"/>
              </w:rPr>
              <w:lastRenderedPageBreak/>
              <w:t>Isopropyl β-D-1-thiogalactopyranoside</w:t>
            </w:r>
          </w:p>
          <w:p w14:paraId="6DB3650A" w14:textId="11A538CB"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color w:val="222222"/>
                <w:shd w:val="clear" w:color="auto" w:fill="FFFFFF"/>
              </w:rPr>
              <w:lastRenderedPageBreak/>
              <w:t>Major histocompatibility complex</w:t>
            </w:r>
          </w:p>
        </w:tc>
      </w:tr>
      <w:tr w:rsidR="00433865" w:rsidRPr="00433865" w14:paraId="12FFAD4E" w14:textId="77777777" w:rsidTr="00B61771">
        <w:tc>
          <w:tcPr>
            <w:tcW w:w="4493" w:type="dxa"/>
          </w:tcPr>
          <w:p w14:paraId="1FADE98C" w14:textId="1E1A6CA6" w:rsidR="00433865" w:rsidRPr="00433865" w:rsidRDefault="00433865" w:rsidP="00700BBF">
            <w:pPr>
              <w:spacing w:line="480" w:lineRule="auto"/>
              <w:rPr>
                <w:rFonts w:ascii="Times New Roman" w:hAnsi="Times New Roman" w:cs="Times New Roman"/>
              </w:rPr>
            </w:pPr>
            <w:r w:rsidRPr="00433865">
              <w:rPr>
                <w:rFonts w:ascii="Times New Roman" w:hAnsi="Times New Roman" w:cs="Times New Roman"/>
              </w:rPr>
              <w:lastRenderedPageBreak/>
              <w:t>NGS</w:t>
            </w:r>
          </w:p>
        </w:tc>
        <w:tc>
          <w:tcPr>
            <w:tcW w:w="4523" w:type="dxa"/>
          </w:tcPr>
          <w:p w14:paraId="6DE55BCD" w14:textId="214B2A22" w:rsidR="00433865" w:rsidRPr="00433865" w:rsidRDefault="00433865" w:rsidP="00700BBF">
            <w:pPr>
              <w:spacing w:line="480" w:lineRule="auto"/>
              <w:rPr>
                <w:rFonts w:ascii="Times New Roman" w:eastAsia="Times New Roman" w:hAnsi="Times New Roman" w:cs="Times New Roman"/>
                <w:shd w:val="clear" w:color="auto" w:fill="FFFFFF"/>
                <w:lang w:eastAsia="en-GB"/>
              </w:rPr>
            </w:pPr>
            <w:r w:rsidRPr="00433865">
              <w:rPr>
                <w:rFonts w:ascii="Times New Roman" w:eastAsia="Times New Roman" w:hAnsi="Times New Roman" w:cs="Times New Roman"/>
                <w:shd w:val="clear" w:color="auto" w:fill="FFFFFF"/>
                <w:lang w:eastAsia="en-GB"/>
              </w:rPr>
              <w:t>Next generation sequencing</w:t>
            </w:r>
          </w:p>
        </w:tc>
      </w:tr>
      <w:tr w:rsidR="00B61771" w:rsidRPr="00433865" w14:paraId="26E35EB0" w14:textId="77777777" w:rsidTr="00B61771">
        <w:tc>
          <w:tcPr>
            <w:tcW w:w="4493" w:type="dxa"/>
          </w:tcPr>
          <w:p w14:paraId="0254EEE9" w14:textId="4F8B4B70" w:rsidR="00B61771" w:rsidRPr="00433865" w:rsidRDefault="00992B8A" w:rsidP="00700BBF">
            <w:pPr>
              <w:spacing w:line="480" w:lineRule="auto"/>
              <w:rPr>
                <w:rFonts w:ascii="Times New Roman" w:hAnsi="Times New Roman" w:cs="Times New Roman"/>
              </w:rPr>
            </w:pPr>
            <w:r w:rsidRPr="00433865">
              <w:rPr>
                <w:rFonts w:ascii="Times New Roman" w:hAnsi="Times New Roman" w:cs="Times New Roman"/>
              </w:rPr>
              <w:t>LB</w:t>
            </w:r>
          </w:p>
        </w:tc>
        <w:tc>
          <w:tcPr>
            <w:tcW w:w="4523" w:type="dxa"/>
          </w:tcPr>
          <w:p w14:paraId="0F5E11F3" w14:textId="52012429" w:rsidR="00B61771" w:rsidRPr="00433865" w:rsidRDefault="00992B8A" w:rsidP="00700BBF">
            <w:pPr>
              <w:spacing w:line="480" w:lineRule="auto"/>
              <w:rPr>
                <w:rFonts w:ascii="Times New Roman" w:hAnsi="Times New Roman" w:cs="Times New Roman"/>
                <w:color w:val="222222"/>
                <w:shd w:val="clear" w:color="auto" w:fill="FFFFFF"/>
              </w:rPr>
            </w:pPr>
            <w:r w:rsidRPr="00433865">
              <w:rPr>
                <w:rFonts w:ascii="Times New Roman" w:hAnsi="Times New Roman" w:cs="Times New Roman"/>
                <w:color w:val="222222"/>
                <w:shd w:val="clear" w:color="auto" w:fill="FFFFFF"/>
              </w:rPr>
              <w:t>Lysogeny broth</w:t>
            </w:r>
          </w:p>
        </w:tc>
      </w:tr>
      <w:tr w:rsidR="00FB03B2" w:rsidRPr="00433865" w14:paraId="4EE9AE0B" w14:textId="77777777" w:rsidTr="00B61771">
        <w:tc>
          <w:tcPr>
            <w:tcW w:w="4493" w:type="dxa"/>
          </w:tcPr>
          <w:p w14:paraId="08A69902" w14:textId="449C31AA" w:rsidR="00FB03B2" w:rsidRPr="00433865" w:rsidRDefault="00FB03B2" w:rsidP="00700BBF">
            <w:pPr>
              <w:spacing w:line="480" w:lineRule="auto"/>
              <w:rPr>
                <w:rFonts w:ascii="Times New Roman" w:hAnsi="Times New Roman" w:cs="Times New Roman"/>
              </w:rPr>
            </w:pPr>
            <w:r w:rsidRPr="00433865">
              <w:rPr>
                <w:rFonts w:ascii="Times New Roman" w:hAnsi="Times New Roman" w:cs="Times New Roman"/>
              </w:rPr>
              <w:t>LOR</w:t>
            </w:r>
          </w:p>
        </w:tc>
        <w:tc>
          <w:tcPr>
            <w:tcW w:w="4523" w:type="dxa"/>
          </w:tcPr>
          <w:p w14:paraId="7A489E31" w14:textId="0D07D945" w:rsidR="00FB03B2" w:rsidRPr="00433865" w:rsidRDefault="00FB03B2" w:rsidP="00700BBF">
            <w:pPr>
              <w:spacing w:line="480" w:lineRule="auto"/>
              <w:rPr>
                <w:rFonts w:ascii="Times New Roman" w:hAnsi="Times New Roman" w:cs="Times New Roman"/>
                <w:color w:val="222222"/>
                <w:shd w:val="clear" w:color="auto" w:fill="FFFFFF"/>
              </w:rPr>
            </w:pPr>
            <w:r w:rsidRPr="00433865">
              <w:rPr>
                <w:rFonts w:ascii="Times New Roman" w:hAnsi="Times New Roman" w:cs="Times New Roman"/>
                <w:color w:val="222222"/>
                <w:shd w:val="clear" w:color="auto" w:fill="FFFFFF"/>
              </w:rPr>
              <w:t>Loss of response</w:t>
            </w:r>
          </w:p>
        </w:tc>
      </w:tr>
      <w:tr w:rsidR="00FB03B2" w:rsidRPr="00433865" w14:paraId="25B06F61" w14:textId="77777777" w:rsidTr="00B61771">
        <w:tc>
          <w:tcPr>
            <w:tcW w:w="4493" w:type="dxa"/>
          </w:tcPr>
          <w:p w14:paraId="420FD25D" w14:textId="73898466" w:rsidR="00FB03B2" w:rsidRPr="00433865" w:rsidRDefault="00FB03B2" w:rsidP="00700BBF">
            <w:pPr>
              <w:spacing w:line="480" w:lineRule="auto"/>
              <w:rPr>
                <w:rFonts w:ascii="Times New Roman" w:hAnsi="Times New Roman" w:cs="Times New Roman"/>
              </w:rPr>
            </w:pPr>
            <w:r w:rsidRPr="00433865">
              <w:rPr>
                <w:rFonts w:ascii="Times New Roman" w:hAnsi="Times New Roman" w:cs="Times New Roman"/>
              </w:rPr>
              <w:t>NIBSC</w:t>
            </w:r>
          </w:p>
        </w:tc>
        <w:tc>
          <w:tcPr>
            <w:tcW w:w="4523" w:type="dxa"/>
          </w:tcPr>
          <w:p w14:paraId="74060310" w14:textId="20FB4018" w:rsidR="00FB03B2" w:rsidRPr="00433865" w:rsidRDefault="00FB03B2" w:rsidP="00700BBF">
            <w:pPr>
              <w:spacing w:line="480" w:lineRule="auto"/>
              <w:rPr>
                <w:rFonts w:ascii="Times New Roman" w:hAnsi="Times New Roman" w:cs="Times New Roman"/>
                <w:color w:val="222222"/>
                <w:shd w:val="clear" w:color="auto" w:fill="FFFFFF"/>
              </w:rPr>
            </w:pPr>
            <w:r w:rsidRPr="00433865">
              <w:rPr>
                <w:rFonts w:ascii="Times New Roman" w:hAnsi="Times New Roman" w:cs="Times New Roman"/>
                <w:color w:val="222222"/>
                <w:shd w:val="clear" w:color="auto" w:fill="FFFFFF"/>
              </w:rPr>
              <w:t>National institute for biological standards and controls</w:t>
            </w:r>
          </w:p>
        </w:tc>
      </w:tr>
      <w:tr w:rsidR="00B61771" w:rsidRPr="00433865" w14:paraId="7FD3CBBC" w14:textId="77777777" w:rsidTr="00B61771">
        <w:tc>
          <w:tcPr>
            <w:tcW w:w="4493" w:type="dxa"/>
          </w:tcPr>
          <w:p w14:paraId="7BB45462"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NPV</w:t>
            </w:r>
          </w:p>
        </w:tc>
        <w:tc>
          <w:tcPr>
            <w:tcW w:w="4523" w:type="dxa"/>
          </w:tcPr>
          <w:p w14:paraId="50163A9F" w14:textId="77777777" w:rsidR="00B61771" w:rsidRPr="00433865" w:rsidRDefault="00B61771" w:rsidP="00700BBF">
            <w:pPr>
              <w:spacing w:line="480" w:lineRule="auto"/>
              <w:rPr>
                <w:rFonts w:ascii="Times New Roman" w:hAnsi="Times New Roman" w:cs="Times New Roman"/>
                <w:color w:val="222222"/>
                <w:shd w:val="clear" w:color="auto" w:fill="FFFFFF"/>
              </w:rPr>
            </w:pPr>
            <w:r w:rsidRPr="00433865">
              <w:rPr>
                <w:rFonts w:ascii="Times New Roman" w:hAnsi="Times New Roman" w:cs="Times New Roman"/>
                <w:color w:val="222222"/>
                <w:shd w:val="clear" w:color="auto" w:fill="FFFFFF"/>
              </w:rPr>
              <w:t>Negative predictive value</w:t>
            </w:r>
          </w:p>
        </w:tc>
      </w:tr>
      <w:tr w:rsidR="00B61771" w:rsidRPr="00433865" w14:paraId="7D390A87" w14:textId="77777777" w:rsidTr="00B61771">
        <w:tc>
          <w:tcPr>
            <w:tcW w:w="4493" w:type="dxa"/>
          </w:tcPr>
          <w:p w14:paraId="7B3BF3AA" w14:textId="0BE0E0FC" w:rsidR="00B61771" w:rsidRPr="00433865" w:rsidRDefault="008D5C93" w:rsidP="00700BBF">
            <w:pPr>
              <w:spacing w:line="480" w:lineRule="auto"/>
              <w:rPr>
                <w:rFonts w:ascii="Times New Roman" w:hAnsi="Times New Roman" w:cs="Times New Roman"/>
              </w:rPr>
            </w:pPr>
            <w:r w:rsidRPr="00433865">
              <w:rPr>
                <w:rFonts w:ascii="Times New Roman" w:hAnsi="Times New Roman" w:cs="Times New Roman"/>
              </w:rPr>
              <w:t>OR</w:t>
            </w:r>
          </w:p>
        </w:tc>
        <w:tc>
          <w:tcPr>
            <w:tcW w:w="4523" w:type="dxa"/>
          </w:tcPr>
          <w:p w14:paraId="45FFB113" w14:textId="34216A8B" w:rsidR="00B61771" w:rsidRPr="00433865" w:rsidRDefault="008D5C93" w:rsidP="00700BBF">
            <w:pPr>
              <w:spacing w:line="480" w:lineRule="auto"/>
              <w:rPr>
                <w:rFonts w:ascii="Times New Roman" w:hAnsi="Times New Roman" w:cs="Times New Roman"/>
              </w:rPr>
            </w:pPr>
            <w:r w:rsidRPr="00433865">
              <w:rPr>
                <w:rFonts w:ascii="Times New Roman" w:hAnsi="Times New Roman" w:cs="Times New Roman"/>
              </w:rPr>
              <w:t>Odds ratio</w:t>
            </w:r>
          </w:p>
        </w:tc>
      </w:tr>
      <w:tr w:rsidR="008D5C93" w:rsidRPr="00433865" w14:paraId="7F3B1453" w14:textId="77777777" w:rsidTr="004203FB">
        <w:tc>
          <w:tcPr>
            <w:tcW w:w="4493" w:type="dxa"/>
          </w:tcPr>
          <w:p w14:paraId="2DD633DE" w14:textId="77777777" w:rsidR="008D5C93" w:rsidRPr="00433865" w:rsidRDefault="008D5C93" w:rsidP="00700BBF">
            <w:pPr>
              <w:spacing w:line="480" w:lineRule="auto"/>
              <w:rPr>
                <w:rFonts w:ascii="Times New Roman" w:hAnsi="Times New Roman" w:cs="Times New Roman"/>
              </w:rPr>
            </w:pPr>
            <w:r w:rsidRPr="00433865">
              <w:rPr>
                <w:rFonts w:ascii="Times New Roman" w:hAnsi="Times New Roman" w:cs="Times New Roman"/>
              </w:rPr>
              <w:t>POD</w:t>
            </w:r>
          </w:p>
        </w:tc>
        <w:tc>
          <w:tcPr>
            <w:tcW w:w="4523" w:type="dxa"/>
          </w:tcPr>
          <w:p w14:paraId="0D90989A" w14:textId="77777777" w:rsidR="008D5C93" w:rsidRPr="00433865" w:rsidRDefault="008D5C93" w:rsidP="00700BBF">
            <w:pPr>
              <w:spacing w:line="480" w:lineRule="auto"/>
              <w:rPr>
                <w:rFonts w:ascii="Times New Roman" w:hAnsi="Times New Roman" w:cs="Times New Roman"/>
              </w:rPr>
            </w:pPr>
            <w:r w:rsidRPr="00433865">
              <w:rPr>
                <w:rFonts w:ascii="Times New Roman" w:hAnsi="Times New Roman" w:cs="Times New Roman"/>
              </w:rPr>
              <w:t>Peroxidase</w:t>
            </w:r>
          </w:p>
        </w:tc>
      </w:tr>
      <w:tr w:rsidR="00B61771" w:rsidRPr="00433865" w14:paraId="5C9DC782" w14:textId="77777777" w:rsidTr="00B61771">
        <w:tc>
          <w:tcPr>
            <w:tcW w:w="4493" w:type="dxa"/>
          </w:tcPr>
          <w:p w14:paraId="35C8F61B" w14:textId="77777777" w:rsidR="00B706A3" w:rsidRPr="00433865" w:rsidRDefault="00B706A3" w:rsidP="00700BBF">
            <w:pPr>
              <w:spacing w:line="480" w:lineRule="auto"/>
              <w:rPr>
                <w:rFonts w:ascii="Times New Roman" w:hAnsi="Times New Roman" w:cs="Times New Roman"/>
              </w:rPr>
            </w:pPr>
            <w:r w:rsidRPr="00433865">
              <w:rPr>
                <w:rFonts w:ascii="Times New Roman" w:hAnsi="Times New Roman" w:cs="Times New Roman"/>
              </w:rPr>
              <w:t>PBS</w:t>
            </w:r>
          </w:p>
          <w:p w14:paraId="1055DB13" w14:textId="3699651E"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PPV</w:t>
            </w:r>
          </w:p>
        </w:tc>
        <w:tc>
          <w:tcPr>
            <w:tcW w:w="4523" w:type="dxa"/>
          </w:tcPr>
          <w:p w14:paraId="0C5A058A" w14:textId="74933E72" w:rsidR="00B706A3" w:rsidRPr="00433865" w:rsidRDefault="00B706A3" w:rsidP="00700BBF">
            <w:pPr>
              <w:spacing w:line="480" w:lineRule="auto"/>
              <w:rPr>
                <w:rFonts w:ascii="Times New Roman" w:hAnsi="Times New Roman" w:cs="Times New Roman"/>
              </w:rPr>
            </w:pPr>
            <w:r w:rsidRPr="00433865">
              <w:rPr>
                <w:rFonts w:ascii="Times New Roman" w:hAnsi="Times New Roman" w:cs="Times New Roman"/>
              </w:rPr>
              <w:t>Phosphate buffered saline</w:t>
            </w:r>
          </w:p>
          <w:p w14:paraId="48C22F4F" w14:textId="79964B36"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Positive predictive value </w:t>
            </w:r>
          </w:p>
        </w:tc>
      </w:tr>
      <w:tr w:rsidR="00B61771" w:rsidRPr="00433865" w14:paraId="3790780B" w14:textId="77777777" w:rsidTr="00B61771">
        <w:tc>
          <w:tcPr>
            <w:tcW w:w="4493" w:type="dxa"/>
          </w:tcPr>
          <w:p w14:paraId="2BFBAFF4"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ROC</w:t>
            </w:r>
          </w:p>
        </w:tc>
        <w:tc>
          <w:tcPr>
            <w:tcW w:w="4523" w:type="dxa"/>
          </w:tcPr>
          <w:p w14:paraId="7199E26E"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Receiver operating curve</w:t>
            </w:r>
          </w:p>
        </w:tc>
      </w:tr>
      <w:tr w:rsidR="00B61771" w:rsidRPr="00433865" w14:paraId="5E5F72CC" w14:textId="77777777" w:rsidTr="00B61771">
        <w:tc>
          <w:tcPr>
            <w:tcW w:w="4493" w:type="dxa"/>
          </w:tcPr>
          <w:p w14:paraId="3C5A0EFE"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RCT</w:t>
            </w:r>
          </w:p>
        </w:tc>
        <w:tc>
          <w:tcPr>
            <w:tcW w:w="4523" w:type="dxa"/>
          </w:tcPr>
          <w:p w14:paraId="65FE0DAC"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Randomised controlled trial </w:t>
            </w:r>
          </w:p>
        </w:tc>
      </w:tr>
      <w:tr w:rsidR="00433865" w:rsidRPr="00433865" w14:paraId="0A660146" w14:textId="77777777" w:rsidTr="00B61771">
        <w:tc>
          <w:tcPr>
            <w:tcW w:w="4493" w:type="dxa"/>
          </w:tcPr>
          <w:p w14:paraId="6AD00717" w14:textId="59E05189" w:rsidR="00433865" w:rsidRPr="00433865" w:rsidRDefault="00433865" w:rsidP="00700BBF">
            <w:pPr>
              <w:spacing w:line="480" w:lineRule="auto"/>
              <w:rPr>
                <w:rFonts w:ascii="Times New Roman" w:hAnsi="Times New Roman" w:cs="Times New Roman"/>
              </w:rPr>
            </w:pPr>
            <w:r w:rsidRPr="00433865">
              <w:rPr>
                <w:rFonts w:ascii="Times New Roman" w:hAnsi="Times New Roman" w:cs="Times New Roman"/>
              </w:rPr>
              <w:t>RPL</w:t>
            </w:r>
          </w:p>
        </w:tc>
        <w:tc>
          <w:tcPr>
            <w:tcW w:w="4523" w:type="dxa"/>
          </w:tcPr>
          <w:p w14:paraId="49ACEF52" w14:textId="52766A1A" w:rsidR="00433865" w:rsidRPr="00433865" w:rsidRDefault="00433865" w:rsidP="00700BBF">
            <w:pPr>
              <w:spacing w:line="480" w:lineRule="auto"/>
              <w:rPr>
                <w:rFonts w:ascii="Times New Roman" w:hAnsi="Times New Roman" w:cs="Times New Roman"/>
              </w:rPr>
            </w:pPr>
            <w:r w:rsidRPr="00433865">
              <w:rPr>
                <w:rFonts w:ascii="Times New Roman" w:hAnsi="Times New Roman" w:cs="Times New Roman"/>
              </w:rPr>
              <w:t>Random peptide library</w:t>
            </w:r>
          </w:p>
        </w:tc>
      </w:tr>
      <w:tr w:rsidR="00B61771" w:rsidRPr="00433865" w14:paraId="1096572A" w14:textId="77777777" w:rsidTr="00B61771">
        <w:tc>
          <w:tcPr>
            <w:tcW w:w="4493" w:type="dxa"/>
          </w:tcPr>
          <w:p w14:paraId="0EC3EADB"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TMB</w:t>
            </w:r>
          </w:p>
        </w:tc>
        <w:tc>
          <w:tcPr>
            <w:tcW w:w="4523" w:type="dxa"/>
          </w:tcPr>
          <w:p w14:paraId="0D1598DF" w14:textId="77777777" w:rsidR="00B61771" w:rsidRPr="00433865" w:rsidRDefault="00B61771" w:rsidP="00700BBF">
            <w:pPr>
              <w:spacing w:line="480" w:lineRule="auto"/>
              <w:rPr>
                <w:rFonts w:ascii="Times New Roman" w:hAnsi="Times New Roman" w:cs="Times New Roman"/>
              </w:rPr>
            </w:pPr>
            <w:r w:rsidRPr="00433865">
              <w:rPr>
                <w:rFonts w:ascii="Times New Roman" w:eastAsiaTheme="minorHAnsi" w:hAnsi="Times New Roman" w:cs="Times New Roman"/>
                <w:color w:val="000000"/>
              </w:rPr>
              <w:t>Tetramethylbenzidine</w:t>
            </w:r>
          </w:p>
        </w:tc>
      </w:tr>
      <w:tr w:rsidR="00B61771" w:rsidRPr="00433865" w14:paraId="5F6465DD" w14:textId="77777777" w:rsidTr="00B61771">
        <w:tc>
          <w:tcPr>
            <w:tcW w:w="4493" w:type="dxa"/>
          </w:tcPr>
          <w:p w14:paraId="729AA9EA"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TNFα</w:t>
            </w:r>
          </w:p>
        </w:tc>
        <w:tc>
          <w:tcPr>
            <w:tcW w:w="4523" w:type="dxa"/>
          </w:tcPr>
          <w:p w14:paraId="32757709"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Tumour necrosis factor-α</w:t>
            </w:r>
          </w:p>
        </w:tc>
      </w:tr>
      <w:tr w:rsidR="00B61771" w:rsidRPr="00433865" w14:paraId="4F72CBD8" w14:textId="77777777" w:rsidTr="00B61771">
        <w:tc>
          <w:tcPr>
            <w:tcW w:w="4493" w:type="dxa"/>
          </w:tcPr>
          <w:p w14:paraId="29A4C812"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UC</w:t>
            </w:r>
          </w:p>
        </w:tc>
        <w:tc>
          <w:tcPr>
            <w:tcW w:w="4523" w:type="dxa"/>
          </w:tcPr>
          <w:p w14:paraId="319C2CE3"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 xml:space="preserve">Ulcerative colitis </w:t>
            </w:r>
          </w:p>
        </w:tc>
      </w:tr>
      <w:tr w:rsidR="00B61771" w:rsidRPr="00433865" w14:paraId="37B9F7FE" w14:textId="77777777" w:rsidTr="00B61771">
        <w:tc>
          <w:tcPr>
            <w:tcW w:w="4493" w:type="dxa"/>
          </w:tcPr>
          <w:p w14:paraId="0202ECF9"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VH</w:t>
            </w:r>
          </w:p>
        </w:tc>
        <w:tc>
          <w:tcPr>
            <w:tcW w:w="4523" w:type="dxa"/>
          </w:tcPr>
          <w:p w14:paraId="4549B538"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Variable heavy</w:t>
            </w:r>
          </w:p>
        </w:tc>
      </w:tr>
      <w:tr w:rsidR="00B61771" w:rsidRPr="00433865" w14:paraId="45BBD87C" w14:textId="77777777" w:rsidTr="00B61771">
        <w:tc>
          <w:tcPr>
            <w:tcW w:w="4493" w:type="dxa"/>
          </w:tcPr>
          <w:p w14:paraId="746BA329"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VL</w:t>
            </w:r>
          </w:p>
        </w:tc>
        <w:tc>
          <w:tcPr>
            <w:tcW w:w="4523" w:type="dxa"/>
          </w:tcPr>
          <w:p w14:paraId="605F5E91" w14:textId="77777777" w:rsidR="00B61771" w:rsidRPr="00433865" w:rsidRDefault="00B61771" w:rsidP="00700BBF">
            <w:pPr>
              <w:spacing w:line="480" w:lineRule="auto"/>
              <w:rPr>
                <w:rFonts w:ascii="Times New Roman" w:hAnsi="Times New Roman" w:cs="Times New Roman"/>
              </w:rPr>
            </w:pPr>
            <w:r w:rsidRPr="00433865">
              <w:rPr>
                <w:rFonts w:ascii="Times New Roman" w:hAnsi="Times New Roman" w:cs="Times New Roman"/>
              </w:rPr>
              <w:t>Variable light</w:t>
            </w:r>
          </w:p>
        </w:tc>
      </w:tr>
    </w:tbl>
    <w:p w14:paraId="5435240E" w14:textId="15B50308" w:rsidR="00F64D9D" w:rsidRDefault="00F64D9D" w:rsidP="00F64D9D"/>
    <w:p w14:paraId="5C420A7E" w14:textId="4FCF87E9" w:rsidR="00F64D9D" w:rsidRDefault="00F64D9D" w:rsidP="00F64D9D"/>
    <w:p w14:paraId="2980B7BA" w14:textId="77777777" w:rsidR="00B706A3" w:rsidRDefault="00B706A3" w:rsidP="00F64D9D"/>
    <w:p w14:paraId="37682CAE" w14:textId="30B98EC0" w:rsidR="00A63F5A" w:rsidRPr="00922C73" w:rsidRDefault="003A3663" w:rsidP="00700BBF">
      <w:pPr>
        <w:pStyle w:val="Heading1"/>
        <w:spacing w:line="480" w:lineRule="auto"/>
        <w:rPr>
          <w:rFonts w:ascii="Times New Roman" w:hAnsi="Times New Roman" w:cs="Times New Roman"/>
          <w:u w:val="single"/>
        </w:rPr>
      </w:pPr>
      <w:bookmarkStart w:id="4" w:name="_Toc151020446"/>
      <w:r w:rsidRPr="00922C73">
        <w:rPr>
          <w:rFonts w:ascii="Times New Roman" w:hAnsi="Times New Roman" w:cs="Times New Roman"/>
          <w:sz w:val="32"/>
          <w:szCs w:val="32"/>
          <w:u w:val="single"/>
        </w:rPr>
        <w:lastRenderedPageBreak/>
        <w:t>Abstract</w:t>
      </w:r>
      <w:bookmarkEnd w:id="4"/>
    </w:p>
    <w:p w14:paraId="5067CAB7" w14:textId="7E5CEF11" w:rsidR="003A3663" w:rsidRPr="00922C73" w:rsidRDefault="003A3663" w:rsidP="00004EC1">
      <w:pPr>
        <w:spacing w:after="0" w:line="480" w:lineRule="auto"/>
        <w:jc w:val="left"/>
        <w:rPr>
          <w:rFonts w:ascii="Times New Roman" w:hAnsi="Times New Roman" w:cs="Times New Roman"/>
          <w:b/>
          <w:bCs/>
          <w:sz w:val="24"/>
          <w:szCs w:val="24"/>
        </w:rPr>
      </w:pPr>
      <w:r w:rsidRPr="00922C73">
        <w:rPr>
          <w:rFonts w:ascii="Times New Roman" w:eastAsia="+mn-ea" w:hAnsi="Times New Roman" w:cs="Times New Roman"/>
          <w:kern w:val="24"/>
          <w:sz w:val="24"/>
          <w:szCs w:val="24"/>
          <w:lang w:eastAsia="en-GB"/>
        </w:rPr>
        <w:t>Infliximab was the first biological therapy to be approved for use in inflammatory bowel disease</w:t>
      </w:r>
      <w:bookmarkStart w:id="5" w:name="_Hlk84257885"/>
      <w:r w:rsidR="00C3770D" w:rsidRPr="00922C73">
        <w:rPr>
          <w:rFonts w:ascii="Times New Roman" w:eastAsia="+mn-ea" w:hAnsi="Times New Roman" w:cs="Times New Roman"/>
          <w:kern w:val="24"/>
          <w:sz w:val="24"/>
          <w:szCs w:val="24"/>
          <w:lang w:eastAsia="en-GB"/>
        </w:rPr>
        <w:t xml:space="preserve"> (IBD)</w:t>
      </w:r>
      <w:r w:rsidRPr="00922C73">
        <w:rPr>
          <w:rFonts w:ascii="Times New Roman" w:eastAsia="+mn-ea" w:hAnsi="Times New Roman" w:cs="Times New Roman"/>
          <w:kern w:val="24"/>
          <w:sz w:val="24"/>
          <w:szCs w:val="24"/>
          <w:lang w:eastAsia="en-GB"/>
        </w:rPr>
        <w:t xml:space="preserve">. Similar </w:t>
      </w:r>
      <w:r w:rsidRPr="00922C73">
        <w:rPr>
          <w:rFonts w:ascii="Times New Roman" w:hAnsi="Times New Roman" w:cs="Times New Roman"/>
          <w:sz w:val="24"/>
          <w:szCs w:val="24"/>
        </w:rPr>
        <w:t xml:space="preserve">to other biological therapies, secondary loss of response </w:t>
      </w:r>
      <w:r w:rsidR="00870AF9" w:rsidRPr="00922C73">
        <w:rPr>
          <w:rFonts w:ascii="Times New Roman" w:hAnsi="Times New Roman" w:cs="Times New Roman"/>
          <w:sz w:val="24"/>
          <w:szCs w:val="24"/>
        </w:rPr>
        <w:t xml:space="preserve">to infliximab </w:t>
      </w:r>
      <w:r w:rsidRPr="00922C73">
        <w:rPr>
          <w:rFonts w:ascii="Times New Roman" w:hAnsi="Times New Roman" w:cs="Times New Roman"/>
          <w:sz w:val="24"/>
          <w:szCs w:val="24"/>
        </w:rPr>
        <w:t xml:space="preserve">occurs in up to 50% of patients at 1 year follow up. </w:t>
      </w:r>
      <w:bookmarkEnd w:id="5"/>
      <w:r w:rsidRPr="00922C73">
        <w:rPr>
          <w:rFonts w:ascii="Times New Roman" w:hAnsi="Times New Roman" w:cs="Times New Roman"/>
          <w:sz w:val="24"/>
          <w:szCs w:val="24"/>
        </w:rPr>
        <w:t xml:space="preserve">In the case of infliximab, antibodies to infliximab (ATI) are likely to contribute towards secondary loss of response. This PhD thesis aims to </w:t>
      </w:r>
      <w:r w:rsidR="00883CB5" w:rsidRPr="00922C73">
        <w:rPr>
          <w:rFonts w:ascii="Times New Roman" w:hAnsi="Times New Roman" w:cs="Times New Roman"/>
          <w:sz w:val="24"/>
          <w:szCs w:val="24"/>
        </w:rPr>
        <w:t>identify</w:t>
      </w:r>
      <w:r w:rsidRPr="00922C73">
        <w:rPr>
          <w:rFonts w:ascii="Times New Roman" w:hAnsi="Times New Roman" w:cs="Times New Roman"/>
          <w:sz w:val="24"/>
          <w:szCs w:val="24"/>
        </w:rPr>
        <w:t xml:space="preserve"> the associated clinical outcomes </w:t>
      </w:r>
      <w:r w:rsidR="00666156" w:rsidRPr="00922C73">
        <w:rPr>
          <w:rFonts w:ascii="Times New Roman" w:hAnsi="Times New Roman" w:cs="Times New Roman"/>
          <w:sz w:val="24"/>
          <w:szCs w:val="24"/>
        </w:rPr>
        <w:t>of</w:t>
      </w:r>
      <w:r w:rsidRPr="00922C73">
        <w:rPr>
          <w:rFonts w:ascii="Times New Roman" w:hAnsi="Times New Roman" w:cs="Times New Roman"/>
          <w:sz w:val="24"/>
          <w:szCs w:val="24"/>
        </w:rPr>
        <w:t xml:space="preserve"> ATI, assess a strategy of infliximab dose escalation (DE) and to identify epitopes on infliximab</w:t>
      </w:r>
      <w:r w:rsidR="00666156" w:rsidRPr="00922C73">
        <w:rPr>
          <w:rFonts w:ascii="Times New Roman" w:hAnsi="Times New Roman" w:cs="Times New Roman"/>
          <w:sz w:val="24"/>
          <w:szCs w:val="24"/>
        </w:rPr>
        <w:t xml:space="preserve"> using </w:t>
      </w:r>
      <w:r w:rsidR="00672A17" w:rsidRPr="00922C73">
        <w:rPr>
          <w:rFonts w:ascii="Times New Roman" w:hAnsi="Times New Roman" w:cs="Times New Roman"/>
          <w:sz w:val="24"/>
          <w:szCs w:val="24"/>
        </w:rPr>
        <w:t>phage display</w:t>
      </w:r>
      <w:r w:rsidRPr="00922C73">
        <w:rPr>
          <w:rFonts w:ascii="Times New Roman" w:hAnsi="Times New Roman" w:cs="Times New Roman"/>
          <w:sz w:val="24"/>
          <w:szCs w:val="24"/>
        </w:rPr>
        <w:t xml:space="preserve">. </w:t>
      </w:r>
    </w:p>
    <w:p w14:paraId="38D8B223" w14:textId="77777777" w:rsidR="003A3663" w:rsidRPr="00922C73" w:rsidRDefault="003A3663" w:rsidP="00CB6DAD">
      <w:pPr>
        <w:tabs>
          <w:tab w:val="left" w:pos="1170"/>
        </w:tabs>
        <w:spacing w:line="480" w:lineRule="auto"/>
        <w:jc w:val="center"/>
        <w:rPr>
          <w:rFonts w:ascii="Times New Roman" w:hAnsi="Times New Roman" w:cs="Times New Roman"/>
          <w:sz w:val="24"/>
          <w:szCs w:val="24"/>
        </w:rPr>
      </w:pPr>
    </w:p>
    <w:p w14:paraId="798B9FC3" w14:textId="74067EAC" w:rsidR="003A3663" w:rsidRPr="00922C73" w:rsidRDefault="003A3663" w:rsidP="00004EC1">
      <w:pPr>
        <w:tabs>
          <w:tab w:val="left" w:pos="1170"/>
        </w:tabs>
        <w:spacing w:line="480" w:lineRule="auto"/>
        <w:rPr>
          <w:rFonts w:ascii="Times New Roman" w:eastAsiaTheme="minorHAnsi" w:hAnsi="Times New Roman" w:cs="Times New Roman"/>
          <w:sz w:val="24"/>
          <w:szCs w:val="24"/>
        </w:rPr>
      </w:pPr>
      <w:r w:rsidRPr="00922C73">
        <w:rPr>
          <w:rFonts w:ascii="Times New Roman" w:hAnsi="Times New Roman" w:cs="Times New Roman"/>
          <w:sz w:val="24"/>
          <w:szCs w:val="24"/>
        </w:rPr>
        <w:t>I</w:t>
      </w:r>
      <w:r w:rsidR="000E219D" w:rsidRPr="00922C73">
        <w:rPr>
          <w:rFonts w:ascii="Times New Roman" w:hAnsi="Times New Roman" w:cs="Times New Roman"/>
          <w:sz w:val="24"/>
          <w:szCs w:val="24"/>
        </w:rPr>
        <w:t xml:space="preserve">n a </w:t>
      </w:r>
      <w:r w:rsidRPr="00922C73">
        <w:rPr>
          <w:rFonts w:ascii="Times New Roman" w:hAnsi="Times New Roman" w:cs="Times New Roman"/>
          <w:sz w:val="24"/>
          <w:szCs w:val="24"/>
        </w:rPr>
        <w:t>retrospective review of 214 patients</w:t>
      </w:r>
      <w:r w:rsidR="000E219D" w:rsidRPr="00922C73">
        <w:rPr>
          <w:rFonts w:ascii="Times New Roman" w:hAnsi="Times New Roman" w:cs="Times New Roman"/>
          <w:sz w:val="24"/>
          <w:szCs w:val="24"/>
        </w:rPr>
        <w:t>,</w:t>
      </w:r>
      <w:r w:rsidRPr="00922C73">
        <w:rPr>
          <w:rFonts w:ascii="Times New Roman" w:hAnsi="Times New Roman" w:cs="Times New Roman"/>
          <w:sz w:val="24"/>
          <w:szCs w:val="24"/>
        </w:rPr>
        <w:t xml:space="preserve"> ATI were detected in 64% of patients during the first year of infliximab treatment</w:t>
      </w:r>
      <w:r w:rsidR="00721C91" w:rsidRPr="00922C73">
        <w:rPr>
          <w:rFonts w:ascii="Times New Roman" w:hAnsi="Times New Roman" w:cs="Times New Roman"/>
          <w:sz w:val="24"/>
          <w:szCs w:val="24"/>
        </w:rPr>
        <w:t xml:space="preserve">. They </w:t>
      </w:r>
      <w:r w:rsidRPr="00922C73">
        <w:rPr>
          <w:rFonts w:ascii="Times New Roman" w:hAnsi="Times New Roman" w:cs="Times New Roman"/>
          <w:sz w:val="24"/>
          <w:szCs w:val="24"/>
        </w:rPr>
        <w:t xml:space="preserve">were significantly associated with loss of clinical response, reduced infliximab levels and adverse drug reactions. </w:t>
      </w:r>
      <w:r w:rsidRPr="00922C73">
        <w:rPr>
          <w:rFonts w:ascii="Times New Roman" w:eastAsiaTheme="minorHAnsi" w:hAnsi="Times New Roman" w:cs="Times New Roman"/>
          <w:sz w:val="24"/>
          <w:szCs w:val="24"/>
        </w:rPr>
        <w:t>A</w:t>
      </w:r>
      <w:r w:rsidRPr="00922C73">
        <w:rPr>
          <w:rFonts w:ascii="Times New Roman" w:hAnsi="Times New Roman" w:cs="Times New Roman"/>
          <w:sz w:val="24"/>
          <w:szCs w:val="24"/>
        </w:rPr>
        <w:t>ssessment of infliximab DE in 92 patients with subtherapeutic drug levels, showed it was effective at significantly increasing infliximab levels</w:t>
      </w:r>
      <w:r w:rsidR="00AF7400" w:rsidRPr="00922C73">
        <w:rPr>
          <w:rFonts w:ascii="Times New Roman" w:hAnsi="Times New Roman" w:cs="Times New Roman"/>
          <w:sz w:val="24"/>
          <w:szCs w:val="24"/>
        </w:rPr>
        <w:t xml:space="preserve"> in those with and without ATI</w:t>
      </w:r>
      <w:r w:rsidRPr="00922C73">
        <w:rPr>
          <w:rFonts w:ascii="Times New Roman" w:hAnsi="Times New Roman" w:cs="Times New Roman"/>
          <w:sz w:val="24"/>
          <w:szCs w:val="24"/>
        </w:rPr>
        <w:t xml:space="preserve">. DE was also associated with a high rate of clinical remission at 6 months.  Pooled sera from eight patients with positive ATI and differing clinical outcomes was used for biopanning of two phage display libraries.  Three distinct </w:t>
      </w:r>
      <w:r w:rsidR="00677676" w:rsidRPr="00922C73">
        <w:rPr>
          <w:rFonts w:ascii="Times New Roman" w:hAnsi="Times New Roman" w:cs="Times New Roman"/>
          <w:sz w:val="24"/>
          <w:szCs w:val="24"/>
        </w:rPr>
        <w:t>linear epitopes</w:t>
      </w:r>
      <w:r w:rsidRPr="00922C73">
        <w:rPr>
          <w:rFonts w:ascii="Times New Roman" w:hAnsi="Times New Roman" w:cs="Times New Roman"/>
          <w:sz w:val="24"/>
          <w:szCs w:val="24"/>
        </w:rPr>
        <w:t xml:space="preserve"> were heavily enriched from </w:t>
      </w:r>
      <w:r w:rsidR="00BF0320" w:rsidRPr="00922C73">
        <w:rPr>
          <w:rFonts w:ascii="Times New Roman" w:hAnsi="Times New Roman" w:cs="Times New Roman"/>
          <w:sz w:val="24"/>
          <w:szCs w:val="24"/>
        </w:rPr>
        <w:t xml:space="preserve">a novel </w:t>
      </w:r>
      <w:r w:rsidR="00870AF9" w:rsidRPr="00922C73">
        <w:rPr>
          <w:rFonts w:ascii="Times New Roman" w:hAnsi="Times New Roman" w:cs="Times New Roman"/>
          <w:sz w:val="24"/>
          <w:szCs w:val="24"/>
        </w:rPr>
        <w:t xml:space="preserve">whole </w:t>
      </w:r>
      <w:r w:rsidR="00BF0320" w:rsidRPr="00922C73">
        <w:rPr>
          <w:rFonts w:ascii="Times New Roman" w:hAnsi="Times New Roman" w:cs="Times New Roman"/>
          <w:sz w:val="24"/>
          <w:szCs w:val="24"/>
        </w:rPr>
        <w:t>gene fragment library</w:t>
      </w:r>
      <w:r w:rsidR="008905E8">
        <w:rPr>
          <w:rFonts w:ascii="Times New Roman" w:hAnsi="Times New Roman" w:cs="Times New Roman"/>
          <w:sz w:val="24"/>
          <w:szCs w:val="24"/>
        </w:rPr>
        <w:t xml:space="preserve"> (GFL)</w:t>
      </w:r>
      <w:r w:rsidR="00332750"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all mapped to complementarity determining regions of infliximab. Using </w:t>
      </w:r>
      <w:r w:rsidR="00BC047C" w:rsidRPr="00922C73">
        <w:rPr>
          <w:rFonts w:ascii="Times New Roman" w:hAnsi="Times New Roman" w:cs="Times New Roman"/>
          <w:sz w:val="24"/>
          <w:szCs w:val="24"/>
        </w:rPr>
        <w:t>a random peptide library</w:t>
      </w:r>
      <w:r w:rsidR="008905E8">
        <w:rPr>
          <w:rFonts w:ascii="Times New Roman" w:hAnsi="Times New Roman" w:cs="Times New Roman"/>
          <w:sz w:val="24"/>
          <w:szCs w:val="24"/>
        </w:rPr>
        <w:t xml:space="preserve"> (RPL)</w:t>
      </w:r>
      <w:r w:rsidRPr="00922C73">
        <w:rPr>
          <w:rFonts w:ascii="Times New Roman" w:hAnsi="Times New Roman" w:cs="Times New Roman"/>
          <w:sz w:val="24"/>
          <w:szCs w:val="24"/>
        </w:rPr>
        <w:t xml:space="preserve">, three </w:t>
      </w:r>
      <w:r w:rsidR="00332750" w:rsidRPr="00922C73">
        <w:rPr>
          <w:rFonts w:ascii="Times New Roman" w:hAnsi="Times New Roman" w:cs="Times New Roman"/>
          <w:sz w:val="24"/>
          <w:szCs w:val="24"/>
        </w:rPr>
        <w:t xml:space="preserve">different </w:t>
      </w:r>
      <w:r w:rsidRPr="00922C73">
        <w:rPr>
          <w:rFonts w:ascii="Times New Roman" w:hAnsi="Times New Roman" w:cs="Times New Roman"/>
          <w:sz w:val="24"/>
          <w:szCs w:val="24"/>
        </w:rPr>
        <w:t>peptides were enriched</w:t>
      </w:r>
      <w:r w:rsidR="006655EC" w:rsidRPr="00922C73">
        <w:rPr>
          <w:rFonts w:ascii="Times New Roman" w:hAnsi="Times New Roman" w:cs="Times New Roman"/>
          <w:sz w:val="24"/>
          <w:szCs w:val="24"/>
        </w:rPr>
        <w:t>. U</w:t>
      </w:r>
      <w:r w:rsidRPr="00922C73">
        <w:rPr>
          <w:rFonts w:ascii="Times New Roman" w:hAnsi="Times New Roman" w:cs="Times New Roman"/>
          <w:sz w:val="24"/>
          <w:szCs w:val="24"/>
        </w:rPr>
        <w:t xml:space="preserve">sing </w:t>
      </w:r>
      <w:proofErr w:type="spellStart"/>
      <w:r w:rsidRPr="00922C73">
        <w:rPr>
          <w:rFonts w:ascii="Times New Roman" w:hAnsi="Times New Roman" w:cs="Times New Roman"/>
          <w:sz w:val="24"/>
          <w:szCs w:val="24"/>
        </w:rPr>
        <w:t>Pepsurf</w:t>
      </w:r>
      <w:proofErr w:type="spellEnd"/>
      <w:r w:rsidRPr="00922C73">
        <w:rPr>
          <w:rFonts w:ascii="Times New Roman" w:hAnsi="Times New Roman" w:cs="Times New Roman"/>
          <w:sz w:val="24"/>
          <w:szCs w:val="24"/>
        </w:rPr>
        <w:t>, a mimotope prediction programme, three conformational epitopes were predicted</w:t>
      </w:r>
      <w:r w:rsidR="003F7C11" w:rsidRPr="00922C73">
        <w:rPr>
          <w:rFonts w:ascii="Times New Roman" w:hAnsi="Times New Roman" w:cs="Times New Roman"/>
          <w:sz w:val="24"/>
          <w:szCs w:val="24"/>
        </w:rPr>
        <w:t xml:space="preserve"> </w:t>
      </w:r>
      <w:r w:rsidR="001E2924" w:rsidRPr="00922C73">
        <w:rPr>
          <w:rFonts w:ascii="Times New Roman" w:hAnsi="Times New Roman" w:cs="Times New Roman"/>
          <w:sz w:val="24"/>
          <w:szCs w:val="24"/>
        </w:rPr>
        <w:t>using</w:t>
      </w:r>
      <w:r w:rsidR="003F7C11" w:rsidRPr="00922C73">
        <w:rPr>
          <w:rFonts w:ascii="Times New Roman" w:hAnsi="Times New Roman" w:cs="Times New Roman"/>
          <w:sz w:val="24"/>
          <w:szCs w:val="24"/>
        </w:rPr>
        <w:t xml:space="preserve"> the</w:t>
      </w:r>
      <w:r w:rsidR="001E2924" w:rsidRPr="00922C73">
        <w:rPr>
          <w:rFonts w:ascii="Times New Roman" w:hAnsi="Times New Roman" w:cs="Times New Roman"/>
          <w:sz w:val="24"/>
          <w:szCs w:val="24"/>
        </w:rPr>
        <w:t xml:space="preserve"> enriched peptides</w:t>
      </w:r>
      <w:r w:rsidRPr="00922C73">
        <w:rPr>
          <w:rFonts w:ascii="Times New Roman" w:hAnsi="Times New Roman" w:cs="Times New Roman"/>
          <w:sz w:val="24"/>
          <w:szCs w:val="24"/>
        </w:rPr>
        <w:t>. One of the predicted epitopes</w:t>
      </w:r>
      <w:r w:rsidR="001E2924" w:rsidRPr="00922C73">
        <w:rPr>
          <w:rFonts w:ascii="Times New Roman" w:hAnsi="Times New Roman" w:cs="Times New Roman"/>
          <w:sz w:val="24"/>
          <w:szCs w:val="24"/>
        </w:rPr>
        <w:t xml:space="preserve"> from the RPL</w:t>
      </w:r>
      <w:r w:rsidRPr="00922C73">
        <w:rPr>
          <w:rFonts w:ascii="Times New Roman" w:hAnsi="Times New Roman" w:cs="Times New Roman"/>
          <w:sz w:val="24"/>
          <w:szCs w:val="24"/>
        </w:rPr>
        <w:t xml:space="preserve"> overlapped with a linear epitope selected from the GFL</w:t>
      </w:r>
      <w:r w:rsidRPr="00922C73">
        <w:rPr>
          <w:rFonts w:ascii="Times New Roman" w:eastAsia="Calibri" w:hAnsi="Times New Roman" w:cs="Times New Roman"/>
          <w:kern w:val="24"/>
          <w:sz w:val="24"/>
          <w:szCs w:val="24"/>
        </w:rPr>
        <w:t>.</w:t>
      </w:r>
    </w:p>
    <w:p w14:paraId="7C7CECFA" w14:textId="77777777" w:rsidR="003A3663" w:rsidRPr="00922C73" w:rsidRDefault="003A3663" w:rsidP="003A3663">
      <w:pPr>
        <w:kinsoku w:val="0"/>
        <w:overflowPunct w:val="0"/>
        <w:spacing w:before="86" w:after="0" w:line="480" w:lineRule="auto"/>
        <w:jc w:val="left"/>
        <w:textAlignment w:val="baseline"/>
        <w:rPr>
          <w:rFonts w:ascii="Times New Roman" w:hAnsi="Times New Roman" w:cs="Times New Roman"/>
          <w:sz w:val="24"/>
          <w:szCs w:val="24"/>
        </w:rPr>
      </w:pPr>
      <w:r w:rsidRPr="00922C73">
        <w:rPr>
          <w:rFonts w:ascii="Times New Roman" w:hAnsi="Times New Roman" w:cs="Times New Roman"/>
          <w:sz w:val="24"/>
          <w:szCs w:val="24"/>
        </w:rPr>
        <w:t xml:space="preserve"> </w:t>
      </w:r>
    </w:p>
    <w:p w14:paraId="76B6BA25" w14:textId="400C99B4" w:rsidR="0085564F" w:rsidRPr="00922C73" w:rsidRDefault="003A3663" w:rsidP="00D879C3">
      <w:pPr>
        <w:kinsoku w:val="0"/>
        <w:overflowPunct w:val="0"/>
        <w:spacing w:before="86" w:after="0" w:line="480" w:lineRule="auto"/>
        <w:jc w:val="left"/>
        <w:textAlignment w:val="baseline"/>
        <w:rPr>
          <w:rFonts w:ascii="Times New Roman" w:hAnsi="Times New Roman" w:cs="Times New Roman"/>
          <w:sz w:val="24"/>
          <w:szCs w:val="24"/>
        </w:rPr>
      </w:pPr>
      <w:r w:rsidRPr="00922C73">
        <w:rPr>
          <w:rFonts w:ascii="Times New Roman" w:hAnsi="Times New Roman" w:cs="Times New Roman"/>
          <w:sz w:val="24"/>
          <w:szCs w:val="24"/>
        </w:rPr>
        <w:t xml:space="preserve">In increasing our understanding of immunogenicity to infliximab, </w:t>
      </w:r>
      <w:r w:rsidR="00A977AB" w:rsidRPr="00922C73">
        <w:rPr>
          <w:rFonts w:ascii="Times New Roman" w:hAnsi="Times New Roman" w:cs="Times New Roman"/>
          <w:sz w:val="24"/>
          <w:szCs w:val="24"/>
        </w:rPr>
        <w:t xml:space="preserve">this </w:t>
      </w:r>
      <w:r w:rsidRPr="00922C73">
        <w:rPr>
          <w:rFonts w:ascii="Times New Roman" w:hAnsi="Times New Roman" w:cs="Times New Roman"/>
          <w:sz w:val="24"/>
          <w:szCs w:val="24"/>
        </w:rPr>
        <w:t>may lead to an identification of an epitope associated with loss of response, a biomarker</w:t>
      </w:r>
      <w:r w:rsidR="00F04B41" w:rsidRPr="00922C73">
        <w:rPr>
          <w:rFonts w:ascii="Times New Roman" w:hAnsi="Times New Roman" w:cs="Times New Roman"/>
          <w:sz w:val="24"/>
          <w:szCs w:val="24"/>
        </w:rPr>
        <w:t>,</w:t>
      </w:r>
      <w:r w:rsidR="00A977AB" w:rsidRPr="00922C73">
        <w:rPr>
          <w:rFonts w:ascii="Times New Roman" w:hAnsi="Times New Roman" w:cs="Times New Roman"/>
          <w:sz w:val="24"/>
          <w:szCs w:val="24"/>
        </w:rPr>
        <w:t xml:space="preserve"> and will help aid treatment decisions when ATI are detected.</w:t>
      </w:r>
    </w:p>
    <w:p w14:paraId="47861C67" w14:textId="5957DB65" w:rsidR="0068644E" w:rsidRPr="00922C73" w:rsidRDefault="0068644E" w:rsidP="00700BBF">
      <w:pPr>
        <w:pStyle w:val="Heading1"/>
        <w:spacing w:line="480" w:lineRule="auto"/>
        <w:rPr>
          <w:rFonts w:ascii="Times New Roman" w:hAnsi="Times New Roman" w:cs="Times New Roman"/>
          <w:sz w:val="32"/>
          <w:szCs w:val="32"/>
          <w:u w:val="single"/>
        </w:rPr>
      </w:pPr>
      <w:bookmarkStart w:id="6" w:name="_Toc151020447"/>
      <w:r w:rsidRPr="00922C73">
        <w:rPr>
          <w:rFonts w:ascii="Times New Roman" w:hAnsi="Times New Roman" w:cs="Times New Roman"/>
          <w:sz w:val="32"/>
          <w:szCs w:val="32"/>
          <w:u w:val="single"/>
        </w:rPr>
        <w:lastRenderedPageBreak/>
        <w:t>Acknowledgements</w:t>
      </w:r>
      <w:bookmarkEnd w:id="6"/>
    </w:p>
    <w:p w14:paraId="528F0ED1" w14:textId="4C942013" w:rsidR="00FC7DC0" w:rsidRPr="00922C73" w:rsidRDefault="00FC7DC0" w:rsidP="00FC7DC0">
      <w:pPr>
        <w:spacing w:line="480" w:lineRule="auto"/>
        <w:rPr>
          <w:rFonts w:ascii="Times New Roman" w:hAnsi="Times New Roman" w:cs="Times New Roman"/>
          <w:sz w:val="24"/>
          <w:szCs w:val="24"/>
        </w:rPr>
      </w:pPr>
      <w:r w:rsidRPr="00922C73">
        <w:rPr>
          <w:rFonts w:ascii="Times New Roman" w:hAnsi="Times New Roman" w:cs="Times New Roman"/>
          <w:sz w:val="24"/>
          <w:szCs w:val="24"/>
        </w:rPr>
        <w:t>I would not have been able to complete my PhD fellowship without the support and guidance of my supervisors Professor Alan Lobo</w:t>
      </w:r>
      <w:r w:rsidR="00454726" w:rsidRPr="00922C73">
        <w:rPr>
          <w:rFonts w:ascii="Times New Roman" w:hAnsi="Times New Roman" w:cs="Times New Roman"/>
          <w:sz w:val="24"/>
          <w:szCs w:val="24"/>
        </w:rPr>
        <w:t xml:space="preserve">, </w:t>
      </w:r>
      <w:r w:rsidRPr="00922C73">
        <w:rPr>
          <w:rFonts w:ascii="Times New Roman" w:hAnsi="Times New Roman" w:cs="Times New Roman"/>
          <w:sz w:val="24"/>
          <w:szCs w:val="24"/>
        </w:rPr>
        <w:t>Professor Bernard Corfe</w:t>
      </w:r>
      <w:r w:rsidR="00454726" w:rsidRPr="00922C73">
        <w:rPr>
          <w:rFonts w:ascii="Times New Roman" w:hAnsi="Times New Roman" w:cs="Times New Roman"/>
          <w:sz w:val="24"/>
          <w:szCs w:val="24"/>
        </w:rPr>
        <w:t xml:space="preserve"> and Dr </w:t>
      </w:r>
      <w:proofErr w:type="spellStart"/>
      <w:r w:rsidR="00454726" w:rsidRPr="00922C73">
        <w:rPr>
          <w:rFonts w:ascii="Times New Roman" w:hAnsi="Times New Roman" w:cs="Times New Roman"/>
          <w:sz w:val="24"/>
          <w:szCs w:val="24"/>
        </w:rPr>
        <w:t>Munitta</w:t>
      </w:r>
      <w:proofErr w:type="spellEnd"/>
      <w:r w:rsidR="00454726" w:rsidRPr="00922C73">
        <w:rPr>
          <w:rFonts w:ascii="Times New Roman" w:hAnsi="Times New Roman" w:cs="Times New Roman"/>
          <w:sz w:val="24"/>
          <w:szCs w:val="24"/>
        </w:rPr>
        <w:t xml:space="preserve"> Muthana</w:t>
      </w:r>
      <w:r w:rsidRPr="00922C73">
        <w:rPr>
          <w:rFonts w:ascii="Times New Roman" w:hAnsi="Times New Roman" w:cs="Times New Roman"/>
          <w:sz w:val="24"/>
          <w:szCs w:val="24"/>
        </w:rPr>
        <w:t xml:space="preserve">. As experts in their fields, their knowledge and encouragement has been invaluable. In addition, I am deeply grateful to Dr Simon Hufton, </w:t>
      </w:r>
      <w:r w:rsidR="00A53B44" w:rsidRPr="00922C73">
        <w:rPr>
          <w:rFonts w:ascii="Times New Roman" w:hAnsi="Times New Roman" w:cs="Times New Roman"/>
          <w:sz w:val="24"/>
          <w:szCs w:val="24"/>
        </w:rPr>
        <w:t>H</w:t>
      </w:r>
      <w:r w:rsidRPr="00922C73">
        <w:rPr>
          <w:rFonts w:ascii="Times New Roman" w:hAnsi="Times New Roman" w:cs="Times New Roman"/>
          <w:sz w:val="24"/>
          <w:szCs w:val="24"/>
        </w:rPr>
        <w:t xml:space="preserve">ead of </w:t>
      </w:r>
      <w:r w:rsidR="00A53B44" w:rsidRPr="00922C73">
        <w:rPr>
          <w:rFonts w:ascii="Times New Roman" w:hAnsi="Times New Roman" w:cs="Times New Roman"/>
          <w:sz w:val="24"/>
          <w:szCs w:val="24"/>
        </w:rPr>
        <w:t>Antibodies</w:t>
      </w:r>
      <w:r w:rsidRPr="00922C73">
        <w:rPr>
          <w:rFonts w:ascii="Times New Roman" w:hAnsi="Times New Roman" w:cs="Times New Roman"/>
          <w:sz w:val="24"/>
          <w:szCs w:val="24"/>
        </w:rPr>
        <w:t xml:space="preserve"> at the National Institute for Biological Standards and Control. His incredible knowledge of phage display and his time and training of me has been crucial in this research. Within the Biotherapeutics department</w:t>
      </w:r>
      <w:r w:rsidR="006A52DD" w:rsidRPr="00922C73">
        <w:rPr>
          <w:rFonts w:ascii="Times New Roman" w:hAnsi="Times New Roman" w:cs="Times New Roman"/>
          <w:sz w:val="24"/>
          <w:szCs w:val="24"/>
        </w:rPr>
        <w:t>,</w:t>
      </w:r>
      <w:r w:rsidRPr="00922C73">
        <w:rPr>
          <w:rFonts w:ascii="Times New Roman" w:hAnsi="Times New Roman" w:cs="Times New Roman"/>
          <w:sz w:val="24"/>
          <w:szCs w:val="24"/>
        </w:rPr>
        <w:t xml:space="preserve"> I also want to thank Dr Martin Orecchia, Dr Tiziano Gaiotto, Mr Walter Ramage and Ms Chris Ball for their support. The immunology department at Sheffield Teaching Hospitals has al</w:t>
      </w:r>
      <w:r w:rsidR="008C2657" w:rsidRPr="00922C73">
        <w:rPr>
          <w:rFonts w:ascii="Times New Roman" w:hAnsi="Times New Roman" w:cs="Times New Roman"/>
          <w:sz w:val="24"/>
          <w:szCs w:val="24"/>
        </w:rPr>
        <w:t>so helped</w:t>
      </w:r>
      <w:r w:rsidR="00454726" w:rsidRPr="00922C73">
        <w:rPr>
          <w:rFonts w:ascii="Times New Roman" w:hAnsi="Times New Roman" w:cs="Times New Roman"/>
          <w:sz w:val="24"/>
          <w:szCs w:val="24"/>
        </w:rPr>
        <w:t xml:space="preserve"> me</w:t>
      </w:r>
      <w:r w:rsidRPr="00922C73">
        <w:rPr>
          <w:rFonts w:ascii="Times New Roman" w:hAnsi="Times New Roman" w:cs="Times New Roman"/>
          <w:sz w:val="24"/>
          <w:szCs w:val="24"/>
        </w:rPr>
        <w:t>, in particular, Dr Graeme Wild</w:t>
      </w:r>
      <w:r w:rsidR="00454726" w:rsidRPr="00922C73">
        <w:rPr>
          <w:rFonts w:ascii="Times New Roman" w:hAnsi="Times New Roman" w:cs="Times New Roman"/>
          <w:sz w:val="24"/>
          <w:szCs w:val="24"/>
        </w:rPr>
        <w:t xml:space="preserve"> and Ms Kirsty Swallow</w:t>
      </w:r>
      <w:r w:rsidRPr="00922C73">
        <w:rPr>
          <w:rFonts w:ascii="Times New Roman" w:hAnsi="Times New Roman" w:cs="Times New Roman"/>
          <w:sz w:val="24"/>
          <w:szCs w:val="24"/>
        </w:rPr>
        <w:t xml:space="preserve">. To the IBD team at Sheffield </w:t>
      </w:r>
      <w:r w:rsidR="00BB7250" w:rsidRPr="00922C73">
        <w:rPr>
          <w:rFonts w:ascii="Times New Roman" w:hAnsi="Times New Roman" w:cs="Times New Roman"/>
          <w:sz w:val="24"/>
          <w:szCs w:val="24"/>
        </w:rPr>
        <w:t>T</w:t>
      </w:r>
      <w:r w:rsidRPr="00922C73">
        <w:rPr>
          <w:rFonts w:ascii="Times New Roman" w:hAnsi="Times New Roman" w:cs="Times New Roman"/>
          <w:sz w:val="24"/>
          <w:szCs w:val="24"/>
        </w:rPr>
        <w:t xml:space="preserve">eaching </w:t>
      </w:r>
      <w:r w:rsidR="00BB7250" w:rsidRPr="00922C73">
        <w:rPr>
          <w:rFonts w:ascii="Times New Roman" w:hAnsi="Times New Roman" w:cs="Times New Roman"/>
          <w:sz w:val="24"/>
          <w:szCs w:val="24"/>
        </w:rPr>
        <w:t>H</w:t>
      </w:r>
      <w:r w:rsidRPr="00922C73">
        <w:rPr>
          <w:rFonts w:ascii="Times New Roman" w:hAnsi="Times New Roman" w:cs="Times New Roman"/>
          <w:sz w:val="24"/>
          <w:szCs w:val="24"/>
        </w:rPr>
        <w:t xml:space="preserve">ospital, you have helped me with my research and </w:t>
      </w:r>
      <w:r w:rsidR="00F846C4" w:rsidRPr="00922C73">
        <w:rPr>
          <w:rFonts w:ascii="Times New Roman" w:hAnsi="Times New Roman" w:cs="Times New Roman"/>
          <w:sz w:val="24"/>
          <w:szCs w:val="24"/>
        </w:rPr>
        <w:t xml:space="preserve">helped </w:t>
      </w:r>
      <w:r w:rsidRPr="00922C73">
        <w:rPr>
          <w:rFonts w:ascii="Times New Roman" w:hAnsi="Times New Roman" w:cs="Times New Roman"/>
          <w:sz w:val="24"/>
          <w:szCs w:val="24"/>
        </w:rPr>
        <w:t xml:space="preserve">shape me into the clinician I am today. </w:t>
      </w:r>
    </w:p>
    <w:p w14:paraId="005867FD" w14:textId="77777777" w:rsidR="008C2657" w:rsidRPr="00922C73" w:rsidRDefault="008C2657" w:rsidP="00FC7DC0">
      <w:pPr>
        <w:spacing w:line="480" w:lineRule="auto"/>
        <w:rPr>
          <w:rFonts w:ascii="Times New Roman" w:hAnsi="Times New Roman" w:cs="Times New Roman"/>
          <w:sz w:val="24"/>
          <w:szCs w:val="24"/>
        </w:rPr>
      </w:pPr>
    </w:p>
    <w:p w14:paraId="55383CBE" w14:textId="0451E6E7" w:rsidR="00FC7DC0" w:rsidRPr="00922C73" w:rsidRDefault="00FC7DC0" w:rsidP="00FC7DC0">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Lastly, I </w:t>
      </w:r>
      <w:r w:rsidR="008C2657" w:rsidRPr="00922C73">
        <w:rPr>
          <w:rFonts w:ascii="Times New Roman" w:hAnsi="Times New Roman" w:cs="Times New Roman"/>
          <w:sz w:val="24"/>
          <w:szCs w:val="24"/>
        </w:rPr>
        <w:t>want</w:t>
      </w:r>
      <w:r w:rsidRPr="00922C73">
        <w:rPr>
          <w:rFonts w:ascii="Times New Roman" w:hAnsi="Times New Roman" w:cs="Times New Roman"/>
          <w:sz w:val="24"/>
          <w:szCs w:val="24"/>
        </w:rPr>
        <w:t xml:space="preserve"> to thank all of my family. My parents, who have always put their children first and my husband, Chris, who has the ability to make me laugh even on the tough days- thank you. </w:t>
      </w:r>
    </w:p>
    <w:p w14:paraId="2717B0F1" w14:textId="77777777" w:rsidR="003514DF" w:rsidRPr="00922C73" w:rsidRDefault="003514DF" w:rsidP="00700BBF">
      <w:pPr>
        <w:pStyle w:val="Heading1"/>
        <w:spacing w:line="480" w:lineRule="auto"/>
        <w:rPr>
          <w:rFonts w:ascii="Times New Roman" w:hAnsi="Times New Roman" w:cs="Times New Roman"/>
          <w:sz w:val="32"/>
          <w:szCs w:val="32"/>
          <w:u w:val="single"/>
        </w:rPr>
      </w:pPr>
    </w:p>
    <w:p w14:paraId="3E01E58C" w14:textId="77777777" w:rsidR="003514DF" w:rsidRPr="00922C73" w:rsidRDefault="003514DF" w:rsidP="0085564F"/>
    <w:p w14:paraId="76B71408" w14:textId="77777777" w:rsidR="001E2F4D" w:rsidRPr="00922C73" w:rsidRDefault="001E2F4D" w:rsidP="00700BBF">
      <w:pPr>
        <w:pStyle w:val="Heading1"/>
        <w:spacing w:line="480" w:lineRule="auto"/>
        <w:rPr>
          <w:rFonts w:ascii="Times New Roman" w:hAnsi="Times New Roman" w:cs="Times New Roman"/>
          <w:sz w:val="32"/>
          <w:szCs w:val="32"/>
          <w:u w:val="single"/>
        </w:rPr>
      </w:pPr>
    </w:p>
    <w:p w14:paraId="0EC2CF0B" w14:textId="77777777" w:rsidR="001E2F4D" w:rsidRPr="00922C73" w:rsidRDefault="001E2F4D" w:rsidP="001E2F4D"/>
    <w:p w14:paraId="6AC03639" w14:textId="77777777" w:rsidR="001E2F4D" w:rsidRPr="00922C73" w:rsidRDefault="001E2F4D" w:rsidP="001E2F4D"/>
    <w:p w14:paraId="490EB14D" w14:textId="32F4DC60" w:rsidR="009D5E67" w:rsidRPr="00922C73" w:rsidRDefault="004905DB" w:rsidP="00700BBF">
      <w:pPr>
        <w:pStyle w:val="Heading1"/>
        <w:spacing w:line="480" w:lineRule="auto"/>
        <w:rPr>
          <w:rFonts w:ascii="Times New Roman" w:hAnsi="Times New Roman" w:cs="Times New Roman"/>
          <w:sz w:val="32"/>
          <w:szCs w:val="32"/>
          <w:u w:val="single"/>
        </w:rPr>
      </w:pPr>
      <w:bookmarkStart w:id="7" w:name="_Toc151020448"/>
      <w:r w:rsidRPr="00922C73">
        <w:rPr>
          <w:rFonts w:ascii="Times New Roman" w:hAnsi="Times New Roman" w:cs="Times New Roman"/>
          <w:sz w:val="32"/>
          <w:szCs w:val="32"/>
          <w:u w:val="single"/>
        </w:rPr>
        <w:lastRenderedPageBreak/>
        <w:t>C</w:t>
      </w:r>
      <w:r w:rsidR="009D5E67" w:rsidRPr="00922C73">
        <w:rPr>
          <w:rFonts w:ascii="Times New Roman" w:hAnsi="Times New Roman" w:cs="Times New Roman"/>
          <w:sz w:val="32"/>
          <w:szCs w:val="32"/>
          <w:u w:val="single"/>
        </w:rPr>
        <w:t>hapter 1: Introduction</w:t>
      </w:r>
      <w:bookmarkEnd w:id="7"/>
    </w:p>
    <w:p w14:paraId="70A9F57A" w14:textId="77777777" w:rsidR="00A63F5A" w:rsidRPr="00922C73" w:rsidRDefault="00A63F5A" w:rsidP="00F64D9D">
      <w:pPr>
        <w:spacing w:line="480" w:lineRule="auto"/>
      </w:pPr>
    </w:p>
    <w:p w14:paraId="78206992" w14:textId="7D32AD73" w:rsidR="002C7D93" w:rsidRPr="00922C73" w:rsidRDefault="00D02135" w:rsidP="00F64D9D">
      <w:pPr>
        <w:pStyle w:val="Heading2"/>
        <w:spacing w:line="480" w:lineRule="auto"/>
        <w:rPr>
          <w:rFonts w:ascii="Times New Roman" w:hAnsi="Times New Roman" w:cs="Times New Roman"/>
          <w:sz w:val="24"/>
          <w:szCs w:val="24"/>
        </w:rPr>
      </w:pPr>
      <w:bookmarkStart w:id="8" w:name="_Toc151020449"/>
      <w:r w:rsidRPr="00922C73">
        <w:rPr>
          <w:rFonts w:ascii="Times New Roman" w:hAnsi="Times New Roman" w:cs="Times New Roman"/>
          <w:sz w:val="24"/>
          <w:szCs w:val="24"/>
        </w:rPr>
        <w:t>1.</w:t>
      </w:r>
      <w:r w:rsidR="00457236" w:rsidRPr="00922C73">
        <w:rPr>
          <w:rFonts w:ascii="Times New Roman" w:hAnsi="Times New Roman" w:cs="Times New Roman"/>
          <w:sz w:val="24"/>
          <w:szCs w:val="24"/>
        </w:rPr>
        <w:t>1 Inflammatory bowel disease</w:t>
      </w:r>
      <w:bookmarkEnd w:id="8"/>
      <w:r w:rsidR="00457236" w:rsidRPr="00922C73">
        <w:rPr>
          <w:rFonts w:ascii="Times New Roman" w:hAnsi="Times New Roman" w:cs="Times New Roman"/>
          <w:sz w:val="24"/>
          <w:szCs w:val="24"/>
        </w:rPr>
        <w:t xml:space="preserve"> </w:t>
      </w:r>
    </w:p>
    <w:p w14:paraId="59A35085" w14:textId="72122E5D" w:rsidR="006C2E05" w:rsidRPr="00922C73" w:rsidRDefault="006C2E05" w:rsidP="00F64D9D">
      <w:pPr>
        <w:pStyle w:val="Heading3"/>
        <w:spacing w:line="480" w:lineRule="auto"/>
        <w:rPr>
          <w:rFonts w:ascii="Times New Roman" w:hAnsi="Times New Roman" w:cs="Times New Roman"/>
          <w:b/>
          <w:bCs/>
        </w:rPr>
      </w:pPr>
      <w:bookmarkStart w:id="9" w:name="_Toc151020450"/>
      <w:r w:rsidRPr="00922C73">
        <w:rPr>
          <w:rFonts w:ascii="Times New Roman" w:hAnsi="Times New Roman" w:cs="Times New Roman"/>
          <w:b/>
          <w:bCs/>
        </w:rPr>
        <w:t>1.1.</w:t>
      </w:r>
      <w:r w:rsidR="00457236" w:rsidRPr="00922C73">
        <w:rPr>
          <w:rFonts w:ascii="Times New Roman" w:hAnsi="Times New Roman" w:cs="Times New Roman"/>
          <w:b/>
          <w:bCs/>
        </w:rPr>
        <w:t>1 Epidemiology</w:t>
      </w:r>
      <w:bookmarkEnd w:id="9"/>
      <w:r w:rsidRPr="00922C73">
        <w:rPr>
          <w:rFonts w:ascii="Times New Roman" w:hAnsi="Times New Roman" w:cs="Times New Roman"/>
          <w:b/>
          <w:bCs/>
        </w:rPr>
        <w:t xml:space="preserve"> </w:t>
      </w:r>
    </w:p>
    <w:p w14:paraId="19AFE399" w14:textId="14CFE00C" w:rsidR="00B64927" w:rsidRPr="00922C73" w:rsidRDefault="0092288A"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Inflammatory bowel disease (</w:t>
      </w:r>
      <w:r w:rsidR="006C2E05" w:rsidRPr="00922C73">
        <w:rPr>
          <w:rFonts w:ascii="Times New Roman" w:hAnsi="Times New Roman" w:cs="Times New Roman"/>
          <w:sz w:val="24"/>
          <w:szCs w:val="24"/>
        </w:rPr>
        <w:t>IBD</w:t>
      </w:r>
      <w:r w:rsidRPr="00922C73">
        <w:rPr>
          <w:rFonts w:ascii="Times New Roman" w:hAnsi="Times New Roman" w:cs="Times New Roman"/>
          <w:sz w:val="24"/>
          <w:szCs w:val="24"/>
        </w:rPr>
        <w:t>)</w:t>
      </w:r>
      <w:r w:rsidR="006C2E05" w:rsidRPr="00922C73">
        <w:rPr>
          <w:rFonts w:ascii="Times New Roman" w:hAnsi="Times New Roman" w:cs="Times New Roman"/>
          <w:sz w:val="24"/>
          <w:szCs w:val="24"/>
        </w:rPr>
        <w:t xml:space="preserve"> is an encompassing term for Crohn’s disease (CD)</w:t>
      </w:r>
      <w:r w:rsidR="00B64927" w:rsidRPr="00922C73">
        <w:rPr>
          <w:rFonts w:ascii="Times New Roman" w:hAnsi="Times New Roman" w:cs="Times New Roman"/>
          <w:sz w:val="24"/>
          <w:szCs w:val="24"/>
        </w:rPr>
        <w:t xml:space="preserve">, </w:t>
      </w:r>
      <w:r w:rsidR="006C2E05" w:rsidRPr="00922C73">
        <w:rPr>
          <w:rFonts w:ascii="Times New Roman" w:hAnsi="Times New Roman" w:cs="Times New Roman"/>
          <w:sz w:val="24"/>
          <w:szCs w:val="24"/>
        </w:rPr>
        <w:t>ulcerative colitis (UC)</w:t>
      </w:r>
      <w:r w:rsidR="00B64927" w:rsidRPr="00922C73">
        <w:rPr>
          <w:rFonts w:ascii="Times New Roman" w:hAnsi="Times New Roman" w:cs="Times New Roman"/>
          <w:sz w:val="24"/>
          <w:szCs w:val="24"/>
        </w:rPr>
        <w:t xml:space="preserve"> and</w:t>
      </w:r>
      <w:r w:rsidRPr="00922C73">
        <w:rPr>
          <w:rFonts w:ascii="Times New Roman" w:hAnsi="Times New Roman" w:cs="Times New Roman"/>
          <w:sz w:val="24"/>
          <w:szCs w:val="24"/>
        </w:rPr>
        <w:t>, in</w:t>
      </w:r>
      <w:r w:rsidR="00B64927" w:rsidRPr="00922C73">
        <w:rPr>
          <w:rFonts w:ascii="Times New Roman" w:hAnsi="Times New Roman" w:cs="Times New Roman"/>
          <w:sz w:val="24"/>
          <w:szCs w:val="24"/>
        </w:rPr>
        <w:t xml:space="preserve"> </w:t>
      </w:r>
      <w:r w:rsidR="00457236" w:rsidRPr="00922C73">
        <w:rPr>
          <w:rFonts w:ascii="Times New Roman" w:hAnsi="Times New Roman" w:cs="Times New Roman"/>
          <w:sz w:val="24"/>
          <w:szCs w:val="24"/>
        </w:rPr>
        <w:t>5-15%</w:t>
      </w:r>
      <w:r w:rsidR="007233DC" w:rsidRPr="00922C73">
        <w:rPr>
          <w:rFonts w:ascii="Times New Roman" w:hAnsi="Times New Roman" w:cs="Times New Roman"/>
          <w:sz w:val="24"/>
          <w:szCs w:val="24"/>
        </w:rPr>
        <w:t xml:space="preserve"> of affected individuals, </w:t>
      </w:r>
      <w:r w:rsidR="00457236" w:rsidRPr="00922C73">
        <w:rPr>
          <w:rFonts w:ascii="Times New Roman" w:hAnsi="Times New Roman" w:cs="Times New Roman"/>
          <w:sz w:val="24"/>
          <w:szCs w:val="24"/>
        </w:rPr>
        <w:t>a</w:t>
      </w:r>
      <w:r w:rsidRPr="00922C73">
        <w:rPr>
          <w:rFonts w:ascii="Times New Roman" w:hAnsi="Times New Roman" w:cs="Times New Roman"/>
          <w:sz w:val="24"/>
          <w:szCs w:val="24"/>
        </w:rPr>
        <w:t>n</w:t>
      </w:r>
      <w:r w:rsidR="00457236" w:rsidRPr="00922C73">
        <w:rPr>
          <w:rFonts w:ascii="Times New Roman" w:hAnsi="Times New Roman" w:cs="Times New Roman"/>
          <w:sz w:val="24"/>
          <w:szCs w:val="24"/>
        </w:rPr>
        <w:t xml:space="preserve"> </w:t>
      </w:r>
      <w:r w:rsidR="00B64927" w:rsidRPr="00922C73">
        <w:rPr>
          <w:rFonts w:ascii="Times New Roman" w:hAnsi="Times New Roman" w:cs="Times New Roman"/>
          <w:sz w:val="24"/>
          <w:szCs w:val="24"/>
        </w:rPr>
        <w:t>unspecified subtype: IBD-unclassified</w:t>
      </w:r>
      <w:r w:rsidR="007233DC" w:rsidRPr="00922C73">
        <w:rPr>
          <w:rFonts w:ascii="Times New Roman" w:hAnsi="Times New Roman" w:cs="Times New Roman"/>
          <w:sz w:val="24"/>
          <w:szCs w:val="24"/>
        </w:rPr>
        <w:t xml:space="preserve"> </w:t>
      </w:r>
      <w:r w:rsidR="00AB5E3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{"citationItems":[{"id":"ITEM-1","itemData":{"DOI":"10.1136/jcp.31.6.567","ISSN":"0021-9746","author":[{"dropping-particle":"","family":"Price","given":"A B","non-dropping-particle":"","parse-names":false,"suffix":""}],"container-title":"Journal of Clinical Pathology","id":"ITEM-1","issue":"6","issued":{"date-parts":[["1978","6","1"]]},"page":"567-577","title":"Overlap in the spectrum of non-specific inflammatory bowel disease--'colitis indeterminate'.","type":"article-journal","volume":"31"},"uris":["http://www.mendeley.com/documents/?uuid=90734592-1c08-4b74-987e-390e0bb99be1"]}],"mendeley":{"formattedCitation":"&lt;sup&gt;1&lt;/sup&gt;","plainTextFormattedCitation":"1","previouslyFormattedCitation":"&lt;sup&gt;1&lt;/sup&gt;"},"properties":{"noteIndex":0},"schema":"https://github.com/citation-style-language/schema/raw/master/csl-citation.json"}</w:instrText>
      </w:r>
      <w:r w:rsidR="00AB5E3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w:t>
      </w:r>
      <w:r w:rsidR="00AB5E3F" w:rsidRPr="00922C73">
        <w:rPr>
          <w:rFonts w:ascii="Times New Roman" w:hAnsi="Times New Roman" w:cs="Times New Roman"/>
          <w:sz w:val="24"/>
          <w:szCs w:val="24"/>
        </w:rPr>
        <w:fldChar w:fldCharType="end"/>
      </w:r>
      <w:r w:rsidR="006C2E05" w:rsidRPr="00922C73">
        <w:rPr>
          <w:rFonts w:ascii="Times New Roman" w:hAnsi="Times New Roman" w:cs="Times New Roman"/>
          <w:sz w:val="24"/>
          <w:szCs w:val="24"/>
        </w:rPr>
        <w:t xml:space="preserve">.  </w:t>
      </w:r>
      <w:r w:rsidR="00B64927" w:rsidRPr="00922C73">
        <w:rPr>
          <w:rFonts w:ascii="Times New Roman" w:hAnsi="Times New Roman" w:cs="Times New Roman"/>
          <w:sz w:val="24"/>
          <w:szCs w:val="24"/>
        </w:rPr>
        <w:t xml:space="preserve">IBD is a chronic inflammatory condition affecting the gut with extra-intestinal features. </w:t>
      </w:r>
      <w:r w:rsidR="00AB5E3F" w:rsidRPr="00922C73">
        <w:rPr>
          <w:rFonts w:ascii="Times New Roman" w:hAnsi="Times New Roman" w:cs="Times New Roman"/>
          <w:sz w:val="24"/>
          <w:szCs w:val="24"/>
        </w:rPr>
        <w:t>IBD</w:t>
      </w:r>
      <w:r w:rsidR="00B64927" w:rsidRPr="00922C73">
        <w:rPr>
          <w:rFonts w:ascii="Times New Roman" w:hAnsi="Times New Roman" w:cs="Times New Roman"/>
          <w:sz w:val="24"/>
          <w:szCs w:val="24"/>
        </w:rPr>
        <w:t xml:space="preserve"> has a relapsing remitting course</w:t>
      </w:r>
      <w:r w:rsidR="0019694E" w:rsidRPr="00922C73">
        <w:rPr>
          <w:rFonts w:ascii="Times New Roman" w:hAnsi="Times New Roman" w:cs="Times New Roman"/>
          <w:sz w:val="24"/>
          <w:szCs w:val="24"/>
        </w:rPr>
        <w:t>, but with varying severity between individuals</w:t>
      </w:r>
      <w:r w:rsidR="00B64927" w:rsidRPr="00922C73">
        <w:rPr>
          <w:rFonts w:ascii="Times New Roman" w:hAnsi="Times New Roman" w:cs="Times New Roman"/>
          <w:sz w:val="24"/>
          <w:szCs w:val="24"/>
        </w:rPr>
        <w:t xml:space="preserve"> and currently there is no cure.</w:t>
      </w:r>
    </w:p>
    <w:p w14:paraId="26E9A2D8" w14:textId="77777777" w:rsidR="00B64927" w:rsidRPr="00922C73" w:rsidRDefault="00B64927" w:rsidP="00F64D9D">
      <w:pPr>
        <w:spacing w:line="480" w:lineRule="auto"/>
        <w:rPr>
          <w:rFonts w:ascii="Times New Roman" w:hAnsi="Times New Roman" w:cs="Times New Roman"/>
          <w:sz w:val="24"/>
          <w:szCs w:val="24"/>
        </w:rPr>
      </w:pPr>
    </w:p>
    <w:p w14:paraId="599732AF" w14:textId="635D9D3D" w:rsidR="00B64927" w:rsidRPr="00922C73" w:rsidRDefault="006C2E05"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IBD has an estimated incidence of 15-30 per 100 000/year and a prevalence of 150-300 per 100 000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{"citationItems":[{"id":"ITEM-1","itemData":{"DOI":"10.1136/gut.2004.043372","ISSN":"0017-5749","PMID":"15306569","author":[{"dropping-particle":"","family":"Carter","given":"M J","non-dropping-particle":"","parse-names":false,"suffix":""},{"dropping-particle":"","family":"Lobo","given":"A J","non-dropping-particle":"","parse-names":false,"suffix":""},{"dropping-particle":"","family":"Travis","given":"S P L","non-dropping-particle":"","parse-names":false,"suffix":""},{"dropping-particle":"","family":"IBD Section","given":"British Society of Gastroenterology","non-dropping-particle":"","parse-names":false,"suffix":""}],"container-title":"Gut","id":"ITEM-1","issue":"suppl_5","issued":{"date-parts":[["2004","9"]]},"page":"V1-16","title":"Guidelines for the management of inflammatory bowel disease in adults.","type":"article-journal","volume":"53 Suppl 5"},"uris":["http://www.mendeley.com/documents/?uuid=78f19918-1733-4a70-90c0-51ae6869880f","http://www.mendeley.com/documents/?uuid=8d90cad3-6386-4d97-8265-a75e87d2640c","http://www.mendeley.com/documents/?uuid=773a92b4-6b68-4ff5-b9e9-cd697b5460e8"]}],"mendeley":{"formattedCitation":"&lt;sup&gt;2&lt;/sup&gt;","plainTextFormattedCitation":"2","previouslyFormattedCitation":"&lt;sup&gt;2&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B64927" w:rsidRPr="00922C73">
        <w:rPr>
          <w:rFonts w:ascii="Times New Roman" w:hAnsi="Times New Roman" w:cs="Times New Roman"/>
          <w:sz w:val="24"/>
          <w:szCs w:val="24"/>
        </w:rPr>
        <w:t xml:space="preserve">There is </w:t>
      </w:r>
      <w:r w:rsidRPr="00922C73">
        <w:rPr>
          <w:rFonts w:ascii="Times New Roman" w:hAnsi="Times New Roman" w:cs="Times New Roman"/>
          <w:sz w:val="24"/>
          <w:szCs w:val="24"/>
        </w:rPr>
        <w:t>variation in incidence occurs across</w:t>
      </w:r>
      <w:r w:rsidR="00B64927" w:rsidRPr="00922C73">
        <w:rPr>
          <w:rFonts w:ascii="Times New Roman" w:hAnsi="Times New Roman" w:cs="Times New Roman"/>
          <w:sz w:val="24"/>
          <w:szCs w:val="24"/>
        </w:rPr>
        <w:t xml:space="preserve"> age, </w:t>
      </w:r>
      <w:r w:rsidRPr="00922C73">
        <w:rPr>
          <w:rFonts w:ascii="Times New Roman" w:hAnsi="Times New Roman" w:cs="Times New Roman"/>
          <w:sz w:val="24"/>
          <w:szCs w:val="24"/>
        </w:rPr>
        <w:t xml:space="preserve"> ethnicities and countries, with the highest rates in temperate zones</w:t>
      </w:r>
      <w:r w:rsidR="00AB5E3F" w:rsidRPr="00922C73">
        <w:rPr>
          <w:rFonts w:ascii="Times New Roman" w:hAnsi="Times New Roman" w:cs="Times New Roman"/>
          <w:sz w:val="24"/>
          <w:szCs w:val="24"/>
        </w:rPr>
        <w:t xml:space="preserve"> </w:t>
      </w:r>
      <w:r w:rsidR="007233DC" w:rsidRPr="00922C73">
        <w:rPr>
          <w:rFonts w:ascii="Times New Roman" w:hAnsi="Times New Roman" w:cs="Times New Roman"/>
          <w:sz w:val="24"/>
          <w:szCs w:val="24"/>
        </w:rPr>
        <w:t>with</w:t>
      </w:r>
      <w:r w:rsidR="00AB5E3F" w:rsidRPr="00922C73">
        <w:rPr>
          <w:rFonts w:ascii="Times New Roman" w:hAnsi="Times New Roman" w:cs="Times New Roman"/>
          <w:sz w:val="24"/>
          <w:szCs w:val="24"/>
        </w:rPr>
        <w:t xml:space="preserve"> UC more common th</w:t>
      </w:r>
      <w:r w:rsidR="007233DC" w:rsidRPr="00922C73">
        <w:rPr>
          <w:rFonts w:ascii="Times New Roman" w:hAnsi="Times New Roman" w:cs="Times New Roman"/>
          <w:sz w:val="24"/>
          <w:szCs w:val="24"/>
        </w:rPr>
        <w:t>an</w:t>
      </w:r>
      <w:r w:rsidR="00AB5E3F" w:rsidRPr="00922C73">
        <w:rPr>
          <w:rFonts w:ascii="Times New Roman" w:hAnsi="Times New Roman" w:cs="Times New Roman"/>
          <w:sz w:val="24"/>
          <w:szCs w:val="24"/>
        </w:rPr>
        <w:t xml:space="preserve"> CD</w:t>
      </w:r>
      <w:r w:rsidRPr="00922C73">
        <w:rPr>
          <w:rFonts w:ascii="Times New Roman" w:hAnsi="Times New Roman" w:cs="Times New Roman"/>
          <w:sz w:val="24"/>
          <w:szCs w:val="24"/>
        </w:rPr>
        <w:t xml:space="preserve"> </w:t>
      </w:r>
      <w:r w:rsidR="00AB5E3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{"citationItems":[{"id":"ITEM-1","itemData":{"DOI":"10.1136/gut.2004.043372","ISSN":"0017-5749","PMID":"15306569","author":[{"dropping-particle":"","family":"Carter","given":"M J","non-dropping-particle":"","parse-names":false,"suffix":""},{"dropping-particle":"","family":"Lobo","given":"A J","non-dropping-particle":"","parse-names":false,"suffix":""},{"dropping-particle":"","family":"Travis","given":"S P L","non-dropping-particle":"","parse-names":false,"suffix":""},{"dropping-particle":"","family":"IBD Section","given":"British Society of Gastroenterology","non-dropping-particle":"","parse-names":false,"suffix":""}],"container-title":"Gut","id":"ITEM-1","issue":"suppl_5","issued":{"date-parts":[["2004","9"]]},"page":"V1-16","title":"Guidelines for the management of inflammatory bowel disease in adults.","type":"article-journal","volume":"53 Suppl 5"},"uris":["http://www.mendeley.com/documents/?uuid=773a92b4-6b68-4ff5-b9e9-cd697b5460e8","http://www.mendeley.com/documents/?uuid=8d90cad3-6386-4d97-8265-a75e87d2640c","http://www.mendeley.com/documents/?uuid=78f19918-1733-4a70-90c0-51ae6869880f"]},{"id":"ITEM-2","itemData":{"DOI":"10.1053/j.gastro.2011.10.001","ISBN":"1528-0012 (Electronic)\\n0016-5085 (Linking)","ISSN":"00165085","PMID":"22001864","abstract":"We conducted a systematic review to determine changes in the worldwide incidence and prevalence of ulcerative colitis (UC) and Crohn's disease (CD) in different regions and with time. We performed a systematic literature search of MEDLINE (19502010; 8103 citations) and EMBASE (19802010; 4975 citations) to identify studies that were population based, included data that could be used to calculate incidence and prevalence, and reported separate data on UC and/or CD in full manuscripts (n = 260). We evaluated data from 167 studies from Europe (19302008), 52 studies from Asia and the Middle East (19502008), and 27 studies from North America (19202004). Maps were used to present worldwide differences in the incidence and prevalence of inflammatory bowel diseases (IBDs); time trends were determined using joinpoint regression. The highest annual incidence of UC was 24.3 per 100,000 person-years in Europe, 6.3 per 100,000 person-years in Asia and the Middle East, and 19.2 per 100,000 person-years in North America. The highest annual incidence of CD was 12.7 per 100,000 person-years in Europe, 5.0 person-years in Asia and the Middle East, and 20.2 per 100,000 person-years in North America. The highest reported prevalence values for IBD were in Europe (UC, 505 per 100,000 persons; CD, 322 per 100,000 persons) and North America (UC, 249 per 100,000 persons; CD, 319 per 100,000 persons). In time-trend analyses, 75% of CD studies and 60% of UC studies had an increasing incidence of statistical significance (P &lt;.05). Although there are few epidemiologic data from developing countries, the incidence and prevalence of IBD are increasing with time and in different regions around the world, indicating its emergence as a global disease. ?? 2012 AGA Institute.","author":[{"dropping-particle":"","family":"Molodecky","given":"Natalie A.","non-dropping-particle":"","parse-names":false,"suffix":""},{"dropping-particle":"","family":"Soon","given":"Ing Shian","non-dropping-particle":"","parse-names":false,"suffix":""},{"dropping-particle":"","family":"Rabi","given":"Doreen M.","non-dropping-particle":"","parse-names":false,"suffix":""},{"dropping-particle":"","family":"Ghali","given":"William A.","non-dropping-particle":"","parse-names":false,"suffix":""},{"dropping-particle":"","family":"Ferris","given":"Mollie","non-dropping-particle":"","parse-names":false,"suffix":""},{"dropping-particle":"","family":"Chernoff","given":"Greg","non-dropping-particle":"","parse-names":false,"suffix":""},{"dropping-particle":"","family":"Benchimol","given":"Eric I.","non-dropping-particle":"","parse-names":false,"suffix":""},{"dropping-particle":"","family":"Panaccione","given":"Remo","non-dropping-particle":"","parse-names":false,"suffix":""},{"dropping-particle":"","family":"Ghosh","given":"Subrata","non-dropping-particle":"","parse-names":false,"suffix":""},{"dropping-particle":"","family":"Barkema","given":"Herman W.","non-dropping-particle":"","parse-names":false,"suffix":""},{"dropping-particle":"","family":"Kaplan","given":"Gilaad G.","non-dropping-particle":"","parse-names":false,"suffix":""}],"container-title":"Gastroenterology","id":"ITEM-2","issue":"1","issued":{"date-parts":[["2012","1"]]},"page":"46-54.e42","publisher":"Elsevier Inc.","title":"Increasing Incidence and Prevalence of the Inflammatory Bowel Diseases With Time, Based on Systematic Review","type":"article-journal","volume":"142"},"uris":["http://www.mendeley.com/documents/?uuid=aae0a24b-a889-409c-a55f-6e99e872c9d9","http://www.mendeley.com/documents/?uuid=5a2ad7f9-7b6b-4513-bf34-4e39bce35a40","http://www.mendeley.com/documents/?uuid=d31dd7a6-dfd0-4cd2-b5e4-b17f5781f685"]}],"mendeley":{"formattedCitation":"&lt;sup&gt;2,3&lt;/sup&gt;","plainTextFormattedCitation":"2,3","previouslyFormattedCitation":"&lt;sup&gt;2,3&lt;/sup&gt;"},"properties":{"noteIndex":0},"schema":"https://github.com/citation-style-language/schema/raw/master/csl-citation.json"}</w:instrText>
      </w:r>
      <w:r w:rsidR="00AB5E3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2,3</w:t>
      </w:r>
      <w:r w:rsidR="00AB5E3F"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B64927" w:rsidRPr="00922C73">
        <w:rPr>
          <w:rFonts w:ascii="Times New Roman" w:hAnsi="Times New Roman" w:cs="Times New Roman"/>
          <w:sz w:val="24"/>
          <w:szCs w:val="24"/>
        </w:rPr>
        <w:t>Within Europe, the estimated incidence of UC is 8–14 per 100 000/year with a prevalence of 120–200 per 100 000</w:t>
      </w:r>
      <w:r w:rsidR="00AB5E3F" w:rsidRPr="00922C73">
        <w:rPr>
          <w:rFonts w:ascii="Times New Roman" w:hAnsi="Times New Roman" w:cs="Times New Roman"/>
          <w:sz w:val="24"/>
          <w:szCs w:val="24"/>
        </w:rPr>
        <w:t xml:space="preserve"> and t</w:t>
      </w:r>
      <w:r w:rsidR="00B64927" w:rsidRPr="00922C73">
        <w:rPr>
          <w:rFonts w:ascii="Times New Roman" w:hAnsi="Times New Roman" w:cs="Times New Roman"/>
          <w:sz w:val="24"/>
          <w:szCs w:val="24"/>
        </w:rPr>
        <w:t xml:space="preserve">he incidence of CD is 6–15 per 100 000/year with a prevalence of 50–200 per 100 000 </w:t>
      </w:r>
      <w:r w:rsidR="00AB5E3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10.1053/j.gastro.2011.01.055","ISSN":"00165085","author":[{"dropping-particle":"","family":"Cosnes","given":"Jacques","non-dropping-particle":"","parse-names":false,"suffix":""},{"dropping-particle":"","family":"Gower–Rousseau","given":"Corinne","non-dropping-particle":"","parse-names":false,"suffix":""},{"dropping-particle":"","family":"Seksik","given":"Philippe","non-dropping-particle":"","parse-names":false,"suffix":""},{"dropping-particle":"","family":"Cortot","given":"Antoine","non-dropping-particle":"","parse-names":false,"suffix":""}],"container-title":"Gastroenterology","id":"ITEM-1","issue":"6","issued":{"date-parts":[["2011","5"]]},"page":"1785-1794.e4","title":"Epidemiology and Natural History of Inflammatory Bowel Diseases","type":"article-journal","volume":"140"},"uris":["http://www.mendeley.com/documents/?uuid=00a5be69-5882-4b8f-9b84-7ff3a6b07839"]}],"mendeley":{"formattedCitation":"&lt;sup&gt;4&lt;/sup&gt;","plainTextFormattedCitation":"4","previouslyFormattedCitation":"&lt;sup&gt;4&lt;/sup&gt;"},"properties":{"noteIndex":0},"schema":"https://github.com/citation-style-language/schema/raw/master/csl-citation.json"}</w:instrText>
      </w:r>
      <w:r w:rsidR="00AB5E3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4</w:t>
      </w:r>
      <w:r w:rsidR="00AB5E3F" w:rsidRPr="00922C73">
        <w:rPr>
          <w:rFonts w:ascii="Times New Roman" w:hAnsi="Times New Roman" w:cs="Times New Roman"/>
          <w:sz w:val="24"/>
          <w:szCs w:val="24"/>
        </w:rPr>
        <w:fldChar w:fldCharType="end"/>
      </w:r>
      <w:r w:rsidR="00B64927" w:rsidRPr="00922C73">
        <w:rPr>
          <w:rFonts w:ascii="Times New Roman" w:hAnsi="Times New Roman" w:cs="Times New Roman"/>
          <w:sz w:val="24"/>
          <w:szCs w:val="24"/>
        </w:rPr>
        <w:t>.</w:t>
      </w:r>
    </w:p>
    <w:p w14:paraId="6954E065" w14:textId="18804655" w:rsidR="006C2E05" w:rsidRPr="00922C73" w:rsidRDefault="006C2E05" w:rsidP="00F64D9D">
      <w:pPr>
        <w:spacing w:line="480" w:lineRule="auto"/>
        <w:rPr>
          <w:rFonts w:ascii="Times New Roman" w:hAnsi="Times New Roman" w:cs="Times New Roman"/>
          <w:sz w:val="24"/>
          <w:szCs w:val="24"/>
        </w:rPr>
      </w:pPr>
    </w:p>
    <w:p w14:paraId="09A11ADC" w14:textId="3C881AA0" w:rsidR="00457236" w:rsidRPr="00922C73" w:rsidRDefault="00457236" w:rsidP="00F64D9D">
      <w:pPr>
        <w:pStyle w:val="Heading3"/>
        <w:spacing w:line="480" w:lineRule="auto"/>
        <w:rPr>
          <w:rFonts w:ascii="Times New Roman" w:hAnsi="Times New Roman" w:cs="Times New Roman"/>
          <w:b/>
          <w:bCs/>
        </w:rPr>
      </w:pPr>
      <w:bookmarkStart w:id="10" w:name="_Toc151020451"/>
      <w:r w:rsidRPr="00922C73">
        <w:rPr>
          <w:rFonts w:ascii="Times New Roman" w:hAnsi="Times New Roman" w:cs="Times New Roman"/>
          <w:b/>
          <w:bCs/>
        </w:rPr>
        <w:t>1.1.2 Aetiology</w:t>
      </w:r>
      <w:bookmarkEnd w:id="10"/>
    </w:p>
    <w:p w14:paraId="0DD13F60" w14:textId="0965C7D8" w:rsidR="00457236" w:rsidRPr="00922C73" w:rsidRDefault="00457236" w:rsidP="00F64D9D">
      <w:pPr>
        <w:autoSpaceDE w:val="0"/>
        <w:autoSpaceDN w:val="0"/>
        <w:adjustRightInd w:val="0"/>
        <w:spacing w:after="0" w:line="480" w:lineRule="auto"/>
        <w:jc w:val="left"/>
        <w:rPr>
          <w:rFonts w:ascii="Times New Roman" w:hAnsi="Times New Roman" w:cs="Times New Roman"/>
          <w:sz w:val="24"/>
          <w:szCs w:val="24"/>
        </w:rPr>
      </w:pPr>
      <w:r w:rsidRPr="00922C73">
        <w:rPr>
          <w:rFonts w:ascii="Times New Roman" w:hAnsi="Times New Roman" w:cs="Times New Roman"/>
          <w:sz w:val="24"/>
          <w:szCs w:val="24"/>
        </w:rPr>
        <w:t xml:space="preserve">The </w:t>
      </w:r>
      <w:r w:rsidR="00AB5E3F" w:rsidRPr="00922C73">
        <w:rPr>
          <w:rFonts w:ascii="Times New Roman" w:hAnsi="Times New Roman" w:cs="Times New Roman"/>
          <w:sz w:val="24"/>
          <w:szCs w:val="24"/>
        </w:rPr>
        <w:t xml:space="preserve">exact </w:t>
      </w:r>
      <w:r w:rsidRPr="00922C73">
        <w:rPr>
          <w:rFonts w:ascii="Times New Roman" w:hAnsi="Times New Roman" w:cs="Times New Roman"/>
          <w:sz w:val="24"/>
          <w:szCs w:val="24"/>
        </w:rPr>
        <w:t xml:space="preserve">aetiology </w:t>
      </w:r>
      <w:r w:rsidR="00AB5E3F" w:rsidRPr="00922C73">
        <w:rPr>
          <w:rFonts w:ascii="Times New Roman" w:hAnsi="Times New Roman" w:cs="Times New Roman"/>
          <w:sz w:val="24"/>
          <w:szCs w:val="24"/>
        </w:rPr>
        <w:t xml:space="preserve">of IBD </w:t>
      </w:r>
      <w:r w:rsidRPr="00922C73">
        <w:rPr>
          <w:rFonts w:ascii="Times New Roman" w:hAnsi="Times New Roman" w:cs="Times New Roman"/>
          <w:sz w:val="24"/>
          <w:szCs w:val="24"/>
        </w:rPr>
        <w:t>remains unknown</w:t>
      </w:r>
      <w:r w:rsidR="00AB5E3F" w:rsidRPr="00922C73">
        <w:rPr>
          <w:rFonts w:ascii="Times New Roman" w:hAnsi="Times New Roman" w:cs="Times New Roman"/>
          <w:sz w:val="24"/>
          <w:szCs w:val="24"/>
        </w:rPr>
        <w:t xml:space="preserve"> but</w:t>
      </w:r>
      <w:r w:rsidRPr="00922C73">
        <w:rPr>
          <w:rFonts w:ascii="Times New Roman" w:hAnsi="Times New Roman" w:cs="Times New Roman"/>
          <w:sz w:val="24"/>
          <w:szCs w:val="24"/>
        </w:rPr>
        <w:t xml:space="preserve"> </w:t>
      </w:r>
      <w:r w:rsidR="001F5409" w:rsidRPr="00922C73">
        <w:rPr>
          <w:rFonts w:ascii="Times New Roman" w:hAnsi="Times New Roman" w:cs="Times New Roman"/>
          <w:sz w:val="24"/>
          <w:szCs w:val="24"/>
        </w:rPr>
        <w:t>is likely to be due to a complex interplay between g</w:t>
      </w:r>
      <w:r w:rsidRPr="00922C73">
        <w:rPr>
          <w:rFonts w:ascii="Times New Roman" w:hAnsi="Times New Roman" w:cs="Times New Roman"/>
          <w:sz w:val="24"/>
          <w:szCs w:val="24"/>
        </w:rPr>
        <w:t xml:space="preserve">enetic susceptibility, </w:t>
      </w:r>
      <w:r w:rsidR="00D51C63" w:rsidRPr="00922C73">
        <w:rPr>
          <w:rFonts w:ascii="Times New Roman" w:hAnsi="Times New Roman" w:cs="Times New Roman"/>
          <w:sz w:val="24"/>
          <w:szCs w:val="24"/>
        </w:rPr>
        <w:t>dysbiosis of</w:t>
      </w:r>
      <w:r w:rsidR="00AB5E3F" w:rsidRPr="00922C73">
        <w:rPr>
          <w:rFonts w:ascii="Times New Roman" w:hAnsi="Times New Roman" w:cs="Times New Roman"/>
          <w:sz w:val="24"/>
          <w:szCs w:val="24"/>
        </w:rPr>
        <w:t xml:space="preserve"> </w:t>
      </w:r>
      <w:r w:rsidRPr="00922C73">
        <w:rPr>
          <w:rFonts w:ascii="Times New Roman" w:hAnsi="Times New Roman" w:cs="Times New Roman"/>
          <w:sz w:val="24"/>
          <w:szCs w:val="24"/>
        </w:rPr>
        <w:t>gut</w:t>
      </w:r>
      <w:r w:rsidR="00AB5E3F"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microbiota, </w:t>
      </w:r>
      <w:r w:rsidR="00D51C63" w:rsidRPr="00922C73">
        <w:rPr>
          <w:rFonts w:ascii="Times New Roman" w:hAnsi="Times New Roman" w:cs="Times New Roman"/>
          <w:sz w:val="24"/>
          <w:szCs w:val="24"/>
        </w:rPr>
        <w:t>altered</w:t>
      </w:r>
      <w:r w:rsidRPr="00922C73">
        <w:rPr>
          <w:rFonts w:ascii="Times New Roman" w:hAnsi="Times New Roman" w:cs="Times New Roman"/>
          <w:sz w:val="24"/>
          <w:szCs w:val="24"/>
        </w:rPr>
        <w:t xml:space="preserve"> immunological</w:t>
      </w:r>
      <w:r w:rsidR="00AB5E3F" w:rsidRPr="00922C73">
        <w:rPr>
          <w:rFonts w:ascii="Times New Roman" w:hAnsi="Times New Roman" w:cs="Times New Roman"/>
          <w:sz w:val="24"/>
          <w:szCs w:val="24"/>
        </w:rPr>
        <w:t xml:space="preserve"> </w:t>
      </w:r>
      <w:r w:rsidRPr="00922C73">
        <w:rPr>
          <w:rFonts w:ascii="Times New Roman" w:hAnsi="Times New Roman" w:cs="Times New Roman"/>
          <w:sz w:val="24"/>
          <w:szCs w:val="24"/>
        </w:rPr>
        <w:t>response and environmental trigger</w:t>
      </w:r>
      <w:r w:rsidR="00AB5E3F" w:rsidRPr="00922C73">
        <w:rPr>
          <w:rFonts w:ascii="Times New Roman" w:hAnsi="Times New Roman" w:cs="Times New Roman"/>
          <w:sz w:val="24"/>
          <w:szCs w:val="24"/>
        </w:rPr>
        <w:t>s</w:t>
      </w:r>
      <w:r w:rsidR="00D51C63" w:rsidRPr="00922C73">
        <w:rPr>
          <w:rFonts w:ascii="Times New Roman" w:hAnsi="Times New Roman" w:cs="Times New Roman"/>
          <w:sz w:val="24"/>
          <w:szCs w:val="24"/>
        </w:rPr>
        <w:t xml:space="preserve">. </w:t>
      </w:r>
    </w:p>
    <w:p w14:paraId="78AB5E7A" w14:textId="6CD2DBD5" w:rsidR="00457236" w:rsidRPr="00922C73" w:rsidRDefault="00457236" w:rsidP="00F64D9D">
      <w:pPr>
        <w:autoSpaceDE w:val="0"/>
        <w:autoSpaceDN w:val="0"/>
        <w:adjustRightInd w:val="0"/>
        <w:spacing w:line="480" w:lineRule="auto"/>
        <w:rPr>
          <w:rFonts w:ascii="Times New Roman" w:hAnsi="Times New Roman" w:cs="Times New Roman"/>
          <w:sz w:val="24"/>
          <w:szCs w:val="24"/>
        </w:rPr>
      </w:pPr>
    </w:p>
    <w:p w14:paraId="2D900151" w14:textId="46C37E51" w:rsidR="00457236" w:rsidRPr="00922C73" w:rsidRDefault="00D83F7F" w:rsidP="00F64D9D">
      <w:pPr>
        <w:shd w:val="clear" w:color="auto" w:fill="FFFFFF"/>
        <w:spacing w:after="0" w:line="480" w:lineRule="auto"/>
        <w:jc w:val="left"/>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 xml:space="preserve">Subsequently, </w:t>
      </w:r>
      <w:r w:rsidR="0026095D" w:rsidRPr="00922C73">
        <w:rPr>
          <w:rFonts w:ascii="Times New Roman" w:hAnsi="Times New Roman" w:cs="Times New Roman"/>
          <w:sz w:val="24"/>
          <w:szCs w:val="24"/>
        </w:rPr>
        <w:t>over 300</w:t>
      </w:r>
      <w:r w:rsidRPr="00922C73">
        <w:rPr>
          <w:rFonts w:ascii="Times New Roman" w:hAnsi="Times New Roman" w:cs="Times New Roman"/>
          <w:sz w:val="24"/>
          <w:szCs w:val="24"/>
        </w:rPr>
        <w:t xml:space="preserve"> genetic mutations have been identified to be associated with IBD</w:t>
      </w:r>
      <w:r w:rsidR="003371FA" w:rsidRPr="00922C73">
        <w:rPr>
          <w:rFonts w:ascii="Times New Roman" w:hAnsi="Times New Roman" w:cs="Times New Roman"/>
          <w:sz w:val="24"/>
          <w:szCs w:val="24"/>
        </w:rPr>
        <w:t xml:space="preserve"> </w:t>
      </w:r>
      <w:r w:rsidR="003371FA"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{"citationItems":[{"id":"ITEM-1","itemData":{"DOI":"10.1038/35079114","ISSN":"0028-0836","author":[{"dropping-particle":"","family":"Ogura","given":"Yasunori","non-dropping-particle":"","parse-names":false,"suffix":""},{"dropping-particle":"","family":"Bonen","given":"Denise K.","non-dropping-particle":"","parse-names":false,"suffix":""},{"dropping-particle":"","family":"Inohara","given":"Naohiro","non-dropping-particle":"","parse-names":false,"suffix":""},{"dropping-particle":"","family":"Nicolae","given":"Dan L.","non-dropping-particle":"","parse-names":false,"suffix":""},{"dropping-particle":"","family":"Chen","given":"Felicia F.","non-dropping-particle":"","parse-names":false,"suffix":""},{"dropping-particle":"","family":"Ramos","given":"Richard","non-dropping-particle":"","parse-names":false,"suffix":""},{"dropping-particle":"","family":"Britton","given":"Heidi","non-dropping-particle":"","parse-names":false,"suffix":""},{"dropping-particle":"","family":"Moran","given":"Thomas","non-dropping-particle":"","parse-names":false,"suffix":""},{"dropping-particle":"","family":"Karaliuskas","given":"Reda","non-dropping-particle":"","parse-names":false,"suffix":""},{"dropping-particle":"","family":"Duerr","given":"Richard H.","non-dropping-particle":"","parse-names":false,"suffix":""},{"dropping-particle":"","family":"Achkar","given":"Jean-Paul","non-dropping-particle":"","parse-names":false,"suffix":""},{"dropping-particle":"","family":"Brant","given":"Steven R.","non-dropping-particle":"","parse-names":false,"suffix":""},{"dropping-particle":"","family":"Bayless","given":"Theodore M.","non-dropping-particle":"","parse-names":false,"suffix":""},{"dropping-particle":"","family":"Kirschner","given":"Barbara S.","non-dropping-particle":"","parse-names":false,"suffix":""},{"dropping-particle":"","family":"Hanauer","given":"Stephen B.","non-dropping-particle":"","parse-names":false,"suffix":""},{"dropping-particle":"","family":"Nuñez","given":"Gabriel","non-dropping-particle":"","parse-names":false,"suffix":""},{"dropping-particle":"","family":"Cho","given":"Judy H.","non-dropping-particle":"","parse-names":false,"suffix":""}],"container-title":"Nature","id":"ITEM-1","issue":"6837","issued":{"date-parts":[["2001","5"]]},"page":"603-606","title":"A frameshift mutation in NOD2 associated with susceptibility to Crohn's disease","type":"article-journal","volume":"411"},"uris":["http://www.mendeley.com/documents/?uuid=2d7365e5-538d-4a28-bc61-49c1abbc4059"]},{"id":"ITEM-2","itemData":{"DOI":"10.1038/ng.3760","ISSN":"1061-4036","author":[{"dropping-particle":"","family":"Lange","given":"Katrina M","non-dropping-particle":"de","parse-names":false,"suffix":""},{"dropping-particle":"","family":"Moutsianas","given":"Loukas","non-dropping-particle":"","parse-names":false,"suffix":""},{"dropping-particle":"","family":"Lee","given":"James C","non-dropping-particle":"","parse-names":false,"suffix":""},{"dropping-particle":"","family":"Lamb","given":"Christopher A","non-dropping-particle":"","parse-names":false,"suffix":""},{"dropping-particle":"","family":"Luo","given":"Yang","non-dropping-particle":"","parse-names":false,"suffix":""},{"dropping-particle":"","family":"Kennedy","given":"Nicholas A","non-dropping-particle":"","parse-names":false,"suffix":""},{"dropping-particle":"","family":"Jostins","given":"Luke","non-dropping-particle":"","parse-names":false,"suffix":""},{"dropping-particle":"","family":"Rice","given":"Daniel L","non-dropping-particle":"","parse-names":false,"suffix":""},{"dropping-particle":"","family":"Gutierrez-Achury","given":"Javier","non-dropping-particle":"","parse-names":false,"suffix":""},{"dropping-particle":"","family":"Ji","given":"Sun-Gou","non-dropping-particle":"","parse-names":false,"suffix":""},{"dropping-particle":"","family":"Heap","given":"Graham","non-dropping-particle":"","parse-names":false,"suffix":""},{"dropping-particle":"","family":"Nimmo","given":"Elaine R","non-dropping-particle":"","parse-names":false,"suffix":""},{"dropping-particle":"","family":"Edwards","given":"Cathryn","non-dropping-particle":"","parse-names":false,"suffix":""},{"dropping-particle":"","family":"Henderson","given":"Paul","non-dropping-particle":"","parse-names":false,"suffix":""},{"dropping-particle":"","family":"Mowat","given":"Craig","non-dropping-particle":"","parse-names":false,"suffix":""},{"dropping-particle":"","family":"Sanderson","given":"Jeremy","non-dropping-particle":"","parse-names":false,"suffix":""},{"dropping-particle":"","family":"Satsangi","given":"Jack","non-dropping-particle":"","parse-names":false,"suffix":""},{"dropping-particle":"","family":"Simmons","given":"Alison","non-dropping-particle":"","parse-names":false,"suffix":""},{"dropping-particle":"","family":"Wilson","given":"David C","non-dropping-particle":"","parse-names":false,"suffix":""},{"dropping-particle":"","family":"Tremelling","given":"Mark","non-dropping-particle":"","parse-names":false,"suffix":""},{"dropping-particle":"","family":"Hart","given":"Ailsa","non-dropping-particle":"","parse-names":false,"suffix":""},{"dropping-particle":"","family":"Mathew","given":"Christopher G","non-dropping-particle":"","parse-names":false,"suffix":""},{"dropping-particle":"","family":"Newman","given":"William G","non-dropping-particle":"","parse-names":false,"suffix":""},{"dropping-particle":"","family":"Parkes","given":"Miles","non-dropping-particle":"","parse-names":false,"suffix":""},{"dropping-particle":"","family":"Lees","given":"Charlie W","non-dropping-particle":"","parse-names":false,"suffix":""},{"dropping-particle":"","family":"Uhlig","given":"Holm","non-dropping-particle":"","parse-names":false,"suffix":""},{"dropping-particle":"","family":"Hawkey","given":"Chris","non-dropping-particle":"","parse-names":false,"suffix":""},{"dropping-particle":"","family":"Prescott","given":"Natalie J","non-dropping-particle":"","parse-names":false,"suffix":""},{"dropping-particle":"","family":"Ahmad","given":"Tariq","non-dropping-particle":"","parse-names":false,"suffix":""},{"dropping-particle":"","family":"Mansfield","given":"John C","non-dropping-particle":"","parse-names":false,"suffix":""},{"dropping-particle":"","family":"Anderson","given":"Carl A","non-dropping-particle":"","parse-names":false,"suffix":""},{"dropping-particle":"","family":"Barrett","given":"Jeffrey C","non-dropping-particle":"","parse-names":false,"suffix":""}],"container-title":"Nature Genetics","id":"ITEM-2","issue":"2","issued":{"date-parts":[["2017","2","9"]]},"page":"256-261","title":"Genome-wide association study implicates immune activation of multiple integrin genes in inflammatory bowel disease","type":"article-journal","volume":"49"},"uris":["http://www.mendeley.com/documents/?uuid=8b27a95e-0754-4c07-9f6e-2ac76753a089"]},{"id":"ITEM-3","itemData":{"DOI":"10.1016/j.iac.2018.08.008","ISSN":"08898561","author":[{"dropping-particle":"","family":"Kelsen","given":"Judith R.","non-dropping-particle":"","parse-names":false,"suffix":""},{"dropping-particle":"","family":"Russo","given":"Pierre","non-dropping-particle":"","parse-names":false,"suffix":""},{"dropping-particle":"","family":"Sullivan","given":"Kathleen E.","non-dropping-particle":"","parse-names":false,"suffix":""}],"container-title":"Immunology and Allergy Clinics of North America","id":"ITEM-3","issue":"1","issued":{"date-parts":[["2019","2"]]},"page":"63-79","title":"Early-Onset Inflammatory Bowel Disease","type":"article-journal","volume":"39"},"uris":["http://www.mendeley.com/documents/?uuid=a830c891-6b02-444f-a0f0-352a4d699c15"]},{"id":"ITEM-4","itemData":{"DOI":"10.1038/s41588-023-01384-0","ISSN":"1061-4036","author":[{"dropping-particle":"","family":"Liu","given":"Zhanju","non-dropping-particle":"","parse-names":false,"suffix":""},{"dropping-particle":"","family":"Liu","given":"Ruize","non-dropping-particle":"","parse-names":false,"suffix":""},{"dropping-particle":"","family":"Gao","given":"Han","non-dropping-particle":"","parse-names":false,"suffix":""},{"dropping-particle":"","family":"Jung","given":"Seulgi","non-dropping-particle":"","parse-names":false,"suffix":""},{"dropping-particle":"","family":"Gao","given":"Xiang","non-dropping-particle":"","parse-names":false,"suffix":""},{"dropping-particle":"","family":"Sun","given":"Ruicong","non-dropping-particle":"","parse-names":false,"suffix":""},{"dropping-particle":"","family":"Liu","given":"Xiaoming","non-dropping-particle":"","parse-names":false,"suffix":""},{"dropping-particle":"","family":"Kim","given":"Yongjae","non-dropping-particle":"","parse-names":false,"suffix":""},{"dropping-particle":"","family":"Lee","given":"Ho-Su","non-dropping-particle":"","parse-names":false,"suffix":""},{"dropping-particle":"","family":"Kawai","given":"Yosuke","non-dropping-particle":"","parse-names":false,"suffix":""},{"dropping-particle":"","family":"Nagasaki","given":"Masao","non-dropping-particle":"","parse-names":false,"suffix":""},{"dropping-particle":"","family":"Umeno","given":"Junji","non-dropping-particle":"","parse-names":false,"suffix":""},{"dropping-particle":"","family":"Tokunaga","given":"Katsushi","non-dropping-particle":"","parse-names":false,"suffix":""},{"dropping-particle":"","family":"Kinouchi","given":"Yoshitaka","non-dropping-particle":"","parse-names":false,"suffix":""},{"dropping-particle":"","family":"Masamune","given":"Atsushi","non-dropping-particle":"","parse-names":false,"suffix":""},{"dropping-particle":"","family":"Shi","given":"Wenzhao","non-dropping-particle":"","parse-names":false,"suffix":""},{"dropping-particle":"","family":"Shen","given":"Chengguo","non-dropping-particle":"","parse-names":false,"suffix":""},{"dropping-particle":"","family":"Guo","given":"Zhenglin","non-dropping-particle":"","parse-names":false,"suffix":""},{"dropping-particle":"","family":"Yuan","given":"Kai","non-dropping-particle":"","parse-names":false,"suffix":""},{"dropping-particle":"","family":"Abreu","given":"Maria","non-dropping-particle":"","parse-names":false,"suffix":""},{"dropping-particle":"","family":"Achkar","given":"Jean-Paul","non-dropping-particle":"","parse-names":false,"suffix":""},{"dropping-particle":"","family":"Andersen","given":"Vibeke","non-dropping-particle":"","parse-names":false,"suffix":""},{"dropping-particle":"","family":"Bernstein","given":"Charles","non-dropping-particle":"","parse-names":false,"suffix":""},{"dropping-particle":"","family":"Brant","given":"Steven R.","non-dropping-particle":"","parse-names":false,"suffix":""},{"dropping-particle":"","family":"Bujanda","given":"Luis","non-dropping-particle":"","parse-names":false,"suffix":""},{"dropping-particle":"","family":"Ng","given":"Siew Chien","non-dropping-particle":"","parse-names":false,"suffix":""},{"dropping-particle":"","family":"Denson","given":"Lee A.","non-dropping-particle":"","parse-names":false,"suffix":""},{"dropping-particle":"","family":"Duerr","given":"Richard H.","non-dropping-particle":"","parse-names":false,"suffix":""},{"dropping-particle":"","family":"Ferguson","given":"Lynnette R.","non-dropping-particle":"","parse-names":false,"suffix":""},{"dropping-particle":"","family":"Franchimont","given":"Denis","non-dropping-particle":"","parse-names":false,"suffix":""},{"dropping-particle":"","family":"Franke","given":"Andre","non-dropping-particle":"","parse-names":false,"suffix":""},{"dropping-particle":"","family":"Gearry","given":"Richard","non-dropping-particle":"","parse-names":false,"suffix":""},{"dropping-particle":"","family":"Hakonarson","given":"Hakon","non-dropping-particle":"","parse-names":false,"suffix":""},{"dropping-particle":"","family":"Halfvarson","given":"Jonas","non-dropping-particle":"","parse-names":false,"suffix":""},{"dropping-particle":"","family":"Heller","given":"Caren","non-dropping-particle":"","parse-names":false,"suffix":""},{"dropping-particle":"","family":"Julià","given":"Antonio","non-dropping-particle":"","parse-names":false,"suffix":""},{"dropping-particle":"","family":"Kelsen","given":"Judith","non-dropping-particle":"","parse-names":false,"suffix":""},{"dropping-particle":"","family":"Khalili","given":"Hamed","non-dropping-particle":"","parse-names":false,"suffix":""},{"dropping-particle":"","family":"Kugathasan","given":"Subramaniam","non-dropping-particle":"","parse-names":false,"suffix":""},{"dropping-particle":"","family":"Kupcinskas","given":"Juozas","non-dropping-particle":"","parse-names":false,"suffix":""},{"dropping-particle":"","family":"Latiano","given":"Anna","non-dropping-particle":"","parse-names":false,"suffix":""},{"dropping-particle":"","family":"Louis","given":"Edouard","non-dropping-particle":"","parse-names":false,"suffix":""},{"dropping-particle":"","family":"Malekzadeh","given":"Reza","non-dropping-particle":"","parse-names":false,"suffix":""},{"dropping-particle":"","family":"McCauley","given":"Jacob L.","non-dropping-particle":"","parse-names":false,"suffix":""},{"dropping-particle":"","family":"Moran","given":"Christopher","non-dropping-particle":"","parse-names":false,"suffix":""},{"dropping-particle":"","family":"Okou","given":"David","non-dropping-particle":"","parse-names":false,"suffix":""},{"dropping-particle":"","family":"Orchard","given":"Tim","non-dropping-particle":"","parse-names":false,"suffix":""},{"dropping-particle":"","family":"Palotie","given":"Aarno","non-dropping-particle":"","parse-names":false,"suffix":""},{"dropping-particle":"","family":"Parkes","given":"Miles","non-dropping-particle":"","parse-names":false,"suffix":""},{"dropping-particle":"","family":"Pekow","given":"Joel","non-dropping-particle":"","parse-names":false,"suffix":""},{"dropping-particle":"","family":"Potočnik","given":"Uroš","non-dropping-particle":"","parse-names":false,"suffix":""},{"dropping-particle":"","family":"Radford-Smith","given":"Graham","non-dropping-particle":"","parse-names":false,"suffix":""},{"dropping-particle":"","family":"Rioux","given":"John D.","non-dropping-particle":"","parse-names":false,"suffix":""},{"dropping-particle":"","family":"Rogler","given":"Gerhard","non-dropping-particle":"","parse-names":false,"suffix":""},{"dropping-particle":"","family":"Sands","given":"Bruce","non-dropping-particle":"","parse-names":false,"suffix":""},{"dropping-particle":"","family":"Silverberg","given":"Mark","non-dropping-particle":"","parse-names":false,"suffix":""},{"dropping-particle":"","family":"Sokol","given":"Harry","non-dropping-particle":"","parse-names":false,"suffix":""},{"dropping-particle":"","family":"Vermeire","given":"Séverine","non-dropping-particle":"","parse-names":false,"suffix":""},{"dropping-particle":"","family":"Weersma","given":"Rinse K.","non-dropping-particle":"","parse-names":false,"suffix":""},{"dropping-particle":"","family":"Xavier","given":"Ramnik J.","non-dropping-particle":"","parse-names":false,"suffix":""},{"dropping-particle":"","family":"Hu","given":"Naizhong","non-dropping-particle":"","parse-names":false,"suffix":""},{"dropping-particle":"","family":"Cao","given":"Qian","non-dropping-particle":"","parse-names":false,"suffix":""},{"dropping-particle":"","family":"Wang","given":"Yufang","non-dropping-particle":"","parse-names":false,"suffix":""},{"dropping-particle":"","family":"Miao","given":"Yinglei","non-dropping-particle":"","parse-names":false,"suffix":""},{"dropping-particle":"","family":"Zhang","given":"Hongjie","non-dropping-particle":"","parse-names":false,"suffix":""},{"dropping-particle":"","family":"Lv","given":"Xiaoping","non-dropping-particle":"","parse-names":false,"suffix":""},{"dropping-particle":"","family":"Gao","given":"Xiang","non-dropping-particle":"","parse-names":false,"suffix":""},{"dropping-particle":"","family":"Zhang","given":"Hu","non-dropping-particle":"","parse-names":false,"suffix":""},{"dropping-particle":"","family":"Su","given":"Jingling","non-dropping-particle":"","parse-names":false,"suffix":""},{"dropping-particle":"","family":"Feng","given":"Baisui","non-dropping-particle":"","parse-names":false,"suffix":""},{"dropping-particle":"","family":"Zhao","given":"Ye","non-dropping-particle":"","parse-names":false,"suffix":""},{"dropping-particle":"","family":"Zhu","given":"Liangru","non-dropping-particle":"","parse-names":false,"suffix":""},{"dropping-particle":"","family":"Chen","given":"Yan","non-dropping-particle":"","parse-names":false,"suffix":""},{"dropping-particle":"","family":"Zhu","given":"Lanxiang","non-dropping-particle":"","parse-names":false,"suffix":""},{"dropping-particle":"","family":"Chen","given":"Chunxiao","non-dropping-particle":"","parse-names":false,"suffix":""},{"dropping-particle":"","family":"Wang","given":"Yali","non-dropping-particle":"","parse-names":false,"suffix":""},{"dropping-particle":"","family":"Wang","given":"Yingde","non-dropping-particle":"","parse-names":false,"suffix":""},{"dropping-particle":"","family":"Pang","given":"Zhi","non-dropping-particle":"","parse-names":false,"suffix":""},{"dropping-particle":"","family":"Chen","given":"Yingxuan","non-dropping-particle":"","parse-names":false,"suffix":""},{"dropping-particle":"","family":"Zhang","given":"Xiaolan","non-dropping-particle":"","parse-names":false,"suffix":""},{"dropping-particle":"","family":"Li","given":"Hui","non-dropping-particle":"","parse-names":false,"suffix":""},{"dropping-particle":"","family":"Yu","given":"Qin","non-dropping-particle":"","parse-names":false,"suffix":""},{"dropping-particle":"","family":"Ye","given":"Mei","non-dropping-particle":"","parse-names":false,"suffix":""},{"dropping-particle":"","family":"Zhang","given":"Sumin","non-dropping-particle":"","parse-names":false,"suffix":""},{"dropping-particle":"","family":"Tang","given":"Wen","non-dropping-particle":"","parse-names":false,"suffix":""},{"dropping-particle":"","family":"Wang","given":"Mei","non-dropping-particle":"","parse-names":false,"suffix":""},{"dropping-particle":"","family":"Cao","given":"Xiaocang","non-dropping-particle":"","parse-names":false,"suffix":""},{"dropping-particle":"","family":"Zhu","given":"Ruixin","non-dropping-particle":"","parse-names":false,"suffix":""},{"dropping-particle":"","family":"Zhou","given":"Guangxi","non-dropping-particle":"","parse-names":false,"suffix":""},{"dropping-particle":"","family":"Bian","given":"Zhaolian","non-dropping-particle":"","parse-names":false,"suffix":""},{"dropping-particle":"","family":"Guo","given":"Xiaofeng","non-dropping-particle":"","parse-names":false,"suffix":""},{"dropping-particle":"","family":"Wu","given":"Xiaoli","non-dropping-particle":"","parse-names":false,"suffix":""},{"dropping-particle":"","family":"Liu","given":"Jinchun","non-dropping-particle":"","parse-names":false,"suffix":""},{"dropping-particle":"","family":"Xu","given":"Wei","non-dropping-particle":"","parse-names":false,"suffix":""},{"dropping-particle":"","family":"Li","given":"Yuqin","non-dropping-particle":"","parse-names":false,"suffix":""},{"dropping-particle":"","family":"Guo","given":"Qin","non-dropping-particle":"","parse-names":false,"suffix":""},{"dropping-particle":"","family":"Guo","given":"Zhiguo","non-dropping-particle":"","parse-names":false,"suffix":""},{"dropping-particle":"","family":"Zhu","given":"Shu","non-dropping-particle":"","parse-names":false,"suffix":""},{"dropping-particle":"","family":"Li","given":"Dalin","non-dropping-particle":"","parse-names":false,"suffix":""},{"dropping-particle":"","family":"Liu","given":"Jianjun","non-dropping-particle":"","parse-names":false,"suffix":""},{"dropping-particle":"","family":"Ge","given":"Tian","non-dropping-particle":"","parse-names":false,"suffix":""},{"dropping-particle":"","family":"Cho","given":"Judy","non-dropping-particle":"","parse-names":false,"suffix":""},{"dropping-particle":"","family":"Daly","given":"Mark J.","non-dropping-particle":"","parse-names":false,"suffix":""},{"dropping-particle":"","family":"McGovern","given":"Dermot P. B.","non-dropping-particle":"","parse-names":false,"suffix":""},{"dropping-particle":"","family":"Ye","given":"Byong Duk","non-dropping-particle":"","parse-names":false,"suffix":""},{"dropping-particle":"","family":"Song","given":"Kyuyoung","non-dropping-particle":"","parse-names":false,"suffix":""},{"dropping-particle":"","family":"Kakuta","given":"Yoichi","non-dropping-particle":"","parse-names":false,"suffix":""},{"dropping-particle":"","family":"Li","given":"Mingsong","non-dropping-particle":"","parse-names":false,"suffix":""},{"dropping-particle":"","family":"Huang","given":"Hailiang","non-dropping-particle":"","parse-names":false,"suffix":""}],"container-title":"Nature Genetics","id":"ITEM-4","issue":"5","issued":{"date-parts":[["2023","5","8"]]},"page":"796-806","title":"Genetic architecture of the inflammatory bowel diseases across East Asian and European ancestries","type":"article-journal","volume":"55"},"uris":["http://www.mendeley.com/documents/?uuid=11232bf8-82e3-4a38-9eba-41697305b227"]}],"mendeley":{"formattedCitation":"&lt;sup&gt;5–8&lt;/sup&gt;","plainTextFormattedCitation":"5–8","previouslyFormattedCitation":"&lt;sup&gt;5–8&lt;/sup&gt;"},"properties":{"noteIndex":0},"schema":"https://github.com/citation-style-language/schema/raw/master/csl-citation.json"}</w:instrText>
      </w:r>
      <w:r w:rsidR="003371FA"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5–8</w:t>
      </w:r>
      <w:r w:rsidR="003371FA"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4F6B75" w:rsidRPr="00922C73">
        <w:rPr>
          <w:rFonts w:ascii="Times New Roman" w:hAnsi="Times New Roman" w:cs="Times New Roman"/>
          <w:sz w:val="24"/>
          <w:szCs w:val="24"/>
        </w:rPr>
        <w:t xml:space="preserve">Genetic predisposition is mainly polygenic though monogenic mutations are associated with </w:t>
      </w:r>
      <w:r w:rsidR="004F6B75" w:rsidRPr="00922C73">
        <w:rPr>
          <w:rFonts w:ascii="Times New Roman" w:hAnsi="Times New Roman" w:cs="Times New Roman"/>
          <w:sz w:val="24"/>
          <w:szCs w:val="24"/>
        </w:rPr>
        <w:lastRenderedPageBreak/>
        <w:t xml:space="preserve">early onset IBD </w:t>
      </w:r>
      <w:r w:rsidR="004F6B7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{"citationItems":[{"id":"ITEM-1","itemData":{"DOI":"10.1016/j.iac.2018.08.008","ISSN":"08898561","author":[{"dropping-particle":"","family":"Kelsen","given":"Judith R.","non-dropping-particle":"","parse-names":false,"suffix":""},{"dropping-particle":"","family":"Russo","given":"Pierre","non-dropping-particle":"","parse-names":false,"suffix":""},{"dropping-particle":"","family":"Sullivan","given":"Kathleen E.","non-dropping-particle":"","parse-names":false,"suffix":""}],"container-title":"Immunology and Allergy Clinics of North America","id":"ITEM-1","issue":"1","issued":{"date-parts":[["2019","2"]]},"page":"63-79","title":"Early-Onset Inflammatory Bowel Disease","type":"article-journal","volume":"39"},"uris":["http://www.mendeley.com/documents/?uuid=a830c891-6b02-444f-a0f0-352a4d699c15"]}],"mendeley":{"formattedCitation":"&lt;sup&gt;7&lt;/sup&gt;","plainTextFormattedCitation":"7","previouslyFormattedCitation":"&lt;sup&gt;7&lt;/sup&gt;"},"properties":{"noteIndex":0},"schema":"https://github.com/citation-style-language/schema/raw/master/csl-citation.json"}</w:instrText>
      </w:r>
      <w:r w:rsidR="004F6B7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w:t>
      </w:r>
      <w:r w:rsidR="004F6B75" w:rsidRPr="00922C73">
        <w:rPr>
          <w:rFonts w:ascii="Times New Roman" w:hAnsi="Times New Roman" w:cs="Times New Roman"/>
          <w:sz w:val="24"/>
          <w:szCs w:val="24"/>
        </w:rPr>
        <w:fldChar w:fldCharType="end"/>
      </w:r>
      <w:r w:rsidR="004F6B75" w:rsidRPr="00922C73">
        <w:rPr>
          <w:rFonts w:ascii="Times New Roman" w:hAnsi="Times New Roman" w:cs="Times New Roman"/>
          <w:sz w:val="24"/>
          <w:szCs w:val="24"/>
        </w:rPr>
        <w:t xml:space="preserve">. </w:t>
      </w:r>
      <w:r w:rsidR="003371FA" w:rsidRPr="00922C73">
        <w:rPr>
          <w:rFonts w:ascii="Times New Roman" w:eastAsia="Times New Roman" w:hAnsi="Times New Roman" w:cs="Times New Roman"/>
          <w:sz w:val="24"/>
          <w:szCs w:val="24"/>
          <w:lang w:eastAsia="en-GB"/>
        </w:rPr>
        <w:t xml:space="preserve">NOD2 was the </w:t>
      </w:r>
      <w:r w:rsidR="006B72C3" w:rsidRPr="00922C73">
        <w:rPr>
          <w:rFonts w:ascii="Times New Roman" w:eastAsia="Times New Roman" w:hAnsi="Times New Roman" w:cs="Times New Roman"/>
          <w:sz w:val="24"/>
          <w:szCs w:val="24"/>
          <w:lang w:eastAsia="en-GB"/>
        </w:rPr>
        <w:t xml:space="preserve">first gene </w:t>
      </w:r>
      <w:r w:rsidR="0092288A" w:rsidRPr="00922C73">
        <w:rPr>
          <w:rFonts w:ascii="Times New Roman" w:eastAsia="Times New Roman" w:hAnsi="Times New Roman" w:cs="Times New Roman"/>
          <w:sz w:val="24"/>
          <w:szCs w:val="24"/>
          <w:lang w:eastAsia="en-GB"/>
        </w:rPr>
        <w:t>described in association with</w:t>
      </w:r>
      <w:r w:rsidR="006B72C3" w:rsidRPr="00922C73">
        <w:rPr>
          <w:rFonts w:ascii="Times New Roman" w:eastAsia="Times New Roman" w:hAnsi="Times New Roman" w:cs="Times New Roman"/>
          <w:sz w:val="24"/>
          <w:szCs w:val="24"/>
          <w:lang w:eastAsia="en-GB"/>
        </w:rPr>
        <w:t xml:space="preserve"> IBD</w:t>
      </w:r>
      <w:r w:rsidR="00021070" w:rsidRPr="00922C73">
        <w:rPr>
          <w:rFonts w:ascii="Times New Roman" w:eastAsia="Times New Roman" w:hAnsi="Times New Roman" w:cs="Times New Roman"/>
          <w:i/>
          <w:iCs/>
          <w:sz w:val="24"/>
          <w:szCs w:val="24"/>
          <w:lang w:eastAsia="en-GB"/>
        </w:rPr>
        <w:t xml:space="preserve"> </w:t>
      </w:r>
      <w:r w:rsidR="00021070" w:rsidRPr="00922C73">
        <w:rPr>
          <w:rFonts w:ascii="Times New Roman" w:eastAsia="Times New Roman" w:hAnsi="Times New Roman" w:cs="Times New Roman"/>
          <w:i/>
          <w:iCs/>
          <w:sz w:val="24"/>
          <w:szCs w:val="24"/>
          <w:lang w:eastAsia="en-GB"/>
        </w:rPr>
        <w:fldChar w:fldCharType="begin" w:fldLock="1"/>
      </w:r>
      <w:r w:rsidR="00DD0F87" w:rsidRPr="00922C73">
        <w:rPr>
          <w:rFonts w:ascii="Times New Roman" w:eastAsia="Times New Roman" w:hAnsi="Times New Roman" w:cs="Times New Roman"/>
          <w:i/>
          <w:iCs/>
          <w:sz w:val="24"/>
          <w:szCs w:val="24"/>
          <w:lang w:eastAsia="en-GB"/>
        </w:rPr>
        <w:instrText>ADDIN CSL_CITATION {"citationItems":[{"id":"ITEM-1","itemData":{"DOI":"10.1038/35079114","ISSN":"0028-0836","author":[{"dropping-particle":"","family":"Ogura","given":"Yasunori","non-dropping-particle":"","parse-names":false,"suffix":""},{"dropping-particle":"","family":"Bonen","given":"Denise K.","non-dropping-particle":"","parse-names":false,"suffix":""},{"dropping-particle":"","family":"Inohara","given":"Naohiro","non-dropping-particle":"","parse-names":false,"suffix":""},{"dropping-particle":"","family":"Nicolae","given":"Dan L.","non-dropping-particle":"","parse-names":false,"suffix":""},{"dropping-particle":"","family":"Chen","given":"Felicia F.","non-dropping-particle":"","parse-names":false,"suffix":""},{"dropping-particle":"","family":"Ramos","given":"Richard","non-dropping-particle":"","parse-names":false,"suffix":""},{"dropping-particle":"","family":"Britton","given":"Heidi","non-dropping-particle":"","parse-names":false,"suffix":""},{"dropping-particle":"","family":"Moran","given":"Thomas","non-dropping-particle":"","parse-names":false,"suffix":""},{"dropping-particle":"","family":"Karaliuskas","given":"Reda","non-dropping-particle":"","parse-names":false,"suffix":""},{"dropping-particle":"","family":"Duerr","given":"Richard H.","non-dropping-particle":"","parse-names":false,"suffix":""},{"dropping-particle":"","family":"Achkar","given":"Jean-Paul","non-dropping-particle":"","parse-names":false,"suffix":""},{"dropping-particle":"","family":"Brant","given":"Steven R.","non-dropping-particle":"","parse-names":false,"suffix":""},{"dropping-particle":"","family":"Bayless","given":"Theodore M.","non-dropping-particle":"","parse-names":false,"suffix":""},{"dropping-particle":"","family":"Kirschner","given":"Barbara S.","non-dropping-particle":"","parse-names":false,"suffix":""},{"dropping-particle":"","family":"Hanauer","given":"Stephen B.","non-dropping-particle":"","parse-names":false,"suffix":""},{"dropping-particle":"","family":"Nuñez","given":"Gabriel","non-dropping-particle":"","parse-names":false,"suffix":""},{"dropping-particle":"","family":"Cho","given":"Judy H.","non-dropping-particle":"","parse-names":false,"suffix":""}],"container-title":"Nature","id":"ITEM-1","issue":"6837","issued":{"date-parts":[["2001","5"]]},"page":"603-606","title":"A frameshift mutation in NOD2 associated with susceptibility to Crohn's disease","type":"article-journal","volume":"411"},"uris":["http://www.mendeley.com/documents/?uuid=2d7365e5-538d-4a28-bc61-49c1abbc4059"]}],"mendeley":{"formattedCitation":"&lt;sup&gt;5&lt;/sup&gt;","plainTextFormattedCitation":"5","previouslyFormattedCitation":"&lt;sup&gt;5&lt;/sup&gt;"},"properties":{"noteIndex":0},"schema":"https://github.com/citation-style-language/schema/raw/master/csl-citation.json"}</w:instrText>
      </w:r>
      <w:r w:rsidR="00021070" w:rsidRPr="00922C73">
        <w:rPr>
          <w:rFonts w:ascii="Times New Roman" w:eastAsia="Times New Roman" w:hAnsi="Times New Roman" w:cs="Times New Roman"/>
          <w:i/>
          <w:iCs/>
          <w:sz w:val="24"/>
          <w:szCs w:val="24"/>
          <w:lang w:eastAsia="en-GB"/>
        </w:rPr>
        <w:fldChar w:fldCharType="separate"/>
      </w:r>
      <w:r w:rsidR="00A00D49" w:rsidRPr="00922C73">
        <w:rPr>
          <w:rFonts w:ascii="Times New Roman" w:eastAsia="Times New Roman" w:hAnsi="Times New Roman" w:cs="Times New Roman"/>
          <w:iCs/>
          <w:noProof/>
          <w:sz w:val="24"/>
          <w:szCs w:val="24"/>
          <w:vertAlign w:val="superscript"/>
          <w:lang w:eastAsia="en-GB"/>
        </w:rPr>
        <w:t>5</w:t>
      </w:r>
      <w:r w:rsidR="00021070" w:rsidRPr="00922C73">
        <w:rPr>
          <w:rFonts w:ascii="Times New Roman" w:eastAsia="Times New Roman" w:hAnsi="Times New Roman" w:cs="Times New Roman"/>
          <w:i/>
          <w:iCs/>
          <w:sz w:val="24"/>
          <w:szCs w:val="24"/>
          <w:lang w:eastAsia="en-GB"/>
        </w:rPr>
        <w:fldChar w:fldCharType="end"/>
      </w:r>
      <w:r w:rsidR="00021070" w:rsidRPr="00922C73">
        <w:rPr>
          <w:rFonts w:ascii="Times New Roman" w:eastAsia="Times New Roman" w:hAnsi="Times New Roman" w:cs="Times New Roman"/>
          <w:sz w:val="24"/>
          <w:szCs w:val="24"/>
          <w:lang w:eastAsia="en-GB"/>
        </w:rPr>
        <w:t xml:space="preserve">. </w:t>
      </w:r>
      <w:r w:rsidR="006B72C3" w:rsidRPr="00922C73">
        <w:rPr>
          <w:rFonts w:ascii="Times New Roman" w:eastAsia="Times New Roman" w:hAnsi="Times New Roman" w:cs="Times New Roman"/>
          <w:sz w:val="24"/>
          <w:szCs w:val="24"/>
          <w:lang w:eastAsia="en-GB"/>
        </w:rPr>
        <w:t xml:space="preserve"> </w:t>
      </w:r>
      <w:r w:rsidR="00021070" w:rsidRPr="00922C73">
        <w:rPr>
          <w:rFonts w:ascii="Times New Roman" w:eastAsia="Times New Roman" w:hAnsi="Times New Roman" w:cs="Times New Roman"/>
          <w:i/>
          <w:iCs/>
          <w:sz w:val="24"/>
          <w:szCs w:val="24"/>
          <w:lang w:eastAsia="en-GB"/>
        </w:rPr>
        <w:t>NOD2</w:t>
      </w:r>
      <w:r w:rsidR="00021070" w:rsidRPr="00922C73">
        <w:rPr>
          <w:rFonts w:ascii="Times New Roman" w:eastAsia="Times New Roman" w:hAnsi="Times New Roman" w:cs="Times New Roman"/>
          <w:sz w:val="24"/>
          <w:szCs w:val="24"/>
          <w:lang w:eastAsia="en-GB"/>
        </w:rPr>
        <w:t xml:space="preserve"> mutations </w:t>
      </w:r>
      <w:r w:rsidR="003371FA" w:rsidRPr="00922C73">
        <w:rPr>
          <w:rFonts w:ascii="Times New Roman" w:eastAsia="Times New Roman" w:hAnsi="Times New Roman" w:cs="Times New Roman"/>
          <w:sz w:val="24"/>
          <w:szCs w:val="24"/>
          <w:lang w:eastAsia="en-GB"/>
        </w:rPr>
        <w:t>lead to dysregulation of</w:t>
      </w:r>
      <w:r w:rsidR="00021070" w:rsidRPr="00922C73">
        <w:rPr>
          <w:rFonts w:ascii="Times New Roman" w:eastAsia="Times New Roman" w:hAnsi="Times New Roman" w:cs="Times New Roman"/>
          <w:sz w:val="24"/>
          <w:szCs w:val="24"/>
          <w:lang w:eastAsia="en-GB"/>
        </w:rPr>
        <w:t xml:space="preserve"> host–microbe interactions</w:t>
      </w:r>
      <w:r w:rsidR="003371FA" w:rsidRPr="00922C73">
        <w:rPr>
          <w:rFonts w:ascii="Times New Roman" w:eastAsia="Times New Roman" w:hAnsi="Times New Roman" w:cs="Times New Roman"/>
          <w:sz w:val="24"/>
          <w:szCs w:val="24"/>
          <w:lang w:eastAsia="en-GB"/>
        </w:rPr>
        <w:t xml:space="preserve"> in the ileum</w:t>
      </w:r>
      <w:r w:rsidR="00021070" w:rsidRPr="00922C73">
        <w:rPr>
          <w:rFonts w:ascii="Times New Roman" w:eastAsia="Times New Roman" w:hAnsi="Times New Roman" w:cs="Times New Roman"/>
          <w:sz w:val="24"/>
          <w:szCs w:val="24"/>
          <w:lang w:eastAsia="en-GB"/>
        </w:rPr>
        <w:t xml:space="preserve"> lead</w:t>
      </w:r>
      <w:r w:rsidR="00953A31" w:rsidRPr="00922C73">
        <w:rPr>
          <w:rFonts w:ascii="Times New Roman" w:eastAsia="Times New Roman" w:hAnsi="Times New Roman" w:cs="Times New Roman"/>
          <w:sz w:val="24"/>
          <w:szCs w:val="24"/>
          <w:lang w:eastAsia="en-GB"/>
        </w:rPr>
        <w:t>ing</w:t>
      </w:r>
      <w:r w:rsidR="00021070" w:rsidRPr="00922C73">
        <w:rPr>
          <w:rFonts w:ascii="Times New Roman" w:eastAsia="Times New Roman" w:hAnsi="Times New Roman" w:cs="Times New Roman"/>
          <w:sz w:val="24"/>
          <w:szCs w:val="24"/>
          <w:lang w:eastAsia="en-GB"/>
        </w:rPr>
        <w:t xml:space="preserve"> to inflammation</w:t>
      </w:r>
      <w:r w:rsidR="007067C1" w:rsidRPr="00922C73">
        <w:rPr>
          <w:rFonts w:ascii="Times New Roman" w:eastAsia="Times New Roman" w:hAnsi="Times New Roman" w:cs="Times New Roman"/>
          <w:sz w:val="24"/>
          <w:szCs w:val="24"/>
          <w:lang w:eastAsia="en-GB"/>
        </w:rPr>
        <w:t xml:space="preserve"> </w:t>
      </w:r>
      <w:r w:rsidR="007067C1"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{"citationItems":[{"id":"ITEM-1","itemData":{"DOI":"10.1038/35079114","ISSN":"0028-0836","author":[{"dropping-particle":"","family":"Ogura","given":"Yasunori","non-dropping-particle":"","parse-names":false,"suffix":""},{"dropping-particle":"","family":"Bonen","given":"Denise K.","non-dropping-particle":"","parse-names":false,"suffix":""},{"dropping-particle":"","family":"Inohara","given":"Naohiro","non-dropping-particle":"","parse-names":false,"suffix":""},{"dropping-particle":"","family":"Nicolae","given":"Dan L.","non-dropping-particle":"","parse-names":false,"suffix":""},{"dropping-particle":"","family":"Chen","given":"Felicia F.","non-dropping-particle":"","parse-names":false,"suffix":""},{"dropping-particle":"","family":"Ramos","given":"Richard","non-dropping-particle":"","parse-names":false,"suffix":""},{"dropping-particle":"","family":"Britton","given":"Heidi","non-dropping-particle":"","parse-names":false,"suffix":""},{"dropping-particle":"","family":"Moran","given":"Thomas","non-dropping-particle":"","parse-names":false,"suffix":""},{"dropping-particle":"","family":"Karaliuskas","given":"Reda","non-dropping-particle":"","parse-names":false,"suffix":""},{"dropping-particle":"","family":"Duerr","given":"Richard H.","non-dropping-particle":"","parse-names":false,"suffix":""},{"dropping-particle":"","family":"Achkar","given":"Jean-Paul","non-dropping-particle":"","parse-names":false,"suffix":""},{"dropping-particle":"","family":"Brant","given":"Steven R.","non-dropping-particle":"","parse-names":false,"suffix":""},{"dropping-particle":"","family":"Bayless","given":"Theodore M.","non-dropping-particle":"","parse-names":false,"suffix":""},{"dropping-particle":"","family":"Kirschner","given":"Barbara S.","non-dropping-particle":"","parse-names":false,"suffix":""},{"dropping-particle":"","family":"Hanauer","given":"Stephen B.","non-dropping-particle":"","parse-names":false,"suffix":""},{"dropping-particle":"","family":"Nuñez","given":"Gabriel","non-dropping-particle":"","parse-names":false,"suffix":""},{"dropping-particle":"","family":"Cho","given":"Judy H.","non-dropping-particle":"","parse-names":false,"suffix":""}],"container-title":"Nature","id":"ITEM-1","issue":"6837","issued":{"date-parts":[["2001","5"]]},"page":"603-606","title":"A frameshift mutation in NOD2 associated with susceptibility to Crohn's disease","type":"article-journal","volume":"411"},"uris":["http://www.mendeley.com/documents/?uuid=2d7365e5-538d-4a28-bc61-49c1abbc4059"]}],"mendeley":{"formattedCitation":"&lt;sup&gt;5&lt;/sup&gt;","plainTextFormattedCitation":"5","previouslyFormattedCitation":"&lt;sup&gt;5&lt;/sup&gt;"},"properties":{"noteIndex":0},"schema":"https://github.com/citation-style-language/schema/raw/master/csl-citation.json"}</w:instrText>
      </w:r>
      <w:r w:rsidR="007067C1"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5</w:t>
      </w:r>
      <w:r w:rsidR="007067C1" w:rsidRPr="00922C73">
        <w:rPr>
          <w:rFonts w:ascii="Times New Roman" w:eastAsia="Times New Roman" w:hAnsi="Times New Roman" w:cs="Times New Roman"/>
          <w:sz w:val="24"/>
          <w:szCs w:val="24"/>
          <w:lang w:eastAsia="en-GB"/>
        </w:rPr>
        <w:fldChar w:fldCharType="end"/>
      </w:r>
      <w:r w:rsidR="00021070" w:rsidRPr="00922C73">
        <w:rPr>
          <w:rFonts w:ascii="Times New Roman" w:eastAsia="Times New Roman" w:hAnsi="Times New Roman" w:cs="Times New Roman"/>
          <w:sz w:val="24"/>
          <w:szCs w:val="24"/>
          <w:lang w:eastAsia="en-GB"/>
        </w:rPr>
        <w:t xml:space="preserve">. </w:t>
      </w:r>
      <w:r w:rsidR="007067C1" w:rsidRPr="00922C73">
        <w:rPr>
          <w:rFonts w:ascii="Times New Roman" w:eastAsia="Times New Roman" w:hAnsi="Times New Roman" w:cs="Times New Roman"/>
          <w:sz w:val="24"/>
          <w:szCs w:val="24"/>
          <w:lang w:eastAsia="en-GB"/>
        </w:rPr>
        <w:t>M</w:t>
      </w:r>
      <w:r w:rsidR="00021070" w:rsidRPr="00922C73">
        <w:rPr>
          <w:rFonts w:ascii="Times New Roman" w:eastAsia="Times New Roman" w:hAnsi="Times New Roman" w:cs="Times New Roman"/>
          <w:sz w:val="24"/>
          <w:szCs w:val="24"/>
          <w:lang w:eastAsia="en-GB"/>
        </w:rPr>
        <w:t xml:space="preserve">eta-analysis has shown </w:t>
      </w:r>
      <w:r w:rsidR="007067C1" w:rsidRPr="00922C73">
        <w:rPr>
          <w:rFonts w:ascii="Times New Roman" w:eastAsia="Times New Roman" w:hAnsi="Times New Roman" w:cs="Times New Roman"/>
          <w:sz w:val="24"/>
          <w:szCs w:val="24"/>
          <w:lang w:eastAsia="en-GB"/>
        </w:rPr>
        <w:t>a</w:t>
      </w:r>
      <w:r w:rsidR="00021070" w:rsidRPr="00922C73">
        <w:rPr>
          <w:rFonts w:ascii="Times New Roman" w:eastAsia="Times New Roman" w:hAnsi="Times New Roman" w:cs="Times New Roman"/>
          <w:sz w:val="24"/>
          <w:szCs w:val="24"/>
          <w:lang w:eastAsia="en-GB"/>
        </w:rPr>
        <w:t xml:space="preserve"> </w:t>
      </w:r>
      <w:r w:rsidR="006B72C3" w:rsidRPr="00922C73">
        <w:rPr>
          <w:rFonts w:ascii="Times New Roman" w:eastAsia="Times New Roman" w:hAnsi="Times New Roman" w:cs="Times New Roman"/>
          <w:sz w:val="24"/>
          <w:szCs w:val="24"/>
          <w:lang w:eastAsia="en-GB"/>
        </w:rPr>
        <w:t>17 -fold increase risk i</w:t>
      </w:r>
      <w:r w:rsidR="00021070" w:rsidRPr="00922C73">
        <w:rPr>
          <w:rFonts w:ascii="Times New Roman" w:eastAsia="Times New Roman" w:hAnsi="Times New Roman" w:cs="Times New Roman"/>
          <w:sz w:val="24"/>
          <w:szCs w:val="24"/>
          <w:lang w:eastAsia="en-GB"/>
        </w:rPr>
        <w:t xml:space="preserve">n </w:t>
      </w:r>
      <w:r w:rsidR="007067C1" w:rsidRPr="00922C73">
        <w:rPr>
          <w:rFonts w:ascii="Times New Roman" w:eastAsia="Times New Roman" w:hAnsi="Times New Roman" w:cs="Times New Roman"/>
          <w:sz w:val="24"/>
          <w:szCs w:val="24"/>
          <w:lang w:eastAsia="en-GB"/>
        </w:rPr>
        <w:t xml:space="preserve">NOD2 </w:t>
      </w:r>
      <w:r w:rsidR="006B72C3" w:rsidRPr="00922C73">
        <w:rPr>
          <w:rFonts w:ascii="Times New Roman" w:eastAsia="Times New Roman" w:hAnsi="Times New Roman" w:cs="Times New Roman"/>
          <w:sz w:val="24"/>
          <w:szCs w:val="24"/>
          <w:lang w:eastAsia="en-GB"/>
        </w:rPr>
        <w:t>homozygotes and 2-fold increase risk in heterozygotes of developing ileal CD</w:t>
      </w:r>
      <w:r w:rsidR="007067C1" w:rsidRPr="00922C73">
        <w:rPr>
          <w:rFonts w:ascii="Times New Roman" w:eastAsia="Times New Roman" w:hAnsi="Times New Roman" w:cs="Times New Roman"/>
          <w:sz w:val="24"/>
          <w:szCs w:val="24"/>
          <w:lang w:eastAsia="en-GB"/>
        </w:rPr>
        <w:t xml:space="preserve"> </w:t>
      </w:r>
      <w:r w:rsidR="007067C1"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10.1111/j.1572-0241.2004.40304.x","ISSN":"0002-9270","author":[{"dropping-particle":"","family":"Economou","given":"Michael","non-dropping-particle":"","parse-names":false,"suffix":""},{"dropping-particle":"","family":"Trikalinos","given":"Thomas A.","non-dropping-particle":"","parse-names":false,"suffix":""},{"dropping-particle":"","family":"Loizou","given":"Konstantinos T.","non-dropping-particle":"","parse-names":false,"suffix":""},{"dropping-particle":"V.","family":"Tsianos","given":"Epameinondas","non-dropping-particle":"","parse-names":false,"suffix":""},{"dropping-particle":"","family":"Ioannidis","given":"John P.A.","non-dropping-particle":"","parse-names":false,"suffix":""}],"container-title":"The American Journal of Gastroenterology","id":"ITEM-1","issue":"12","issued":{"date-parts":[["2004","12"]]},"page":"2393-2404","title":"Differential Effects of NOD2 Variants on Crohn's Disease Risk and Phenotype in Diverse Populations: A Metaanalysis","type":"article-journal","volume":"99"},"uris":["http://www.mendeley.com/documents/?uuid=99e9f32c-6823-436c-bc79-bbb337a66733"]}],"mendeley":{"formattedCitation":"&lt;sup&gt;9&lt;/sup&gt;","plainTextFormattedCitation":"9","previouslyFormattedCitation":"&lt;sup&gt;9&lt;/sup&gt;"},"properties":{"noteIndex":0},"schema":"https://github.com/citation-style-language/schema/raw/master/csl-citation.json"}</w:instrText>
      </w:r>
      <w:r w:rsidR="007067C1"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9</w:t>
      </w:r>
      <w:r w:rsidR="007067C1" w:rsidRPr="00922C73">
        <w:rPr>
          <w:rFonts w:ascii="Times New Roman" w:eastAsia="Times New Roman" w:hAnsi="Times New Roman" w:cs="Times New Roman"/>
          <w:sz w:val="24"/>
          <w:szCs w:val="24"/>
          <w:lang w:eastAsia="en-GB"/>
        </w:rPr>
        <w:fldChar w:fldCharType="end"/>
      </w:r>
      <w:r w:rsidR="006B72C3" w:rsidRPr="00922C73">
        <w:rPr>
          <w:rFonts w:ascii="Times New Roman" w:eastAsia="Times New Roman" w:hAnsi="Times New Roman" w:cs="Times New Roman"/>
          <w:sz w:val="24"/>
          <w:szCs w:val="24"/>
          <w:lang w:eastAsia="en-GB"/>
        </w:rPr>
        <w:t xml:space="preserve">. </w:t>
      </w:r>
      <w:r w:rsidR="0019694E" w:rsidRPr="00922C73">
        <w:rPr>
          <w:rFonts w:ascii="Times New Roman" w:hAnsi="Times New Roman" w:cs="Times New Roman"/>
          <w:sz w:val="24"/>
          <w:szCs w:val="24"/>
        </w:rPr>
        <w:t>The</w:t>
      </w:r>
      <w:r w:rsidR="001F5409" w:rsidRPr="00922C73">
        <w:rPr>
          <w:rFonts w:ascii="Times New Roman" w:hAnsi="Times New Roman" w:cs="Times New Roman"/>
          <w:sz w:val="24"/>
          <w:szCs w:val="24"/>
        </w:rPr>
        <w:t>re are</w:t>
      </w:r>
      <w:r w:rsidR="0019694E" w:rsidRPr="00922C73">
        <w:rPr>
          <w:rFonts w:ascii="Times New Roman" w:hAnsi="Times New Roman" w:cs="Times New Roman"/>
          <w:sz w:val="24"/>
          <w:szCs w:val="24"/>
        </w:rPr>
        <w:t xml:space="preserve"> genetic mutations associated with </w:t>
      </w:r>
      <w:r w:rsidR="007233DC" w:rsidRPr="00922C73">
        <w:rPr>
          <w:rFonts w:ascii="Times New Roman" w:hAnsi="Times New Roman" w:cs="Times New Roman"/>
          <w:sz w:val="24"/>
          <w:szCs w:val="24"/>
        </w:rPr>
        <w:t>the development of</w:t>
      </w:r>
      <w:r w:rsidR="006B72C3" w:rsidRPr="00922C73">
        <w:rPr>
          <w:rFonts w:ascii="Times New Roman" w:hAnsi="Times New Roman" w:cs="Times New Roman"/>
          <w:sz w:val="24"/>
          <w:szCs w:val="24"/>
        </w:rPr>
        <w:t xml:space="preserve"> IBD</w:t>
      </w:r>
      <w:r w:rsidR="008A7C66" w:rsidRPr="00922C73">
        <w:rPr>
          <w:rFonts w:ascii="Times New Roman" w:hAnsi="Times New Roman" w:cs="Times New Roman"/>
          <w:sz w:val="24"/>
          <w:szCs w:val="24"/>
        </w:rPr>
        <w:t xml:space="preserve">, </w:t>
      </w:r>
      <w:r w:rsidR="00953A31" w:rsidRPr="00922C73">
        <w:rPr>
          <w:rFonts w:ascii="Times New Roman" w:hAnsi="Times New Roman" w:cs="Times New Roman"/>
          <w:sz w:val="24"/>
          <w:szCs w:val="24"/>
        </w:rPr>
        <w:t xml:space="preserve">IBD sub-type, </w:t>
      </w:r>
      <w:r w:rsidR="007233DC" w:rsidRPr="00922C73">
        <w:rPr>
          <w:rFonts w:ascii="Times New Roman" w:hAnsi="Times New Roman" w:cs="Times New Roman"/>
          <w:sz w:val="24"/>
          <w:szCs w:val="24"/>
        </w:rPr>
        <w:t xml:space="preserve">genes that are associated with </w:t>
      </w:r>
      <w:r w:rsidR="0019694E" w:rsidRPr="00922C73">
        <w:rPr>
          <w:rFonts w:ascii="Times New Roman" w:hAnsi="Times New Roman" w:cs="Times New Roman"/>
          <w:sz w:val="24"/>
          <w:szCs w:val="24"/>
        </w:rPr>
        <w:t xml:space="preserve">a particular </w:t>
      </w:r>
      <w:r w:rsidR="008A7C66" w:rsidRPr="00922C73">
        <w:rPr>
          <w:rFonts w:ascii="Times New Roman" w:hAnsi="Times New Roman" w:cs="Times New Roman"/>
          <w:sz w:val="24"/>
          <w:szCs w:val="24"/>
        </w:rPr>
        <w:t xml:space="preserve">disease </w:t>
      </w:r>
      <w:r w:rsidR="0019694E" w:rsidRPr="00922C73">
        <w:rPr>
          <w:rFonts w:ascii="Times New Roman" w:hAnsi="Times New Roman" w:cs="Times New Roman"/>
          <w:sz w:val="24"/>
          <w:szCs w:val="24"/>
        </w:rPr>
        <w:t>phenotype,</w:t>
      </w:r>
      <w:r w:rsidR="001F5409" w:rsidRPr="00922C73">
        <w:rPr>
          <w:rFonts w:ascii="Times New Roman" w:hAnsi="Times New Roman" w:cs="Times New Roman"/>
          <w:sz w:val="24"/>
          <w:szCs w:val="24"/>
        </w:rPr>
        <w:t xml:space="preserve"> </w:t>
      </w:r>
      <w:r w:rsidR="00CF4C51" w:rsidRPr="00922C73">
        <w:rPr>
          <w:rFonts w:ascii="Times New Roman" w:hAnsi="Times New Roman" w:cs="Times New Roman"/>
          <w:sz w:val="24"/>
          <w:szCs w:val="24"/>
        </w:rPr>
        <w:t xml:space="preserve">early onset disease, </w:t>
      </w:r>
      <w:r w:rsidR="001F5409" w:rsidRPr="00922C73">
        <w:rPr>
          <w:rFonts w:ascii="Times New Roman" w:hAnsi="Times New Roman" w:cs="Times New Roman"/>
          <w:sz w:val="24"/>
          <w:szCs w:val="24"/>
        </w:rPr>
        <w:t>disease severity, alterations</w:t>
      </w:r>
      <w:r w:rsidR="0019694E" w:rsidRPr="00922C73">
        <w:rPr>
          <w:rFonts w:ascii="Times New Roman" w:hAnsi="Times New Roman" w:cs="Times New Roman"/>
          <w:sz w:val="24"/>
          <w:szCs w:val="24"/>
        </w:rPr>
        <w:t xml:space="preserve"> in the immune system</w:t>
      </w:r>
      <w:r w:rsidR="001F5409" w:rsidRPr="00922C73">
        <w:rPr>
          <w:rFonts w:ascii="Times New Roman" w:hAnsi="Times New Roman" w:cs="Times New Roman"/>
          <w:sz w:val="24"/>
          <w:szCs w:val="24"/>
        </w:rPr>
        <w:t xml:space="preserve"> or how the body handles bacteria </w:t>
      </w:r>
      <w:r w:rsidR="004F6B7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{"citationItems":[{"id":"ITEM-1","itemData":{"DOI":"10.1038/ng.3760","ISSN":"1061-4036","author":[{"dropping-particle":"","family":"Lange","given":"Katrina M","non-dropping-particle":"de","parse-names":false,"suffix":""},{"dropping-particle":"","family":"Moutsianas","given":"Loukas","non-dropping-particle":"","parse-names":false,"suffix":""},{"dropping-particle":"","family":"Lee","given":"James C","non-dropping-particle":"","parse-names":false,"suffix":""},{"dropping-particle":"","family":"Lamb","given":"Christopher A","non-dropping-particle":"","parse-names":false,"suffix":""},{"dropping-particle":"","family":"Luo","given":"Yang","non-dropping-particle":"","parse-names":false,"suffix":""},{"dropping-particle":"","family":"Kennedy","given":"Nicholas A","non-dropping-particle":"","parse-names":false,"suffix":""},{"dropping-particle":"","family":"Jostins","given":"Luke","non-dropping-particle":"","parse-names":false,"suffix":""},{"dropping-particle":"","family":"Rice","given":"Daniel L","non-dropping-particle":"","parse-names":false,"suffix":""},{"dropping-particle":"","family":"Gutierrez-Achury","given":"Javier","non-dropping-particle":"","parse-names":false,"suffix":""},{"dropping-particle":"","family":"Ji","given":"Sun-Gou","non-dropping-particle":"","parse-names":false,"suffix":""},{"dropping-particle":"","family":"Heap","given":"Graham","non-dropping-particle":"","parse-names":false,"suffix":""},{"dropping-particle":"","family":"Nimmo","given":"Elaine R","non-dropping-particle":"","parse-names":false,"suffix":""},{"dropping-particle":"","family":"Edwards","given":"Cathryn","non-dropping-particle":"","parse-names":false,"suffix":""},{"dropping-particle":"","family":"Henderson","given":"Paul","non-dropping-particle":"","parse-names":false,"suffix":""},{"dropping-particle":"","family":"Mowat","given":"Craig","non-dropping-particle":"","parse-names":false,"suffix":""},{"dropping-particle":"","family":"Sanderson","given":"Jeremy","non-dropping-particle":"","parse-names":false,"suffix":""},{"dropping-particle":"","family":"Satsangi","given":"Jack","non-dropping-particle":"","parse-names":false,"suffix":""},{"dropping-particle":"","family":"Simmons","given":"Alison","non-dropping-particle":"","parse-names":false,"suffix":""},{"dropping-particle":"","family":"Wilson","given":"David C","non-dropping-particle":"","parse-names":false,"suffix":""},{"dropping-particle":"","family":"Tremelling","given":"Mark","non-dropping-particle":"","parse-names":false,"suffix":""},{"dropping-particle":"","family":"Hart","given":"Ailsa","non-dropping-particle":"","parse-names":false,"suffix":""},{"dropping-particle":"","family":"Mathew","given":"Christopher G","non-dropping-particle":"","parse-names":false,"suffix":""},{"dropping-particle":"","family":"Newman","given":"William G","non-dropping-particle":"","parse-names":false,"suffix":""},{"dropping-particle":"","family":"Parkes","given":"Miles","non-dropping-particle":"","parse-names":false,"suffix":""},{"dropping-particle":"","family":"Lees","given":"Charlie W","non-dropping-particle":"","parse-names":false,"suffix":""},{"dropping-particle":"","family":"Uhlig","given":"Holm","non-dropping-particle":"","parse-names":false,"suffix":""},{"dropping-particle":"","family":"Hawkey","given":"Chris","non-dropping-particle":"","parse-names":false,"suffix":""},{"dropping-particle":"","family":"Prescott","given":"Natalie J","non-dropping-particle":"","parse-names":false,"suffix":""},{"dropping-particle":"","family":"Ahmad","given":"Tariq","non-dropping-particle":"","parse-names":false,"suffix":""},{"dropping-particle":"","family":"Mansfield","given":"John C","non-dropping-particle":"","parse-names":false,"suffix":""},{"dropping-particle":"","family":"Anderson","given":"Carl A","non-dropping-particle":"","parse-names":false,"suffix":""},{"dropping-particle":"","family":"Barrett","given":"Jeffrey C","non-dropping-particle":"","parse-names":false,"suffix":""}],"container-title":"Nature Genetics","id":"ITEM-1","issue":"2","issued":{"date-parts":[["2017","2","9"]]},"page":"256-261","title":"Genome-wide association study implicates immune activation of multiple integrin genes in inflammatory bowel disease","type":"article-journal","volume":"49"},"uris":["http://www.mendeley.com/documents/?uuid=8b27a95e-0754-4c07-9f6e-2ac76753a089"]},{"id":"ITEM-2","itemData":{"DOI":"10.1016/j.iac.2018.08.008","ISSN":"08898561","author":[{"dropping-particle":"","family":"Kelsen","given":"Judith R.","non-dropping-particle":"","parse-names":false,"suffix":""},{"dropping-particle":"","family":"Russo","given":"Pierre","non-dropping-particle":"","parse-names":false,"suffix":""},{"dropping-particle":"","family":"Sullivan","given":"Kathleen E.","non-dropping-particle":"","parse-names":false,"suffix":""}],"container-title":"Immunology and Allergy Clinics of North America","id":"ITEM-2","issue":"1","issued":{"date-parts":[["2019","2"]]},"page":"63-79","title":"Early-Onset Inflammatory Bowel Disease","type":"article-journal","volume":"39"},"uris":["http://www.mendeley.com/documents/?uuid=a830c891-6b02-444f-a0f0-352a4d699c15"]},{"id":"ITEM-3","itemData":{"DOI":"10.1136/gutjnl-2019-318343","ISSN":"0017-5749","author":[{"dropping-particle":"","family":"Biasci","given":"Daniele","non-dropping-particle":"","parse-names":false,"suffix":""},{"dropping-particle":"","family":"Lee","given":"James C","non-dropping-particle":"","parse-names":false,"suffix":""},{"dropping-particle":"","family":"Noor","given":"Nurulamin M","non-dropping-particle":"","parse-names":false,"suffix":""},{"dropping-particle":"","family":"Pombal","given":"Diana R","non-dropping-particle":"","parse-names":false,"suffix":""},{"dropping-particle":"","family":"Hou","given":"Monica","non-dropping-particle":"","parse-names":false,"suffix":""},{"dropping-particle":"","family":"Lewis","given":"Nina","non-dropping-particle":"","parse-names":false,"suffix":""},{"dropping-particle":"","family":"Ahmad","given":"Tariq","non-dropping-particle":"","parse-names":false,"suffix":""},{"dropping-particle":"","family":"Hart","given":"Ailsa","non-dropping-particle":"","parse-names":false,"suffix":""},{"dropping-particle":"","family":"Parkes","given":"Miles","non-dropping-particle":"","parse-names":false,"suffix":""},{"dropping-particle":"","family":"McKinney","given":"Eoin F","non-dropping-particle":"","parse-names":false,"suffix":""},{"dropping-particle":"","family":"Lyons","given":"Paul A","non-dropping-particle":"","parse-names":false,"suffix":""},{"dropping-particle":"","family":"Smith","given":"Kenneth G C","non-dropping-particle":"","parse-names":false,"suffix":""}],"container-title":"Gut","id":"ITEM-3","issue":"8","issued":{"date-parts":[["2019","8"]]},"page":"1386-1395","title":"A blood-based prognostic biomarker in IBD","type":"article-journal","volume":"68"},"uris":["http://www.mendeley.com/documents/?uuid=047b7afb-b909-4fcb-8c18-ab749abf335d"]},{"id":"ITEM-4","itemData":{"DOI":"10.1038/35079114","ISSN":"0028-0836","author":[{"dropping-particle":"","family":"Ogura","given":"Yasunori","non-dropping-particle":"","parse-names":false,"suffix":""},{"dropping-particle":"","family":"Bonen","given":"Denise K.","non-dropping-particle":"","parse-names":false,"suffix":""},{"dropping-particle":"","family":"Inohara","given":"Naohiro","non-dropping-particle":"","parse-names":false,"suffix":""},{"dropping-particle":"","family":"Nicolae","given":"Dan L.","non-dropping-particle":"","parse-names":false,"suffix":""},{"dropping-particle":"","family":"Chen","given":"Felicia F.","non-dropping-particle":"","parse-names":false,"suffix":""},{"dropping-particle":"","family":"Ramos","given":"Richard","non-dropping-particle":"","parse-names":false,"suffix":""},{"dropping-particle":"","family":"Britton","given":"Heidi","non-dropping-particle":"","parse-names":false,"suffix":""},{"dropping-particle":"","family":"Moran","given":"Thomas","non-dropping-particle":"","parse-names":false,"suffix":""},{"dropping-particle":"","family":"Karaliuskas","given":"Reda","non-dropping-particle":"","parse-names":false,"suffix":""},{"dropping-particle":"","family":"Duerr","given":"Richard H.","non-dropping-particle":"","parse-names":false,"suffix":""},{"dropping-particle":"","family":"Achkar","given":"Jean-Paul","non-dropping-particle":"","parse-names":false,"suffix":""},{"dropping-particle":"","family":"Brant","given":"Steven R.","non-dropping-particle":"","parse-names":false,"suffix":""},{"dropping-particle":"","family":"Bayless","given":"Theodore M.","non-dropping-particle":"","parse-names":false,"suffix":""},{"dropping-particle":"","family":"Kirschner","given":"Barbara S.","non-dropping-particle":"","parse-names":false,"suffix":""},{"dropping-particle":"","family":"Hanauer","given":"Stephen B.","non-dropping-particle":"","parse-names":false,"suffix":""},{"dropping-particle":"","family":"Nuñez","given":"Gabriel","non-dropping-particle":"","parse-names":false,"suffix":""},{"dropping-particle":"","family":"Cho","given":"Judy H.","non-dropping-particle":"","parse-names":false,"suffix":""}],"container-title":"Nature","id":"ITEM-4","issue":"6837","issued":{"date-parts":[["2001","5"]]},"page":"603-606","title":"A frameshift mutation in NOD2 associated with susceptibility to Crohn's disease","type":"article-journal","volume":"411"},"uris":["http://www.mendeley.com/documents/?uuid=2d7365e5-538d-4a28-bc61-49c1abbc4059"]}],"mendeley":{"formattedCitation":"&lt;sup&gt;5–7,10&lt;/sup&gt;","plainTextFormattedCitation":"5–7,10","previouslyFormattedCitation":"&lt;sup&gt;5–7,10&lt;/sup&gt;"},"properties":{"noteIndex":0},"schema":"https://github.com/citation-style-language/schema/raw/master/csl-citation.json"}</w:instrText>
      </w:r>
      <w:r w:rsidR="004F6B7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5–7,10</w:t>
      </w:r>
      <w:r w:rsidR="004F6B75" w:rsidRPr="00922C73">
        <w:rPr>
          <w:rFonts w:ascii="Times New Roman" w:hAnsi="Times New Roman" w:cs="Times New Roman"/>
          <w:sz w:val="24"/>
          <w:szCs w:val="24"/>
        </w:rPr>
        <w:fldChar w:fldCharType="end"/>
      </w:r>
      <w:r w:rsidR="001F5409" w:rsidRPr="00922C73">
        <w:rPr>
          <w:rFonts w:ascii="Times New Roman" w:hAnsi="Times New Roman" w:cs="Times New Roman"/>
          <w:sz w:val="24"/>
          <w:szCs w:val="24"/>
        </w:rPr>
        <w:t xml:space="preserve">. In clinical practice, genetic markers are not routinely assessed. A positive family history </w:t>
      </w:r>
      <w:r w:rsidR="00457236" w:rsidRPr="00922C73">
        <w:rPr>
          <w:rFonts w:ascii="Times New Roman" w:hAnsi="Times New Roman" w:cs="Times New Roman"/>
          <w:sz w:val="24"/>
          <w:szCs w:val="24"/>
        </w:rPr>
        <w:t>in first and second degree relatives</w:t>
      </w:r>
      <w:r w:rsidR="00953A31" w:rsidRPr="00922C73">
        <w:rPr>
          <w:rFonts w:ascii="Times New Roman" w:hAnsi="Times New Roman" w:cs="Times New Roman"/>
          <w:sz w:val="24"/>
          <w:szCs w:val="24"/>
        </w:rPr>
        <w:t xml:space="preserve"> is a risk factor and the former</w:t>
      </w:r>
      <w:r w:rsidR="001F5409" w:rsidRPr="00922C73">
        <w:rPr>
          <w:rFonts w:ascii="Times New Roman" w:hAnsi="Times New Roman" w:cs="Times New Roman"/>
          <w:sz w:val="24"/>
          <w:szCs w:val="24"/>
        </w:rPr>
        <w:t xml:space="preserve"> </w:t>
      </w:r>
      <w:r w:rsidR="004F6B75" w:rsidRPr="00922C73">
        <w:rPr>
          <w:rFonts w:ascii="Times New Roman" w:hAnsi="Times New Roman" w:cs="Times New Roman"/>
          <w:sz w:val="24"/>
          <w:szCs w:val="24"/>
        </w:rPr>
        <w:t>confers</w:t>
      </w:r>
      <w:r w:rsidR="0019694E" w:rsidRPr="00922C73">
        <w:rPr>
          <w:rFonts w:ascii="Times New Roman" w:hAnsi="Times New Roman" w:cs="Times New Roman"/>
          <w:sz w:val="24"/>
          <w:szCs w:val="24"/>
        </w:rPr>
        <w:t xml:space="preserve"> </w:t>
      </w:r>
      <w:r w:rsidR="00457236" w:rsidRPr="00922C73">
        <w:rPr>
          <w:rFonts w:ascii="Times New Roman" w:hAnsi="Times New Roman" w:cs="Times New Roman"/>
          <w:sz w:val="24"/>
          <w:szCs w:val="24"/>
        </w:rPr>
        <w:t>a ten-fold relative risk of developing the same disease compared to the general population</w:t>
      </w:r>
      <w:r w:rsidR="0019694E" w:rsidRPr="00922C73">
        <w:rPr>
          <w:rFonts w:ascii="Times New Roman" w:hAnsi="Times New Roman" w:cs="Times New Roman"/>
          <w:sz w:val="24"/>
          <w:szCs w:val="24"/>
        </w:rPr>
        <w:t xml:space="preserve"> </w:t>
      </w:r>
      <w:r w:rsidR="004F6B7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199101103240203","ISSN":"0028-4793","author":[{"dropping-particle":"","family":"Orholm","given":"Marianne","non-dropping-particle":"","parse-names":false,"suffix":""},{"dropping-particle":"","family":"Munkholm","given":"Pia","non-dropping-particle":"","parse-names":false,"suffix":""},{"dropping-particle":"","family":"Langholz","given":"Ebbe","non-dropping-particle":"","parse-names":false,"suffix":""},{"dropping-particle":"","family":"Nielsen","given":"Ole Haagen","non-dropping-particle":"","parse-names":false,"suffix":""},{"dropping-particle":"","family":"Sørensen","given":"Thorkild I.A.","non-dropping-particle":"","parse-names":false,"suffix":""},{"dropping-particle":"","family":"Binder","given":"Vibeke","non-dropping-particle":"","parse-names":false,"suffix":""}],"container-title":"New England Journal of Medicine","id":"ITEM-1","issue":"2","issued":{"date-parts":[["1991","1","10"]]},"page":"84-88","title":"Familial Occurrence of Inflammatory Bowel Disease","type":"article-journal","volume":"324"},"uris":["http://www.mendeley.com/documents/?uuid=b8c21f62-7542-46c0-95e5-8ed3b38712ed"]}],"mendeley":{"formattedCitation":"&lt;sup&gt;11&lt;/sup&gt;","plainTextFormattedCitation":"11","previouslyFormattedCitation":"&lt;sup&gt;11&lt;/sup&gt;"},"properties":{"noteIndex":0},"schema":"https://github.com/citation-style-language/schema/raw/master/csl-citation.json"}</w:instrText>
      </w:r>
      <w:r w:rsidR="004F6B7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w:t>
      </w:r>
      <w:r w:rsidR="004F6B75" w:rsidRPr="00922C73">
        <w:rPr>
          <w:rFonts w:ascii="Times New Roman" w:hAnsi="Times New Roman" w:cs="Times New Roman"/>
          <w:sz w:val="24"/>
          <w:szCs w:val="24"/>
        </w:rPr>
        <w:fldChar w:fldCharType="end"/>
      </w:r>
      <w:r w:rsidR="00457236" w:rsidRPr="00922C73">
        <w:rPr>
          <w:rFonts w:ascii="Times New Roman" w:hAnsi="Times New Roman" w:cs="Times New Roman"/>
          <w:sz w:val="24"/>
          <w:szCs w:val="24"/>
        </w:rPr>
        <w:t xml:space="preserve">. </w:t>
      </w:r>
    </w:p>
    <w:p w14:paraId="32B65B0F" w14:textId="77777777" w:rsidR="00457236" w:rsidRPr="00922C73" w:rsidRDefault="00457236" w:rsidP="00F64D9D">
      <w:pPr>
        <w:autoSpaceDE w:val="0"/>
        <w:autoSpaceDN w:val="0"/>
        <w:adjustRightInd w:val="0"/>
        <w:spacing w:line="480" w:lineRule="auto"/>
        <w:rPr>
          <w:rFonts w:ascii="Times New Roman" w:hAnsi="Times New Roman" w:cs="Times New Roman"/>
          <w:sz w:val="24"/>
          <w:szCs w:val="24"/>
        </w:rPr>
      </w:pPr>
    </w:p>
    <w:p w14:paraId="2DC60275" w14:textId="0DEBB249" w:rsidR="008A7C66" w:rsidRPr="00922C73" w:rsidRDefault="001F5409" w:rsidP="00F64D9D">
      <w:pPr>
        <w:autoSpaceDE w:val="0"/>
        <w:autoSpaceDN w:val="0"/>
        <w:adjustRightInd w:val="0"/>
        <w:spacing w:line="480" w:lineRule="auto"/>
        <w:rPr>
          <w:rFonts w:ascii="Times New Roman" w:hAnsi="Times New Roman" w:cs="Times New Roman"/>
          <w:sz w:val="24"/>
          <w:szCs w:val="24"/>
        </w:rPr>
      </w:pPr>
      <w:r w:rsidRPr="00922C73">
        <w:rPr>
          <w:rFonts w:ascii="Times New Roman" w:hAnsi="Times New Roman" w:cs="Times New Roman"/>
          <w:sz w:val="24"/>
          <w:szCs w:val="24"/>
        </w:rPr>
        <w:t>Dysbiosis</w:t>
      </w:r>
      <w:r w:rsidR="0090023C" w:rsidRPr="00922C73">
        <w:rPr>
          <w:rFonts w:ascii="Times New Roman" w:hAnsi="Times New Roman" w:cs="Times New Roman"/>
          <w:sz w:val="24"/>
          <w:szCs w:val="24"/>
        </w:rPr>
        <w:t>,</w:t>
      </w:r>
      <w:r w:rsidR="00746FBC" w:rsidRPr="00922C73">
        <w:rPr>
          <w:rFonts w:ascii="Times New Roman" w:hAnsi="Times New Roman" w:cs="Times New Roman"/>
          <w:sz w:val="24"/>
          <w:szCs w:val="24"/>
        </w:rPr>
        <w:t xml:space="preserve"> </w:t>
      </w:r>
      <w:r w:rsidRPr="00922C73">
        <w:rPr>
          <w:rFonts w:ascii="Times New Roman" w:hAnsi="Times New Roman" w:cs="Times New Roman"/>
          <w:sz w:val="24"/>
          <w:szCs w:val="24"/>
        </w:rPr>
        <w:t>an</w:t>
      </w:r>
      <w:r w:rsidR="00746FBC"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imbalance </w:t>
      </w:r>
      <w:r w:rsidR="00746FBC" w:rsidRPr="00922C73">
        <w:rPr>
          <w:rFonts w:ascii="Times New Roman" w:hAnsi="Times New Roman" w:cs="Times New Roman"/>
          <w:sz w:val="24"/>
          <w:szCs w:val="24"/>
        </w:rPr>
        <w:t xml:space="preserve">and a restriction </w:t>
      </w:r>
      <w:r w:rsidRPr="00922C73">
        <w:rPr>
          <w:rFonts w:ascii="Times New Roman" w:hAnsi="Times New Roman" w:cs="Times New Roman"/>
          <w:sz w:val="24"/>
          <w:szCs w:val="24"/>
        </w:rPr>
        <w:t>in major groups of gut bacteria</w:t>
      </w:r>
      <w:r w:rsidR="00746FBC" w:rsidRPr="00922C73">
        <w:rPr>
          <w:rFonts w:ascii="Times New Roman" w:hAnsi="Times New Roman" w:cs="Times New Roman"/>
          <w:sz w:val="24"/>
          <w:szCs w:val="24"/>
        </w:rPr>
        <w:t>, is a consistent finding in IB</w:t>
      </w:r>
      <w:r w:rsidR="00212791" w:rsidRPr="00922C73">
        <w:rPr>
          <w:rFonts w:ascii="Times New Roman" w:hAnsi="Times New Roman" w:cs="Times New Roman"/>
          <w:sz w:val="24"/>
          <w:szCs w:val="24"/>
        </w:rPr>
        <w:t xml:space="preserve">D </w:t>
      </w:r>
      <w:r w:rsidR="00212791"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{"citationItems":[{"id":"ITEM-1","itemData":{"DOI":"10.1038/ajgsup.2012.4","ISBN":"1948-9488","ISSN":"1948-9498","abstract":"Infl ammatory bowel diseases (IBD), consisting of Crohn ’ s disease and ulcerative colitis, are important diseases of the gastrointestinal tract and are associated with a high degree of patient impairment and costs. It is clearly established that both diseases are the consequence of inappropriate activation of intestinal mucosal immune responses, and recent evidence indicates that the intestinal microbiota play a role in initiating, maintaining, and determining the phenotype of IBD. A number of theories exist regarding the role of the microbiota in the pathogenesis of IBD, including the presence of traditional and opportunistic pathogens, dysbiosis, and / or functional alterations in the commensal bacteria, and host genetic defects in containing or responding to commensal microorganisms. The net result of these effects is continuous antigenic stimulation that activates pathogenic T cells, ultimately causing chronic intestinal infl ammation. In this review, we highlight recent evidence implicating commensal microbiota in the pathogenesis of IBD and explore the therapeutic implications of these fi ndings.","author":[{"dropping-particle":"","family":"Sartor","given":"R Balfour","non-dropping-particle":"","parse-names":false,"suffix":""},{"dropping-particle":"","family":"Mazmanian","given":"Sarkis K","non-dropping-particle":"","parse-names":false,"suffix":""}],"container-title":"The American Journal of Gastroenterology Supplements","id":"ITEM-1","issue":"1","issued":{"date-parts":[["2012","7"]]},"page":"15-21","title":"Intestinal Microbes in Inflammatory Bowel Diseases","type":"article-journal","volume":"1"},"uris":["http://www.mendeley.com/documents/?uuid=912ccc89-5171-48eb-8fff-298a42044cf3"]},{"id":"ITEM-2","itemData":{"DOI":"10.1038/s41422-020-0332-7","ISSN":"1001-0602","abstract":"The interplay between the commensal microbiota and the mammalian immune system development and function includes multifold interactions in homeostasis and disease. The microbiome plays critical roles in the training and development of major components of the host’s innate and adaptive immune system, while the immune system orchestrates the maintenance of key features of host-microbe symbiosis. In a genetically susceptible host, imbalances in microbiota-immunity interactions under defined environmental contexts are believed to contribute to the pathogenesis of a multitude of immune-mediated disorders. Here, we review features of microbiome-immunity crosstalk and their roles in health and disease, while providing examples of molecular mechanisms orchestrating these interactions in the intestine and extra-intestinal organs. We highlight aspects of the current knowledge, challenges and limitations in achieving causal understanding of host immune-microbiome interactions, as well as their impact on immune-mediated diseases, and discuss how these insights may translate towards future development of microbiome-targeted therapeutic interventions.","author":[{"dropping-particle":"","family":"Zheng","given":"Danping","non-dropping-particle":"","parse-names":false,"suffix":""},{"dropping-particle":"","family":"Liwinski","given":"Timur","non-dropping-particle":"","parse-names":false,"suffix":""},{"dropping-particle":"","family":"Elinav","given":"Eran","non-dropping-particle":"","parse-names":false,"suffix":""}],"container-title":"Cell Research","id":"ITEM-2","issue":"6","issued":{"date-parts":[["2020","6","20"]]},"page":"492-506","title":"Interaction between microbiota and immunity in health and disease","type":"article-journal","volume":"30"},"uris":["http://www.mendeley.com/documents/?uuid=8e0e1fd7-14d3-41ab-ae3f-28d6cb60f536"]}],"mendeley":{"formattedCitation":"&lt;sup&gt;12,13&lt;/sup&gt;","plainTextFormattedCitation":"12,13","previouslyFormattedCitation":"&lt;sup&gt;12,13&lt;/sup&gt;"},"properties":{"noteIndex":0},"schema":"https://github.com/citation-style-language/schema/raw/master/csl-citation.json"}</w:instrText>
      </w:r>
      <w:r w:rsidR="00212791"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12,13</w:t>
      </w:r>
      <w:r w:rsidR="00212791"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746FBC" w:rsidRPr="00922C73">
        <w:rPr>
          <w:rFonts w:ascii="Times New Roman" w:hAnsi="Times New Roman" w:cs="Times New Roman"/>
          <w:sz w:val="24"/>
          <w:szCs w:val="24"/>
        </w:rPr>
        <w:t>Th</w:t>
      </w:r>
      <w:r w:rsidR="004F6B75" w:rsidRPr="00922C73">
        <w:rPr>
          <w:rFonts w:ascii="Times New Roman" w:hAnsi="Times New Roman" w:cs="Times New Roman"/>
          <w:sz w:val="24"/>
          <w:szCs w:val="24"/>
        </w:rPr>
        <w:t>e</w:t>
      </w:r>
      <w:r w:rsidR="00746FBC" w:rsidRPr="00922C73">
        <w:rPr>
          <w:rFonts w:ascii="Times New Roman" w:hAnsi="Times New Roman" w:cs="Times New Roman"/>
          <w:sz w:val="24"/>
          <w:szCs w:val="24"/>
        </w:rPr>
        <w:t xml:space="preserve"> </w:t>
      </w:r>
      <w:r w:rsidR="009452F1" w:rsidRPr="00922C73">
        <w:rPr>
          <w:rFonts w:ascii="Times New Roman" w:hAnsi="Times New Roman" w:cs="Times New Roman"/>
          <w:sz w:val="24"/>
          <w:szCs w:val="24"/>
        </w:rPr>
        <w:t xml:space="preserve">altered </w:t>
      </w:r>
      <w:r w:rsidR="008A7C66" w:rsidRPr="00922C73">
        <w:rPr>
          <w:rFonts w:ascii="Times New Roman" w:hAnsi="Times New Roman" w:cs="Times New Roman"/>
          <w:sz w:val="24"/>
          <w:szCs w:val="24"/>
        </w:rPr>
        <w:t xml:space="preserve">gut </w:t>
      </w:r>
      <w:r w:rsidR="00746FBC" w:rsidRPr="00922C73">
        <w:rPr>
          <w:rFonts w:ascii="Times New Roman" w:hAnsi="Times New Roman" w:cs="Times New Roman"/>
          <w:sz w:val="24"/>
          <w:szCs w:val="24"/>
        </w:rPr>
        <w:t xml:space="preserve">microbiome </w:t>
      </w:r>
      <w:r w:rsidR="004F6B75" w:rsidRPr="00922C73">
        <w:rPr>
          <w:rFonts w:ascii="Times New Roman" w:hAnsi="Times New Roman" w:cs="Times New Roman"/>
          <w:sz w:val="24"/>
          <w:szCs w:val="24"/>
        </w:rPr>
        <w:t>interacts with the</w:t>
      </w:r>
      <w:r w:rsidR="00746FBC" w:rsidRPr="00922C73">
        <w:rPr>
          <w:rFonts w:ascii="Times New Roman" w:hAnsi="Times New Roman" w:cs="Times New Roman"/>
          <w:sz w:val="24"/>
          <w:szCs w:val="24"/>
        </w:rPr>
        <w:t xml:space="preserve"> immune system</w:t>
      </w:r>
      <w:r w:rsidR="009452F1" w:rsidRPr="00922C73">
        <w:rPr>
          <w:rFonts w:ascii="Times New Roman" w:hAnsi="Times New Roman" w:cs="Times New Roman"/>
          <w:sz w:val="24"/>
          <w:szCs w:val="24"/>
        </w:rPr>
        <w:t xml:space="preserve"> leading to</w:t>
      </w:r>
      <w:r w:rsidR="00746FBC" w:rsidRPr="00922C73">
        <w:rPr>
          <w:rFonts w:ascii="Times New Roman" w:hAnsi="Times New Roman" w:cs="Times New Roman"/>
          <w:sz w:val="24"/>
          <w:szCs w:val="24"/>
        </w:rPr>
        <w:t xml:space="preserve"> </w:t>
      </w:r>
      <w:r w:rsidR="009452F1" w:rsidRPr="00922C73">
        <w:rPr>
          <w:rFonts w:ascii="Times New Roman" w:hAnsi="Times New Roman" w:cs="Times New Roman"/>
          <w:sz w:val="24"/>
          <w:szCs w:val="24"/>
          <w:shd w:val="clear" w:color="auto" w:fill="FFFFFF"/>
        </w:rPr>
        <w:t>upregulation of inflammatory T cell, downregulati</w:t>
      </w:r>
      <w:r w:rsidR="00953A31" w:rsidRPr="00922C73">
        <w:rPr>
          <w:rFonts w:ascii="Times New Roman" w:hAnsi="Times New Roman" w:cs="Times New Roman"/>
          <w:sz w:val="24"/>
          <w:szCs w:val="24"/>
          <w:shd w:val="clear" w:color="auto" w:fill="FFFFFF"/>
        </w:rPr>
        <w:t>on of</w:t>
      </w:r>
      <w:r w:rsidR="009452F1" w:rsidRPr="00922C73">
        <w:rPr>
          <w:rFonts w:ascii="Times New Roman" w:hAnsi="Times New Roman" w:cs="Times New Roman"/>
          <w:sz w:val="24"/>
          <w:szCs w:val="24"/>
          <w:shd w:val="clear" w:color="auto" w:fill="FFFFFF"/>
        </w:rPr>
        <w:t xml:space="preserve"> regulatory T</w:t>
      </w:r>
      <w:r w:rsidR="00212791" w:rsidRPr="00922C73">
        <w:rPr>
          <w:rFonts w:ascii="Times New Roman" w:hAnsi="Times New Roman" w:cs="Times New Roman"/>
          <w:sz w:val="24"/>
          <w:szCs w:val="24"/>
          <w:shd w:val="clear" w:color="auto" w:fill="FFFFFF"/>
        </w:rPr>
        <w:t xml:space="preserve"> </w:t>
      </w:r>
      <w:r w:rsidR="009452F1" w:rsidRPr="00922C73">
        <w:rPr>
          <w:rFonts w:ascii="Times New Roman" w:hAnsi="Times New Roman" w:cs="Times New Roman"/>
          <w:sz w:val="24"/>
          <w:szCs w:val="24"/>
          <w:shd w:val="clear" w:color="auto" w:fill="FFFFFF"/>
        </w:rPr>
        <w:t xml:space="preserve">cells, and </w:t>
      </w:r>
      <w:r w:rsidR="00953A31" w:rsidRPr="00922C73">
        <w:rPr>
          <w:rFonts w:ascii="Times New Roman" w:hAnsi="Times New Roman" w:cs="Times New Roman"/>
          <w:sz w:val="24"/>
          <w:szCs w:val="24"/>
          <w:shd w:val="clear" w:color="auto" w:fill="FFFFFF"/>
        </w:rPr>
        <w:t>e</w:t>
      </w:r>
      <w:r w:rsidR="009452F1" w:rsidRPr="00922C73">
        <w:rPr>
          <w:rFonts w:ascii="Times New Roman" w:hAnsi="Times New Roman" w:cs="Times New Roman"/>
          <w:sz w:val="24"/>
          <w:szCs w:val="24"/>
          <w:shd w:val="clear" w:color="auto" w:fill="FFFFFF"/>
        </w:rPr>
        <w:t>ffect</w:t>
      </w:r>
      <w:r w:rsidR="00953A31" w:rsidRPr="00922C73">
        <w:rPr>
          <w:rFonts w:ascii="Times New Roman" w:hAnsi="Times New Roman" w:cs="Times New Roman"/>
          <w:sz w:val="24"/>
          <w:szCs w:val="24"/>
          <w:shd w:val="clear" w:color="auto" w:fill="FFFFFF"/>
        </w:rPr>
        <w:t>s on</w:t>
      </w:r>
      <w:r w:rsidR="009452F1" w:rsidRPr="00922C73">
        <w:rPr>
          <w:rFonts w:ascii="Times New Roman" w:hAnsi="Times New Roman" w:cs="Times New Roman"/>
          <w:sz w:val="24"/>
          <w:szCs w:val="24"/>
          <w:shd w:val="clear" w:color="auto" w:fill="FFFFFF"/>
        </w:rPr>
        <w:t xml:space="preserve"> humoral immunity</w:t>
      </w:r>
      <w:r w:rsidR="00212791" w:rsidRPr="00922C73">
        <w:rPr>
          <w:rFonts w:ascii="Times New Roman" w:hAnsi="Times New Roman" w:cs="Times New Roman"/>
          <w:sz w:val="24"/>
          <w:szCs w:val="24"/>
          <w:shd w:val="clear" w:color="auto" w:fill="FFFFFF"/>
        </w:rPr>
        <w:t xml:space="preserve"> </w:t>
      </w:r>
      <w:r w:rsidR="00212791"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{"citationItems":[{"id":"ITEM-1","itemData":{"DOI":"10.1038/ajgsup.2012.4","ISBN":"1948-9488","ISSN":"1948-9498","abstract":"Infl ammatory bowel diseases (IBD), consisting of Crohn ’ s disease and ulcerative colitis, are important diseases of the gastrointestinal tract and are associated with a high degree of patient impairment and costs. It is clearly established that both diseases are the consequence of inappropriate activation of intestinal mucosal immune responses, and recent evidence indicates that the intestinal microbiota play a role in initiating, maintaining, and determining the phenotype of IBD. A number of theories exist regarding the role of the microbiota in the pathogenesis of IBD, including the presence of traditional and opportunistic pathogens, dysbiosis, and / or functional alterations in the commensal bacteria, and host genetic defects in containing or responding to commensal microorganisms. The net result of these effects is continuous antigenic stimulation that activates pathogenic T cells, ultimately causing chronic intestinal infl ammation. In this review, we highlight recent evidence implicating commensal microbiota in the pathogenesis of IBD and explore the therapeutic implications of these fi ndings.","author":[{"dropping-particle":"","family":"Sartor","given":"R Balfour","non-dropping-particle":"","parse-names":false,"suffix":""},{"dropping-particle":"","family":"Mazmanian","given":"Sarkis K","non-dropping-particle":"","parse-names":false,"suffix":""}],"container-title":"The American Journal of Gastroenterology Supplements","id":"ITEM-1","issue":"1","issued":{"date-parts":[["2012","7"]]},"page":"15-21","title":"Intestinal Microbes in Inflammatory Bowel Diseases","type":"article-journal","volume":"1"},"uris":["http://www.mendeley.com/documents/?uuid=912ccc89-5171-48eb-8fff-298a42044cf3"]},{"id":"ITEM-2","itemData":{"DOI":"10.1038/s41422-020-0332-7","ISSN":"1001-0602","abstract":"The interplay between the commensal microbiota and the mammalian immune system development and function includes multifold interactions in homeostasis and disease. The microbiome plays critical roles in the training and development of major components of the host’s innate and adaptive immune system, while the immune system orchestrates the maintenance of key features of host-microbe symbiosis. In a genetically susceptible host, imbalances in microbiota-immunity interactions under defined environmental contexts are believed to contribute to the pathogenesis of a multitude of immune-mediated disorders. Here, we review features of microbiome-immunity crosstalk and their roles in health and disease, while providing examples of molecular mechanisms orchestrating these interactions in the intestine and extra-intestinal organs. We highlight aspects of the current knowledge, challenges and limitations in achieving causal understanding of host immune-microbiome interactions, as well as their impact on immune-mediated diseases, and discuss how these insights may translate towards future development of microbiome-targeted therapeutic interventions.","author":[{"dropping-particle":"","family":"Zheng","given":"Danping","non-dropping-particle":"","parse-names":false,"suffix":""},{"dropping-particle":"","family":"Liwinski","given":"Timur","non-dropping-particle":"","parse-names":false,"suffix":""},{"dropping-particle":"","family":"Elinav","given":"Eran","non-dropping-particle":"","parse-names":false,"suffix":""}],"container-title":"Cell Research","id":"ITEM-2","issue":"6","issued":{"date-parts":[["2020","6","20"]]},"page":"492-506","title":"Interaction between microbiota and immunity in health and disease","type":"article-journal","volume":"30"},"uris":["http://www.mendeley.com/documents/?uuid=8e0e1fd7-14d3-41ab-ae3f-28d6cb60f536"]}],"mendeley":{"formattedCitation":"&lt;sup&gt;12,13&lt;/sup&gt;","plainTextFormattedCitation":"12,13","previouslyFormattedCitation":"&lt;sup&gt;12,13&lt;/sup&gt;"},"properties":{"noteIndex":0},"schema":"https://github.com/citation-style-language/schema/raw/master/csl-citation.json"}</w:instrText>
      </w:r>
      <w:r w:rsidR="00212791"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12,13</w:t>
      </w:r>
      <w:r w:rsidR="00212791" w:rsidRPr="00922C73">
        <w:rPr>
          <w:rFonts w:ascii="Times New Roman" w:hAnsi="Times New Roman" w:cs="Times New Roman"/>
          <w:sz w:val="24"/>
          <w:szCs w:val="24"/>
          <w:shd w:val="clear" w:color="auto" w:fill="FFFFFF"/>
        </w:rPr>
        <w:fldChar w:fldCharType="end"/>
      </w:r>
      <w:r w:rsidR="009452F1" w:rsidRPr="00922C73">
        <w:rPr>
          <w:rFonts w:ascii="Times New Roman" w:hAnsi="Times New Roman" w:cs="Times New Roman"/>
          <w:sz w:val="24"/>
          <w:szCs w:val="24"/>
          <w:shd w:val="clear" w:color="auto" w:fill="FFFFFF"/>
        </w:rPr>
        <w:t xml:space="preserve"> </w:t>
      </w:r>
      <w:r w:rsidRPr="00922C73">
        <w:rPr>
          <w:rFonts w:ascii="Times New Roman" w:hAnsi="Times New Roman" w:cs="Times New Roman"/>
          <w:sz w:val="24"/>
          <w:szCs w:val="24"/>
        </w:rPr>
        <w:t>.</w:t>
      </w:r>
      <w:r w:rsidR="008A7C66" w:rsidRPr="00922C73">
        <w:rPr>
          <w:rFonts w:ascii="Times New Roman" w:hAnsi="Times New Roman" w:cs="Times New Roman"/>
          <w:sz w:val="24"/>
          <w:szCs w:val="24"/>
        </w:rPr>
        <w:t xml:space="preserve"> Although microbial pathogens </w:t>
      </w:r>
      <w:r w:rsidR="00212791" w:rsidRPr="00922C73">
        <w:rPr>
          <w:rFonts w:ascii="Times New Roman" w:hAnsi="Times New Roman" w:cs="Times New Roman"/>
          <w:sz w:val="24"/>
          <w:szCs w:val="24"/>
        </w:rPr>
        <w:t>such as adherent-invasive E coli have been suggested to cause IBD with an initial infection</w:t>
      </w:r>
      <w:r w:rsidR="00723192" w:rsidRPr="00922C73">
        <w:rPr>
          <w:rFonts w:ascii="Times New Roman" w:hAnsi="Times New Roman" w:cs="Times New Roman"/>
          <w:sz w:val="24"/>
          <w:szCs w:val="24"/>
        </w:rPr>
        <w:t xml:space="preserve">, no specific pathogen has been </w:t>
      </w:r>
      <w:r w:rsidR="00212791" w:rsidRPr="00922C73">
        <w:rPr>
          <w:rFonts w:ascii="Times New Roman" w:hAnsi="Times New Roman" w:cs="Times New Roman"/>
          <w:sz w:val="24"/>
          <w:szCs w:val="24"/>
        </w:rPr>
        <w:t>consistently implicated in IBD</w:t>
      </w:r>
      <w:r w:rsidR="0090023C" w:rsidRPr="00922C73">
        <w:rPr>
          <w:rFonts w:ascii="Times New Roman" w:hAnsi="Times New Roman" w:cs="Times New Roman"/>
          <w:sz w:val="24"/>
          <w:szCs w:val="24"/>
        </w:rPr>
        <w:t xml:space="preserve"> </w:t>
      </w:r>
      <w:r w:rsidR="0090023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{"citationItems":[{"id":"ITEM-1","itemData":{"DOI":"10.1038/ajgsup.2012.4","ISBN":"1948-9488","ISSN":"1948-9498","abstract":"Infl ammatory bowel diseases (IBD), consisting of Crohn ’ s disease and ulcerative colitis, are important diseases of the gastrointestinal tract and are associated with a high degree of patient impairment and costs. It is clearly established that both diseases are the consequence of inappropriate activation of intestinal mucosal immune responses, and recent evidence indicates that the intestinal microbiota play a role in initiating, maintaining, and determining the phenotype of IBD. A number of theories exist regarding the role of the microbiota in the pathogenesis of IBD, including the presence of traditional and opportunistic pathogens, dysbiosis, and / or functional alterations in the commensal bacteria, and host genetic defects in containing or responding to commensal microorganisms. The net result of these effects is continuous antigenic stimulation that activates pathogenic T cells, ultimately causing chronic intestinal infl ammation. In this review, we highlight recent evidence implicating commensal microbiota in the pathogenesis of IBD and explore the therapeutic implications of these fi ndings.","author":[{"dropping-particle":"","family":"Sartor","given":"R Balfour","non-dropping-particle":"","parse-names":false,"suffix":""},{"dropping-particle":"","family":"Mazmanian","given":"Sarkis K","non-dropping-particle":"","parse-names":false,"suffix":""}],"container-title":"The American Journal of Gastroenterology Supplements","id":"ITEM-1","issue":"1","issued":{"date-parts":[["2012","7"]]},"page":"15-21","title":"Intestinal Microbes in Inflammatory Bowel Diseases","type":"article-journal","volume":"1"},"uris":["http://www.mendeley.com/documents/?uuid=912ccc89-5171-48eb-8fff-298a42044cf3"]},{"id":"ITEM-2","itemData":{"DOI":"10.1155/2012/704953","ISSN":"2090-1739","abstract":"Factors implicated in the pathophysiology of ulcerative colitis (UC) are an abnormal immune response, defect in intestinal epithelial barrier function, and gut microbiota. Currently, it is unclear whether specific bacterial strains are responsible for the induction of intestinal inflammation, but increased bacterial tissue invasion has been described in affected UC patients. Further, a quantitative and qualitative microbial imbalance in UC, defined as dysbiosis, has been characterized by an increase in Rhodococcus spp. , Shigella spp. , and Escherichia spp. , but a decrease in certain Bacteroides spp. . More specifically, Campylobacter spp. , Enterobacteriae , and enterohepatic Helicobacter were more prevalent in tissue sample from UC patients subjected to molecular detection methods, but not controls. In addition, serologic testing identified Fusobacterim varium as a potential contributor to the intestinal inflammation in UC. Interestingly, in-situ hybridization studies have shown anti-inflammatory Lactobacillus spp. and Pediococcus spp. were absent in samples from subjects affected by UC. Therefore, dysbiosis is a factor in the pathogenesis of UC.","author":[{"dropping-particle":"","family":"Sasaki","given":"Maiko","non-dropping-particle":"","parse-names":false,"suffix":""},{"dropping-particle":"","family":"Klapproth","given":"Jan-Michael A.","non-dropping-particle":"","parse-names":false,"suffix":""}],"container-title":"Journal of Signal Transduction","id":"ITEM-2","issued":{"date-parts":[["2012","4","24"]]},"page":"1-6","title":"The Role of Bacteria in the Pathogenesis of Ulcerative Colitis","type":"article-journal","volume":"2012"},"uris":["http://www.mendeley.com/documents/?uuid=cbfc0028-686b-4461-8948-1088a492af10"]}],"mendeley":{"formattedCitation":"&lt;sup&gt;12,14&lt;/sup&gt;","plainTextFormattedCitation":"12,14","previouslyFormattedCitation":"&lt;sup&gt;12,14&lt;/sup&gt;"},"properties":{"noteIndex":0},"schema":"https://github.com/citation-style-language/schema/raw/master/csl-citation.json"}</w:instrText>
      </w:r>
      <w:r w:rsidR="0090023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12,14</w:t>
      </w:r>
      <w:r w:rsidR="0090023C" w:rsidRPr="00922C73">
        <w:rPr>
          <w:rFonts w:ascii="Times New Roman" w:hAnsi="Times New Roman" w:cs="Times New Roman"/>
          <w:sz w:val="24"/>
          <w:szCs w:val="24"/>
        </w:rPr>
        <w:fldChar w:fldCharType="end"/>
      </w:r>
      <w:r w:rsidR="00723192" w:rsidRPr="00922C73">
        <w:rPr>
          <w:rFonts w:ascii="Times New Roman" w:hAnsi="Times New Roman" w:cs="Times New Roman"/>
          <w:sz w:val="24"/>
          <w:szCs w:val="24"/>
        </w:rPr>
        <w:t>.</w:t>
      </w:r>
    </w:p>
    <w:p w14:paraId="02EEA458" w14:textId="205917ED" w:rsidR="00457236" w:rsidRPr="00922C73" w:rsidRDefault="00457236" w:rsidP="00F64D9D">
      <w:pPr>
        <w:spacing w:line="480" w:lineRule="auto"/>
        <w:rPr>
          <w:rFonts w:ascii="Times New Roman" w:hAnsi="Times New Roman" w:cs="Times New Roman"/>
          <w:sz w:val="24"/>
          <w:szCs w:val="24"/>
        </w:rPr>
      </w:pPr>
    </w:p>
    <w:p w14:paraId="2619E607" w14:textId="1999DF28" w:rsidR="00457236" w:rsidRPr="00922C73" w:rsidRDefault="00746FBC"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Smoking</w:t>
      </w:r>
      <w:r w:rsidR="00457236"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is </w:t>
      </w:r>
      <w:r w:rsidR="00457236" w:rsidRPr="00922C73">
        <w:rPr>
          <w:rFonts w:ascii="Times New Roman" w:hAnsi="Times New Roman" w:cs="Times New Roman"/>
          <w:sz w:val="24"/>
          <w:szCs w:val="24"/>
        </w:rPr>
        <w:t xml:space="preserve">a risk-factor for CD but is protective against the development of UC. In established CD, smoking worsens the severity of the disease, increase the likelihood of surgery </w:t>
      </w:r>
      <w:r w:rsidR="0090023C" w:rsidRPr="00922C73">
        <w:rPr>
          <w:rFonts w:ascii="Times New Roman" w:hAnsi="Times New Roman" w:cs="Times New Roman"/>
          <w:sz w:val="24"/>
          <w:szCs w:val="24"/>
        </w:rPr>
        <w:t>with a 2 fold</w:t>
      </w:r>
      <w:r w:rsidR="00457236" w:rsidRPr="00922C73">
        <w:rPr>
          <w:rFonts w:ascii="Times New Roman" w:hAnsi="Times New Roman" w:cs="Times New Roman"/>
          <w:sz w:val="24"/>
          <w:szCs w:val="24"/>
        </w:rPr>
        <w:t xml:space="preserve"> risk of post-operative recurrence </w:t>
      </w:r>
      <w:r w:rsidR="0090023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0016-5085(94)90697-1","ISSN":"00165085","author":[{"dropping-particle":"","family":"Cottone","given":"Mario","non-dropping-particle":"","parse-names":false,"suffix":""},{"dropping-particle":"","family":"Rosselli","given":"Matteo","non-dropping-particle":"","parse-names":false,"suffix":""},{"dropping-particle":"","family":"Orlando","given":"Ambrogio","non-dropping-particle":"","parse-names":false,"suffix":""},{"dropping-particle":"","family":"Oliva","given":"Lorenzo","non-dropping-particle":"","parse-names":false,"suffix":""},{"dropping-particle":"","family":"Puleo","given":"Aurelio","non-dropping-particle":"","parse-names":false,"suffix":""},{"dropping-particle":"","family":"Cappello","given":"Maria","non-dropping-particle":"","parse-names":false,"suffix":""},{"dropping-particle":"","family":"Traina","given":"Mario","non-dropping-particle":"","parse-names":false,"suffix":""},{"dropping-particle":"","family":"Tonelli","given":"Francesco","non-dropping-particle":"","parse-names":false,"suffix":""},{"dropping-particle":"","family":"Pagliaro","given":"Luigi","non-dropping-particle":"","parse-names":false,"suffix":""}],"container-title":"Gastroenterology","id":"ITEM-1","issue":"3","issued":{"date-parts":[["1994","3"]]},"page":"643-648","title":"Smoking habits and recurrence in Crohn's disease","type":"article-journal","volume":"106"},"uris":["http://www.mendeley.com/documents/?uuid=1d5c3431-ac06-4e3b-b475-9bb7593c6e37"]},{"id":"ITEM-2","itemData":{"DOI":"10.1136/pmj.76.895.273","ISSN":"00325473","author":[{"dropping-particle":"","family":"Thomas","given":"G. A O","non-dropping-particle":"","parse-names":false,"suffix":""}],"container-title":"Postgraduate Medical Journal","id":"ITEM-2","issue":"895","issued":{"date-parts":[["2000","5","1"]]},"page":"273-279","title":"Role of smoking in inflammatory bowel disease: implications for therapy","type":"article-journal","volume":"76"},"uris":["http://www.mendeley.com/documents/?uuid=cad66cbf-75e6-404c-9599-e0f808a81932"]}],"mendeley":{"formattedCitation":"&lt;sup&gt;15,16&lt;/sup&gt;","plainTextFormattedCitation":"15,16","previouslyFormattedCitation":"&lt;sup&gt;15,16&lt;/sup&gt;"},"properties":{"noteIndex":0},"schema":"https://github.com/citation-style-language/schema/raw/master/csl-citation.json"}</w:instrText>
      </w:r>
      <w:r w:rsidR="0090023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15,16</w:t>
      </w:r>
      <w:r w:rsidR="0090023C" w:rsidRPr="00922C73">
        <w:rPr>
          <w:rFonts w:ascii="Times New Roman" w:hAnsi="Times New Roman" w:cs="Times New Roman"/>
          <w:sz w:val="24"/>
          <w:szCs w:val="24"/>
        </w:rPr>
        <w:fldChar w:fldCharType="end"/>
      </w:r>
      <w:r w:rsidR="00457236" w:rsidRPr="00922C73">
        <w:rPr>
          <w:rFonts w:ascii="Times New Roman" w:hAnsi="Times New Roman" w:cs="Times New Roman"/>
          <w:sz w:val="24"/>
          <w:szCs w:val="24"/>
        </w:rPr>
        <w:t xml:space="preserve">. </w:t>
      </w:r>
    </w:p>
    <w:p w14:paraId="4E5F3C46" w14:textId="77777777" w:rsidR="00457236" w:rsidRPr="00922C73" w:rsidRDefault="00457236" w:rsidP="00F64D9D">
      <w:pPr>
        <w:spacing w:line="480" w:lineRule="auto"/>
        <w:rPr>
          <w:rFonts w:ascii="Times New Roman" w:hAnsi="Times New Roman" w:cs="Times New Roman"/>
          <w:sz w:val="24"/>
          <w:szCs w:val="24"/>
        </w:rPr>
      </w:pPr>
    </w:p>
    <w:p w14:paraId="5D4AFD8B" w14:textId="11DDD291" w:rsidR="00953A31" w:rsidRPr="00922C73" w:rsidRDefault="00953A31" w:rsidP="00F64D9D">
      <w:pPr>
        <w:pStyle w:val="Heading3"/>
        <w:spacing w:line="480" w:lineRule="auto"/>
        <w:rPr>
          <w:rFonts w:ascii="Times New Roman" w:hAnsi="Times New Roman" w:cs="Times New Roman"/>
          <w:b/>
          <w:bCs/>
        </w:rPr>
      </w:pPr>
      <w:bookmarkStart w:id="11" w:name="_Toc151020452"/>
      <w:r w:rsidRPr="00922C73">
        <w:rPr>
          <w:rFonts w:ascii="Times New Roman" w:hAnsi="Times New Roman" w:cs="Times New Roman"/>
          <w:b/>
          <w:bCs/>
        </w:rPr>
        <w:lastRenderedPageBreak/>
        <w:t xml:space="preserve">1.1.3 </w:t>
      </w:r>
      <w:r w:rsidR="00457236" w:rsidRPr="00922C73">
        <w:rPr>
          <w:rFonts w:ascii="Times New Roman" w:hAnsi="Times New Roman" w:cs="Times New Roman"/>
          <w:b/>
          <w:bCs/>
        </w:rPr>
        <w:t>Clinical features</w:t>
      </w:r>
      <w:bookmarkEnd w:id="11"/>
    </w:p>
    <w:p w14:paraId="0D878C9B" w14:textId="3E9756A3" w:rsidR="00B6025E" w:rsidRPr="00922C73" w:rsidRDefault="00953A31"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In IBD there is chronic relapsing remitting inflammation of the gut</w:t>
      </w:r>
      <w:r w:rsidR="00FC5F9D" w:rsidRPr="00922C73">
        <w:rPr>
          <w:rFonts w:ascii="Times New Roman" w:hAnsi="Times New Roman" w:cs="Times New Roman"/>
          <w:sz w:val="24"/>
          <w:szCs w:val="24"/>
        </w:rPr>
        <w:t xml:space="preserve"> with systemic features</w:t>
      </w:r>
      <w:r w:rsidRPr="00922C73">
        <w:rPr>
          <w:rFonts w:ascii="Times New Roman" w:hAnsi="Times New Roman" w:cs="Times New Roman"/>
          <w:sz w:val="24"/>
          <w:szCs w:val="24"/>
        </w:rPr>
        <w:t xml:space="preserve">. In UC the </w:t>
      </w:r>
      <w:r w:rsidR="00B6025E" w:rsidRPr="00922C73">
        <w:rPr>
          <w:rFonts w:ascii="Times New Roman" w:hAnsi="Times New Roman" w:cs="Times New Roman"/>
          <w:sz w:val="24"/>
          <w:szCs w:val="24"/>
        </w:rPr>
        <w:t>mucosal</w:t>
      </w:r>
      <w:r w:rsidRPr="00922C73">
        <w:rPr>
          <w:rFonts w:ascii="Times New Roman" w:hAnsi="Times New Roman" w:cs="Times New Roman"/>
          <w:sz w:val="24"/>
          <w:szCs w:val="24"/>
        </w:rPr>
        <w:t xml:space="preserve"> inflammation </w:t>
      </w:r>
      <w:r w:rsidR="006E67F4" w:rsidRPr="00922C73">
        <w:rPr>
          <w:rFonts w:ascii="Times New Roman" w:hAnsi="Times New Roman" w:cs="Times New Roman"/>
          <w:sz w:val="24"/>
          <w:szCs w:val="24"/>
        </w:rPr>
        <w:t xml:space="preserve">almost always </w:t>
      </w:r>
      <w:r w:rsidRPr="00922C73">
        <w:rPr>
          <w:rFonts w:ascii="Times New Roman" w:hAnsi="Times New Roman" w:cs="Times New Roman"/>
          <w:sz w:val="24"/>
          <w:szCs w:val="24"/>
        </w:rPr>
        <w:t>involve</w:t>
      </w:r>
      <w:r w:rsidR="00B6025E" w:rsidRPr="00922C73">
        <w:rPr>
          <w:rFonts w:ascii="Times New Roman" w:hAnsi="Times New Roman" w:cs="Times New Roman"/>
          <w:sz w:val="24"/>
          <w:szCs w:val="24"/>
        </w:rPr>
        <w:t>s</w:t>
      </w:r>
      <w:r w:rsidRPr="00922C73">
        <w:rPr>
          <w:rFonts w:ascii="Times New Roman" w:hAnsi="Times New Roman" w:cs="Times New Roman"/>
          <w:sz w:val="24"/>
          <w:szCs w:val="24"/>
        </w:rPr>
        <w:t xml:space="preserve"> the rectum </w:t>
      </w:r>
      <w:r w:rsidR="006E67F4" w:rsidRPr="00922C73">
        <w:rPr>
          <w:rFonts w:ascii="Times New Roman" w:hAnsi="Times New Roman" w:cs="Times New Roman"/>
          <w:sz w:val="24"/>
          <w:szCs w:val="24"/>
        </w:rPr>
        <w:t xml:space="preserve">(proctitis) </w:t>
      </w:r>
      <w:r w:rsidRPr="00922C73">
        <w:rPr>
          <w:rFonts w:ascii="Times New Roman" w:hAnsi="Times New Roman" w:cs="Times New Roman"/>
          <w:sz w:val="24"/>
          <w:szCs w:val="24"/>
        </w:rPr>
        <w:t>and continuously extends proximally to only affect the colon</w:t>
      </w:r>
      <w:r w:rsidR="00660D60" w:rsidRPr="00922C73">
        <w:rPr>
          <w:rFonts w:ascii="Times New Roman" w:hAnsi="Times New Roman" w:cs="Times New Roman"/>
          <w:sz w:val="24"/>
          <w:szCs w:val="24"/>
        </w:rPr>
        <w:t xml:space="preserve"> </w:t>
      </w:r>
      <w:r w:rsidR="001E54EC" w:rsidRPr="00922C73">
        <w:rPr>
          <w:rFonts w:ascii="Times New Roman" w:hAnsi="Times New Roman" w:cs="Times New Roman"/>
          <w:sz w:val="24"/>
          <w:szCs w:val="24"/>
        </w:rPr>
        <w:t>whereas</w:t>
      </w:r>
      <w:r w:rsidRPr="00922C73">
        <w:rPr>
          <w:rFonts w:ascii="Times New Roman" w:hAnsi="Times New Roman" w:cs="Times New Roman"/>
          <w:sz w:val="24"/>
          <w:szCs w:val="24"/>
        </w:rPr>
        <w:t xml:space="preserve"> CD can affect any part of the gastro-intestinal tract, but has a predilection for the terminal ileum and </w:t>
      </w:r>
      <w:r w:rsidR="00B6025E" w:rsidRPr="00922C73">
        <w:rPr>
          <w:rFonts w:ascii="Times New Roman" w:hAnsi="Times New Roman" w:cs="Times New Roman"/>
          <w:sz w:val="24"/>
          <w:szCs w:val="24"/>
        </w:rPr>
        <w:t>right colon</w:t>
      </w:r>
      <w:r w:rsidR="00660D60" w:rsidRPr="00922C73">
        <w:rPr>
          <w:rFonts w:ascii="Times New Roman" w:hAnsi="Times New Roman" w:cs="Times New Roman"/>
          <w:sz w:val="24"/>
          <w:szCs w:val="24"/>
        </w:rPr>
        <w:t xml:space="preserve"> </w:t>
      </w:r>
      <w:r w:rsidR="00660D6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660D6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660D60" w:rsidRPr="00922C73">
        <w:rPr>
          <w:rFonts w:ascii="Times New Roman" w:hAnsi="Times New Roman" w:cs="Times New Roman"/>
          <w:sz w:val="24"/>
          <w:szCs w:val="24"/>
        </w:rPr>
        <w:fldChar w:fldCharType="end"/>
      </w:r>
      <w:r w:rsidR="001E54EC" w:rsidRPr="00922C73">
        <w:rPr>
          <w:rFonts w:ascii="Times New Roman" w:hAnsi="Times New Roman" w:cs="Times New Roman"/>
          <w:sz w:val="24"/>
          <w:szCs w:val="24"/>
        </w:rPr>
        <w:t xml:space="preserve"> (Figure 1)</w:t>
      </w:r>
      <w:r w:rsidRPr="00922C73">
        <w:rPr>
          <w:rFonts w:ascii="Times New Roman" w:hAnsi="Times New Roman" w:cs="Times New Roman"/>
          <w:sz w:val="24"/>
          <w:szCs w:val="24"/>
        </w:rPr>
        <w:t xml:space="preserve">.  </w:t>
      </w:r>
      <w:r w:rsidR="00B6025E" w:rsidRPr="00922C73">
        <w:rPr>
          <w:rFonts w:ascii="Times New Roman" w:hAnsi="Times New Roman" w:cs="Times New Roman"/>
          <w:sz w:val="24"/>
          <w:szCs w:val="24"/>
        </w:rPr>
        <w:t xml:space="preserve">Macroscopically there is patchy transmural inflammation and aphthous ulceration can progress to deep linear ulceration. </w:t>
      </w:r>
      <w:r w:rsidR="00B6025E" w:rsidRPr="00922C73">
        <w:rPr>
          <w:rFonts w:ascii="Times New Roman" w:hAnsi="Times New Roman" w:cs="Times New Roman"/>
          <w:sz w:val="24"/>
          <w:szCs w:val="24"/>
          <w:shd w:val="clear" w:color="auto" w:fill="FFFFFE"/>
        </w:rPr>
        <w:t xml:space="preserve">Non caseating granulomas- a collection of </w:t>
      </w:r>
      <w:proofErr w:type="spellStart"/>
      <w:r w:rsidR="00B6025E" w:rsidRPr="00922C73">
        <w:rPr>
          <w:rFonts w:ascii="Times New Roman" w:hAnsi="Times New Roman" w:cs="Times New Roman"/>
          <w:sz w:val="24"/>
          <w:szCs w:val="24"/>
          <w:shd w:val="clear" w:color="auto" w:fill="FFFFFE"/>
        </w:rPr>
        <w:t>epitheloid</w:t>
      </w:r>
      <w:proofErr w:type="spellEnd"/>
      <w:r w:rsidR="00B6025E" w:rsidRPr="00922C73">
        <w:rPr>
          <w:rFonts w:ascii="Times New Roman" w:hAnsi="Times New Roman" w:cs="Times New Roman"/>
          <w:sz w:val="24"/>
          <w:szCs w:val="24"/>
          <w:shd w:val="clear" w:color="auto" w:fill="FFFFFE"/>
        </w:rPr>
        <w:t xml:space="preserve"> histiocytes </w:t>
      </w:r>
      <w:r w:rsidR="006E67F4" w:rsidRPr="00922C73">
        <w:rPr>
          <w:rFonts w:ascii="Times New Roman" w:hAnsi="Times New Roman" w:cs="Times New Roman"/>
          <w:sz w:val="24"/>
          <w:szCs w:val="24"/>
          <w:shd w:val="clear" w:color="auto" w:fill="FFFFFE"/>
        </w:rPr>
        <w:t>–</w:t>
      </w:r>
      <w:r w:rsidR="00B6025E" w:rsidRPr="00922C73">
        <w:rPr>
          <w:rFonts w:ascii="Times New Roman" w:hAnsi="Times New Roman" w:cs="Times New Roman"/>
          <w:sz w:val="24"/>
          <w:szCs w:val="24"/>
          <w:shd w:val="clear" w:color="auto" w:fill="FFFFFE"/>
        </w:rPr>
        <w:t xml:space="preserve"> </w:t>
      </w:r>
      <w:r w:rsidR="00660D60" w:rsidRPr="00922C73">
        <w:rPr>
          <w:rFonts w:ascii="Times New Roman" w:hAnsi="Times New Roman" w:cs="Times New Roman"/>
          <w:sz w:val="24"/>
          <w:szCs w:val="24"/>
          <w:shd w:val="clear" w:color="auto" w:fill="FFFFFE"/>
        </w:rPr>
        <w:t>are a</w:t>
      </w:r>
      <w:r w:rsidR="006E67F4" w:rsidRPr="00922C73">
        <w:rPr>
          <w:rFonts w:ascii="Times New Roman" w:hAnsi="Times New Roman" w:cs="Times New Roman"/>
          <w:sz w:val="24"/>
          <w:szCs w:val="24"/>
          <w:shd w:val="clear" w:color="auto" w:fill="FFFFFE"/>
        </w:rPr>
        <w:t xml:space="preserve"> histolog</w:t>
      </w:r>
      <w:r w:rsidR="00660D60" w:rsidRPr="00922C73">
        <w:rPr>
          <w:rFonts w:ascii="Times New Roman" w:hAnsi="Times New Roman" w:cs="Times New Roman"/>
          <w:sz w:val="24"/>
          <w:szCs w:val="24"/>
          <w:shd w:val="clear" w:color="auto" w:fill="FFFFFE"/>
        </w:rPr>
        <w:t>ical characteristic</w:t>
      </w:r>
      <w:r w:rsidR="00B6025E" w:rsidRPr="00922C73">
        <w:rPr>
          <w:rFonts w:ascii="Times New Roman" w:hAnsi="Times New Roman" w:cs="Times New Roman"/>
          <w:sz w:val="24"/>
          <w:szCs w:val="24"/>
          <w:shd w:val="clear" w:color="auto" w:fill="FFFFFE"/>
        </w:rPr>
        <w:t xml:space="preserve"> of CD</w:t>
      </w:r>
      <w:r w:rsidR="00660D60" w:rsidRPr="00922C73">
        <w:rPr>
          <w:rFonts w:ascii="Times New Roman" w:hAnsi="Times New Roman" w:cs="Times New Roman"/>
          <w:sz w:val="24"/>
          <w:szCs w:val="24"/>
          <w:shd w:val="clear" w:color="auto" w:fill="FFFFFE"/>
        </w:rPr>
        <w:t xml:space="preserve"> </w:t>
      </w:r>
      <w:r w:rsidR="00660D60" w:rsidRPr="00922C73">
        <w:rPr>
          <w:rFonts w:ascii="Times New Roman" w:hAnsi="Times New Roman" w:cs="Times New Roman"/>
          <w:sz w:val="24"/>
          <w:szCs w:val="24"/>
          <w:shd w:val="clear" w:color="auto" w:fill="FFFFFE"/>
        </w:rPr>
        <w:fldChar w:fldCharType="begin" w:fldLock="1"/>
      </w:r>
      <w:r w:rsidR="00DD0F87" w:rsidRPr="00922C73">
        <w:rPr>
          <w:rFonts w:ascii="Times New Roman" w:hAnsi="Times New Roman" w:cs="Times New Roman"/>
          <w:sz w:val="24"/>
          <w:szCs w:val="24"/>
          <w:shd w:val="clear" w:color="auto" w:fill="FFFFFE"/>
        </w:rPr>
        <w:instrText>ADDIN CSL_CITATION {"citationItems":[{"id":"ITEM-1","itemData":{"DOI":"10.1136/jclinpath-2013-201885","ISSN":"0021-9746","abstract":"Accurate histopathological assessment of biopsies is important for the diagnosis, subclassification, and management of chronic idiopathic inflammatory bowel disease (IBD). British Society of Gastroenterology (BSG) guidelines for the initial histopathological diagnosis of IBD were published in 1997. Changes since then include: more widespread use of full colonoscopy; greater recognition of the effects of time and treatment; improved documentation of variations in anatomical distribution; better understanding of the mimics of IBD; significant progress in clinical management; and modifications of terminology. Accordingly, an update is required. These revised guidelines aim to optimise the quality and consistency of reporting of biopsies taken for the initial diagnosis of IBD by summarising the literature and making recommendations based on the available evidence. Advice from existing clinical guidelines is also taken into account. Among the subjects discussed are: distinguishing IBD from other colitides, particularly infective colitis; subclassification of IBD (as ulcerative colitis, Crohn's disease, or IBD unclassified); the discriminant value of granulomas; aspects of disease distribution, including discontinuity in ulcerative colitis; time-related changes; differences between paediatric and adult IBD; the role of ileal and upper gastrointestinal biopsies; differential diagnoses such as diverticular colitis and diversion proctocolitis; and dysplasia. The need to correlate the histological features with clinical and endoscopic findings is emphasised. An approach to the conclusion of an IBD biopsy report based on the acronym Pattern, Activity, Interpretation, Dysplasia (PAID) is suggested. The key recommendations are listed at the end of the document.","author":[{"dropping-particle":"","family":"Feakins","given":"Roger M","non-dropping-particle":"","parse-names":false,"suffix":""}],"container-title":"Journal of Clinical Pathology","id":"ITEM-1","issue":"12","issued":{"date-parts":[["2013","12"]]},"page":"1005-1026","title":"Inflammatory bowel disease biopsies: updated British Society of Gastroenterology reporting guidelines","type":"article-journal","volume":"66"},"uris":["http://www.mendeley.com/documents/?uuid=adb76049-ff67-49ab-8cbd-76e02623b6ac"]}],"mendeley":{"formattedCitation":"&lt;sup&gt;18&lt;/sup&gt;","plainTextFormattedCitation":"18","previouslyFormattedCitation":"&lt;sup&gt;18&lt;/sup&gt;"},"properties":{"noteIndex":0},"schema":"https://github.com/citation-style-language/schema/raw/master/csl-citation.json"}</w:instrText>
      </w:r>
      <w:r w:rsidR="00660D60" w:rsidRPr="00922C73">
        <w:rPr>
          <w:rFonts w:ascii="Times New Roman" w:hAnsi="Times New Roman" w:cs="Times New Roman"/>
          <w:sz w:val="24"/>
          <w:szCs w:val="24"/>
          <w:shd w:val="clear" w:color="auto" w:fill="FFFFFE"/>
        </w:rPr>
        <w:fldChar w:fldCharType="separate"/>
      </w:r>
      <w:r w:rsidR="00A00D49" w:rsidRPr="00922C73">
        <w:rPr>
          <w:rFonts w:ascii="Times New Roman" w:hAnsi="Times New Roman" w:cs="Times New Roman"/>
          <w:noProof/>
          <w:sz w:val="24"/>
          <w:szCs w:val="24"/>
          <w:shd w:val="clear" w:color="auto" w:fill="FFFFFE"/>
          <w:vertAlign w:val="superscript"/>
        </w:rPr>
        <w:t>18</w:t>
      </w:r>
      <w:r w:rsidR="00660D60" w:rsidRPr="00922C73">
        <w:rPr>
          <w:rFonts w:ascii="Times New Roman" w:hAnsi="Times New Roman" w:cs="Times New Roman"/>
          <w:sz w:val="24"/>
          <w:szCs w:val="24"/>
          <w:shd w:val="clear" w:color="auto" w:fill="FFFFFE"/>
        </w:rPr>
        <w:fldChar w:fldCharType="end"/>
      </w:r>
      <w:r w:rsidR="00B6025E" w:rsidRPr="00922C73">
        <w:rPr>
          <w:rFonts w:ascii="Times New Roman" w:hAnsi="Times New Roman" w:cs="Times New Roman"/>
          <w:sz w:val="24"/>
          <w:szCs w:val="24"/>
          <w:shd w:val="clear" w:color="auto" w:fill="FFFFFE"/>
        </w:rPr>
        <w:t>.</w:t>
      </w:r>
      <w:r w:rsidR="00B6025E" w:rsidRPr="00922C73">
        <w:rPr>
          <w:rFonts w:ascii="Times New Roman" w:hAnsi="Times New Roman" w:cs="Times New Roman"/>
          <w:sz w:val="24"/>
          <w:szCs w:val="24"/>
        </w:rPr>
        <w:t xml:space="preserve">  </w:t>
      </w:r>
    </w:p>
    <w:p w14:paraId="7553D17A" w14:textId="77777777" w:rsidR="00B6025E" w:rsidRPr="00922C73" w:rsidRDefault="00B6025E" w:rsidP="00F64D9D">
      <w:pPr>
        <w:spacing w:line="480" w:lineRule="auto"/>
        <w:rPr>
          <w:rFonts w:ascii="Times New Roman" w:hAnsi="Times New Roman" w:cs="Times New Roman"/>
          <w:sz w:val="24"/>
          <w:szCs w:val="24"/>
        </w:rPr>
      </w:pPr>
    </w:p>
    <w:p w14:paraId="20EDAA38" w14:textId="62963588" w:rsidR="00953A31" w:rsidRPr="00922C73" w:rsidRDefault="00953A31"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Both </w:t>
      </w:r>
      <w:r w:rsidR="00B6025E" w:rsidRPr="00922C73">
        <w:rPr>
          <w:rFonts w:ascii="Times New Roman" w:hAnsi="Times New Roman" w:cs="Times New Roman"/>
          <w:sz w:val="24"/>
          <w:szCs w:val="24"/>
        </w:rPr>
        <w:t xml:space="preserve">UC and CD </w:t>
      </w:r>
      <w:r w:rsidRPr="00922C73">
        <w:rPr>
          <w:rFonts w:ascii="Times New Roman" w:hAnsi="Times New Roman" w:cs="Times New Roman"/>
          <w:sz w:val="24"/>
          <w:szCs w:val="24"/>
        </w:rPr>
        <w:t>c</w:t>
      </w:r>
      <w:r w:rsidR="00B6025E" w:rsidRPr="00922C73">
        <w:rPr>
          <w:rFonts w:ascii="Times New Roman" w:hAnsi="Times New Roman" w:cs="Times New Roman"/>
          <w:sz w:val="24"/>
          <w:szCs w:val="24"/>
        </w:rPr>
        <w:t xml:space="preserve">ommonly present </w:t>
      </w:r>
      <w:r w:rsidRPr="00922C73">
        <w:rPr>
          <w:rFonts w:ascii="Times New Roman" w:hAnsi="Times New Roman" w:cs="Times New Roman"/>
          <w:sz w:val="24"/>
          <w:szCs w:val="24"/>
        </w:rPr>
        <w:t>with chronic diarrhoea</w:t>
      </w:r>
      <w:r w:rsidR="00CA0C19" w:rsidRPr="00922C73">
        <w:rPr>
          <w:rFonts w:ascii="Times New Roman" w:hAnsi="Times New Roman" w:cs="Times New Roman"/>
          <w:sz w:val="24"/>
          <w:szCs w:val="24"/>
        </w:rPr>
        <w:t xml:space="preserve"> </w:t>
      </w:r>
      <w:r w:rsidR="00660D6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Excellence","given":"","non-dropping-particle":"","parse-names":false,"suffix":""}],"id":"ITEM-1","issue":"October","issued":{"date-parts":[["2012"]]},"page":"1-34","title":"Crohn's disease: management (Nice Guidelines)","type":"article-journal"},"uris":["http://www.mendeley.com/documents/?uuid=4b07ebbd-db62-4f90-a706-686c56a1fa64","http://www.mendeley.com/documents/?uuid=c21467fa-65c3-492a-901b-69c871f03c85","http://www.mendeley.com/documents/?uuid=704fa8d3-5b7d-4658-a38c-9330b9a037e1"]},{"id":"ITEM-2","itemData":{"author":[{"dropping-particle":"","family":"National Institute for Health and Care Excellence","given":"","non-dropping-particle":"","parse-names":false,"suffix":""}],"id":"ITEM-2","issue":"June","issued":{"date-parts":[["2013"]]},"title":"Ulcerative colitis: management (CG166)","type":"article-journal"},"uris":["http://www.mendeley.com/documents/?uuid=8fc60315-8c9d-48d3-8661-a4207744a375","http://www.mendeley.com/documents/?uuid=e412afdc-95c2-4f48-aac9-fe0b19ba14dc","http://www.mendeley.com/documents/?uuid=57d7b49a-df2d-4566-8ddd-b6b28c6c0454"]}],"mendeley":{"formattedCitation":"&lt;sup&gt;19,20&lt;/sup&gt;","plainTextFormattedCitation":"19,20","previouslyFormattedCitation":"&lt;sup&gt;19,20&lt;/sup&gt;"},"properties":{"noteIndex":0},"schema":"https://github.com/citation-style-language/schema/raw/master/csl-citation.json"}</w:instrText>
      </w:r>
      <w:r w:rsidR="00660D6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19,20</w:t>
      </w:r>
      <w:r w:rsidR="00660D60" w:rsidRPr="00922C73">
        <w:rPr>
          <w:rFonts w:ascii="Times New Roman" w:hAnsi="Times New Roman" w:cs="Times New Roman"/>
          <w:sz w:val="24"/>
          <w:szCs w:val="24"/>
        </w:rPr>
        <w:fldChar w:fldCharType="end"/>
      </w:r>
      <w:r w:rsidR="00B6025E" w:rsidRPr="00922C73">
        <w:rPr>
          <w:rFonts w:ascii="Times New Roman" w:hAnsi="Times New Roman" w:cs="Times New Roman"/>
          <w:sz w:val="24"/>
          <w:szCs w:val="24"/>
        </w:rPr>
        <w:t>. The presence of blood is repo</w:t>
      </w:r>
      <w:r w:rsidR="006E67F4" w:rsidRPr="00922C73">
        <w:rPr>
          <w:rFonts w:ascii="Times New Roman" w:hAnsi="Times New Roman" w:cs="Times New Roman"/>
          <w:sz w:val="24"/>
          <w:szCs w:val="24"/>
        </w:rPr>
        <w:t>rte</w:t>
      </w:r>
      <w:r w:rsidR="00B6025E" w:rsidRPr="00922C73">
        <w:rPr>
          <w:rFonts w:ascii="Times New Roman" w:hAnsi="Times New Roman" w:cs="Times New Roman"/>
          <w:sz w:val="24"/>
          <w:szCs w:val="24"/>
        </w:rPr>
        <w:t>d by 90% of people with UC, whereas in CD it is reported in less than hal</w:t>
      </w:r>
      <w:r w:rsidR="00CA0C19" w:rsidRPr="00922C73">
        <w:rPr>
          <w:rFonts w:ascii="Times New Roman" w:hAnsi="Times New Roman" w:cs="Times New Roman"/>
          <w:sz w:val="24"/>
          <w:szCs w:val="24"/>
        </w:rPr>
        <w:t xml:space="preserve">f </w:t>
      </w:r>
      <w:r w:rsidR="00CA0C19"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Excellence","given":"","non-dropping-particle":"","parse-names":false,"suffix":""}],"id":"ITEM-1","issue":"October","issued":{"date-parts":[["2012"]]},"page":"1-34","title":"Crohn's disease: management (Nice Guidelines)","type":"article-journal"},"uris":["http://www.mendeley.com/documents/?uuid=704fa8d3-5b7d-4658-a38c-9330b9a037e1"]},{"id":"ITEM-2","itemData":{"author":[{"dropping-particle":"","family":"National Institute for Health and Care Excellence","given":"","non-dropping-particle":"","parse-names":false,"suffix":""}],"id":"ITEM-2","issue":"June","issued":{"date-parts":[["2013"]]},"title":"Ulcerative colitis: management (CG166)","type":"article-journal"},"uris":["http://www.mendeley.com/documents/?uuid=57d7b49a-df2d-4566-8ddd-b6b28c6c0454"]}],"mendeley":{"formattedCitation":"&lt;sup&gt;19,20&lt;/sup&gt;","plainTextFormattedCitation":"19,20","previouslyFormattedCitation":"&lt;sup&gt;19,20&lt;/sup&gt;"},"properties":{"noteIndex":0},"schema":"https://github.com/citation-style-language/schema/raw/master/csl-citation.json"}</w:instrText>
      </w:r>
      <w:r w:rsidR="00CA0C19"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19,20</w:t>
      </w:r>
      <w:r w:rsidR="00CA0C19" w:rsidRPr="00922C73">
        <w:rPr>
          <w:rFonts w:ascii="Times New Roman" w:hAnsi="Times New Roman" w:cs="Times New Roman"/>
          <w:sz w:val="24"/>
          <w:szCs w:val="24"/>
        </w:rPr>
        <w:fldChar w:fldCharType="end"/>
      </w:r>
      <w:r w:rsidR="00B6025E" w:rsidRPr="00922C73">
        <w:rPr>
          <w:rFonts w:ascii="Times New Roman" w:hAnsi="Times New Roman" w:cs="Times New Roman"/>
          <w:sz w:val="24"/>
          <w:szCs w:val="24"/>
        </w:rPr>
        <w:t>. A</w:t>
      </w:r>
      <w:r w:rsidRPr="00922C73">
        <w:rPr>
          <w:rFonts w:ascii="Times New Roman" w:hAnsi="Times New Roman" w:cs="Times New Roman"/>
          <w:sz w:val="24"/>
          <w:szCs w:val="24"/>
        </w:rPr>
        <w:t>bdominal pain, weight loss</w:t>
      </w:r>
      <w:r w:rsidR="00B6025E" w:rsidRPr="00922C73">
        <w:rPr>
          <w:rFonts w:ascii="Times New Roman" w:hAnsi="Times New Roman" w:cs="Times New Roman"/>
          <w:sz w:val="24"/>
          <w:szCs w:val="24"/>
        </w:rPr>
        <w:t xml:space="preserve">, fatigue </w:t>
      </w:r>
      <w:r w:rsidRPr="00922C73">
        <w:rPr>
          <w:rFonts w:ascii="Times New Roman" w:hAnsi="Times New Roman" w:cs="Times New Roman"/>
          <w:sz w:val="24"/>
          <w:szCs w:val="24"/>
        </w:rPr>
        <w:t>and fever</w:t>
      </w:r>
      <w:r w:rsidR="00B6025E" w:rsidRPr="00922C73">
        <w:rPr>
          <w:rFonts w:ascii="Times New Roman" w:hAnsi="Times New Roman" w:cs="Times New Roman"/>
          <w:sz w:val="24"/>
          <w:szCs w:val="24"/>
        </w:rPr>
        <w:t xml:space="preserve"> are other common symptoms</w:t>
      </w:r>
      <w:r w:rsidR="006E67F4" w:rsidRPr="00922C73">
        <w:rPr>
          <w:rFonts w:ascii="Times New Roman" w:hAnsi="Times New Roman" w:cs="Times New Roman"/>
          <w:sz w:val="24"/>
          <w:szCs w:val="24"/>
        </w:rPr>
        <w:t>. Extra-intestinal manifestations such as a</w:t>
      </w:r>
      <w:r w:rsidR="00CA0C19" w:rsidRPr="00922C73">
        <w:rPr>
          <w:rFonts w:ascii="Times New Roman" w:hAnsi="Times New Roman" w:cs="Times New Roman"/>
          <w:sz w:val="24"/>
          <w:szCs w:val="24"/>
        </w:rPr>
        <w:t>r</w:t>
      </w:r>
      <w:r w:rsidR="006E67F4" w:rsidRPr="00922C73">
        <w:rPr>
          <w:rFonts w:ascii="Times New Roman" w:hAnsi="Times New Roman" w:cs="Times New Roman"/>
          <w:sz w:val="24"/>
          <w:szCs w:val="24"/>
        </w:rPr>
        <w:t>thropathy, cutaneous and ocular involvement, hepatobiliary conditions occur in both UC and CD and can be related to luminal inflammation</w:t>
      </w:r>
      <w:r w:rsidR="00CA0C19" w:rsidRPr="00922C73">
        <w:rPr>
          <w:rFonts w:ascii="Times New Roman" w:hAnsi="Times New Roman" w:cs="Times New Roman"/>
          <w:sz w:val="24"/>
          <w:szCs w:val="24"/>
        </w:rPr>
        <w:t xml:space="preserve"> </w:t>
      </w:r>
      <w:r w:rsidR="00CA0C19"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CA0C19"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CA0C19" w:rsidRPr="00922C73">
        <w:rPr>
          <w:rFonts w:ascii="Times New Roman" w:hAnsi="Times New Roman" w:cs="Times New Roman"/>
          <w:sz w:val="24"/>
          <w:szCs w:val="24"/>
        </w:rPr>
        <w:fldChar w:fldCharType="end"/>
      </w:r>
      <w:r w:rsidR="006E67F4" w:rsidRPr="00922C73">
        <w:rPr>
          <w:rFonts w:ascii="Times New Roman" w:hAnsi="Times New Roman" w:cs="Times New Roman"/>
          <w:sz w:val="24"/>
          <w:szCs w:val="24"/>
        </w:rPr>
        <w:t xml:space="preserve">. </w:t>
      </w:r>
    </w:p>
    <w:p w14:paraId="0AE9AE5C" w14:textId="77777777" w:rsidR="0092288A" w:rsidRPr="00922C73" w:rsidRDefault="0092288A" w:rsidP="00F64D9D">
      <w:pPr>
        <w:spacing w:line="480" w:lineRule="auto"/>
        <w:rPr>
          <w:rFonts w:ascii="Times New Roman" w:hAnsi="Times New Roman" w:cs="Times New Roman"/>
          <w:sz w:val="24"/>
          <w:szCs w:val="24"/>
        </w:rPr>
      </w:pPr>
    </w:p>
    <w:p w14:paraId="4E1FA6CD" w14:textId="54DB94DA" w:rsidR="00CA0C19" w:rsidRPr="00922C73" w:rsidRDefault="0092288A"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Perianal disease is commonly associated with CD. It can present with perianal skin tags, fissures, abscesses and fistulae, and the latter can be difficult to treat and debilitating for the patient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Pr="00922C73">
        <w:rPr>
          <w:rFonts w:ascii="Times New Roman" w:hAnsi="Times New Roman" w:cs="Times New Roman"/>
          <w:sz w:val="24"/>
          <w:szCs w:val="24"/>
        </w:rPr>
        <w:fldChar w:fldCharType="end"/>
      </w:r>
      <w:r w:rsidR="006C571E" w:rsidRPr="00922C73">
        <w:rPr>
          <w:rFonts w:ascii="Times New Roman" w:hAnsi="Times New Roman" w:cs="Times New Roman"/>
          <w:sz w:val="24"/>
          <w:szCs w:val="24"/>
        </w:rPr>
        <w:t xml:space="preserve">. </w:t>
      </w:r>
    </w:p>
    <w:p w14:paraId="3AFA1C91" w14:textId="77777777" w:rsidR="006C571E" w:rsidRPr="00922C73" w:rsidRDefault="006C571E" w:rsidP="00F64D9D">
      <w:pPr>
        <w:spacing w:line="480" w:lineRule="auto"/>
        <w:rPr>
          <w:rFonts w:ascii="Times New Roman" w:hAnsi="Times New Roman" w:cs="Times New Roman"/>
          <w:sz w:val="24"/>
          <w:szCs w:val="24"/>
        </w:rPr>
      </w:pPr>
    </w:p>
    <w:p w14:paraId="7A377A57" w14:textId="6EACA47C" w:rsidR="00DB393E" w:rsidRPr="00922C73" w:rsidRDefault="00CA0C19" w:rsidP="002C4BB9">
      <w:pPr>
        <w:autoSpaceDE w:val="0"/>
        <w:autoSpaceDN w:val="0"/>
        <w:adjustRightInd w:val="0"/>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The diagnosis of IBD is based on a combination of clinical features and investigations including imaging and endoscopy findings. Histology </w:t>
      </w:r>
      <w:r w:rsidR="00DB393E" w:rsidRPr="00922C73">
        <w:rPr>
          <w:rFonts w:ascii="Times New Roman" w:hAnsi="Times New Roman" w:cs="Times New Roman"/>
          <w:sz w:val="24"/>
          <w:szCs w:val="24"/>
        </w:rPr>
        <w:t>remains</w:t>
      </w:r>
      <w:r w:rsidRPr="00922C73">
        <w:rPr>
          <w:rFonts w:ascii="Times New Roman" w:hAnsi="Times New Roman" w:cs="Times New Roman"/>
          <w:sz w:val="24"/>
          <w:szCs w:val="24"/>
        </w:rPr>
        <w:t xml:space="preserve"> the gold standard for </w:t>
      </w:r>
      <w:r w:rsidR="00D55526" w:rsidRPr="00922C73">
        <w:rPr>
          <w:rFonts w:ascii="Times New Roman" w:hAnsi="Times New Roman" w:cs="Times New Roman"/>
          <w:sz w:val="24"/>
          <w:szCs w:val="24"/>
        </w:rPr>
        <w:t>diagnosis but</w:t>
      </w:r>
      <w:r w:rsidRPr="00922C73">
        <w:rPr>
          <w:rFonts w:ascii="Times New Roman" w:hAnsi="Times New Roman" w:cs="Times New Roman"/>
          <w:sz w:val="24"/>
          <w:szCs w:val="24"/>
        </w:rPr>
        <w:t xml:space="preserve"> may not always be available or can be non-specific. </w:t>
      </w:r>
    </w:p>
    <w:p w14:paraId="094751B2" w14:textId="77777777" w:rsidR="0053050D" w:rsidRPr="00922C73" w:rsidRDefault="0053050D" w:rsidP="0053050D">
      <w:pPr>
        <w:pStyle w:val="ListParagraph"/>
        <w:spacing w:before="240" w:line="480" w:lineRule="auto"/>
        <w:ind w:left="0"/>
        <w:rPr>
          <w:rFonts w:ascii="Times New Roman" w:hAnsi="Times New Roman" w:cs="Times New Roman"/>
          <w:b/>
          <w:bCs/>
          <w:sz w:val="24"/>
          <w:szCs w:val="24"/>
        </w:rPr>
      </w:pPr>
    </w:p>
    <w:p w14:paraId="27B7B569" w14:textId="77777777" w:rsidR="00BD54C7" w:rsidRPr="00922C73" w:rsidRDefault="0053050D" w:rsidP="00BD54C7">
      <w:pPr>
        <w:pStyle w:val="ListParagraph"/>
        <w:keepNext/>
        <w:numPr>
          <w:ilvl w:val="0"/>
          <w:numId w:val="37"/>
        </w:numPr>
        <w:spacing w:before="240" w:line="480" w:lineRule="auto"/>
      </w:pPr>
      <w:r w:rsidRPr="00922C73">
        <w:rPr>
          <w:rFonts w:ascii="Times New Roman" w:hAnsi="Times New Roman" w:cs="Times New Roman"/>
          <w:b/>
          <w:bCs/>
          <w:sz w:val="24"/>
          <w:szCs w:val="24"/>
        </w:rPr>
        <w:lastRenderedPageBreak/>
        <w:t xml:space="preserve">          </w:t>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r>
      <w:r w:rsidRPr="00922C73">
        <w:rPr>
          <w:rFonts w:ascii="Times New Roman" w:hAnsi="Times New Roman" w:cs="Times New Roman"/>
          <w:b/>
          <w:bCs/>
          <w:sz w:val="24"/>
          <w:szCs w:val="24"/>
        </w:rPr>
        <w:tab/>
        <w:t xml:space="preserve">b)            </w:t>
      </w:r>
      <w:r w:rsidR="00DB393E" w:rsidRPr="00922C73">
        <w:rPr>
          <w:noProof/>
        </w:rPr>
        <w:drawing>
          <wp:inline distT="0" distB="0" distL="0" distR="0" wp14:anchorId="7F87BA7F" wp14:editId="2B76E7E0">
            <wp:extent cx="5491270" cy="3492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361" t="20531" r="18849" b="2051"/>
                    <a:stretch/>
                  </pic:blipFill>
                  <pic:spPr bwMode="auto">
                    <a:xfrm>
                      <a:off x="0" y="0"/>
                      <a:ext cx="5497033" cy="3495665"/>
                    </a:xfrm>
                    <a:prstGeom prst="rect">
                      <a:avLst/>
                    </a:prstGeom>
                    <a:noFill/>
                    <a:ln>
                      <a:noFill/>
                    </a:ln>
                    <a:extLst>
                      <a:ext uri="{53640926-AAD7-44D8-BBD7-CCE9431645EC}">
                        <a14:shadowObscured xmlns:a14="http://schemas.microsoft.com/office/drawing/2010/main"/>
                      </a:ext>
                    </a:extLst>
                  </pic:spPr>
                </pic:pic>
              </a:graphicData>
            </a:graphic>
          </wp:inline>
        </w:drawing>
      </w:r>
    </w:p>
    <w:p w14:paraId="18513A77" w14:textId="32D6F023" w:rsidR="00DB393E" w:rsidRPr="00922C73" w:rsidRDefault="00BD54C7" w:rsidP="004A0EE0">
      <w:pPr>
        <w:pStyle w:val="Caption"/>
        <w:spacing w:line="240" w:lineRule="auto"/>
        <w:rPr>
          <w:rFonts w:ascii="Times New Roman" w:hAnsi="Times New Roman" w:cs="Times New Roman"/>
          <w:b w:val="0"/>
          <w:bCs w:val="0"/>
          <w:sz w:val="24"/>
          <w:szCs w:val="24"/>
        </w:rPr>
      </w:pPr>
      <w:bookmarkStart w:id="12" w:name="_Toc139397302"/>
      <w:bookmarkStart w:id="13" w:name="_Toc151020646"/>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Anatomical involvement in inflammatory bowel disease</w:t>
      </w:r>
      <w:r w:rsidR="0040635F" w:rsidRPr="00922C73">
        <w:rPr>
          <w:rFonts w:ascii="Times New Roman" w:hAnsi="Times New Roman" w:cs="Times New Roman"/>
          <w:sz w:val="24"/>
          <w:szCs w:val="24"/>
        </w:rPr>
        <w:t>.</w:t>
      </w:r>
      <w:bookmarkEnd w:id="12"/>
      <w:bookmarkEnd w:id="13"/>
    </w:p>
    <w:p w14:paraId="5BDA4C21" w14:textId="64D1614A" w:rsidR="001E54EC" w:rsidRPr="00922C73" w:rsidRDefault="001E54EC" w:rsidP="004A0EE0">
      <w:pPr>
        <w:spacing w:before="240" w:line="240" w:lineRule="auto"/>
        <w:rPr>
          <w:rFonts w:ascii="Times New Roman" w:hAnsi="Times New Roman" w:cs="Times New Roman"/>
          <w:sz w:val="24"/>
          <w:szCs w:val="24"/>
        </w:rPr>
      </w:pPr>
      <w:r w:rsidRPr="00922C73">
        <w:rPr>
          <w:rFonts w:ascii="Times New Roman" w:hAnsi="Times New Roman" w:cs="Times New Roman"/>
          <w:sz w:val="24"/>
          <w:szCs w:val="24"/>
        </w:rPr>
        <w:t xml:space="preserve">a) Crohn’s disease can affect anywhere from the mouth </w:t>
      </w:r>
      <w:r w:rsidR="006E3B65" w:rsidRPr="00922C73">
        <w:rPr>
          <w:rFonts w:ascii="Times New Roman" w:hAnsi="Times New Roman" w:cs="Times New Roman"/>
          <w:sz w:val="24"/>
          <w:szCs w:val="24"/>
        </w:rPr>
        <w:t xml:space="preserve">to the </w:t>
      </w:r>
      <w:r w:rsidRPr="00922C73">
        <w:rPr>
          <w:rFonts w:ascii="Times New Roman" w:hAnsi="Times New Roman" w:cs="Times New Roman"/>
          <w:sz w:val="24"/>
          <w:szCs w:val="24"/>
        </w:rPr>
        <w:t>anus</w:t>
      </w:r>
      <w:r w:rsidR="00DB393E" w:rsidRPr="00922C73">
        <w:rPr>
          <w:rFonts w:ascii="Times New Roman" w:hAnsi="Times New Roman" w:cs="Times New Roman"/>
          <w:sz w:val="24"/>
          <w:szCs w:val="24"/>
        </w:rPr>
        <w:t xml:space="preserve">, though </w:t>
      </w:r>
      <w:r w:rsidR="0048624A" w:rsidRPr="00922C73">
        <w:rPr>
          <w:rFonts w:ascii="Times New Roman" w:hAnsi="Times New Roman" w:cs="Times New Roman"/>
          <w:sz w:val="24"/>
          <w:szCs w:val="24"/>
        </w:rPr>
        <w:t xml:space="preserve">it </w:t>
      </w:r>
      <w:r w:rsidR="00DB393E" w:rsidRPr="00922C73">
        <w:rPr>
          <w:rFonts w:ascii="Times New Roman" w:hAnsi="Times New Roman" w:cs="Times New Roman"/>
          <w:sz w:val="24"/>
          <w:szCs w:val="24"/>
        </w:rPr>
        <w:t>most commonly affects the terminal ileum and right side of the large bowel</w:t>
      </w:r>
      <w:r w:rsidRPr="00922C73">
        <w:rPr>
          <w:rFonts w:ascii="Times New Roman" w:hAnsi="Times New Roman" w:cs="Times New Roman"/>
          <w:sz w:val="24"/>
          <w:szCs w:val="24"/>
        </w:rPr>
        <w:t xml:space="preserve"> </w:t>
      </w:r>
      <w:r w:rsidR="0048624A" w:rsidRPr="00922C73">
        <w:rPr>
          <w:rFonts w:ascii="Times New Roman" w:hAnsi="Times New Roman" w:cs="Times New Roman"/>
          <w:sz w:val="24"/>
          <w:szCs w:val="24"/>
        </w:rPr>
        <w:t xml:space="preserve">as shown in the red square </w:t>
      </w:r>
      <w:r w:rsidRPr="00922C73">
        <w:rPr>
          <w:rFonts w:ascii="Times New Roman" w:hAnsi="Times New Roman" w:cs="Times New Roman"/>
          <w:sz w:val="24"/>
          <w:szCs w:val="24"/>
        </w:rPr>
        <w:t>b) ulcerative colitis nearly always affects the rectum and extends continuously proximally to affect the large bowel.</w:t>
      </w:r>
    </w:p>
    <w:p w14:paraId="0BB3345C" w14:textId="74EC635E" w:rsidR="001E54EC" w:rsidRPr="00922C73" w:rsidRDefault="001E54EC" w:rsidP="00F64D9D">
      <w:pPr>
        <w:spacing w:line="480" w:lineRule="auto"/>
        <w:rPr>
          <w:rFonts w:ascii="Times New Roman" w:hAnsi="Times New Roman" w:cs="Times New Roman"/>
          <w:b/>
          <w:bCs/>
          <w:sz w:val="24"/>
          <w:szCs w:val="24"/>
        </w:rPr>
      </w:pPr>
    </w:p>
    <w:p w14:paraId="6A569CA4" w14:textId="1603F0AB" w:rsidR="00457236" w:rsidRPr="00922C73" w:rsidRDefault="006E67F4" w:rsidP="00F64D9D">
      <w:pPr>
        <w:pStyle w:val="Heading3"/>
        <w:spacing w:line="480" w:lineRule="auto"/>
        <w:rPr>
          <w:rFonts w:ascii="Times New Roman" w:hAnsi="Times New Roman" w:cs="Times New Roman"/>
          <w:b/>
          <w:bCs/>
        </w:rPr>
      </w:pPr>
      <w:bookmarkStart w:id="14" w:name="_Toc151020453"/>
      <w:r w:rsidRPr="00922C73">
        <w:rPr>
          <w:rFonts w:ascii="Times New Roman" w:hAnsi="Times New Roman" w:cs="Times New Roman"/>
          <w:b/>
          <w:bCs/>
        </w:rPr>
        <w:t xml:space="preserve">1.1.4 </w:t>
      </w:r>
      <w:r w:rsidR="006C2E05" w:rsidRPr="00922C73">
        <w:rPr>
          <w:rFonts w:ascii="Times New Roman" w:hAnsi="Times New Roman" w:cs="Times New Roman"/>
          <w:b/>
          <w:bCs/>
        </w:rPr>
        <w:t>T</w:t>
      </w:r>
      <w:r w:rsidR="00457236" w:rsidRPr="00922C73">
        <w:rPr>
          <w:rFonts w:ascii="Times New Roman" w:hAnsi="Times New Roman" w:cs="Times New Roman"/>
          <w:b/>
          <w:bCs/>
        </w:rPr>
        <w:t>reatment</w:t>
      </w:r>
      <w:bookmarkEnd w:id="14"/>
    </w:p>
    <w:p w14:paraId="26803C77" w14:textId="35AC67AC" w:rsidR="007A7F79" w:rsidRPr="00922C73" w:rsidRDefault="00457236" w:rsidP="004A0EE0">
      <w:pPr>
        <w:kinsoku w:val="0"/>
        <w:overflowPunct w:val="0"/>
        <w:spacing w:before="86" w:after="0" w:line="480" w:lineRule="auto"/>
        <w:textAlignment w:val="baseline"/>
        <w:rPr>
          <w:rFonts w:ascii="Times New Roman" w:hAnsi="Times New Roman" w:cs="Times New Roman"/>
          <w:sz w:val="24"/>
          <w:szCs w:val="24"/>
        </w:rPr>
      </w:pPr>
      <w:r w:rsidRPr="00922C73">
        <w:rPr>
          <w:rFonts w:ascii="Times New Roman" w:hAnsi="Times New Roman" w:cs="Times New Roman"/>
          <w:sz w:val="24"/>
          <w:szCs w:val="24"/>
        </w:rPr>
        <w:t>T</w:t>
      </w:r>
      <w:r w:rsidR="006C2E05" w:rsidRPr="00922C73">
        <w:rPr>
          <w:rFonts w:ascii="Times New Roman" w:hAnsi="Times New Roman" w:cs="Times New Roman"/>
          <w:sz w:val="24"/>
          <w:szCs w:val="24"/>
        </w:rPr>
        <w:t xml:space="preserve">he </w:t>
      </w:r>
      <w:r w:rsidR="00204296" w:rsidRPr="00922C73">
        <w:rPr>
          <w:rFonts w:ascii="Times New Roman" w:hAnsi="Times New Roman" w:cs="Times New Roman"/>
          <w:sz w:val="24"/>
          <w:szCs w:val="24"/>
        </w:rPr>
        <w:t xml:space="preserve">type of IBD, </w:t>
      </w:r>
      <w:r w:rsidR="006C2E05" w:rsidRPr="00922C73">
        <w:rPr>
          <w:rFonts w:ascii="Times New Roman" w:hAnsi="Times New Roman" w:cs="Times New Roman"/>
          <w:sz w:val="24"/>
          <w:szCs w:val="24"/>
        </w:rPr>
        <w:t>clinical severity</w:t>
      </w:r>
      <w:r w:rsidR="00204296" w:rsidRPr="00922C73">
        <w:rPr>
          <w:rFonts w:ascii="Times New Roman" w:hAnsi="Times New Roman" w:cs="Times New Roman"/>
          <w:sz w:val="24"/>
          <w:szCs w:val="24"/>
        </w:rPr>
        <w:t xml:space="preserve">, </w:t>
      </w:r>
      <w:r w:rsidR="006C2E05" w:rsidRPr="00922C73">
        <w:rPr>
          <w:rFonts w:ascii="Times New Roman" w:hAnsi="Times New Roman" w:cs="Times New Roman"/>
          <w:sz w:val="24"/>
          <w:szCs w:val="24"/>
        </w:rPr>
        <w:t xml:space="preserve">extent </w:t>
      </w:r>
      <w:r w:rsidR="00A2462C" w:rsidRPr="00922C73">
        <w:rPr>
          <w:rFonts w:ascii="Times New Roman" w:hAnsi="Times New Roman" w:cs="Times New Roman"/>
          <w:sz w:val="24"/>
          <w:szCs w:val="24"/>
        </w:rPr>
        <w:t xml:space="preserve">of disease </w:t>
      </w:r>
      <w:r w:rsidR="00204296" w:rsidRPr="00922C73">
        <w:rPr>
          <w:rFonts w:ascii="Times New Roman" w:hAnsi="Times New Roman" w:cs="Times New Roman"/>
          <w:sz w:val="24"/>
          <w:szCs w:val="24"/>
        </w:rPr>
        <w:t>and presence of complications</w:t>
      </w:r>
      <w:r w:rsidR="006C2E05" w:rsidRPr="00922C73">
        <w:rPr>
          <w:rFonts w:ascii="Times New Roman" w:hAnsi="Times New Roman" w:cs="Times New Roman"/>
          <w:sz w:val="24"/>
          <w:szCs w:val="24"/>
        </w:rPr>
        <w:t xml:space="preserve"> dictates the</w:t>
      </w:r>
      <w:r w:rsidR="009F46E4" w:rsidRPr="00922C73">
        <w:rPr>
          <w:rFonts w:ascii="Times New Roman" w:hAnsi="Times New Roman" w:cs="Times New Roman"/>
          <w:sz w:val="24"/>
          <w:szCs w:val="24"/>
        </w:rPr>
        <w:t xml:space="preserve"> </w:t>
      </w:r>
      <w:r w:rsidR="006C2E05" w:rsidRPr="00922C73">
        <w:rPr>
          <w:rFonts w:ascii="Times New Roman" w:hAnsi="Times New Roman" w:cs="Times New Roman"/>
          <w:sz w:val="24"/>
          <w:szCs w:val="24"/>
        </w:rPr>
        <w:t>management</w:t>
      </w:r>
      <w:r w:rsidR="002245BA" w:rsidRPr="00922C73">
        <w:rPr>
          <w:rFonts w:ascii="Times New Roman" w:hAnsi="Times New Roman" w:cs="Times New Roman"/>
          <w:sz w:val="24"/>
          <w:szCs w:val="24"/>
        </w:rPr>
        <w:t>,</w:t>
      </w:r>
      <w:r w:rsidR="009F46E4" w:rsidRPr="00922C73">
        <w:rPr>
          <w:rFonts w:ascii="Times New Roman" w:hAnsi="Times New Roman" w:cs="Times New Roman"/>
          <w:sz w:val="24"/>
          <w:szCs w:val="24"/>
        </w:rPr>
        <w:t xml:space="preserve"> as shown in </w:t>
      </w:r>
      <w:r w:rsidR="00A2462C" w:rsidRPr="00922C73">
        <w:rPr>
          <w:rFonts w:ascii="Times New Roman" w:hAnsi="Times New Roman" w:cs="Times New Roman"/>
          <w:sz w:val="24"/>
          <w:szCs w:val="24"/>
        </w:rPr>
        <w:t xml:space="preserve">Figure </w:t>
      </w:r>
      <w:r w:rsidR="00C15D00" w:rsidRPr="00922C73">
        <w:rPr>
          <w:rFonts w:ascii="Times New Roman" w:hAnsi="Times New Roman" w:cs="Times New Roman"/>
          <w:sz w:val="24"/>
          <w:szCs w:val="24"/>
        </w:rPr>
        <w:t>2</w:t>
      </w:r>
      <w:r w:rsidR="009F46E4" w:rsidRPr="00922C73">
        <w:rPr>
          <w:rFonts w:ascii="Times New Roman" w:hAnsi="Times New Roman" w:cs="Times New Roman"/>
          <w:sz w:val="24"/>
          <w:szCs w:val="24"/>
        </w:rPr>
        <w:t xml:space="preserve">. </w:t>
      </w:r>
      <w:bookmarkStart w:id="15" w:name="_Hlk87267522"/>
      <w:r w:rsidR="006C2E05" w:rsidRPr="00922C73">
        <w:rPr>
          <w:rFonts w:ascii="Times New Roman" w:hAnsi="Times New Roman" w:cs="Times New Roman"/>
          <w:sz w:val="24"/>
          <w:szCs w:val="24"/>
        </w:rPr>
        <w:t>Medical treatments are used to induce</w:t>
      </w:r>
      <w:r w:rsidR="001E54EC" w:rsidRPr="00922C73">
        <w:rPr>
          <w:rFonts w:ascii="Times New Roman" w:hAnsi="Times New Roman" w:cs="Times New Roman"/>
          <w:sz w:val="24"/>
          <w:szCs w:val="24"/>
        </w:rPr>
        <w:t>- treat the “flare”</w:t>
      </w:r>
      <w:r w:rsidR="006C2E05" w:rsidRPr="00922C73">
        <w:rPr>
          <w:rFonts w:ascii="Times New Roman" w:hAnsi="Times New Roman" w:cs="Times New Roman"/>
          <w:sz w:val="24"/>
          <w:szCs w:val="24"/>
        </w:rPr>
        <w:t xml:space="preserve"> and</w:t>
      </w:r>
      <w:r w:rsidR="009F46E4" w:rsidRPr="00922C73">
        <w:rPr>
          <w:rFonts w:ascii="Times New Roman" w:hAnsi="Times New Roman" w:cs="Times New Roman"/>
          <w:sz w:val="24"/>
          <w:szCs w:val="24"/>
        </w:rPr>
        <w:t xml:space="preserve"> a</w:t>
      </w:r>
      <w:r w:rsidR="0071785F" w:rsidRPr="00922C73">
        <w:rPr>
          <w:rFonts w:ascii="Times New Roman" w:hAnsi="Times New Roman" w:cs="Times New Roman"/>
          <w:sz w:val="24"/>
          <w:szCs w:val="24"/>
        </w:rPr>
        <w:t>re</w:t>
      </w:r>
      <w:r w:rsidR="001E54EC" w:rsidRPr="00922C73">
        <w:rPr>
          <w:rFonts w:ascii="Times New Roman" w:hAnsi="Times New Roman" w:cs="Times New Roman"/>
          <w:sz w:val="24"/>
          <w:szCs w:val="24"/>
        </w:rPr>
        <w:t xml:space="preserve"> continued </w:t>
      </w:r>
      <w:r w:rsidR="00A2462C" w:rsidRPr="00922C73">
        <w:rPr>
          <w:rFonts w:ascii="Times New Roman" w:hAnsi="Times New Roman" w:cs="Times New Roman"/>
          <w:sz w:val="24"/>
          <w:szCs w:val="24"/>
        </w:rPr>
        <w:t xml:space="preserve">long-term </w:t>
      </w:r>
      <w:r w:rsidR="001E54EC" w:rsidRPr="00922C73">
        <w:rPr>
          <w:rFonts w:ascii="Times New Roman" w:hAnsi="Times New Roman" w:cs="Times New Roman"/>
          <w:sz w:val="24"/>
          <w:szCs w:val="24"/>
        </w:rPr>
        <w:t>to</w:t>
      </w:r>
      <w:r w:rsidR="006C2E05" w:rsidRPr="00922C73">
        <w:rPr>
          <w:rFonts w:ascii="Times New Roman" w:hAnsi="Times New Roman" w:cs="Times New Roman"/>
          <w:sz w:val="24"/>
          <w:szCs w:val="24"/>
        </w:rPr>
        <w:t xml:space="preserve"> maintain remission</w:t>
      </w:r>
      <w:bookmarkEnd w:id="15"/>
      <w:r w:rsidR="00CA0C19" w:rsidRPr="00922C73">
        <w:rPr>
          <w:rFonts w:ascii="Times New Roman" w:hAnsi="Times New Roman" w:cs="Times New Roman"/>
          <w:sz w:val="24"/>
          <w:szCs w:val="24"/>
        </w:rPr>
        <w:t>.</w:t>
      </w:r>
      <w:r w:rsidR="006C2E05" w:rsidRPr="00922C73">
        <w:rPr>
          <w:rFonts w:ascii="Times New Roman" w:hAnsi="Times New Roman" w:cs="Times New Roman"/>
          <w:sz w:val="24"/>
          <w:szCs w:val="24"/>
        </w:rPr>
        <w:t xml:space="preserve"> </w:t>
      </w:r>
      <w:r w:rsidR="009F46E4" w:rsidRPr="00922C73">
        <w:rPr>
          <w:rFonts w:ascii="Times New Roman" w:hAnsi="Times New Roman" w:cs="Times New Roman"/>
          <w:sz w:val="24"/>
          <w:szCs w:val="24"/>
        </w:rPr>
        <w:t>C</w:t>
      </w:r>
      <w:r w:rsidR="0071785F" w:rsidRPr="00922C73">
        <w:rPr>
          <w:rFonts w:ascii="Times New Roman" w:hAnsi="Times New Roman" w:cs="Times New Roman"/>
          <w:sz w:val="24"/>
          <w:szCs w:val="24"/>
        </w:rPr>
        <w:t xml:space="preserve">orticosteroids </w:t>
      </w:r>
      <w:r w:rsidR="009F46E4" w:rsidRPr="00922C73">
        <w:rPr>
          <w:rFonts w:ascii="Times New Roman" w:hAnsi="Times New Roman" w:cs="Times New Roman"/>
          <w:sz w:val="24"/>
          <w:szCs w:val="24"/>
        </w:rPr>
        <w:t>are</w:t>
      </w:r>
      <w:r w:rsidR="0071785F" w:rsidRPr="00922C73">
        <w:rPr>
          <w:rFonts w:ascii="Times New Roman" w:hAnsi="Times New Roman" w:cs="Times New Roman"/>
          <w:sz w:val="24"/>
          <w:szCs w:val="24"/>
        </w:rPr>
        <w:t xml:space="preserve"> used to induce remission, immunomodulators such as thiopurines and methotrexate to maintain remission and </w:t>
      </w:r>
      <w:r w:rsidR="00A2462C" w:rsidRPr="00922C73">
        <w:rPr>
          <w:rFonts w:ascii="Times New Roman" w:hAnsi="Times New Roman" w:cs="Times New Roman"/>
          <w:sz w:val="24"/>
          <w:szCs w:val="24"/>
        </w:rPr>
        <w:t>t</w:t>
      </w:r>
      <w:r w:rsidR="00744DD1" w:rsidRPr="00922C73">
        <w:rPr>
          <w:rFonts w:ascii="Times New Roman" w:hAnsi="Times New Roman" w:cs="Times New Roman"/>
          <w:sz w:val="24"/>
          <w:szCs w:val="24"/>
        </w:rPr>
        <w:t xml:space="preserve">opical and oral aminosalicylates </w:t>
      </w:r>
      <w:r w:rsidR="00A2462C" w:rsidRPr="00922C73">
        <w:rPr>
          <w:rFonts w:ascii="Times New Roman" w:hAnsi="Times New Roman" w:cs="Times New Roman"/>
          <w:sz w:val="24"/>
          <w:szCs w:val="24"/>
        </w:rPr>
        <w:t>to</w:t>
      </w:r>
      <w:r w:rsidR="00744DD1" w:rsidRPr="00922C73">
        <w:rPr>
          <w:rFonts w:ascii="Times New Roman" w:hAnsi="Times New Roman" w:cs="Times New Roman"/>
          <w:sz w:val="24"/>
          <w:szCs w:val="24"/>
        </w:rPr>
        <w:t xml:space="preserve"> induce and maintain remission </w:t>
      </w:r>
      <w:r w:rsidR="00A2462C" w:rsidRPr="00922C73">
        <w:rPr>
          <w:rFonts w:ascii="Times New Roman" w:hAnsi="Times New Roman" w:cs="Times New Roman"/>
          <w:sz w:val="24"/>
          <w:szCs w:val="24"/>
        </w:rPr>
        <w:t xml:space="preserve">in </w:t>
      </w:r>
      <w:r w:rsidR="00744DD1" w:rsidRPr="00922C73">
        <w:rPr>
          <w:rFonts w:ascii="Times New Roman" w:hAnsi="Times New Roman" w:cs="Times New Roman"/>
          <w:sz w:val="24"/>
          <w:szCs w:val="24"/>
        </w:rPr>
        <w:t>UC</w:t>
      </w:r>
      <w:r w:rsidR="00DB7FE1" w:rsidRPr="00922C73">
        <w:rPr>
          <w:rFonts w:ascii="Times New Roman" w:hAnsi="Times New Roman" w:cs="Times New Roman"/>
          <w:sz w:val="24"/>
          <w:szCs w:val="24"/>
        </w:rPr>
        <w:t>. In the last 20 years</w:t>
      </w:r>
      <w:r w:rsidR="001E54EC" w:rsidRPr="00922C73">
        <w:rPr>
          <w:rFonts w:ascii="Times New Roman" w:hAnsi="Times New Roman" w:cs="Times New Roman"/>
          <w:sz w:val="24"/>
          <w:szCs w:val="24"/>
        </w:rPr>
        <w:t>,</w:t>
      </w:r>
      <w:r w:rsidR="00DB7FE1" w:rsidRPr="00922C73">
        <w:rPr>
          <w:rFonts w:ascii="Times New Roman" w:hAnsi="Times New Roman" w:cs="Times New Roman"/>
          <w:sz w:val="24"/>
          <w:szCs w:val="24"/>
        </w:rPr>
        <w:t xml:space="preserve"> </w:t>
      </w:r>
      <w:r w:rsidR="002245BA" w:rsidRPr="00922C73">
        <w:rPr>
          <w:rFonts w:ascii="Times New Roman" w:hAnsi="Times New Roman" w:cs="Times New Roman"/>
          <w:sz w:val="24"/>
          <w:szCs w:val="24"/>
        </w:rPr>
        <w:t>monoclonal antibodies</w:t>
      </w:r>
      <w:r w:rsidR="00DB7FE1" w:rsidRPr="00922C73">
        <w:rPr>
          <w:rFonts w:ascii="Times New Roman" w:hAnsi="Times New Roman" w:cs="Times New Roman"/>
          <w:sz w:val="24"/>
          <w:szCs w:val="24"/>
        </w:rPr>
        <w:t xml:space="preserve"> and </w:t>
      </w:r>
      <w:r w:rsidR="00744DD1" w:rsidRPr="00922C73">
        <w:rPr>
          <w:rFonts w:ascii="Times New Roman" w:hAnsi="Times New Roman" w:cs="Times New Roman"/>
          <w:sz w:val="24"/>
          <w:szCs w:val="24"/>
        </w:rPr>
        <w:t xml:space="preserve">more recently </w:t>
      </w:r>
      <w:r w:rsidR="00DB7FE1" w:rsidRPr="00922C73">
        <w:rPr>
          <w:rFonts w:ascii="Times New Roman" w:hAnsi="Times New Roman" w:cs="Times New Roman"/>
          <w:sz w:val="24"/>
          <w:szCs w:val="24"/>
        </w:rPr>
        <w:t xml:space="preserve">small molecules </w:t>
      </w:r>
      <w:r w:rsidR="00744DD1" w:rsidRPr="00922C73">
        <w:rPr>
          <w:rFonts w:ascii="Times New Roman" w:hAnsi="Times New Roman" w:cs="Times New Roman"/>
          <w:sz w:val="24"/>
          <w:szCs w:val="24"/>
        </w:rPr>
        <w:t>t</w:t>
      </w:r>
      <w:r w:rsidR="00DB7FE1" w:rsidRPr="00922C73">
        <w:rPr>
          <w:rFonts w:ascii="Times New Roman" w:hAnsi="Times New Roman" w:cs="Times New Roman"/>
          <w:sz w:val="24"/>
          <w:szCs w:val="24"/>
        </w:rPr>
        <w:t>arget</w:t>
      </w:r>
      <w:r w:rsidR="00744DD1" w:rsidRPr="00922C73">
        <w:rPr>
          <w:rFonts w:ascii="Times New Roman" w:hAnsi="Times New Roman" w:cs="Times New Roman"/>
          <w:sz w:val="24"/>
          <w:szCs w:val="24"/>
        </w:rPr>
        <w:t>ing</w:t>
      </w:r>
      <w:r w:rsidR="00DB7FE1" w:rsidRPr="00922C73">
        <w:rPr>
          <w:rFonts w:ascii="Times New Roman" w:hAnsi="Times New Roman" w:cs="Times New Roman"/>
          <w:sz w:val="24"/>
          <w:szCs w:val="24"/>
        </w:rPr>
        <w:t xml:space="preserve"> specific inflammatory pathways in IBD</w:t>
      </w:r>
      <w:r w:rsidR="00744DD1" w:rsidRPr="00922C73">
        <w:rPr>
          <w:rFonts w:ascii="Times New Roman" w:hAnsi="Times New Roman" w:cs="Times New Roman"/>
          <w:sz w:val="24"/>
          <w:szCs w:val="24"/>
        </w:rPr>
        <w:t>, have be</w:t>
      </w:r>
      <w:r w:rsidR="0071785F" w:rsidRPr="00922C73">
        <w:rPr>
          <w:rFonts w:ascii="Times New Roman" w:hAnsi="Times New Roman" w:cs="Times New Roman"/>
          <w:sz w:val="24"/>
          <w:szCs w:val="24"/>
        </w:rPr>
        <w:t>come</w:t>
      </w:r>
      <w:r w:rsidR="00744DD1" w:rsidRPr="00922C73">
        <w:rPr>
          <w:rFonts w:ascii="Times New Roman" w:hAnsi="Times New Roman" w:cs="Times New Roman"/>
          <w:sz w:val="24"/>
          <w:szCs w:val="24"/>
        </w:rPr>
        <w:t xml:space="preserve"> licensed for the treatment of IBD</w:t>
      </w:r>
      <w:r w:rsidR="00A2462C" w:rsidRPr="00922C73">
        <w:rPr>
          <w:rFonts w:ascii="Times New Roman" w:hAnsi="Times New Roman" w:cs="Times New Roman"/>
          <w:sz w:val="24"/>
          <w:szCs w:val="24"/>
        </w:rPr>
        <w:t xml:space="preserve">. </w:t>
      </w:r>
      <w:r w:rsidR="00307650" w:rsidRPr="00922C73">
        <w:rPr>
          <w:rFonts w:ascii="Times New Roman" w:hAnsi="Times New Roman" w:cs="Times New Roman"/>
          <w:sz w:val="24"/>
          <w:szCs w:val="24"/>
        </w:rPr>
        <w:t>A</w:t>
      </w:r>
      <w:r w:rsidR="0083298B" w:rsidRPr="00922C73">
        <w:rPr>
          <w:rFonts w:ascii="Times New Roman" w:hAnsi="Times New Roman" w:cs="Times New Roman"/>
          <w:sz w:val="24"/>
          <w:szCs w:val="24"/>
        </w:rPr>
        <w:t>nti-</w:t>
      </w:r>
      <w:r w:rsidR="0071785F" w:rsidRPr="00922C73">
        <w:rPr>
          <w:rFonts w:ascii="Times New Roman" w:hAnsi="Times New Roman" w:cs="Times New Roman"/>
          <w:sz w:val="24"/>
          <w:szCs w:val="24"/>
        </w:rPr>
        <w:t>tumour necrosis factor-α (TNFα) a</w:t>
      </w:r>
      <w:r w:rsidR="0083298B" w:rsidRPr="00922C73">
        <w:rPr>
          <w:rFonts w:ascii="Times New Roman" w:hAnsi="Times New Roman" w:cs="Times New Roman"/>
          <w:sz w:val="24"/>
          <w:szCs w:val="24"/>
        </w:rPr>
        <w:t>gents:</w:t>
      </w:r>
      <w:r w:rsidR="0071785F" w:rsidRPr="00922C73">
        <w:rPr>
          <w:rFonts w:ascii="Times New Roman" w:hAnsi="Times New Roman" w:cs="Times New Roman"/>
          <w:sz w:val="24"/>
          <w:szCs w:val="24"/>
        </w:rPr>
        <w:t xml:space="preserve"> </w:t>
      </w:r>
      <w:r w:rsidR="00307650" w:rsidRPr="00922C73">
        <w:rPr>
          <w:rFonts w:ascii="Times New Roman" w:hAnsi="Times New Roman" w:cs="Times New Roman"/>
          <w:sz w:val="24"/>
          <w:szCs w:val="24"/>
        </w:rPr>
        <w:t xml:space="preserve">infliximab, </w:t>
      </w:r>
      <w:r w:rsidR="0071785F" w:rsidRPr="00922C73">
        <w:rPr>
          <w:rFonts w:ascii="Times New Roman" w:hAnsi="Times New Roman" w:cs="Times New Roman"/>
          <w:sz w:val="24"/>
          <w:szCs w:val="24"/>
        </w:rPr>
        <w:t xml:space="preserve">adalimumab, golimumab, </w:t>
      </w:r>
      <w:r w:rsidR="0083298B" w:rsidRPr="00922C73">
        <w:rPr>
          <w:rFonts w:ascii="Times New Roman" w:hAnsi="Times New Roman" w:cs="Times New Roman"/>
          <w:sz w:val="24"/>
          <w:szCs w:val="24"/>
        </w:rPr>
        <w:t xml:space="preserve">certolizumab (though the latter is not licensed for </w:t>
      </w:r>
      <w:r w:rsidR="0083298B" w:rsidRPr="00922C73">
        <w:rPr>
          <w:rFonts w:ascii="Times New Roman" w:hAnsi="Times New Roman" w:cs="Times New Roman"/>
          <w:sz w:val="24"/>
          <w:szCs w:val="24"/>
        </w:rPr>
        <w:lastRenderedPageBreak/>
        <w:t>use in the United Kingdom), anti-α4β7 integrin: vedolizumab</w:t>
      </w:r>
      <w:r w:rsidR="0071785F" w:rsidRPr="00922C73">
        <w:rPr>
          <w:rFonts w:ascii="Times New Roman" w:hAnsi="Times New Roman" w:cs="Times New Roman"/>
          <w:sz w:val="24"/>
          <w:szCs w:val="24"/>
        </w:rPr>
        <w:t xml:space="preserve">, </w:t>
      </w:r>
      <w:r w:rsidR="0083298B" w:rsidRPr="00922C73">
        <w:rPr>
          <w:rFonts w:ascii="Times New Roman" w:hAnsi="Times New Roman" w:cs="Times New Roman"/>
          <w:sz w:val="24"/>
          <w:szCs w:val="24"/>
          <w:shd w:val="clear" w:color="auto" w:fill="FFFFFF"/>
        </w:rPr>
        <w:t>anti-interleukin-12</w:t>
      </w:r>
      <w:r w:rsidR="00DB393E" w:rsidRPr="00922C73">
        <w:rPr>
          <w:rFonts w:ascii="Times New Roman" w:hAnsi="Times New Roman" w:cs="Times New Roman"/>
          <w:sz w:val="24"/>
          <w:szCs w:val="24"/>
          <w:shd w:val="clear" w:color="auto" w:fill="FFFFFF"/>
        </w:rPr>
        <w:t xml:space="preserve"> and </w:t>
      </w:r>
      <w:r w:rsidR="0083298B" w:rsidRPr="00922C73">
        <w:rPr>
          <w:rFonts w:ascii="Times New Roman" w:hAnsi="Times New Roman" w:cs="Times New Roman"/>
          <w:sz w:val="24"/>
          <w:szCs w:val="24"/>
          <w:shd w:val="clear" w:color="auto" w:fill="FFFFFF"/>
        </w:rPr>
        <w:t>23:</w:t>
      </w:r>
      <w:r w:rsidR="0083298B" w:rsidRPr="00922C73">
        <w:rPr>
          <w:rFonts w:ascii="Times New Roman" w:hAnsi="Times New Roman" w:cs="Times New Roman"/>
          <w:sz w:val="24"/>
          <w:szCs w:val="24"/>
        </w:rPr>
        <w:t xml:space="preserve"> </w:t>
      </w:r>
      <w:proofErr w:type="spellStart"/>
      <w:r w:rsidR="0083298B" w:rsidRPr="00922C73">
        <w:rPr>
          <w:rFonts w:ascii="Times New Roman" w:hAnsi="Times New Roman" w:cs="Times New Roman"/>
          <w:sz w:val="24"/>
          <w:szCs w:val="24"/>
        </w:rPr>
        <w:t>ustekinumab</w:t>
      </w:r>
      <w:proofErr w:type="spellEnd"/>
      <w:r w:rsidR="0071785F" w:rsidRPr="00922C73">
        <w:rPr>
          <w:rFonts w:ascii="Times New Roman" w:hAnsi="Times New Roman" w:cs="Times New Roman"/>
          <w:sz w:val="24"/>
          <w:szCs w:val="24"/>
        </w:rPr>
        <w:t xml:space="preserve"> and </w:t>
      </w:r>
      <w:r w:rsidR="006C571E" w:rsidRPr="00922C73">
        <w:rPr>
          <w:rFonts w:ascii="Times New Roman" w:hAnsi="Times New Roman" w:cs="Times New Roman"/>
          <w:sz w:val="24"/>
          <w:szCs w:val="24"/>
          <w:shd w:val="clear" w:color="auto" w:fill="FFFFFF"/>
        </w:rPr>
        <w:t>J</w:t>
      </w:r>
      <w:r w:rsidR="0083298B" w:rsidRPr="00922C73">
        <w:rPr>
          <w:rFonts w:ascii="Times New Roman" w:hAnsi="Times New Roman" w:cs="Times New Roman"/>
          <w:sz w:val="24"/>
          <w:szCs w:val="24"/>
          <w:shd w:val="clear" w:color="auto" w:fill="FFFFFF"/>
        </w:rPr>
        <w:t xml:space="preserve">anus kinase inhibitors: </w:t>
      </w:r>
      <w:r w:rsidR="009C4257" w:rsidRPr="00922C73">
        <w:rPr>
          <w:rFonts w:ascii="Times New Roman" w:hAnsi="Times New Roman" w:cs="Times New Roman"/>
          <w:sz w:val="24"/>
          <w:szCs w:val="24"/>
          <w:shd w:val="clear" w:color="auto" w:fill="FFFFFF"/>
        </w:rPr>
        <w:t>t</w:t>
      </w:r>
      <w:r w:rsidR="0083298B" w:rsidRPr="00922C73">
        <w:rPr>
          <w:rFonts w:ascii="Times New Roman" w:hAnsi="Times New Roman" w:cs="Times New Roman"/>
          <w:sz w:val="24"/>
          <w:szCs w:val="24"/>
          <w:shd w:val="clear" w:color="auto" w:fill="FFFFFF"/>
        </w:rPr>
        <w:t>ofacitinib (only in UC)</w:t>
      </w:r>
      <w:r w:rsidR="0083298B" w:rsidRPr="00922C73">
        <w:rPr>
          <w:rFonts w:ascii="Times New Roman" w:hAnsi="Times New Roman" w:cs="Times New Roman"/>
          <w:sz w:val="24"/>
          <w:szCs w:val="24"/>
        </w:rPr>
        <w:t xml:space="preserve"> have become licensed</w:t>
      </w:r>
      <w:r w:rsidR="009C4257" w:rsidRPr="00922C73">
        <w:rPr>
          <w:rFonts w:ascii="Times New Roman" w:hAnsi="Times New Roman" w:cs="Times New Roman"/>
          <w:sz w:val="24"/>
          <w:szCs w:val="24"/>
        </w:rPr>
        <w:t xml:space="preserve"> </w:t>
      </w:r>
      <w:r w:rsidR="009C4257" w:rsidRPr="00922C73">
        <w:rPr>
          <w:rFonts w:ascii="Times New Roman" w:hAnsi="Times New Roman" w:cs="Times New Roman"/>
          <w:b/>
          <w:bCs/>
          <w:sz w:val="24"/>
          <w:szCs w:val="24"/>
        </w:rPr>
        <w:fldChar w:fldCharType="begin" w:fldLock="1"/>
      </w:r>
      <w:r w:rsidR="00DD0F87" w:rsidRPr="00922C73">
        <w:rPr>
          <w:rFonts w:ascii="Times New Roman" w:hAnsi="Times New Roman" w:cs="Times New Roman"/>
          <w:b/>
          <w:bCs/>
          <w:sz w:val="24"/>
          <w:szCs w:val="24"/>
        </w:rPr>
        <w:instrText>ADDIN CSL_CITATION {"citationItems":[{"id":"ITEM-1","itemData":{"author":[{"dropping-particle":"","family":"National Institute for Health and Care Excellence","given":"","non-dropping-particle":"","parse-names":false,"suffix":""}],"id":"ITEM-1","issue":"August","issued":{"date-parts":[["2015"]]},"title":"Vedolizumab for treating moderately to severely active Crohn's disease after prior therapy [TA352]","type":"article-journal"},"uris":["http://www.mendeley.com/documents/?uuid=57e84c20-c8ef-4248-90fa-7997892ff67d","http://www.mendeley.com/documents/?uuid=b748b95e-f091-41ce-8460-140186a49260","http://www.mendeley.com/documents/?uuid=51acca58-3669-49c2-a120-b4b3468b4fcc"]},{"id":"ITEM-2","itemData":{"author":[{"dropping-particle":"","family":"National Institute for Health and Care Excellence","given":"","non-dropping-particle":"","parse-names":false,"suffix":""}],"id":"ITEM-2","issue":"October","issued":{"date-parts":[["2012"]]},"page":"1-34","title":"Crohn's disease: management (Nice Guidelines)","type":"article-journal"},"uris":["http://www.mendeley.com/documents/?uuid=704fa8d3-5b7d-4658-a38c-9330b9a037e1","http://www.mendeley.com/documents/?uuid=c21467fa-65c3-492a-901b-69c871f03c85","http://www.mendeley.com/documents/?uuid=4b07ebbd-db62-4f90-a706-686c56a1fa64"]},{"id":"ITEM-3","itemData":{"author":[{"dropping-particle":"","family":"National Institute for Health and Care Excellence","given":"","non-dropping-particle":"","parse-names":false,"suffix":""}],"id":"ITEM-3","issue":"June","issued":{"date-parts":[["2013"]]},"title":"Ulcerative colitis: management (CG166)","type":"article-journal"},"uris":["http://www.mendeley.com/documents/?uuid=57d7b49a-df2d-4566-8ddd-b6b28c6c0454","http://www.mendeley.com/documents/?uuid=e412afdc-95c2-4f48-aac9-fe0b19ba14dc","http://www.mendeley.com/documents/?uuid=8fc60315-8c9d-48d3-8661-a4207744a375","http://www.mendeley.com/documents/?uuid=8b4cdd8f-1d14-4846-a4be-88b8129ec0bc","http://www.mendeley.com/documents/?uuid=ad725470-e54b-4a26-b91f-7fa7c063e7de"]},{"id":"ITEM-4","itemData":{"abstract":"The recommendations in this guidance represent the view of NICE, arrived at after careful consideration of the evidence available. When exercising their judgement, health professionals are expected to take this guidance fully into account, alongside the individual needs, preferences and values of their patients. The application of the recommendations in this guidance are at the discretion of health professionals and their individual patients and do not override the responsibility of healthcare professionals to make decisions appropriate to the circumstances of the individual patient, in consultation with the patient and/or their carer or guardian. Commissioners and/or providers have a responsibility to provide the funding required to enable the guidance to be applied when individual health professionals and their patients wish to use it, in accordance with the NHS Constitution. They should do so in light of their duties to have due regard to the need to eliminate unlawful discrimination, to advance equality of opportunity and to reduce health inequalities. Infliximab and adalimumab for the treatment of Crohn's disease (TA187)","author":[{"dropping-particle":"","family":"National Institute for Health and Care Excellence","given":"","non-dropping-particle":"","parse-names":false,"suffix":""}],"id":"ITEM-4","issue":"May","issued":{"date-parts":[["2013"]]},"page":"1-44","title":"Infliximab and adalimumab for the treatment of Crohn ' s disease [TA187]","type":"article-journal"},"uris":["http://www.mendeley.com/documents/?uuid=ed31d8aa-605e-49a6-ae75-28b32d4485c4","http://www.mendeley.com/documents/?uuid=f73a5670-a9d9-4b9f-8867-94146c55ff81","http://www.mendeley.com/documents/?uuid=6b5c864c-3a30-4a63-8bd4-cca65c383921","http://www.mendeley.com/documents/?uuid=d4337414-15dd-4bd3-bed9-26a8d75f884d","http://www.mendeley.com/documents/?uuid=910a5188-ceef-4bc7-9267-d8fc34fb2049"]},{"id":"ITEM-5","itemData":{"author":[{"dropping-particle":"","family":"National Institute for Health and Care Excellence","given":"","non-dropping-particle":"","parse-names":false,"suffix":""}],"id":"ITEM-5","issue":"February","issued":{"date-parts":[["2015"]]},"title":"Infliximab, adalimumab and golimumab for treating moderately to severely active ulcerative colitis after the failure of conventional therapy [TA329]","type":"article-journal"},"uris":["http://www.mendeley.com/documents/?uuid=049b1f3f-8d62-46f1-8f72-119fa2791bf8","http://www.mendeley.com/documents/?uuid=ed599827-115d-4fb6-9003-00b3eb76ecaa","http://www.mendeley.com/documents/?uuid=187a2183-dada-4121-b4fd-c681cfe2f4d2","http://www.mendeley.com/documents/?uuid=f033ce4d-b01c-4c80-a6f3-fc24320ac7b8","http://www.mendeley.com/documents/?uuid=6c425e4c-aac9-4aeb-99ea-3bba5edce10a"]},{"id":"ITEM-6","itemData":{"DOI":"10.1056/NEJMoa1602773","ISBN":"NJ201611173752008","ISSN":"0028-4793","PMID":"27959607","abstract":"BackgroundUstekinumab, a monoclonal antibody to the p40 subunit of interleukin-12 and interleukin-23, was evaluated as an intravenous induction therapy in two populations with moderately to severely active Crohn’s disease. Ustekinumab was also evaluated as subcutaneous maintenance therapy. MethodsWe randomly assigned patients to receive a single intravenous dose of ustekinumab (either 130 mg or approximately 6 mg per kilogram of body weight) or placebo in two induction trials. The UNITI-1 trial included 741 patients who met the criteria for primary or secondary nonresponse to tumor necrosis factor (TNF) antagonists or had unacceptable side effects. The UNITI-2 trial included 628 patients in whom conventional therapy failed or unacceptable side effects occurred. Patients who completed these induction trials then participated in IM-UNITI, in which the 397 patients who had a response to ustekinumab were randomly assigned to receive subcutaneous maintenance injections of 90 mg of ustekinumab (either every 8 w...","author":[{"dropping-particle":"","family":"Feagan","given":"Brian G.","non-dropping-particle":"","parse-names":false,"suffix":""},{"dropping-particle":"","family":"Sandborn","given":"William J.","non-dropping-particle":"","parse-names":false,"suffix":""},{"dropping-particle":"","family":"Gasink","given":"Christopher","non-dropping-particle":"","parse-names":false,"suffix":""},{"dropping-particle":"","family":"Jacobstein","given":"Douglas","non-dropping-particle":"","parse-names":false,"suffix":""},{"dropping-particle":"","family":"Lang","given":"Yinghua","non-dropping-particle":"","parse-names":false,"suffix":""},{"dropping-particle":"","family":"Friedman","given":"Joshua R.","non-dropping-particle":"","parse-names":false,"suffix":""},{"dropping-particle":"","family":"Blank","given":"Marion A.","non-dropping-particle":"","parse-names":false,"suffix":""},{"dropping-particle":"","family":"Johanns","given":"Jewel","non-dropping-particle":"","parse-names":false,"suffix":""},{"dropping-particle":"","family":"Gao","given":"Long-Long","non-dropping-particle":"","parse-names":false,"suffix":""},{"dropping-particle":"","family":"Miao","given":"Ye","non-dropping-particle":"","parse-names":false,"suffix":""},{"dropping-particle":"","family":"Adedokun","given":"Omoniyi J.","non-dropping-particle":"","parse-names":false,"suffix":""},{"dropping-particle":"","family":"Sands","given":"Bruce E.","non-dropping-particle":"","parse-names":false,"suffix":""},{"dropping-particle":"","family":"Hanauer","given":"Stephen B.","non-dropping-particle":"","parse-names":false,"suffix":""},{"dropping-particle":"","family":"Vermeire","given":"Severine","non-dropping-particle":"","parse-names":false,"suffix":""},{"dropping-particle":"","family":"Targan","given":"Stephan","non-dropping-particle":"","parse-names":false,"suffix":""},{"dropping-particle":"","family":"Ghosh","given":"Subrata","non-dropping-particle":"","parse-names":false,"suffix":""},{"dropping-particle":"","family":"Villiers","given":"Willem J.","non-dropping-particle":"de","parse-names":false,"suffix":""},{"dropping-particle":"","family":"Colombel","given":"Jean-Frédéric","non-dropping-particle":"","parse-names":false,"suffix":""},{"dropping-particle":"","family":"Tulassay","given":"Zsolt","non-dropping-particle":"","parse-names":false,"suffix":""},{"dropping-particle":"","family":"Seidler","given":"Ursula","non-dropping-particle":"","parse-names":false,"suffix":""},{"dropping-particle":"","family":"Salzberg","given":"Bruce A.","non-dropping-particle":"","parse-names":false,"suffix":""},{"dropping-particle":"","family":"Desreumaux","given":"Pierre","non-dropping-particle":"","parse-names":false,"suffix":""},{"dropping-particle":"","family":"Lee","given":"Scott D.","non-dropping-particle":"","parse-names":false,"suffix":""},{"dropping-particle":"V.","family":"Loftus","given":"Edward","non-dropping-particle":"","parse-names":false,"suffix":""},{"dropping-particle":"","family":"Dieleman","given":"Levinus A.","non-dropping-particle":"","parse-names":false,"suffix":""},{"dropping-particle":"","family":"Katz","given":"Seymour","non-dropping-particle":"","parse-names":false,"suffix":""},{"dropping-particle":"","family":"Rutgeerts","given":"Paul","non-dropping-particle":"","parse-names":false,"suffix":""}],"container-title":"New England Journal of Medicine","id":"ITEM-6","issue":"20","issued":{"date-parts":[["2016","11"]]},"page":"1946-1960","title":"Ustekinumab as Induction and Maintenance Therapy for Crohn’s Disease","type":"article-journal","volume":"375"},"uris":["http://www.mendeley.com/documents/?uuid=6801fbb2-b6da-442a-a9a6-d738ddbd7703"]},{"id":"ITEM-7","itemData":{"author":[{"dropping-particle":"","family":"National Institute for Health and Care Excellence","given":"","non-dropping-particle":"","parse-names":false,"suffix":""}],"id":"ITEM-7","issued":{"date-parts":[["2018"]]},"title":"Tofacitinib for moderately to severely active ulcerative colitis. Technology appraisal guidance [TA547].","type":"article-journal"},"uris":["http://www.mendeley.com/documents/?uuid=04cd2389-f921-450b-98fc-40eb1c2c2bbd"]}],"mendeley":{"formattedCitation":"&lt;sup&gt;19–25&lt;/sup&gt;","plainTextFormattedCitation":"19–25","previouslyFormattedCitation":"&lt;sup&gt;19–25&lt;/sup&gt;"},"properties":{"noteIndex":0},"schema":"https://github.com/citation-style-language/schema/raw/master/csl-citation.json"}</w:instrText>
      </w:r>
      <w:r w:rsidR="009C4257" w:rsidRPr="00922C73">
        <w:rPr>
          <w:rFonts w:ascii="Times New Roman" w:hAnsi="Times New Roman" w:cs="Times New Roman"/>
          <w:b/>
          <w:bCs/>
          <w:sz w:val="24"/>
          <w:szCs w:val="24"/>
        </w:rPr>
        <w:fldChar w:fldCharType="separate"/>
      </w:r>
      <w:r w:rsidR="00A00D49" w:rsidRPr="00922C73">
        <w:rPr>
          <w:rFonts w:ascii="Times New Roman" w:hAnsi="Times New Roman" w:cs="Times New Roman"/>
          <w:bCs/>
          <w:noProof/>
          <w:sz w:val="24"/>
          <w:szCs w:val="24"/>
          <w:vertAlign w:val="superscript"/>
        </w:rPr>
        <w:t>19–25</w:t>
      </w:r>
      <w:r w:rsidR="009C4257" w:rsidRPr="00922C73">
        <w:rPr>
          <w:rFonts w:ascii="Times New Roman" w:hAnsi="Times New Roman" w:cs="Times New Roman"/>
          <w:b/>
          <w:bCs/>
          <w:sz w:val="24"/>
          <w:szCs w:val="24"/>
        </w:rPr>
        <w:fldChar w:fldCharType="end"/>
      </w:r>
      <w:r w:rsidR="0083298B" w:rsidRPr="00922C73">
        <w:rPr>
          <w:rFonts w:ascii="Times New Roman" w:hAnsi="Times New Roman" w:cs="Times New Roman"/>
          <w:sz w:val="24"/>
          <w:szCs w:val="24"/>
        </w:rPr>
        <w:t>.</w:t>
      </w:r>
      <w:r w:rsidR="00694BAC" w:rsidRPr="00922C73">
        <w:rPr>
          <w:rFonts w:ascii="Times New Roman" w:hAnsi="Times New Roman" w:cs="Times New Roman"/>
          <w:sz w:val="24"/>
          <w:szCs w:val="24"/>
        </w:rPr>
        <w:t xml:space="preserve"> </w:t>
      </w:r>
      <w:bookmarkStart w:id="16" w:name="_Hlk87267550"/>
      <w:r w:rsidR="00307650" w:rsidRPr="00922C73">
        <w:rPr>
          <w:rFonts w:ascii="Times New Roman" w:hAnsi="Times New Roman" w:cs="Times New Roman"/>
          <w:sz w:val="24"/>
          <w:szCs w:val="24"/>
        </w:rPr>
        <w:t>Figure 2 shows a</w:t>
      </w:r>
      <w:r w:rsidR="002245BA" w:rsidRPr="00922C73">
        <w:rPr>
          <w:rFonts w:ascii="Times New Roman" w:hAnsi="Times New Roman" w:cs="Times New Roman"/>
          <w:sz w:val="24"/>
          <w:szCs w:val="24"/>
        </w:rPr>
        <w:t xml:space="preserve"> “step-up” approach, </w:t>
      </w:r>
      <w:r w:rsidR="002245BA" w:rsidRPr="00922C73">
        <w:rPr>
          <w:rFonts w:ascii="Times New Roman" w:eastAsia="MS PGothic" w:hAnsi="Times New Roman" w:cs="Times New Roman"/>
          <w:kern w:val="24"/>
          <w:sz w:val="24"/>
          <w:szCs w:val="24"/>
        </w:rPr>
        <w:t xml:space="preserve">utilising </w:t>
      </w:r>
      <w:r w:rsidR="00E52DE3" w:rsidRPr="00922C73">
        <w:rPr>
          <w:rFonts w:ascii="Times New Roman" w:eastAsia="MS PGothic" w:hAnsi="Times New Roman" w:cs="Times New Roman"/>
          <w:kern w:val="24"/>
          <w:sz w:val="24"/>
          <w:szCs w:val="24"/>
        </w:rPr>
        <w:t>‘</w:t>
      </w:r>
      <w:r w:rsidR="002245BA" w:rsidRPr="00922C73">
        <w:rPr>
          <w:rFonts w:ascii="Times New Roman" w:eastAsia="MS PGothic" w:hAnsi="Times New Roman" w:cs="Times New Roman"/>
          <w:kern w:val="24"/>
          <w:sz w:val="24"/>
          <w:szCs w:val="24"/>
        </w:rPr>
        <w:t>stronger</w:t>
      </w:r>
      <w:r w:rsidR="00E52DE3" w:rsidRPr="00922C73">
        <w:rPr>
          <w:rFonts w:ascii="Times New Roman" w:eastAsia="MS PGothic" w:hAnsi="Times New Roman" w:cs="Times New Roman"/>
          <w:kern w:val="24"/>
          <w:sz w:val="24"/>
          <w:szCs w:val="24"/>
        </w:rPr>
        <w:t>’</w:t>
      </w:r>
      <w:r w:rsidR="002245BA" w:rsidRPr="00922C73">
        <w:rPr>
          <w:rFonts w:ascii="Times New Roman" w:eastAsia="MS PGothic" w:hAnsi="Times New Roman" w:cs="Times New Roman"/>
          <w:kern w:val="24"/>
          <w:sz w:val="24"/>
          <w:szCs w:val="24"/>
        </w:rPr>
        <w:t xml:space="preserve"> medications as the disease becomes more severe</w:t>
      </w:r>
      <w:r w:rsidR="002245BA" w:rsidRPr="00922C73">
        <w:rPr>
          <w:rFonts w:ascii="Times New Roman" w:hAnsi="Times New Roman" w:cs="Times New Roman"/>
          <w:sz w:val="24"/>
          <w:szCs w:val="24"/>
        </w:rPr>
        <w:t xml:space="preserve">. </w:t>
      </w:r>
      <w:r w:rsidR="00307650" w:rsidRPr="00922C73">
        <w:rPr>
          <w:rFonts w:ascii="Times New Roman" w:hAnsi="Times New Roman" w:cs="Times New Roman"/>
          <w:sz w:val="24"/>
          <w:szCs w:val="24"/>
        </w:rPr>
        <w:t>Nutrition is an important adjunct at all stages of treatment and s</w:t>
      </w:r>
      <w:r w:rsidR="00820393" w:rsidRPr="00922C73">
        <w:rPr>
          <w:rFonts w:ascii="Times New Roman" w:hAnsi="Times New Roman" w:cs="Times New Roman"/>
          <w:sz w:val="24"/>
          <w:szCs w:val="24"/>
        </w:rPr>
        <w:t>urgery</w:t>
      </w:r>
      <w:r w:rsidR="00A2462C" w:rsidRPr="00922C73">
        <w:rPr>
          <w:rFonts w:ascii="Times New Roman" w:hAnsi="Times New Roman" w:cs="Times New Roman"/>
          <w:sz w:val="24"/>
          <w:szCs w:val="24"/>
        </w:rPr>
        <w:t xml:space="preserve"> remains an important option</w:t>
      </w:r>
      <w:r w:rsidR="00820393" w:rsidRPr="00922C73">
        <w:rPr>
          <w:rFonts w:ascii="Times New Roman" w:hAnsi="Times New Roman" w:cs="Times New Roman"/>
          <w:sz w:val="24"/>
          <w:szCs w:val="24"/>
        </w:rPr>
        <w:t xml:space="preserve"> for </w:t>
      </w:r>
      <w:r w:rsidR="002245BA" w:rsidRPr="00922C73">
        <w:rPr>
          <w:rFonts w:ascii="Times New Roman" w:hAnsi="Times New Roman" w:cs="Times New Roman"/>
          <w:sz w:val="24"/>
          <w:szCs w:val="24"/>
        </w:rPr>
        <w:t xml:space="preserve">medically </w:t>
      </w:r>
      <w:r w:rsidR="00820393" w:rsidRPr="00922C73">
        <w:rPr>
          <w:rFonts w:ascii="Times New Roman" w:hAnsi="Times New Roman" w:cs="Times New Roman"/>
          <w:sz w:val="24"/>
          <w:szCs w:val="24"/>
        </w:rPr>
        <w:t xml:space="preserve">refractory acute severe disease, or for relapsing disease, fibrotic strictures, </w:t>
      </w:r>
      <w:proofErr w:type="spellStart"/>
      <w:r w:rsidR="00820393" w:rsidRPr="00922C73">
        <w:rPr>
          <w:rFonts w:ascii="Times New Roman" w:hAnsi="Times New Roman" w:cs="Times New Roman"/>
          <w:sz w:val="24"/>
          <w:szCs w:val="24"/>
        </w:rPr>
        <w:t>fistulating</w:t>
      </w:r>
      <w:proofErr w:type="spellEnd"/>
      <w:r w:rsidR="00820393" w:rsidRPr="00922C73">
        <w:rPr>
          <w:rFonts w:ascii="Times New Roman" w:hAnsi="Times New Roman" w:cs="Times New Roman"/>
          <w:sz w:val="24"/>
          <w:szCs w:val="24"/>
        </w:rPr>
        <w:t xml:space="preserve"> or complicated CD </w:t>
      </w:r>
      <w:r w:rsidR="00820393"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Excellence","given":"","non-dropping-particle":"","parse-names":false,"suffix":""}],"id":"ITEM-1","issue":"October","issued":{"date-parts":[["2012"]]},"page":"1-34","title":"Crohn's disease: management (Nice Guidelines)","type":"article-journal"},"uris":["http://www.mendeley.com/documents/?uuid=704fa8d3-5b7d-4658-a38c-9330b9a037e1","http://www.mendeley.com/documents/?uuid=c21467fa-65c3-492a-901b-69c871f03c85","http://www.mendeley.com/documents/?uuid=4b07ebbd-db62-4f90-a706-686c56a1fa64"]},{"id":"ITEM-2","itemData":{"author":[{"dropping-particle":"","family":"National Institute for Health and Care Excellence","given":"","non-dropping-particle":"","parse-names":false,"suffix":""}],"id":"ITEM-2","issue":"June","issued":{"date-parts":[["2013"]]},"title":"Ulcerative colitis: management (CG166)","type":"article-journal"},"uris":["http://www.mendeley.com/documents/?uuid=57d7b49a-df2d-4566-8ddd-b6b28c6c0454","http://www.mendeley.com/documents/?uuid=e412afdc-95c2-4f48-aac9-fe0b19ba14dc","http://www.mendeley.com/documents/?uuid=8fc60315-8c9d-48d3-8661-a4207744a375","http://www.mendeley.com/documents/?uuid=92ad227f-19fc-480f-8125-63969926919e","http://www.mendeley.com/documents/?uuid=1ef9f236-ea03-4780-9750-23c9ad83401e"]}],"mendeley":{"formattedCitation":"&lt;sup&gt;19,20&lt;/sup&gt;","plainTextFormattedCitation":"19,20","previouslyFormattedCitation":"&lt;sup&gt;19,20&lt;/sup&gt;"},"properties":{"noteIndex":0},"schema":"https://github.com/citation-style-language/schema/raw/master/csl-citation.json"}</w:instrText>
      </w:r>
      <w:r w:rsidR="00820393"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19,20</w:t>
      </w:r>
      <w:r w:rsidR="00820393" w:rsidRPr="00922C73">
        <w:rPr>
          <w:rFonts w:ascii="Times New Roman" w:hAnsi="Times New Roman" w:cs="Times New Roman"/>
          <w:sz w:val="24"/>
          <w:szCs w:val="24"/>
        </w:rPr>
        <w:fldChar w:fldCharType="end"/>
      </w:r>
      <w:r w:rsidR="00820393" w:rsidRPr="00922C73">
        <w:rPr>
          <w:rFonts w:ascii="Times New Roman" w:hAnsi="Times New Roman" w:cs="Times New Roman"/>
          <w:sz w:val="24"/>
          <w:szCs w:val="24"/>
        </w:rPr>
        <w:t xml:space="preserve">. </w:t>
      </w:r>
      <w:bookmarkEnd w:id="16"/>
    </w:p>
    <w:p w14:paraId="585FECB0" w14:textId="77777777" w:rsidR="004A0EE0" w:rsidRPr="00922C73" w:rsidRDefault="004A0EE0" w:rsidP="004A0EE0">
      <w:pPr>
        <w:kinsoku w:val="0"/>
        <w:overflowPunct w:val="0"/>
        <w:spacing w:before="86" w:after="0" w:line="480" w:lineRule="auto"/>
        <w:textAlignment w:val="baseline"/>
        <w:rPr>
          <w:rFonts w:ascii="Times New Roman" w:hAnsi="Times New Roman" w:cs="Times New Roman"/>
          <w:sz w:val="24"/>
          <w:szCs w:val="24"/>
        </w:rPr>
      </w:pPr>
    </w:p>
    <w:p w14:paraId="166382D3" w14:textId="77777777" w:rsidR="004A0EE0" w:rsidRPr="00922C73" w:rsidRDefault="004A0EE0" w:rsidP="004A0EE0">
      <w:pPr>
        <w:kinsoku w:val="0"/>
        <w:overflowPunct w:val="0"/>
        <w:spacing w:before="86" w:after="0" w:line="480" w:lineRule="auto"/>
        <w:textAlignment w:val="baseline"/>
        <w:rPr>
          <w:rFonts w:ascii="Times New Roman" w:hAnsi="Times New Roman" w:cs="Times New Roman"/>
          <w:sz w:val="24"/>
          <w:szCs w:val="24"/>
        </w:rPr>
      </w:pPr>
    </w:p>
    <w:p w14:paraId="299567FA" w14:textId="3AABA629" w:rsidR="007A7F79" w:rsidRPr="00922C73" w:rsidRDefault="00A2462C" w:rsidP="006774D6">
      <w:pPr>
        <w:spacing w:line="480" w:lineRule="auto"/>
        <w:rPr>
          <w:rFonts w:ascii="Times New Roman" w:hAnsi="Times New Roman" w:cs="Times New Roman"/>
          <w:sz w:val="24"/>
          <w:szCs w:val="24"/>
        </w:rPr>
      </w:pPr>
      <w:r w:rsidRPr="00922C73">
        <w:rPr>
          <w:noProof/>
        </w:rPr>
        <mc:AlternateContent>
          <mc:Choice Requires="wps">
            <w:drawing>
              <wp:anchor distT="0" distB="0" distL="114300" distR="114300" simplePos="0" relativeHeight="251641856" behindDoc="0" locked="0" layoutInCell="1" allowOverlap="1" wp14:anchorId="09320628" wp14:editId="22E6FD69">
                <wp:simplePos x="0" y="0"/>
                <wp:positionH relativeFrom="column">
                  <wp:posOffset>4335781</wp:posOffset>
                </wp:positionH>
                <wp:positionV relativeFrom="paragraph">
                  <wp:posOffset>447675</wp:posOffset>
                </wp:positionV>
                <wp:extent cx="45719" cy="3352800"/>
                <wp:effectExtent l="57150" t="38100" r="50165" b="38100"/>
                <wp:wrapNone/>
                <wp:docPr id="29" name="Straight Arrow Connector 29"/>
                <wp:cNvGraphicFramePr/>
                <a:graphic xmlns:a="http://schemas.openxmlformats.org/drawingml/2006/main">
                  <a:graphicData uri="http://schemas.microsoft.com/office/word/2010/wordprocessingShape">
                    <wps:wsp>
                      <wps:cNvCnPr/>
                      <wps:spPr>
                        <a:xfrm flipH="1">
                          <a:off x="0" y="0"/>
                          <a:ext cx="45719" cy="3352800"/>
                        </a:xfrm>
                        <a:prstGeom prst="straightConnector1">
                          <a:avLst/>
                        </a:prstGeom>
                        <a:noFill/>
                        <a:ln w="28575"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BDDD6AB" id="_x0000_t32" coordsize="21600,21600" o:spt="32" o:oned="t" path="m,l21600,21600e" filled="f">
                <v:path arrowok="t" fillok="f" o:connecttype="none"/>
                <o:lock v:ext="edit" shapetype="t"/>
              </v:shapetype>
              <v:shape id="Straight Arrow Connector 29" o:spid="_x0000_s1026" type="#_x0000_t32" style="position:absolute;margin-left:341.4pt;margin-top:35.25pt;width:3.6pt;height:264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" strokecolor="windowText" strokeweight="2.25pt">
                <v:stroke startarrow="block" endarrow="block" joinstyle="miter"/>
              </v:shape>
            </w:pict>
          </mc:Fallback>
        </mc:AlternateContent>
      </w:r>
      <w:r w:rsidR="007A7F79" w:rsidRPr="00922C73">
        <w:rPr>
          <w:rFonts w:ascii="Times New Roman" w:hAnsi="Times New Roman" w:cs="Times New Roman"/>
          <w:noProof/>
          <w:sz w:val="24"/>
          <w:szCs w:val="24"/>
        </w:rPr>
        <w:drawing>
          <wp:anchor distT="0" distB="0" distL="114300" distR="114300" simplePos="0" relativeHeight="251636736" behindDoc="1" locked="0" layoutInCell="1" allowOverlap="1" wp14:anchorId="19D0BA59" wp14:editId="7348D8EC">
            <wp:simplePos x="0" y="0"/>
            <wp:positionH relativeFrom="margin">
              <wp:align>left</wp:align>
            </wp:positionH>
            <wp:positionV relativeFrom="paragraph">
              <wp:posOffset>248285</wp:posOffset>
            </wp:positionV>
            <wp:extent cx="4171950" cy="3600450"/>
            <wp:effectExtent l="19050" t="0" r="38100" b="19050"/>
            <wp:wrapTight wrapText="bothSides">
              <wp:wrapPolygon edited="0">
                <wp:start x="10553" y="0"/>
                <wp:lineTo x="-99" y="21257"/>
                <wp:lineTo x="-99" y="21600"/>
                <wp:lineTo x="21699" y="21600"/>
                <wp:lineTo x="21107" y="20114"/>
                <wp:lineTo x="11145" y="0"/>
                <wp:lineTo x="10553" y="0"/>
              </wp:wrapPolygon>
            </wp:wrapTight>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page">
              <wp14:pctWidth>0</wp14:pctWidth>
            </wp14:sizeRelH>
            <wp14:sizeRelV relativeFrom="page">
              <wp14:pctHeight>0</wp14:pctHeight>
            </wp14:sizeRelV>
          </wp:anchor>
        </w:drawing>
      </w:r>
    </w:p>
    <w:p w14:paraId="14A7BE51" w14:textId="103036BE" w:rsidR="00820393" w:rsidRPr="00922C73" w:rsidRDefault="00820393" w:rsidP="006774D6">
      <w:pPr>
        <w:spacing w:line="480" w:lineRule="auto"/>
        <w:rPr>
          <w:rFonts w:ascii="Times New Roman" w:hAnsi="Times New Roman" w:cs="Times New Roman"/>
          <w:sz w:val="24"/>
          <w:szCs w:val="24"/>
        </w:rPr>
      </w:pPr>
    </w:p>
    <w:p w14:paraId="3F97E039" w14:textId="13AE81E7"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4DDC7AD7" w14:textId="05A0C81F"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1AC53B42" w14:textId="5F28A8AE" w:rsidR="007A7F79" w:rsidRPr="00922C73" w:rsidRDefault="00A2462C" w:rsidP="00204296">
      <w:pPr>
        <w:autoSpaceDE w:val="0"/>
        <w:autoSpaceDN w:val="0"/>
        <w:adjustRightInd w:val="0"/>
        <w:spacing w:after="0" w:line="360" w:lineRule="auto"/>
        <w:rPr>
          <w:rFonts w:ascii="Times New Roman" w:hAnsi="Times New Roman" w:cs="Times New Roman"/>
          <w:sz w:val="24"/>
          <w:szCs w:val="24"/>
        </w:rPr>
      </w:pPr>
      <w:r w:rsidRPr="00922C73">
        <w:rPr>
          <w:rFonts w:ascii="Times New Roman" w:hAnsi="Times New Roman" w:cs="Times New Roman"/>
          <w:noProof/>
          <w:sz w:val="24"/>
          <w:szCs w:val="24"/>
        </w:rPr>
        <mc:AlternateContent>
          <mc:Choice Requires="wps">
            <w:drawing>
              <wp:anchor distT="45720" distB="45720" distL="114300" distR="114300" simplePos="0" relativeHeight="251646976" behindDoc="1" locked="0" layoutInCell="1" allowOverlap="1" wp14:anchorId="545005D5" wp14:editId="60024F1E">
                <wp:simplePos x="0" y="0"/>
                <wp:positionH relativeFrom="page">
                  <wp:posOffset>4581525</wp:posOffset>
                </wp:positionH>
                <wp:positionV relativeFrom="paragraph">
                  <wp:posOffset>241300</wp:posOffset>
                </wp:positionV>
                <wp:extent cx="1485900" cy="1404620"/>
                <wp:effectExtent l="0" t="0" r="19050" b="13970"/>
                <wp:wrapTight wrapText="bothSides">
                  <wp:wrapPolygon edited="0">
                    <wp:start x="0" y="0"/>
                    <wp:lineTo x="0" y="21437"/>
                    <wp:lineTo x="21600" y="21437"/>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04620"/>
                        </a:xfrm>
                        <a:prstGeom prst="rect">
                          <a:avLst/>
                        </a:prstGeom>
                        <a:solidFill>
                          <a:srgbClr val="FFFFFF"/>
                        </a:solidFill>
                        <a:ln w="9525">
                          <a:solidFill>
                            <a:srgbClr val="000000"/>
                          </a:solidFill>
                          <a:miter lim="800000"/>
                          <a:headEnd/>
                          <a:tailEnd/>
                        </a:ln>
                      </wps:spPr>
                      <wps:txbx>
                        <w:txbxContent>
                          <w:p w14:paraId="3DDCF6E0" w14:textId="06537C1A" w:rsidR="007A7F79" w:rsidRPr="007A7F79" w:rsidRDefault="007A7F79">
                            <w:pPr>
                              <w:rPr>
                                <w:rFonts w:ascii="Times New Roman" w:hAnsi="Times New Roman" w:cs="Times New Roman"/>
                                <w:b/>
                                <w:bCs/>
                                <w:sz w:val="24"/>
                                <w:szCs w:val="24"/>
                              </w:rPr>
                            </w:pPr>
                            <w:r w:rsidRPr="007A7F79">
                              <w:rPr>
                                <w:rFonts w:ascii="Times New Roman" w:hAnsi="Times New Roman" w:cs="Times New Roman"/>
                                <w:b/>
                                <w:bCs/>
                                <w:sz w:val="24"/>
                                <w:szCs w:val="24"/>
                              </w:rPr>
                              <w:t>Nutritional support</w:t>
                            </w:r>
                          </w:p>
                          <w:p w14:paraId="4BCC9376" w14:textId="1DDE5402" w:rsidR="007A7F79" w:rsidRPr="007A7F79" w:rsidRDefault="007A7F79">
                            <w:pPr>
                              <w:rPr>
                                <w:rFonts w:ascii="Times New Roman" w:hAnsi="Times New Roman" w:cs="Times New Roman"/>
                                <w:b/>
                                <w:bCs/>
                                <w:sz w:val="24"/>
                                <w:szCs w:val="24"/>
                              </w:rPr>
                            </w:pPr>
                            <w:r w:rsidRPr="007A7F79">
                              <w:rPr>
                                <w:rFonts w:ascii="Times New Roman" w:hAnsi="Times New Roman" w:cs="Times New Roman"/>
                                <w:b/>
                                <w:bCs/>
                                <w:sz w:val="24"/>
                                <w:szCs w:val="24"/>
                              </w:rPr>
                              <w:t>Surgery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45005D5" id="_x0000_t202" coordsize="21600,21600" o:spt="202" path="m,l,21600r21600,l21600,xe">
                <v:stroke joinstyle="miter"/>
                <v:path gradientshapeok="t" o:connecttype="rect"/>
              </v:shapetype>
              <v:shape id="Text Box 2" o:spid="_x0000_s1026" type="#_x0000_t202" style="position:absolute;left:0;text-align:left;margin-left:360.75pt;margin-top:19pt;width:117pt;height:110.6pt;z-index:-251669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">
                <v:textbox style="mso-fit-shape-to-text:t">
                  <w:txbxContent>
                    <w:p w14:paraId="3DDCF6E0" w14:textId="06537C1A" w:rsidR="007A7F79" w:rsidRPr="007A7F79" w:rsidRDefault="007A7F79">
                      <w:pPr>
                        <w:rPr>
                          <w:rFonts w:ascii="Times New Roman" w:hAnsi="Times New Roman" w:cs="Times New Roman"/>
                          <w:b/>
                          <w:bCs/>
                          <w:sz w:val="24"/>
                          <w:szCs w:val="24"/>
                        </w:rPr>
                      </w:pPr>
                      <w:r w:rsidRPr="007A7F79">
                        <w:rPr>
                          <w:rFonts w:ascii="Times New Roman" w:hAnsi="Times New Roman" w:cs="Times New Roman"/>
                          <w:b/>
                          <w:bCs/>
                          <w:sz w:val="24"/>
                          <w:szCs w:val="24"/>
                        </w:rPr>
                        <w:t>Nutritional support</w:t>
                      </w:r>
                    </w:p>
                    <w:p w14:paraId="4BCC9376" w14:textId="1DDE5402" w:rsidR="007A7F79" w:rsidRPr="007A7F79" w:rsidRDefault="007A7F79">
                      <w:pPr>
                        <w:rPr>
                          <w:rFonts w:ascii="Times New Roman" w:hAnsi="Times New Roman" w:cs="Times New Roman"/>
                          <w:b/>
                          <w:bCs/>
                          <w:sz w:val="24"/>
                          <w:szCs w:val="24"/>
                        </w:rPr>
                      </w:pPr>
                      <w:r w:rsidRPr="007A7F79">
                        <w:rPr>
                          <w:rFonts w:ascii="Times New Roman" w:hAnsi="Times New Roman" w:cs="Times New Roman"/>
                          <w:b/>
                          <w:bCs/>
                          <w:sz w:val="24"/>
                          <w:szCs w:val="24"/>
                        </w:rPr>
                        <w:t>Surgery</w:t>
                      </w:r>
                    </w:p>
                  </w:txbxContent>
                </v:textbox>
                <w10:wrap type="tight" anchorx="page"/>
              </v:shape>
            </w:pict>
          </mc:Fallback>
        </mc:AlternateContent>
      </w:r>
    </w:p>
    <w:p w14:paraId="76913A7F" w14:textId="737BF6D5"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48EE3995" w14:textId="66013F69"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593FFBD8" w14:textId="77777777"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459A90C9" w14:textId="77777777"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0C593C34" w14:textId="77777777"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5271D745" w14:textId="05547001"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14C48A5A" w14:textId="534FD5B2" w:rsidR="007A7F79" w:rsidRPr="00922C73" w:rsidRDefault="007A7F79" w:rsidP="00204296">
      <w:pPr>
        <w:autoSpaceDE w:val="0"/>
        <w:autoSpaceDN w:val="0"/>
        <w:adjustRightInd w:val="0"/>
        <w:spacing w:after="0" w:line="360" w:lineRule="auto"/>
        <w:rPr>
          <w:rFonts w:ascii="Times New Roman" w:hAnsi="Times New Roman" w:cs="Times New Roman"/>
          <w:sz w:val="24"/>
          <w:szCs w:val="24"/>
        </w:rPr>
      </w:pPr>
    </w:p>
    <w:p w14:paraId="35F1A7C2" w14:textId="44210DCC" w:rsidR="007A7F79" w:rsidRPr="00922C73" w:rsidRDefault="007A7F79" w:rsidP="004A0EE0">
      <w:pPr>
        <w:autoSpaceDE w:val="0"/>
        <w:autoSpaceDN w:val="0"/>
        <w:adjustRightInd w:val="0"/>
        <w:spacing w:after="0" w:line="240" w:lineRule="auto"/>
        <w:rPr>
          <w:rFonts w:ascii="Times New Roman" w:hAnsi="Times New Roman" w:cs="Times New Roman"/>
          <w:sz w:val="24"/>
          <w:szCs w:val="24"/>
        </w:rPr>
      </w:pPr>
    </w:p>
    <w:p w14:paraId="0EFE091E" w14:textId="431B27CC" w:rsidR="007A7F79" w:rsidRPr="00922C73" w:rsidRDefault="00E41B83" w:rsidP="004A0EE0">
      <w:pPr>
        <w:autoSpaceDE w:val="0"/>
        <w:autoSpaceDN w:val="0"/>
        <w:adjustRightInd w:val="0"/>
        <w:spacing w:after="0" w:line="240" w:lineRule="auto"/>
        <w:rPr>
          <w:rFonts w:ascii="Times New Roman" w:hAnsi="Times New Roman" w:cs="Times New Roman"/>
          <w:sz w:val="24"/>
          <w:szCs w:val="24"/>
        </w:rPr>
      </w:pPr>
      <w:r w:rsidRPr="00922C73">
        <w:rPr>
          <w:noProof/>
        </w:rPr>
        <mc:AlternateContent>
          <mc:Choice Requires="wps">
            <w:drawing>
              <wp:anchor distT="0" distB="0" distL="114300" distR="114300" simplePos="0" relativeHeight="251677696" behindDoc="1" locked="0" layoutInCell="1" allowOverlap="1" wp14:anchorId="60D1049A" wp14:editId="7961EFCC">
                <wp:simplePos x="0" y="0"/>
                <wp:positionH relativeFrom="margin">
                  <wp:align>left</wp:align>
                </wp:positionH>
                <wp:positionV relativeFrom="paragraph">
                  <wp:posOffset>271145</wp:posOffset>
                </wp:positionV>
                <wp:extent cx="5467350" cy="286385"/>
                <wp:effectExtent l="0" t="0" r="0" b="0"/>
                <wp:wrapTight wrapText="bothSides">
                  <wp:wrapPolygon edited="0">
                    <wp:start x="0" y="0"/>
                    <wp:lineTo x="0" y="20115"/>
                    <wp:lineTo x="21525" y="20115"/>
                    <wp:lineTo x="21525" y="0"/>
                    <wp:lineTo x="0" y="0"/>
                  </wp:wrapPolygon>
                </wp:wrapTight>
                <wp:docPr id="966693451" name="Text Box 1"/>
                <wp:cNvGraphicFramePr/>
                <a:graphic xmlns:a="http://schemas.openxmlformats.org/drawingml/2006/main">
                  <a:graphicData uri="http://schemas.microsoft.com/office/word/2010/wordprocessingShape">
                    <wps:wsp>
                      <wps:cNvSpPr txBox="1"/>
                      <wps:spPr>
                        <a:xfrm>
                          <a:off x="0" y="0"/>
                          <a:ext cx="5467350" cy="286603"/>
                        </a:xfrm>
                        <a:prstGeom prst="rect">
                          <a:avLst/>
                        </a:prstGeom>
                        <a:solidFill>
                          <a:prstClr val="white"/>
                        </a:solidFill>
                        <a:ln>
                          <a:noFill/>
                        </a:ln>
                      </wps:spPr>
                      <wps:txbx>
                        <w:txbxContent>
                          <w:p w14:paraId="38EF02A0" w14:textId="1D59326E" w:rsidR="006C571E" w:rsidRPr="006C571E" w:rsidRDefault="00E41B83" w:rsidP="006C571E">
                            <w:pPr>
                              <w:pStyle w:val="Caption"/>
                              <w:spacing w:line="480" w:lineRule="auto"/>
                              <w:rPr>
                                <w:rFonts w:ascii="Times New Roman" w:hAnsi="Times New Roman" w:cs="Times New Roman"/>
                                <w:noProof/>
                                <w:sz w:val="24"/>
                                <w:szCs w:val="24"/>
                              </w:rPr>
                            </w:pPr>
                            <w:bookmarkStart w:id="17" w:name="_Toc139397303"/>
                            <w:bookmarkStart w:id="18" w:name="_Toc151020647"/>
                            <w:r w:rsidRPr="00E41B83">
                              <w:rPr>
                                <w:rFonts w:ascii="Times New Roman" w:hAnsi="Times New Roman" w:cs="Times New Roman"/>
                                <w:sz w:val="24"/>
                                <w:szCs w:val="24"/>
                              </w:rPr>
                              <w:t xml:space="preserve">Figure </w:t>
                            </w:r>
                            <w:r w:rsidRPr="00E41B83">
                              <w:rPr>
                                <w:rFonts w:ascii="Times New Roman" w:hAnsi="Times New Roman" w:cs="Times New Roman"/>
                                <w:sz w:val="24"/>
                                <w:szCs w:val="24"/>
                              </w:rPr>
                              <w:fldChar w:fldCharType="begin"/>
                            </w:r>
                            <w:r w:rsidRPr="00E41B83">
                              <w:rPr>
                                <w:rFonts w:ascii="Times New Roman" w:hAnsi="Times New Roman" w:cs="Times New Roman"/>
                                <w:sz w:val="24"/>
                                <w:szCs w:val="24"/>
                              </w:rPr>
                              <w:instrText xml:space="preserve"> SEQ Figure \* ARABIC </w:instrText>
                            </w:r>
                            <w:r w:rsidRPr="00E41B83">
                              <w:rPr>
                                <w:rFonts w:ascii="Times New Roman" w:hAnsi="Times New Roman" w:cs="Times New Roman"/>
                                <w:sz w:val="24"/>
                                <w:szCs w:val="24"/>
                              </w:rPr>
                              <w:fldChar w:fldCharType="separate"/>
                            </w:r>
                            <w:r w:rsidR="00192EAE">
                              <w:rPr>
                                <w:rFonts w:ascii="Times New Roman" w:hAnsi="Times New Roman" w:cs="Times New Roman"/>
                                <w:noProof/>
                                <w:sz w:val="24"/>
                                <w:szCs w:val="24"/>
                              </w:rPr>
                              <w:t>2</w:t>
                            </w:r>
                            <w:r w:rsidRPr="00E41B83">
                              <w:rPr>
                                <w:rFonts w:ascii="Times New Roman" w:hAnsi="Times New Roman" w:cs="Times New Roman"/>
                                <w:sz w:val="24"/>
                                <w:szCs w:val="24"/>
                              </w:rPr>
                              <w:fldChar w:fldCharType="end"/>
                            </w:r>
                            <w:r w:rsidRPr="00E41B83">
                              <w:rPr>
                                <w:rFonts w:ascii="Times New Roman" w:hAnsi="Times New Roman" w:cs="Times New Roman"/>
                                <w:noProof/>
                                <w:sz w:val="24"/>
                                <w:szCs w:val="24"/>
                              </w:rPr>
                              <w:t xml:space="preserve">. </w:t>
                            </w:r>
                            <w:r w:rsidR="006C571E">
                              <w:rPr>
                                <w:rFonts w:ascii="Times New Roman" w:hAnsi="Times New Roman" w:cs="Times New Roman"/>
                                <w:noProof/>
                                <w:sz w:val="24"/>
                                <w:szCs w:val="24"/>
                              </w:rPr>
                              <w:t>“</w:t>
                            </w:r>
                            <w:r w:rsidRPr="00E41B83">
                              <w:rPr>
                                <w:rFonts w:ascii="Times New Roman" w:hAnsi="Times New Roman" w:cs="Times New Roman"/>
                                <w:noProof/>
                                <w:sz w:val="24"/>
                                <w:szCs w:val="24"/>
                              </w:rPr>
                              <w:t>S</w:t>
                            </w:r>
                            <w:r w:rsidR="006C571E">
                              <w:rPr>
                                <w:rFonts w:ascii="Times New Roman" w:hAnsi="Times New Roman" w:cs="Times New Roman"/>
                                <w:noProof/>
                                <w:sz w:val="24"/>
                                <w:szCs w:val="24"/>
                              </w:rPr>
                              <w:t>tep up” approach to treament of inflammatory bowel disease.</w:t>
                            </w:r>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1049A" id="Text Box 1" o:spid="_x0000_s1027" type="#_x0000_t202" style="position:absolute;left:0;text-align:left;margin-left:0;margin-top:21.35pt;width:430.5pt;height:22.55pt;z-index:-251638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" stroked="f">
                <v:textbox inset="0,0,0,0">
                  <w:txbxContent>
                    <w:p w14:paraId="38EF02A0" w14:textId="1D59326E" w:rsidR="006C571E" w:rsidRPr="006C571E" w:rsidRDefault="00E41B83" w:rsidP="006C571E">
                      <w:pPr>
                        <w:pStyle w:val="Caption"/>
                        <w:spacing w:line="480" w:lineRule="auto"/>
                        <w:rPr>
                          <w:rFonts w:ascii="Times New Roman" w:hAnsi="Times New Roman" w:cs="Times New Roman"/>
                          <w:noProof/>
                          <w:sz w:val="24"/>
                          <w:szCs w:val="24"/>
                        </w:rPr>
                      </w:pPr>
                      <w:bookmarkStart w:id="19" w:name="_Toc139397303"/>
                      <w:bookmarkStart w:id="20" w:name="_Toc151020647"/>
                      <w:r w:rsidRPr="00E41B83">
                        <w:rPr>
                          <w:rFonts w:ascii="Times New Roman" w:hAnsi="Times New Roman" w:cs="Times New Roman"/>
                          <w:sz w:val="24"/>
                          <w:szCs w:val="24"/>
                        </w:rPr>
                        <w:t xml:space="preserve">Figure </w:t>
                      </w:r>
                      <w:r w:rsidRPr="00E41B83">
                        <w:rPr>
                          <w:rFonts w:ascii="Times New Roman" w:hAnsi="Times New Roman" w:cs="Times New Roman"/>
                          <w:sz w:val="24"/>
                          <w:szCs w:val="24"/>
                        </w:rPr>
                        <w:fldChar w:fldCharType="begin"/>
                      </w:r>
                      <w:r w:rsidRPr="00E41B83">
                        <w:rPr>
                          <w:rFonts w:ascii="Times New Roman" w:hAnsi="Times New Roman" w:cs="Times New Roman"/>
                          <w:sz w:val="24"/>
                          <w:szCs w:val="24"/>
                        </w:rPr>
                        <w:instrText xml:space="preserve"> SEQ Figure \* ARABIC </w:instrText>
                      </w:r>
                      <w:r w:rsidRPr="00E41B83">
                        <w:rPr>
                          <w:rFonts w:ascii="Times New Roman" w:hAnsi="Times New Roman" w:cs="Times New Roman"/>
                          <w:sz w:val="24"/>
                          <w:szCs w:val="24"/>
                        </w:rPr>
                        <w:fldChar w:fldCharType="separate"/>
                      </w:r>
                      <w:r w:rsidR="00192EAE">
                        <w:rPr>
                          <w:rFonts w:ascii="Times New Roman" w:hAnsi="Times New Roman" w:cs="Times New Roman"/>
                          <w:noProof/>
                          <w:sz w:val="24"/>
                          <w:szCs w:val="24"/>
                        </w:rPr>
                        <w:t>2</w:t>
                      </w:r>
                      <w:r w:rsidRPr="00E41B83">
                        <w:rPr>
                          <w:rFonts w:ascii="Times New Roman" w:hAnsi="Times New Roman" w:cs="Times New Roman"/>
                          <w:sz w:val="24"/>
                          <w:szCs w:val="24"/>
                        </w:rPr>
                        <w:fldChar w:fldCharType="end"/>
                      </w:r>
                      <w:r w:rsidRPr="00E41B83">
                        <w:rPr>
                          <w:rFonts w:ascii="Times New Roman" w:hAnsi="Times New Roman" w:cs="Times New Roman"/>
                          <w:noProof/>
                          <w:sz w:val="24"/>
                          <w:szCs w:val="24"/>
                        </w:rPr>
                        <w:t xml:space="preserve">. </w:t>
                      </w:r>
                      <w:r w:rsidR="006C571E">
                        <w:rPr>
                          <w:rFonts w:ascii="Times New Roman" w:hAnsi="Times New Roman" w:cs="Times New Roman"/>
                          <w:noProof/>
                          <w:sz w:val="24"/>
                          <w:szCs w:val="24"/>
                        </w:rPr>
                        <w:t>“</w:t>
                      </w:r>
                      <w:r w:rsidRPr="00E41B83">
                        <w:rPr>
                          <w:rFonts w:ascii="Times New Roman" w:hAnsi="Times New Roman" w:cs="Times New Roman"/>
                          <w:noProof/>
                          <w:sz w:val="24"/>
                          <w:szCs w:val="24"/>
                        </w:rPr>
                        <w:t>S</w:t>
                      </w:r>
                      <w:r w:rsidR="006C571E">
                        <w:rPr>
                          <w:rFonts w:ascii="Times New Roman" w:hAnsi="Times New Roman" w:cs="Times New Roman"/>
                          <w:noProof/>
                          <w:sz w:val="24"/>
                          <w:szCs w:val="24"/>
                        </w:rPr>
                        <w:t>tep up” approach to treament of inflammatory bowel disease.</w:t>
                      </w:r>
                      <w:bookmarkEnd w:id="19"/>
                      <w:bookmarkEnd w:id="20"/>
                    </w:p>
                  </w:txbxContent>
                </v:textbox>
                <w10:wrap type="tight" anchorx="margin"/>
              </v:shape>
            </w:pict>
          </mc:Fallback>
        </mc:AlternateContent>
      </w:r>
    </w:p>
    <w:p w14:paraId="02A40BAD" w14:textId="75DFEB10" w:rsidR="009F46E4" w:rsidRPr="00922C73" w:rsidRDefault="002245BA" w:rsidP="004A0EE0">
      <w:pPr>
        <w:kinsoku w:val="0"/>
        <w:overflowPunct w:val="0"/>
        <w:spacing w:before="86" w:after="0" w:line="240" w:lineRule="auto"/>
        <w:textAlignment w:val="baseline"/>
        <w:rPr>
          <w:rFonts w:ascii="Times New Roman" w:hAnsi="Times New Roman" w:cs="Times New Roman"/>
          <w:sz w:val="24"/>
          <w:szCs w:val="24"/>
        </w:rPr>
      </w:pPr>
      <w:r w:rsidRPr="00922C73">
        <w:rPr>
          <w:rFonts w:ascii="Times New Roman" w:hAnsi="Times New Roman" w:cs="Times New Roman"/>
          <w:sz w:val="24"/>
          <w:szCs w:val="24"/>
        </w:rPr>
        <w:t>T</w:t>
      </w:r>
      <w:r w:rsidR="009F46E4" w:rsidRPr="00922C73">
        <w:rPr>
          <w:rFonts w:ascii="Times New Roman" w:hAnsi="Times New Roman" w:cs="Times New Roman"/>
          <w:sz w:val="24"/>
          <w:szCs w:val="24"/>
        </w:rPr>
        <w:t xml:space="preserve">reatments are used to induce- treat the “flare” and are continued long-term to maintain remission. </w:t>
      </w:r>
      <w:r w:rsidR="00C15D00" w:rsidRPr="00922C73">
        <w:rPr>
          <w:rFonts w:ascii="Times New Roman" w:hAnsi="Times New Roman" w:cs="Times New Roman"/>
          <w:sz w:val="24"/>
          <w:szCs w:val="24"/>
        </w:rPr>
        <w:t xml:space="preserve">A “step-up” approach: going up the pyramid, utilises stronger medications as the disease becomes more severe. </w:t>
      </w:r>
      <w:r w:rsidR="009F46E4" w:rsidRPr="00922C73">
        <w:rPr>
          <w:rFonts w:ascii="Times New Roman" w:hAnsi="Times New Roman" w:cs="Times New Roman"/>
          <w:sz w:val="24"/>
          <w:szCs w:val="24"/>
        </w:rPr>
        <w:t xml:space="preserve">Nutrition and surgery are important </w:t>
      </w:r>
      <w:r w:rsidR="00C15D00" w:rsidRPr="00922C73">
        <w:rPr>
          <w:rFonts w:ascii="Times New Roman" w:hAnsi="Times New Roman" w:cs="Times New Roman"/>
          <w:sz w:val="24"/>
          <w:szCs w:val="24"/>
        </w:rPr>
        <w:t>adjuncts in all stages of treatment,</w:t>
      </w:r>
      <w:r w:rsidR="009F46E4" w:rsidRPr="00922C73">
        <w:rPr>
          <w:rFonts w:ascii="Times New Roman" w:hAnsi="Times New Roman" w:cs="Times New Roman"/>
          <w:sz w:val="24"/>
          <w:szCs w:val="24"/>
        </w:rPr>
        <w:t xml:space="preserve"> and the latter is essential in refractory acute severe disease, or for relapsing disease, fibrotic strictures, </w:t>
      </w:r>
      <w:proofErr w:type="spellStart"/>
      <w:r w:rsidR="009F46E4" w:rsidRPr="00922C73">
        <w:rPr>
          <w:rFonts w:ascii="Times New Roman" w:hAnsi="Times New Roman" w:cs="Times New Roman"/>
          <w:sz w:val="24"/>
          <w:szCs w:val="24"/>
        </w:rPr>
        <w:t>fistulating</w:t>
      </w:r>
      <w:proofErr w:type="spellEnd"/>
      <w:r w:rsidR="009F46E4" w:rsidRPr="00922C73">
        <w:rPr>
          <w:rFonts w:ascii="Times New Roman" w:hAnsi="Times New Roman" w:cs="Times New Roman"/>
          <w:sz w:val="24"/>
          <w:szCs w:val="24"/>
        </w:rPr>
        <w:t xml:space="preserve"> or complicated CD. </w:t>
      </w:r>
    </w:p>
    <w:p w14:paraId="7B1ACBFC" w14:textId="4E10782F" w:rsidR="009C4257" w:rsidRPr="00922C73" w:rsidRDefault="009C4257" w:rsidP="00204296">
      <w:pPr>
        <w:autoSpaceDE w:val="0"/>
        <w:autoSpaceDN w:val="0"/>
        <w:adjustRightInd w:val="0"/>
        <w:spacing w:after="0" w:line="360" w:lineRule="auto"/>
        <w:rPr>
          <w:rFonts w:ascii="Times New Roman" w:hAnsi="Times New Roman" w:cs="Times New Roman"/>
          <w:sz w:val="24"/>
          <w:szCs w:val="24"/>
        </w:rPr>
      </w:pPr>
    </w:p>
    <w:p w14:paraId="7F015BB0" w14:textId="77777777" w:rsidR="009C4257" w:rsidRPr="00922C73" w:rsidRDefault="009C4257" w:rsidP="00204296">
      <w:pPr>
        <w:autoSpaceDE w:val="0"/>
        <w:autoSpaceDN w:val="0"/>
        <w:adjustRightInd w:val="0"/>
        <w:spacing w:after="0" w:line="360" w:lineRule="auto"/>
        <w:rPr>
          <w:rFonts w:ascii="Times New Roman" w:hAnsi="Times New Roman" w:cs="Times New Roman"/>
          <w:sz w:val="24"/>
          <w:szCs w:val="24"/>
        </w:rPr>
      </w:pPr>
    </w:p>
    <w:p w14:paraId="02006623" w14:textId="3929BE12" w:rsidR="005E4C61" w:rsidRPr="00922C73" w:rsidRDefault="00A2462C" w:rsidP="00F64D9D">
      <w:pPr>
        <w:tabs>
          <w:tab w:val="left" w:pos="1170"/>
        </w:tabs>
        <w:spacing w:line="480" w:lineRule="auto"/>
        <w:rPr>
          <w:rFonts w:ascii="Times New Roman" w:hAnsi="Times New Roman" w:cs="Times New Roman"/>
          <w:sz w:val="24"/>
          <w:szCs w:val="24"/>
        </w:rPr>
      </w:pPr>
      <w:r w:rsidRPr="00922C73">
        <w:rPr>
          <w:rFonts w:ascii="Times New Roman" w:eastAsia="MS PGothic" w:hAnsi="Times New Roman" w:cs="Times New Roman"/>
          <w:kern w:val="24"/>
          <w:sz w:val="24"/>
          <w:szCs w:val="24"/>
        </w:rPr>
        <w:lastRenderedPageBreak/>
        <w:t xml:space="preserve">The management of IBD has greatly changed over the last few decades due to </w:t>
      </w:r>
      <w:r w:rsidR="00694BAC" w:rsidRPr="00922C73">
        <w:rPr>
          <w:rFonts w:ascii="Times New Roman" w:eastAsia="MS PGothic" w:hAnsi="Times New Roman" w:cs="Times New Roman"/>
          <w:kern w:val="24"/>
          <w:sz w:val="24"/>
          <w:szCs w:val="24"/>
        </w:rPr>
        <w:t xml:space="preserve">the availability of </w:t>
      </w:r>
      <w:r w:rsidR="00E11C3D" w:rsidRPr="00922C73">
        <w:rPr>
          <w:rFonts w:ascii="Times New Roman" w:eastAsia="MS PGothic" w:hAnsi="Times New Roman" w:cs="Times New Roman"/>
          <w:kern w:val="24"/>
          <w:sz w:val="24"/>
          <w:szCs w:val="24"/>
        </w:rPr>
        <w:t>monoclonal antibodies and small molecules.</w:t>
      </w:r>
      <w:r w:rsidR="00694BAC" w:rsidRPr="00922C73">
        <w:rPr>
          <w:rFonts w:ascii="Times New Roman" w:eastAsia="MS PGothic" w:hAnsi="Times New Roman" w:cs="Times New Roman"/>
          <w:kern w:val="24"/>
          <w:sz w:val="24"/>
          <w:szCs w:val="24"/>
        </w:rPr>
        <w:t xml:space="preserve"> </w:t>
      </w:r>
      <w:r w:rsidR="00E11C3D" w:rsidRPr="00922C73">
        <w:rPr>
          <w:rFonts w:ascii="Times New Roman" w:eastAsia="MS PGothic" w:hAnsi="Times New Roman" w:cs="Times New Roman"/>
          <w:kern w:val="24"/>
          <w:sz w:val="24"/>
          <w:szCs w:val="24"/>
        </w:rPr>
        <w:t>There is an</w:t>
      </w:r>
      <w:r w:rsidR="00694BAC" w:rsidRPr="00922C73">
        <w:rPr>
          <w:rFonts w:ascii="Times New Roman" w:eastAsia="MS PGothic" w:hAnsi="Times New Roman" w:cs="Times New Roman"/>
          <w:kern w:val="24"/>
          <w:sz w:val="24"/>
          <w:szCs w:val="24"/>
        </w:rPr>
        <w:t xml:space="preserve"> </w:t>
      </w:r>
      <w:r w:rsidRPr="00922C73">
        <w:rPr>
          <w:rFonts w:ascii="Times New Roman" w:eastAsia="MS PGothic" w:hAnsi="Times New Roman" w:cs="Times New Roman"/>
          <w:kern w:val="24"/>
          <w:sz w:val="24"/>
          <w:szCs w:val="24"/>
        </w:rPr>
        <w:t>increased understanding of disease phenotype and progression</w:t>
      </w:r>
      <w:r w:rsidR="005138D8" w:rsidRPr="00922C73">
        <w:rPr>
          <w:rFonts w:ascii="Times New Roman" w:eastAsia="MS PGothic" w:hAnsi="Times New Roman" w:cs="Times New Roman"/>
          <w:kern w:val="24"/>
          <w:sz w:val="24"/>
          <w:szCs w:val="24"/>
        </w:rPr>
        <w:t xml:space="preserve"> and a c</w:t>
      </w:r>
      <w:r w:rsidRPr="00922C73">
        <w:rPr>
          <w:rFonts w:ascii="Times New Roman" w:eastAsia="MS PGothic" w:hAnsi="Times New Roman" w:cs="Times New Roman"/>
          <w:kern w:val="24"/>
          <w:sz w:val="24"/>
          <w:szCs w:val="24"/>
        </w:rPr>
        <w:t xml:space="preserve">hange in approach </w:t>
      </w:r>
      <w:r w:rsidR="003859DE" w:rsidRPr="00922C73">
        <w:rPr>
          <w:rFonts w:ascii="Times New Roman" w:eastAsia="MS PGothic" w:hAnsi="Times New Roman" w:cs="Times New Roman"/>
          <w:kern w:val="24"/>
          <w:sz w:val="24"/>
          <w:szCs w:val="24"/>
        </w:rPr>
        <w:t xml:space="preserve">to more personalised </w:t>
      </w:r>
      <w:bookmarkStart w:id="21" w:name="_Hlk87267193"/>
      <w:r w:rsidR="003859DE" w:rsidRPr="00922C73">
        <w:rPr>
          <w:rFonts w:ascii="Times New Roman" w:eastAsia="MS PGothic" w:hAnsi="Times New Roman" w:cs="Times New Roman"/>
          <w:kern w:val="24"/>
          <w:sz w:val="24"/>
          <w:szCs w:val="24"/>
        </w:rPr>
        <w:t>care</w:t>
      </w:r>
      <w:r w:rsidR="005138D8" w:rsidRPr="00922C73">
        <w:rPr>
          <w:rFonts w:ascii="Times New Roman" w:eastAsia="MS PGothic" w:hAnsi="Times New Roman" w:cs="Times New Roman"/>
          <w:kern w:val="24"/>
          <w:sz w:val="24"/>
          <w:szCs w:val="24"/>
        </w:rPr>
        <w:t xml:space="preserve">. </w:t>
      </w:r>
      <w:r w:rsidR="0007667A" w:rsidRPr="00922C73">
        <w:rPr>
          <w:rFonts w:ascii="Times New Roman" w:eastAsia="MS PGothic" w:hAnsi="Times New Roman" w:cs="Times New Roman"/>
          <w:kern w:val="24"/>
          <w:sz w:val="24"/>
          <w:szCs w:val="24"/>
        </w:rPr>
        <w:t>Treatment has</w:t>
      </w:r>
      <w:r w:rsidR="003859DE" w:rsidRPr="00922C73">
        <w:rPr>
          <w:rFonts w:ascii="Times New Roman" w:eastAsia="MS PGothic" w:hAnsi="Times New Roman" w:cs="Times New Roman"/>
          <w:kern w:val="24"/>
          <w:sz w:val="24"/>
          <w:szCs w:val="24"/>
        </w:rPr>
        <w:t xml:space="preserve"> </w:t>
      </w:r>
      <w:r w:rsidR="00694BAC" w:rsidRPr="00922C73">
        <w:rPr>
          <w:rFonts w:ascii="Times New Roman" w:eastAsia="MS PGothic" w:hAnsi="Times New Roman" w:cs="Times New Roman"/>
          <w:kern w:val="24"/>
          <w:sz w:val="24"/>
          <w:szCs w:val="24"/>
        </w:rPr>
        <w:t>shif</w:t>
      </w:r>
      <w:r w:rsidR="0007667A" w:rsidRPr="00922C73">
        <w:rPr>
          <w:rFonts w:ascii="Times New Roman" w:eastAsia="MS PGothic" w:hAnsi="Times New Roman" w:cs="Times New Roman"/>
          <w:kern w:val="24"/>
          <w:sz w:val="24"/>
          <w:szCs w:val="24"/>
        </w:rPr>
        <w:t>ted</w:t>
      </w:r>
      <w:r w:rsidR="003859DE" w:rsidRPr="00922C73">
        <w:rPr>
          <w:rFonts w:ascii="Times New Roman" w:eastAsia="MS PGothic" w:hAnsi="Times New Roman" w:cs="Times New Roman"/>
          <w:kern w:val="24"/>
          <w:sz w:val="24"/>
          <w:szCs w:val="24"/>
        </w:rPr>
        <w:t xml:space="preserve"> from a “</w:t>
      </w:r>
      <w:r w:rsidRPr="00922C73">
        <w:rPr>
          <w:rFonts w:ascii="Times New Roman" w:eastAsia="MS PGothic" w:hAnsi="Times New Roman" w:cs="Times New Roman"/>
          <w:kern w:val="24"/>
          <w:sz w:val="24"/>
          <w:szCs w:val="24"/>
        </w:rPr>
        <w:t>step</w:t>
      </w:r>
      <w:r w:rsidR="003859DE" w:rsidRPr="00922C73">
        <w:rPr>
          <w:rFonts w:ascii="Times New Roman" w:eastAsia="MS PGothic" w:hAnsi="Times New Roman" w:cs="Times New Roman"/>
          <w:kern w:val="24"/>
          <w:sz w:val="24"/>
          <w:szCs w:val="24"/>
        </w:rPr>
        <w:t>-</w:t>
      </w:r>
      <w:r w:rsidRPr="00922C73">
        <w:rPr>
          <w:rFonts w:ascii="Times New Roman" w:eastAsia="MS PGothic" w:hAnsi="Times New Roman" w:cs="Times New Roman"/>
          <w:kern w:val="24"/>
          <w:sz w:val="24"/>
          <w:szCs w:val="24"/>
        </w:rPr>
        <w:t>up</w:t>
      </w:r>
      <w:r w:rsidR="00694BAC" w:rsidRPr="00922C73">
        <w:rPr>
          <w:rFonts w:ascii="Times New Roman" w:eastAsia="MS PGothic" w:hAnsi="Times New Roman" w:cs="Times New Roman"/>
          <w:kern w:val="24"/>
          <w:sz w:val="24"/>
          <w:szCs w:val="24"/>
        </w:rPr>
        <w:t xml:space="preserve">” </w:t>
      </w:r>
      <w:bookmarkEnd w:id="21"/>
      <w:r w:rsidR="003859DE" w:rsidRPr="00922C73">
        <w:rPr>
          <w:rFonts w:ascii="Times New Roman" w:eastAsia="MS PGothic" w:hAnsi="Times New Roman" w:cs="Times New Roman"/>
          <w:kern w:val="24"/>
          <w:sz w:val="24"/>
          <w:szCs w:val="24"/>
        </w:rPr>
        <w:t xml:space="preserve">to </w:t>
      </w:r>
      <w:r w:rsidR="00694BAC" w:rsidRPr="00922C73">
        <w:rPr>
          <w:rFonts w:ascii="Times New Roman" w:eastAsia="MS PGothic" w:hAnsi="Times New Roman" w:cs="Times New Roman"/>
          <w:kern w:val="24"/>
          <w:sz w:val="24"/>
          <w:szCs w:val="24"/>
        </w:rPr>
        <w:t>a “</w:t>
      </w:r>
      <w:r w:rsidR="003859DE" w:rsidRPr="00922C73">
        <w:rPr>
          <w:rFonts w:ascii="Times New Roman" w:eastAsia="MS PGothic" w:hAnsi="Times New Roman" w:cs="Times New Roman"/>
          <w:kern w:val="24"/>
          <w:sz w:val="24"/>
          <w:szCs w:val="24"/>
        </w:rPr>
        <w:t>top-down</w:t>
      </w:r>
      <w:r w:rsidR="00694BAC" w:rsidRPr="00922C73">
        <w:rPr>
          <w:rFonts w:ascii="Times New Roman" w:eastAsia="MS PGothic" w:hAnsi="Times New Roman" w:cs="Times New Roman"/>
          <w:kern w:val="24"/>
          <w:sz w:val="24"/>
          <w:szCs w:val="24"/>
        </w:rPr>
        <w:t xml:space="preserve">” </w:t>
      </w:r>
      <w:r w:rsidR="00774533" w:rsidRPr="00922C73">
        <w:rPr>
          <w:rFonts w:ascii="Times New Roman" w:eastAsia="MS PGothic" w:hAnsi="Times New Roman" w:cs="Times New Roman"/>
          <w:kern w:val="24"/>
          <w:sz w:val="24"/>
          <w:szCs w:val="24"/>
        </w:rPr>
        <w:t>strategy</w:t>
      </w:r>
      <w:r w:rsidR="003859DE" w:rsidRPr="00922C73">
        <w:rPr>
          <w:rFonts w:ascii="Times New Roman" w:eastAsia="MS PGothic" w:hAnsi="Times New Roman" w:cs="Times New Roman"/>
          <w:kern w:val="24"/>
          <w:sz w:val="24"/>
          <w:szCs w:val="24"/>
        </w:rPr>
        <w:t xml:space="preserve"> in selected cases</w:t>
      </w:r>
      <w:r w:rsidR="008F39CF" w:rsidRPr="00922C73">
        <w:rPr>
          <w:rFonts w:ascii="Times New Roman" w:eastAsia="MS PGothic" w:hAnsi="Times New Roman" w:cs="Times New Roman"/>
          <w:kern w:val="24"/>
          <w:sz w:val="24"/>
          <w:szCs w:val="24"/>
        </w:rPr>
        <w:t>, using</w:t>
      </w:r>
      <w:r w:rsidR="003859DE" w:rsidRPr="00922C73">
        <w:rPr>
          <w:rFonts w:ascii="Times New Roman" w:eastAsia="MS PGothic" w:hAnsi="Times New Roman" w:cs="Times New Roman"/>
          <w:kern w:val="24"/>
          <w:sz w:val="24"/>
          <w:szCs w:val="24"/>
        </w:rPr>
        <w:t xml:space="preserve"> </w:t>
      </w:r>
      <w:r w:rsidR="00515904" w:rsidRPr="00922C73">
        <w:rPr>
          <w:rFonts w:ascii="Times New Roman" w:eastAsia="MS PGothic" w:hAnsi="Times New Roman" w:cs="Times New Roman"/>
          <w:kern w:val="24"/>
          <w:sz w:val="24"/>
          <w:szCs w:val="24"/>
        </w:rPr>
        <w:t>‘</w:t>
      </w:r>
      <w:r w:rsidR="003859DE" w:rsidRPr="00922C73">
        <w:rPr>
          <w:rFonts w:ascii="Times New Roman" w:eastAsia="MS PGothic" w:hAnsi="Times New Roman" w:cs="Times New Roman"/>
          <w:kern w:val="24"/>
          <w:sz w:val="24"/>
          <w:szCs w:val="24"/>
        </w:rPr>
        <w:t>stronger</w:t>
      </w:r>
      <w:r w:rsidR="00515904" w:rsidRPr="00922C73">
        <w:rPr>
          <w:rFonts w:ascii="Times New Roman" w:eastAsia="MS PGothic" w:hAnsi="Times New Roman" w:cs="Times New Roman"/>
          <w:kern w:val="24"/>
          <w:sz w:val="24"/>
          <w:szCs w:val="24"/>
        </w:rPr>
        <w:t>’</w:t>
      </w:r>
      <w:r w:rsidR="003859DE" w:rsidRPr="00922C73">
        <w:rPr>
          <w:rFonts w:ascii="Times New Roman" w:eastAsia="MS PGothic" w:hAnsi="Times New Roman" w:cs="Times New Roman"/>
          <w:kern w:val="24"/>
          <w:sz w:val="24"/>
          <w:szCs w:val="24"/>
        </w:rPr>
        <w:t xml:space="preserve"> medications</w:t>
      </w:r>
      <w:r w:rsidR="0007667A" w:rsidRPr="00922C73">
        <w:rPr>
          <w:rFonts w:ascii="Times New Roman" w:eastAsia="MS PGothic" w:hAnsi="Times New Roman" w:cs="Times New Roman"/>
          <w:kern w:val="24"/>
          <w:sz w:val="24"/>
          <w:szCs w:val="24"/>
        </w:rPr>
        <w:t>-</w:t>
      </w:r>
      <w:r w:rsidR="00515904" w:rsidRPr="00922C73">
        <w:rPr>
          <w:rFonts w:ascii="Times New Roman" w:eastAsia="MS PGothic" w:hAnsi="Times New Roman" w:cs="Times New Roman"/>
          <w:kern w:val="24"/>
          <w:sz w:val="24"/>
          <w:szCs w:val="24"/>
        </w:rPr>
        <w:t xml:space="preserve"> particularly those </w:t>
      </w:r>
      <w:r w:rsidR="008F39CF" w:rsidRPr="00922C73">
        <w:rPr>
          <w:rFonts w:ascii="Times New Roman" w:eastAsia="MS PGothic" w:hAnsi="Times New Roman" w:cs="Times New Roman"/>
          <w:kern w:val="24"/>
          <w:sz w:val="24"/>
          <w:szCs w:val="24"/>
        </w:rPr>
        <w:t>associated with higher chance of mucosal healing</w:t>
      </w:r>
      <w:r w:rsidR="00774533" w:rsidRPr="00922C73">
        <w:rPr>
          <w:rFonts w:ascii="Times New Roman" w:eastAsia="MS PGothic" w:hAnsi="Times New Roman" w:cs="Times New Roman"/>
          <w:kern w:val="24"/>
          <w:sz w:val="24"/>
          <w:szCs w:val="24"/>
        </w:rPr>
        <w:t>-</w:t>
      </w:r>
      <w:r w:rsidR="003859DE" w:rsidRPr="00922C73">
        <w:rPr>
          <w:rFonts w:ascii="Times New Roman" w:eastAsia="MS PGothic" w:hAnsi="Times New Roman" w:cs="Times New Roman"/>
          <w:kern w:val="24"/>
          <w:sz w:val="24"/>
          <w:szCs w:val="24"/>
        </w:rPr>
        <w:t xml:space="preserve"> earlier </w:t>
      </w:r>
      <w:r w:rsidR="00FB3133" w:rsidRPr="00922C73">
        <w:rPr>
          <w:rFonts w:ascii="Times New Roman" w:eastAsia="MS PGothic" w:hAnsi="Times New Roman" w:cs="Times New Roman"/>
          <w:kern w:val="24"/>
          <w:sz w:val="24"/>
          <w:szCs w:val="24"/>
        </w:rPr>
        <w:t>in</w:t>
      </w:r>
      <w:r w:rsidR="003859DE" w:rsidRPr="00922C73">
        <w:rPr>
          <w:rFonts w:ascii="Times New Roman" w:eastAsia="MS PGothic" w:hAnsi="Times New Roman" w:cs="Times New Roman"/>
          <w:kern w:val="24"/>
          <w:sz w:val="24"/>
          <w:szCs w:val="24"/>
        </w:rPr>
        <w:t xml:space="preserve"> the disease to prevent progression and complications</w:t>
      </w:r>
      <w:r w:rsidR="00FB3133" w:rsidRPr="00922C73">
        <w:rPr>
          <w:rFonts w:ascii="Times New Roman" w:eastAsia="MS PGothic" w:hAnsi="Times New Roman" w:cs="Times New Roman"/>
          <w:kern w:val="24"/>
          <w:sz w:val="24"/>
          <w:szCs w:val="24"/>
        </w:rPr>
        <w:t xml:space="preserve"> and</w:t>
      </w:r>
      <w:r w:rsidR="003859DE" w:rsidRPr="00922C73">
        <w:rPr>
          <w:rFonts w:ascii="Times New Roman" w:eastAsia="MS PGothic" w:hAnsi="Times New Roman" w:cs="Times New Roman"/>
          <w:kern w:val="24"/>
          <w:sz w:val="24"/>
          <w:szCs w:val="24"/>
        </w:rPr>
        <w:t xml:space="preserve"> treat-to-target</w:t>
      </w:r>
      <w:r w:rsidR="00774533" w:rsidRPr="00922C73">
        <w:rPr>
          <w:rFonts w:ascii="Times New Roman" w:eastAsia="MS PGothic" w:hAnsi="Times New Roman" w:cs="Times New Roman"/>
          <w:kern w:val="24"/>
          <w:sz w:val="24"/>
          <w:szCs w:val="24"/>
        </w:rPr>
        <w:t>-</w:t>
      </w:r>
      <w:r w:rsidR="003859DE" w:rsidRPr="00922C73">
        <w:rPr>
          <w:rFonts w:ascii="Times New Roman" w:eastAsia="MS PGothic" w:hAnsi="Times New Roman" w:cs="Times New Roman"/>
          <w:kern w:val="24"/>
          <w:sz w:val="24"/>
          <w:szCs w:val="24"/>
        </w:rPr>
        <w:t xml:space="preserve"> pre-defining targets with close monitoring and adjusting treatments to achieve the target</w:t>
      </w:r>
      <w:r w:rsidR="005656FB" w:rsidRPr="00922C73">
        <w:rPr>
          <w:rFonts w:ascii="Times New Roman" w:eastAsia="MS PGothic" w:hAnsi="Times New Roman" w:cs="Times New Roman"/>
          <w:kern w:val="24"/>
          <w:sz w:val="24"/>
          <w:szCs w:val="24"/>
        </w:rPr>
        <w:t xml:space="preserve"> has led to closer monitoring</w:t>
      </w:r>
      <w:r w:rsidR="00FB3133" w:rsidRPr="00922C73">
        <w:rPr>
          <w:rFonts w:ascii="Times New Roman" w:eastAsia="MS PGothic" w:hAnsi="Times New Roman" w:cs="Times New Roman"/>
          <w:kern w:val="24"/>
          <w:sz w:val="24"/>
          <w:szCs w:val="24"/>
        </w:rPr>
        <w:t>. This proactive approach</w:t>
      </w:r>
      <w:r w:rsidR="005656FB" w:rsidRPr="00922C73">
        <w:rPr>
          <w:rFonts w:ascii="Times New Roman" w:eastAsia="MS PGothic" w:hAnsi="Times New Roman" w:cs="Times New Roman"/>
          <w:kern w:val="24"/>
          <w:sz w:val="24"/>
          <w:szCs w:val="24"/>
        </w:rPr>
        <w:t xml:space="preserve"> </w:t>
      </w:r>
      <w:r w:rsidR="00FB3133" w:rsidRPr="00922C73">
        <w:rPr>
          <w:rFonts w:ascii="Times New Roman" w:eastAsia="MS PGothic" w:hAnsi="Times New Roman" w:cs="Times New Roman"/>
          <w:kern w:val="24"/>
          <w:sz w:val="24"/>
          <w:szCs w:val="24"/>
        </w:rPr>
        <w:t>has led to</w:t>
      </w:r>
      <w:r w:rsidR="005656FB" w:rsidRPr="00922C73">
        <w:rPr>
          <w:rFonts w:ascii="Times New Roman" w:eastAsia="MS PGothic" w:hAnsi="Times New Roman" w:cs="Times New Roman"/>
          <w:kern w:val="24"/>
          <w:sz w:val="24"/>
          <w:szCs w:val="24"/>
        </w:rPr>
        <w:t xml:space="preserve"> better patient outcomes</w:t>
      </w:r>
      <w:r w:rsidR="003859DE" w:rsidRPr="00922C73">
        <w:rPr>
          <w:rFonts w:ascii="Times New Roman" w:eastAsia="MS PGothic" w:hAnsi="Times New Roman" w:cs="Times New Roman"/>
          <w:kern w:val="24"/>
          <w:sz w:val="24"/>
          <w:szCs w:val="24"/>
        </w:rPr>
        <w:t xml:space="preserve">. </w:t>
      </w:r>
      <w:r w:rsidR="005656FB" w:rsidRPr="00922C73">
        <w:rPr>
          <w:rFonts w:ascii="Times New Roman" w:eastAsia="MS PGothic" w:hAnsi="Times New Roman" w:cs="Times New Roman"/>
          <w:kern w:val="24"/>
          <w:sz w:val="24"/>
          <w:szCs w:val="24"/>
        </w:rPr>
        <w:t xml:space="preserve">However, </w:t>
      </w:r>
      <w:r w:rsidR="009C4257" w:rsidRPr="00922C73">
        <w:rPr>
          <w:rFonts w:ascii="Times New Roman" w:eastAsia="MS PGothic" w:hAnsi="Times New Roman" w:cs="Times New Roman"/>
          <w:kern w:val="24"/>
          <w:sz w:val="24"/>
          <w:szCs w:val="24"/>
        </w:rPr>
        <w:t>challenge</w:t>
      </w:r>
      <w:r w:rsidR="00685B4E" w:rsidRPr="00922C73">
        <w:rPr>
          <w:rFonts w:ascii="Times New Roman" w:eastAsia="MS PGothic" w:hAnsi="Times New Roman" w:cs="Times New Roman"/>
          <w:kern w:val="24"/>
          <w:sz w:val="24"/>
          <w:szCs w:val="24"/>
        </w:rPr>
        <w:t xml:space="preserve">s </w:t>
      </w:r>
      <w:r w:rsidR="005656FB" w:rsidRPr="00922C73">
        <w:rPr>
          <w:rFonts w:ascii="Times New Roman" w:eastAsia="MS PGothic" w:hAnsi="Times New Roman" w:cs="Times New Roman"/>
          <w:kern w:val="24"/>
          <w:sz w:val="24"/>
          <w:szCs w:val="24"/>
        </w:rPr>
        <w:t>remain and</w:t>
      </w:r>
      <w:r w:rsidR="00685B4E" w:rsidRPr="00922C73">
        <w:rPr>
          <w:rFonts w:ascii="Times New Roman" w:eastAsia="MS PGothic" w:hAnsi="Times New Roman" w:cs="Times New Roman"/>
          <w:kern w:val="24"/>
          <w:sz w:val="24"/>
          <w:szCs w:val="24"/>
        </w:rPr>
        <w:t xml:space="preserve"> one of the biggest</w:t>
      </w:r>
      <w:r w:rsidR="009C4257" w:rsidRPr="00922C73">
        <w:rPr>
          <w:rFonts w:ascii="Times New Roman" w:eastAsia="MS PGothic" w:hAnsi="Times New Roman" w:cs="Times New Roman"/>
          <w:kern w:val="24"/>
          <w:sz w:val="24"/>
          <w:szCs w:val="24"/>
        </w:rPr>
        <w:t xml:space="preserve"> is the </w:t>
      </w:r>
      <w:r w:rsidR="00694BAC" w:rsidRPr="00922C73">
        <w:rPr>
          <w:rFonts w:ascii="Times New Roman" w:eastAsia="MS PGothic" w:hAnsi="Times New Roman" w:cs="Times New Roman"/>
          <w:kern w:val="24"/>
          <w:sz w:val="24"/>
          <w:szCs w:val="24"/>
        </w:rPr>
        <w:t xml:space="preserve">loss of response to </w:t>
      </w:r>
      <w:r w:rsidR="00B620E4" w:rsidRPr="00922C73">
        <w:rPr>
          <w:rFonts w:ascii="Times New Roman" w:eastAsia="MS PGothic" w:hAnsi="Times New Roman" w:cs="Times New Roman"/>
          <w:kern w:val="24"/>
          <w:sz w:val="24"/>
          <w:szCs w:val="24"/>
        </w:rPr>
        <w:t>monoclonal antibodies</w:t>
      </w:r>
      <w:r w:rsidR="00694BAC" w:rsidRPr="00922C73">
        <w:rPr>
          <w:rFonts w:ascii="Times New Roman" w:eastAsia="MS PGothic" w:hAnsi="Times New Roman" w:cs="Times New Roman"/>
          <w:kern w:val="24"/>
          <w:sz w:val="24"/>
          <w:szCs w:val="24"/>
        </w:rPr>
        <w:t>.</w:t>
      </w:r>
      <w:r w:rsidR="00820393" w:rsidRPr="00922C73">
        <w:rPr>
          <w:rFonts w:ascii="Times New Roman" w:hAnsi="Times New Roman" w:cs="Times New Roman"/>
          <w:sz w:val="24"/>
          <w:szCs w:val="24"/>
        </w:rPr>
        <w:t xml:space="preserve"> </w:t>
      </w:r>
      <w:r w:rsidR="00694BAC" w:rsidRPr="00922C73">
        <w:rPr>
          <w:rFonts w:ascii="Times New Roman" w:hAnsi="Times New Roman" w:cs="Times New Roman"/>
          <w:sz w:val="24"/>
          <w:szCs w:val="24"/>
        </w:rPr>
        <w:t>P</w:t>
      </w:r>
      <w:r w:rsidR="00820393" w:rsidRPr="00922C73">
        <w:rPr>
          <w:rFonts w:ascii="Times New Roman" w:hAnsi="Times New Roman" w:cs="Times New Roman"/>
          <w:sz w:val="24"/>
          <w:szCs w:val="24"/>
        </w:rPr>
        <w:t xml:space="preserve">rimary non-response (lack of improvement with induction therapy) occurs in 20-30% of patients </w:t>
      </w:r>
      <w:r w:rsidR="00820393" w:rsidRPr="00922C73">
        <w:rPr>
          <w:rFonts w:ascii="Times New Roman" w:hAnsi="Times New Roman" w:cs="Times New Roman"/>
          <w:sz w:val="24"/>
          <w:szCs w:val="24"/>
          <w:vertAlign w:val="superscript"/>
        </w:rPr>
        <w:fldChar w:fldCharType="begin" w:fldLock="1"/>
      </w:r>
      <w:r w:rsidR="00DD0F87" w:rsidRPr="00922C73">
        <w:rPr>
          <w:rFonts w:ascii="Times New Roman" w:hAnsi="Times New Roman" w:cs="Times New Roman"/>
          <w:sz w:val="24"/>
          <w:szCs w:val="24"/>
          <w:vertAlign w:val="superscript"/>
        </w:rPr>
        <w:instrText>ADDIN CSL_CITATION {"citationItems":[{"id":"ITEM-1","itemData":{"DOI":"10.1016/j.crohns.2011.07.011","ISBN":"1876-4479 (Electronic)\\r1873-9946 (Linking)","ISSN":"18739946","PMID":"22325168","abstract":"Background: Infliximab is licenced for use in Crohn's disease (CD). Trial data demonstrate that infliximab is effective for inducing remission of active CD, healing fistulising CD, and preventing relapse once in remission. However, long-term data regarding efficacy, safety, and predictors of response are still emerging. Aim: To examine these issues in a large cohort of patients who received infliximab for CD. Methods: A retrospective analysis of prospectively collected data was performed for 210 patients receiving infliximab for luminal or fistulising CD. Response to infliximab induction therapy, and sustained clinical benefit, were assessed by a decrease in Harvey-Bradshaw Index (HBI) of ???2 points. Remission was defined as an HBI ??? 4. Physician's global assessment was used where HBI could not be obtained. Demographic and disease factors that may predict response to therapy were analysed by Kaplan-Meier plots and univariate and multivariate analyses. Results: Overall, 173 (82.4%) patients responded to infliximab induction, with 114 (65.9%) achieving sustained clinical benefit. Almost 40% of the study cohort had an HBI ??? 4, indicating remission, at last point of follow-up (median 24. months). Concomitant immunosuppression predicted sustained clinical benefit in the first 6. months of therapy (P = 0.03). An inflammatory disease phenotype (P = 0.04 univariate analysis, P = 0.03 Kaplan Meier analysis) and male gender (P = 0.03) also predicted sustained clinical benefit. Episodic therapy was associated with an increased likelihood of secondary non-response. Adverse events, including malignancies, were few. Conclusion: In this single centre study, infliximab was efficacious and well-tolerated in CD. ?? 2011 European Crohn's and Colitis Organisation.","author":[{"dropping-particle":"","family":"Sprakes","given":"Michael B.","non-dropping-particle":"","parse-names":false,"suffix":""},{"dropping-particle":"","family":"Ford","given":"Alexander C.","non-dropping-particle":"","parse-names":false,"suffix":""},{"dropping-particle":"","family":"Warren","given":"Lisa","non-dropping-particle":"","parse-names":false,"suffix":""},{"dropping-particle":"","family":"Greer","given":"Dan","non-dropping-particle":"","parse-names":false,"suffix":""},{"dropping-particle":"","family":"Hamlin","given":"John","non-dropping-particle":"","parse-names":false,"suffix":""}],"container-title":"Journal of Crohn's and Colitis","id":"ITEM-1","issue":"2","issued":{"date-parts":[["2012","3"]]},"page":"143-153","publisher":"European Crohn's and Colitis Organisation","title":"Efficacy, tolerability, and predictors of response to infliximab therapy for Crohn's disease: A large single centre experience","type":"article-journal","volume":"6"},"uris":["http://www.mendeley.com/documents/?uuid=50ea6487-4c6e-4f7c-b378-f16d3393187c","http://www.mendeley.com/documents/?uuid=28cf93d6-199e-4585-8a8b-d1a2fc46db70","http://www.mendeley.com/documents/?uuid=c6f25a5f-fbe5-4f3f-a332-fc6588dfbc58"]},{"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http://www.mendeley.com/documents/?uuid=08d02a08-fdd3-4eb9-b2ae-070a39d39fc5","http://www.mendeley.com/documents/?uuid=12ff60dc-3218-4c7f-941b-43511ca01a12"]}],"mendeley":{"formattedCitation":"&lt;sup&gt;26,27&lt;/sup&gt;","plainTextFormattedCitation":"26,27","previouslyFormattedCitation":"&lt;sup&gt;26,27&lt;/sup&gt;"},"properties":{"noteIndex":0},"schema":"https://github.com/citation-style-language/schema/raw/master/csl-citation.json"}</w:instrText>
      </w:r>
      <w:r w:rsidR="00820393"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26,27</w:t>
      </w:r>
      <w:r w:rsidR="00820393" w:rsidRPr="00922C73">
        <w:rPr>
          <w:rFonts w:ascii="Times New Roman" w:hAnsi="Times New Roman" w:cs="Times New Roman"/>
          <w:sz w:val="24"/>
          <w:szCs w:val="24"/>
          <w:vertAlign w:val="superscript"/>
        </w:rPr>
        <w:fldChar w:fldCharType="end"/>
      </w:r>
      <w:r w:rsidR="00820393" w:rsidRPr="00922C73">
        <w:rPr>
          <w:rFonts w:ascii="Times New Roman" w:hAnsi="Times New Roman" w:cs="Times New Roman"/>
          <w:sz w:val="24"/>
          <w:szCs w:val="24"/>
        </w:rPr>
        <w:t xml:space="preserve"> and secondary loss of response (loss of response after initial improvement) occurs in up to </w:t>
      </w:r>
      <w:r w:rsidR="00C52FF5" w:rsidRPr="00922C73">
        <w:rPr>
          <w:rFonts w:ascii="Times New Roman" w:hAnsi="Times New Roman" w:cs="Times New Roman"/>
          <w:sz w:val="24"/>
          <w:szCs w:val="24"/>
        </w:rPr>
        <w:t xml:space="preserve">23-46 </w:t>
      </w:r>
      <w:r w:rsidR="00820393" w:rsidRPr="00922C73">
        <w:rPr>
          <w:rFonts w:ascii="Times New Roman" w:hAnsi="Times New Roman" w:cs="Times New Roman"/>
          <w:sz w:val="24"/>
          <w:szCs w:val="24"/>
        </w:rPr>
        <w:t>% of patients at</w:t>
      </w:r>
      <w:r w:rsidR="00C52FF5" w:rsidRPr="00922C73">
        <w:rPr>
          <w:rFonts w:ascii="Times New Roman" w:hAnsi="Times New Roman" w:cs="Times New Roman"/>
          <w:sz w:val="24"/>
          <w:szCs w:val="24"/>
        </w:rPr>
        <w:t xml:space="preserve"> 12 months follow</w:t>
      </w:r>
      <w:r w:rsidR="00B620E4" w:rsidRPr="00922C73">
        <w:rPr>
          <w:rFonts w:ascii="Times New Roman" w:hAnsi="Times New Roman" w:cs="Times New Roman"/>
          <w:sz w:val="24"/>
          <w:szCs w:val="24"/>
        </w:rPr>
        <w:t>-</w:t>
      </w:r>
      <w:r w:rsidR="00C52FF5" w:rsidRPr="00922C73">
        <w:rPr>
          <w:rFonts w:ascii="Times New Roman" w:hAnsi="Times New Roman" w:cs="Times New Roman"/>
          <w:sz w:val="24"/>
          <w:szCs w:val="24"/>
        </w:rPr>
        <w:t>up for anti-TNF agents</w:t>
      </w:r>
      <w:r w:rsidR="00820393" w:rsidRPr="00922C73">
        <w:rPr>
          <w:rFonts w:ascii="Times New Roman" w:hAnsi="Times New Roman" w:cs="Times New Roman"/>
          <w:sz w:val="24"/>
          <w:szCs w:val="24"/>
        </w:rPr>
        <w:t xml:space="preserve"> </w:t>
      </w:r>
      <w:r w:rsidR="00820393" w:rsidRPr="00922C73">
        <w:rPr>
          <w:rFonts w:ascii="Times New Roman" w:hAnsi="Times New Roman" w:cs="Times New Roman"/>
          <w:sz w:val="24"/>
          <w:szCs w:val="24"/>
          <w:vertAlign w:val="superscript"/>
        </w:rPr>
        <w:fldChar w:fldCharType="begin" w:fldLock="1"/>
      </w:r>
      <w:r w:rsidR="00DD0F87" w:rsidRPr="00922C73">
        <w:rPr>
          <w:rFonts w:ascii="Times New Roman" w:hAnsi="Times New Roman" w:cs="Times New Roman"/>
          <w:sz w:val="24"/>
          <w:szCs w:val="24"/>
          <w:vertAlign w:val="superscript"/>
        </w:rPr>
        <w:instrText>ADDIN CSL_CITATION {"citationItems":[{"id":"ITEM-1","itemData":{"DOI":"10.1111/j.1365-2036.2011.04612.x","ISBN":"1365-2036","ISSN":"02692813","PMID":"21366636","abstract":"Loss of response to anti-TNF agents in Crohn's disease is an emerging clinical problem.","author":[{"dropping-particle":"","family":"Ben-Horin","given":"S.","non-dropping-particle":"","parse-names":false,"suffix":""},{"dropping-particle":"","family":"Chowers","given":"Y.","non-dropping-particle":"","parse-names":false,"suffix":""}],"container-title":"Alimentary Pharmacology &amp; Therapeutics","id":"ITEM-1","issue":"9","issued":{"date-parts":[["2011","5"]]},"page":"987-995","title":"Review article: loss of response to anti-TNF treatments in Crohn’s disease","type":"article-journal","volume":"33"},"uris":["http://www.mendeley.com/documents/?uuid=9d296738-3548-4847-84c0-4c4505c75cea","http://www.mendeley.com/documents/?uuid=f0556fd3-f59e-431a-93ff-e07ea1c3e1f2","http://www.mendeley.com/documents/?uuid=41e52449-6843-4303-b4df-ae27a9670a4f"]},{"id":"ITEM-2","itemData":{"DOI":"10.1111/j.1365-2036.2011.04986.x","ISSN":"02692813","author":[{"dropping-particle":"","family":"Rostholder","given":"Emily","non-dropping-particle":"","parse-names":false,"suffix":""},{"dropping-particle":"","family":"Ahmed","given":"Awais","non-dropping-particle":"","parse-names":false,"suffix":""},{"dropping-particle":"","family":"Cheifetz","given":"Adam S","non-dropping-particle":"","parse-names":false,"suffix":""},{"dropping-particle":"","family":"Moss","given":"Alan C","non-dropping-particle":"","parse-names":false,"suffix":""}],"container-title":"Alimentary Pharmacology &amp; Therapeutics","id":"ITEM-2","issue":"5","issued":{"date-parts":[["2012","3"]]},"page":"562-567","title":"Outcomes after escalation of infliximab therapy in ambulatory patients with moderately active ulcerative colitis","type":"article-journal","volume":"35"},"uris":["http://www.mendeley.com/documents/?uuid=c9f588f9-d63e-4c3a-9760-e357f2f9eed1","http://www.mendeley.com/documents/?uuid=7b984b9b-8604-4754-a50b-372ac5ba27cc","http://www.mendeley.com/documents/?uuid=5deaa6d0-bc25-4ff5-b118-7ac3b71cd964"]},{"id":"ITEM-3","itemData":{"DOI":"10.1038/ctg.2015.63","ISSN":"2155-384X","author":[{"dropping-particle":"","family":"Roda","given":"Giulia","non-dropping-particle":"","parse-names":false,"suffix":""},{"dropping-particle":"","family":"Jharap","given":"Bindia","non-dropping-particle":"","parse-names":false,"suffix":""},{"dropping-particle":"","family":"Neeraj","given":"Narula","non-dropping-particle":"","parse-names":false,"suffix":""},{"dropping-particle":"","family":"Colombel","given":"Jean-Frederic","non-dropping-particle":"","parse-names":false,"suffix":""}],"container-title":"Clinical and Translational Gastroenterology","id":"ITEM-3","issue":"1","issued":{"date-parts":[["2016","1"]]},"page":"e135","title":"Loss of Response to Anti-TNFs: Definition, Epidemiology, and Management","type":"article-journal","volume":"7"},"uris":["http://www.mendeley.com/documents/?uuid=2bbb1ff7-fc73-4056-8a86-c593145cc088"]}],"mendeley":{"formattedCitation":"&lt;sup&gt;28–30&lt;/sup&gt;","plainTextFormattedCitation":"28–30","previouslyFormattedCitation":"&lt;sup&gt;28–30&lt;/sup&gt;"},"properties":{"noteIndex":0},"schema":"https://github.com/citation-style-language/schema/raw/master/csl-citation.json"}</w:instrText>
      </w:r>
      <w:r w:rsidR="00820393"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28–30</w:t>
      </w:r>
      <w:r w:rsidR="00820393" w:rsidRPr="00922C73">
        <w:rPr>
          <w:rFonts w:ascii="Times New Roman" w:hAnsi="Times New Roman" w:cs="Times New Roman"/>
          <w:sz w:val="24"/>
          <w:szCs w:val="24"/>
          <w:vertAlign w:val="superscript"/>
        </w:rPr>
        <w:fldChar w:fldCharType="end"/>
      </w:r>
      <w:r w:rsidR="00820393" w:rsidRPr="00922C73">
        <w:rPr>
          <w:rFonts w:ascii="Times New Roman" w:hAnsi="Times New Roman" w:cs="Times New Roman"/>
          <w:sz w:val="24"/>
          <w:szCs w:val="24"/>
        </w:rPr>
        <w:t xml:space="preserve">. </w:t>
      </w:r>
      <w:r w:rsidR="00067C5A" w:rsidRPr="00922C73">
        <w:rPr>
          <w:rFonts w:ascii="Times New Roman" w:hAnsi="Times New Roman" w:cs="Times New Roman"/>
          <w:sz w:val="24"/>
          <w:szCs w:val="24"/>
        </w:rPr>
        <w:t>Similar rates of secondary loss of response, around 30%</w:t>
      </w:r>
      <w:r w:rsidR="00B620E4" w:rsidRPr="00922C73">
        <w:rPr>
          <w:rFonts w:ascii="Times New Roman" w:hAnsi="Times New Roman" w:cs="Times New Roman"/>
          <w:sz w:val="24"/>
          <w:szCs w:val="24"/>
        </w:rPr>
        <w:t>,</w:t>
      </w:r>
      <w:r w:rsidR="00067C5A" w:rsidRPr="00922C73">
        <w:rPr>
          <w:rFonts w:ascii="Times New Roman" w:hAnsi="Times New Roman" w:cs="Times New Roman"/>
          <w:sz w:val="24"/>
          <w:szCs w:val="24"/>
        </w:rPr>
        <w:t xml:space="preserve"> </w:t>
      </w:r>
      <w:r w:rsidR="00B620E4" w:rsidRPr="00922C73">
        <w:rPr>
          <w:rFonts w:ascii="Times New Roman" w:hAnsi="Times New Roman" w:cs="Times New Roman"/>
          <w:sz w:val="24"/>
          <w:szCs w:val="24"/>
        </w:rPr>
        <w:t>are reported</w:t>
      </w:r>
      <w:r w:rsidR="00067C5A" w:rsidRPr="00922C73">
        <w:rPr>
          <w:rFonts w:ascii="Times New Roman" w:hAnsi="Times New Roman" w:cs="Times New Roman"/>
          <w:sz w:val="24"/>
          <w:szCs w:val="24"/>
        </w:rPr>
        <w:t xml:space="preserve"> in IBD patients treated with vedolizumab and </w:t>
      </w:r>
      <w:proofErr w:type="spellStart"/>
      <w:r w:rsidR="00067C5A" w:rsidRPr="00922C73">
        <w:rPr>
          <w:rFonts w:ascii="Times New Roman" w:hAnsi="Times New Roman" w:cs="Times New Roman"/>
          <w:sz w:val="24"/>
          <w:szCs w:val="24"/>
        </w:rPr>
        <w:t>ustekinumab</w:t>
      </w:r>
      <w:proofErr w:type="spellEnd"/>
      <w:r w:rsidR="00067C5A" w:rsidRPr="00922C73">
        <w:rPr>
          <w:rFonts w:ascii="Times New Roman" w:hAnsi="Times New Roman" w:cs="Times New Roman"/>
          <w:sz w:val="24"/>
          <w:szCs w:val="24"/>
        </w:rPr>
        <w:t xml:space="preserve"> </w:t>
      </w:r>
      <w:r w:rsidR="00B620E4"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10.1097/MIB.0000000000001074","ISSN":"1078-0998","author":[{"dropping-particle":"","family":"Ma","given":"Christopher","non-dropping-particle":"","parse-names":false,"suffix":""},{"dropping-particle":"","family":"Fedorak","given":"Richard N.","non-dropping-particle":"","parse-names":false,"suffix":""},{"dropping-particle":"","family":"Kaplan","given":"Gilaad G.","non-dropping-particle":"","parse-names":false,"suffix":""},{"dropping-particle":"","family":"Dieleman","given":"Levinus A.","non-dropping-particle":"","parse-names":false,"suffix":""},{"dropping-particle":"","family":"Devlin","given":"Shane M.","non-dropping-particle":"","parse-names":false,"suffix":""},{"dropping-particle":"","family":"Stern","given":"Nathan","non-dropping-particle":"","parse-names":false,"suffix":""},{"dropping-particle":"","family":"Kroeker","given":"Karen I.","non-dropping-particle":"","parse-names":false,"suffix":""},{"dropping-particle":"","family":"Seow","given":"Cynthia H.","non-dropping-particle":"","parse-names":false,"suffix":""},{"dropping-particle":"","family":"Leung","given":"Yvette","non-dropping-particle":"","parse-names":false,"suffix":""},{"dropping-particle":"","family":"Novak","given":"Kerri L.","non-dropping-particle":"","parse-names":false,"suffix":""},{"dropping-particle":"","family":"Halloran","given":"Brendan P.","non-dropping-particle":"","parse-names":false,"suffix":""},{"dropping-particle":"","family":"Huang","given":"Vivian W.","non-dropping-particle":"","parse-names":false,"suffix":""},{"dropping-particle":"","family":"Wong","given":"Karen","non-dropping-particle":"","parse-names":false,"suffix":""},{"dropping-particle":"","family":"Blustein","given":"Philip K.","non-dropping-particle":"","parse-names":false,"suffix":""},{"dropping-particle":"","family":"Ghosh","given":"Subrata","non-dropping-particle":"","parse-names":false,"suffix":""},{"dropping-particle":"","family":"Panaccione","given":"Remo","non-dropping-particle":"","parse-names":false,"suffix":""}],"container-title":"Inflammatory Bowel Diseases","id":"ITEM-1","issue":"5","issued":{"date-parts":[["2017","5"]]},"page":"833-839","title":"Long-term Maintenance of Clinical, Endoscopic, and Radiographic Response to Ustekinumab in Moderate-to-Severe Crohnʼs Disease","type":"article-journal","volume":"23"},"uris":["http://www.mendeley.com/documents/?uuid=6a00ca8e-64c5-41a2-9511-8771cbe3d60d"]},{"id":"ITEM-2","itemData":{"DOI":"10.1093/ibd/izy171","ISSN":"1078-0998","author":[{"dropping-particle":"","family":"Shmidt","given":"Eugenia","non-dropping-particle":"","parse-names":false,"suffix":""},{"dropping-particle":"","family":"Kochhar","given":"Gursimran","non-dropping-particle":"","parse-names":false,"suffix":""},{"dropping-particle":"","family":"Hartke","given":"Justin","non-dropping-particle":"","parse-names":false,"suffix":""},{"dropping-particle":"","family":"Chilukuri","given":"Prianka","non-dropping-particle":"","parse-names":false,"suffix":""},{"dropping-particle":"","family":"Meserve","given":"Joseph","non-dropping-particle":"","parse-names":false,"suffix":""},{"dropping-particle":"","family":"Chaudrey","given":"Khadija","non-dropping-particle":"","parse-names":false,"suffix":""},{"dropping-particle":"","family":"Koliani-Pace","given":"Jenna L","non-dropping-particle":"","parse-names":false,"suffix":""},{"dropping-particle":"","family":"Hirten","given":"Robert","non-dropping-particle":"","parse-names":false,"suffix":""},{"dropping-particle":"","family":"Faleck","given":"David","non-dropping-particle":"","parse-names":false,"suffix":""},{"dropping-particle":"","family":"Barocas","given":"Morris","non-dropping-particle":"","parse-names":false,"suffix":""},{"dropping-particle":"","family":"Luo","given":"Michelle","non-dropping-particle":"","parse-names":false,"suffix":""},{"dropping-particle":"","family":"Lasch","given":"Karen","non-dropping-particle":"","parse-names":false,"suffix":""},{"dropping-particle":"","family":"Boland","given":"Brigid S","non-dropping-particle":"","parse-names":false,"suffix":""},{"dropping-particle":"","family":"Singh","given":"Siddharth","non-dropping-particle":"","parse-names":false,"suffix":""},{"dropping-particle":"","family":"Casteele","given":"Niels","non-dropping-particle":"Vande","parse-names":false,"suffix":""},{"dropping-particle":"","family":"Sagi","given":"Sashidhar Varma","non-dropping-particle":"","parse-names":false,"suffix":""},{"dropping-particle":"","family":"Fischer","given":"Monika","non-dropping-particle":"","parse-names":false,"suffix":""},{"dropping-particle":"","family":"Chang","given":"Shannon","non-dropping-particle":"","parse-names":false,"suffix":""},{"dropping-particle":"","family":"Bohm","given":"Matthew","non-dropping-particle":"","parse-names":false,"suffix":""},{"dropping-particle":"","family":"Lukin","given":"Dana","non-dropping-particle":"","parse-names":false,"suffix":""},{"dropping-particle":"","family":"Sultan","given":"Keith","non-dropping-particle":"","parse-names":false,"suffix":""},{"dropping-particle":"","family":"Swaminath","given":"Arun","non-dropping-particle":"","parse-names":false,"suffix":""},{"dropping-particle":"","family":"Hudesman","given":"David","non-dropping-particle":"","parse-names":false,"suffix":""},{"dropping-particle":"","family":"Gupta","given":"Nitin","non-dropping-particle":"","parse-names":false,"suffix":""},{"dropping-particle":"","family":"Kane","given":"Sunanda","non-dropping-particle":"","parse-names":false,"suffix":""},{"dropping-particle":"V","family":"Loftus","given":"Edward","non-dropping-particle":"","parse-names":false,"suffix":""},{"dropping-particle":"","family":"Sandborn","given":"William J","non-dropping-particle":"","parse-names":false,"suffix":""},{"dropping-particle":"","family":"Siegel","given":"Corey A","non-dropping-particle":"","parse-names":false,"suffix":""},{"dropping-particle":"","family":"Sands","given":"Bruce E","non-dropping-particle":"","parse-names":false,"suffix":""},{"dropping-particle":"","family":"Colombel","given":"Jean-Frederic","non-dropping-particle":"","parse-names":false,"suffix":""},{"dropping-particle":"","family":"Shen","given":"Bo","non-dropping-particle":"","parse-names":false,"suffix":""},{"dropping-particle":"","family":"Dulai","given":"Parambir S","non-dropping-particle":"","parse-names":false,"suffix":""}],"container-title":"Inflammatory Bowel Diseases","id":"ITEM-2","issue":"11","issued":{"date-parts":[["2018","10","12"]]},"page":"2461-2467","title":"Predictors and Management of Loss of Response to Vedolizumab in Inflammatory Bowel Disease","type":"article-journal","volume":"24"},"uris":["http://www.mendeley.com/documents/?uuid=bb81e7c8-ed8d-4e56-817b-01d58baa046d"]}],"mendeley":{"formattedCitation":"&lt;sup&gt;31,32&lt;/sup&gt;","plainTextFormattedCitation":"31,32","previouslyFormattedCitation":"&lt;sup&gt;31,32&lt;/sup&gt;"},"properties":{"noteIndex":0},"schema":"https://github.com/citation-style-language/schema/raw/master/csl-citation.json"}</w:instrText>
      </w:r>
      <w:r w:rsidR="00B620E4"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31,32</w:t>
      </w:r>
      <w:r w:rsidR="00B620E4" w:rsidRPr="00922C73">
        <w:rPr>
          <w:rFonts w:ascii="Times New Roman" w:hAnsi="Times New Roman" w:cs="Times New Roman"/>
          <w:sz w:val="24"/>
          <w:szCs w:val="24"/>
        </w:rPr>
        <w:fldChar w:fldCharType="end"/>
      </w:r>
      <w:r w:rsidR="00B620E4" w:rsidRPr="00922C73">
        <w:rPr>
          <w:rFonts w:ascii="Times New Roman" w:hAnsi="Times New Roman" w:cs="Times New Roman"/>
          <w:sz w:val="24"/>
          <w:szCs w:val="24"/>
        </w:rPr>
        <w:t xml:space="preserve"> </w:t>
      </w:r>
      <w:r w:rsidR="00B620E4" w:rsidRPr="00922C73">
        <w:rPr>
          <w:rFonts w:ascii="Times New Roman" w:eastAsia="MS PGothic" w:hAnsi="Times New Roman" w:cs="Times New Roman"/>
          <w:kern w:val="24"/>
          <w:sz w:val="24"/>
          <w:szCs w:val="24"/>
        </w:rPr>
        <w:t xml:space="preserve">Loss of response may occur due to an aggressive disease phenotype, disease complications such as strictures or fistulae, drug pharmacokinetics: low drug levels and or positive anti-drug antibodies, or a combination of these factors </w:t>
      </w:r>
      <w:r w:rsidR="00B620E4" w:rsidRPr="00922C73">
        <w:rPr>
          <w:rFonts w:ascii="Times New Roman" w:eastAsia="MS PGothic" w:hAnsi="Times New Roman" w:cs="Times New Roman"/>
          <w:kern w:val="24"/>
          <w:sz w:val="24"/>
          <w:szCs w:val="24"/>
        </w:rPr>
        <w:fldChar w:fldCharType="begin" w:fldLock="1"/>
      </w:r>
      <w:r w:rsidR="00DD0F87" w:rsidRPr="00922C73">
        <w:rPr>
          <w:rFonts w:ascii="Times New Roman" w:eastAsia="MS PGothic" w:hAnsi="Times New Roman" w:cs="Times New Roman"/>
          <w:kern w:val="24"/>
          <w:sz w:val="24"/>
          <w:szCs w:val="24"/>
        </w:rPr>
        <w:instrText>ADDIN CSL_CITATION {"citationItems":[{"id":"ITEM-1","itemData":{"DOI":"10.1136/gutjnl-2019-318343","ISSN":"0017-5749","author":[{"dropping-particle":"","family":"Biasci","given":"Daniele","non-dropping-particle":"","parse-names":false,"suffix":""},{"dropping-particle":"","family":"Lee","given":"James C","non-dropping-particle":"","parse-names":false,"suffix":""},{"dropping-particle":"","family":"Noor","given":"Nurulamin M","non-dropping-particle":"","parse-names":false,"suffix":""},{"dropping-particle":"","family":"Pombal","given":"Diana R","non-dropping-particle":"","parse-names":false,"suffix":""},{"dropping-particle":"","family":"Hou","given":"Monica","non-dropping-particle":"","parse-names":false,"suffix":""},{"dropping-particle":"","family":"Lewis","given":"Nina","non-dropping-particle":"","parse-names":false,"suffix":""},{"dropping-particle":"","family":"Ahmad","given":"Tariq","non-dropping-particle":"","parse-names":false,"suffix":""},{"dropping-particle":"","family":"Hart","given":"Ailsa","non-dropping-particle":"","parse-names":false,"suffix":""},{"dropping-particle":"","family":"Parkes","given":"Miles","non-dropping-particle":"","parse-names":false,"suffix":""},{"dropping-particle":"","family":"McKinney","given":"Eoin F","non-dropping-particle":"","parse-names":false,"suffix":""},{"dropping-particle":"","family":"Lyons","given":"Paul A","non-dropping-particle":"","parse-names":false,"suffix":""},{"dropping-particle":"","family":"Smith","given":"Kenneth G C","non-dropping-particle":"","parse-names":false,"suffix":""}],"container-title":"Gut","id":"ITEM-1","issue":"8","issued":{"date-parts":[["2019","8"]]},"page":"1386-1395","title":"A blood-based prognostic biomarker in IBD","type":"article-journal","volume":"68"},"uris":["http://www.mendeley.com/documents/?uuid=047b7afb-b909-4fcb-8c18-ab749abf335d"]},{"id":"ITEM-2","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Diseases","id":"ITEM-2","issue":"1","issued":{"date-parts":[["2015","1"]]},"page":"311-314","title":"The antibody response against human and chimeric anti-TNF therapeutic antibodies primarily targets the TNF binding region","type":"article-journal","volume":"74"},"uris":["http://www.mendeley.com/documents/?uuid=c5c9c2d8-4bea-431e-974f-09a2aa2b2007"]},{"id":"ITEM-3","itemData":{"DOI":"10.1016/j.cgh.2019.05.029","ISSN":"15423565","author":[{"dropping-particle":"","family":"Dreesen","given":"Erwin","non-dropping-particle":"","parse-names":false,"suffix":""},{"dropping-particle":"","family":"Baert","given":"Filip","non-dropping-particle":"","parse-names":false,"suffix":""},{"dropping-particle":"","family":"Laharie","given":"David","non-dropping-particle":"","parse-names":false,"suffix":""},{"dropping-particle":"","family":"Bossuyt","given":"Peter","non-dropping-particle":"","parse-names":false,"suffix":""},{"dropping-particle":"","family":"Bouhnik","given":"Yoram","non-dropping-particle":"","parse-names":false,"suffix":""},{"dropping-particle":"","family":"Buisson","given":"Anthony","non-dropping-particle":"","parse-names":false,"suffix":""},{"dropping-particle":"","family":"Lambrecht","given":"Guy","non-dropping-particle":"","parse-names":false,"suffix":""},{"dropping-particle":"","family":"Louis","given":"Edouard","non-dropping-particle":"","parse-names":false,"suffix":""},{"dropping-particle":"","family":"Oldenburg","given":"Bas","non-dropping-particle":"","parse-names":false,"suffix":""},{"dropping-particle":"","family":"Pariente","given":"Benjamin","non-dropping-particle":"","parse-names":false,"suffix":""},{"dropping-particle":"","family":"Pierik","given":"Marieke","non-dropping-particle":"","parse-names":false,"suffix":""},{"dropping-particle":"","family":"Woude","given":"C. Janneke","non-dropping-particle":"van der","parse-names":false,"suffix":""},{"dropping-particle":"","family":"D’Haens","given":"Geert","non-dropping-particle":"","parse-names":false,"suffix":""},{"dropping-particle":"","family":"Vermeire","given":"Séverine","non-dropping-particle":"","parse-names":false,"suffix":""},{"dropping-particle":"","family":"Gils","given":"Ann","non-dropping-particle":"","parse-names":false,"suffix":""}],"container-title":"Clinical Gastroenterology and Hepatology","id":"ITEM-3","issue":"3","issued":{"date-parts":[["2020","3"]]},"page":"637-646.e11","title":"Monitoring a Combination of Calprotectin and Infliximab Identifies Patients With Mucosal Healing of Crohn’s Disease","type":"article-journal","volume":"18"},"uris":["http://www.mendeley.com/documents/?uuid=13bb5be8-87aa-4a54-9b9a-51793c92f8d4"]}],"mendeley":{"formattedCitation":"&lt;sup&gt;10,33,34&lt;/sup&gt;","plainTextFormattedCitation":"10,33,34","previouslyFormattedCitation":"&lt;sup&gt;10,33,34&lt;/sup&gt;"},"properties":{"noteIndex":0},"schema":"https://github.com/citation-style-language/schema/raw/master/csl-citation.json"}</w:instrText>
      </w:r>
      <w:r w:rsidR="00B620E4" w:rsidRPr="00922C73">
        <w:rPr>
          <w:rFonts w:ascii="Times New Roman" w:eastAsia="MS PGothic" w:hAnsi="Times New Roman" w:cs="Times New Roman"/>
          <w:kern w:val="24"/>
          <w:sz w:val="24"/>
          <w:szCs w:val="24"/>
        </w:rPr>
        <w:fldChar w:fldCharType="separate"/>
      </w:r>
      <w:r w:rsidR="00A00D49" w:rsidRPr="00922C73">
        <w:rPr>
          <w:rFonts w:ascii="Times New Roman" w:eastAsia="MS PGothic" w:hAnsi="Times New Roman" w:cs="Times New Roman"/>
          <w:noProof/>
          <w:kern w:val="24"/>
          <w:sz w:val="24"/>
          <w:szCs w:val="24"/>
          <w:vertAlign w:val="superscript"/>
        </w:rPr>
        <w:t>10,33,34</w:t>
      </w:r>
      <w:r w:rsidR="00B620E4" w:rsidRPr="00922C73">
        <w:rPr>
          <w:rFonts w:ascii="Times New Roman" w:eastAsia="MS PGothic" w:hAnsi="Times New Roman" w:cs="Times New Roman"/>
          <w:kern w:val="24"/>
          <w:sz w:val="24"/>
          <w:szCs w:val="24"/>
        </w:rPr>
        <w:fldChar w:fldCharType="end"/>
      </w:r>
      <w:r w:rsidR="00B620E4" w:rsidRPr="00922C73">
        <w:rPr>
          <w:rFonts w:ascii="Times New Roman" w:eastAsia="MS PGothic" w:hAnsi="Times New Roman" w:cs="Times New Roman"/>
          <w:kern w:val="24"/>
          <w:sz w:val="24"/>
          <w:szCs w:val="24"/>
        </w:rPr>
        <w:t xml:space="preserve">. </w:t>
      </w:r>
      <w:r w:rsidR="00685B4E" w:rsidRPr="00922C73">
        <w:rPr>
          <w:rFonts w:ascii="Times New Roman" w:hAnsi="Times New Roman" w:cs="Times New Roman"/>
          <w:sz w:val="24"/>
          <w:szCs w:val="24"/>
        </w:rPr>
        <w:t>This means that</w:t>
      </w:r>
      <w:r w:rsidR="00820393" w:rsidRPr="00922C73">
        <w:rPr>
          <w:rFonts w:ascii="Times New Roman" w:hAnsi="Times New Roman" w:cs="Times New Roman"/>
          <w:sz w:val="24"/>
          <w:szCs w:val="24"/>
        </w:rPr>
        <w:t xml:space="preserve"> </w:t>
      </w:r>
      <w:r w:rsidR="00685B4E" w:rsidRPr="00922C73">
        <w:rPr>
          <w:rFonts w:ascii="Times New Roman" w:hAnsi="Times New Roman" w:cs="Times New Roman"/>
          <w:sz w:val="24"/>
          <w:szCs w:val="24"/>
        </w:rPr>
        <w:t xml:space="preserve">despite the </w:t>
      </w:r>
      <w:r w:rsidR="0048624A" w:rsidRPr="00922C73">
        <w:rPr>
          <w:rFonts w:ascii="Times New Roman" w:hAnsi="Times New Roman" w:cs="Times New Roman"/>
          <w:sz w:val="24"/>
          <w:szCs w:val="24"/>
        </w:rPr>
        <w:t>advancements</w:t>
      </w:r>
      <w:r w:rsidR="00685B4E" w:rsidRPr="00922C73">
        <w:rPr>
          <w:rFonts w:ascii="Times New Roman" w:hAnsi="Times New Roman" w:cs="Times New Roman"/>
          <w:sz w:val="24"/>
          <w:szCs w:val="24"/>
        </w:rPr>
        <w:t xml:space="preserve"> </w:t>
      </w:r>
      <w:r w:rsidR="005E4C61" w:rsidRPr="00922C73">
        <w:rPr>
          <w:rFonts w:ascii="Times New Roman" w:hAnsi="Times New Roman" w:cs="Times New Roman"/>
          <w:sz w:val="24"/>
          <w:szCs w:val="24"/>
        </w:rPr>
        <w:t xml:space="preserve">in the management of IBD </w:t>
      </w:r>
      <w:r w:rsidR="00685B4E" w:rsidRPr="00922C73">
        <w:rPr>
          <w:rFonts w:ascii="Times New Roman" w:hAnsi="Times New Roman" w:cs="Times New Roman"/>
          <w:sz w:val="24"/>
          <w:szCs w:val="24"/>
        </w:rPr>
        <w:t>over the last few decades</w:t>
      </w:r>
      <w:r w:rsidR="00820393" w:rsidRPr="00922C73">
        <w:rPr>
          <w:rFonts w:ascii="Times New Roman" w:hAnsi="Times New Roman" w:cs="Times New Roman"/>
          <w:sz w:val="24"/>
          <w:szCs w:val="24"/>
        </w:rPr>
        <w:t>, patients can still be left with ongoing disease activity</w:t>
      </w:r>
      <w:r w:rsidR="00685B4E" w:rsidRPr="00922C73">
        <w:rPr>
          <w:rFonts w:ascii="Times New Roman" w:hAnsi="Times New Roman" w:cs="Times New Roman"/>
          <w:sz w:val="24"/>
          <w:szCs w:val="24"/>
        </w:rPr>
        <w:t>, poor quality of life</w:t>
      </w:r>
      <w:r w:rsidR="00820393" w:rsidRPr="00922C73">
        <w:rPr>
          <w:rFonts w:ascii="Times New Roman" w:hAnsi="Times New Roman" w:cs="Times New Roman"/>
          <w:sz w:val="24"/>
          <w:szCs w:val="24"/>
        </w:rPr>
        <w:t xml:space="preserve"> with no</w:t>
      </w:r>
      <w:r w:rsidR="003859DE" w:rsidRPr="00922C73">
        <w:rPr>
          <w:rFonts w:ascii="Times New Roman" w:hAnsi="Times New Roman" w:cs="Times New Roman"/>
          <w:sz w:val="24"/>
          <w:szCs w:val="24"/>
        </w:rPr>
        <w:t xml:space="preserve"> treatment</w:t>
      </w:r>
      <w:r w:rsidR="00685B4E" w:rsidRPr="00922C73">
        <w:rPr>
          <w:rFonts w:ascii="Times New Roman" w:hAnsi="Times New Roman" w:cs="Times New Roman"/>
          <w:sz w:val="24"/>
          <w:szCs w:val="24"/>
        </w:rPr>
        <w:t xml:space="preserve"> options</w:t>
      </w:r>
      <w:r w:rsidR="00820393" w:rsidRPr="00922C73">
        <w:rPr>
          <w:rFonts w:ascii="Times New Roman" w:hAnsi="Times New Roman" w:cs="Times New Roman"/>
          <w:sz w:val="24"/>
          <w:szCs w:val="24"/>
        </w:rPr>
        <w:t xml:space="preserve">. </w:t>
      </w:r>
      <w:r w:rsidR="005E4C61" w:rsidRPr="00922C73">
        <w:rPr>
          <w:rFonts w:ascii="Times New Roman" w:hAnsi="Times New Roman" w:cs="Times New Roman"/>
          <w:sz w:val="24"/>
          <w:szCs w:val="24"/>
        </w:rPr>
        <w:t xml:space="preserve">By increasing our understanding of reasons for loss of response, such as </w:t>
      </w:r>
      <w:r w:rsidR="00EF1F06" w:rsidRPr="00922C73">
        <w:rPr>
          <w:rFonts w:ascii="Times New Roman" w:hAnsi="Times New Roman" w:cs="Times New Roman"/>
          <w:sz w:val="24"/>
          <w:szCs w:val="24"/>
        </w:rPr>
        <w:t>the anti-drug antibodies</w:t>
      </w:r>
      <w:r w:rsidR="005E4C61" w:rsidRPr="00922C73">
        <w:rPr>
          <w:rFonts w:ascii="Times New Roman" w:hAnsi="Times New Roman" w:cs="Times New Roman"/>
          <w:sz w:val="24"/>
          <w:szCs w:val="24"/>
        </w:rPr>
        <w:t xml:space="preserve">, this will help aid treatment decisions when </w:t>
      </w:r>
      <w:r w:rsidR="00EF1F06" w:rsidRPr="00922C73">
        <w:rPr>
          <w:rFonts w:ascii="Times New Roman" w:hAnsi="Times New Roman" w:cs="Times New Roman"/>
          <w:sz w:val="24"/>
          <w:szCs w:val="24"/>
        </w:rPr>
        <w:t>immunogenicity</w:t>
      </w:r>
      <w:r w:rsidR="005E4C61" w:rsidRPr="00922C73">
        <w:rPr>
          <w:rFonts w:ascii="Times New Roman" w:hAnsi="Times New Roman" w:cs="Times New Roman"/>
          <w:sz w:val="24"/>
          <w:szCs w:val="24"/>
        </w:rPr>
        <w:t xml:space="preserve"> </w:t>
      </w:r>
      <w:r w:rsidR="00EF1F06" w:rsidRPr="00922C73">
        <w:rPr>
          <w:rFonts w:ascii="Times New Roman" w:hAnsi="Times New Roman" w:cs="Times New Roman"/>
          <w:sz w:val="24"/>
          <w:szCs w:val="24"/>
        </w:rPr>
        <w:t>is</w:t>
      </w:r>
      <w:r w:rsidR="005E4C61" w:rsidRPr="00922C73">
        <w:rPr>
          <w:rFonts w:ascii="Times New Roman" w:hAnsi="Times New Roman" w:cs="Times New Roman"/>
          <w:sz w:val="24"/>
          <w:szCs w:val="24"/>
        </w:rPr>
        <w:t xml:space="preserve"> detected and may help in the future development of less immunogenic monoclonal antibodies.</w:t>
      </w:r>
    </w:p>
    <w:p w14:paraId="7A7C6190" w14:textId="645AFC4B" w:rsidR="00820393" w:rsidRPr="00922C73" w:rsidRDefault="00820393" w:rsidP="00F64D9D">
      <w:pPr>
        <w:kinsoku w:val="0"/>
        <w:overflowPunct w:val="0"/>
        <w:spacing w:before="86" w:after="0" w:line="480" w:lineRule="auto"/>
        <w:textAlignment w:val="baseline"/>
      </w:pPr>
    </w:p>
    <w:p w14:paraId="4ECCC362" w14:textId="4D64E044" w:rsidR="003778D2" w:rsidRPr="00922C73" w:rsidRDefault="003778D2" w:rsidP="00F64D9D">
      <w:pPr>
        <w:pStyle w:val="Heading3"/>
        <w:spacing w:line="480" w:lineRule="auto"/>
        <w:rPr>
          <w:rFonts w:ascii="Times New Roman" w:hAnsi="Times New Roman" w:cs="Times New Roman"/>
          <w:b/>
          <w:bCs/>
        </w:rPr>
      </w:pPr>
      <w:bookmarkStart w:id="22" w:name="_Toc521055981"/>
      <w:bookmarkStart w:id="23" w:name="_Toc151020454"/>
      <w:r w:rsidRPr="00922C73">
        <w:rPr>
          <w:rFonts w:ascii="Times New Roman" w:hAnsi="Times New Roman" w:cs="Times New Roman"/>
          <w:b/>
          <w:bCs/>
        </w:rPr>
        <w:lastRenderedPageBreak/>
        <w:t>1.</w:t>
      </w:r>
      <w:r w:rsidR="005E4C61" w:rsidRPr="00922C73">
        <w:rPr>
          <w:rFonts w:ascii="Times New Roman" w:hAnsi="Times New Roman" w:cs="Times New Roman"/>
          <w:b/>
          <w:bCs/>
        </w:rPr>
        <w:t>1.5</w:t>
      </w:r>
      <w:r w:rsidRPr="00922C73">
        <w:rPr>
          <w:rFonts w:ascii="Times New Roman" w:hAnsi="Times New Roman" w:cs="Times New Roman"/>
          <w:b/>
          <w:bCs/>
        </w:rPr>
        <w:t xml:space="preserve"> Role of </w:t>
      </w:r>
      <w:r w:rsidR="006C571E" w:rsidRPr="00922C73">
        <w:rPr>
          <w:rFonts w:ascii="Times New Roman" w:hAnsi="Times New Roman" w:cs="Times New Roman"/>
          <w:b/>
          <w:bCs/>
        </w:rPr>
        <w:t>tumour necrosis factor-</w:t>
      </w:r>
      <w:r w:rsidR="006C571E" w:rsidRPr="00922C73">
        <w:rPr>
          <w:rFonts w:ascii="Calibri" w:hAnsi="Calibri" w:cs="Calibri"/>
          <w:b/>
          <w:bCs/>
        </w:rPr>
        <w:t>α</w:t>
      </w:r>
      <w:r w:rsidR="006C571E" w:rsidRPr="00922C73">
        <w:rPr>
          <w:rFonts w:ascii="Times New Roman" w:hAnsi="Times New Roman" w:cs="Times New Roman"/>
          <w:b/>
          <w:bCs/>
        </w:rPr>
        <w:t xml:space="preserve"> (</w:t>
      </w:r>
      <w:r w:rsidRPr="00922C73">
        <w:rPr>
          <w:rFonts w:ascii="Times New Roman" w:hAnsi="Times New Roman" w:cs="Times New Roman"/>
          <w:b/>
          <w:bCs/>
        </w:rPr>
        <w:t>TNFα</w:t>
      </w:r>
      <w:r w:rsidR="006C571E" w:rsidRPr="00922C73">
        <w:rPr>
          <w:rFonts w:ascii="Times New Roman" w:hAnsi="Times New Roman" w:cs="Times New Roman"/>
          <w:b/>
          <w:bCs/>
        </w:rPr>
        <w:t>)</w:t>
      </w:r>
      <w:r w:rsidRPr="00922C73">
        <w:rPr>
          <w:rFonts w:ascii="Times New Roman" w:hAnsi="Times New Roman" w:cs="Times New Roman"/>
          <w:b/>
          <w:bCs/>
        </w:rPr>
        <w:t xml:space="preserve"> in IBD</w:t>
      </w:r>
      <w:bookmarkEnd w:id="22"/>
      <w:bookmarkEnd w:id="23"/>
    </w:p>
    <w:p w14:paraId="23114168" w14:textId="264348EA" w:rsidR="00582A2C" w:rsidRPr="00922C73" w:rsidRDefault="00325764" w:rsidP="00E04A75">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Tumour necrosis factor-α (</w:t>
      </w:r>
      <w:r w:rsidR="003778D2" w:rsidRPr="00922C73">
        <w:rPr>
          <w:rFonts w:ascii="Times New Roman" w:hAnsi="Times New Roman" w:cs="Times New Roman"/>
          <w:sz w:val="24"/>
          <w:szCs w:val="24"/>
        </w:rPr>
        <w:t>TNFα</w:t>
      </w:r>
      <w:r w:rsidRPr="00922C73">
        <w:rPr>
          <w:rFonts w:ascii="Times New Roman" w:hAnsi="Times New Roman" w:cs="Times New Roman"/>
          <w:sz w:val="24"/>
          <w:szCs w:val="24"/>
        </w:rPr>
        <w:t>)</w:t>
      </w:r>
      <w:r w:rsidR="003D6CCE" w:rsidRPr="00922C73">
        <w:rPr>
          <w:rFonts w:ascii="Times New Roman" w:hAnsi="Times New Roman" w:cs="Times New Roman"/>
          <w:sz w:val="24"/>
          <w:szCs w:val="24"/>
        </w:rPr>
        <w:t>, is a</w:t>
      </w:r>
      <w:r w:rsidR="003D6CCE" w:rsidRPr="00922C73">
        <w:rPr>
          <w:rFonts w:ascii="Times New Roman" w:hAnsi="Times New Roman" w:cs="Times New Roman"/>
          <w:sz w:val="24"/>
          <w:szCs w:val="24"/>
          <w:shd w:val="clear" w:color="auto" w:fill="FFFFFF"/>
        </w:rPr>
        <w:t xml:space="preserve"> pro-inflammatory cytokine</w:t>
      </w:r>
      <w:r w:rsidR="00F22EF7" w:rsidRPr="00922C73">
        <w:rPr>
          <w:rFonts w:ascii="Times New Roman" w:hAnsi="Times New Roman" w:cs="Times New Roman"/>
          <w:sz w:val="24"/>
          <w:szCs w:val="24"/>
          <w:shd w:val="clear" w:color="auto" w:fill="FFFFFF"/>
        </w:rPr>
        <w:t xml:space="preserve"> and plays a</w:t>
      </w:r>
      <w:r w:rsidR="002513F6" w:rsidRPr="00922C73">
        <w:rPr>
          <w:rFonts w:ascii="Times New Roman" w:hAnsi="Times New Roman" w:cs="Times New Roman"/>
          <w:sz w:val="24"/>
          <w:szCs w:val="24"/>
          <w:shd w:val="clear" w:color="auto" w:fill="FFFFFF"/>
        </w:rPr>
        <w:t xml:space="preserve"> key role in a</w:t>
      </w:r>
      <w:r w:rsidR="002D7027" w:rsidRPr="00922C73">
        <w:rPr>
          <w:rFonts w:ascii="Times New Roman" w:hAnsi="Times New Roman" w:cs="Times New Roman"/>
          <w:sz w:val="24"/>
          <w:szCs w:val="24"/>
          <w:shd w:val="clear" w:color="auto" w:fill="FFFFFF"/>
        </w:rPr>
        <w:t xml:space="preserve"> multiple</w:t>
      </w:r>
      <w:r w:rsidR="00655BCE" w:rsidRPr="00922C73">
        <w:rPr>
          <w:rFonts w:ascii="Times New Roman" w:hAnsi="Times New Roman" w:cs="Times New Roman"/>
          <w:sz w:val="24"/>
          <w:szCs w:val="24"/>
          <w:shd w:val="clear" w:color="auto" w:fill="FFFFFF"/>
        </w:rPr>
        <w:t xml:space="preserve"> </w:t>
      </w:r>
      <w:r w:rsidR="00831788" w:rsidRPr="00922C73">
        <w:rPr>
          <w:rFonts w:ascii="Times New Roman" w:hAnsi="Times New Roman" w:cs="Times New Roman"/>
          <w:sz w:val="24"/>
          <w:szCs w:val="24"/>
          <w:shd w:val="clear" w:color="auto" w:fill="FFFFFF"/>
        </w:rPr>
        <w:t xml:space="preserve">complex </w:t>
      </w:r>
      <w:r w:rsidR="002D7027" w:rsidRPr="00922C73">
        <w:rPr>
          <w:rFonts w:ascii="Times New Roman" w:hAnsi="Times New Roman" w:cs="Times New Roman"/>
          <w:sz w:val="24"/>
          <w:szCs w:val="24"/>
          <w:shd w:val="clear" w:color="auto" w:fill="FFFFFF"/>
        </w:rPr>
        <w:t>signalling pathways</w:t>
      </w:r>
      <w:r w:rsidR="00752E85" w:rsidRPr="00922C73">
        <w:rPr>
          <w:rFonts w:ascii="Times New Roman" w:hAnsi="Times New Roman" w:cs="Times New Roman"/>
          <w:sz w:val="24"/>
          <w:szCs w:val="24"/>
          <w:shd w:val="clear" w:color="auto" w:fill="FFFFFF"/>
        </w:rPr>
        <w:t xml:space="preserve"> </w:t>
      </w:r>
      <w:r w:rsidR="007F001B"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7F001B"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35</w:t>
      </w:r>
      <w:r w:rsidR="007F001B" w:rsidRPr="00922C73">
        <w:rPr>
          <w:rFonts w:ascii="Times New Roman" w:hAnsi="Times New Roman" w:cs="Times New Roman"/>
          <w:sz w:val="24"/>
          <w:szCs w:val="24"/>
          <w:shd w:val="clear" w:color="auto" w:fill="FFFFFF"/>
        </w:rPr>
        <w:fldChar w:fldCharType="end"/>
      </w:r>
      <w:r w:rsidR="0008622B" w:rsidRPr="00922C73">
        <w:rPr>
          <w:rFonts w:ascii="Times New Roman" w:hAnsi="Times New Roman" w:cs="Times New Roman"/>
          <w:sz w:val="24"/>
          <w:szCs w:val="24"/>
          <w:shd w:val="clear" w:color="auto" w:fill="FFFFFF"/>
        </w:rPr>
        <w:t xml:space="preserve">. </w:t>
      </w:r>
      <w:r w:rsidR="00752E85" w:rsidRPr="00922C73">
        <w:rPr>
          <w:rFonts w:ascii="Times New Roman" w:hAnsi="Times New Roman" w:cs="Times New Roman"/>
          <w:sz w:val="24"/>
          <w:szCs w:val="24"/>
          <w:shd w:val="clear" w:color="auto" w:fill="FFFFFF"/>
        </w:rPr>
        <w:t>It</w:t>
      </w:r>
      <w:r w:rsidR="00F91B48" w:rsidRPr="00922C73">
        <w:rPr>
          <w:rFonts w:ascii="Times New Roman" w:hAnsi="Times New Roman" w:cs="Times New Roman"/>
          <w:sz w:val="24"/>
          <w:szCs w:val="24"/>
          <w:shd w:val="clear" w:color="auto" w:fill="FFFFFF"/>
        </w:rPr>
        <w:t xml:space="preserve"> is produced by monocytes and macrophages, but</w:t>
      </w:r>
      <w:r w:rsidR="00752E85" w:rsidRPr="00922C73">
        <w:rPr>
          <w:rFonts w:ascii="Times New Roman" w:hAnsi="Times New Roman" w:cs="Times New Roman"/>
          <w:sz w:val="24"/>
          <w:szCs w:val="24"/>
          <w:shd w:val="clear" w:color="auto" w:fill="FFFFFF"/>
        </w:rPr>
        <w:t xml:space="preserve"> </w:t>
      </w:r>
      <w:r w:rsidR="0029001F" w:rsidRPr="00922C73">
        <w:rPr>
          <w:rFonts w:ascii="Times New Roman" w:hAnsi="Times New Roman" w:cs="Times New Roman"/>
          <w:sz w:val="24"/>
          <w:szCs w:val="24"/>
          <w:shd w:val="clear" w:color="auto" w:fill="FFFFFF"/>
        </w:rPr>
        <w:t xml:space="preserve">also </w:t>
      </w:r>
      <w:r w:rsidR="00752E85" w:rsidRPr="00922C73">
        <w:rPr>
          <w:rFonts w:ascii="Times New Roman" w:hAnsi="Times New Roman" w:cs="Times New Roman"/>
          <w:sz w:val="24"/>
          <w:szCs w:val="24"/>
          <w:shd w:val="clear" w:color="auto" w:fill="FFFFFF"/>
        </w:rPr>
        <w:t>to a lesser quantity by</w:t>
      </w:r>
      <w:r w:rsidR="00F91B48" w:rsidRPr="00922C73">
        <w:rPr>
          <w:rFonts w:ascii="Times New Roman" w:hAnsi="Times New Roman" w:cs="Times New Roman"/>
          <w:sz w:val="24"/>
          <w:szCs w:val="24"/>
          <w:shd w:val="clear" w:color="auto" w:fill="FFFFFF"/>
        </w:rPr>
        <w:t xml:space="preserve"> other inflammatory cells</w:t>
      </w:r>
      <w:r w:rsidR="00752E85" w:rsidRPr="00922C73">
        <w:rPr>
          <w:rFonts w:ascii="Times New Roman" w:hAnsi="Times New Roman" w:cs="Times New Roman"/>
          <w:sz w:val="24"/>
          <w:szCs w:val="24"/>
          <w:shd w:val="clear" w:color="auto" w:fill="FFFFFF"/>
        </w:rPr>
        <w:t xml:space="preserve"> </w:t>
      </w:r>
      <w:r w:rsidR="00752E85"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752E85"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35</w:t>
      </w:r>
      <w:r w:rsidR="00752E85" w:rsidRPr="00922C73">
        <w:rPr>
          <w:rFonts w:ascii="Times New Roman" w:hAnsi="Times New Roman" w:cs="Times New Roman"/>
          <w:sz w:val="24"/>
          <w:szCs w:val="24"/>
          <w:shd w:val="clear" w:color="auto" w:fill="FFFFFF"/>
        </w:rPr>
        <w:fldChar w:fldCharType="end"/>
      </w:r>
      <w:r w:rsidR="00F91B48" w:rsidRPr="00922C73">
        <w:rPr>
          <w:rFonts w:ascii="Times New Roman" w:hAnsi="Times New Roman" w:cs="Times New Roman"/>
          <w:sz w:val="24"/>
          <w:szCs w:val="24"/>
          <w:shd w:val="clear" w:color="auto" w:fill="FFFFFF"/>
        </w:rPr>
        <w:t>.</w:t>
      </w:r>
      <w:r w:rsidR="00714920" w:rsidRPr="00922C73">
        <w:rPr>
          <w:rFonts w:ascii="Times New Roman" w:hAnsi="Times New Roman" w:cs="Times New Roman"/>
          <w:sz w:val="24"/>
          <w:szCs w:val="24"/>
          <w:shd w:val="clear" w:color="auto" w:fill="FFFFFF"/>
        </w:rPr>
        <w:t xml:space="preserve"> </w:t>
      </w:r>
      <w:r w:rsidR="00752E85" w:rsidRPr="00922C73">
        <w:rPr>
          <w:rFonts w:ascii="Times New Roman" w:hAnsi="Times New Roman" w:cs="Times New Roman"/>
          <w:sz w:val="24"/>
          <w:szCs w:val="24"/>
          <w:shd w:val="clear" w:color="auto" w:fill="FFFFFF"/>
        </w:rPr>
        <w:t>TNFα</w:t>
      </w:r>
      <w:r w:rsidR="003D6CCE" w:rsidRPr="00922C73">
        <w:rPr>
          <w:rFonts w:ascii="Times New Roman" w:hAnsi="Times New Roman" w:cs="Times New Roman"/>
          <w:sz w:val="24"/>
          <w:szCs w:val="24"/>
          <w:shd w:val="clear" w:color="auto" w:fill="FFFFFF"/>
        </w:rPr>
        <w:t> </w:t>
      </w:r>
      <w:r w:rsidR="003778D2" w:rsidRPr="00922C73">
        <w:rPr>
          <w:rFonts w:ascii="Times New Roman" w:hAnsi="Times New Roman" w:cs="Times New Roman"/>
          <w:sz w:val="24"/>
          <w:szCs w:val="24"/>
        </w:rPr>
        <w:t>exists as membrane bound</w:t>
      </w:r>
      <w:r w:rsidR="006F65B0" w:rsidRPr="00922C73">
        <w:rPr>
          <w:rFonts w:ascii="Times New Roman" w:hAnsi="Times New Roman" w:cs="Times New Roman"/>
          <w:sz w:val="24"/>
          <w:szCs w:val="24"/>
        </w:rPr>
        <w:t xml:space="preserve"> and a soluble form. T</w:t>
      </w:r>
      <w:r w:rsidR="00A840A1" w:rsidRPr="00922C73">
        <w:rPr>
          <w:rFonts w:ascii="Times New Roman" w:hAnsi="Times New Roman" w:cs="Times New Roman"/>
          <w:sz w:val="24"/>
          <w:szCs w:val="24"/>
        </w:rPr>
        <w:t>ransmembrane TNFα</w:t>
      </w:r>
      <w:r w:rsidR="00A840A1" w:rsidRPr="00922C73">
        <w:rPr>
          <w:rFonts w:ascii="Times New Roman" w:hAnsi="Times New Roman" w:cs="Times New Roman"/>
          <w:sz w:val="24"/>
          <w:szCs w:val="24"/>
          <w:shd w:val="clear" w:color="auto" w:fill="FFFFFF"/>
        </w:rPr>
        <w:t xml:space="preserve">, a polypeptide of 233 amino acid residues (26 </w:t>
      </w:r>
      <w:proofErr w:type="spellStart"/>
      <w:r w:rsidR="00A840A1" w:rsidRPr="00922C73">
        <w:rPr>
          <w:rFonts w:ascii="Times New Roman" w:hAnsi="Times New Roman" w:cs="Times New Roman"/>
          <w:sz w:val="24"/>
          <w:szCs w:val="24"/>
          <w:shd w:val="clear" w:color="auto" w:fill="FFFFFF"/>
        </w:rPr>
        <w:t>kDa</w:t>
      </w:r>
      <w:proofErr w:type="spellEnd"/>
      <w:r w:rsidR="00A840A1" w:rsidRPr="00922C73">
        <w:rPr>
          <w:rFonts w:ascii="Times New Roman" w:hAnsi="Times New Roman" w:cs="Times New Roman"/>
          <w:sz w:val="24"/>
          <w:szCs w:val="24"/>
          <w:shd w:val="clear" w:color="auto" w:fill="FFFFFF"/>
        </w:rPr>
        <w:t>)</w:t>
      </w:r>
      <w:r w:rsidR="003778D2" w:rsidRPr="00922C73">
        <w:rPr>
          <w:rFonts w:ascii="Times New Roman" w:hAnsi="Times New Roman" w:cs="Times New Roman"/>
          <w:sz w:val="24"/>
          <w:szCs w:val="24"/>
        </w:rPr>
        <w:t xml:space="preserve"> is cleaved by TNFα-converting enzyme (TACE) </w:t>
      </w:r>
      <w:r w:rsidR="006F65B0" w:rsidRPr="00922C73">
        <w:rPr>
          <w:rFonts w:ascii="Times New Roman" w:hAnsi="Times New Roman" w:cs="Times New Roman"/>
          <w:sz w:val="24"/>
          <w:szCs w:val="24"/>
        </w:rPr>
        <w:t>to soluble TNFα</w:t>
      </w:r>
      <w:r w:rsidR="00843B96" w:rsidRPr="00922C73">
        <w:rPr>
          <w:rFonts w:ascii="Times New Roman" w:hAnsi="Times New Roman" w:cs="Times New Roman"/>
          <w:sz w:val="24"/>
          <w:szCs w:val="24"/>
        </w:rPr>
        <w:t>, a polypeptide of</w:t>
      </w:r>
      <w:r w:rsidR="00A840A1" w:rsidRPr="00922C73">
        <w:rPr>
          <w:rFonts w:ascii="Times New Roman" w:hAnsi="Times New Roman" w:cs="Times New Roman"/>
          <w:sz w:val="24"/>
          <w:szCs w:val="24"/>
        </w:rPr>
        <w:t xml:space="preserve"> 157 amino acid residues (17 </w:t>
      </w:r>
      <w:proofErr w:type="spellStart"/>
      <w:r w:rsidR="00A840A1" w:rsidRPr="00922C73">
        <w:rPr>
          <w:rFonts w:ascii="Times New Roman" w:hAnsi="Times New Roman" w:cs="Times New Roman"/>
          <w:sz w:val="24"/>
          <w:szCs w:val="24"/>
        </w:rPr>
        <w:t>kDa</w:t>
      </w:r>
      <w:proofErr w:type="spellEnd"/>
      <w:r w:rsidR="00A840A1" w:rsidRPr="00922C73">
        <w:rPr>
          <w:rFonts w:ascii="Times New Roman" w:hAnsi="Times New Roman" w:cs="Times New Roman"/>
          <w:sz w:val="24"/>
          <w:szCs w:val="24"/>
        </w:rPr>
        <w:t>)</w:t>
      </w:r>
      <w:r w:rsidR="003778D2" w:rsidRPr="00922C73">
        <w:rPr>
          <w:rFonts w:ascii="Times New Roman" w:hAnsi="Times New Roman" w:cs="Times New Roman"/>
          <w:sz w:val="24"/>
          <w:szCs w:val="24"/>
        </w:rPr>
        <w:t xml:space="preserve"> </w:t>
      </w:r>
      <w:r w:rsidR="003778D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{"citationItems":[{"id":"ITEM-1","itemData":{"DOI":"10.1016/S1590-8658(08)60530-7","ISSN":"15908658","author":[{"dropping-particle":"","family":"Danese","given":"S.","non-dropping-particle":"","parse-names":false,"suffix":""}],"container-title":"Digestive and Liver Disease","id":"ITEM-1","issued":{"date-parts":[["2008","7"]]},"page":"S225-S228","title":"Mechanisms of action of infliximab in inflammatory bowel disease: an anti-inflammatory multitasker.","type":"article-journal","volume":"40"},"uris":["http://www.mendeley.com/documents/?uuid=32128b5f-4652-4021-b244-c6991a0e1cd9"]},{"id":"ITEM-2","itemData":{"DOI":"10.1016/S0149-2918(99)80015-0","ISSN":"01492918","abstract":"Crohn's disease (CD) is characterized by transmural inflammatory disease involving any portion of the gastrointestinal tract. Patients with CD have increased mucosal concentrations of the cytokine tumor necrosis factor-alpha (TNF-alpha), a key mediator of mucosal inflammation. In addition, TNF-alpha has multiple biologic activities involved in apoptosis, metabolism, and activation of granulocytes, lymphocytes, eosinophils, fibroblasts, chondrocytes, and endothelial cells. Recently, infliximab has emerged as a novel chimeric monoclonal antibody that inhibits TNF-alpha. Infliximab is indicated for the treatment of moderately to severely active CD in patients having an inadequate response to conventional therapy. To date, a small number of clinical trials with infliximab have demonstrated efficacy and tolerability when the agent is initiated as a 5-mg/kg single intravenous infusion. In patients with fistulizing CD, administration of 2 subsequent 5-mg/kg doses 2 and 6 weeks after the initial dose appears to be efficacious. Infliximab seems to be a promising therapeutic strategy for patients with refractory CD.","author":[{"dropping-particle":"","family":"Mauser","given":"JF","non-dropping-particle":"","parse-names":false,"suffix":""},{"dropping-particle":"","family":"Hyams","given":"JS","non-dropping-particle":"","parse-names":false,"suffix":""}],"container-title":"Clinical Therapeutics","id":"ITEM-2","issue":"6","issued":{"date-parts":[["1999","6"]]},"page":"932-942","title":"Infliximab: A novel chimeric monoclonal antibody for the treatment of Crohn's disease","type":"article-journal","volume":"21"},"uris":["http://www.mendeley.com/documents/?uuid=841022c5-f952-4b85-9777-55ea21a0fbde"]},{"id":"ITEM-3","itemData":{"DOI":"10.1038/312724a0","ISSN":"0028-0836","author":[{"dropping-particle":"","family":"Pennica","given":"Diane","non-dropping-particle":"","parse-names":false,"suffix":""},{"dropping-particle":"","family":"Nedwin","given":"Glenn E.","non-dropping-particle":"","parse-names":false,"suffix":""},{"dropping-particle":"","family":"Hayflick","given":"Joel S.","non-dropping-particle":"","parse-names":false,"suffix":""},{"dropping-particle":"","family":"Seeburg","given":"Peter H.","non-dropping-particle":"","parse-names":false,"suffix":""},{"dropping-particle":"","family":"Derynck","given":"Rik","non-dropping-particle":"","parse-names":false,"suffix":""},{"dropping-particle":"","family":"Palladino","given":"Michael A.","non-dropping-particle":"","parse-names":false,"suffix":""},{"dropping-particle":"","family":"Kohr","given":"William J.","non-dropping-particle":"","parse-names":false,"suffix":""},{"dropping-particle":"","family":"Aggarwal","given":"Bharat B.","non-dropping-particle":"","parse-names":false,"suffix":""},{"dropping-particle":"V.","family":"Goeddel","given":"David","non-dropping-particle":"","parse-names":false,"suffix":""}],"container-title":"Nature","id":"ITEM-3","issue":"5996","issued":{"date-parts":[["1984","12"]]},"page":"724-729","title":"Human tumour necrosis factor: precursor structure, expression and homology to lymphotoxin","type":"article-journal","volume":"312"},"uris":["http://www.mendeley.com/documents/?uuid=6094760b-e9ee-4143-8852-de985ba96af6"]}],"mendeley":{"formattedCitation":"&lt;sup&gt;36–38&lt;/sup&gt;","plainTextFormattedCitation":"36–38","previouslyFormattedCitation":"&lt;sup&gt;36–38&lt;/sup&gt;"},"properties":{"noteIndex":0},"schema":"https://github.com/citation-style-language/schema/raw/master/csl-citation.json"}</w:instrText>
      </w:r>
      <w:r w:rsidR="003778D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36–38</w:t>
      </w:r>
      <w:r w:rsidR="003778D2" w:rsidRPr="00922C73">
        <w:rPr>
          <w:rFonts w:ascii="Times New Roman" w:hAnsi="Times New Roman" w:cs="Times New Roman"/>
          <w:sz w:val="24"/>
          <w:szCs w:val="24"/>
        </w:rPr>
        <w:fldChar w:fldCharType="end"/>
      </w:r>
      <w:r w:rsidR="003778D2" w:rsidRPr="00922C73">
        <w:rPr>
          <w:rFonts w:ascii="Times New Roman" w:hAnsi="Times New Roman" w:cs="Times New Roman"/>
          <w:sz w:val="24"/>
          <w:szCs w:val="24"/>
        </w:rPr>
        <w:t xml:space="preserve">. </w:t>
      </w:r>
      <w:r w:rsidR="00C03751" w:rsidRPr="00922C73">
        <w:rPr>
          <w:rFonts w:ascii="Times New Roman" w:hAnsi="Times New Roman" w:cs="Times New Roman"/>
          <w:sz w:val="24"/>
          <w:szCs w:val="24"/>
        </w:rPr>
        <w:t>Transmembrane TNF</w:t>
      </w:r>
      <w:r w:rsidR="00C03751" w:rsidRPr="00922C73">
        <w:rPr>
          <w:rFonts w:ascii="Calibri" w:hAnsi="Calibri" w:cs="Calibri"/>
          <w:sz w:val="24"/>
          <w:szCs w:val="24"/>
        </w:rPr>
        <w:t>α</w:t>
      </w:r>
      <w:r w:rsidR="00C03751" w:rsidRPr="00922C73">
        <w:rPr>
          <w:rFonts w:ascii="Times New Roman" w:hAnsi="Times New Roman" w:cs="Times New Roman"/>
          <w:sz w:val="24"/>
          <w:szCs w:val="24"/>
        </w:rPr>
        <w:t xml:space="preserve"> function</w:t>
      </w:r>
      <w:r w:rsidR="00FC2088" w:rsidRPr="00922C73">
        <w:rPr>
          <w:rFonts w:ascii="Times New Roman" w:hAnsi="Times New Roman" w:cs="Times New Roman"/>
          <w:sz w:val="24"/>
          <w:szCs w:val="24"/>
        </w:rPr>
        <w:t>s</w:t>
      </w:r>
      <w:r w:rsidR="00C03751" w:rsidRPr="00922C73">
        <w:rPr>
          <w:rFonts w:ascii="Times New Roman" w:hAnsi="Times New Roman" w:cs="Times New Roman"/>
          <w:sz w:val="24"/>
          <w:szCs w:val="24"/>
        </w:rPr>
        <w:t xml:space="preserve"> as a </w:t>
      </w:r>
      <w:r w:rsidR="00FC2088" w:rsidRPr="00922C73">
        <w:rPr>
          <w:rFonts w:ascii="Times New Roman" w:hAnsi="Times New Roman" w:cs="Times New Roman"/>
          <w:sz w:val="24"/>
          <w:szCs w:val="24"/>
        </w:rPr>
        <w:t xml:space="preserve">ligand and a </w:t>
      </w:r>
      <w:r w:rsidR="00C03751" w:rsidRPr="00922C73">
        <w:rPr>
          <w:rFonts w:ascii="Times New Roman" w:hAnsi="Times New Roman" w:cs="Times New Roman"/>
          <w:sz w:val="24"/>
          <w:szCs w:val="24"/>
        </w:rPr>
        <w:t>receptor</w:t>
      </w:r>
      <w:r w:rsidR="00FC2088" w:rsidRPr="00922C73">
        <w:rPr>
          <w:rFonts w:ascii="Times New Roman" w:hAnsi="Times New Roman" w:cs="Times New Roman"/>
          <w:sz w:val="24"/>
          <w:szCs w:val="24"/>
        </w:rPr>
        <w:t>.</w:t>
      </w:r>
      <w:r w:rsidR="00C03751" w:rsidRPr="00922C73">
        <w:rPr>
          <w:rFonts w:ascii="Times New Roman" w:hAnsi="Times New Roman" w:cs="Times New Roman"/>
          <w:sz w:val="24"/>
          <w:szCs w:val="24"/>
        </w:rPr>
        <w:t xml:space="preserve"> </w:t>
      </w:r>
      <w:r w:rsidR="00D06D9D" w:rsidRPr="00922C73">
        <w:rPr>
          <w:rFonts w:ascii="Times New Roman" w:hAnsi="Times New Roman" w:cs="Times New Roman"/>
          <w:sz w:val="24"/>
          <w:szCs w:val="24"/>
        </w:rPr>
        <w:t>T</w:t>
      </w:r>
      <w:r w:rsidR="003778D2" w:rsidRPr="00922C73">
        <w:rPr>
          <w:rFonts w:ascii="Times New Roman" w:hAnsi="Times New Roman" w:cs="Times New Roman"/>
          <w:sz w:val="24"/>
          <w:szCs w:val="24"/>
        </w:rPr>
        <w:t xml:space="preserve">wo </w:t>
      </w:r>
      <w:r w:rsidR="00A840A1" w:rsidRPr="00922C73">
        <w:rPr>
          <w:rFonts w:ascii="Times New Roman" w:hAnsi="Times New Roman" w:cs="Times New Roman"/>
          <w:sz w:val="24"/>
          <w:szCs w:val="24"/>
        </w:rPr>
        <w:t>t</w:t>
      </w:r>
      <w:r w:rsidR="003778D2" w:rsidRPr="00922C73">
        <w:rPr>
          <w:rFonts w:ascii="Times New Roman" w:hAnsi="Times New Roman" w:cs="Times New Roman"/>
          <w:sz w:val="24"/>
          <w:szCs w:val="24"/>
        </w:rPr>
        <w:t>ransmembrane TNF receptor</w:t>
      </w:r>
      <w:r w:rsidR="00D06D9D" w:rsidRPr="00922C73">
        <w:rPr>
          <w:rFonts w:ascii="Times New Roman" w:hAnsi="Times New Roman" w:cs="Times New Roman"/>
          <w:sz w:val="24"/>
          <w:szCs w:val="24"/>
        </w:rPr>
        <w:t xml:space="preserve"> exi</w:t>
      </w:r>
      <w:r w:rsidR="003778D2" w:rsidRPr="00922C73">
        <w:rPr>
          <w:rFonts w:ascii="Times New Roman" w:hAnsi="Times New Roman" w:cs="Times New Roman"/>
          <w:sz w:val="24"/>
          <w:szCs w:val="24"/>
        </w:rPr>
        <w:t>s</w:t>
      </w:r>
      <w:r w:rsidR="00D06D9D" w:rsidRPr="00922C73">
        <w:rPr>
          <w:rFonts w:ascii="Times New Roman" w:hAnsi="Times New Roman" w:cs="Times New Roman"/>
          <w:sz w:val="24"/>
          <w:szCs w:val="24"/>
        </w:rPr>
        <w:t>ts</w:t>
      </w:r>
      <w:r w:rsidR="000557D8" w:rsidRPr="00922C73">
        <w:rPr>
          <w:rFonts w:ascii="Times New Roman" w:hAnsi="Times New Roman" w:cs="Times New Roman"/>
          <w:sz w:val="24"/>
          <w:szCs w:val="24"/>
        </w:rPr>
        <w:t>:</w:t>
      </w:r>
      <w:r w:rsidR="003778D2" w:rsidRPr="00922C73">
        <w:rPr>
          <w:rFonts w:ascii="Times New Roman" w:hAnsi="Times New Roman" w:cs="Times New Roman"/>
          <w:sz w:val="24"/>
          <w:szCs w:val="24"/>
        </w:rPr>
        <w:t xml:space="preserve"> </w:t>
      </w:r>
      <w:r w:rsidR="00E7370E" w:rsidRPr="00922C73">
        <w:rPr>
          <w:rFonts w:ascii="Times New Roman" w:hAnsi="Times New Roman" w:cs="Times New Roman"/>
          <w:sz w:val="24"/>
          <w:szCs w:val="24"/>
          <w:shd w:val="clear" w:color="auto" w:fill="FFFFFF"/>
        </w:rPr>
        <w:t>TNF receptor 1</w:t>
      </w:r>
      <w:r w:rsidR="000557D8" w:rsidRPr="00922C73">
        <w:rPr>
          <w:rFonts w:ascii="Times New Roman" w:hAnsi="Times New Roman" w:cs="Times New Roman"/>
          <w:sz w:val="24"/>
          <w:szCs w:val="24"/>
          <w:shd w:val="clear" w:color="auto" w:fill="FFFFFF"/>
        </w:rPr>
        <w:t>, which is</w:t>
      </w:r>
      <w:r w:rsidR="00E7370E" w:rsidRPr="00922C73">
        <w:rPr>
          <w:rFonts w:ascii="Times New Roman" w:hAnsi="Times New Roman" w:cs="Times New Roman"/>
          <w:sz w:val="24"/>
          <w:szCs w:val="24"/>
          <w:shd w:val="clear" w:color="auto" w:fill="FFFFFF"/>
        </w:rPr>
        <w:t xml:space="preserve"> expressed </w:t>
      </w:r>
      <w:r w:rsidR="00737E43" w:rsidRPr="00922C73">
        <w:rPr>
          <w:rFonts w:ascii="Times New Roman" w:hAnsi="Times New Roman" w:cs="Times New Roman"/>
          <w:sz w:val="24"/>
          <w:szCs w:val="24"/>
          <w:shd w:val="clear" w:color="auto" w:fill="FFFFFF"/>
        </w:rPr>
        <w:t>in</w:t>
      </w:r>
      <w:r w:rsidR="00E7370E" w:rsidRPr="00922C73">
        <w:rPr>
          <w:rFonts w:ascii="Times New Roman" w:hAnsi="Times New Roman" w:cs="Times New Roman"/>
          <w:sz w:val="24"/>
          <w:szCs w:val="24"/>
          <w:shd w:val="clear" w:color="auto" w:fill="FFFFFF"/>
        </w:rPr>
        <w:t xml:space="preserve"> a</w:t>
      </w:r>
      <w:r w:rsidR="00737E43" w:rsidRPr="00922C73">
        <w:rPr>
          <w:rFonts w:ascii="Times New Roman" w:hAnsi="Times New Roman" w:cs="Times New Roman"/>
          <w:sz w:val="24"/>
          <w:szCs w:val="24"/>
          <w:shd w:val="clear" w:color="auto" w:fill="FFFFFF"/>
        </w:rPr>
        <w:t xml:space="preserve">ll </w:t>
      </w:r>
      <w:r w:rsidR="00E7370E" w:rsidRPr="00922C73">
        <w:rPr>
          <w:rFonts w:ascii="Times New Roman" w:hAnsi="Times New Roman" w:cs="Times New Roman"/>
          <w:sz w:val="24"/>
          <w:szCs w:val="24"/>
          <w:shd w:val="clear" w:color="auto" w:fill="FFFFFF"/>
        </w:rPr>
        <w:t>tissues</w:t>
      </w:r>
      <w:r w:rsidR="000557D8" w:rsidRPr="00922C73">
        <w:rPr>
          <w:rFonts w:ascii="Times New Roman" w:hAnsi="Times New Roman" w:cs="Times New Roman"/>
          <w:sz w:val="24"/>
          <w:szCs w:val="24"/>
          <w:shd w:val="clear" w:color="auto" w:fill="FFFFFF"/>
        </w:rPr>
        <w:t xml:space="preserve"> and</w:t>
      </w:r>
      <w:r w:rsidR="00E7370E" w:rsidRPr="00922C73">
        <w:rPr>
          <w:rFonts w:ascii="Times New Roman" w:hAnsi="Times New Roman" w:cs="Times New Roman"/>
          <w:sz w:val="24"/>
          <w:szCs w:val="24"/>
          <w:shd w:val="clear" w:color="auto" w:fill="FFFFFF"/>
        </w:rPr>
        <w:t xml:space="preserve"> TNF </w:t>
      </w:r>
      <w:r w:rsidR="00424BA6" w:rsidRPr="00922C73">
        <w:rPr>
          <w:rFonts w:ascii="Times New Roman" w:hAnsi="Times New Roman" w:cs="Times New Roman"/>
          <w:sz w:val="24"/>
          <w:szCs w:val="24"/>
          <w:shd w:val="clear" w:color="auto" w:fill="FFFFFF"/>
        </w:rPr>
        <w:t>receptor</w:t>
      </w:r>
      <w:r w:rsidR="00E7370E" w:rsidRPr="00922C73">
        <w:rPr>
          <w:rFonts w:ascii="Times New Roman" w:hAnsi="Times New Roman" w:cs="Times New Roman"/>
          <w:sz w:val="24"/>
          <w:szCs w:val="24"/>
          <w:shd w:val="clear" w:color="auto" w:fill="FFFFFF"/>
        </w:rPr>
        <w:t xml:space="preserve"> 2</w:t>
      </w:r>
      <w:r w:rsidR="000557D8" w:rsidRPr="00922C73">
        <w:rPr>
          <w:rFonts w:ascii="Times New Roman" w:hAnsi="Times New Roman" w:cs="Times New Roman"/>
          <w:sz w:val="24"/>
          <w:szCs w:val="24"/>
          <w:shd w:val="clear" w:color="auto" w:fill="FFFFFF"/>
        </w:rPr>
        <w:t>, which is</w:t>
      </w:r>
      <w:r w:rsidR="00E7370E" w:rsidRPr="00922C73">
        <w:rPr>
          <w:rFonts w:ascii="Times New Roman" w:hAnsi="Times New Roman" w:cs="Times New Roman"/>
          <w:sz w:val="24"/>
          <w:szCs w:val="24"/>
          <w:shd w:val="clear" w:color="auto" w:fill="FFFFFF"/>
        </w:rPr>
        <w:t xml:space="preserve"> </w:t>
      </w:r>
      <w:r w:rsidR="005026E0" w:rsidRPr="00922C73">
        <w:rPr>
          <w:rFonts w:ascii="Times New Roman" w:hAnsi="Times New Roman" w:cs="Times New Roman"/>
          <w:sz w:val="24"/>
          <w:szCs w:val="24"/>
          <w:shd w:val="clear" w:color="auto" w:fill="FFFFFF"/>
        </w:rPr>
        <w:t xml:space="preserve">mainly </w:t>
      </w:r>
      <w:r w:rsidR="00E7370E" w:rsidRPr="00922C73">
        <w:rPr>
          <w:rFonts w:ascii="Times New Roman" w:hAnsi="Times New Roman" w:cs="Times New Roman"/>
          <w:sz w:val="24"/>
          <w:szCs w:val="24"/>
          <w:shd w:val="clear" w:color="auto" w:fill="FFFFFF"/>
        </w:rPr>
        <w:t>expressed in immune cells</w:t>
      </w:r>
      <w:r w:rsidR="0029001F" w:rsidRPr="00922C73">
        <w:rPr>
          <w:rFonts w:ascii="Times New Roman" w:hAnsi="Times New Roman" w:cs="Times New Roman"/>
          <w:sz w:val="24"/>
          <w:szCs w:val="24"/>
          <w:shd w:val="clear" w:color="auto" w:fill="FFFFFF"/>
        </w:rPr>
        <w:t xml:space="preserve"> </w:t>
      </w:r>
      <w:r w:rsidR="0029001F"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29001F"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35</w:t>
      </w:r>
      <w:r w:rsidR="0029001F" w:rsidRPr="00922C73">
        <w:rPr>
          <w:rFonts w:ascii="Times New Roman" w:hAnsi="Times New Roman" w:cs="Times New Roman"/>
          <w:sz w:val="24"/>
          <w:szCs w:val="24"/>
          <w:shd w:val="clear" w:color="auto" w:fill="FFFFFF"/>
        </w:rPr>
        <w:fldChar w:fldCharType="end"/>
      </w:r>
      <w:r w:rsidR="007373E2" w:rsidRPr="00922C73">
        <w:rPr>
          <w:rFonts w:ascii="Times New Roman" w:hAnsi="Times New Roman" w:cs="Times New Roman"/>
          <w:sz w:val="24"/>
          <w:szCs w:val="24"/>
          <w:shd w:val="clear" w:color="auto" w:fill="FFFFFF"/>
        </w:rPr>
        <w:t xml:space="preserve">. </w:t>
      </w:r>
      <w:r w:rsidR="00D06D9D" w:rsidRPr="00922C73">
        <w:rPr>
          <w:rFonts w:ascii="Times New Roman" w:hAnsi="Times New Roman" w:cs="Times New Roman"/>
          <w:sz w:val="24"/>
          <w:szCs w:val="24"/>
          <w:shd w:val="clear" w:color="auto" w:fill="FFFFFF"/>
        </w:rPr>
        <w:t>Both s</w:t>
      </w:r>
      <w:r w:rsidR="007373E2" w:rsidRPr="00922C73">
        <w:rPr>
          <w:rFonts w:ascii="Times New Roman" w:hAnsi="Times New Roman" w:cs="Times New Roman"/>
          <w:sz w:val="24"/>
          <w:szCs w:val="24"/>
          <w:shd w:val="clear" w:color="auto" w:fill="FFFFFF"/>
        </w:rPr>
        <w:t>oluble</w:t>
      </w:r>
      <w:r w:rsidR="00D06D9D" w:rsidRPr="00922C73">
        <w:rPr>
          <w:rFonts w:ascii="Times New Roman" w:hAnsi="Times New Roman" w:cs="Times New Roman"/>
          <w:sz w:val="24"/>
          <w:szCs w:val="24"/>
          <w:shd w:val="clear" w:color="auto" w:fill="FFFFFF"/>
        </w:rPr>
        <w:t xml:space="preserve"> and transmembrane</w:t>
      </w:r>
      <w:r w:rsidR="007373E2" w:rsidRPr="00922C73">
        <w:rPr>
          <w:rFonts w:ascii="Times New Roman" w:hAnsi="Times New Roman" w:cs="Times New Roman"/>
          <w:sz w:val="24"/>
          <w:szCs w:val="24"/>
          <w:shd w:val="clear" w:color="auto" w:fill="FFFFFF"/>
        </w:rPr>
        <w:t xml:space="preserve"> TNF</w:t>
      </w:r>
      <w:r w:rsidR="007373E2" w:rsidRPr="00922C73">
        <w:rPr>
          <w:rFonts w:ascii="Calibri" w:hAnsi="Calibri" w:cs="Calibri"/>
          <w:sz w:val="24"/>
          <w:szCs w:val="24"/>
          <w:shd w:val="clear" w:color="auto" w:fill="FFFFFF"/>
        </w:rPr>
        <w:t>α</w:t>
      </w:r>
      <w:r w:rsidR="007373E2" w:rsidRPr="00922C73">
        <w:rPr>
          <w:rFonts w:ascii="Times New Roman" w:hAnsi="Times New Roman" w:cs="Times New Roman"/>
          <w:sz w:val="24"/>
          <w:szCs w:val="24"/>
          <w:shd w:val="clear" w:color="auto" w:fill="FFFFFF"/>
        </w:rPr>
        <w:t xml:space="preserve"> </w:t>
      </w:r>
      <w:r w:rsidR="00D06D9D" w:rsidRPr="00922C73">
        <w:rPr>
          <w:rFonts w:ascii="Times New Roman" w:hAnsi="Times New Roman" w:cs="Times New Roman"/>
          <w:sz w:val="24"/>
          <w:szCs w:val="24"/>
          <w:shd w:val="clear" w:color="auto" w:fill="FFFFFF"/>
        </w:rPr>
        <w:t>bind</w:t>
      </w:r>
      <w:r w:rsidR="00BC7229" w:rsidRPr="00922C73">
        <w:rPr>
          <w:rFonts w:ascii="Times New Roman" w:hAnsi="Times New Roman" w:cs="Times New Roman"/>
          <w:sz w:val="24"/>
          <w:szCs w:val="24"/>
          <w:shd w:val="clear" w:color="auto" w:fill="FFFFFF"/>
        </w:rPr>
        <w:t xml:space="preserve"> to</w:t>
      </w:r>
      <w:r w:rsidR="007373E2" w:rsidRPr="00922C73">
        <w:rPr>
          <w:rFonts w:ascii="Times New Roman" w:hAnsi="Times New Roman" w:cs="Times New Roman"/>
          <w:sz w:val="24"/>
          <w:szCs w:val="24"/>
          <w:shd w:val="clear" w:color="auto" w:fill="FFFFFF"/>
        </w:rPr>
        <w:t xml:space="preserve"> </w:t>
      </w:r>
      <w:r w:rsidR="000557D8" w:rsidRPr="00922C73">
        <w:rPr>
          <w:rFonts w:ascii="Times New Roman" w:hAnsi="Times New Roman" w:cs="Times New Roman"/>
          <w:sz w:val="24"/>
          <w:szCs w:val="24"/>
          <w:shd w:val="clear" w:color="auto" w:fill="FFFFFF"/>
        </w:rPr>
        <w:t>TNF receptor 1</w:t>
      </w:r>
      <w:r w:rsidR="00D06D9D" w:rsidRPr="00922C73">
        <w:rPr>
          <w:rFonts w:ascii="Times New Roman" w:hAnsi="Times New Roman" w:cs="Times New Roman"/>
          <w:sz w:val="24"/>
          <w:szCs w:val="24"/>
          <w:shd w:val="clear" w:color="auto" w:fill="FFFFFF"/>
        </w:rPr>
        <w:t xml:space="preserve">, whereas </w:t>
      </w:r>
      <w:r w:rsidR="008D6F6B" w:rsidRPr="00922C73">
        <w:rPr>
          <w:rFonts w:ascii="Times New Roman" w:hAnsi="Times New Roman" w:cs="Times New Roman"/>
          <w:sz w:val="24"/>
          <w:szCs w:val="24"/>
          <w:shd w:val="clear" w:color="auto" w:fill="FFFFFF"/>
        </w:rPr>
        <w:t>transmembrane TNFα</w:t>
      </w:r>
      <w:r w:rsidR="000F20C8" w:rsidRPr="00922C73">
        <w:rPr>
          <w:rFonts w:ascii="Times New Roman" w:hAnsi="Times New Roman" w:cs="Times New Roman"/>
          <w:sz w:val="24"/>
          <w:szCs w:val="24"/>
          <w:shd w:val="clear" w:color="auto" w:fill="FFFFFF"/>
        </w:rPr>
        <w:t>’s</w:t>
      </w:r>
      <w:r w:rsidR="008D6F6B" w:rsidRPr="00922C73">
        <w:rPr>
          <w:rFonts w:ascii="Times New Roman" w:hAnsi="Times New Roman" w:cs="Times New Roman"/>
          <w:sz w:val="24"/>
          <w:szCs w:val="24"/>
          <w:shd w:val="clear" w:color="auto" w:fill="FFFFFF"/>
        </w:rPr>
        <w:t xml:space="preserve"> primary target</w:t>
      </w:r>
      <w:r w:rsidR="000F20C8" w:rsidRPr="00922C73">
        <w:rPr>
          <w:rFonts w:ascii="Times New Roman" w:hAnsi="Times New Roman" w:cs="Times New Roman"/>
          <w:sz w:val="24"/>
          <w:szCs w:val="24"/>
          <w:shd w:val="clear" w:color="auto" w:fill="FFFFFF"/>
        </w:rPr>
        <w:t xml:space="preserve"> is TNF receptor 2</w:t>
      </w:r>
      <w:r w:rsidR="00737E43" w:rsidRPr="00922C73">
        <w:rPr>
          <w:rFonts w:ascii="Times New Roman" w:hAnsi="Times New Roman" w:cs="Times New Roman"/>
          <w:sz w:val="24"/>
          <w:szCs w:val="24"/>
          <w:shd w:val="clear" w:color="auto" w:fill="FFFFFF"/>
        </w:rPr>
        <w:t xml:space="preserve"> </w:t>
      </w:r>
      <w:r w:rsidR="005026E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5026E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35</w:t>
      </w:r>
      <w:r w:rsidR="005026E0" w:rsidRPr="00922C73">
        <w:rPr>
          <w:rFonts w:ascii="Times New Roman" w:hAnsi="Times New Roman" w:cs="Times New Roman"/>
          <w:sz w:val="24"/>
          <w:szCs w:val="24"/>
          <w:shd w:val="clear" w:color="auto" w:fill="FFFFFF"/>
        </w:rPr>
        <w:fldChar w:fldCharType="end"/>
      </w:r>
      <w:r w:rsidR="00E04A75" w:rsidRPr="00922C73">
        <w:rPr>
          <w:rFonts w:ascii="Times New Roman" w:hAnsi="Times New Roman" w:cs="Times New Roman"/>
          <w:sz w:val="24"/>
          <w:szCs w:val="24"/>
          <w:shd w:val="clear" w:color="auto" w:fill="FFFFFF"/>
        </w:rPr>
        <w:t>.</w:t>
      </w:r>
      <w:r w:rsidR="00891799" w:rsidRPr="00922C73">
        <w:rPr>
          <w:rFonts w:ascii="Times New Roman" w:hAnsi="Times New Roman" w:cs="Times New Roman"/>
          <w:sz w:val="24"/>
          <w:szCs w:val="24"/>
        </w:rPr>
        <w:t xml:space="preserve"> </w:t>
      </w:r>
      <w:r w:rsidR="00E04A75" w:rsidRPr="00922C73">
        <w:rPr>
          <w:rFonts w:ascii="Times New Roman" w:hAnsi="Times New Roman" w:cs="Times New Roman"/>
          <w:sz w:val="24"/>
          <w:szCs w:val="24"/>
        </w:rPr>
        <w:t xml:space="preserve"> </w:t>
      </w:r>
      <w:r w:rsidR="000F20C8" w:rsidRPr="00922C73">
        <w:rPr>
          <w:rFonts w:ascii="Times New Roman" w:hAnsi="Times New Roman" w:cs="Times New Roman"/>
          <w:sz w:val="24"/>
          <w:szCs w:val="24"/>
        </w:rPr>
        <w:t xml:space="preserve">Both receptors can be cleaved to form soluble TNF receptors </w:t>
      </w:r>
      <w:r w:rsidR="000F20C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{"citationItems":[{"id":"ITEM-1","itemData":{"DOI":"10.1038/312724a0","ISSN":"0028-0836","author":[{"dropping-particle":"","family":"Pennica","given":"Diane","non-dropping-particle":"","parse-names":false,"suffix":""},{"dropping-particle":"","family":"Nedwin","given":"Glenn E.","non-dropping-particle":"","parse-names":false,"suffix":""},{"dropping-particle":"","family":"Hayflick","given":"Joel S.","non-dropping-particle":"","parse-names":false,"suffix":""},{"dropping-particle":"","family":"Seeburg","given":"Peter H.","non-dropping-particle":"","parse-names":false,"suffix":""},{"dropping-particle":"","family":"Derynck","given":"Rik","non-dropping-particle":"","parse-names":false,"suffix":""},{"dropping-particle":"","family":"Palladino","given":"Michael A.","non-dropping-particle":"","parse-names":false,"suffix":""},{"dropping-particle":"","family":"Kohr","given":"William J.","non-dropping-particle":"","parse-names":false,"suffix":""},{"dropping-particle":"","family":"Aggarwal","given":"Bharat B.","non-dropping-particle":"","parse-names":false,"suffix":""},{"dropping-particle":"V.","family":"Goeddel","given":"David","non-dropping-particle":"","parse-names":false,"suffix":""}],"container-title":"Nature","id":"ITEM-1","issue":"5996","issued":{"date-parts":[["1984","12"]]},"page":"724-729","title":"Human tumour necrosis factor: precursor structure, expression and homology to lymphotoxin","type":"article-journal","volume":"312"},"uris":["http://www.mendeley.com/documents/?uuid=6094760b-e9ee-4143-8852-de985ba96af6"]}],"mendeley":{"formattedCitation":"&lt;sup&gt;38&lt;/sup&gt;","plainTextFormattedCitation":"38","previouslyFormattedCitation":"&lt;sup&gt;38&lt;/sup&gt;"},"properties":{"noteIndex":0},"schema":"https://github.com/citation-style-language/schema/raw/master/csl-citation.json"}</w:instrText>
      </w:r>
      <w:r w:rsidR="000F20C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38</w:t>
      </w:r>
      <w:r w:rsidR="000F20C8" w:rsidRPr="00922C73">
        <w:rPr>
          <w:rFonts w:ascii="Times New Roman" w:hAnsi="Times New Roman" w:cs="Times New Roman"/>
          <w:sz w:val="24"/>
          <w:szCs w:val="24"/>
        </w:rPr>
        <w:fldChar w:fldCharType="end"/>
      </w:r>
      <w:r w:rsidR="000F20C8" w:rsidRPr="00922C73">
        <w:rPr>
          <w:rFonts w:ascii="Times New Roman" w:hAnsi="Times New Roman" w:cs="Times New Roman"/>
          <w:sz w:val="24"/>
          <w:szCs w:val="24"/>
        </w:rPr>
        <w:t xml:space="preserve">.  </w:t>
      </w:r>
    </w:p>
    <w:p w14:paraId="64D7CC73" w14:textId="77777777" w:rsidR="00F0613E" w:rsidRPr="00922C73" w:rsidRDefault="00F0613E" w:rsidP="00F64D9D">
      <w:pPr>
        <w:autoSpaceDE w:val="0"/>
        <w:autoSpaceDN w:val="0"/>
        <w:adjustRightInd w:val="0"/>
        <w:spacing w:after="0" w:line="480" w:lineRule="auto"/>
        <w:rPr>
          <w:rFonts w:ascii="Times New Roman" w:hAnsi="Times New Roman" w:cs="Times New Roman"/>
          <w:sz w:val="24"/>
          <w:szCs w:val="24"/>
        </w:rPr>
      </w:pPr>
    </w:p>
    <w:p w14:paraId="20707439" w14:textId="06C30D01" w:rsidR="003778D2" w:rsidRPr="00922C73" w:rsidRDefault="003778D2"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TNF</w:t>
      </w:r>
      <w:r w:rsidR="006C15E1" w:rsidRPr="00922C73">
        <w:rPr>
          <w:rFonts w:ascii="Times New Roman" w:hAnsi="Times New Roman" w:cs="Times New Roman"/>
          <w:sz w:val="24"/>
          <w:szCs w:val="24"/>
        </w:rPr>
        <w:t>α</w:t>
      </w:r>
      <w:r w:rsidRPr="00922C73">
        <w:rPr>
          <w:rFonts w:ascii="Times New Roman" w:hAnsi="Times New Roman" w:cs="Times New Roman"/>
          <w:sz w:val="24"/>
          <w:szCs w:val="24"/>
        </w:rPr>
        <w:t xml:space="preserve"> </w:t>
      </w:r>
      <w:r w:rsidR="006C15E1" w:rsidRPr="00922C73">
        <w:rPr>
          <w:rFonts w:ascii="Times New Roman" w:hAnsi="Times New Roman" w:cs="Times New Roman"/>
          <w:sz w:val="24"/>
          <w:szCs w:val="24"/>
        </w:rPr>
        <w:t>is involved in</w:t>
      </w:r>
      <w:r w:rsidRPr="00922C73">
        <w:rPr>
          <w:rFonts w:ascii="Times New Roman" w:hAnsi="Times New Roman" w:cs="Times New Roman"/>
          <w:sz w:val="24"/>
          <w:szCs w:val="24"/>
        </w:rPr>
        <w:t xml:space="preserve"> homeosta</w:t>
      </w:r>
      <w:r w:rsidR="00A06D97" w:rsidRPr="00922C73">
        <w:rPr>
          <w:rFonts w:ascii="Times New Roman" w:hAnsi="Times New Roman" w:cs="Times New Roman"/>
          <w:sz w:val="24"/>
          <w:szCs w:val="24"/>
        </w:rPr>
        <w:t xml:space="preserve">sis, </w:t>
      </w:r>
      <w:r w:rsidRPr="00922C73">
        <w:rPr>
          <w:rFonts w:ascii="Times New Roman" w:hAnsi="Times New Roman" w:cs="Times New Roman"/>
          <w:sz w:val="24"/>
          <w:szCs w:val="24"/>
        </w:rPr>
        <w:t>autoimmunit</w:t>
      </w:r>
      <w:r w:rsidR="007C3DAF" w:rsidRPr="00922C73">
        <w:rPr>
          <w:rFonts w:ascii="Times New Roman" w:hAnsi="Times New Roman" w:cs="Times New Roman"/>
          <w:sz w:val="24"/>
          <w:szCs w:val="24"/>
        </w:rPr>
        <w:t xml:space="preserve">y, inflammation and cellular </w:t>
      </w:r>
      <w:r w:rsidR="00487A6E" w:rsidRPr="00922C73">
        <w:rPr>
          <w:rFonts w:ascii="Times New Roman" w:hAnsi="Times New Roman" w:cs="Times New Roman"/>
          <w:sz w:val="24"/>
          <w:szCs w:val="24"/>
        </w:rPr>
        <w:t>biology (Figure 3)</w:t>
      </w:r>
      <w:r w:rsidR="007871E8" w:rsidRPr="00922C73">
        <w:rPr>
          <w:rFonts w:ascii="Times New Roman" w:hAnsi="Times New Roman" w:cs="Times New Roman"/>
          <w:sz w:val="24"/>
          <w:szCs w:val="24"/>
        </w:rPr>
        <w:t xml:space="preserve">. </w:t>
      </w:r>
      <w:r w:rsidR="00F0536C" w:rsidRPr="00922C73">
        <w:rPr>
          <w:rFonts w:ascii="Times New Roman" w:hAnsi="Times New Roman" w:cs="Times New Roman"/>
          <w:sz w:val="24"/>
          <w:szCs w:val="24"/>
        </w:rPr>
        <w:t>It</w:t>
      </w:r>
      <w:r w:rsidR="007871E8" w:rsidRPr="00922C73">
        <w:rPr>
          <w:rFonts w:ascii="Times New Roman" w:hAnsi="Times New Roman" w:cs="Times New Roman"/>
          <w:sz w:val="24"/>
          <w:szCs w:val="24"/>
        </w:rPr>
        <w:t xml:space="preserve"> </w:t>
      </w:r>
      <w:r w:rsidR="0081498D" w:rsidRPr="00922C73">
        <w:rPr>
          <w:rFonts w:ascii="Times New Roman" w:hAnsi="Times New Roman" w:cs="Times New Roman"/>
          <w:sz w:val="24"/>
          <w:szCs w:val="24"/>
        </w:rPr>
        <w:t xml:space="preserve">regulates the pro-inflammatory </w:t>
      </w:r>
      <w:r w:rsidR="00CB7DA1" w:rsidRPr="00922C73">
        <w:rPr>
          <w:rFonts w:ascii="Times New Roman" w:hAnsi="Times New Roman" w:cs="Times New Roman"/>
          <w:sz w:val="24"/>
          <w:szCs w:val="24"/>
        </w:rPr>
        <w:t>cytokine cascade</w:t>
      </w:r>
      <w:r w:rsidR="0040163C" w:rsidRPr="00922C73">
        <w:rPr>
          <w:rFonts w:ascii="Times New Roman" w:hAnsi="Times New Roman" w:cs="Times New Roman"/>
          <w:sz w:val="24"/>
          <w:szCs w:val="24"/>
        </w:rPr>
        <w:t xml:space="preserve">, </w:t>
      </w:r>
      <w:r w:rsidR="006C15E1" w:rsidRPr="00922C73">
        <w:rPr>
          <w:rFonts w:ascii="Times New Roman" w:hAnsi="Times New Roman" w:cs="Times New Roman"/>
          <w:sz w:val="24"/>
          <w:szCs w:val="24"/>
        </w:rPr>
        <w:t>initiat</w:t>
      </w:r>
      <w:r w:rsidR="00EF63A9" w:rsidRPr="00922C73">
        <w:rPr>
          <w:rFonts w:ascii="Times New Roman" w:hAnsi="Times New Roman" w:cs="Times New Roman"/>
          <w:sz w:val="24"/>
          <w:szCs w:val="24"/>
        </w:rPr>
        <w:t>es</w:t>
      </w:r>
      <w:r w:rsidR="00F0536C" w:rsidRPr="00922C73">
        <w:rPr>
          <w:rFonts w:ascii="Times New Roman" w:hAnsi="Times New Roman" w:cs="Times New Roman"/>
          <w:sz w:val="24"/>
          <w:szCs w:val="24"/>
        </w:rPr>
        <w:t xml:space="preserve"> and</w:t>
      </w:r>
      <w:r w:rsidR="006C15E1" w:rsidRPr="00922C73">
        <w:rPr>
          <w:rFonts w:ascii="Times New Roman" w:hAnsi="Times New Roman" w:cs="Times New Roman"/>
          <w:sz w:val="24"/>
          <w:szCs w:val="24"/>
        </w:rPr>
        <w:t xml:space="preserve"> </w:t>
      </w:r>
      <w:r w:rsidR="00F0536C" w:rsidRPr="00922C73">
        <w:rPr>
          <w:rFonts w:ascii="Times New Roman" w:hAnsi="Times New Roman" w:cs="Times New Roman"/>
          <w:sz w:val="24"/>
          <w:szCs w:val="24"/>
        </w:rPr>
        <w:t>maintains</w:t>
      </w:r>
      <w:r w:rsidR="006C15E1" w:rsidRPr="00922C73">
        <w:rPr>
          <w:rFonts w:ascii="Times New Roman" w:hAnsi="Times New Roman" w:cs="Times New Roman"/>
          <w:sz w:val="24"/>
          <w:szCs w:val="24"/>
        </w:rPr>
        <w:t xml:space="preserve"> </w:t>
      </w:r>
      <w:r w:rsidR="00F0536C" w:rsidRPr="00922C73">
        <w:rPr>
          <w:rFonts w:ascii="Times New Roman" w:hAnsi="Times New Roman" w:cs="Times New Roman"/>
          <w:sz w:val="24"/>
          <w:szCs w:val="24"/>
        </w:rPr>
        <w:t>inflammation</w:t>
      </w:r>
      <w:r w:rsidR="0040163C" w:rsidRPr="00922C73">
        <w:rPr>
          <w:rFonts w:ascii="Times New Roman" w:hAnsi="Times New Roman" w:cs="Times New Roman"/>
          <w:sz w:val="24"/>
          <w:szCs w:val="24"/>
        </w:rPr>
        <w:t>,</w:t>
      </w:r>
      <w:r w:rsidR="00F0536C" w:rsidRPr="00922C73">
        <w:rPr>
          <w:rFonts w:ascii="Times New Roman" w:hAnsi="Times New Roman" w:cs="Times New Roman"/>
          <w:sz w:val="24"/>
          <w:szCs w:val="24"/>
        </w:rPr>
        <w:t xml:space="preserve"> </w:t>
      </w:r>
      <w:r w:rsidR="006C15E1" w:rsidRPr="00922C73">
        <w:rPr>
          <w:rFonts w:ascii="Times New Roman" w:hAnsi="Times New Roman" w:cs="Times New Roman"/>
          <w:sz w:val="24"/>
          <w:szCs w:val="24"/>
        </w:rPr>
        <w:t xml:space="preserve">but also </w:t>
      </w:r>
      <w:r w:rsidR="004A5375" w:rsidRPr="00922C73">
        <w:rPr>
          <w:rFonts w:ascii="Times New Roman" w:hAnsi="Times New Roman" w:cs="Times New Roman"/>
          <w:sz w:val="24"/>
          <w:szCs w:val="24"/>
        </w:rPr>
        <w:t xml:space="preserve">has a role in </w:t>
      </w:r>
      <w:r w:rsidR="00F0536C" w:rsidRPr="00922C73">
        <w:rPr>
          <w:rFonts w:ascii="Times New Roman" w:hAnsi="Times New Roman" w:cs="Times New Roman"/>
          <w:sz w:val="24"/>
          <w:szCs w:val="24"/>
        </w:rPr>
        <w:t>its</w:t>
      </w:r>
      <w:r w:rsidR="004A5375" w:rsidRPr="00922C73">
        <w:rPr>
          <w:rFonts w:ascii="Times New Roman" w:hAnsi="Times New Roman" w:cs="Times New Roman"/>
          <w:sz w:val="24"/>
          <w:szCs w:val="24"/>
        </w:rPr>
        <w:t xml:space="preserve"> </w:t>
      </w:r>
      <w:r w:rsidR="006C15E1" w:rsidRPr="00922C73">
        <w:rPr>
          <w:rFonts w:ascii="Times New Roman" w:hAnsi="Times New Roman" w:cs="Times New Roman"/>
          <w:sz w:val="24"/>
          <w:szCs w:val="24"/>
        </w:rPr>
        <w:t>resolutio</w:t>
      </w:r>
      <w:r w:rsidR="00F0536C" w:rsidRPr="00922C73">
        <w:rPr>
          <w:rFonts w:ascii="Times New Roman" w:hAnsi="Times New Roman" w:cs="Times New Roman"/>
          <w:sz w:val="24"/>
          <w:szCs w:val="24"/>
        </w:rPr>
        <w:t>n</w:t>
      </w:r>
      <w:r w:rsidR="00A90132" w:rsidRPr="00922C73">
        <w:rPr>
          <w:rFonts w:ascii="Times New Roman" w:hAnsi="Times New Roman" w:cs="Times New Roman"/>
          <w:sz w:val="24"/>
          <w:szCs w:val="24"/>
        </w:rPr>
        <w:t xml:space="preserve"> </w:t>
      </w:r>
      <w:r w:rsidR="0041604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10.1096/fj.08-121228","ISSN":"0892-6638","author":[{"dropping-particle":"","family":"Michlewska","given":"Sylwia","non-dropping-particle":"","parse-names":false,"suffix":""},{"dropping-particle":"","family":"Dransfield","given":"Ian","non-dropping-particle":"","parse-names":false,"suffix":""},{"dropping-particle":"","family":"Megson","given":"Ian L.","non-dropping-particle":"","parse-names":false,"suffix":""},{"dropping-particle":"","family":"Rossi","given":"Adriano G.","non-dropping-particle":"","parse-names":false,"suffix":""}],"container-title":"The FASEB Journal","id":"ITEM-1","issue":"3","issued":{"date-parts":[["2009","3","29"]]},"page":"844-854","title":"Macrophage phagocytosis of apoptotic neutrophils is critically regulated by the opposing actions of pro‐inflammatory and anti‐inflammatory agents: key role for TNF‐α","type":"article-journal","volume":"23"},"uris":["http://www.mendeley.com/documents/?uuid=073bcb3c-d8a0-45c6-84d6-7cb3e434c043"]},{"id":"ITEM-2","itemData":{"DOI":"10.1615/critreveukargeneexpr.v20.i2.10","ISSN":"1045-4403","PMID":"21133840","abstract":"Tumor necrosis factor-α (TNFα) was cloned over 2 decades ago and its identification in part led to the discovery of a super family of tumor necrosis factors (TNFs) and their receptors. TNFα signals through two transmembrane receptors, TNFR1 and TNFR2, and regulates a number of critical cell functions including cell proliferation, survival, differentiation, and apoptosis. Macrophages are the major producers of TNFα and interestingly are also highly responsive to TNFα. Aberrant TNFα production and TNF receptor signaling have been associated with the pathogenesis of several diseases, including rheumatoid arthritis, Crohn's disease, atherosclerosis, psoriasis, sepsis, diabetes, and obesity. TNFα has been shown to play a pivotal role in orchestrating the cytokine cascade in many inflammatory diseases and because of this role as a \"master-regulator\" of inflammatory cytokine production, it has been proposed as a therapeutic target for a number of diseases. Indeed anti-TNFα drugs are now licensed for treating certain inflammatory diseases including rheumatoid arthritis and inflammatory bowel disease. In this review we discuss the discovery of TNFα and its actions especially in regulating macrophage biology. Given its importance in several human diseases, we also briefly discuss the role of anti-TNFα therapeutics in the treatment of inflammatory diseases.","author":[{"dropping-particle":"","family":"Parameswaran","given":"Narayanan","non-dropping-particle":"","parse-names":false,"suffix":""},{"dropping-particle":"","family":"Patial","given":"Sonika","non-dropping-particle":"","parse-names":false,"suffix":""}],"container-title":"Critical reviews in eukaryotic gene expression","id":"ITEM-2","issue":"2","issued":{"date-parts":[["2010"]]},"page":"87-103","title":"Tumor necrosis factor-α signaling in macrophages.","type":"article-journal","volume":"20"},"uris":["http://www.mendeley.com/documents/?uuid=7ba9b4b7-1de2-4cd8-a5e4-b24a9d6055b5"]}],"mendeley":{"formattedCitation":"&lt;sup&gt;39,40&lt;/sup&gt;","plainTextFormattedCitation":"39,40","previouslyFormattedCitation":"&lt;sup&gt;39,40&lt;/sup&gt;"},"properties":{"noteIndex":0},"schema":"https://github.com/citation-style-language/schema/raw/master/csl-citation.json"}</w:instrText>
      </w:r>
      <w:r w:rsidR="0041604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39,40</w:t>
      </w:r>
      <w:r w:rsidR="00416040" w:rsidRPr="00922C73">
        <w:rPr>
          <w:rFonts w:ascii="Times New Roman" w:hAnsi="Times New Roman" w:cs="Times New Roman"/>
          <w:sz w:val="24"/>
          <w:szCs w:val="24"/>
        </w:rPr>
        <w:fldChar w:fldCharType="end"/>
      </w:r>
      <w:r w:rsidR="005E4C61" w:rsidRPr="00922C73">
        <w:rPr>
          <w:rFonts w:ascii="Times New Roman" w:hAnsi="Times New Roman" w:cs="Times New Roman"/>
          <w:sz w:val="24"/>
          <w:szCs w:val="24"/>
        </w:rPr>
        <w:t xml:space="preserve">. </w:t>
      </w:r>
      <w:r w:rsidR="00E26A7C" w:rsidRPr="00922C73">
        <w:rPr>
          <w:rFonts w:ascii="Times New Roman" w:hAnsi="Times New Roman" w:cs="Times New Roman"/>
          <w:sz w:val="24"/>
          <w:szCs w:val="24"/>
        </w:rPr>
        <w:t>I</w:t>
      </w:r>
      <w:r w:rsidR="006C15E1" w:rsidRPr="00922C73">
        <w:rPr>
          <w:rFonts w:ascii="Times New Roman" w:hAnsi="Times New Roman" w:cs="Times New Roman"/>
          <w:sz w:val="24"/>
          <w:szCs w:val="24"/>
        </w:rPr>
        <w:t xml:space="preserve">t </w:t>
      </w:r>
      <w:r w:rsidR="0088287B" w:rsidRPr="00922C73">
        <w:rPr>
          <w:rFonts w:ascii="Times New Roman" w:hAnsi="Times New Roman" w:cs="Times New Roman"/>
          <w:sz w:val="24"/>
          <w:szCs w:val="24"/>
        </w:rPr>
        <w:t>induces</w:t>
      </w:r>
      <w:r w:rsidR="00126FE7" w:rsidRPr="00922C73">
        <w:rPr>
          <w:rFonts w:ascii="Times New Roman" w:hAnsi="Times New Roman" w:cs="Times New Roman"/>
          <w:sz w:val="24"/>
          <w:szCs w:val="24"/>
        </w:rPr>
        <w:t xml:space="preserve"> </w:t>
      </w:r>
      <w:r w:rsidR="006C15E1" w:rsidRPr="00922C73">
        <w:rPr>
          <w:rFonts w:ascii="Times New Roman" w:hAnsi="Times New Roman" w:cs="Times New Roman"/>
          <w:sz w:val="24"/>
          <w:szCs w:val="24"/>
        </w:rPr>
        <w:t xml:space="preserve">proliferation, </w:t>
      </w:r>
      <w:r w:rsidR="00EF63A9" w:rsidRPr="00922C73">
        <w:rPr>
          <w:rFonts w:ascii="Times New Roman" w:hAnsi="Times New Roman" w:cs="Times New Roman"/>
          <w:sz w:val="24"/>
          <w:szCs w:val="24"/>
        </w:rPr>
        <w:t>differentiation,</w:t>
      </w:r>
      <w:r w:rsidR="006C15E1" w:rsidRPr="00922C73">
        <w:rPr>
          <w:rFonts w:ascii="Times New Roman" w:hAnsi="Times New Roman" w:cs="Times New Roman"/>
          <w:sz w:val="24"/>
          <w:szCs w:val="24"/>
        </w:rPr>
        <w:t xml:space="preserve"> and apoptosis of macrophages</w:t>
      </w:r>
      <w:r w:rsidR="00D34038" w:rsidRPr="00922C73">
        <w:rPr>
          <w:rFonts w:ascii="Times New Roman" w:hAnsi="Times New Roman" w:cs="Times New Roman"/>
          <w:sz w:val="24"/>
          <w:szCs w:val="24"/>
        </w:rPr>
        <w:t>.</w:t>
      </w:r>
      <w:r w:rsidR="008661AC" w:rsidRPr="00922C73">
        <w:rPr>
          <w:rFonts w:ascii="Times New Roman" w:hAnsi="Times New Roman" w:cs="Times New Roman"/>
          <w:sz w:val="24"/>
          <w:szCs w:val="24"/>
        </w:rPr>
        <w:t xml:space="preserve"> Activation of b</w:t>
      </w:r>
      <w:r w:rsidR="0086244B" w:rsidRPr="00922C73">
        <w:rPr>
          <w:rFonts w:ascii="Times New Roman" w:hAnsi="Times New Roman" w:cs="Times New Roman"/>
          <w:sz w:val="24"/>
          <w:szCs w:val="24"/>
        </w:rPr>
        <w:t>oth TNF</w:t>
      </w:r>
      <w:r w:rsidR="004A5375" w:rsidRPr="00922C73">
        <w:rPr>
          <w:rFonts w:ascii="Times New Roman" w:hAnsi="Times New Roman" w:cs="Times New Roman"/>
          <w:sz w:val="24"/>
          <w:szCs w:val="24"/>
        </w:rPr>
        <w:t xml:space="preserve"> </w:t>
      </w:r>
      <w:r w:rsidR="00424BA6" w:rsidRPr="00922C73">
        <w:rPr>
          <w:rFonts w:ascii="Times New Roman" w:hAnsi="Times New Roman" w:cs="Times New Roman"/>
          <w:sz w:val="24"/>
          <w:szCs w:val="24"/>
        </w:rPr>
        <w:t>receptor 1 and 2</w:t>
      </w:r>
      <w:r w:rsidR="008661AC" w:rsidRPr="00922C73">
        <w:rPr>
          <w:rFonts w:ascii="Times New Roman" w:hAnsi="Times New Roman" w:cs="Times New Roman"/>
          <w:sz w:val="24"/>
          <w:szCs w:val="24"/>
        </w:rPr>
        <w:t xml:space="preserve"> can </w:t>
      </w:r>
      <w:r w:rsidR="00FF5220" w:rsidRPr="00922C73">
        <w:rPr>
          <w:rFonts w:ascii="Times New Roman" w:hAnsi="Times New Roman" w:cs="Times New Roman"/>
          <w:sz w:val="24"/>
          <w:szCs w:val="24"/>
        </w:rPr>
        <w:t>induc</w:t>
      </w:r>
      <w:r w:rsidR="00486967" w:rsidRPr="00922C73">
        <w:rPr>
          <w:rFonts w:ascii="Times New Roman" w:hAnsi="Times New Roman" w:cs="Times New Roman"/>
          <w:sz w:val="24"/>
          <w:szCs w:val="24"/>
        </w:rPr>
        <w:t xml:space="preserve">e </w:t>
      </w:r>
      <w:r w:rsidR="00A949FC" w:rsidRPr="00922C73">
        <w:rPr>
          <w:rFonts w:ascii="Times New Roman" w:hAnsi="Times New Roman" w:cs="Times New Roman"/>
          <w:sz w:val="24"/>
          <w:szCs w:val="24"/>
        </w:rPr>
        <w:t>cellular surviv</w:t>
      </w:r>
      <w:r w:rsidR="005D433A" w:rsidRPr="00922C73">
        <w:rPr>
          <w:rFonts w:ascii="Times New Roman" w:hAnsi="Times New Roman" w:cs="Times New Roman"/>
          <w:sz w:val="24"/>
          <w:szCs w:val="24"/>
        </w:rPr>
        <w:t>al</w:t>
      </w:r>
      <w:r w:rsidR="0088287B" w:rsidRPr="00922C73">
        <w:rPr>
          <w:rFonts w:ascii="Times New Roman" w:hAnsi="Times New Roman" w:cs="Times New Roman"/>
          <w:sz w:val="24"/>
          <w:szCs w:val="24"/>
        </w:rPr>
        <w:t xml:space="preserve"> </w:t>
      </w:r>
      <w:r w:rsidR="0088287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88287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35</w:t>
      </w:r>
      <w:r w:rsidR="0088287B" w:rsidRPr="00922C73">
        <w:rPr>
          <w:rFonts w:ascii="Times New Roman" w:hAnsi="Times New Roman" w:cs="Times New Roman"/>
          <w:sz w:val="24"/>
          <w:szCs w:val="24"/>
        </w:rPr>
        <w:fldChar w:fldCharType="end"/>
      </w:r>
      <w:r w:rsidR="009D35EC" w:rsidRPr="00922C73">
        <w:rPr>
          <w:rFonts w:ascii="Times New Roman" w:hAnsi="Times New Roman" w:cs="Times New Roman"/>
          <w:sz w:val="24"/>
          <w:szCs w:val="24"/>
        </w:rPr>
        <w:t>. T</w:t>
      </w:r>
      <w:r w:rsidR="00744CB5" w:rsidRPr="00922C73">
        <w:rPr>
          <w:rFonts w:ascii="Times New Roman" w:hAnsi="Times New Roman" w:cs="Times New Roman"/>
          <w:sz w:val="24"/>
          <w:szCs w:val="24"/>
        </w:rPr>
        <w:t xml:space="preserve">he inclusion of </w:t>
      </w:r>
      <w:r w:rsidR="00486967" w:rsidRPr="00922C73">
        <w:rPr>
          <w:rFonts w:ascii="Times New Roman" w:hAnsi="Times New Roman" w:cs="Times New Roman"/>
          <w:sz w:val="24"/>
          <w:szCs w:val="24"/>
        </w:rPr>
        <w:t>a</w:t>
      </w:r>
      <w:r w:rsidR="00744CB5" w:rsidRPr="00922C73">
        <w:rPr>
          <w:rFonts w:ascii="Times New Roman" w:hAnsi="Times New Roman" w:cs="Times New Roman"/>
          <w:sz w:val="24"/>
          <w:szCs w:val="24"/>
        </w:rPr>
        <w:t xml:space="preserve"> death domain at TNF receptor 1</w:t>
      </w:r>
      <w:r w:rsidR="005D433A" w:rsidRPr="00922C73">
        <w:rPr>
          <w:rFonts w:ascii="Times New Roman" w:hAnsi="Times New Roman" w:cs="Times New Roman"/>
          <w:sz w:val="24"/>
          <w:szCs w:val="24"/>
        </w:rPr>
        <w:t xml:space="preserve"> </w:t>
      </w:r>
      <w:r w:rsidR="00EA754D" w:rsidRPr="00922C73">
        <w:rPr>
          <w:rFonts w:ascii="Times New Roman" w:hAnsi="Times New Roman" w:cs="Times New Roman"/>
          <w:sz w:val="24"/>
          <w:szCs w:val="24"/>
        </w:rPr>
        <w:t>exerts</w:t>
      </w:r>
      <w:r w:rsidR="005D433A" w:rsidRPr="00922C73">
        <w:rPr>
          <w:rFonts w:ascii="Times New Roman" w:hAnsi="Times New Roman" w:cs="Times New Roman"/>
          <w:sz w:val="24"/>
          <w:szCs w:val="24"/>
        </w:rPr>
        <w:t xml:space="preserve"> cellular apoptosis or necrosis</w:t>
      </w:r>
      <w:r w:rsidR="009D35EC" w:rsidRPr="00922C73">
        <w:rPr>
          <w:rFonts w:ascii="Times New Roman" w:hAnsi="Times New Roman" w:cs="Times New Roman"/>
          <w:sz w:val="24"/>
          <w:szCs w:val="24"/>
        </w:rPr>
        <w:t>,</w:t>
      </w:r>
      <w:r w:rsidR="00EA754D" w:rsidRPr="00922C73">
        <w:rPr>
          <w:rFonts w:ascii="Times New Roman" w:hAnsi="Times New Roman" w:cs="Times New Roman"/>
          <w:sz w:val="24"/>
          <w:szCs w:val="24"/>
        </w:rPr>
        <w:t xml:space="preserve"> dependant on the physiological conditions</w:t>
      </w:r>
      <w:r w:rsidR="009D35EC" w:rsidRPr="00922C73">
        <w:rPr>
          <w:rFonts w:ascii="Times New Roman" w:hAnsi="Times New Roman" w:cs="Times New Roman"/>
          <w:sz w:val="24"/>
          <w:szCs w:val="24"/>
        </w:rPr>
        <w:t xml:space="preserve">, via signalling complexes </w:t>
      </w:r>
      <w:r w:rsidR="009D35E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{"citationItems":[{"id":"ITEM-1","itemData":{"DOI":"10.12688/f1000research.17023.1","ISSN":"2046-1402","abstract":"The master pro-inflammatory cytokine, tumour necrosis factor (TNF), has been shown to modulate multiple signalling pathways, with wide-ranging downstream effects. TNF plays a vital role in the typical immune response through the regulation of a number of pathways encompassing an immediate inflammatory reaction with significant innate immune involvement as well as cellular activation with subsequent proliferation and programmed cell death or necrosis. As might be expected with such a broad spectrum of cellular effects and complex signalling pathways, TNF has also been implicated in a number of disease states, such as rheumatoid arthritis, ankylosing spondylitis, and Crohn’s disease. Since the time of its discovery over 40 years ago, TNF ligand and its receptors, TNF receptor (TNFR) 1 and 2, have been categorised into two complementary superfamilies, namely TNF (TNFSF) and TNFR (TNFRSF), and 19 ligands and 29 receptors have been identified to date. There have been significant advances in our understanding of TNF signalling pathways in the last decade, and this short review aims to elucidate some of the most recent advances involving TNF signalling in health and disease.","author":[{"dropping-particle":"","family":"Holbrook","given":"Jonathan","non-dropping-particle":"","parse-names":false,"suffix":""},{"dropping-particle":"","family":"Lara-Reyna","given":"Samuel","non-dropping-particle":"","parse-names":false,"suffix":""},{"dropping-particle":"","family":"Jarosz-Griffiths","given":"Heledd","non-dropping-particle":"","parse-names":false,"suffix":""},{"dropping-particle":"","family":"McDermott","given":"Michael F.","non-dropping-particle":"","parse-names":false,"suffix":""}],"container-title":"F1000Research","id":"ITEM-1","issued":{"date-parts":[["2019","1","28"]]},"page":"111","title":"Tumour necrosis factor signalling in health and disease","type":"article-journal","volume":"8"},"uris":["http://www.mendeley.com/documents/?uuid=e3cab6e6-a4bd-4275-b07a-0e2c036f1cac"]}],"mendeley":{"formattedCitation":"&lt;sup&gt;35&lt;/sup&gt;","plainTextFormattedCitation":"35","previouslyFormattedCitation":"&lt;sup&gt;35&lt;/sup&gt;"},"properties":{"noteIndex":0},"schema":"https://github.com/citation-style-language/schema/raw/master/csl-citation.json"}</w:instrText>
      </w:r>
      <w:r w:rsidR="009D35E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35</w:t>
      </w:r>
      <w:r w:rsidR="009D35EC" w:rsidRPr="00922C73">
        <w:rPr>
          <w:rFonts w:ascii="Times New Roman" w:hAnsi="Times New Roman" w:cs="Times New Roman"/>
          <w:sz w:val="24"/>
          <w:szCs w:val="24"/>
        </w:rPr>
        <w:fldChar w:fldCharType="end"/>
      </w:r>
      <w:r w:rsidR="005D433A" w:rsidRPr="00922C73">
        <w:rPr>
          <w:rFonts w:ascii="Times New Roman" w:hAnsi="Times New Roman" w:cs="Times New Roman"/>
          <w:sz w:val="24"/>
          <w:szCs w:val="24"/>
        </w:rPr>
        <w:t>. TNF</w:t>
      </w:r>
      <w:r w:rsidR="00D2122E" w:rsidRPr="00922C73">
        <w:rPr>
          <w:rFonts w:ascii="Calibri" w:hAnsi="Calibri" w:cs="Calibri"/>
          <w:sz w:val="24"/>
          <w:szCs w:val="24"/>
        </w:rPr>
        <w:t>α</w:t>
      </w:r>
      <w:r w:rsidR="005D433A" w:rsidRPr="00922C73">
        <w:rPr>
          <w:rFonts w:ascii="Times New Roman" w:hAnsi="Times New Roman" w:cs="Times New Roman"/>
          <w:sz w:val="24"/>
          <w:szCs w:val="24"/>
        </w:rPr>
        <w:t xml:space="preserve"> </w:t>
      </w:r>
      <w:r w:rsidR="004A5375" w:rsidRPr="00922C73">
        <w:rPr>
          <w:rFonts w:ascii="Times New Roman" w:hAnsi="Times New Roman" w:cs="Times New Roman"/>
          <w:sz w:val="24"/>
          <w:szCs w:val="24"/>
        </w:rPr>
        <w:t>also affects</w:t>
      </w:r>
      <w:r w:rsidR="00A90132" w:rsidRPr="00922C73">
        <w:rPr>
          <w:rFonts w:ascii="Times New Roman" w:hAnsi="Times New Roman" w:cs="Times New Roman"/>
          <w:sz w:val="24"/>
          <w:szCs w:val="24"/>
        </w:rPr>
        <w:t xml:space="preserve"> atherosclerosis</w:t>
      </w:r>
      <w:r w:rsidR="00EA754D" w:rsidRPr="00922C73">
        <w:rPr>
          <w:rFonts w:ascii="Times New Roman" w:hAnsi="Times New Roman" w:cs="Times New Roman"/>
          <w:sz w:val="24"/>
          <w:szCs w:val="24"/>
        </w:rPr>
        <w:t xml:space="preserve"> and</w:t>
      </w:r>
      <w:r w:rsidR="005D433A" w:rsidRPr="00922C73">
        <w:rPr>
          <w:rFonts w:ascii="Times New Roman" w:hAnsi="Times New Roman" w:cs="Times New Roman"/>
          <w:sz w:val="24"/>
          <w:szCs w:val="24"/>
        </w:rPr>
        <w:t xml:space="preserve"> </w:t>
      </w:r>
      <w:r w:rsidR="00A90132" w:rsidRPr="00922C73">
        <w:rPr>
          <w:rFonts w:ascii="Times New Roman" w:hAnsi="Times New Roman" w:cs="Times New Roman"/>
          <w:sz w:val="24"/>
          <w:szCs w:val="24"/>
        </w:rPr>
        <w:t>bone remodelling</w:t>
      </w:r>
      <w:r w:rsidR="001E349F" w:rsidRPr="00922C73">
        <w:rPr>
          <w:rFonts w:ascii="Times New Roman" w:hAnsi="Times New Roman" w:cs="Times New Roman"/>
          <w:sz w:val="24"/>
          <w:szCs w:val="24"/>
        </w:rPr>
        <w:t xml:space="preserve"> </w:t>
      </w:r>
      <w:r w:rsidR="00EF63A9"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{"citationItems":[{"id":"ITEM-1","itemData":{"DOI":"10.1615/critreveukargeneexpr.v20.i2.10","ISSN":"1045-4403","PMID":"21133840","abstract":"Tumor necrosis factor-α (TNFα) was cloned over 2 decades ago and its identification in part led to the discovery of a super family of tumor necrosis factors (TNFs) and their receptors. TNFα signals through two transmembrane receptors, TNFR1 and TNFR2, and regulates a number of critical cell functions including cell proliferation, survival, differentiation, and apoptosis. Macrophages are the major producers of TNFα and interestingly are also highly responsive to TNFα. Aberrant TNFα production and TNF receptor signaling have been associated with the pathogenesis of several diseases, including rheumatoid arthritis, Crohn's disease, atherosclerosis, psoriasis, sepsis, diabetes, and obesity. TNFα has been shown to play a pivotal role in orchestrating the cytokine cascade in many inflammatory diseases and because of this role as a \"master-regulator\" of inflammatory cytokine production, it has been proposed as a therapeutic target for a number of diseases. Indeed anti-TNFα drugs are now licensed for treating certain inflammatory diseases including rheumatoid arthritis and inflammatory bowel disease. In this review we discuss the discovery of TNFα and its actions especially in regulating macrophage biology. Given its importance in several human diseases, we also briefly discuss the role of anti-TNFα therapeutics in the treatment of inflammatory diseases.","author":[{"dropping-particle":"","family":"Parameswaran","given":"Narayanan","non-dropping-particle":"","parse-names":false,"suffix":""},{"dropping-particle":"","family":"Patial","given":"Sonika","non-dropping-particle":"","parse-names":false,"suffix":""}],"container-title":"Critical reviews in eukaryotic gene expression","id":"ITEM-1","issue":"2","issued":{"date-parts":[["2010"]]},"page":"87-103","title":"Tumor necrosis factor-α signaling in macrophages.","type":"article-journal","volume":"20"},"uris":["http://www.mendeley.com/documents/?uuid=7ba9b4b7-1de2-4cd8-a5e4-b24a9d6055b5"]},{"id":"ITEM-2","itemData":{"ISSN":"0002-9440","PMID":"8506944","abstract":"The production of cytokines by atheromatous plaque macrophages from human endarterectomy tissue was assessed in vitro by short-term cell culture and in situ by immunohistology. Macrophages were isolated from plaques of 14 patients undergoing carotid endarterectomy and 7 patients undergoing reconstructive procedures on atheromatous distal aortic and femoral arteries. Tumor necrosis factor (TNF) and interleukin 1 (IL-1) production by plaque macrophages and blood monocytes isolated concurrently from these patients was assessed. TNF release by macrophages from carotid plaques (0.39 +/- 0.12 ng/10(6) cells/24 hours) was significantly augmented compared to the release by corresponding blood monocytes (0.014 +/- 0.011 ng/10(6) cells/24 hours, P = 0.03), and by macrophages from noncarotid lesions (0.038 +/- 0.036 ng/10(6) cells/24 hours, P &lt; 0.04). Cellular TNF expression by macrophages within carotid plaques was also more prominent than in noncarotid lesions. By contrast, IL-1 production by plaque macrophages from both carotid and noncarotid plaques was not augmented compared to blood monocytes, and only infrequent and low-intensity labeling for IL-1 was present on macrophages within plaques from either group. These results provide functional and immunohistological evidence for increased production of TNF but not IL-1 by activated macrophages, indicating local and selective augmentation of cytokine production within carotid plaques. This suggests that macrophages play an active role in the inflammatory response within atheromatous carotid plaques.","author":[{"dropping-particle":"","family":"Tipping","given":"P G","non-dropping-particle":"","parse-names":false,"suffix":""},{"dropping-particle":"","family":"Hancock","given":"W W","non-dropping-particle":"","parse-names":false,"suffix":""}],"container-title":"The American journal of pathology","id":"ITEM-2","issue":"6","issued":{"date-parts":[["1993","6"]]},"page":"1721-8","title":"Production of tumor necrosis factor and interleukin-1 by macrophages from human atheromatous plaques.","type":"article-journal","volume":"142"},"uris":["http://www.mendeley.com/documents/?uuid=f143a105-e5a6-46cd-9b19-05e7b0fe3410"]},{"id":"ITEM-3","itemData":{"DOI":"10.1056/NEJM199901143400207","ISSN":"0028-4793","author":[{"dropping-particle":"","family":"Ross","given":"Russell","non-dropping-particle":"","parse-names":false,"suffix":""}],"container-title":"New England Journal of Medicine","editor":[{"dropping-particle":"","family":"Epstein","given":"Franklin H.","non-dropping-particle":"","parse-names":false,"suffix":""}],"id":"ITEM-3","issue":"2","issued":{"date-parts":[["1999","1","14"]]},"page":"115-126","title":"Atherosclerosis — An Inflammatory Disease","type":"article-journal","volume":"340"},"uris":["http://www.mendeley.com/documents/?uuid=bfff0a95-fe44-42aa-b860-3bbdcf114c5f"]},{"id":"ITEM-4","itemData":{"DOI":"10.1016/j.gene.2005.01.014","ISSN":"03781119","author":[{"dropping-particle":"","family":"Feng","given":"Xu","non-dropping-particle":"","parse-names":false,"suffix":""}],"container-title":"Gene","id":"ITEM-4","issue":"1","issued":{"date-parts":[["2005","4"]]},"page":"1-13","title":"Regulatory roles and molecular signaling of TNF family members in osteoclasts","type":"article-journal","volume":"350"},"uris":["http://www.mendeley.com/documents/?uuid=8cbace30-7bbc-40b5-8eff-b1bb1276f4f2"]}],"mendeley":{"formattedCitation":"&lt;sup&gt;40–43&lt;/sup&gt;","plainTextFormattedCitation":"40–43","previouslyFormattedCitation":"&lt;sup&gt;40–43&lt;/sup&gt;"},"properties":{"noteIndex":0},"schema":"https://github.com/citation-style-language/schema/raw/master/csl-citation.json"}</w:instrText>
      </w:r>
      <w:r w:rsidR="00EF63A9"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40–43</w:t>
      </w:r>
      <w:r w:rsidR="00EF63A9" w:rsidRPr="00922C73">
        <w:rPr>
          <w:rFonts w:ascii="Times New Roman" w:hAnsi="Times New Roman" w:cs="Times New Roman"/>
          <w:sz w:val="24"/>
          <w:szCs w:val="24"/>
        </w:rPr>
        <w:fldChar w:fldCharType="end"/>
      </w:r>
      <w:r w:rsidR="00A90132" w:rsidRPr="00922C73">
        <w:rPr>
          <w:rFonts w:ascii="Times New Roman" w:hAnsi="Times New Roman" w:cs="Times New Roman"/>
          <w:sz w:val="24"/>
          <w:szCs w:val="24"/>
        </w:rPr>
        <w:t>.</w:t>
      </w:r>
      <w:r w:rsidR="00E26A7C" w:rsidRPr="00922C73">
        <w:rPr>
          <w:rFonts w:ascii="Times New Roman" w:hAnsi="Times New Roman" w:cs="Times New Roman"/>
          <w:sz w:val="24"/>
          <w:szCs w:val="24"/>
        </w:rPr>
        <w:t xml:space="preserve"> </w:t>
      </w:r>
      <w:r w:rsidR="005E4C61" w:rsidRPr="00922C73">
        <w:rPr>
          <w:rFonts w:ascii="Times New Roman" w:hAnsi="Times New Roman" w:cs="Times New Roman"/>
          <w:sz w:val="24"/>
          <w:szCs w:val="24"/>
        </w:rPr>
        <w:t>In</w:t>
      </w:r>
      <w:r w:rsidRPr="00922C73">
        <w:rPr>
          <w:rFonts w:ascii="Times New Roman" w:hAnsi="Times New Roman" w:cs="Times New Roman"/>
          <w:sz w:val="24"/>
          <w:szCs w:val="24"/>
        </w:rPr>
        <w:t xml:space="preserve"> IBD</w:t>
      </w:r>
      <w:r w:rsidR="005E4C61" w:rsidRPr="00922C73">
        <w:rPr>
          <w:rFonts w:ascii="Times New Roman" w:hAnsi="Times New Roman" w:cs="Times New Roman"/>
          <w:sz w:val="24"/>
          <w:szCs w:val="24"/>
        </w:rPr>
        <w:t>,</w:t>
      </w:r>
      <w:r w:rsidRPr="00922C73">
        <w:rPr>
          <w:rFonts w:ascii="Times New Roman" w:hAnsi="Times New Roman" w:cs="Times New Roman"/>
          <w:sz w:val="24"/>
          <w:szCs w:val="24"/>
        </w:rPr>
        <w:t xml:space="preserve"> its ability to induce inflammatory cytokines, </w:t>
      </w:r>
      <w:r w:rsidR="000D3F6B" w:rsidRPr="00922C73">
        <w:rPr>
          <w:rFonts w:ascii="Times New Roman" w:hAnsi="Times New Roman" w:cs="Times New Roman"/>
          <w:sz w:val="24"/>
          <w:szCs w:val="24"/>
        </w:rPr>
        <w:t xml:space="preserve">attract inflammatory cells to areas of inflammation, </w:t>
      </w:r>
      <w:r w:rsidRPr="00922C73">
        <w:rPr>
          <w:rFonts w:ascii="Times New Roman" w:hAnsi="Times New Roman" w:cs="Times New Roman"/>
          <w:sz w:val="24"/>
          <w:szCs w:val="24"/>
        </w:rPr>
        <w:t>tissue degeneration</w:t>
      </w:r>
      <w:r w:rsidR="0034508C" w:rsidRPr="00922C73">
        <w:rPr>
          <w:rFonts w:ascii="Times New Roman" w:hAnsi="Times New Roman" w:cs="Times New Roman"/>
          <w:sz w:val="24"/>
          <w:szCs w:val="24"/>
        </w:rPr>
        <w:t xml:space="preserve"> and regeneration</w:t>
      </w:r>
      <w:r w:rsidRPr="00922C73">
        <w:rPr>
          <w:rFonts w:ascii="Times New Roman" w:hAnsi="Times New Roman" w:cs="Times New Roman"/>
          <w:sz w:val="24"/>
          <w:szCs w:val="24"/>
        </w:rPr>
        <w:t xml:space="preserve">, coagulation cascade and its involvement in granuloma formation are important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{"citationItems":[{"id":"ITEM-1","itemData":{"DOI":"10.1038/nrrheum.2015.169","ISBN":"1759-4804 (Electronic)\\r1759-4790 (Linking)","ISSN":"1759-4790","PMID":"26656660","abstract":"TNF is a pleiotropic cytokine with important functions in homeostasis and disease pathogenesis. Recent discoveries have provided insights into TNF biology that introduce new concepts for the development of therapeutics for TNF-mediated diseases. The model of TNF receptor signalling has been extended to include linear ubiquitination and the formation of distinct signalling complexes that are linked with different functional outcomes, such as inflammation, apoptosis and necroptosis. Our understanding of TNF-induced gene expression has been enriched by the discovery of epigenetic mechanisms and concepts related to cellular priming, tolerization and induction of 'short-term transcriptional memory'. Identification of distinct homeostatic or pathogenic TNF-induced signalling pathways has introduced the concept of selectively inhibiting the deleterious effects of TNF while preserving its homeostatic bioactivities for therapeutic purposes. In this Review, we present molecular mechanisms underlying the roles of TNF in homeostasis and inflammatory disease pathogenesis, and discuss novel strategies to advance therapeutic paradigms for the treatment of TNF-mediated diseases.","author":[{"dropping-particle":"","family":"Kalliolias","given":"George D.","non-dropping-particle":"","parse-names":false,"suffix":""},{"dropping-particle":"","family":"Ivashkiv","given":"Lionel B.","non-dropping-particle":"","parse-names":false,"suffix":""}],"container-title":"Nature Reviews Rheumatology","id":"ITEM-1","issue":"1","issued":{"date-parts":[["2015","12"]]},"page":"49-62","publisher":"Nature Publishing Group","title":"TNF biology, pathogenic mechanisms and emerging therapeutic strategies","type":"article-journal","volume":"12"},"uris":["http://www.mendeley.com/documents/?uuid=0be04393-48cc-48e3-9cb7-586cc0cfd108"]},{"id":"ITEM-2","itemData":{"DOI":"10.1016/0161-5890(93)90106-L","ISBN":"0161-5890 (Print)\\n0161-5890 (Linking)","ISSN":"01615890","PMID":"8232330","abstract":"Tumor necrosis factor-α (TNF) has been implicated in the pathogenesis of a variety of human diseases including septic shock, cachexia, graft-versus-host disease and several autoimmune diseases. Monoclonal antibodies directed against TNF provide an attractive mode of therapeutic intervention in these diseases. We have generated a murine monoclonal antibody (A2) with high affinity and specificity for recombinant and natural human TNF. To increase its therapeutic usefulness, we used genetic engineering techniques to replace the murine constant regions with human counterparts while retaining the murine antigen binding regions. The resulting mouse-human chimeric antibody should have reduced immunogenicity and improved pharmacokinetics in humans. Molecular analysis of light chain genomic clones derived from the murine hybridoma suggests that two different alleles of the same variable region gene have rearranged independently and coexist in the same hybridoma cell. The chimeric A2 antibody (cA2) exhibits better binding and neutralizing characteristics than the murine A2 which was shown to contain a mixture of two kappa light chains. The properties of cA2 suggest that it will have advantages over existing murine anti-TNF antibodies for clinical use. © 1993.","author":[{"dropping-particle":"","family":"Knight","given":"David M.","non-dropping-particle":"","parse-names":false,"suffix":""},{"dropping-particle":"","family":"Trinh","given":"Han","non-dropping-particle":"","parse-names":false,"suffix":""},{"dropping-particle":"","family":"Le","given":"Junming","non-dropping-particle":"","parse-names":false,"suffix":""},{"dropping-particle":"","family":"Siegel","given":"Scott","non-dropping-particle":"","parse-names":false,"suffix":""},{"dropping-particle":"","family":"Shealy","given":"David","non-dropping-particle":"","parse-names":false,"suffix":""},{"dropping-particle":"","family":"McDonough","given":"Margaret","non-dropping-particle":"","parse-names":false,"suffix":""},{"dropping-particle":"","family":"Scallon","given":"Bernard","non-dropping-particle":"","parse-names":false,"suffix":""},{"dropping-particle":"","family":"Moore","given":"Maria Arevalo","non-dropping-particle":"","parse-names":false,"suffix":""},{"dropping-particle":"","family":"Vilcek","given":"Jan","non-dropping-particle":"","parse-names":false,"suffix":""},{"dropping-particle":"","family":"Daddona","given":"Peter","non-dropping-particle":"","parse-names":false,"suffix":""},{"dropping-particle":"","family":"Ghrayeb","given":"John","non-dropping-particle":"","parse-names":false,"suffix":""}],"container-title":"Molecular Immunology","id":"ITEM-2","issue":"16","issued":{"date-parts":[["1993","11"]]},"page":"1443-1453","title":"Construction and initial characterization of a mouse-human chimeric anti-TNF antibody","type":"article-journal","volume":"30"},"uris":["http://www.mendeley.com/documents/?uuid=9d40fed8-317c-4f69-9332-9b64e9d4652b"]}],"mendeley":{"formattedCitation":"&lt;sup&gt;44,45&lt;/sup&gt;","plainTextFormattedCitation":"44,45","previouslyFormattedCitation":"&lt;sup&gt;44,45&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44,45</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p>
    <w:p w14:paraId="10B9E89D" w14:textId="77777777" w:rsidR="002E0BC7" w:rsidRPr="00922C73" w:rsidRDefault="002E0BC7" w:rsidP="00F64D9D">
      <w:pPr>
        <w:spacing w:line="480" w:lineRule="auto"/>
        <w:rPr>
          <w:rFonts w:ascii="Times New Roman" w:hAnsi="Times New Roman" w:cs="Times New Roman"/>
          <w:sz w:val="24"/>
          <w:szCs w:val="24"/>
        </w:rPr>
      </w:pPr>
    </w:p>
    <w:p w14:paraId="74166C05" w14:textId="401B800A" w:rsidR="00EF63A9" w:rsidRPr="00922C73" w:rsidRDefault="003778D2"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Faecal TNFα has been shown to be increased in experimental animal models of colitis, in children with both UC and CD and in the colonic mucosa of patients with CD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{"citationItems":[{"id":"ITEM-1","itemData":{"DOI":"10.1002/eji.1830270722 [doi]","ISBN":"0014-2980 (Print)\\r0014-2980 (Linking)","PMID":"9247586","abstract":"Antibodies to tumor necrosis factor (TNF)-alpha have been recently proposed as effective treatment for patients with Crohn's disease. Here, we analyze the functional role of TNF-alpha in a mouse model of chronic intestinal inflammation induced by the hapten reagent 2,4,6,- trinitrobenzene sulfonic acid (TNBS) that mimics some characteristics of Crohn's disease in humans. Macrophage-enriched lamina propria (LP) mononuclear cells from mice with TNBS-induced colitis produced 10-30- fold higher levels of TNF-alpha mRNA and protein than cells from control mice. When mice with chronic colitis were treated by intraperitoneal injection of antibodies to TNF-alpha, an improvement of both the clinical and histopathologic signs of disease was found. Isolated macrophage-enriched LP cells from anti-TNF-alpha-treated mice produced strikingly less pro-inflammatory cytokines such as interleukin (IL)-1 and IL-6 in cell culture. The predominant role of TNF-alpha in the mouse TNBS-induced colitis model was further underlined by the finding that striking colonic inflammation and lethal pancolitis was induced in TNF-alpha-transgenic mice upon TNBS treatment. Conversely, no significant TNBS-induced colitis could be induced in mice in which the TNF-alpha gene had been inactivated by homologous recombination. Complementation of TNF-alpha function in TNF-/- mice by the expression of a mouse TNF-alpha transgene was sufficient to reverse this effect. Taken together, the data provide direct evidence for a predominant role of TNF-alpha in a mouse model of chronic intestinal inflammation and encourage further clinical trials with antibodies to TNF-alpha for the treatment of patients with Crohn's disease.","author":[{"dropping-particle":"","family":"Neurath","given":"M F","non-dropping-particle":"","parse-names":false,"suffix":""},{"dropping-particle":"","family":"Fuss","given":"I","non-dropping-particle":"","parse-names":false,"suffix":""},{"dropping-particle":"","family":"Pasparakis","given":"M","non-dropping-particle":"","parse-names":false,"suffix":""},{"dropping-particle":"","family":"Alexopoulou","given":"L","non-dropping-particle":"","parse-names":false,"suffix":""},{"dropping-particle":"","family":"Haralambous","given":"S","non-dropping-particle":"","parse-names":false,"suffix":""},{"dropping-particle":"","family":"Meyer zum Buschenfelde","given":"K H","non-dropping-particle":"","parse-names":false,"suffix":""},{"dropping-particle":"","family":"Strober","given":"W","non-dropping-particle":"","parse-names":false,"suffix":""},{"dropping-particle":"","family":"Kollias","given":"G","non-dropping-particle":"","parse-names":false,"suffix":""}],"container-title":"Eur J Immunol","id":"ITEM-1","issue":"7","issued":{"date-parts":[["1997"]]},"page":"1743-1750","title":"Predominant pathogenic role of tumor necrosis factor in experimental colitis in mice","type":"article-journal","volume":"27"},"uris":["http://www.mendeley.com/documents/?uuid=8b86a44b-f180-4be2-a4cc-3c313cf38d4e"]},{"id":"ITEM-2","itemData":{"author":[{"dropping-particle":"","family":"Neilly PJD, Campbell GR","given":"Anderson NH","non-dropping-particle":"","parse-names":false,"suffix":""},{"dropping-particle":"","family":"Al.","given":"Et","non-dropping-particle":"","parse-names":false,"suffix":""}],"container-title":"Surg Res Commun","id":"ITEM-2","issued":{"date-parts":[["1995"]]},"page":"11-17","title":"Faecal and systemic tumour necrosis factor in experimental inflammatory bowel disease.","type":"article-journal","volume":"18"},"uris":["http://www.mendeley.com/documents/?uuid=ecd74ca6-f8e3-4fbb-ae17-d7d86f40abb4"]},{"id":"ITEM-3","itemData":{"DOI":"0140-6736(92)90999-J [pii]","ISBN":"0140-6736 (Print)\\r0140-6736 (Linking)","ISSN":"0140-6736","PMID":"1345871","abstract":"Measurement of disease activity in patients with inflammatory bowel disease is difficult. The best available methods are complex and time consuming, but it may be possible to use tumour necrosis factor alpha (TNF alpha) concentration in stool as a marker of disease activity. We measured TNF alpha concentrations in stool samples from normal children, infants with diarrhoea, and children with inflammatory bowel disease in active and inactive phases of the disease. In 10 normal children and 14 children with diarrhoea, median stool TNF alpha concentrations were 58 and 45 pg/g stool, respectively. Compared with diarrhoeal controls, stool TNF alpha concentrations were significantly increased in children with active Crohn's disease (n = 13, median 994 pg/g, p less than 0.0002) and active ulcerative colitis (n = 4, range 276-5982 pg/g, p less than 0.003). In patients with inactive disease, either as a result of surgery or treatment with steroids, the concentration of stool TNF alpha fell to those of controls. Measurement of stool TNF alpha concentrations may provide a simple way to monitor disease activity in inflammatory bowel disease.","author":[{"dropping-particle":"","family":"Braegger","given":"C P","non-dropping-particle":"","parse-names":false,"suffix":""},{"dropping-particle":"","family":"Nicholls","given":"S","non-dropping-particle":"","parse-names":false,"suffix":""},{"dropping-particle":"","family":"Murch","given":"S H","non-dropping-particle":"","parse-names":false,"suffix":""},{"dropping-particle":"","family":"Stephens","given":"S","non-dropping-particle":"","parse-names":false,"suffix":""},{"dropping-particle":"","family":"MacDonald","given":"T T","non-dropping-particle":"","parse-names":false,"suffix":""}],"container-title":"Lancet","id":"ITEM-3","issue":"8785","issued":{"date-parts":[["1992"]]},"page":"89-91","title":"Tumour necrosis factor alpha in stool as a marker of intestinal inflammation.","type":"article-journal","volume":"339"},"uris":["http://www.mendeley.com/documents/?uuid=6c8d0762-b302-4637-90b5-ef2c0cf61dba"]},{"id":"ITEM-4","itemData":{"ISBN":"0741-5400 (Print)\\r0741-5400","ISSN":"0741-5400","PMID":"7665984","abstract":"Tumor necrosis factor-alpha, a proinflammatory cytokine, might have an important role(s) in initiating, modifying, and/or sustaining chronic inflammatory processes such as those that characterize Crohn's disease, an inflammatory bowel disease of unknown etiology. We used an immunogold ultrastructural morphometric approach to localize tumor necrosis factor-alpha in colonic Crohn's disease biopsies. Tumor necrosis factor-alpha was present in seven cell types (fibroblasts, eosinophils, mast cells, macrophages, colonic epithelial absorptive cells, Paneth cells, neutrophils). Tumor necrosis factor-alpha-containing subcellular organelles included lipid bodies (fibroblasts, eosinophils, macrophages, mast cells, colonic epithelial cells, neutrophils), secretory granules (eosinophils, Paneth cells), phagolysosomes (macrophages, colonic epithelial cells), and Golgi structures and vesicle membranes (neutrophils). A gradient of extracellular tumor necrosis factor-alpha immunoreactivity surrounded eosinophils, mast cells, and macrophages. P values of gold counts/microns2 were significant for all cells, organelles, and extracellular spaces measured, and all positive structures significantly exceeded the background labeling density/microns2. Specificity controls (normal rabbit serum, tumor necrosis factor-alpha-absorbed primary antibody) either failed to label these sites or gave markedly reduced specific tumor necrosis factor-alpha labeling, respectively. These findings represent the first ultrastructural localization of the subcellular sites of TNF-alpha in vivo in seven cell lineages in human colonic tissues.","author":[{"dropping-particle":"","family":"Beil","given":"W J","non-dropping-particle":"","parse-names":false,"suffix":""},{"dropping-particle":"","family":"Weller","given":"P F","non-dropping-particle":"","parse-names":false,"suffix":""},{"dropping-particle":"","family":"Peppercorn","given":"M A","non-dropping-particle":"","parse-names":false,"suffix":""},{"dropping-particle":"","family":"Galli","given":"S J","non-dropping-particle":"","parse-names":false,"suffix":""},{"dropping-particle":"","family":"Dvorak","given":"Ann M","non-dropping-particle":"","parse-names":false,"suffix":""}],"container-title":"Journal of leukocyte biology","id":"ITEM-4","issue":"3","issued":{"date-parts":[["1995"]]},"page":"284-298","title":"Ultrastructural immunogold localization of subcellular sites of TNF-alpha in colonic Crohn's disease","type":"article-journal","volume":"58"},"uris":["http://www.mendeley.com/documents/?uuid=5802922c-b6f6-4fe8-bf04-bdf3b3d751ee"]},{"id":"ITEM-5","itemData":{"DOI":"10.1136/gut.39.5.684","ISBN":"0017-5749 (Print) 0017-5749 (Linking)","ISSN":"0017-5749","PMID":"9026483","abstract":"BACKGROUND: Increasing evidence points to a important role for inflammatory cytokines for the pathogenesis of Crohn's disease. AIM: To compare the secretion rate of tumour necrosis factor-alpha (TNF-alpha), interleukin-1 beta (IL-1 beta) and interleukin-6 (IL-6) by morphologically normal and inflamed intestinal mucosa from patients with Crohn's disease. RESULTS: Organ cultures of intestinal biopsy specimens taken from areas of affected mucosa from patients with Crohn's disease spontaneously produced increased amounts of TNF-alpha, IL-1 beta, and IL-6 compared with controls but also biopsy specimens taken in macroscopically and microscopically unaffected areas in the same patients. Concentrations of IL-1 beta and IL-6 measured in the supernatant fluid of biopsy cultures were positively correlated with the degree of tissue involvement measured by both endoscopic and histological grading. By contrast, TNF-alpha concentrations were not correlated to endoscopic and histological grading. CONCLUSIONS: These consistently raised TNF-alpha, IL-1 beta and IL-6 secretions by normal appearing mucosa from patients with Crohn's disease provide evidence for a sustained immune stimulation in Crohn's disease even in the absence of patent inflammation. The results shed a new light on the role of inflammatory cytokines in the onset of intestinal tissue damage in Crohn's disease and suggest that the range of intestinal lesions in Crohn's disease may be wider than suspected on the basis of regular endoscopic and histological examinations.","author":[{"dropping-particle":"","family":"Reimund","given":"J M","non-dropping-particle":"","parse-names":false,"suffix":""},{"dropping-particle":"","family":"Wittersheim","given":"C","non-dropping-particle":"","parse-names":false,"suffix":""},{"dropping-particle":"","family":"Dumont","given":"S","non-dropping-particle":"","parse-names":false,"suffix":""},{"dropping-particle":"","family":"Muller","given":"C D","non-dropping-particle":"","parse-names":false,"suffix":""},{"dropping-particle":"","family":"Kenney","given":"J S","non-dropping-particle":"","parse-names":false,"suffix":""},{"dropping-particle":"","family":"Baumann","given":"R","non-dropping-particle":"","parse-names":false,"suffix":""},{"dropping-particle":"","family":"Poindron","given":"P","non-dropping-particle":"","parse-names":false,"suffix":""},{"dropping-particle":"","family":"Duclos","given":"B","non-dropping-particle":"","parse-names":false,"suffix":""}],"container-title":"Gut","id":"ITEM-5","issue":"5","issued":{"date-parts":[["1996","11"]]},"page":"684-689","title":"Increased production of tumour necrosis factor-alpha interleukin-1 beta, and interleukin-6 by morphologically normal intestinal biopsies from patients with Crohn's disease.","type":"article-journal","volume":"39"},"uris":["http://www.mendeley.com/documents/?uuid=380d9a72-f2eb-4b34-b372-2cb569a1c6c4"]}],"mendeley":{"formattedCitation":"&lt;sup&gt;46–50&lt;/sup&gt;","plainTextFormattedCitation":"46–50","previouslyFormattedCitation":"&lt;sup&gt;46–50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46–50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Studies </w:t>
      </w:r>
      <w:r w:rsidRPr="00922C73">
        <w:rPr>
          <w:rFonts w:ascii="Times New Roman" w:hAnsi="Times New Roman" w:cs="Times New Roman"/>
          <w:sz w:val="24"/>
          <w:szCs w:val="24"/>
        </w:rPr>
        <w:lastRenderedPageBreak/>
        <w:t xml:space="preserve">have shown that TNF correlates with disease activity in IBD, with higher serum levels being noted in CD over UC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{"citationItems":[{"id":"ITEM-1","itemData":{"ISSN":"00099147","PMID":"11427462","abstract":"The significance of serum concentrations of tumor necrosis factor-alpha (TNF-alpha) in the pathogenesis of inflammatory bowel disease (IBD) is uncertain. We measured TNF-alpha in serum from IBD patients by immuno-PCR to analyze the relationship between TNF-alpha and pathophysiologic state in IBD.","author":[{"dropping-particle":"","family":"Komatsu","given":"M.","non-dropping-particle":"","parse-names":false,"suffix":""},{"dropping-particle":"","family":"Kobayashi","given":"D.","non-dropping-particle":"","parse-names":false,"suffix":""},{"dropping-particle":"","family":"Saito","given":"K.","non-dropping-particle":"","parse-names":false,"suffix":""},{"dropping-particle":"","family":"Furuya","given":"D.","non-dropping-particle":"","parse-names":false,"suffix":""},{"dropping-particle":"","family":"Yagihashi","given":"A.","non-dropping-particle":"","parse-names":false,"suffix":""},{"dropping-particle":"","family":"Araake","given":"H.","non-dropping-particle":"","parse-names":false,"suffix":""},{"dropping-particle":"","family":"Tsuji","given":"N.","non-dropping-particle":"","parse-names":false,"suffix":""},{"dropping-particle":"","family":"Sakamaki","given":"S.","non-dropping-particle":"","parse-names":false,"suffix":""},{"dropping-particle":"","family":"Niitsu","given":"Y.","non-dropping-particle":"","parse-names":false,"suffix":""},{"dropping-particle":"","family":"Watanabe","given":"N.","non-dropping-particle":"","parse-names":false,"suffix":""}],"container-title":"Clinical Chemistry","id":"ITEM-1","issue":"7","issued":{"date-parts":[["2001"]]},"page":"1297-1301","title":"Tumor necrosis factor-?? in serum of patients with inflammatory bowel disease as measured by a highly sensitive immuno-PCR","type":"article-journal","volume":"47"},"uris":["http://www.mendeley.com/documents/?uuid=9d6b29ec-6966-416e-907a-49b0934c0781"]}],"mendeley":{"formattedCitation":"&lt;sup&gt;51&lt;/sup&gt;","plainTextFormattedCitation":"51","previouslyFormattedCitation":"&lt;sup&gt;51&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51</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Inhibition of TNF leads to a reduction in numbers of inflammatory cells in colonic and ileal biopsies of patients with CD, mucosal healing and disease remission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{"citationItems":[{"id":"ITEM-1","itemData":{"DOI":"10.1155/2016/3072586","ISBN":"9788578110796","ISSN":"23147156","PMID":"27340678","abstract":"Numbers of biotherapeutic products in development have increased over past decade. Despite providing significant benefits to patients with unmet needs, almost all protein-based biotherapeutics could induce unwanted immunogenicity, which result in a loss of efficacy and/or increase the risk of adverse reactions, such as infusion reactions, anaphylaxis, and even life-threatening response to endogenous proteins. Recognizing these possibilities, regulatory agencies request that immunogenicity be assessed as part of the approval process for biotherapeutics. Great efforts have been made to reduce drug immunogenicity through protein engineering. Accordingly the immunogenicity incidence has been reduced from around 80% in murine derived products to 0-10% in fully human products. However, recent improvements in immunogenicity assays have led to unexpectedly high immunogenicity rates, even in fully human products, leading to new challenges in assessing immunogenicity and its clinical relevance. These new immunogenicity assays are becoming supersensitive and able to detect more of anti-drug antibodies (ADA) than with earlier assays. This paper intends to review and discuss our understanding of the supersensitive ADA assay and the unexpected high ADA incidence and its potential clinical relevance.","author":[{"dropping-particle":"","family":"Song","given":"Sam","non-dropping-particle":"","parse-names":false,"suffix":""},{"dropping-particle":"","family":"Yang","given":"Lili","non-dropping-particle":"","parse-names":false,"suffix":""},{"dropping-particle":"","family":"Trepicchio","given":"William L.","non-dropping-particle":"","parse-names":false,"suffix":""},{"dropping-particle":"","family":"Wyant","given":"Timothy","non-dropping-particle":"","parse-names":false,"suffix":""}],"container-title":"Journal of Immunology Research","id":"ITEM-1","issued":{"date-parts":[["2016"]]},"title":"Understanding the Supersensitive Anti-Drug Antibody Assay: Unexpected High Anti-Drug Antibody Incidence and Its Clinical Relevance","type":"article-journal","volume":"2016"},"uris":["http://www.mendeley.com/documents/?uuid=753ce8ae-eb73-4813-9993-097d0c8d1e34"]},{"id":"ITEM-2","itemData":{"DOI":"10.1016/S0140-6736(02)08512-4","ISBN":"0140-6736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-2","issue":"9317","issued":{"date-parts":[["2002"]]},"page":"1541-1549","title":"Maintenance infliximab for Crohn's disease: The ACCENT I randomised trial","type":"article-journal","volume":"359"},"uris":["http://www.mendeley.com/documents/?uuid=629eb4eb-d397-4a69-89a0-06c26df17f32"]},{"id":"ITEM-3","itemData":{"DOI":"10.1053/j.gastro.2013.10.052","ISBN":"0016-5085 (ISSNLinking)","ISSN":"00165085","PMID":"24512909","abstract":"Background &amp; Aims The comparative efficacy and safety of infliximab and azathioprine therapy alone or in combination for ulcerative colitis (UC) have not been evaluated previously. Methods This randomized, double-blind trial evaluated the efficacy and safety of 16 weeks of treatment with infliximab monotherapy, azathioprine monotherapy, or the 2 drugs combined in tumor necrosis factor-?? antagonist-naive adults with moderate to severe UC. Patients were assigned randomly to receive intravenous infusions of infliximab 5 mg/kg at weeks 0, 2, 6, and 14 plus daily oral placebo capsules; oral azathioprine 2.5 mg/kg daily plus placebo infusions on the infliximab schedule; or combination therapy with the 2 drugs. Corticosteroid-free clinical remission (primary end point, week 16) was evaluated at weeks 8 and 16. The study was terminated before the enrollment target was reached. Results A total of 239 patients were included in efficacy analyses. Baseline characteristics were similar between treatment groups. Corticosteroid-free remission at week 16 was achieved by 39.7% (31 of 78) of patients receiving infliximab/azathioprine, compared with 22.1% (17 of 77) receiving infliximab alone (P =.017) and 23.7% (18 of 76) receiving azathioprine alone (P =.032). Mucosal healing at week 16 occurred in 62.8% (49 of 78) of patients receiving infliximab/azathioprine, compared with 54.6% (42 of 77) receiving infliximab (P =.295) and 36.8% (28 of 76) receiving azathioprine (P =.001). Serious infections occurred in 2 patients (1 patient receiving infliximab, and 1 patient receiving azathioprine). Conclusions Anti-tumor necrosis factor-??-naive patients with moderate to severe UC treated with infliximab plus azathioprine were more likely to achieve corticosteroid-free remission at 16 weeks than those receiving either monotherapy. Combination therapy led to significantly better mucosal healing than azathioprine monotherapy. ClinicalTrials.gov number, NCT00537316. ?? 2014 by the AGA Institute.","author":[{"dropping-particle":"","family":"Panaccione","given":"Remo","non-dropping-particle":"","parse-names":false,"suffix":""},{"dropping-particle":"","family":"Ghosh","given":"Subrata","non-dropping-particle":"","parse-names":false,"suffix":""},{"dropping-particle":"","family":"Middleton","given":"Stephen","non-dropping-particle":"","parse-names":false,"suffix":""},{"dropping-particle":"","family":"Márquez","given":"Juan R.","non-dropping-particle":"","parse-names":false,"suffix":""},{"dropping-particle":"","family":"Scott","given":"Boyd B.","non-dropping-particle":"","parse-names":false,"suffix":""},{"dropping-particle":"","family":"Flint","given":"Laurence","non-dropping-particle":"","parse-names":false,"suffix":""},{"dropping-particle":"","family":"Hoogstraten","given":"Hubert J.F.","non-dropping-particle":"van","parse-names":false,"suffix":""},{"dropping-particle":"","family":"Chen","given":"Annie C.","non-dropping-particle":"","parse-names":false,"suffix":""},{"dropping-particle":"","family":"Zheng","given":"Hanzhe","non-dropping-particle":"","parse-names":false,"suffix":""},{"dropping-particle":"","family":"Danese","given":"Silvio","non-dropping-particle":"","parse-names":false,"suffix":""},{"dropping-particle":"","family":"Rutgeerts","given":"Paul","non-dropping-particle":"","parse-names":false,"suffix":""}],"container-title":"Gastroenterology","id":"ITEM-3","issue":"2","issued":{"date-parts":[["2014","2"]]},"page":"392-400.e3","publisher":"Elsevier, Inc","title":"Combination Therapy With Infliximab and Azathioprine Is Superior to Monotherapy With Either Agent in Ulcerative Colitis","type":"article-journal","volume":"146"},"uris":["http://www.mendeley.com/documents/?uuid=6489a91f-c1ba-452a-bc79-75c9eaab612f"]},{"id":"ITEM-4","itemData":{"DOI":"10.1056/NEJMoa050516","ISBN":"1533-4406","ISSN":"0028-4793","PMID":"16339095","abstract":"Background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Medicine","id":"ITEM-4","issue":"23","issued":{"date-parts":[["2005","12"]]},"page":"2462-2476","title":"Infliximab for Induction and Maintenance Therapy for Ulcerative Colitis","type":"article-journal","volume":"353"},"uris":["http://www.mendeley.com/documents/?uuid=adc04817-1669-4784-a3ae-7f5273bc984e"]}],"mendeley":{"formattedCitation":"&lt;sup&gt;27,52–54&lt;/sup&gt;","plainTextFormattedCitation":"27,52–54","previouslyFormattedCitation":"&lt;sup&gt;27,52–54&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27,52–54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007A047E" w:rsidRPr="00922C73">
        <w:rPr>
          <w:rFonts w:ascii="Times New Roman" w:hAnsi="Times New Roman" w:cs="Times New Roman"/>
          <w:sz w:val="24"/>
          <w:szCs w:val="24"/>
        </w:rPr>
        <w:t xml:space="preserve"> </w:t>
      </w:r>
      <w:r w:rsidR="002F6711" w:rsidRPr="00922C73">
        <w:rPr>
          <w:rFonts w:ascii="Times New Roman" w:hAnsi="Times New Roman" w:cs="Times New Roman"/>
          <w:sz w:val="24"/>
          <w:szCs w:val="24"/>
        </w:rPr>
        <w:t>In disease, TNF</w:t>
      </w:r>
      <w:r w:rsidR="002F6711" w:rsidRPr="00922C73">
        <w:rPr>
          <w:rFonts w:ascii="Calibri" w:hAnsi="Calibri" w:cs="Calibri"/>
          <w:sz w:val="24"/>
          <w:szCs w:val="24"/>
        </w:rPr>
        <w:t>α</w:t>
      </w:r>
      <w:r w:rsidR="002F6711" w:rsidRPr="00922C73">
        <w:rPr>
          <w:rFonts w:ascii="Times New Roman" w:hAnsi="Times New Roman" w:cs="Times New Roman"/>
          <w:sz w:val="24"/>
          <w:szCs w:val="24"/>
        </w:rPr>
        <w:t xml:space="preserve"> is associated with uncontrolled inflammation, however, its role in other physiological functions should be considered when using anti-TNF agents. In  addition, t</w:t>
      </w:r>
      <w:r w:rsidR="007A047E" w:rsidRPr="00922C73">
        <w:rPr>
          <w:rFonts w:ascii="Times New Roman" w:hAnsi="Times New Roman" w:cs="Times New Roman"/>
          <w:sz w:val="24"/>
          <w:szCs w:val="24"/>
        </w:rPr>
        <w:t xml:space="preserve">he existence of patients with primary non-response to infliximab suggest variation and complexity of  inflammatory pathways in IBD </w:t>
      </w:r>
      <w:r w:rsidR="007A047E"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Medicine","id":"ITEM-1","issue":"9","issued":{"date-parts":[["2004","2","26"]]},"page":"876-885","title":"Infliximab Maintenance Therapy for Fistulizing Crohn's Disease","type":"article-journal","volume":"350"},"uris":["http://www.mendeley.com/documents/?uuid=d5a74abf-713b-45ca-9e76-608b0a3dc258"]},{"id":"ITEM-2","itemData":{"DOI":"10.1016/j.crohns.2011.07.011","ISBN":"1876-4479 (Electronic)\\r1873-9946 (Linking)","ISSN":"18739946","PMID":"22325168","abstract":"Background: Infliximab is licenced for use in Crohn's disease (CD). Trial data demonstrate that infliximab is effective for inducing remission of active CD, healing fistulising CD, and preventing relapse once in remission. However, long-term data regarding efficacy, safety, and predictors of response are still emerging. Aim: To examine these issues in a large cohort of patients who received infliximab for CD. Methods: A retrospective analysis of prospectively collected data was performed for 210 patients receiving infliximab for luminal or fistulising CD. Response to infliximab induction therapy, and sustained clinical benefit, were assessed by a decrease in Harvey-Bradshaw Index (HBI) of ???2 points. Remission was defined as an HBI ??? 4. Physician's global assessment was used where HBI could not be obtained. Demographic and disease factors that may predict response to therapy were analysed by Kaplan-Meier plots and univariate and multivariate analyses. Results: Overall, 173 (82.4%) patients responded to infliximab induction, with 114 (65.9%) achieving sustained clinical benefit. Almost 40% of the study cohort had an HBI ??? 4, indicating remission, at last point of follow-up (median 24. months). Concomitant immunosuppression predicted sustained clinical benefit in the first 6. months of therapy (P = 0.03). An inflammatory disease phenotype (P = 0.04 univariate analysis, P = 0.03 Kaplan Meier analysis) and male gender (P = 0.03) also predicted sustained clinical benefit. Episodic therapy was associated with an increased likelihood of secondary non-response. Adverse events, including malignancies, were few. Conclusion: In this single centre study, infliximab was efficacious and well-tolerated in CD. ?? 2011 European Crohn's and Colitis Organisation.","author":[{"dropping-particle":"","family":"Sprakes","given":"Michael B.","non-dropping-particle":"","parse-names":false,"suffix":""},{"dropping-particle":"","family":"Ford","given":"Alexander C.","non-dropping-particle":"","parse-names":false,"suffix":""},{"dropping-particle":"","family":"Warren","given":"Lisa","non-dropping-particle":"","parse-names":false,"suffix":""},{"dropping-particle":"","family":"Greer","given":"Dan","non-dropping-particle":"","parse-names":false,"suffix":""},{"dropping-particle":"","family":"Hamlin","given":"John","non-dropping-particle":"","parse-names":false,"suffix":""}],"container-title":"Journal of Crohn's and Colitis","id":"ITEM-2","issue":"2","issued":{"date-parts":[["2012","3"]]},"page":"143-153","publisher":"European Crohn's and Colitis Organisation","title":"Efficacy, tolerability, and predictors of response to infliximab therapy for Crohn's disease: A large single centre experience","type":"article-journal","volume":"6"},"uris":["http://www.mendeley.com/documents/?uuid=c6f25a5f-fbe5-4f3f-a332-fc6588dfbc58"]},{"id":"ITEM-3","itemData":{"DOI":"10.1056/NEJMoa050516","ISBN":"1533-4406","ISSN":"0028-4793","PMID":"16339095","abstract":"Background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Medicine","id":"ITEM-3","issue":"23","issued":{"date-parts":[["2005","12"]]},"page":"2462-2476","title":"Infliximab for Induction and Maintenance Therapy for Ulcerative Colitis","type":"article-journal","volume":"353"},"uris":["http://www.mendeley.com/documents/?uuid=adc04817-1669-4784-a3ae-7f5273bc984e"]}],"mendeley":{"formattedCitation":"&lt;sup&gt;26,27,55&lt;/sup&gt;","plainTextFormattedCitation":"26,27,55","previouslyFormattedCitation":"&lt;sup&gt;26,27,55&lt;/sup&gt;"},"properties":{"noteIndex":0},"schema":"https://github.com/citation-style-language/schema/raw/master/csl-citation.json"}</w:instrText>
      </w:r>
      <w:r w:rsidR="007A047E"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26,27,55</w:t>
      </w:r>
      <w:r w:rsidR="007A047E" w:rsidRPr="00922C73">
        <w:rPr>
          <w:rFonts w:ascii="Times New Roman" w:hAnsi="Times New Roman" w:cs="Times New Roman"/>
          <w:sz w:val="24"/>
          <w:szCs w:val="24"/>
        </w:rPr>
        <w:fldChar w:fldCharType="end"/>
      </w:r>
      <w:r w:rsidR="007A047E" w:rsidRPr="00922C73">
        <w:rPr>
          <w:rFonts w:ascii="Times New Roman" w:hAnsi="Times New Roman" w:cs="Times New Roman"/>
          <w:sz w:val="24"/>
          <w:szCs w:val="24"/>
        </w:rPr>
        <w:t xml:space="preserve">.  </w:t>
      </w:r>
    </w:p>
    <w:p w14:paraId="40CC1E99" w14:textId="77777777" w:rsidR="00EF63A9" w:rsidRPr="00922C73" w:rsidRDefault="00EF63A9" w:rsidP="00F64D9D">
      <w:pPr>
        <w:spacing w:line="480" w:lineRule="auto"/>
        <w:rPr>
          <w:rFonts w:ascii="Times New Roman" w:hAnsi="Times New Roman" w:cs="Times New Roman"/>
          <w:sz w:val="24"/>
          <w:szCs w:val="24"/>
        </w:rPr>
      </w:pPr>
    </w:p>
    <w:p w14:paraId="272FE5BC" w14:textId="7A94A8A4" w:rsidR="003778D2" w:rsidRPr="00922C73" w:rsidRDefault="004A5375"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 </w:t>
      </w:r>
    </w:p>
    <w:p w14:paraId="738D1B56" w14:textId="77777777" w:rsidR="003778D2" w:rsidRPr="00922C73" w:rsidRDefault="003778D2" w:rsidP="00F64D9D">
      <w:pPr>
        <w:spacing w:line="480" w:lineRule="auto"/>
        <w:rPr>
          <w:rFonts w:ascii="Times New Roman" w:hAnsi="Times New Roman" w:cs="Times New Roman"/>
          <w:sz w:val="24"/>
          <w:szCs w:val="24"/>
        </w:rPr>
      </w:pPr>
    </w:p>
    <w:p w14:paraId="5F582527" w14:textId="77777777" w:rsidR="00077D82" w:rsidRPr="00922C73" w:rsidRDefault="00077D82" w:rsidP="00F64D9D">
      <w:pPr>
        <w:spacing w:line="480" w:lineRule="auto"/>
        <w:rPr>
          <w:rFonts w:ascii="Times New Roman" w:hAnsi="Times New Roman" w:cs="Times New Roman"/>
          <w:sz w:val="24"/>
          <w:szCs w:val="24"/>
        </w:rPr>
      </w:pPr>
    </w:p>
    <w:p w14:paraId="43B83F28" w14:textId="77777777" w:rsidR="00077D82" w:rsidRPr="00922C73" w:rsidRDefault="00077D82" w:rsidP="00F64D9D">
      <w:pPr>
        <w:spacing w:line="480" w:lineRule="auto"/>
        <w:rPr>
          <w:rFonts w:ascii="Times New Roman" w:hAnsi="Times New Roman" w:cs="Times New Roman"/>
          <w:sz w:val="24"/>
          <w:szCs w:val="24"/>
        </w:rPr>
      </w:pPr>
    </w:p>
    <w:p w14:paraId="6D615D83" w14:textId="77777777" w:rsidR="00077D82" w:rsidRPr="00922C73" w:rsidRDefault="00077D82" w:rsidP="00F64D9D">
      <w:pPr>
        <w:spacing w:line="480" w:lineRule="auto"/>
        <w:rPr>
          <w:rFonts w:ascii="Times New Roman" w:hAnsi="Times New Roman" w:cs="Times New Roman"/>
          <w:sz w:val="24"/>
          <w:szCs w:val="24"/>
        </w:rPr>
      </w:pPr>
    </w:p>
    <w:p w14:paraId="7320C9D6" w14:textId="77777777" w:rsidR="00077D82" w:rsidRPr="00922C73" w:rsidRDefault="00077D82" w:rsidP="00F64D9D">
      <w:pPr>
        <w:spacing w:line="480" w:lineRule="auto"/>
        <w:rPr>
          <w:rFonts w:ascii="Times New Roman" w:hAnsi="Times New Roman" w:cs="Times New Roman"/>
          <w:sz w:val="24"/>
          <w:szCs w:val="24"/>
        </w:rPr>
      </w:pPr>
    </w:p>
    <w:p w14:paraId="7F091C3D" w14:textId="77777777" w:rsidR="00A43C85" w:rsidRPr="00922C73" w:rsidRDefault="00A43C85" w:rsidP="00F64D9D">
      <w:pPr>
        <w:spacing w:line="480" w:lineRule="auto"/>
        <w:rPr>
          <w:rFonts w:ascii="Times New Roman" w:hAnsi="Times New Roman" w:cs="Times New Roman"/>
          <w:sz w:val="24"/>
          <w:szCs w:val="24"/>
        </w:rPr>
      </w:pPr>
    </w:p>
    <w:p w14:paraId="173CB25D" w14:textId="77777777" w:rsidR="00A43C85" w:rsidRPr="00922C73" w:rsidRDefault="00A43C85" w:rsidP="00F64D9D">
      <w:pPr>
        <w:spacing w:line="480" w:lineRule="auto"/>
        <w:rPr>
          <w:rFonts w:ascii="Times New Roman" w:hAnsi="Times New Roman" w:cs="Times New Roman"/>
          <w:sz w:val="24"/>
          <w:szCs w:val="24"/>
        </w:rPr>
      </w:pPr>
    </w:p>
    <w:p w14:paraId="679DD2C1" w14:textId="77777777" w:rsidR="00A43C85" w:rsidRPr="00922C73" w:rsidRDefault="00A43C85" w:rsidP="00F64D9D">
      <w:pPr>
        <w:spacing w:line="480" w:lineRule="auto"/>
        <w:rPr>
          <w:rFonts w:ascii="Times New Roman" w:hAnsi="Times New Roman" w:cs="Times New Roman"/>
          <w:sz w:val="24"/>
          <w:szCs w:val="24"/>
        </w:rPr>
      </w:pPr>
    </w:p>
    <w:p w14:paraId="7D9232C1" w14:textId="77777777" w:rsidR="00A43C85" w:rsidRPr="00922C73" w:rsidRDefault="00A43C85" w:rsidP="00F64D9D">
      <w:pPr>
        <w:spacing w:line="480" w:lineRule="auto"/>
        <w:rPr>
          <w:rFonts w:ascii="Times New Roman" w:hAnsi="Times New Roman" w:cs="Times New Roman"/>
          <w:sz w:val="24"/>
          <w:szCs w:val="24"/>
        </w:rPr>
      </w:pPr>
    </w:p>
    <w:p w14:paraId="39DD4363" w14:textId="77777777" w:rsidR="00077D82" w:rsidRPr="00922C73" w:rsidRDefault="00077D82" w:rsidP="00F64D9D">
      <w:pPr>
        <w:spacing w:line="480" w:lineRule="auto"/>
        <w:rPr>
          <w:rFonts w:ascii="Times New Roman" w:hAnsi="Times New Roman" w:cs="Times New Roman"/>
          <w:sz w:val="24"/>
          <w:szCs w:val="24"/>
        </w:rPr>
      </w:pPr>
    </w:p>
    <w:p w14:paraId="52A7A993" w14:textId="77777777" w:rsidR="00077D82" w:rsidRPr="00922C73" w:rsidRDefault="00077D82" w:rsidP="00F64D9D">
      <w:pPr>
        <w:spacing w:line="480" w:lineRule="auto"/>
        <w:rPr>
          <w:rFonts w:ascii="Times New Roman" w:hAnsi="Times New Roman" w:cs="Times New Roman"/>
          <w:sz w:val="24"/>
          <w:szCs w:val="24"/>
        </w:rPr>
      </w:pPr>
    </w:p>
    <w:p w14:paraId="0595909F" w14:textId="1458C7CC" w:rsidR="00436911" w:rsidRPr="00922C73" w:rsidRDefault="00436911" w:rsidP="00F64D9D">
      <w:pPr>
        <w:spacing w:line="480" w:lineRule="auto"/>
        <w:rPr>
          <w:rFonts w:ascii="Times New Roman" w:hAnsi="Times New Roman" w:cs="Times New Roman"/>
          <w:sz w:val="24"/>
          <w:szCs w:val="24"/>
        </w:rPr>
      </w:pPr>
    </w:p>
    <w:p w14:paraId="4841C3AA" w14:textId="78B89CBF" w:rsidR="0085564F" w:rsidRPr="00922C73" w:rsidRDefault="00383301" w:rsidP="00D44F0B">
      <w:pPr>
        <w:spacing w:line="240" w:lineRule="auto"/>
        <w:rPr>
          <w:rFonts w:ascii="Times New Roman" w:hAnsi="Times New Roman" w:cs="Times New Roman"/>
          <w:sz w:val="24"/>
          <w:szCs w:val="24"/>
        </w:rPr>
      </w:pPr>
      <w:r w:rsidRPr="00922C73">
        <w:rPr>
          <w:noProof/>
        </w:rPr>
        <w:lastRenderedPageBreak/>
        <w:drawing>
          <wp:inline distT="0" distB="0" distL="0" distR="0" wp14:anchorId="57EC977E" wp14:editId="1B480220">
            <wp:extent cx="5580000" cy="3313430"/>
            <wp:effectExtent l="0" t="0" r="1905" b="1270"/>
            <wp:docPr id="14557677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67788" name=""/>
                    <pic:cNvPicPr/>
                  </pic:nvPicPr>
                  <pic:blipFill rotWithShape="1">
                    <a:blip r:embed="rId18">
                      <a:extLst>
                        <a:ext uri="{96DAC541-7B7A-43D3-8B79-37D633B846F1}">
                          <asvg:svgBlip xmlns:asvg="http://schemas.microsoft.com/office/drawing/2016/SVG/main" r:embed="rId19"/>
                        </a:ext>
                      </a:extLst>
                    </a:blip>
                    <a:srcRect l="3063" t="7819" r="37816" b="37302"/>
                    <a:stretch/>
                  </pic:blipFill>
                  <pic:spPr bwMode="auto">
                    <a:xfrm>
                      <a:off x="0" y="0"/>
                      <a:ext cx="5704536" cy="3387380"/>
                    </a:xfrm>
                    <a:prstGeom prst="rect">
                      <a:avLst/>
                    </a:prstGeom>
                    <a:ln>
                      <a:noFill/>
                    </a:ln>
                    <a:extLst>
                      <a:ext uri="{53640926-AAD7-44D8-BBD7-CCE9431645EC}">
                        <a14:shadowObscured xmlns:a14="http://schemas.microsoft.com/office/drawing/2010/main"/>
                      </a:ext>
                    </a:extLst>
                  </pic:spPr>
                </pic:pic>
              </a:graphicData>
            </a:graphic>
          </wp:inline>
        </w:drawing>
      </w:r>
      <w:bookmarkStart w:id="24" w:name="_Toc521055982"/>
      <w:r w:rsidR="00077D82" w:rsidRPr="00922C73">
        <w:rPr>
          <w:rFonts w:ascii="Times New Roman" w:eastAsia="Times New Roman" w:hAnsi="Times New Roman" w:cs="Times New Roman"/>
          <w:sz w:val="24"/>
          <w:szCs w:val="24"/>
          <w:lang w:eastAsia="en-GB"/>
        </w:rPr>
        <w:fldChar w:fldCharType="begin"/>
      </w:r>
      <w:r w:rsidR="00077D82" w:rsidRPr="00922C73">
        <w:rPr>
          <w:rFonts w:ascii="Times New Roman" w:eastAsia="Times New Roman" w:hAnsi="Times New Roman" w:cs="Times New Roman"/>
          <w:sz w:val="24"/>
          <w:szCs w:val="24"/>
          <w:lang w:eastAsia="en-GB"/>
        </w:rPr>
        <w:instrText>HYPERLINK "https://www.ncbi.nlm.nih.gov/core/lw/2.0/html/tileshop_pmc/tileshop_pmc_inline.html?title=Click%20on%20image%20to%20zoom&amp;p=PMC3&amp;id=4809675_nihms-767640-f0001.jpg" \t "tileshopwindow"</w:instrText>
      </w:r>
      <w:r w:rsidR="00077D82" w:rsidRPr="00922C73">
        <w:rPr>
          <w:rFonts w:ascii="Times New Roman" w:eastAsia="Times New Roman" w:hAnsi="Times New Roman" w:cs="Times New Roman"/>
          <w:sz w:val="24"/>
          <w:szCs w:val="24"/>
          <w:lang w:eastAsia="en-GB"/>
        </w:rPr>
      </w:r>
      <w:r w:rsidR="00077D82" w:rsidRPr="00922C73">
        <w:rPr>
          <w:rFonts w:ascii="Times New Roman" w:eastAsia="Times New Roman" w:hAnsi="Times New Roman" w:cs="Times New Roman"/>
          <w:sz w:val="24"/>
          <w:szCs w:val="24"/>
          <w:lang w:eastAsia="en-GB"/>
        </w:rPr>
        <w:fldChar w:fldCharType="separate"/>
      </w:r>
    </w:p>
    <w:p w14:paraId="70E538CB" w14:textId="6D4B4DCF" w:rsidR="0085564F" w:rsidRPr="00922C73" w:rsidRDefault="0085564F" w:rsidP="00D44F0B">
      <w:pPr>
        <w:pStyle w:val="Caption"/>
        <w:spacing w:line="240" w:lineRule="auto"/>
        <w:rPr>
          <w:rFonts w:ascii="Times New Roman" w:hAnsi="Times New Roman" w:cs="Times New Roman"/>
          <w:sz w:val="24"/>
          <w:szCs w:val="24"/>
        </w:rPr>
      </w:pPr>
      <w:bookmarkStart w:id="25" w:name="_Toc139397304"/>
      <w:bookmarkStart w:id="26" w:name="_Toc151020648"/>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3</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Signalling pathways of tumour necrosis factor (TNF) receptors 1 and 2.</w:t>
      </w:r>
      <w:bookmarkEnd w:id="25"/>
      <w:bookmarkEnd w:id="26"/>
    </w:p>
    <w:p w14:paraId="27960EF8" w14:textId="0CEDE9F4" w:rsidR="00F060DE" w:rsidRPr="00922C73" w:rsidRDefault="00077D82" w:rsidP="00D44F0B">
      <w:pPr>
        <w:shd w:val="clear" w:color="auto" w:fill="FFFFFF"/>
        <w:spacing w:after="0" w:line="240" w:lineRule="auto"/>
        <w:rPr>
          <w:rFonts w:ascii="Times New Roman" w:eastAsia="Times New Roman" w:hAnsi="Times New Roman" w:cs="Times New Roman"/>
          <w:sz w:val="24"/>
          <w:szCs w:val="24"/>
          <w:lang w:eastAsia="en-GB"/>
        </w:rPr>
      </w:pPr>
      <w:r w:rsidRPr="00922C73">
        <w:rPr>
          <w:rFonts w:ascii="Times New Roman" w:eastAsia="Times New Roman" w:hAnsi="Times New Roman" w:cs="Times New Roman"/>
          <w:sz w:val="24"/>
          <w:szCs w:val="24"/>
          <w:lang w:eastAsia="en-GB"/>
        </w:rPr>
        <w:fldChar w:fldCharType="end"/>
      </w:r>
      <w:r w:rsidRPr="00922C73">
        <w:rPr>
          <w:rFonts w:ascii="Times New Roman" w:eastAsia="Times New Roman" w:hAnsi="Times New Roman" w:cs="Times New Roman"/>
          <w:b/>
          <w:bCs/>
          <w:sz w:val="24"/>
          <w:szCs w:val="24"/>
          <w:lang w:eastAsia="en-GB"/>
        </w:rPr>
        <w:t>a</w:t>
      </w:r>
      <w:r w:rsidRPr="00922C73">
        <w:rPr>
          <w:rFonts w:ascii="Times New Roman" w:eastAsia="Times New Roman" w:hAnsi="Times New Roman" w:cs="Times New Roman"/>
          <w:sz w:val="24"/>
          <w:szCs w:val="24"/>
          <w:lang w:eastAsia="en-GB"/>
        </w:rPr>
        <w:t xml:space="preserve"> | TNF receptor </w:t>
      </w:r>
      <w:r w:rsidR="005A7526" w:rsidRPr="00922C73">
        <w:rPr>
          <w:rFonts w:ascii="Times New Roman" w:eastAsia="Times New Roman" w:hAnsi="Times New Roman" w:cs="Times New Roman"/>
          <w:sz w:val="24"/>
          <w:szCs w:val="24"/>
          <w:lang w:eastAsia="en-GB"/>
        </w:rPr>
        <w:t xml:space="preserve">1 </w:t>
      </w:r>
      <w:r w:rsidRPr="00922C73">
        <w:rPr>
          <w:rFonts w:ascii="Times New Roman" w:eastAsia="Times New Roman" w:hAnsi="Times New Roman" w:cs="Times New Roman"/>
          <w:sz w:val="24"/>
          <w:szCs w:val="24"/>
          <w:lang w:eastAsia="en-GB"/>
        </w:rPr>
        <w:t>is activated by soluble and transmembrane TNF</w:t>
      </w:r>
      <w:r w:rsidR="002F6711" w:rsidRPr="00922C73">
        <w:rPr>
          <w:rFonts w:ascii="Times New Roman" w:eastAsia="Times New Roman" w:hAnsi="Times New Roman" w:cs="Times New Roman"/>
          <w:sz w:val="24"/>
          <w:szCs w:val="24"/>
          <w:lang w:eastAsia="en-GB"/>
        </w:rPr>
        <w:t>α</w:t>
      </w:r>
      <w:r w:rsidR="005A7526" w:rsidRPr="00922C73">
        <w:rPr>
          <w:rFonts w:ascii="Times New Roman" w:eastAsia="Times New Roman" w:hAnsi="Times New Roman" w:cs="Times New Roman"/>
          <w:sz w:val="24"/>
          <w:szCs w:val="24"/>
          <w:lang w:eastAsia="en-GB"/>
        </w:rPr>
        <w:t xml:space="preserve"> and </w:t>
      </w:r>
      <w:r w:rsidR="002F6711" w:rsidRPr="00922C73">
        <w:rPr>
          <w:rFonts w:ascii="Times New Roman" w:eastAsia="Times New Roman" w:hAnsi="Times New Roman" w:cs="Times New Roman"/>
          <w:sz w:val="24"/>
          <w:szCs w:val="24"/>
          <w:lang w:eastAsia="en-GB"/>
        </w:rPr>
        <w:t>contains</w:t>
      </w:r>
      <w:r w:rsidRPr="00922C73">
        <w:rPr>
          <w:rFonts w:ascii="Times New Roman" w:eastAsia="Times New Roman" w:hAnsi="Times New Roman" w:cs="Times New Roman"/>
          <w:sz w:val="24"/>
          <w:szCs w:val="24"/>
          <w:lang w:eastAsia="en-GB"/>
        </w:rPr>
        <w:t xml:space="preserve"> a death domain that recruits the adaptor protein TNF</w:t>
      </w:r>
      <w:r w:rsidR="00992D8C" w:rsidRPr="00922C73">
        <w:rPr>
          <w:rFonts w:ascii="Times New Roman" w:eastAsia="Times New Roman" w:hAnsi="Times New Roman" w:cs="Times New Roman"/>
          <w:sz w:val="24"/>
          <w:szCs w:val="24"/>
          <w:lang w:eastAsia="en-GB"/>
        </w:rPr>
        <w:t xml:space="preserve"> receptor 1</w:t>
      </w:r>
      <w:r w:rsidRPr="00922C73">
        <w:rPr>
          <w:rFonts w:ascii="Times New Roman" w:eastAsia="Times New Roman" w:hAnsi="Times New Roman" w:cs="Times New Roman"/>
          <w:sz w:val="24"/>
          <w:szCs w:val="24"/>
          <w:lang w:eastAsia="en-GB"/>
        </w:rPr>
        <w:t xml:space="preserve">-associated death domain (TRADD). </w:t>
      </w:r>
      <w:r w:rsidR="00546F92" w:rsidRPr="00922C73">
        <w:rPr>
          <w:rFonts w:ascii="Times New Roman" w:eastAsia="Times New Roman" w:hAnsi="Times New Roman" w:cs="Times New Roman"/>
          <w:sz w:val="24"/>
          <w:szCs w:val="24"/>
          <w:lang w:eastAsia="en-GB"/>
        </w:rPr>
        <w:t>Activation of</w:t>
      </w:r>
      <w:r w:rsidRPr="00922C73">
        <w:rPr>
          <w:rFonts w:ascii="Times New Roman" w:eastAsia="Times New Roman" w:hAnsi="Times New Roman" w:cs="Times New Roman"/>
          <w:sz w:val="24"/>
          <w:szCs w:val="24"/>
          <w:lang w:eastAsia="en-GB"/>
        </w:rPr>
        <w:t xml:space="preserve"> TNF</w:t>
      </w:r>
      <w:r w:rsidR="0015321A" w:rsidRPr="00922C73">
        <w:rPr>
          <w:rFonts w:ascii="Times New Roman" w:eastAsia="Times New Roman" w:hAnsi="Times New Roman" w:cs="Times New Roman"/>
          <w:sz w:val="24"/>
          <w:szCs w:val="24"/>
          <w:lang w:eastAsia="en-GB"/>
        </w:rPr>
        <w:t xml:space="preserve"> receptor 1</w:t>
      </w:r>
      <w:r w:rsidRPr="00922C73">
        <w:rPr>
          <w:rFonts w:ascii="Times New Roman" w:eastAsia="Times New Roman" w:hAnsi="Times New Roman" w:cs="Times New Roman"/>
          <w:sz w:val="24"/>
          <w:szCs w:val="24"/>
          <w:lang w:eastAsia="en-GB"/>
        </w:rPr>
        <w:t xml:space="preserve"> leads to complex I, which induces inflammation, tissue degeneration, cell survival and proliferation, and the immune defence against pathogens. The formation of the complexes </w:t>
      </w:r>
      <w:proofErr w:type="spellStart"/>
      <w:r w:rsidRPr="00922C73">
        <w:rPr>
          <w:rFonts w:ascii="Times New Roman" w:eastAsia="Times New Roman" w:hAnsi="Times New Roman" w:cs="Times New Roman"/>
          <w:sz w:val="24"/>
          <w:szCs w:val="24"/>
          <w:lang w:eastAsia="en-GB"/>
        </w:rPr>
        <w:t>IIa</w:t>
      </w:r>
      <w:proofErr w:type="spellEnd"/>
      <w:r w:rsidRPr="00922C73">
        <w:rPr>
          <w:rFonts w:ascii="Times New Roman" w:eastAsia="Times New Roman" w:hAnsi="Times New Roman" w:cs="Times New Roman"/>
          <w:sz w:val="24"/>
          <w:szCs w:val="24"/>
          <w:lang w:eastAsia="en-GB"/>
        </w:rPr>
        <w:t xml:space="preserve"> and IIb results in apoptosis, whereas complex </w:t>
      </w:r>
      <w:proofErr w:type="spellStart"/>
      <w:r w:rsidRPr="00922C73">
        <w:rPr>
          <w:rFonts w:ascii="Times New Roman" w:eastAsia="Times New Roman" w:hAnsi="Times New Roman" w:cs="Times New Roman"/>
          <w:sz w:val="24"/>
          <w:szCs w:val="24"/>
          <w:lang w:eastAsia="en-GB"/>
        </w:rPr>
        <w:t>IIc</w:t>
      </w:r>
      <w:proofErr w:type="spellEnd"/>
      <w:r w:rsidRPr="00922C73">
        <w:rPr>
          <w:rFonts w:ascii="Times New Roman" w:eastAsia="Times New Roman" w:hAnsi="Times New Roman" w:cs="Times New Roman"/>
          <w:sz w:val="24"/>
          <w:szCs w:val="24"/>
          <w:lang w:eastAsia="en-GB"/>
        </w:rPr>
        <w:t xml:space="preserve"> induces necro</w:t>
      </w:r>
      <w:r w:rsidR="00156B15" w:rsidRPr="00922C73">
        <w:rPr>
          <w:rFonts w:ascii="Times New Roman" w:eastAsia="Times New Roman" w:hAnsi="Times New Roman" w:cs="Times New Roman"/>
          <w:sz w:val="24"/>
          <w:szCs w:val="24"/>
          <w:lang w:eastAsia="en-GB"/>
        </w:rPr>
        <w:t>si</w:t>
      </w:r>
      <w:r w:rsidRPr="00922C73">
        <w:rPr>
          <w:rFonts w:ascii="Times New Roman" w:eastAsia="Times New Roman" w:hAnsi="Times New Roman" w:cs="Times New Roman"/>
          <w:sz w:val="24"/>
          <w:szCs w:val="24"/>
          <w:lang w:eastAsia="en-GB"/>
        </w:rPr>
        <w:t>s and inflammation. </w:t>
      </w:r>
    </w:p>
    <w:p w14:paraId="4473E447" w14:textId="65C00FBB" w:rsidR="00047800" w:rsidRPr="00922C73" w:rsidRDefault="00077D82" w:rsidP="00D44F0B">
      <w:pPr>
        <w:shd w:val="clear" w:color="auto" w:fill="FFFFFF"/>
        <w:spacing w:before="200" w:line="240" w:lineRule="auto"/>
        <w:jc w:val="left"/>
        <w:rPr>
          <w:rFonts w:ascii="Times New Roman" w:eastAsia="Times New Roman" w:hAnsi="Times New Roman" w:cs="Times New Roman"/>
          <w:sz w:val="24"/>
          <w:szCs w:val="24"/>
          <w:lang w:eastAsia="en-GB"/>
        </w:rPr>
      </w:pPr>
      <w:r w:rsidRPr="00922C73">
        <w:rPr>
          <w:rFonts w:ascii="Times New Roman" w:eastAsia="Times New Roman" w:hAnsi="Times New Roman" w:cs="Times New Roman"/>
          <w:b/>
          <w:bCs/>
          <w:sz w:val="24"/>
          <w:szCs w:val="24"/>
          <w:lang w:eastAsia="en-GB"/>
        </w:rPr>
        <w:t>b</w:t>
      </w:r>
      <w:r w:rsidRPr="00922C73">
        <w:rPr>
          <w:rFonts w:ascii="Times New Roman" w:eastAsia="Times New Roman" w:hAnsi="Times New Roman" w:cs="Times New Roman"/>
          <w:sz w:val="24"/>
          <w:szCs w:val="24"/>
          <w:lang w:eastAsia="en-GB"/>
        </w:rPr>
        <w:t xml:space="preserve"> | </w:t>
      </w:r>
      <w:r w:rsidR="00F060DE" w:rsidRPr="00922C73">
        <w:rPr>
          <w:rFonts w:ascii="Times New Roman" w:eastAsia="Times New Roman" w:hAnsi="Times New Roman" w:cs="Times New Roman"/>
          <w:sz w:val="24"/>
          <w:szCs w:val="24"/>
          <w:lang w:eastAsia="en-GB"/>
        </w:rPr>
        <w:t xml:space="preserve">TNF receptor </w:t>
      </w:r>
      <w:r w:rsidR="00F56B54" w:rsidRPr="00922C73">
        <w:rPr>
          <w:rFonts w:ascii="Times New Roman" w:eastAsia="Times New Roman" w:hAnsi="Times New Roman" w:cs="Times New Roman"/>
          <w:sz w:val="24"/>
          <w:szCs w:val="24"/>
          <w:lang w:eastAsia="en-GB"/>
        </w:rPr>
        <w:t xml:space="preserve">2 </w:t>
      </w:r>
      <w:r w:rsidRPr="00922C73">
        <w:rPr>
          <w:rFonts w:ascii="Times New Roman" w:eastAsia="Times New Roman" w:hAnsi="Times New Roman" w:cs="Times New Roman"/>
          <w:sz w:val="24"/>
          <w:szCs w:val="24"/>
          <w:lang w:eastAsia="en-GB"/>
        </w:rPr>
        <w:t>is activated primarily by transmembrane TNF</w:t>
      </w:r>
      <w:r w:rsidR="00837DF2" w:rsidRPr="00922C73">
        <w:rPr>
          <w:rFonts w:ascii="Times New Roman" w:eastAsia="Times New Roman" w:hAnsi="Times New Roman" w:cs="Times New Roman"/>
          <w:sz w:val="24"/>
          <w:szCs w:val="24"/>
          <w:lang w:eastAsia="en-GB"/>
        </w:rPr>
        <w:t>α</w:t>
      </w:r>
      <w:r w:rsidRPr="00922C73">
        <w:rPr>
          <w:rFonts w:ascii="Times New Roman" w:eastAsia="Times New Roman" w:hAnsi="Times New Roman" w:cs="Times New Roman"/>
          <w:sz w:val="24"/>
          <w:szCs w:val="24"/>
          <w:lang w:eastAsia="en-GB"/>
        </w:rPr>
        <w:t>. TNF</w:t>
      </w:r>
      <w:r w:rsidR="0036347A" w:rsidRPr="00922C73">
        <w:rPr>
          <w:rFonts w:ascii="Times New Roman" w:eastAsia="Times New Roman" w:hAnsi="Times New Roman" w:cs="Times New Roman"/>
          <w:sz w:val="24"/>
          <w:szCs w:val="24"/>
          <w:lang w:eastAsia="en-GB"/>
        </w:rPr>
        <w:t xml:space="preserve"> receptor 2</w:t>
      </w:r>
      <w:r w:rsidRPr="00922C73">
        <w:rPr>
          <w:rFonts w:ascii="Times New Roman" w:eastAsia="Times New Roman" w:hAnsi="Times New Roman" w:cs="Times New Roman"/>
          <w:sz w:val="24"/>
          <w:szCs w:val="24"/>
          <w:lang w:eastAsia="en-GB"/>
        </w:rPr>
        <w:t xml:space="preserve"> recruits TNFR-associated factor 2 (TRAF2), triggering the formation of complex I</w:t>
      </w:r>
      <w:r w:rsidR="0036347A" w:rsidRPr="00922C73">
        <w:rPr>
          <w:rFonts w:ascii="Times New Roman" w:eastAsia="Times New Roman" w:hAnsi="Times New Roman" w:cs="Times New Roman"/>
          <w:sz w:val="24"/>
          <w:szCs w:val="24"/>
          <w:lang w:eastAsia="en-GB"/>
        </w:rPr>
        <w:t xml:space="preserve">, which </w:t>
      </w:r>
      <w:r w:rsidRPr="00922C73">
        <w:rPr>
          <w:rFonts w:ascii="Times New Roman" w:eastAsia="Times New Roman" w:hAnsi="Times New Roman" w:cs="Times New Roman"/>
          <w:sz w:val="24"/>
          <w:szCs w:val="24"/>
          <w:lang w:eastAsia="en-GB"/>
        </w:rPr>
        <w:t xml:space="preserve">primarily </w:t>
      </w:r>
      <w:r w:rsidR="000258C8" w:rsidRPr="00922C73">
        <w:rPr>
          <w:rFonts w:ascii="Times New Roman" w:eastAsia="Times New Roman" w:hAnsi="Times New Roman" w:cs="Times New Roman"/>
          <w:sz w:val="24"/>
          <w:szCs w:val="24"/>
          <w:lang w:eastAsia="en-GB"/>
        </w:rPr>
        <w:t xml:space="preserve">mediates </w:t>
      </w:r>
      <w:r w:rsidRPr="00922C73">
        <w:rPr>
          <w:rFonts w:ascii="Times New Roman" w:eastAsia="Times New Roman" w:hAnsi="Times New Roman" w:cs="Times New Roman"/>
          <w:sz w:val="24"/>
          <w:szCs w:val="24"/>
          <w:lang w:eastAsia="en-GB"/>
        </w:rPr>
        <w:t>homeosta</w:t>
      </w:r>
      <w:r w:rsidR="00156B15" w:rsidRPr="00922C73">
        <w:rPr>
          <w:rFonts w:ascii="Times New Roman" w:eastAsia="Times New Roman" w:hAnsi="Times New Roman" w:cs="Times New Roman"/>
          <w:sz w:val="24"/>
          <w:szCs w:val="24"/>
          <w:lang w:eastAsia="en-GB"/>
        </w:rPr>
        <w:t>sis</w:t>
      </w:r>
      <w:r w:rsidRPr="00922C73">
        <w:rPr>
          <w:rFonts w:ascii="Times New Roman" w:eastAsia="Times New Roman" w:hAnsi="Times New Roman" w:cs="Times New Roman"/>
          <w:sz w:val="24"/>
          <w:szCs w:val="24"/>
          <w:lang w:eastAsia="en-GB"/>
        </w:rPr>
        <w:t xml:space="preserve"> including tissue regeneration, cell proliferation and cell survival. </w:t>
      </w:r>
      <w:r w:rsidR="000258C8" w:rsidRPr="00922C73">
        <w:rPr>
          <w:rFonts w:ascii="Times New Roman" w:eastAsia="Times New Roman" w:hAnsi="Times New Roman" w:cs="Times New Roman"/>
          <w:sz w:val="24"/>
          <w:szCs w:val="24"/>
          <w:lang w:eastAsia="en-GB"/>
        </w:rPr>
        <w:t>However, t</w:t>
      </w:r>
      <w:r w:rsidRPr="00922C73">
        <w:rPr>
          <w:rFonts w:ascii="Times New Roman" w:eastAsia="Times New Roman" w:hAnsi="Times New Roman" w:cs="Times New Roman"/>
          <w:sz w:val="24"/>
          <w:szCs w:val="24"/>
          <w:lang w:eastAsia="en-GB"/>
        </w:rPr>
        <w:t xml:space="preserve">his pathway </w:t>
      </w:r>
      <w:r w:rsidR="009B50EF" w:rsidRPr="00922C73">
        <w:rPr>
          <w:rFonts w:ascii="Times New Roman" w:eastAsia="Times New Roman" w:hAnsi="Times New Roman" w:cs="Times New Roman"/>
          <w:sz w:val="24"/>
          <w:szCs w:val="24"/>
          <w:lang w:eastAsia="en-GB"/>
        </w:rPr>
        <w:t xml:space="preserve">can </w:t>
      </w:r>
      <w:r w:rsidRPr="00922C73">
        <w:rPr>
          <w:rFonts w:ascii="Times New Roman" w:eastAsia="Times New Roman" w:hAnsi="Times New Roman" w:cs="Times New Roman"/>
          <w:sz w:val="24"/>
          <w:szCs w:val="24"/>
          <w:lang w:eastAsia="en-GB"/>
        </w:rPr>
        <w:t>also ini</w:t>
      </w:r>
      <w:r w:rsidR="009B50EF" w:rsidRPr="00922C73">
        <w:rPr>
          <w:rFonts w:ascii="Times New Roman" w:eastAsia="Times New Roman" w:hAnsi="Times New Roman" w:cs="Times New Roman"/>
          <w:sz w:val="24"/>
          <w:szCs w:val="24"/>
          <w:lang w:eastAsia="en-GB"/>
        </w:rPr>
        <w:t>tiate</w:t>
      </w:r>
      <w:r w:rsidRPr="00922C73">
        <w:rPr>
          <w:rFonts w:ascii="Times New Roman" w:eastAsia="Times New Roman" w:hAnsi="Times New Roman" w:cs="Times New Roman"/>
          <w:sz w:val="24"/>
          <w:szCs w:val="24"/>
          <w:lang w:eastAsia="en-GB"/>
        </w:rPr>
        <w:t xml:space="preserve"> inflammat</w:t>
      </w:r>
      <w:r w:rsidR="009B50EF" w:rsidRPr="00922C73">
        <w:rPr>
          <w:rFonts w:ascii="Times New Roman" w:eastAsia="Times New Roman" w:hAnsi="Times New Roman" w:cs="Times New Roman"/>
          <w:sz w:val="24"/>
          <w:szCs w:val="24"/>
          <w:lang w:eastAsia="en-GB"/>
        </w:rPr>
        <w:t>ion and</w:t>
      </w:r>
      <w:r w:rsidRPr="00922C73">
        <w:rPr>
          <w:rFonts w:ascii="Times New Roman" w:eastAsia="Times New Roman" w:hAnsi="Times New Roman" w:cs="Times New Roman"/>
          <w:sz w:val="24"/>
          <w:szCs w:val="24"/>
          <w:lang w:eastAsia="en-GB"/>
        </w:rPr>
        <w:t xml:space="preserve"> host defence against pathogens.</w:t>
      </w:r>
    </w:p>
    <w:p w14:paraId="57358E13" w14:textId="7D5AF7A4" w:rsidR="00903E5F" w:rsidRPr="00922C73" w:rsidRDefault="00903E5F" w:rsidP="00D44F0B">
      <w:pPr>
        <w:spacing w:line="240" w:lineRule="auto"/>
        <w:rPr>
          <w:rFonts w:ascii="Calibri" w:hAnsi="Calibri" w:cs="Calibri"/>
          <w:i/>
          <w:iCs/>
          <w:sz w:val="24"/>
          <w:szCs w:val="24"/>
        </w:rPr>
      </w:pPr>
      <w:r w:rsidRPr="00922C73">
        <w:rPr>
          <w:rFonts w:ascii="Times New Roman" w:hAnsi="Times New Roman" w:cs="Times New Roman"/>
          <w:i/>
          <w:iCs/>
          <w:sz w:val="24"/>
          <w:szCs w:val="24"/>
        </w:rPr>
        <w:t>(TNF</w:t>
      </w:r>
      <w:r w:rsidRPr="00922C73">
        <w:rPr>
          <w:rFonts w:ascii="Calibri" w:hAnsi="Calibri" w:cs="Calibri"/>
          <w:i/>
          <w:iCs/>
          <w:sz w:val="24"/>
          <w:szCs w:val="24"/>
        </w:rPr>
        <w:t>α</w:t>
      </w:r>
      <w:r w:rsidRPr="00922C73">
        <w:rPr>
          <w:rFonts w:ascii="Times New Roman" w:hAnsi="Times New Roman" w:cs="Times New Roman"/>
          <w:i/>
          <w:iCs/>
          <w:sz w:val="24"/>
          <w:szCs w:val="24"/>
        </w:rPr>
        <w:t>: tumour necrosis factor-</w:t>
      </w:r>
      <w:r w:rsidRPr="00922C73">
        <w:rPr>
          <w:rFonts w:ascii="Calibri" w:hAnsi="Calibri" w:cs="Calibri"/>
          <w:i/>
          <w:iCs/>
          <w:sz w:val="24"/>
          <w:szCs w:val="24"/>
        </w:rPr>
        <w:t>α</w:t>
      </w:r>
      <w:r w:rsidR="005A7526" w:rsidRPr="00922C73">
        <w:rPr>
          <w:rFonts w:ascii="Calibri" w:hAnsi="Calibri" w:cs="Calibri"/>
          <w:i/>
          <w:iCs/>
          <w:sz w:val="24"/>
          <w:szCs w:val="24"/>
        </w:rPr>
        <w:t>)</w:t>
      </w:r>
    </w:p>
    <w:p w14:paraId="71116CB0" w14:textId="77777777" w:rsidR="00D44F0B" w:rsidRPr="00922C73" w:rsidRDefault="00D44F0B" w:rsidP="00D44F0B">
      <w:pPr>
        <w:spacing w:line="240" w:lineRule="auto"/>
        <w:rPr>
          <w:rFonts w:ascii="Calibri" w:hAnsi="Calibri" w:cs="Calibri"/>
          <w:i/>
          <w:iCs/>
          <w:sz w:val="24"/>
          <w:szCs w:val="24"/>
        </w:rPr>
      </w:pPr>
    </w:p>
    <w:p w14:paraId="26094355" w14:textId="77777777" w:rsidR="00D44F0B" w:rsidRPr="00922C73" w:rsidRDefault="00D44F0B" w:rsidP="00D44F0B">
      <w:pPr>
        <w:spacing w:line="240" w:lineRule="auto"/>
        <w:rPr>
          <w:rFonts w:ascii="Calibri" w:hAnsi="Calibri" w:cs="Calibri"/>
          <w:i/>
          <w:iCs/>
          <w:sz w:val="24"/>
          <w:szCs w:val="24"/>
        </w:rPr>
      </w:pPr>
    </w:p>
    <w:p w14:paraId="72C5D345" w14:textId="77777777" w:rsidR="00D44F0B" w:rsidRPr="00922C73" w:rsidRDefault="00D44F0B" w:rsidP="00D44F0B">
      <w:pPr>
        <w:spacing w:line="240" w:lineRule="auto"/>
        <w:rPr>
          <w:rFonts w:ascii="Calibri" w:hAnsi="Calibri" w:cs="Calibri"/>
          <w:i/>
          <w:iCs/>
          <w:sz w:val="24"/>
          <w:szCs w:val="24"/>
        </w:rPr>
      </w:pPr>
    </w:p>
    <w:p w14:paraId="4FD9186D" w14:textId="77777777" w:rsidR="00D44F0B" w:rsidRPr="00922C73" w:rsidRDefault="00D44F0B" w:rsidP="00F64D9D">
      <w:pPr>
        <w:pStyle w:val="Heading3"/>
        <w:spacing w:line="480" w:lineRule="auto"/>
        <w:rPr>
          <w:rFonts w:ascii="Times New Roman" w:hAnsi="Times New Roman" w:cs="Times New Roman"/>
          <w:b/>
          <w:bCs/>
        </w:rPr>
      </w:pPr>
    </w:p>
    <w:p w14:paraId="0CC68E48" w14:textId="77777777" w:rsidR="00D44F0B" w:rsidRPr="00922C73" w:rsidRDefault="00D44F0B" w:rsidP="00D44F0B"/>
    <w:p w14:paraId="7F44DE88" w14:textId="77777777" w:rsidR="00D44F0B" w:rsidRPr="00922C73" w:rsidRDefault="00D44F0B" w:rsidP="00D44F0B"/>
    <w:p w14:paraId="075E9B5F" w14:textId="36BB7089" w:rsidR="003778D2" w:rsidRPr="00922C73" w:rsidRDefault="00AD5A4F" w:rsidP="00F64D9D">
      <w:pPr>
        <w:pStyle w:val="Heading3"/>
        <w:spacing w:line="480" w:lineRule="auto"/>
        <w:rPr>
          <w:rFonts w:ascii="Times New Roman" w:hAnsi="Times New Roman" w:cs="Times New Roman"/>
          <w:b/>
          <w:bCs/>
        </w:rPr>
      </w:pPr>
      <w:bookmarkStart w:id="27" w:name="_Toc151020455"/>
      <w:r w:rsidRPr="00922C73">
        <w:rPr>
          <w:rFonts w:ascii="Times New Roman" w:hAnsi="Times New Roman" w:cs="Times New Roman"/>
          <w:b/>
          <w:bCs/>
        </w:rPr>
        <w:lastRenderedPageBreak/>
        <w:t>1.1.6</w:t>
      </w:r>
      <w:r w:rsidR="003778D2" w:rsidRPr="00922C73">
        <w:rPr>
          <w:rFonts w:ascii="Times New Roman" w:hAnsi="Times New Roman" w:cs="Times New Roman"/>
          <w:b/>
          <w:bCs/>
        </w:rPr>
        <w:t xml:space="preserve"> Infliximab</w:t>
      </w:r>
      <w:bookmarkEnd w:id="24"/>
      <w:bookmarkEnd w:id="27"/>
      <w:r w:rsidR="003778D2" w:rsidRPr="00922C73">
        <w:rPr>
          <w:rFonts w:ascii="Times New Roman" w:hAnsi="Times New Roman" w:cs="Times New Roman"/>
          <w:b/>
          <w:bCs/>
        </w:rPr>
        <w:t xml:space="preserve"> </w:t>
      </w:r>
    </w:p>
    <w:p w14:paraId="3B2B7ABE" w14:textId="5463067C" w:rsidR="003C43BF" w:rsidRPr="00922C73" w:rsidRDefault="00307650"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Infliximab was the first biologic</w:t>
      </w:r>
      <w:r w:rsidR="008C3D05" w:rsidRPr="00922C73">
        <w:rPr>
          <w:rFonts w:ascii="Times New Roman" w:hAnsi="Times New Roman" w:cs="Times New Roman"/>
          <w:sz w:val="24"/>
          <w:szCs w:val="24"/>
        </w:rPr>
        <w:t>al therapy</w:t>
      </w:r>
      <w:r w:rsidRPr="00922C73">
        <w:rPr>
          <w:rFonts w:ascii="Times New Roman" w:hAnsi="Times New Roman" w:cs="Times New Roman"/>
          <w:sz w:val="24"/>
          <w:szCs w:val="24"/>
        </w:rPr>
        <w:t xml:space="preserve"> to be approved for the treatment of IBD in 1998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{"citationItems":[{"id":"ITEM-1","itemData":{"DOI":"10.1097/00054725-199811000-00014","ISSN":"1078-0998","author":[{"dropping-particle":"","family":"Kornbluth","given":"Asher","non-dropping-particle":"","parse-names":false,"suffix":""}],"container-title":"Inflammatory Bowel Diseases","id":"ITEM-1","issue":"4","issued":{"date-parts":[["1998","11"]]},"page":"328-329","title":"Infliximab Approved for Use in Crohnʼs Disease: A Report on the FDA GI Advisory Committee Conference","type":"article-journal","volume":"4"},"uris":["http://www.mendeley.com/documents/?uuid=f77252a7-2dc7-4ec9-825c-a7e27996b17f"]}],"mendeley":{"formattedCitation":"&lt;sup&gt;56&lt;/sup&gt;","plainTextFormattedCitation":"56","previouslyFormattedCitation":"&lt;sup&gt;56&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56</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It is e</w:t>
      </w:r>
      <w:r w:rsidR="00820393" w:rsidRPr="00922C73">
        <w:rPr>
          <w:rFonts w:ascii="Times New Roman" w:hAnsi="Times New Roman" w:cs="Times New Roman"/>
          <w:sz w:val="24"/>
          <w:szCs w:val="24"/>
        </w:rPr>
        <w:t xml:space="preserve">ffective at inducing and mainlining remission in UC and CD and </w:t>
      </w:r>
      <w:r w:rsidR="008F4AD5" w:rsidRPr="00922C73">
        <w:rPr>
          <w:rFonts w:ascii="Times New Roman" w:hAnsi="Times New Roman" w:cs="Times New Roman"/>
          <w:sz w:val="24"/>
          <w:szCs w:val="24"/>
        </w:rPr>
        <w:t xml:space="preserve">remains the only monoclonal antibody </w:t>
      </w:r>
      <w:r w:rsidRPr="00922C73">
        <w:rPr>
          <w:rFonts w:ascii="Times New Roman" w:hAnsi="Times New Roman" w:cs="Times New Roman"/>
          <w:sz w:val="24"/>
          <w:szCs w:val="24"/>
        </w:rPr>
        <w:t>licensed for the treatment of</w:t>
      </w:r>
      <w:r w:rsidR="00820393" w:rsidRPr="00922C73">
        <w:rPr>
          <w:rFonts w:ascii="Times New Roman" w:hAnsi="Times New Roman" w:cs="Times New Roman"/>
          <w:sz w:val="24"/>
          <w:szCs w:val="24"/>
        </w:rPr>
        <w:t xml:space="preserve"> acute severe UC</w:t>
      </w:r>
      <w:r w:rsidR="00620D36" w:rsidRPr="00922C73">
        <w:rPr>
          <w:rFonts w:ascii="Times New Roman" w:hAnsi="Times New Roman" w:cs="Times New Roman"/>
          <w:sz w:val="24"/>
          <w:szCs w:val="24"/>
        </w:rPr>
        <w:t xml:space="preserve"> </w:t>
      </w:r>
      <w:r w:rsidR="00620D3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{"citationItems":[{"id":"ITEM-1","itemData":{"abstract":"The recommendations in this guidance represent the view of NICE, arrived at after careful consideration of the evidence available. When exercising their judgement, health professionals are expected to take this guidance fully into account, alongside the individual needs, preferences and values of their patients. The application of the recommendations in this guidance are at the discretion of health professionals and their individual patients and do not override the responsibility of healthcare professionals to make decisions appropriate to the circumstances of the individual patient, in consultation with the patient and/or their carer or guardian. Commissioners and/or providers have a responsibility to provide the funding required to enable the guidance to be applied when individual health professionals and their patients wish to use it, in accordance with the NHS Constitution. They should do so in light of their duties to have due regard to the need to eliminate unlawful discrimination, to advance equality of opportunity and to reduce health inequalities. Infliximab and adalimumab for the treatment of Crohn's disease (TA187)","author":[{"dropping-particle":"","family":"National Institute for Health and Care Excellence","given":"","non-dropping-particle":"","parse-names":false,"suffix":""}],"id":"ITEM-1","issue":"May","issued":{"date-parts":[["2013"]]},"page":"1-44","title":"Infliximab and adalimumab for the treatment of Crohn ' s disease [TA187]","type":"article-journal"},"uris":["http://www.mendeley.com/documents/?uuid=ed31d8aa-605e-49a6-ae75-28b32d4485c4"]}],"mendeley":{"formattedCitation":"&lt;sup&gt;22&lt;/sup&gt;","plainTextFormattedCitation":"22","previouslyFormattedCitation":"&lt;sup&gt;22&lt;/sup&gt;"},"properties":{"noteIndex":0},"schema":"https://github.com/citation-style-language/schema/raw/master/csl-citation.json"}</w:instrText>
      </w:r>
      <w:r w:rsidR="00620D3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22</w:t>
      </w:r>
      <w:r w:rsidR="00620D36" w:rsidRPr="00922C73">
        <w:rPr>
          <w:rFonts w:ascii="Times New Roman" w:hAnsi="Times New Roman" w:cs="Times New Roman"/>
          <w:sz w:val="24"/>
          <w:szCs w:val="24"/>
        </w:rPr>
        <w:fldChar w:fldCharType="end"/>
      </w:r>
      <w:r w:rsidR="00820393"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p>
    <w:p w14:paraId="2D979AB8" w14:textId="77777777" w:rsidR="003C43BF" w:rsidRPr="00922C73" w:rsidRDefault="003C43BF" w:rsidP="00F64D9D">
      <w:pPr>
        <w:autoSpaceDE w:val="0"/>
        <w:autoSpaceDN w:val="0"/>
        <w:adjustRightInd w:val="0"/>
        <w:spacing w:after="0" w:line="480" w:lineRule="auto"/>
        <w:rPr>
          <w:rFonts w:ascii="Times New Roman" w:hAnsi="Times New Roman" w:cs="Times New Roman"/>
          <w:sz w:val="24"/>
          <w:szCs w:val="24"/>
        </w:rPr>
      </w:pPr>
    </w:p>
    <w:p w14:paraId="5C74AA24" w14:textId="77777777" w:rsidR="003C43BF" w:rsidRPr="00922C73" w:rsidRDefault="003C43BF" w:rsidP="00F64D9D">
      <w:pPr>
        <w:autoSpaceDE w:val="0"/>
        <w:autoSpaceDN w:val="0"/>
        <w:adjustRightInd w:val="0"/>
        <w:spacing w:after="0" w:line="480" w:lineRule="auto"/>
        <w:rPr>
          <w:rFonts w:ascii="Times New Roman" w:hAnsi="Times New Roman" w:cs="Times New Roman"/>
          <w:i/>
          <w:iCs/>
          <w:sz w:val="24"/>
          <w:szCs w:val="24"/>
        </w:rPr>
      </w:pPr>
      <w:r w:rsidRPr="00922C73">
        <w:rPr>
          <w:rFonts w:ascii="Times New Roman" w:hAnsi="Times New Roman" w:cs="Times New Roman"/>
          <w:i/>
          <w:iCs/>
          <w:sz w:val="24"/>
          <w:szCs w:val="24"/>
        </w:rPr>
        <w:t>Structure</w:t>
      </w:r>
    </w:p>
    <w:p w14:paraId="537B38FE" w14:textId="6F44CE34" w:rsidR="003778D2" w:rsidRPr="00922C73" w:rsidRDefault="003778D2"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Infliximab</w:t>
      </w:r>
      <w:r w:rsidR="00307650" w:rsidRPr="00922C73">
        <w:rPr>
          <w:rFonts w:ascii="Times New Roman" w:hAnsi="Times New Roman" w:cs="Times New Roman"/>
          <w:sz w:val="24"/>
          <w:szCs w:val="24"/>
        </w:rPr>
        <w:t xml:space="preserve"> is</w:t>
      </w:r>
      <w:r w:rsidRPr="00922C73">
        <w:rPr>
          <w:rFonts w:ascii="Times New Roman" w:hAnsi="Times New Roman" w:cs="Times New Roman"/>
          <w:sz w:val="24"/>
          <w:szCs w:val="24"/>
        </w:rPr>
        <w:t xml:space="preserve"> a chimeric monoclonal IgG1 antibody to </w:t>
      </w:r>
      <w:r w:rsidR="008A4026" w:rsidRPr="00922C73">
        <w:rPr>
          <w:rFonts w:ascii="Times New Roman" w:hAnsi="Times New Roman" w:cs="Times New Roman"/>
          <w:sz w:val="24"/>
          <w:szCs w:val="24"/>
        </w:rPr>
        <w:t xml:space="preserve">soluble and transmembrane </w:t>
      </w:r>
      <w:r w:rsidRPr="00922C73">
        <w:rPr>
          <w:rFonts w:ascii="Times New Roman" w:hAnsi="Times New Roman" w:cs="Times New Roman"/>
          <w:sz w:val="24"/>
          <w:szCs w:val="24"/>
        </w:rPr>
        <w:t>TNFα</w:t>
      </w:r>
      <w:r w:rsidR="00307650" w:rsidRPr="00922C73">
        <w:rPr>
          <w:rFonts w:ascii="Times New Roman" w:hAnsi="Times New Roman" w:cs="Times New Roman"/>
          <w:sz w:val="24"/>
          <w:szCs w:val="24"/>
        </w:rPr>
        <w:t>. It</w:t>
      </w:r>
      <w:r w:rsidRPr="00922C73">
        <w:rPr>
          <w:rFonts w:ascii="Times New Roman" w:hAnsi="Times New Roman" w:cs="Times New Roman"/>
          <w:sz w:val="24"/>
          <w:szCs w:val="24"/>
        </w:rPr>
        <w:t xml:space="preserve"> is composed of murine derived amino acids (</w:t>
      </w:r>
      <w:r w:rsidRPr="00922C73">
        <w:rPr>
          <w:rFonts w:ascii="Cambria Math" w:hAnsi="Cambria Math" w:cs="Cambria Math"/>
          <w:kern w:val="24"/>
          <w:sz w:val="24"/>
          <w:szCs w:val="24"/>
        </w:rPr>
        <w:t>∼</w:t>
      </w:r>
      <w:r w:rsidRPr="00922C73">
        <w:rPr>
          <w:rFonts w:ascii="Times New Roman" w:hAnsi="Times New Roman" w:cs="Times New Roman"/>
          <w:kern w:val="24"/>
          <w:sz w:val="24"/>
          <w:szCs w:val="24"/>
        </w:rPr>
        <w:t xml:space="preserve"> 30% ) </w:t>
      </w:r>
      <w:r w:rsidRPr="00922C73">
        <w:rPr>
          <w:rFonts w:ascii="Times New Roman" w:hAnsi="Times New Roman" w:cs="Times New Roman"/>
          <w:sz w:val="24"/>
          <w:szCs w:val="24"/>
        </w:rPr>
        <w:t xml:space="preserve">at the variable Fab region </w:t>
      </w:r>
      <w:r w:rsidR="00C729C3" w:rsidRPr="00922C73">
        <w:rPr>
          <w:rFonts w:ascii="Times New Roman" w:hAnsi="Times New Roman" w:cs="Times New Roman"/>
          <w:sz w:val="24"/>
          <w:szCs w:val="24"/>
        </w:rPr>
        <w:t>grafted onto</w:t>
      </w:r>
      <w:r w:rsidRPr="00922C73">
        <w:rPr>
          <w:rFonts w:ascii="Times New Roman" w:hAnsi="Times New Roman" w:cs="Times New Roman"/>
          <w:sz w:val="24"/>
          <w:szCs w:val="24"/>
        </w:rPr>
        <w:t xml:space="preserve"> </w:t>
      </w:r>
      <w:r w:rsidR="00C729C3" w:rsidRPr="00922C73">
        <w:rPr>
          <w:rFonts w:ascii="Times New Roman" w:hAnsi="Times New Roman" w:cs="Times New Roman"/>
          <w:sz w:val="24"/>
          <w:szCs w:val="24"/>
        </w:rPr>
        <w:t>an</w:t>
      </w:r>
      <w:r w:rsidRPr="00922C73">
        <w:rPr>
          <w:rFonts w:ascii="Times New Roman" w:hAnsi="Times New Roman" w:cs="Times New Roman"/>
          <w:sz w:val="24"/>
          <w:szCs w:val="24"/>
        </w:rPr>
        <w:t xml:space="preserve"> antibody composed of human derived amino acids (</w:t>
      </w:r>
      <w:r w:rsidRPr="00922C73">
        <w:rPr>
          <w:rFonts w:ascii="Cambria Math" w:hAnsi="Cambria Math" w:cs="Cambria Math"/>
          <w:kern w:val="24"/>
          <w:sz w:val="24"/>
          <w:szCs w:val="24"/>
        </w:rPr>
        <w:t>∼</w:t>
      </w:r>
      <w:r w:rsidRPr="00922C73">
        <w:rPr>
          <w:rFonts w:ascii="Times New Roman" w:hAnsi="Times New Roman" w:cs="Times New Roman"/>
          <w:kern w:val="24"/>
          <w:sz w:val="24"/>
          <w:szCs w:val="24"/>
        </w:rPr>
        <w:t xml:space="preserve"> 70%) </w:t>
      </w:r>
      <w:r w:rsidRPr="00922C73">
        <w:rPr>
          <w:rFonts w:ascii="Times New Roman" w:hAnsi="Times New Roman" w:cs="Times New Roman"/>
          <w:kern w:val="24"/>
          <w:sz w:val="24"/>
          <w:szCs w:val="24"/>
        </w:rPr>
        <w:fldChar w:fldCharType="begin" w:fldLock="1"/>
      </w:r>
      <w:r w:rsidR="00DD0F87" w:rsidRPr="00922C73">
        <w:rPr>
          <w:rFonts w:ascii="Times New Roman" w:hAnsi="Times New Roman" w:cs="Times New Roman"/>
          <w:kern w:val="24"/>
          <w:sz w:val="24"/>
          <w:szCs w:val="24"/>
        </w:rPr>
        <w:instrText>ADDIN CSL_CITATION {"citationItems":[{"id":"ITEM-1","itemData":{"DOI":"10.4321/s1130-01082011000400008","ISSN":"11300108","PMID":"21526876","abstract":"EPAR","author":[{"dropping-particle":"","family":"Lourdes Ruiz-Rebollo","given":"M.","non-dropping-particle":"","parse-names":false,"suffix":""},{"dropping-particle":"","family":"Lourdes del-Olmo-Martínez","given":"M.","non-dropping-particle":"","parse-names":false,"suffix":""},{"dropping-particle":"","family":"Macho-Conesa","given":"Ana","non-dropping-particle":"","parse-names":false,"suffix":""},{"dropping-particle":"","family":"Gómez-López","given":"Juan Ramón","non-dropping-particle":"","parse-names":false,"suffix":""},{"dropping-particle":"","family":"Álvarez-Quiñones","given":"María","non-dropping-particle":"","parse-names":false,"suffix":""},{"dropping-particle":"","family":"González","given":"José Manuel","non-dropping-particle":"","parse-names":false,"suffix":""}],"container-title":"Revista Espanola de Enfermedades Digestivas","id":"ITEM-1","issue":"4","issued":{"date-parts":[["2011","4"]]},"page":"211-212","title":"Crohn's disease presenting as pyloric stenosis","type":"article-journal","volume":"103"},"uris":["http://www.mendeley.com/documents/?uuid=c9c9a8aa-8993-4c86-b3a7-20eb1a8974aa"]}],"mendeley":{"formattedCitation":"&lt;sup&gt;57&lt;/sup&gt;","plainTextFormattedCitation":"57","previouslyFormattedCitation":"&lt;sup&gt;57&lt;/sup&gt;"},"properties":{"noteIndex":0},"schema":"https://github.com/citation-style-language/schema/raw/master/csl-citation.json"}</w:instrText>
      </w:r>
      <w:r w:rsidRPr="00922C73">
        <w:rPr>
          <w:rFonts w:ascii="Times New Roman" w:hAnsi="Times New Roman" w:cs="Times New Roman"/>
          <w:kern w:val="24"/>
          <w:sz w:val="24"/>
          <w:szCs w:val="24"/>
        </w:rPr>
        <w:fldChar w:fldCharType="separate"/>
      </w:r>
      <w:r w:rsidR="00A00D49" w:rsidRPr="00922C73">
        <w:rPr>
          <w:rFonts w:ascii="Times New Roman" w:hAnsi="Times New Roman" w:cs="Times New Roman"/>
          <w:noProof/>
          <w:kern w:val="24"/>
          <w:sz w:val="24"/>
          <w:szCs w:val="24"/>
          <w:vertAlign w:val="superscript"/>
        </w:rPr>
        <w:t>57</w:t>
      </w:r>
      <w:r w:rsidRPr="00922C73">
        <w:rPr>
          <w:rFonts w:ascii="Times New Roman" w:hAnsi="Times New Roman" w:cs="Times New Roman"/>
          <w:kern w:val="24"/>
          <w:sz w:val="24"/>
          <w:szCs w:val="24"/>
        </w:rPr>
        <w:fldChar w:fldCharType="end"/>
      </w:r>
      <w:r w:rsidRPr="00922C73">
        <w:rPr>
          <w:rFonts w:ascii="Times New Roman" w:hAnsi="Times New Roman" w:cs="Times New Roman"/>
          <w:sz w:val="24"/>
          <w:szCs w:val="24"/>
        </w:rPr>
        <w:t xml:space="preserve">. </w:t>
      </w:r>
    </w:p>
    <w:p w14:paraId="39464BEE" w14:textId="77777777" w:rsidR="003778D2" w:rsidRPr="00922C73" w:rsidRDefault="003778D2" w:rsidP="00F64D9D">
      <w:pPr>
        <w:spacing w:line="480" w:lineRule="auto"/>
        <w:rPr>
          <w:rFonts w:ascii="Times New Roman" w:hAnsi="Times New Roman" w:cs="Times New Roman"/>
          <w:sz w:val="24"/>
          <w:szCs w:val="24"/>
        </w:rPr>
      </w:pPr>
    </w:p>
    <w:p w14:paraId="4D14BD50" w14:textId="2694D8C1" w:rsidR="003C43BF" w:rsidRPr="00922C73" w:rsidRDefault="003C43BF" w:rsidP="00F64D9D">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Mechanism of action</w:t>
      </w:r>
    </w:p>
    <w:p w14:paraId="1791BCB8" w14:textId="5B6F4C57" w:rsidR="00D02904" w:rsidRPr="00922C73" w:rsidRDefault="003778D2" w:rsidP="00D02904">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Infliximab</w:t>
      </w:r>
      <w:r w:rsidR="003F1D76" w:rsidRPr="00922C73">
        <w:rPr>
          <w:rFonts w:ascii="Times New Roman" w:hAnsi="Times New Roman" w:cs="Times New Roman"/>
          <w:sz w:val="24"/>
          <w:szCs w:val="24"/>
        </w:rPr>
        <w:t xml:space="preserve">’s efficacy </w:t>
      </w:r>
      <w:r w:rsidR="00CE1A20" w:rsidRPr="00922C73">
        <w:rPr>
          <w:rFonts w:ascii="Times New Roman" w:hAnsi="Times New Roman" w:cs="Times New Roman"/>
          <w:sz w:val="24"/>
          <w:szCs w:val="24"/>
        </w:rPr>
        <w:t xml:space="preserve">is </w:t>
      </w:r>
      <w:r w:rsidR="003F1D76" w:rsidRPr="00922C73">
        <w:rPr>
          <w:rFonts w:ascii="Times New Roman" w:hAnsi="Times New Roman" w:cs="Times New Roman"/>
          <w:sz w:val="24"/>
          <w:szCs w:val="24"/>
        </w:rPr>
        <w:t>complex</w:t>
      </w:r>
      <w:r w:rsidR="000E6EBB" w:rsidRPr="00922C73">
        <w:rPr>
          <w:rFonts w:ascii="Times New Roman" w:hAnsi="Times New Roman" w:cs="Times New Roman"/>
          <w:sz w:val="24"/>
          <w:szCs w:val="24"/>
        </w:rPr>
        <w:t xml:space="preserve"> and is shown in Figure 4</w:t>
      </w:r>
      <w:r w:rsidR="00CE1A20" w:rsidRPr="00922C73">
        <w:rPr>
          <w:rFonts w:ascii="Times New Roman" w:hAnsi="Times New Roman" w:cs="Times New Roman"/>
          <w:sz w:val="24"/>
          <w:szCs w:val="24"/>
        </w:rPr>
        <w:t xml:space="preserve">. It </w:t>
      </w:r>
      <w:r w:rsidRPr="00922C73">
        <w:rPr>
          <w:rFonts w:ascii="Times New Roman" w:hAnsi="Times New Roman" w:cs="Times New Roman"/>
          <w:sz w:val="24"/>
          <w:szCs w:val="24"/>
        </w:rPr>
        <w:t>bind</w:t>
      </w:r>
      <w:r w:rsidR="00CE1A20" w:rsidRPr="00922C73">
        <w:rPr>
          <w:rFonts w:ascii="Times New Roman" w:hAnsi="Times New Roman" w:cs="Times New Roman"/>
          <w:sz w:val="24"/>
          <w:szCs w:val="24"/>
        </w:rPr>
        <w:t>s</w:t>
      </w:r>
      <w:r w:rsidRPr="00922C73">
        <w:rPr>
          <w:rFonts w:ascii="Times New Roman" w:hAnsi="Times New Roman" w:cs="Times New Roman"/>
          <w:sz w:val="24"/>
          <w:szCs w:val="24"/>
        </w:rPr>
        <w:t xml:space="preserve"> </w:t>
      </w:r>
      <w:r w:rsidR="00CE1A20" w:rsidRPr="00922C73">
        <w:rPr>
          <w:rFonts w:ascii="Times New Roman" w:hAnsi="Times New Roman" w:cs="Times New Roman"/>
          <w:sz w:val="24"/>
          <w:szCs w:val="24"/>
        </w:rPr>
        <w:t>to both</w:t>
      </w:r>
      <w:r w:rsidR="00FC1067" w:rsidRPr="00922C73">
        <w:rPr>
          <w:rFonts w:ascii="Times New Roman" w:hAnsi="Times New Roman" w:cs="Times New Roman"/>
          <w:sz w:val="24"/>
          <w:szCs w:val="24"/>
        </w:rPr>
        <w:t xml:space="preserve"> </w:t>
      </w:r>
      <w:r w:rsidRPr="00922C73">
        <w:rPr>
          <w:rFonts w:ascii="Times New Roman" w:hAnsi="Times New Roman" w:cs="Times New Roman"/>
          <w:sz w:val="24"/>
          <w:szCs w:val="24"/>
        </w:rPr>
        <w:t>soluble and transmembrane TNFα</w:t>
      </w:r>
      <w:r w:rsidR="00B14130" w:rsidRPr="00922C73">
        <w:rPr>
          <w:rFonts w:ascii="Times New Roman" w:hAnsi="Times New Roman" w:cs="Times New Roman"/>
          <w:sz w:val="24"/>
          <w:szCs w:val="24"/>
        </w:rPr>
        <w:t xml:space="preserve"> preventing them from exerting their effects</w:t>
      </w:r>
      <w:r w:rsidR="004C257F" w:rsidRPr="00922C73">
        <w:rPr>
          <w:rFonts w:ascii="Times New Roman" w:hAnsi="Times New Roman" w:cs="Times New Roman"/>
          <w:sz w:val="24"/>
          <w:szCs w:val="24"/>
        </w:rPr>
        <w:t xml:space="preserve"> </w:t>
      </w:r>
      <w:r w:rsidR="00B14130" w:rsidRPr="00922C73">
        <w:rPr>
          <w:rFonts w:ascii="Times New Roman" w:hAnsi="Times New Roman" w:cs="Times New Roman"/>
          <w:sz w:val="24"/>
          <w:szCs w:val="24"/>
        </w:rPr>
        <w:t>via</w:t>
      </w:r>
      <w:r w:rsidR="004C257F" w:rsidRPr="00922C73">
        <w:rPr>
          <w:rFonts w:ascii="Times New Roman" w:hAnsi="Times New Roman" w:cs="Times New Roman"/>
          <w:sz w:val="24"/>
          <w:szCs w:val="24"/>
        </w:rPr>
        <w:t xml:space="preserve"> TNF receptor</w:t>
      </w:r>
      <w:r w:rsidR="00B14130" w:rsidRPr="00922C73">
        <w:rPr>
          <w:rFonts w:ascii="Times New Roman" w:hAnsi="Times New Roman" w:cs="Times New Roman"/>
          <w:sz w:val="24"/>
          <w:szCs w:val="24"/>
        </w:rPr>
        <w:t>s</w:t>
      </w:r>
      <w:r w:rsidR="004C257F" w:rsidRPr="00922C73">
        <w:rPr>
          <w:rFonts w:ascii="Times New Roman" w:hAnsi="Times New Roman" w:cs="Times New Roman"/>
          <w:sz w:val="24"/>
          <w:szCs w:val="24"/>
        </w:rPr>
        <w:t xml:space="preserve"> 1 and 2</w:t>
      </w:r>
      <w:r w:rsidR="00934E3F" w:rsidRPr="00922C73">
        <w:rPr>
          <w:rFonts w:ascii="Times New Roman" w:hAnsi="Times New Roman" w:cs="Times New Roman"/>
          <w:sz w:val="24"/>
          <w:szCs w:val="24"/>
        </w:rPr>
        <w:t xml:space="preserv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{"citationItems":[{"id":"ITEM-1","itemData":{"DOI":"10.1124/jpet.301.2.418","ISBN":"0022-3565 (Print)\\r0022-3565 (Linking)","ISSN":"00223565","PMID":"11961039","abstract":"Two tumor necrosis factor (TNF) antagonists infliximab (a chimeric monoclonal antibody) and etanercept (a p75 TNF receptor/Fc fusion protein) have been approved for treatment of rheumatoid arthritis. However, these agents have shown different degrees of clinical benefit in controlled clinical trials in other TNF-mediated diseases such as Crohn's disease (CD) and psoriasis. We investigated whether structural differences between these two antagonists translate into different binding and functional characteristics. To study the binding of infliximab and etanercept to both the soluble and cell-surface transmembrane forms of TNF, a variety of in vitro binding and cell-based assays were performed. Binding assays using125I-labeled TNF showed that infliximab binds to both monomer and trimer forms of soluble TNF (sTNF), whereas etanercept binding is restricted to the trimer form. Infliximab formed stable complexes with sTNF, whereas etanercept formed relatively unstable complexes, resulting in release of dissociated TNF. KYM-1D4 cell killing assays and human umbilical vein endothelial cell activation assays demonstrated that TNF that had dissociated from etanercept was bioactive. Infliximab also formed more stable complexes with the transmembrane form of TNF expressed on transfected cells relative to analogous complexes formed with etanercept. Additionally, more infliximab molecules bound to the transmembrane TNF with higher avidity than etanercept. Although both infliximab and etanercept inhibited transmembrane TNF-mediated activation of human endothelial cells, infliximab was significantly more effective. The differences between infliximab and etanercept in their TNF binding characteristics may help explain their differential efficacy in CD and psoriasis clinical trials.","author":[{"dropping-particle":"","family":"Scallon B, Cai A, Solowski N","given":"et al.","non-dropping-particle":"","parse-names":false,"suffix":""}],"container-title":"Journal of Pharmacology and Experimental Therapeutics","id":"ITEM-1","issue":"2","issued":{"date-parts":[["2002","5"]]},"page":"418-426","title":"Binding and Functional Comparisons of Two Types of Tumor Necrosis Factor Antagonists","type":"article-journal","volume":"301"},"uris":["http://www.mendeley.com/documents/?uuid=6756b14a-14e2-443c-a700-28ec8cee5602"]},{"id":"ITEM-2","itemData":{"DOI":"10.1016/0161-5890(93)90106-L","ISBN":"0161-5890 (Print)\\n0161-5890 (Linking)","ISSN":"01615890","PMID":"8232330","abstract":"Tumor necrosis factor-α (TNF) has been implicated in the pathogenesis of a variety of human diseases including septic shock, cachexia, graft-versus-host disease and several autoimmune diseases. Monoclonal antibodies directed against TNF provide an attractive mode of therapeutic intervention in these diseases. We have generated a murine monoclonal antibody (A2) with high affinity and specificity for recombinant and natural human TNF. To increase its therapeutic usefulness, we used genetic engineering techniques to replace the murine constant regions with human counterparts while retaining the murine antigen binding regions. The resulting mouse-human chimeric antibody should have reduced immunogenicity and improved pharmacokinetics in humans. Molecular analysis of light chain genomic clones derived from the murine hybridoma suggests that two different alleles of the same variable region gene have rearranged independently and coexist in the same hybridoma cell. The chimeric A2 antibody (cA2) exhibits better binding and neutralizing characteristics than the murine A2 which was shown to contain a mixture of two kappa light chains. The properties of cA2 suggest that it will have advantages over existing murine anti-TNF antibodies for clinical use. © 1993.","author":[{"dropping-particle":"","family":"Knight","given":"David M.","non-dropping-particle":"","parse-names":false,"suffix":""},{"dropping-particle":"","family":"Trinh","given":"Han","non-dropping-particle":"","parse-names":false,"suffix":""},{"dropping-particle":"","family":"Le","given":"Junming","non-dropping-particle":"","parse-names":false,"suffix":""},{"dropping-particle":"","family":"Siegel","given":"Scott","non-dropping-particle":"","parse-names":false,"suffix":""},{"dropping-particle":"","family":"Shealy","given":"David","non-dropping-particle":"","parse-names":false,"suffix":""},{"dropping-particle":"","family":"McDonough","given":"Margaret","non-dropping-particle":"","parse-names":false,"suffix":""},{"dropping-particle":"","family":"Scallon","given":"Bernard","non-dropping-particle":"","parse-names":false,"suffix":""},{"dropping-particle":"","family":"Moore","given":"Maria Arevalo","non-dropping-particle":"","parse-names":false,"suffix":""},{"dropping-particle":"","family":"Vilcek","given":"Jan","non-dropping-particle":"","parse-names":false,"suffix":""},{"dropping-particle":"","family":"Daddona","given":"Peter","non-dropping-particle":"","parse-names":false,"suffix":""},{"dropping-particle":"","family":"Ghrayeb","given":"John","non-dropping-particle":"","parse-names":false,"suffix":""}],"container-title":"Molecular Immunology","id":"ITEM-2","issue":"16","issued":{"date-parts":[["1993","11"]]},"page":"1443-1453","title":"Construction and initial characterization of a mouse-human chimeric anti-TNF antibody","type":"article-journal","volume":"30"},"uris":["http://www.mendeley.com/documents/?uuid=9d40fed8-317c-4f69-9332-9b64e9d4652b"]},{"id":"ITEM-3","itemData":{"DOI":"10.1016/S0149-2918(99)80015-0","ISSN":"01492918","abstract":"Crohn's disease (CD) is characterized by transmural inflammatory disease involving any portion of the gastrointestinal tract. Patients with CD have increased mucosal concentrations of the cytokine tumor necrosis factor-alpha (TNF-alpha), a key mediator of mucosal inflammation. In addition, TNF-alpha has multiple biologic activities involved in apoptosis, metabolism, and activation of granulocytes, lymphocytes, eosinophils, fibroblasts, chondrocytes, and endothelial cells. Recently, infliximab has emerged as a novel chimeric monoclonal antibody that inhibits TNF-alpha. Infliximab is indicated for the treatment of moderately to severely active CD in patients having an inadequate response to conventional therapy. To date, a small number of clinical trials with infliximab have demonstrated efficacy and tolerability when the agent is initiated as a 5-mg/kg single intravenous infusion. In patients with fistulizing CD, administration of 2 subsequent 5-mg/kg doses 2 and 6 weeks after the initial dose appears to be efficacious. Infliximab seems to be a promising therapeutic strategy for patients with refractory CD.","author":[{"dropping-particle":"","family":"Mauser","given":"JF","non-dropping-particle":"","parse-names":false,"suffix":""},{"dropping-particle":"","family":"Hyams","given":"JS","non-dropping-particle":"","parse-names":false,"suffix":""}],"container-title":"Clinical Therapeutics","id":"ITEM-3","issue":"6","issued":{"date-parts":[["1999","6"]]},"page":"932-942","title":"Infliximab: A novel chimeric monoclonal antibody for the treatment of Crohn's disease","type":"article-journal","volume":"21"},"uris":["http://www.mendeley.com/documents/?uuid=841022c5-f952-4b85-9777-55ea21a0fbde"]}],"mendeley":{"formattedCitation":"&lt;sup&gt;37,45,58&lt;/sup&gt;","plainTextFormattedCitation":"37,45,58","previouslyFormattedCitation":"&lt;sup&gt;37,45,58&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37,45,58</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00FC1067" w:rsidRPr="00922C73">
        <w:rPr>
          <w:rFonts w:ascii="Times New Roman" w:hAnsi="Times New Roman" w:cs="Times New Roman"/>
          <w:sz w:val="24"/>
          <w:szCs w:val="24"/>
        </w:rPr>
        <w:t xml:space="preserve"> </w:t>
      </w:r>
      <w:r w:rsidR="00B14130" w:rsidRPr="00922C73">
        <w:rPr>
          <w:rFonts w:ascii="Times New Roman" w:hAnsi="Times New Roman" w:cs="Times New Roman"/>
          <w:sz w:val="24"/>
          <w:szCs w:val="24"/>
        </w:rPr>
        <w:t>By binding to transmembrane TNF</w:t>
      </w:r>
      <w:r w:rsidR="00B14130" w:rsidRPr="00922C73">
        <w:rPr>
          <w:rFonts w:ascii="Calibri" w:hAnsi="Calibri" w:cs="Calibri"/>
          <w:sz w:val="24"/>
          <w:szCs w:val="24"/>
        </w:rPr>
        <w:t>α</w:t>
      </w:r>
      <w:r w:rsidR="00B14130" w:rsidRPr="00922C73">
        <w:rPr>
          <w:rFonts w:ascii="Times New Roman" w:hAnsi="Times New Roman" w:cs="Times New Roman"/>
          <w:sz w:val="24"/>
          <w:szCs w:val="24"/>
        </w:rPr>
        <w:t xml:space="preserve">, </w:t>
      </w:r>
      <w:r w:rsidR="008E340A" w:rsidRPr="00922C73">
        <w:rPr>
          <w:rFonts w:ascii="Times New Roman" w:hAnsi="Times New Roman" w:cs="Times New Roman"/>
          <w:sz w:val="24"/>
          <w:szCs w:val="24"/>
        </w:rPr>
        <w:t xml:space="preserve">it </w:t>
      </w:r>
      <w:r w:rsidR="0005765D" w:rsidRPr="00922C73">
        <w:rPr>
          <w:rFonts w:ascii="Times New Roman" w:hAnsi="Times New Roman" w:cs="Times New Roman"/>
          <w:sz w:val="24"/>
          <w:szCs w:val="24"/>
        </w:rPr>
        <w:t xml:space="preserve">also </w:t>
      </w:r>
      <w:r w:rsidR="008E340A" w:rsidRPr="00922C73">
        <w:rPr>
          <w:rFonts w:ascii="Times New Roman" w:hAnsi="Times New Roman" w:cs="Times New Roman"/>
          <w:sz w:val="24"/>
          <w:szCs w:val="24"/>
        </w:rPr>
        <w:t xml:space="preserve">induces </w:t>
      </w:r>
      <w:r w:rsidR="00787C4D" w:rsidRPr="00922C73">
        <w:rPr>
          <w:rFonts w:ascii="Times New Roman" w:hAnsi="Times New Roman" w:cs="Times New Roman"/>
          <w:sz w:val="24"/>
          <w:szCs w:val="24"/>
        </w:rPr>
        <w:t xml:space="preserve">reverse signalling </w:t>
      </w:r>
      <w:r w:rsidR="008E340A" w:rsidRPr="00922C73">
        <w:rPr>
          <w:rFonts w:ascii="Times New Roman" w:hAnsi="Times New Roman" w:cs="Times New Roman"/>
          <w:sz w:val="24"/>
          <w:szCs w:val="24"/>
        </w:rPr>
        <w:t xml:space="preserve">leading to </w:t>
      </w:r>
      <w:r w:rsidRPr="00922C73">
        <w:rPr>
          <w:rFonts w:ascii="Times New Roman" w:hAnsi="Times New Roman" w:cs="Times New Roman"/>
          <w:sz w:val="24"/>
          <w:szCs w:val="24"/>
        </w:rPr>
        <w:t>T-cell apoptosis</w:t>
      </w:r>
      <w:r w:rsidR="007059C8" w:rsidRPr="00922C73">
        <w:rPr>
          <w:rFonts w:ascii="Times New Roman" w:hAnsi="Times New Roman" w:cs="Times New Roman"/>
          <w:sz w:val="24"/>
          <w:szCs w:val="24"/>
        </w:rPr>
        <w:t xml:space="preserve"> by interrupting anti-apoptosis signal</w:t>
      </w:r>
      <w:r w:rsidR="00C6503C" w:rsidRPr="00922C73">
        <w:rPr>
          <w:rFonts w:ascii="Times New Roman" w:hAnsi="Times New Roman" w:cs="Times New Roman"/>
          <w:sz w:val="24"/>
          <w:szCs w:val="24"/>
        </w:rPr>
        <w:t>s</w:t>
      </w:r>
      <w:r w:rsidR="008224D4" w:rsidRPr="00922C73">
        <w:rPr>
          <w:rFonts w:ascii="Times New Roman" w:hAnsi="Times New Roman" w:cs="Times New Roman"/>
          <w:sz w:val="24"/>
          <w:szCs w:val="24"/>
        </w:rPr>
        <w:t xml:space="preserve"> </w:t>
      </w:r>
      <w:r w:rsidR="000352A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{"citationItems":[{"id":"ITEM-1","itemData":{"DOI":"10.1093/ecco-jcc/jjw053","ISSN":"1873-9946","author":[{"dropping-particle":"","family":"Levin","given":"Alon D.","non-dropping-particle":"","parse-names":false,"suffix":""},{"dropping-particle":"","family":"Wildenberg","given":"Manon E.","non-dropping-particle":"","parse-names":false,"suffix":""},{"dropping-particle":"","family":"Brink","given":"Gijs R.","non-dropping-particle":"van den","parse-names":false,"suffix":""}],"container-title":"Journal of Crohn's and Colitis","id":"ITEM-1","issue":"8","issued":{"date-parts":[["2016","8"]]},"page":"989-997","title":"Mechanism of Action of Anti-TNF Therapy in Inflammatory Bowel Disease","type":"article-journal","volume":"10"},"uris":["http://www.mendeley.com/documents/?uuid=416f15a1-feb0-4693-9039-eb85ce6acdba"]}],"mendeley":{"formattedCitation":"&lt;sup&gt;59&lt;/sup&gt;","plainTextFormattedCitation":"59","previouslyFormattedCitation":"&lt;sup&gt;59&lt;/sup&gt;"},"properties":{"noteIndex":0},"schema":"https://github.com/citation-style-language/schema/raw/master/csl-citation.json"}</w:instrText>
      </w:r>
      <w:r w:rsidR="000352A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59</w:t>
      </w:r>
      <w:r w:rsidR="000352A5" w:rsidRPr="00922C73">
        <w:rPr>
          <w:rFonts w:ascii="Times New Roman" w:hAnsi="Times New Roman" w:cs="Times New Roman"/>
          <w:sz w:val="24"/>
          <w:szCs w:val="24"/>
        </w:rPr>
        <w:fldChar w:fldCharType="end"/>
      </w:r>
      <w:r w:rsidR="0005765D" w:rsidRPr="00922C73">
        <w:rPr>
          <w:rFonts w:ascii="Times New Roman" w:hAnsi="Times New Roman" w:cs="Times New Roman"/>
          <w:sz w:val="24"/>
          <w:szCs w:val="24"/>
        </w:rPr>
        <w:t>. Infliximab</w:t>
      </w:r>
      <w:r w:rsidRPr="00922C73">
        <w:rPr>
          <w:rFonts w:ascii="Times New Roman" w:hAnsi="Times New Roman" w:cs="Times New Roman"/>
          <w:sz w:val="24"/>
          <w:szCs w:val="24"/>
        </w:rPr>
        <w:t xml:space="preserve"> reduc</w:t>
      </w:r>
      <w:r w:rsidR="00FE0667" w:rsidRPr="00922C73">
        <w:rPr>
          <w:rFonts w:ascii="Times New Roman" w:hAnsi="Times New Roman" w:cs="Times New Roman"/>
          <w:sz w:val="24"/>
          <w:szCs w:val="24"/>
        </w:rPr>
        <w:t>es</w:t>
      </w:r>
      <w:r w:rsidRPr="00922C73">
        <w:rPr>
          <w:rFonts w:ascii="Times New Roman" w:hAnsi="Times New Roman" w:cs="Times New Roman"/>
          <w:sz w:val="24"/>
          <w:szCs w:val="24"/>
        </w:rPr>
        <w:t xml:space="preserve"> permeability of the intestinal epithelium</w:t>
      </w:r>
      <w:r w:rsidR="0005765D" w:rsidRPr="00922C73">
        <w:rPr>
          <w:rFonts w:ascii="Times New Roman" w:hAnsi="Times New Roman" w:cs="Times New Roman"/>
          <w:sz w:val="24"/>
          <w:szCs w:val="24"/>
        </w:rPr>
        <w:t>,</w:t>
      </w:r>
      <w:r w:rsidRPr="00922C73">
        <w:rPr>
          <w:rFonts w:ascii="Times New Roman" w:hAnsi="Times New Roman" w:cs="Times New Roman"/>
          <w:sz w:val="24"/>
          <w:szCs w:val="24"/>
        </w:rPr>
        <w:t xml:space="preserve"> allowing improved barrier function</w:t>
      </w:r>
      <w:r w:rsidR="00D6347D" w:rsidRPr="00922C73">
        <w:rPr>
          <w:rFonts w:ascii="Times New Roman" w:hAnsi="Times New Roman" w:cs="Times New Roman"/>
          <w:sz w:val="24"/>
          <w:szCs w:val="24"/>
        </w:rPr>
        <w:t xml:space="preserve"> </w:t>
      </w:r>
      <w:r w:rsidR="00D6347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{"citationItems":[{"id":"ITEM-1","itemData":{"DOI":"10.1016/S1590-8658(08)60530-7","ISSN":"15908658","author":[{"dropping-particle":"","family":"Danese","given":"S.","non-dropping-particle":"","parse-names":false,"suffix":""}],"container-title":"Digestive and Liver Disease","id":"ITEM-1","issued":{"date-parts":[["2008","7"]]},"page":"S225-S228","title":"Mechanisms of action of infliximab in inflammatory bowel disease: an anti-inflammatory multitasker.","type":"article-journal","volume":"40"},"uris":["http://www.mendeley.com/documents/?uuid=32128b5f-4652-4021-b244-c6991a0e1cd9"]}],"mendeley":{"formattedCitation":"&lt;sup&gt;36&lt;/sup&gt;","plainTextFormattedCitation":"36","previouslyFormattedCitation":"&lt;sup&gt;36&lt;/sup&gt;"},"properties":{"noteIndex":0},"schema":"https://github.com/citation-style-language/schema/raw/master/csl-citation.json"}</w:instrText>
      </w:r>
      <w:r w:rsidR="00D6347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36</w:t>
      </w:r>
      <w:r w:rsidR="00D6347D" w:rsidRPr="00922C73">
        <w:rPr>
          <w:rFonts w:ascii="Times New Roman" w:hAnsi="Times New Roman" w:cs="Times New Roman"/>
          <w:sz w:val="24"/>
          <w:szCs w:val="24"/>
        </w:rPr>
        <w:fldChar w:fldCharType="end"/>
      </w:r>
      <w:r w:rsidR="00C6503C" w:rsidRPr="00922C73">
        <w:rPr>
          <w:rFonts w:ascii="Times New Roman" w:hAnsi="Times New Roman" w:cs="Times New Roman"/>
          <w:sz w:val="24"/>
          <w:szCs w:val="24"/>
        </w:rPr>
        <w:t xml:space="preserve">. </w:t>
      </w:r>
      <w:r w:rsidR="00DA58D5" w:rsidRPr="00922C73">
        <w:rPr>
          <w:rFonts w:ascii="Times New Roman" w:hAnsi="Times New Roman" w:cs="Times New Roman"/>
          <w:sz w:val="24"/>
          <w:szCs w:val="24"/>
        </w:rPr>
        <w:t>I</w:t>
      </w:r>
      <w:r w:rsidR="00C6503C" w:rsidRPr="00922C73">
        <w:rPr>
          <w:rFonts w:ascii="Times New Roman" w:hAnsi="Times New Roman" w:cs="Times New Roman"/>
          <w:sz w:val="24"/>
          <w:szCs w:val="24"/>
        </w:rPr>
        <w:t>t</w:t>
      </w:r>
      <w:r w:rsidR="00DA58D5" w:rsidRPr="00922C73">
        <w:rPr>
          <w:rFonts w:ascii="Times New Roman" w:hAnsi="Times New Roman" w:cs="Times New Roman"/>
          <w:sz w:val="24"/>
          <w:szCs w:val="24"/>
        </w:rPr>
        <w:t xml:space="preserve"> improves wound healing by</w:t>
      </w:r>
      <w:r w:rsidRPr="00922C73">
        <w:rPr>
          <w:rFonts w:ascii="Times New Roman" w:hAnsi="Times New Roman" w:cs="Times New Roman"/>
          <w:sz w:val="24"/>
          <w:szCs w:val="24"/>
        </w:rPr>
        <w:t xml:space="preserve"> increas</w:t>
      </w:r>
      <w:r w:rsidR="00DA58D5" w:rsidRPr="00922C73">
        <w:rPr>
          <w:rFonts w:ascii="Times New Roman" w:hAnsi="Times New Roman" w:cs="Times New Roman"/>
          <w:sz w:val="24"/>
          <w:szCs w:val="24"/>
        </w:rPr>
        <w:t>ing</w:t>
      </w:r>
      <w:r w:rsidRPr="00922C73">
        <w:rPr>
          <w:rFonts w:ascii="Times New Roman" w:hAnsi="Times New Roman" w:cs="Times New Roman"/>
          <w:sz w:val="24"/>
          <w:szCs w:val="24"/>
        </w:rPr>
        <w:t xml:space="preserve"> intestinal fibroblasts motility </w:t>
      </w:r>
      <w:r w:rsidR="001F2CD7" w:rsidRPr="00922C73">
        <w:rPr>
          <w:rFonts w:ascii="Times New Roman" w:hAnsi="Times New Roman" w:cs="Times New Roman"/>
          <w:sz w:val="24"/>
          <w:szCs w:val="24"/>
        </w:rPr>
        <w:t xml:space="preserve">and </w:t>
      </w:r>
      <w:r w:rsidR="004B42BE" w:rsidRPr="00922C73">
        <w:rPr>
          <w:rFonts w:ascii="Times New Roman" w:hAnsi="Times New Roman" w:cs="Times New Roman"/>
          <w:sz w:val="24"/>
          <w:szCs w:val="24"/>
        </w:rPr>
        <w:t xml:space="preserve">inducing </w:t>
      </w:r>
      <w:r w:rsidR="001727A2" w:rsidRPr="00922C73">
        <w:rPr>
          <w:rFonts w:ascii="Times New Roman" w:hAnsi="Times New Roman" w:cs="Times New Roman"/>
          <w:sz w:val="24"/>
          <w:szCs w:val="24"/>
        </w:rPr>
        <w:t xml:space="preserve">M2 </w:t>
      </w:r>
      <w:r w:rsidR="001F2CD7" w:rsidRPr="00922C73">
        <w:rPr>
          <w:rFonts w:ascii="Times New Roman" w:hAnsi="Times New Roman" w:cs="Times New Roman"/>
          <w:sz w:val="24"/>
          <w:szCs w:val="24"/>
        </w:rPr>
        <w:t xml:space="preserve">wound healing macrophages </w:t>
      </w:r>
      <w:r w:rsidR="001727A2" w:rsidRPr="00922C73">
        <w:rPr>
          <w:rFonts w:ascii="Times New Roman" w:hAnsi="Times New Roman" w:cs="Times New Roman"/>
          <w:sz w:val="24"/>
          <w:szCs w:val="24"/>
        </w:rPr>
        <w:t xml:space="preserve">via Fc receptor-mediated action </w:t>
      </w:r>
      <w:r w:rsidRPr="00922C73">
        <w:rPr>
          <w:rFonts w:ascii="Times New Roman" w:hAnsi="Times New Roman" w:cs="Times New Roman"/>
          <w:sz w:val="24"/>
          <w:szCs w:val="24"/>
        </w:rPr>
        <w:t xml:space="preserv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{"citationItems":[{"id":"ITEM-1","itemData":{"DOI":"10.1016/S1590-8658(08)60530-7","ISSN":"15908658","author":[{"dropping-particle":"","family":"Danese","given":"S.","non-dropping-particle":"","parse-names":false,"suffix":""}],"container-title":"Digestive and Liver Disease","id":"ITEM-1","issued":{"date-parts":[["2008","7"]]},"page":"S225-S228","title":"Mechanisms of action of infliximab in inflammatory bowel disease: an anti-inflammatory multitasker.","type":"article-journal","volume":"40"},"uris":["http://www.mendeley.com/documents/?uuid=32128b5f-4652-4021-b244-c6991a0e1cd9"]},{"id":"ITEM-2","itemData":{"DOI":"10.1016/j.pharmthera.2007.10.001","ISBN":"0163-7258 (Print)\\r0163-7258 (Linking)","ISSN":"01637258","PMID":"18155297","abstract":"During the past 30??years, elucidation of the pathogenesis of rheumatoid arthritis, Crohn's disease, psoriasis, psoriatic arthritis and ankylosing spondylitis at the cellular and molecular levels has revealed that these diseases share common mechanisms and are more closely related than was previously recognized. Research on the complex biology of tumor necrosis factor (TNF) has uncovered many mechanisms and pathways by which TNF may be involved in the pathogenesis of these diseases. There are 3 TNF antagonists currently available: adalimumab, a fully human monoclonal antibody; etanercept, a soluble receptor construct; and infliximab, a chimeric monoclonal antibody. Two other TNF antagonists, certolizumab and golimumab, are in clinical development.The remarkable efficacy of TNF antagonists in these diseases places TNF in the center of our understanding of the pathogenesis of many immune-mediated inflammatory diseases. The purpose of this review is to discuss the biology of TNF and related family members in the context of the potential mechanisms of action of TNF antagonists in a variety of immune-mediated inflammatory diseases. Possible mechanistic differences between TNF antagonists are addressed with regard to their efficacy and safety profiles. ?? 2007 Elsevier Inc. All rights reserved.","author":[{"dropping-particle":"","family":"Tracey","given":"Daniel","non-dropping-particle":"","parse-names":false,"suffix":""},{"dropping-particle":"","family":"Klareskog","given":"Lars","non-dropping-particle":"","parse-names":false,"suffix":""},{"dropping-particle":"","family":"Sasso","given":"Eric H.","non-dropping-particle":"","parse-names":false,"suffix":""},{"dropping-particle":"","family":"Salfeld","given":"Jochen G.","non-dropping-particle":"","parse-names":false,"suffix":""},{"dropping-particle":"","family":"Tak","given":"Paul P.","non-dropping-particle":"","parse-names":false,"suffix":""}],"container-title":"Pharmacology &amp; Therapeutics","id":"ITEM-2","issue":"2","issued":{"date-parts":[["2008","2"]]},"page":"244-279","title":"Tumor necrosis factor antagonist mechanisms of action: A comprehensive review","type":"article-journal","volume":"117"},"uris":["http://www.mendeley.com/documents/?uuid=3ece577e-28f2-45ae-b145-0e1eeec2b954"]},{"id":"ITEM-3","itemData":{"DOI":"10.1093/ecco-jcc/jjw053","ISSN":"1873-9946","author":[{"dropping-particle":"","family":"Levin","given":"Alon D.","non-dropping-particle":"","parse-names":false,"suffix":""},{"dropping-particle":"","family":"Wildenberg","given":"Manon E.","non-dropping-particle":"","parse-names":false,"suffix":""},{"dropping-particle":"","family":"Brink","given":"Gijs R.","non-dropping-particle":"van den","parse-names":false,"suffix":""}],"container-title":"Journal of Crohn's and Colitis","id":"ITEM-3","issue":"8","issued":{"date-parts":[["2016","8"]]},"page":"989-997","title":"Mechanism of Action of Anti-TNF Therapy in Inflammatory Bowel Disease","type":"article-journal","volume":"10"},"uris":["http://www.mendeley.com/documents/?uuid=416f15a1-feb0-4693-9039-eb85ce6acdba"]}],"mendeley":{"formattedCitation":"&lt;sup&gt;36,59,60&lt;/sup&gt;","plainTextFormattedCitation":"36,59,60","previouslyFormattedCitation":"&lt;sup&gt;36,59,60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36,59,60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p>
    <w:p w14:paraId="4F3A9243"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3C982321"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1574C32F"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6B289CBE"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21C963A7"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4FC8DE35" w14:textId="77777777" w:rsidR="00D02904" w:rsidRPr="00922C73" w:rsidRDefault="00D02904" w:rsidP="00D02904">
      <w:pPr>
        <w:autoSpaceDE w:val="0"/>
        <w:autoSpaceDN w:val="0"/>
        <w:adjustRightInd w:val="0"/>
        <w:spacing w:after="0" w:line="480" w:lineRule="auto"/>
        <w:rPr>
          <w:rFonts w:ascii="Times New Roman" w:hAnsi="Times New Roman" w:cs="Times New Roman"/>
          <w:sz w:val="24"/>
          <w:szCs w:val="24"/>
        </w:rPr>
      </w:pPr>
    </w:p>
    <w:p w14:paraId="043A2D94" w14:textId="1D3E275B" w:rsidR="005D4522" w:rsidRPr="00922C73" w:rsidRDefault="00D32D8D" w:rsidP="005D4522">
      <w:pPr>
        <w:keepNext/>
        <w:autoSpaceDE w:val="0"/>
        <w:autoSpaceDN w:val="0"/>
        <w:adjustRightInd w:val="0"/>
        <w:spacing w:after="0" w:line="480" w:lineRule="auto"/>
      </w:pPr>
      <w:r w:rsidRPr="00922C73">
        <w:rPr>
          <w:noProof/>
        </w:rPr>
        <w:lastRenderedPageBreak/>
        <w:drawing>
          <wp:inline distT="0" distB="0" distL="0" distR="0" wp14:anchorId="747890D1" wp14:editId="75EAEE2C">
            <wp:extent cx="5676900" cy="4052874"/>
            <wp:effectExtent l="0" t="0" r="0" b="5080"/>
            <wp:docPr id="271107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07205" name=""/>
                    <pic:cNvPicPr/>
                  </pic:nvPicPr>
                  <pic:blipFill rotWithShape="1">
                    <a:blip r:embed="rId20">
                      <a:extLst>
                        <a:ext uri="{96DAC541-7B7A-43D3-8B79-37D633B846F1}">
                          <asvg:svgBlip xmlns:asvg="http://schemas.microsoft.com/office/drawing/2016/SVG/main" r:embed="rId21"/>
                        </a:ext>
                      </a:extLst>
                    </a:blip>
                    <a:srcRect l="5022" t="5578" r="42403" b="27684"/>
                    <a:stretch/>
                  </pic:blipFill>
                  <pic:spPr bwMode="auto">
                    <a:xfrm>
                      <a:off x="0" y="0"/>
                      <a:ext cx="5755563" cy="4109033"/>
                    </a:xfrm>
                    <a:prstGeom prst="rect">
                      <a:avLst/>
                    </a:prstGeom>
                    <a:ln>
                      <a:noFill/>
                    </a:ln>
                    <a:extLst>
                      <a:ext uri="{53640926-AAD7-44D8-BBD7-CCE9431645EC}">
                        <a14:shadowObscured xmlns:a14="http://schemas.microsoft.com/office/drawing/2010/main"/>
                      </a:ext>
                    </a:extLst>
                  </pic:spPr>
                </pic:pic>
              </a:graphicData>
            </a:graphic>
          </wp:inline>
        </w:drawing>
      </w:r>
    </w:p>
    <w:p w14:paraId="1B620BA0" w14:textId="6FD2FEC3" w:rsidR="00D02904" w:rsidRPr="00922C73" w:rsidRDefault="005D4522" w:rsidP="004C429E">
      <w:pPr>
        <w:pStyle w:val="Caption"/>
        <w:spacing w:line="240" w:lineRule="auto"/>
        <w:rPr>
          <w:rFonts w:ascii="Times New Roman" w:hAnsi="Times New Roman" w:cs="Times New Roman"/>
          <w:sz w:val="24"/>
          <w:szCs w:val="24"/>
        </w:rPr>
      </w:pPr>
      <w:bookmarkStart w:id="28" w:name="_Toc139397305"/>
      <w:bookmarkStart w:id="29" w:name="_Toc151020649"/>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Mechanism of action of infliximab.</w:t>
      </w:r>
      <w:bookmarkEnd w:id="28"/>
      <w:bookmarkEnd w:id="29"/>
    </w:p>
    <w:p w14:paraId="265253A9" w14:textId="0CE72CB2" w:rsidR="004A3B02" w:rsidRPr="00922C73" w:rsidRDefault="005D4522" w:rsidP="004C429E">
      <w:pPr>
        <w:autoSpaceDE w:val="0"/>
        <w:autoSpaceDN w:val="0"/>
        <w:adjustRightInd w:val="0"/>
        <w:spacing w:after="0" w:line="240" w:lineRule="auto"/>
        <w:rPr>
          <w:rFonts w:ascii="Times New Roman" w:hAnsi="Times New Roman" w:cs="Times New Roman"/>
          <w:sz w:val="24"/>
          <w:szCs w:val="24"/>
        </w:rPr>
      </w:pPr>
      <w:r w:rsidRPr="00922C73">
        <w:rPr>
          <w:rFonts w:ascii="Times New Roman" w:hAnsi="Times New Roman" w:cs="Times New Roman"/>
          <w:sz w:val="24"/>
          <w:szCs w:val="24"/>
        </w:rPr>
        <w:t xml:space="preserve">a) </w:t>
      </w:r>
      <w:r w:rsidR="00252BDC" w:rsidRPr="00922C73">
        <w:rPr>
          <w:rFonts w:ascii="Times New Roman" w:hAnsi="Times New Roman" w:cs="Times New Roman"/>
          <w:sz w:val="24"/>
          <w:szCs w:val="24"/>
        </w:rPr>
        <w:t>Prevention of TNF receptors 1 and 2 mediated signalling pathways</w:t>
      </w:r>
      <w:r w:rsidR="00541E8A" w:rsidRPr="00922C73">
        <w:rPr>
          <w:rFonts w:ascii="Times New Roman" w:hAnsi="Times New Roman" w:cs="Times New Roman"/>
          <w:sz w:val="24"/>
          <w:szCs w:val="24"/>
        </w:rPr>
        <w:t>:</w:t>
      </w:r>
      <w:r w:rsidR="00252BDC" w:rsidRPr="00922C73">
        <w:rPr>
          <w:rFonts w:ascii="Times New Roman" w:hAnsi="Times New Roman" w:cs="Times New Roman"/>
          <w:sz w:val="24"/>
          <w:szCs w:val="24"/>
        </w:rPr>
        <w:t xml:space="preserve"> binding of infliximab</w:t>
      </w:r>
      <w:r w:rsidR="008A3729" w:rsidRPr="00922C73">
        <w:rPr>
          <w:rFonts w:ascii="Times New Roman" w:hAnsi="Times New Roman" w:cs="Times New Roman"/>
          <w:sz w:val="24"/>
          <w:szCs w:val="24"/>
        </w:rPr>
        <w:t xml:space="preserve"> t</w:t>
      </w:r>
      <w:r w:rsidR="00541E8A" w:rsidRPr="00922C73">
        <w:rPr>
          <w:rFonts w:ascii="Times New Roman" w:hAnsi="Times New Roman" w:cs="Times New Roman"/>
          <w:sz w:val="24"/>
          <w:szCs w:val="24"/>
        </w:rPr>
        <w:t>o</w:t>
      </w:r>
      <w:r w:rsidR="008A3729" w:rsidRPr="00922C73">
        <w:rPr>
          <w:rFonts w:ascii="Times New Roman" w:hAnsi="Times New Roman" w:cs="Times New Roman"/>
          <w:sz w:val="24"/>
          <w:szCs w:val="24"/>
        </w:rPr>
        <w:t xml:space="preserve"> soluble and transmembrane </w:t>
      </w:r>
      <w:r w:rsidR="00D227B7" w:rsidRPr="00922C73">
        <w:rPr>
          <w:rFonts w:ascii="Times New Roman" w:hAnsi="Times New Roman" w:cs="Times New Roman"/>
          <w:sz w:val="24"/>
          <w:szCs w:val="24"/>
        </w:rPr>
        <w:t>TNF</w:t>
      </w:r>
      <w:r w:rsidR="008A3729" w:rsidRPr="00922C73">
        <w:rPr>
          <w:rFonts w:ascii="Times New Roman" w:hAnsi="Times New Roman" w:cs="Times New Roman"/>
          <w:sz w:val="24"/>
          <w:szCs w:val="24"/>
        </w:rPr>
        <w:t>α</w:t>
      </w:r>
      <w:r w:rsidR="00252BDC" w:rsidRPr="00922C73">
        <w:rPr>
          <w:rFonts w:ascii="Times New Roman" w:hAnsi="Times New Roman" w:cs="Times New Roman"/>
          <w:sz w:val="24"/>
          <w:szCs w:val="24"/>
        </w:rPr>
        <w:t>.</w:t>
      </w:r>
    </w:p>
    <w:p w14:paraId="343EA9E6" w14:textId="415BFF0A" w:rsidR="0067539D" w:rsidRPr="00922C73" w:rsidRDefault="00021EC8" w:rsidP="004C429E">
      <w:pPr>
        <w:autoSpaceDE w:val="0"/>
        <w:autoSpaceDN w:val="0"/>
        <w:adjustRightInd w:val="0"/>
        <w:spacing w:after="0" w:line="240" w:lineRule="auto"/>
        <w:rPr>
          <w:rFonts w:ascii="Times New Roman" w:hAnsi="Times New Roman" w:cs="Times New Roman"/>
          <w:sz w:val="24"/>
          <w:szCs w:val="24"/>
        </w:rPr>
      </w:pPr>
      <w:r w:rsidRPr="00922C73">
        <w:rPr>
          <w:rFonts w:ascii="Times New Roman" w:eastAsia="Times New Roman" w:hAnsi="Times New Roman" w:cs="Times New Roman"/>
          <w:sz w:val="24"/>
          <w:szCs w:val="24"/>
          <w:lang w:eastAsia="en-GB"/>
        </w:rPr>
        <w:t xml:space="preserve">b) </w:t>
      </w:r>
      <w:r w:rsidR="00C44BEF" w:rsidRPr="00922C73">
        <w:rPr>
          <w:rFonts w:ascii="Times New Roman" w:hAnsi="Times New Roman" w:cs="Times New Roman"/>
          <w:sz w:val="24"/>
          <w:szCs w:val="24"/>
        </w:rPr>
        <w:t>Fc receptor-mediated action</w:t>
      </w:r>
      <w:r w:rsidR="00541E8A" w:rsidRPr="00922C73">
        <w:rPr>
          <w:rFonts w:ascii="Times New Roman" w:hAnsi="Times New Roman" w:cs="Times New Roman"/>
          <w:sz w:val="24"/>
          <w:szCs w:val="24"/>
        </w:rPr>
        <w:t>:</w:t>
      </w:r>
      <w:r w:rsidR="00C44BEF" w:rsidRPr="00922C73">
        <w:rPr>
          <w:rFonts w:ascii="Times New Roman" w:hAnsi="Times New Roman" w:cs="Times New Roman"/>
          <w:sz w:val="24"/>
          <w:szCs w:val="24"/>
        </w:rPr>
        <w:t xml:space="preserve"> t</w:t>
      </w:r>
      <w:r w:rsidR="004A3B02" w:rsidRPr="00922C73">
        <w:rPr>
          <w:rFonts w:ascii="Times New Roman" w:eastAsia="Times New Roman" w:hAnsi="Times New Roman" w:cs="Times New Roman"/>
          <w:sz w:val="24"/>
          <w:szCs w:val="24"/>
          <w:lang w:eastAsia="en-GB"/>
        </w:rPr>
        <w:t xml:space="preserve">he Fc </w:t>
      </w:r>
      <w:r w:rsidR="008A3D5F" w:rsidRPr="00922C73">
        <w:rPr>
          <w:rFonts w:ascii="Times New Roman" w:eastAsia="Times New Roman" w:hAnsi="Times New Roman" w:cs="Times New Roman"/>
          <w:sz w:val="24"/>
          <w:szCs w:val="24"/>
          <w:lang w:eastAsia="en-GB"/>
        </w:rPr>
        <w:t>region of infliximab bound to transmembrane TNFα on activated T cells</w:t>
      </w:r>
      <w:r w:rsidR="004A3B02" w:rsidRPr="00922C73">
        <w:rPr>
          <w:rFonts w:ascii="Times New Roman" w:eastAsia="Times New Roman" w:hAnsi="Times New Roman" w:cs="Times New Roman"/>
          <w:sz w:val="24"/>
          <w:szCs w:val="24"/>
          <w:lang w:eastAsia="en-GB"/>
        </w:rPr>
        <w:t xml:space="preserve"> is recognised by Fc receptors </w:t>
      </w:r>
      <w:r w:rsidR="008A3D5F" w:rsidRPr="00922C73">
        <w:rPr>
          <w:rFonts w:ascii="Times New Roman" w:eastAsia="Times New Roman" w:hAnsi="Times New Roman" w:cs="Times New Roman"/>
          <w:sz w:val="24"/>
          <w:szCs w:val="24"/>
          <w:lang w:eastAsia="en-GB"/>
        </w:rPr>
        <w:t>on</w:t>
      </w:r>
      <w:r w:rsidR="004A3B02" w:rsidRPr="00922C73">
        <w:rPr>
          <w:rFonts w:ascii="Times New Roman" w:eastAsia="Times New Roman" w:hAnsi="Times New Roman" w:cs="Times New Roman"/>
          <w:sz w:val="24"/>
          <w:szCs w:val="24"/>
          <w:lang w:eastAsia="en-GB"/>
        </w:rPr>
        <w:t xml:space="preserve"> monocytes</w:t>
      </w:r>
      <w:r w:rsidR="00A760F7" w:rsidRPr="00922C73">
        <w:rPr>
          <w:rFonts w:ascii="Times New Roman" w:eastAsia="Times New Roman" w:hAnsi="Times New Roman" w:cs="Times New Roman"/>
          <w:sz w:val="24"/>
          <w:szCs w:val="24"/>
          <w:lang w:eastAsia="en-GB"/>
        </w:rPr>
        <w:t>. This</w:t>
      </w:r>
      <w:r w:rsidR="004A3B02" w:rsidRPr="00922C73">
        <w:rPr>
          <w:rFonts w:ascii="Times New Roman" w:eastAsia="Times New Roman" w:hAnsi="Times New Roman" w:cs="Times New Roman"/>
          <w:sz w:val="24"/>
          <w:szCs w:val="24"/>
          <w:lang w:eastAsia="en-GB"/>
        </w:rPr>
        <w:t xml:space="preserve"> trigger</w:t>
      </w:r>
      <w:r w:rsidR="00A760F7" w:rsidRPr="00922C73">
        <w:rPr>
          <w:rFonts w:ascii="Times New Roman" w:eastAsia="Times New Roman" w:hAnsi="Times New Roman" w:cs="Times New Roman"/>
          <w:sz w:val="24"/>
          <w:szCs w:val="24"/>
          <w:lang w:eastAsia="en-GB"/>
        </w:rPr>
        <w:t>s</w:t>
      </w:r>
      <w:r w:rsidR="004A3B02" w:rsidRPr="00922C73">
        <w:rPr>
          <w:rFonts w:ascii="Times New Roman" w:eastAsia="Times New Roman" w:hAnsi="Times New Roman" w:cs="Times New Roman"/>
          <w:sz w:val="24"/>
          <w:szCs w:val="24"/>
          <w:lang w:eastAsia="en-GB"/>
        </w:rPr>
        <w:t xml:space="preserve"> thei</w:t>
      </w:r>
      <w:r w:rsidR="009B2606" w:rsidRPr="00922C73">
        <w:rPr>
          <w:rFonts w:ascii="Times New Roman" w:eastAsia="Times New Roman" w:hAnsi="Times New Roman" w:cs="Times New Roman"/>
          <w:sz w:val="24"/>
          <w:szCs w:val="24"/>
          <w:lang w:eastAsia="en-GB"/>
        </w:rPr>
        <w:t>r</w:t>
      </w:r>
      <w:r w:rsidR="004A3B02" w:rsidRPr="00922C73">
        <w:rPr>
          <w:rFonts w:ascii="Times New Roman" w:eastAsia="Times New Roman" w:hAnsi="Times New Roman" w:cs="Times New Roman"/>
          <w:sz w:val="24"/>
          <w:szCs w:val="24"/>
          <w:lang w:eastAsia="en-GB"/>
        </w:rPr>
        <w:t xml:space="preserve"> differentiation </w:t>
      </w:r>
      <w:r w:rsidR="008A3D5F" w:rsidRPr="00922C73">
        <w:rPr>
          <w:rFonts w:ascii="Times New Roman" w:eastAsia="Times New Roman" w:hAnsi="Times New Roman" w:cs="Times New Roman"/>
          <w:sz w:val="24"/>
          <w:szCs w:val="24"/>
          <w:lang w:eastAsia="en-GB"/>
        </w:rPr>
        <w:t>into</w:t>
      </w:r>
      <w:r w:rsidR="004A3B02" w:rsidRPr="00922C73">
        <w:rPr>
          <w:rFonts w:ascii="Times New Roman" w:eastAsia="Times New Roman" w:hAnsi="Times New Roman" w:cs="Times New Roman"/>
          <w:sz w:val="24"/>
          <w:szCs w:val="24"/>
          <w:lang w:eastAsia="en-GB"/>
        </w:rPr>
        <w:t xml:space="preserve"> wound-healing macrophage</w:t>
      </w:r>
      <w:r w:rsidR="008A3D5F" w:rsidRPr="00922C73">
        <w:rPr>
          <w:rFonts w:ascii="Times New Roman" w:eastAsia="Times New Roman" w:hAnsi="Times New Roman" w:cs="Times New Roman"/>
          <w:sz w:val="24"/>
          <w:szCs w:val="24"/>
          <w:lang w:eastAsia="en-GB"/>
        </w:rPr>
        <w:t>s</w:t>
      </w:r>
      <w:r w:rsidR="00C44BEF" w:rsidRPr="00922C73">
        <w:rPr>
          <w:rFonts w:ascii="Times New Roman" w:hAnsi="Times New Roman" w:cs="Times New Roman"/>
          <w:sz w:val="24"/>
          <w:szCs w:val="24"/>
        </w:rPr>
        <w:t xml:space="preserve">. </w:t>
      </w:r>
    </w:p>
    <w:p w14:paraId="091A975C" w14:textId="7D0AC33B" w:rsidR="004A3B02" w:rsidRPr="00922C73" w:rsidRDefault="0057486A" w:rsidP="004C429E">
      <w:pPr>
        <w:shd w:val="clear" w:color="auto" w:fill="FFFFFF"/>
        <w:spacing w:line="240" w:lineRule="auto"/>
        <w:jc w:val="left"/>
        <w:textAlignment w:val="baseline"/>
        <w:rPr>
          <w:rFonts w:ascii="Times New Roman" w:eastAsia="Times New Roman" w:hAnsi="Times New Roman" w:cs="Times New Roman"/>
          <w:sz w:val="24"/>
          <w:szCs w:val="24"/>
          <w:lang w:eastAsia="en-GB"/>
        </w:rPr>
      </w:pPr>
      <w:r w:rsidRPr="00922C73">
        <w:rPr>
          <w:rFonts w:ascii="Times New Roman" w:eastAsia="Times New Roman" w:hAnsi="Times New Roman" w:cs="Times New Roman"/>
          <w:sz w:val="24"/>
          <w:szCs w:val="24"/>
          <w:lang w:eastAsia="en-GB"/>
        </w:rPr>
        <w:t xml:space="preserve">c) </w:t>
      </w:r>
      <w:r w:rsidR="008E095C" w:rsidRPr="00922C73">
        <w:rPr>
          <w:rFonts w:ascii="Times New Roman" w:eastAsia="Times New Roman" w:hAnsi="Times New Roman" w:cs="Times New Roman"/>
          <w:sz w:val="24"/>
          <w:szCs w:val="24"/>
          <w:lang w:eastAsia="en-GB"/>
        </w:rPr>
        <w:t xml:space="preserve">T cell apoptosis: </w:t>
      </w:r>
      <w:r w:rsidR="00541E8A" w:rsidRPr="00922C73">
        <w:rPr>
          <w:rFonts w:ascii="Times New Roman" w:eastAsia="Times New Roman" w:hAnsi="Times New Roman" w:cs="Times New Roman"/>
          <w:sz w:val="24"/>
          <w:szCs w:val="24"/>
          <w:lang w:eastAsia="en-GB"/>
        </w:rPr>
        <w:t xml:space="preserve">binding of infliximab </w:t>
      </w:r>
      <w:r w:rsidR="00335700" w:rsidRPr="00922C73">
        <w:rPr>
          <w:rFonts w:ascii="Times New Roman" w:eastAsia="Times New Roman" w:hAnsi="Times New Roman" w:cs="Times New Roman"/>
          <w:sz w:val="24"/>
          <w:szCs w:val="24"/>
          <w:lang w:eastAsia="en-GB"/>
        </w:rPr>
        <w:t>to</w:t>
      </w:r>
      <w:r w:rsidR="009B2606" w:rsidRPr="00922C73">
        <w:rPr>
          <w:rFonts w:ascii="Times New Roman" w:hAnsi="Times New Roman" w:cs="Times New Roman"/>
          <w:sz w:val="24"/>
          <w:szCs w:val="24"/>
        </w:rPr>
        <w:t xml:space="preserve"> transmembrane TNF</w:t>
      </w:r>
      <w:r w:rsidR="009B2606" w:rsidRPr="00922C73">
        <w:rPr>
          <w:rFonts w:ascii="Calibri" w:hAnsi="Calibri" w:cs="Calibri"/>
          <w:sz w:val="24"/>
          <w:szCs w:val="24"/>
        </w:rPr>
        <w:t>α</w:t>
      </w:r>
      <w:r w:rsidR="00A15508" w:rsidRPr="00922C73">
        <w:rPr>
          <w:rFonts w:ascii="Times New Roman" w:hAnsi="Times New Roman" w:cs="Times New Roman"/>
          <w:sz w:val="24"/>
          <w:szCs w:val="24"/>
        </w:rPr>
        <w:t xml:space="preserve"> </w:t>
      </w:r>
      <w:r w:rsidR="00335700" w:rsidRPr="00922C73">
        <w:rPr>
          <w:rFonts w:ascii="Times New Roman" w:hAnsi="Times New Roman" w:cs="Times New Roman"/>
          <w:sz w:val="24"/>
          <w:szCs w:val="24"/>
        </w:rPr>
        <w:t>on monocytes</w:t>
      </w:r>
      <w:r w:rsidR="00F55482" w:rsidRPr="00922C73">
        <w:rPr>
          <w:rFonts w:ascii="Times New Roman" w:hAnsi="Times New Roman" w:cs="Times New Roman"/>
          <w:sz w:val="24"/>
          <w:szCs w:val="24"/>
        </w:rPr>
        <w:t xml:space="preserve"> </w:t>
      </w:r>
      <w:r w:rsidR="00335700" w:rsidRPr="00922C73">
        <w:rPr>
          <w:rFonts w:ascii="Times New Roman" w:hAnsi="Times New Roman" w:cs="Times New Roman"/>
          <w:sz w:val="24"/>
          <w:szCs w:val="24"/>
        </w:rPr>
        <w:t xml:space="preserve">interrupt </w:t>
      </w:r>
      <w:r w:rsidR="009B2606" w:rsidRPr="00922C73">
        <w:rPr>
          <w:rFonts w:ascii="Times New Roman" w:hAnsi="Times New Roman" w:cs="Times New Roman"/>
          <w:sz w:val="24"/>
          <w:szCs w:val="24"/>
        </w:rPr>
        <w:t>anti-apoptosis signals</w:t>
      </w:r>
      <w:r w:rsidR="00F55482" w:rsidRPr="00922C73">
        <w:rPr>
          <w:rFonts w:ascii="Times New Roman" w:eastAsia="Times New Roman" w:hAnsi="Times New Roman" w:cs="Times New Roman"/>
          <w:sz w:val="24"/>
          <w:szCs w:val="24"/>
          <w:lang w:eastAsia="en-GB"/>
        </w:rPr>
        <w:t xml:space="preserve"> via</w:t>
      </w:r>
      <w:r w:rsidR="008A3D5F" w:rsidRPr="00922C73">
        <w:rPr>
          <w:rFonts w:ascii="Times New Roman" w:eastAsia="Times New Roman" w:hAnsi="Times New Roman" w:cs="Times New Roman"/>
          <w:sz w:val="24"/>
          <w:szCs w:val="24"/>
          <w:lang w:eastAsia="en-GB"/>
        </w:rPr>
        <w:t xml:space="preserve"> TNF</w:t>
      </w:r>
      <w:r w:rsidR="005E23F4" w:rsidRPr="00922C73">
        <w:rPr>
          <w:rFonts w:ascii="Times New Roman" w:eastAsia="Times New Roman" w:hAnsi="Times New Roman" w:cs="Times New Roman"/>
          <w:sz w:val="24"/>
          <w:szCs w:val="24"/>
          <w:lang w:eastAsia="en-GB"/>
        </w:rPr>
        <w:t xml:space="preserve"> receptor 2</w:t>
      </w:r>
      <w:r w:rsidR="008A3D5F" w:rsidRPr="00922C73">
        <w:rPr>
          <w:rFonts w:ascii="Times New Roman" w:eastAsia="Times New Roman" w:hAnsi="Times New Roman" w:cs="Times New Roman"/>
          <w:sz w:val="24"/>
          <w:szCs w:val="24"/>
          <w:lang w:eastAsia="en-GB"/>
        </w:rPr>
        <w:t xml:space="preserve"> on CD4 T cells</w:t>
      </w:r>
      <w:r w:rsidR="00F55482" w:rsidRPr="00922C73">
        <w:rPr>
          <w:rFonts w:ascii="Times New Roman" w:eastAsia="Times New Roman" w:hAnsi="Times New Roman" w:cs="Times New Roman"/>
          <w:sz w:val="24"/>
          <w:szCs w:val="24"/>
          <w:lang w:eastAsia="en-GB"/>
        </w:rPr>
        <w:t xml:space="preserve"> via reverse signalling.</w:t>
      </w:r>
    </w:p>
    <w:p w14:paraId="4C8A238E" w14:textId="3BD8004F" w:rsidR="00CE3B82" w:rsidRPr="00922C73" w:rsidRDefault="00D17CF0" w:rsidP="004C429E">
      <w:pPr>
        <w:autoSpaceDE w:val="0"/>
        <w:autoSpaceDN w:val="0"/>
        <w:adjustRightInd w:val="0"/>
        <w:spacing w:after="0" w:line="240" w:lineRule="auto"/>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T</w:t>
      </w:r>
      <w:r w:rsidR="001C3FEE" w:rsidRPr="00922C73">
        <w:rPr>
          <w:rFonts w:ascii="Times New Roman" w:hAnsi="Times New Roman" w:cs="Times New Roman"/>
          <w:sz w:val="24"/>
          <w:szCs w:val="24"/>
        </w:rPr>
        <w:t xml:space="preserve">he development of antibodies to infliximab </w:t>
      </w:r>
      <w:r w:rsidR="005409E4" w:rsidRPr="00922C73">
        <w:rPr>
          <w:rFonts w:ascii="Times New Roman" w:hAnsi="Times New Roman" w:cs="Times New Roman"/>
          <w:sz w:val="24"/>
          <w:szCs w:val="24"/>
        </w:rPr>
        <w:t xml:space="preserve">may </w:t>
      </w:r>
      <w:r w:rsidR="0055654E" w:rsidRPr="00922C73">
        <w:rPr>
          <w:rFonts w:ascii="Times New Roman" w:hAnsi="Times New Roman" w:cs="Times New Roman"/>
          <w:sz w:val="24"/>
          <w:szCs w:val="24"/>
        </w:rPr>
        <w:t>affect</w:t>
      </w:r>
      <w:r w:rsidR="005409E4" w:rsidRPr="00922C73">
        <w:rPr>
          <w:rFonts w:ascii="Times New Roman" w:hAnsi="Times New Roman" w:cs="Times New Roman"/>
          <w:sz w:val="24"/>
          <w:szCs w:val="24"/>
        </w:rPr>
        <w:t xml:space="preserve"> infliximab</w:t>
      </w:r>
      <w:r w:rsidR="00077D97" w:rsidRPr="00922C73">
        <w:rPr>
          <w:rFonts w:ascii="Times New Roman" w:hAnsi="Times New Roman" w:cs="Times New Roman"/>
          <w:sz w:val="24"/>
          <w:szCs w:val="24"/>
        </w:rPr>
        <w:t>’</w:t>
      </w:r>
      <w:r w:rsidR="005409E4" w:rsidRPr="00922C73">
        <w:rPr>
          <w:rFonts w:ascii="Times New Roman" w:hAnsi="Times New Roman" w:cs="Times New Roman"/>
          <w:sz w:val="24"/>
          <w:szCs w:val="24"/>
        </w:rPr>
        <w:t xml:space="preserve">s </w:t>
      </w:r>
      <w:r w:rsidR="00077D97" w:rsidRPr="00922C73">
        <w:rPr>
          <w:rFonts w:ascii="Times New Roman" w:hAnsi="Times New Roman" w:cs="Times New Roman"/>
          <w:sz w:val="24"/>
          <w:szCs w:val="24"/>
        </w:rPr>
        <w:t xml:space="preserve">efficacy </w:t>
      </w:r>
      <w:r w:rsidR="0055654E" w:rsidRPr="00922C73">
        <w:rPr>
          <w:rFonts w:ascii="Times New Roman" w:hAnsi="Times New Roman" w:cs="Times New Roman"/>
          <w:sz w:val="24"/>
          <w:szCs w:val="24"/>
        </w:rPr>
        <w:t>as</w:t>
      </w:r>
      <w:r w:rsidR="00077D97" w:rsidRPr="00922C73">
        <w:rPr>
          <w:rFonts w:ascii="Times New Roman" w:hAnsi="Times New Roman" w:cs="Times New Roman"/>
          <w:sz w:val="24"/>
          <w:szCs w:val="24"/>
        </w:rPr>
        <w:t xml:space="preserve"> </w:t>
      </w:r>
      <w:r w:rsidR="0055654E" w:rsidRPr="00922C73">
        <w:rPr>
          <w:rFonts w:ascii="Times New Roman" w:hAnsi="Times New Roman" w:cs="Times New Roman"/>
          <w:sz w:val="24"/>
          <w:szCs w:val="24"/>
        </w:rPr>
        <w:t xml:space="preserve">it interacts with its </w:t>
      </w:r>
      <w:r w:rsidR="005409E4" w:rsidRPr="00922C73">
        <w:rPr>
          <w:rFonts w:ascii="Times New Roman" w:hAnsi="Times New Roman" w:cs="Times New Roman"/>
          <w:sz w:val="24"/>
          <w:szCs w:val="24"/>
        </w:rPr>
        <w:t xml:space="preserve">ability to bind to </w:t>
      </w:r>
      <w:r w:rsidR="00077D97" w:rsidRPr="00922C73">
        <w:rPr>
          <w:rFonts w:ascii="Times New Roman" w:hAnsi="Times New Roman" w:cs="Times New Roman"/>
          <w:sz w:val="24"/>
          <w:szCs w:val="24"/>
        </w:rPr>
        <w:t xml:space="preserve">soluble and transmembrane </w:t>
      </w:r>
      <w:r w:rsidR="005409E4" w:rsidRPr="00922C73">
        <w:rPr>
          <w:rFonts w:ascii="Times New Roman" w:hAnsi="Times New Roman" w:cs="Times New Roman"/>
          <w:sz w:val="24"/>
          <w:szCs w:val="24"/>
        </w:rPr>
        <w:t>TNF</w:t>
      </w:r>
      <w:r w:rsidR="00077D97" w:rsidRPr="00922C73">
        <w:rPr>
          <w:rFonts w:ascii="Times New Roman" w:hAnsi="Times New Roman" w:cs="Times New Roman"/>
          <w:sz w:val="24"/>
          <w:szCs w:val="24"/>
        </w:rPr>
        <w:t>α</w:t>
      </w:r>
      <w:r w:rsidR="0055654E" w:rsidRPr="00922C73">
        <w:rPr>
          <w:rFonts w:ascii="Times New Roman" w:hAnsi="Times New Roman" w:cs="Times New Roman"/>
          <w:sz w:val="24"/>
          <w:szCs w:val="24"/>
        </w:rPr>
        <w:t xml:space="preserve"> and</w:t>
      </w:r>
      <w:r w:rsidR="00077D97" w:rsidRPr="00922C73">
        <w:rPr>
          <w:rFonts w:ascii="Times New Roman" w:hAnsi="Times New Roman" w:cs="Times New Roman"/>
          <w:sz w:val="24"/>
          <w:szCs w:val="24"/>
        </w:rPr>
        <w:t xml:space="preserve"> the Fc receptor and </w:t>
      </w:r>
      <w:r w:rsidR="0055654E" w:rsidRPr="00922C73">
        <w:rPr>
          <w:rFonts w:ascii="Times New Roman" w:hAnsi="Times New Roman" w:cs="Times New Roman"/>
          <w:sz w:val="24"/>
          <w:szCs w:val="24"/>
        </w:rPr>
        <w:t>due to</w:t>
      </w:r>
      <w:r w:rsidR="00077D97" w:rsidRPr="00922C73">
        <w:rPr>
          <w:rFonts w:ascii="Times New Roman" w:hAnsi="Times New Roman" w:cs="Times New Roman"/>
          <w:sz w:val="24"/>
          <w:szCs w:val="24"/>
        </w:rPr>
        <w:t xml:space="preserve"> increased clearance of the drug</w:t>
      </w:r>
      <w:r w:rsidR="00252BDC" w:rsidRPr="00922C73">
        <w:rPr>
          <w:rFonts w:ascii="Times New Roman" w:hAnsi="Times New Roman" w:cs="Times New Roman"/>
          <w:sz w:val="24"/>
          <w:szCs w:val="24"/>
        </w:rPr>
        <w:t xml:space="preserve"> via immune complex formation.</w:t>
      </w:r>
    </w:p>
    <w:p w14:paraId="25D10D92" w14:textId="77777777" w:rsidR="004C429E" w:rsidRPr="00922C73" w:rsidRDefault="005F1A02" w:rsidP="004C429E">
      <w:pPr>
        <w:autoSpaceDE w:val="0"/>
        <w:autoSpaceDN w:val="0"/>
        <w:adjustRightInd w:val="0"/>
        <w:spacing w:after="0" w:line="240" w:lineRule="auto"/>
        <w:rPr>
          <w:rFonts w:ascii="Calibri" w:hAnsi="Calibri" w:cs="Calibri"/>
          <w:i/>
          <w:iCs/>
          <w:sz w:val="24"/>
          <w:szCs w:val="24"/>
        </w:rPr>
      </w:pPr>
      <w:r w:rsidRPr="00922C73">
        <w:rPr>
          <w:rFonts w:ascii="Times New Roman" w:hAnsi="Times New Roman" w:cs="Times New Roman"/>
          <w:i/>
          <w:iCs/>
          <w:sz w:val="24"/>
          <w:szCs w:val="24"/>
        </w:rPr>
        <w:t>(</w:t>
      </w:r>
      <w:r w:rsidR="00F934EF" w:rsidRPr="00922C73">
        <w:rPr>
          <w:rFonts w:ascii="Times New Roman" w:hAnsi="Times New Roman" w:cs="Times New Roman"/>
          <w:i/>
          <w:iCs/>
          <w:sz w:val="24"/>
          <w:szCs w:val="24"/>
        </w:rPr>
        <w:t xml:space="preserve">Fc: </w:t>
      </w:r>
      <w:r w:rsidR="001C60E2" w:rsidRPr="00922C73">
        <w:rPr>
          <w:rFonts w:ascii="Times New Roman" w:hAnsi="Times New Roman" w:cs="Times New Roman"/>
          <w:i/>
          <w:iCs/>
          <w:sz w:val="24"/>
          <w:szCs w:val="24"/>
        </w:rPr>
        <w:t xml:space="preserve">crystalline fragment, </w:t>
      </w:r>
      <w:r w:rsidRPr="00922C73">
        <w:rPr>
          <w:rFonts w:ascii="Times New Roman" w:hAnsi="Times New Roman" w:cs="Times New Roman"/>
          <w:i/>
          <w:iCs/>
          <w:sz w:val="24"/>
          <w:szCs w:val="24"/>
        </w:rPr>
        <w:t>TNF</w:t>
      </w:r>
      <w:r w:rsidRPr="00922C73">
        <w:rPr>
          <w:rFonts w:ascii="Calibri" w:hAnsi="Calibri" w:cs="Calibri"/>
          <w:i/>
          <w:iCs/>
          <w:sz w:val="24"/>
          <w:szCs w:val="24"/>
        </w:rPr>
        <w:t>α</w:t>
      </w:r>
      <w:r w:rsidRPr="00922C73">
        <w:rPr>
          <w:rFonts w:ascii="Times New Roman" w:hAnsi="Times New Roman" w:cs="Times New Roman"/>
          <w:i/>
          <w:iCs/>
          <w:sz w:val="24"/>
          <w:szCs w:val="24"/>
        </w:rPr>
        <w:t>: tumour necrosis factor-</w:t>
      </w:r>
      <w:r w:rsidRPr="00922C73">
        <w:rPr>
          <w:rFonts w:ascii="Calibri" w:hAnsi="Calibri" w:cs="Calibri"/>
          <w:i/>
          <w:iCs/>
          <w:sz w:val="24"/>
          <w:szCs w:val="24"/>
        </w:rPr>
        <w:t>α</w:t>
      </w:r>
      <w:r w:rsidR="001C60E2" w:rsidRPr="00922C73">
        <w:rPr>
          <w:rFonts w:ascii="Calibri" w:hAnsi="Calibri" w:cs="Calibri"/>
          <w:i/>
          <w:iCs/>
          <w:sz w:val="24"/>
          <w:szCs w:val="24"/>
        </w:rPr>
        <w:t>)</w:t>
      </w:r>
    </w:p>
    <w:p w14:paraId="58413AA0"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2AA786FA"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1919D2B3"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4B92A0CF"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7301B82E"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3FA9A0CA"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752CFBF5"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565EC2E7"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0A3C9674"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1CC1AC14" w14:textId="77777777" w:rsidR="004C429E" w:rsidRPr="00922C73" w:rsidRDefault="004C429E" w:rsidP="004C429E">
      <w:pPr>
        <w:autoSpaceDE w:val="0"/>
        <w:autoSpaceDN w:val="0"/>
        <w:adjustRightInd w:val="0"/>
        <w:spacing w:after="0" w:line="240" w:lineRule="auto"/>
        <w:rPr>
          <w:rFonts w:ascii="Calibri" w:hAnsi="Calibri" w:cs="Calibri"/>
          <w:i/>
          <w:iCs/>
          <w:sz w:val="24"/>
          <w:szCs w:val="24"/>
        </w:rPr>
      </w:pPr>
    </w:p>
    <w:p w14:paraId="7F790E51" w14:textId="5164A2AD" w:rsidR="003778D2" w:rsidRPr="00922C73" w:rsidRDefault="005F1A02" w:rsidP="004C429E">
      <w:pPr>
        <w:autoSpaceDE w:val="0"/>
        <w:autoSpaceDN w:val="0"/>
        <w:adjustRightInd w:val="0"/>
        <w:spacing w:after="0" w:line="240" w:lineRule="auto"/>
        <w:rPr>
          <w:rFonts w:ascii="Times New Roman" w:hAnsi="Times New Roman" w:cs="Times New Roman"/>
          <w:i/>
          <w:iCs/>
          <w:sz w:val="24"/>
          <w:szCs w:val="24"/>
        </w:rPr>
      </w:pPr>
      <w:r w:rsidRPr="00922C73">
        <w:rPr>
          <w:rFonts w:ascii="Calibri" w:hAnsi="Calibri" w:cs="Calibri"/>
          <w:i/>
          <w:iCs/>
          <w:sz w:val="24"/>
          <w:szCs w:val="24"/>
        </w:rPr>
        <w:t xml:space="preserve"> </w:t>
      </w:r>
    </w:p>
    <w:p w14:paraId="7DFDE457" w14:textId="1F871E4A" w:rsidR="003C43BF" w:rsidRPr="00922C73" w:rsidRDefault="003C43BF" w:rsidP="00F64D9D">
      <w:pPr>
        <w:autoSpaceDE w:val="0"/>
        <w:autoSpaceDN w:val="0"/>
        <w:adjustRightInd w:val="0"/>
        <w:spacing w:after="0" w:line="480" w:lineRule="auto"/>
        <w:rPr>
          <w:rFonts w:ascii="Times New Roman" w:hAnsi="Times New Roman" w:cs="Times New Roman"/>
          <w:i/>
          <w:iCs/>
          <w:sz w:val="24"/>
          <w:szCs w:val="24"/>
        </w:rPr>
      </w:pPr>
      <w:r w:rsidRPr="00922C73">
        <w:rPr>
          <w:rFonts w:ascii="Times New Roman" w:hAnsi="Times New Roman" w:cs="Times New Roman"/>
          <w:i/>
          <w:iCs/>
          <w:sz w:val="24"/>
          <w:szCs w:val="24"/>
        </w:rPr>
        <w:lastRenderedPageBreak/>
        <w:t xml:space="preserve">Pharmacokinetics </w:t>
      </w:r>
    </w:p>
    <w:p w14:paraId="290A5F11" w14:textId="2D4D0A4E" w:rsidR="005E3EC8" w:rsidRPr="00922C73" w:rsidRDefault="00575236"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Monoclonal antibodies a</w:t>
      </w:r>
      <w:r w:rsidR="004E5A0A" w:rsidRPr="00922C73">
        <w:rPr>
          <w:rFonts w:ascii="Times New Roman" w:hAnsi="Times New Roman" w:cs="Times New Roman"/>
          <w:sz w:val="24"/>
          <w:szCs w:val="24"/>
        </w:rPr>
        <w:t>s</w:t>
      </w:r>
      <w:r w:rsidRPr="00922C73">
        <w:rPr>
          <w:rFonts w:ascii="Times New Roman" w:hAnsi="Times New Roman" w:cs="Times New Roman"/>
          <w:sz w:val="24"/>
          <w:szCs w:val="24"/>
        </w:rPr>
        <w:t xml:space="preserve"> large molecules </w:t>
      </w:r>
      <w:r w:rsidR="00867470" w:rsidRPr="00922C73">
        <w:rPr>
          <w:rFonts w:ascii="Times New Roman" w:hAnsi="Times New Roman" w:cs="Times New Roman"/>
          <w:sz w:val="24"/>
          <w:szCs w:val="24"/>
        </w:rPr>
        <w:t>are</w:t>
      </w:r>
      <w:r w:rsidR="004E5A0A" w:rsidRPr="00922C73">
        <w:rPr>
          <w:rFonts w:ascii="Times New Roman" w:hAnsi="Times New Roman" w:cs="Times New Roman"/>
          <w:sz w:val="24"/>
          <w:szCs w:val="24"/>
        </w:rPr>
        <w:t xml:space="preserve"> not readily absorbed from the gastrointestinal tract</w:t>
      </w:r>
      <w:r w:rsidR="00867470" w:rsidRPr="00922C73">
        <w:rPr>
          <w:rFonts w:ascii="Times New Roman" w:hAnsi="Times New Roman" w:cs="Times New Roman"/>
          <w:sz w:val="24"/>
          <w:szCs w:val="24"/>
        </w:rPr>
        <w:t xml:space="preserve"> and are administered intravenously or subcutaneously</w:t>
      </w:r>
      <w:r w:rsidR="004E5A0A" w:rsidRPr="00922C73">
        <w:rPr>
          <w:rFonts w:ascii="Times New Roman" w:hAnsi="Times New Roman" w:cs="Times New Roman"/>
          <w:sz w:val="24"/>
          <w:szCs w:val="24"/>
        </w:rPr>
        <w:t xml:space="preserve"> </w:t>
      </w:r>
      <w:r w:rsidR="0042068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10.1007/s40262-017-0627-0","ISSN":"0312-5963","author":[{"dropping-particle":"","family":"Hemperly","given":"Amy","non-dropping-particle":"","parse-names":false,"suffix":""},{"dropping-particle":"","family":"Casteele","given":"Niels","non-dropping-particle":"Vande","parse-names":false,"suffix":""}],"container-title":"Clinical Pharmacokinetics","id":"ITEM-1","issue":"8","issued":{"date-parts":[["2018","8","12"]]},"page":"929-942","title":"Clinical Pharmacokinetics and Pharmacodynamics of Infliximab in the Treatment of Inflammatory Bowel Disease","type":"article-journal","volume":"57"},"uris":["http://www.mendeley.com/documents/?uuid=2926108a-236b-4115-a1d9-79a86d4663df"]}],"mendeley":{"formattedCitation":"&lt;sup&gt;61&lt;/sup&gt;","plainTextFormattedCitation":"61","previouslyFormattedCitation":"&lt;sup&gt;61&lt;/sup&gt;"},"properties":{"noteIndex":0},"schema":"https://github.com/citation-style-language/schema/raw/master/csl-citation.json"}</w:instrText>
      </w:r>
      <w:r w:rsidR="0042068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61</w:t>
      </w:r>
      <w:r w:rsidR="0042068D"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0055710A" w:rsidRPr="00922C73">
        <w:rPr>
          <w:rFonts w:ascii="Times New Roman" w:hAnsi="Times New Roman" w:cs="Times New Roman"/>
          <w:sz w:val="24"/>
          <w:szCs w:val="24"/>
        </w:rPr>
        <w:t xml:space="preserve"> </w:t>
      </w:r>
      <w:r w:rsidR="003778D2" w:rsidRPr="00922C73">
        <w:rPr>
          <w:rFonts w:ascii="Times New Roman" w:hAnsi="Times New Roman" w:cs="Times New Roman"/>
          <w:sz w:val="24"/>
          <w:szCs w:val="24"/>
        </w:rPr>
        <w:t xml:space="preserve">A study in 108 CD patients showed that response at 4 weeks after a single infusion of infliximab of 5 mg/kg was higher at 81% compared to patients who were administered 10 or 20 mg/kg (50% and 64% respectively) </w:t>
      </w:r>
      <w:r w:rsidR="003778D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{"citationItems":[{"id":"ITEM-1","itemData":{"DOI":"10.1056/NEJM199710093371502","ISSN":"0028-4793","author":[{"dropping-particle":"","family":"Targan","given":"Stephan R.","non-dropping-particle":"","parse-names":false,"suffix":""},{"dropping-particle":"","family":"Hanauer","given":"Stephen B.","non-dropping-particle":"","parse-names":false,"suffix":""},{"dropping-particle":"","family":"Deventer","given":"Sander J.H.","non-dropping-particle":"van","parse-names":false,"suffix":""},{"dropping-particle":"","family":"Mayer","given":"Lloyd","non-dropping-particle":"","parse-names":false,"suffix":""},{"dropping-particle":"","family":"Present","given":"Daniel H.","non-dropping-particle":"","parse-names":false,"suffix":""},{"dropping-particle":"","family":"Braakman","given":"Tanja","non-dropping-particle":"","parse-names":false,"suffix":""},{"dropping-particle":"","family":"DeWoody","given":"Kimberly L.","non-dropping-particle":"","parse-names":false,"suffix":""},{"dropping-particle":"","family":"Schaible","given":"Thomas F.","non-dropping-particle":"","parse-names":false,"suffix":""},{"dropping-particle":"","family":"Rutgeerts","given":"Paul J.","non-dropping-particle":"","parse-names":false,"suffix":""}],"container-title":"New England Journal of Medicine","id":"ITEM-1","issue":"15","issued":{"date-parts":[["1997","10"]]},"page":"1029-1036","title":"A Short-Term Study of Chimeric Monoclonal Antibody cA2 to Tumor Necrosis Factor α for Crohn's Disease","type":"article-journal","volume":"337"},"uris":["http://www.mendeley.com/documents/?uuid=f1fcede8-e99c-4ec1-b55c-05861589ad31"]}],"mendeley":{"formattedCitation":"&lt;sup&gt;62&lt;/sup&gt;","plainTextFormattedCitation":"62","previouslyFormattedCitation":"&lt;sup&gt;62&lt;/sup&gt;"},"properties":{"noteIndex":0},"schema":"https://github.com/citation-style-language/schema/raw/master/csl-citation.json"}</w:instrText>
      </w:r>
      <w:r w:rsidR="003778D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62</w:t>
      </w:r>
      <w:r w:rsidR="003778D2" w:rsidRPr="00922C73">
        <w:rPr>
          <w:rFonts w:ascii="Times New Roman" w:hAnsi="Times New Roman" w:cs="Times New Roman"/>
          <w:sz w:val="24"/>
          <w:szCs w:val="24"/>
        </w:rPr>
        <w:fldChar w:fldCharType="end"/>
      </w:r>
      <w:r w:rsidR="003778D2" w:rsidRPr="00922C73">
        <w:rPr>
          <w:rFonts w:ascii="Times New Roman" w:hAnsi="Times New Roman" w:cs="Times New Roman"/>
          <w:sz w:val="24"/>
          <w:szCs w:val="24"/>
        </w:rPr>
        <w:t xml:space="preserve">. </w:t>
      </w:r>
      <w:r w:rsidR="00307650" w:rsidRPr="00922C73">
        <w:rPr>
          <w:rFonts w:ascii="Times New Roman" w:hAnsi="Times New Roman" w:cs="Times New Roman"/>
          <w:sz w:val="24"/>
          <w:szCs w:val="24"/>
        </w:rPr>
        <w:t>A</w:t>
      </w:r>
      <w:r w:rsidR="004B4BB9" w:rsidRPr="00922C73">
        <w:rPr>
          <w:rFonts w:ascii="Times New Roman" w:hAnsi="Times New Roman" w:cs="Times New Roman"/>
          <w:sz w:val="24"/>
          <w:szCs w:val="24"/>
        </w:rPr>
        <w:t xml:space="preserve"> pharmacokinetic</w:t>
      </w:r>
      <w:r w:rsidR="003778D2" w:rsidRPr="00922C73">
        <w:rPr>
          <w:rFonts w:ascii="Times New Roman" w:hAnsi="Times New Roman" w:cs="Times New Roman"/>
          <w:sz w:val="24"/>
          <w:szCs w:val="24"/>
        </w:rPr>
        <w:t xml:space="preserve"> study in 25 CD patients illustrated that after a single intravenous administration of 5 mg/kg, infliximab is largely distributed in the vascular compartment and has a half-life of 10 days with detectable levels at 8 to 12 week post infusion </w:t>
      </w:r>
      <w:r w:rsidR="003778D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{"citationItems":[{"id":"ITEM-1","itemData":{"author":[{"dropping-particle":"","family":"Wagner C, Mace K, DeWoody K","given":"et al.","non-dropping-particle":"","parse-names":false,"suffix":""}],"container-title":"Presented at World Congress of Gastroenterology Meeting. Vienna, Austria. Abstract 1252.","id":"ITEM-1","issued":{"date-parts":[["1998"]]},"title":"Infliximab treatment benefits correlate with pharmacodynamic parameters in Crohn’s disease patients.","type":"paper-conference"},"uris":["http://www.mendeley.com/documents/?uuid=9b764375-0e76-48d9-8492-9894a09c789a"]}],"mendeley":{"formattedCitation":"&lt;sup&gt;63&lt;/sup&gt;","plainTextFormattedCitation":"63","previouslyFormattedCitation":"&lt;sup&gt;63&lt;/sup&gt;"},"properties":{"noteIndex":0},"schema":"https://github.com/citation-style-language/schema/raw/master/csl-citation.json"}</w:instrText>
      </w:r>
      <w:r w:rsidR="003778D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63</w:t>
      </w:r>
      <w:r w:rsidR="003778D2" w:rsidRPr="00922C73">
        <w:rPr>
          <w:rFonts w:ascii="Times New Roman" w:hAnsi="Times New Roman" w:cs="Times New Roman"/>
          <w:sz w:val="24"/>
          <w:szCs w:val="24"/>
        </w:rPr>
        <w:fldChar w:fldCharType="end"/>
      </w:r>
      <w:r w:rsidR="003778D2" w:rsidRPr="00922C73">
        <w:rPr>
          <w:rFonts w:ascii="Times New Roman" w:hAnsi="Times New Roman" w:cs="Times New Roman"/>
          <w:sz w:val="24"/>
          <w:szCs w:val="24"/>
        </w:rPr>
        <w:t>.</w:t>
      </w:r>
      <w:r w:rsidR="002028CA" w:rsidRPr="00922C73">
        <w:rPr>
          <w:rFonts w:ascii="Times New Roman" w:hAnsi="Times New Roman" w:cs="Times New Roman"/>
          <w:sz w:val="24"/>
          <w:szCs w:val="24"/>
        </w:rPr>
        <w:t xml:space="preserve"> Intravenous administration </w:t>
      </w:r>
      <w:r w:rsidR="008613BC" w:rsidRPr="00922C73">
        <w:rPr>
          <w:rFonts w:ascii="Times New Roman" w:hAnsi="Times New Roman" w:cs="Times New Roman"/>
          <w:sz w:val="24"/>
          <w:szCs w:val="24"/>
        </w:rPr>
        <w:t>means 100% bioavailability.</w:t>
      </w:r>
      <w:r w:rsidR="00333FD5" w:rsidRPr="00922C73">
        <w:rPr>
          <w:rFonts w:ascii="Times New Roman" w:hAnsi="Times New Roman" w:cs="Times New Roman"/>
          <w:sz w:val="24"/>
          <w:szCs w:val="24"/>
        </w:rPr>
        <w:t xml:space="preserve"> Due to its large size as a monoclonal antibody, i</w:t>
      </w:r>
      <w:r w:rsidR="0055710A" w:rsidRPr="00922C73">
        <w:rPr>
          <w:rFonts w:ascii="Times New Roman" w:hAnsi="Times New Roman" w:cs="Times New Roman"/>
          <w:sz w:val="24"/>
          <w:szCs w:val="24"/>
        </w:rPr>
        <w:t>nfliximab is distributed in the bloodstream and extracellular spac</w:t>
      </w:r>
      <w:r w:rsidR="00AD6A7E" w:rsidRPr="00922C73">
        <w:rPr>
          <w:rFonts w:ascii="Times New Roman" w:hAnsi="Times New Roman" w:cs="Times New Roman"/>
          <w:sz w:val="24"/>
          <w:szCs w:val="24"/>
        </w:rPr>
        <w:t>e and cleared by catabolism</w:t>
      </w:r>
      <w:r w:rsidR="00DD10CE" w:rsidRPr="00922C73">
        <w:rPr>
          <w:rFonts w:ascii="Times New Roman" w:hAnsi="Times New Roman" w:cs="Times New Roman"/>
          <w:sz w:val="24"/>
          <w:szCs w:val="24"/>
        </w:rPr>
        <w:t xml:space="preserve"> </w:t>
      </w:r>
      <w:r w:rsidR="00DD10CE"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10.1007/s40262-017-0627-0","ISSN":"0312-5963","author":[{"dropping-particle":"","family":"Hemperly","given":"Amy","non-dropping-particle":"","parse-names":false,"suffix":""},{"dropping-particle":"","family":"Casteele","given":"Niels","non-dropping-particle":"Vande","parse-names":false,"suffix":""}],"container-title":"Clinical Pharmacokinetics","id":"ITEM-1","issue":"8","issued":{"date-parts":[["2018","8","12"]]},"page":"929-942","title":"Clinical Pharmacokinetics and Pharmacodynamics of Infliximab in the Treatment of Inflammatory Bowel Disease","type":"article-journal","volume":"57"},"uris":["http://www.mendeley.com/documents/?uuid=2926108a-236b-4115-a1d9-79a86d4663df"]}],"mendeley":{"formattedCitation":"&lt;sup&gt;61&lt;/sup&gt;","plainTextFormattedCitation":"61","previouslyFormattedCitation":"&lt;sup&gt;61&lt;/sup&gt;"},"properties":{"noteIndex":0},"schema":"https://github.com/citation-style-language/schema/raw/master/csl-citation.json"}</w:instrText>
      </w:r>
      <w:r w:rsidR="00DD10CE"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61</w:t>
      </w:r>
      <w:r w:rsidR="00DD10CE" w:rsidRPr="00922C73">
        <w:rPr>
          <w:rFonts w:ascii="Times New Roman" w:hAnsi="Times New Roman" w:cs="Times New Roman"/>
          <w:sz w:val="24"/>
          <w:szCs w:val="24"/>
        </w:rPr>
        <w:fldChar w:fldCharType="end"/>
      </w:r>
      <w:r w:rsidR="00AD6A7E" w:rsidRPr="00922C73">
        <w:rPr>
          <w:rFonts w:ascii="Times New Roman" w:hAnsi="Times New Roman" w:cs="Times New Roman"/>
          <w:sz w:val="24"/>
          <w:szCs w:val="24"/>
        </w:rPr>
        <w:t xml:space="preserve">. </w:t>
      </w:r>
      <w:r w:rsidR="00717B66" w:rsidRPr="00922C73">
        <w:rPr>
          <w:rFonts w:ascii="Times New Roman" w:hAnsi="Times New Roman" w:cs="Times New Roman"/>
          <w:sz w:val="24"/>
          <w:szCs w:val="24"/>
        </w:rPr>
        <w:t xml:space="preserve">Infliximab’s clearance is </w:t>
      </w:r>
      <w:r w:rsidR="00785A3D" w:rsidRPr="00922C73">
        <w:rPr>
          <w:rFonts w:ascii="Times New Roman" w:hAnsi="Times New Roman" w:cs="Times New Roman"/>
          <w:sz w:val="24"/>
          <w:szCs w:val="24"/>
        </w:rPr>
        <w:t xml:space="preserve">increased </w:t>
      </w:r>
      <w:r w:rsidR="00734E0F" w:rsidRPr="00922C73">
        <w:rPr>
          <w:rFonts w:ascii="Times New Roman" w:hAnsi="Times New Roman" w:cs="Times New Roman"/>
          <w:sz w:val="24"/>
          <w:szCs w:val="24"/>
        </w:rPr>
        <w:t>b</w:t>
      </w:r>
      <w:r w:rsidR="00717B66" w:rsidRPr="00922C73">
        <w:rPr>
          <w:rFonts w:ascii="Times New Roman" w:hAnsi="Times New Roman" w:cs="Times New Roman"/>
          <w:sz w:val="24"/>
          <w:szCs w:val="24"/>
        </w:rPr>
        <w:t xml:space="preserve">y a </w:t>
      </w:r>
      <w:r w:rsidR="004F26B9" w:rsidRPr="00922C73">
        <w:rPr>
          <w:rFonts w:ascii="Times New Roman" w:hAnsi="Times New Roman" w:cs="Times New Roman"/>
          <w:sz w:val="24"/>
          <w:szCs w:val="24"/>
        </w:rPr>
        <w:t>high</w:t>
      </w:r>
      <w:r w:rsidR="00734E0F" w:rsidRPr="00922C73">
        <w:rPr>
          <w:rFonts w:ascii="Times New Roman" w:hAnsi="Times New Roman" w:cs="Times New Roman"/>
          <w:sz w:val="24"/>
          <w:szCs w:val="24"/>
        </w:rPr>
        <w:t>er</w:t>
      </w:r>
      <w:r w:rsidR="00880144" w:rsidRPr="00922C73">
        <w:rPr>
          <w:rFonts w:ascii="Times New Roman" w:hAnsi="Times New Roman" w:cs="Times New Roman"/>
          <w:sz w:val="24"/>
          <w:szCs w:val="24"/>
        </w:rPr>
        <w:t xml:space="preserve"> body weight, immune complex formation from anti-drug antibodies and high</w:t>
      </w:r>
      <w:r w:rsidR="004F26B9" w:rsidRPr="00922C73">
        <w:rPr>
          <w:rFonts w:ascii="Times New Roman" w:hAnsi="Times New Roman" w:cs="Times New Roman"/>
          <w:sz w:val="24"/>
          <w:szCs w:val="24"/>
        </w:rPr>
        <w:t xml:space="preserve"> inflammatory state </w:t>
      </w:r>
      <w:r w:rsidR="00171BE2" w:rsidRPr="00922C73">
        <w:rPr>
          <w:rFonts w:ascii="Times New Roman" w:hAnsi="Times New Roman" w:cs="Times New Roman"/>
          <w:sz w:val="24"/>
          <w:szCs w:val="24"/>
        </w:rPr>
        <w:t xml:space="preserve">demonstrated by </w:t>
      </w:r>
      <w:r w:rsidR="00880144" w:rsidRPr="00922C73">
        <w:rPr>
          <w:rFonts w:ascii="Times New Roman" w:hAnsi="Times New Roman" w:cs="Times New Roman"/>
          <w:sz w:val="24"/>
          <w:szCs w:val="24"/>
        </w:rPr>
        <w:t>an increased</w:t>
      </w:r>
      <w:r w:rsidR="00171BE2" w:rsidRPr="00922C73">
        <w:rPr>
          <w:rFonts w:ascii="Times New Roman" w:hAnsi="Times New Roman" w:cs="Times New Roman"/>
          <w:sz w:val="24"/>
          <w:szCs w:val="24"/>
        </w:rPr>
        <w:t xml:space="preserve"> CRP, </w:t>
      </w:r>
      <w:r w:rsidR="00880144" w:rsidRPr="00922C73">
        <w:rPr>
          <w:rFonts w:ascii="Times New Roman" w:hAnsi="Times New Roman" w:cs="Times New Roman"/>
          <w:sz w:val="24"/>
          <w:szCs w:val="24"/>
        </w:rPr>
        <w:t xml:space="preserve">reduced </w:t>
      </w:r>
      <w:r w:rsidR="00171BE2" w:rsidRPr="00922C73">
        <w:rPr>
          <w:rFonts w:ascii="Times New Roman" w:hAnsi="Times New Roman" w:cs="Times New Roman"/>
          <w:sz w:val="24"/>
          <w:szCs w:val="24"/>
        </w:rPr>
        <w:t>albumin concentration and</w:t>
      </w:r>
      <w:r w:rsidR="00FC226F" w:rsidRPr="00922C73">
        <w:rPr>
          <w:rFonts w:ascii="Times New Roman" w:hAnsi="Times New Roman" w:cs="Times New Roman"/>
          <w:sz w:val="24"/>
          <w:szCs w:val="24"/>
        </w:rPr>
        <w:t xml:space="preserve"> </w:t>
      </w:r>
      <w:r w:rsidR="00880144" w:rsidRPr="00922C73">
        <w:rPr>
          <w:rFonts w:ascii="Times New Roman" w:hAnsi="Times New Roman" w:cs="Times New Roman"/>
          <w:sz w:val="24"/>
          <w:szCs w:val="24"/>
        </w:rPr>
        <w:t>an increased</w:t>
      </w:r>
      <w:r w:rsidR="00717B66" w:rsidRPr="00922C73">
        <w:rPr>
          <w:rFonts w:ascii="Times New Roman" w:hAnsi="Times New Roman" w:cs="Times New Roman"/>
          <w:sz w:val="24"/>
          <w:szCs w:val="24"/>
        </w:rPr>
        <w:t xml:space="preserve"> </w:t>
      </w:r>
      <w:r w:rsidR="00FC226F" w:rsidRPr="00922C73">
        <w:rPr>
          <w:rFonts w:ascii="Times New Roman" w:hAnsi="Times New Roman" w:cs="Times New Roman"/>
          <w:sz w:val="24"/>
          <w:szCs w:val="24"/>
        </w:rPr>
        <w:t>TNF load</w:t>
      </w:r>
      <w:r w:rsidR="00B8489B" w:rsidRPr="00922C73">
        <w:rPr>
          <w:rFonts w:ascii="Times New Roman" w:hAnsi="Times New Roman" w:cs="Times New Roman"/>
          <w:sz w:val="24"/>
          <w:szCs w:val="24"/>
        </w:rPr>
        <w:t xml:space="preserve"> </w:t>
      </w:r>
      <w:r w:rsidR="00545A8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10.1007/s40262-017-0627-0","ISSN":"0312-5963","author":[{"dropping-particle":"","family":"Hemperly","given":"Amy","non-dropping-particle":"","parse-names":false,"suffix":""},{"dropping-particle":"","family":"Casteele","given":"Niels","non-dropping-particle":"Vande","parse-names":false,"suffix":""}],"container-title":"Clinical Pharmacokinetics","id":"ITEM-1","issue":"8","issued":{"date-parts":[["2018","8","12"]]},"page":"929-942","title":"Clinical Pharmacokinetics and Pharmacodynamics of Infliximab in the Treatment of Inflammatory Bowel Disease","type":"article-journal","volume":"57"},"uris":["http://www.mendeley.com/documents/?uuid=2926108a-236b-4115-a1d9-79a86d4663df"]}],"mendeley":{"formattedCitation":"&lt;sup&gt;61&lt;/sup&gt;","plainTextFormattedCitation":"61","previouslyFormattedCitation":"&lt;sup&gt;61&lt;/sup&gt;"},"properties":{"noteIndex":0},"schema":"https://github.com/citation-style-language/schema/raw/master/csl-citation.json"}</w:instrText>
      </w:r>
      <w:r w:rsidR="00545A8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61</w:t>
      </w:r>
      <w:r w:rsidR="00545A88" w:rsidRPr="00922C73">
        <w:rPr>
          <w:rFonts w:ascii="Times New Roman" w:hAnsi="Times New Roman" w:cs="Times New Roman"/>
          <w:sz w:val="24"/>
          <w:szCs w:val="24"/>
        </w:rPr>
        <w:fldChar w:fldCharType="end"/>
      </w:r>
      <w:r w:rsidR="00FC226F" w:rsidRPr="00922C73">
        <w:rPr>
          <w:rFonts w:ascii="Times New Roman" w:hAnsi="Times New Roman" w:cs="Times New Roman"/>
          <w:sz w:val="24"/>
          <w:szCs w:val="24"/>
        </w:rPr>
        <w:t>.</w:t>
      </w:r>
      <w:r w:rsidR="00785A3D" w:rsidRPr="00922C73">
        <w:rPr>
          <w:rFonts w:ascii="Times New Roman" w:hAnsi="Times New Roman" w:cs="Times New Roman"/>
          <w:sz w:val="24"/>
          <w:szCs w:val="24"/>
        </w:rPr>
        <w:t xml:space="preserve"> </w:t>
      </w:r>
      <w:r w:rsidR="00ED5231" w:rsidRPr="00922C73">
        <w:rPr>
          <w:rFonts w:ascii="Times New Roman" w:hAnsi="Times New Roman" w:cs="Times New Roman"/>
          <w:sz w:val="24"/>
          <w:szCs w:val="24"/>
        </w:rPr>
        <w:t>Catabolism is also affected by i</w:t>
      </w:r>
      <w:r w:rsidR="00FC226F" w:rsidRPr="00922C73">
        <w:rPr>
          <w:rFonts w:ascii="Times New Roman" w:hAnsi="Times New Roman" w:cs="Times New Roman"/>
          <w:sz w:val="24"/>
          <w:szCs w:val="24"/>
        </w:rPr>
        <w:t>nfliximab</w:t>
      </w:r>
      <w:r w:rsidR="00ED5231" w:rsidRPr="00922C73">
        <w:rPr>
          <w:rFonts w:ascii="Times New Roman" w:hAnsi="Times New Roman" w:cs="Times New Roman"/>
          <w:sz w:val="24"/>
          <w:szCs w:val="24"/>
        </w:rPr>
        <w:t>’s</w:t>
      </w:r>
      <w:r w:rsidR="00FC226F" w:rsidRPr="00922C73">
        <w:rPr>
          <w:rFonts w:ascii="Times New Roman" w:hAnsi="Times New Roman" w:cs="Times New Roman"/>
          <w:sz w:val="24"/>
          <w:szCs w:val="24"/>
        </w:rPr>
        <w:t xml:space="preserve"> interac</w:t>
      </w:r>
      <w:r w:rsidR="00785A3D" w:rsidRPr="00922C73">
        <w:rPr>
          <w:rFonts w:ascii="Times New Roman" w:hAnsi="Times New Roman" w:cs="Times New Roman"/>
          <w:sz w:val="24"/>
          <w:szCs w:val="24"/>
        </w:rPr>
        <w:t>t</w:t>
      </w:r>
      <w:r w:rsidR="00ED5231" w:rsidRPr="00922C73">
        <w:rPr>
          <w:rFonts w:ascii="Times New Roman" w:hAnsi="Times New Roman" w:cs="Times New Roman"/>
          <w:sz w:val="24"/>
          <w:szCs w:val="24"/>
        </w:rPr>
        <w:t>ion</w:t>
      </w:r>
      <w:r w:rsidR="00785A3D" w:rsidRPr="00922C73">
        <w:rPr>
          <w:rFonts w:ascii="Times New Roman" w:hAnsi="Times New Roman" w:cs="Times New Roman"/>
          <w:sz w:val="24"/>
          <w:szCs w:val="24"/>
        </w:rPr>
        <w:t xml:space="preserve"> with</w:t>
      </w:r>
      <w:r w:rsidR="00FC226F" w:rsidRPr="00922C73">
        <w:rPr>
          <w:rFonts w:ascii="Times New Roman" w:hAnsi="Times New Roman" w:cs="Times New Roman"/>
          <w:sz w:val="24"/>
          <w:szCs w:val="24"/>
        </w:rPr>
        <w:t xml:space="preserve"> </w:t>
      </w:r>
      <w:r w:rsidR="00785A3D" w:rsidRPr="00922C73">
        <w:rPr>
          <w:rFonts w:ascii="Times New Roman" w:hAnsi="Times New Roman" w:cs="Times New Roman"/>
          <w:sz w:val="24"/>
          <w:szCs w:val="24"/>
        </w:rPr>
        <w:t>the</w:t>
      </w:r>
      <w:r w:rsidR="00171BE2" w:rsidRPr="00922C73">
        <w:rPr>
          <w:rFonts w:ascii="Times New Roman" w:hAnsi="Times New Roman" w:cs="Times New Roman"/>
          <w:sz w:val="24"/>
          <w:szCs w:val="24"/>
        </w:rPr>
        <w:t xml:space="preserve"> </w:t>
      </w:r>
      <w:r w:rsidR="00561253" w:rsidRPr="00922C73">
        <w:rPr>
          <w:rFonts w:ascii="Times New Roman" w:hAnsi="Times New Roman" w:cs="Times New Roman"/>
          <w:sz w:val="24"/>
          <w:szCs w:val="24"/>
        </w:rPr>
        <w:t>neonatal</w:t>
      </w:r>
      <w:r w:rsidR="00157CE9" w:rsidRPr="00922C73">
        <w:rPr>
          <w:rFonts w:ascii="Times New Roman" w:hAnsi="Times New Roman" w:cs="Times New Roman"/>
          <w:sz w:val="24"/>
          <w:szCs w:val="24"/>
        </w:rPr>
        <w:t xml:space="preserve"> </w:t>
      </w:r>
      <w:r w:rsidR="00561253" w:rsidRPr="00922C73">
        <w:rPr>
          <w:rFonts w:ascii="Times New Roman" w:hAnsi="Times New Roman" w:cs="Times New Roman"/>
          <w:sz w:val="24"/>
          <w:szCs w:val="24"/>
        </w:rPr>
        <w:t>Fc</w:t>
      </w:r>
      <w:r w:rsidR="00157CE9" w:rsidRPr="00922C73">
        <w:rPr>
          <w:rFonts w:ascii="Times New Roman" w:hAnsi="Times New Roman" w:cs="Times New Roman"/>
          <w:sz w:val="24"/>
          <w:szCs w:val="24"/>
        </w:rPr>
        <w:t xml:space="preserve"> </w:t>
      </w:r>
      <w:r w:rsidR="00561253" w:rsidRPr="00922C73">
        <w:rPr>
          <w:rFonts w:ascii="Times New Roman" w:hAnsi="Times New Roman" w:cs="Times New Roman"/>
          <w:sz w:val="24"/>
          <w:szCs w:val="24"/>
        </w:rPr>
        <w:t>receptor</w:t>
      </w:r>
      <w:r w:rsidR="005D20EF" w:rsidRPr="00922C73">
        <w:rPr>
          <w:rFonts w:ascii="Times New Roman" w:hAnsi="Times New Roman" w:cs="Times New Roman"/>
          <w:sz w:val="24"/>
          <w:szCs w:val="24"/>
        </w:rPr>
        <w:t xml:space="preserve"> (</w:t>
      </w:r>
      <w:proofErr w:type="spellStart"/>
      <w:r w:rsidR="005D20EF" w:rsidRPr="00922C73">
        <w:rPr>
          <w:rFonts w:ascii="Times New Roman" w:hAnsi="Times New Roman" w:cs="Times New Roman"/>
          <w:sz w:val="24"/>
          <w:szCs w:val="24"/>
        </w:rPr>
        <w:t>F</w:t>
      </w:r>
      <w:r w:rsidR="000F201E" w:rsidRPr="00922C73">
        <w:rPr>
          <w:rFonts w:ascii="Times New Roman" w:hAnsi="Times New Roman" w:cs="Times New Roman"/>
          <w:sz w:val="24"/>
          <w:szCs w:val="24"/>
        </w:rPr>
        <w:t>cRn</w:t>
      </w:r>
      <w:proofErr w:type="spellEnd"/>
      <w:r w:rsidR="00E93AC5" w:rsidRPr="00922C73">
        <w:rPr>
          <w:rFonts w:ascii="Times New Roman" w:hAnsi="Times New Roman" w:cs="Times New Roman"/>
          <w:sz w:val="24"/>
          <w:szCs w:val="24"/>
        </w:rPr>
        <w:t xml:space="preserve">) and genetic mutations in the </w:t>
      </w:r>
      <w:proofErr w:type="spellStart"/>
      <w:r w:rsidR="00E93AC5" w:rsidRPr="00922C73">
        <w:rPr>
          <w:rFonts w:ascii="Times New Roman" w:hAnsi="Times New Roman" w:cs="Times New Roman"/>
          <w:sz w:val="24"/>
          <w:szCs w:val="24"/>
        </w:rPr>
        <w:t>FcRn</w:t>
      </w:r>
      <w:proofErr w:type="spellEnd"/>
      <w:r w:rsidR="00E93AC5" w:rsidRPr="00922C73">
        <w:rPr>
          <w:rFonts w:ascii="Times New Roman" w:hAnsi="Times New Roman" w:cs="Times New Roman"/>
          <w:sz w:val="24"/>
          <w:szCs w:val="24"/>
        </w:rPr>
        <w:t xml:space="preserve"> gene affect infliximab concentration </w:t>
      </w:r>
      <w:r w:rsidR="00E93AC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2016.306","ISSN":"0002-9270","author":[{"dropping-particle":"","family":"Billiet","given":"Thomas","non-dropping-particle":"","parse-names":false,"suffix":""},{"dropping-particle":"","family":"Dreesen","given":"Erwin","non-dropping-particle":"","parse-names":false,"suffix":""},{"dropping-particle":"","family":"Cleynen","given":"Isabelle","non-dropping-particle":"","parse-names":false,"suffix":""},{"dropping-particle":"","family":"Wollants","given":"Willem-Jan","non-dropping-particle":"","parse-names":false,"suffix":""},{"dropping-particle":"","family":"Ferrante","given":"Marc","non-dropping-particle":"","parse-names":false,"suffix":""},{"dropping-particle":"","family":"Assche","given":"Gert","non-dropping-particle":"Van","parse-names":false,"suffix":""},{"dropping-particle":"","family":"Gils","given":"Ann","non-dropping-particle":"","parse-names":false,"suffix":""},{"dropping-particle":"","family":"Vermeire","given":"Severine","non-dropping-particle":"","parse-names":false,"suffix":""}],"container-title":"American Journal of Gastroenterology","id":"ITEM-1","issue":"10","issued":{"date-parts":[["2016","10"]]},"page":"1438-1445","title":"A Genetic Variation in the Neonatal Fc-Receptor Affects Anti-TNF Drug Concentrations in Inflammatory Bowel Disease","type":"article-journal","volume":"111"},"uris":["http://www.mendeley.com/documents/?uuid=be795719-093e-43f5-abf4-bd7eb070f81d"]}],"mendeley":{"formattedCitation":"&lt;sup&gt;64&lt;/sup&gt;","plainTextFormattedCitation":"64","previouslyFormattedCitation":"&lt;sup&gt;64&lt;/sup&gt;"},"properties":{"noteIndex":0},"schema":"https://github.com/citation-style-language/schema/raw/master/csl-citation.json"}</w:instrText>
      </w:r>
      <w:r w:rsidR="00E93AC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64</w:t>
      </w:r>
      <w:r w:rsidR="00E93AC5" w:rsidRPr="00922C73">
        <w:rPr>
          <w:rFonts w:ascii="Times New Roman" w:hAnsi="Times New Roman" w:cs="Times New Roman"/>
          <w:sz w:val="24"/>
          <w:szCs w:val="24"/>
        </w:rPr>
        <w:fldChar w:fldCharType="end"/>
      </w:r>
      <w:r w:rsidR="005D20EF" w:rsidRPr="00922C73">
        <w:rPr>
          <w:rFonts w:ascii="Times New Roman" w:hAnsi="Times New Roman" w:cs="Times New Roman"/>
          <w:sz w:val="24"/>
          <w:szCs w:val="24"/>
        </w:rPr>
        <w:t xml:space="preserve">. </w:t>
      </w:r>
      <w:proofErr w:type="spellStart"/>
      <w:r w:rsidR="000F201E" w:rsidRPr="00922C73">
        <w:rPr>
          <w:rFonts w:ascii="Times New Roman" w:hAnsi="Times New Roman" w:cs="Times New Roman"/>
          <w:sz w:val="24"/>
          <w:szCs w:val="24"/>
        </w:rPr>
        <w:t>FcRn</w:t>
      </w:r>
      <w:proofErr w:type="spellEnd"/>
      <w:r w:rsidR="00F20AF2" w:rsidRPr="00922C73">
        <w:rPr>
          <w:rFonts w:ascii="Times New Roman" w:hAnsi="Times New Roman" w:cs="Times New Roman"/>
          <w:sz w:val="24"/>
          <w:szCs w:val="24"/>
        </w:rPr>
        <w:t xml:space="preserve"> </w:t>
      </w:r>
      <w:r w:rsidR="00CB0A4D" w:rsidRPr="00922C73">
        <w:rPr>
          <w:rFonts w:ascii="Times New Roman" w:hAnsi="Times New Roman" w:cs="Times New Roman"/>
          <w:sz w:val="24"/>
          <w:szCs w:val="24"/>
        </w:rPr>
        <w:t>binds to the Fc fragment of immunoglobulins</w:t>
      </w:r>
      <w:r w:rsidR="0059410D" w:rsidRPr="00922C73">
        <w:rPr>
          <w:rFonts w:ascii="Times New Roman" w:hAnsi="Times New Roman" w:cs="Times New Roman"/>
          <w:sz w:val="24"/>
          <w:szCs w:val="24"/>
        </w:rPr>
        <w:t>, internalises them within endosomes</w:t>
      </w:r>
      <w:r w:rsidR="00CB0A4D" w:rsidRPr="00922C73">
        <w:rPr>
          <w:rFonts w:ascii="Times New Roman" w:hAnsi="Times New Roman" w:cs="Times New Roman"/>
          <w:sz w:val="24"/>
          <w:szCs w:val="24"/>
        </w:rPr>
        <w:t xml:space="preserve"> and protects them from </w:t>
      </w:r>
      <w:r w:rsidR="00F20AF2" w:rsidRPr="00922C73">
        <w:rPr>
          <w:rFonts w:ascii="Times New Roman" w:hAnsi="Times New Roman" w:cs="Times New Roman"/>
          <w:sz w:val="24"/>
          <w:szCs w:val="24"/>
        </w:rPr>
        <w:t>proteolysis</w:t>
      </w:r>
      <w:r w:rsidR="00ED5231" w:rsidRPr="00922C73">
        <w:rPr>
          <w:rFonts w:ascii="Times New Roman" w:hAnsi="Times New Roman" w:cs="Times New Roman"/>
          <w:sz w:val="24"/>
          <w:szCs w:val="24"/>
        </w:rPr>
        <w:t xml:space="preserve">, </w:t>
      </w:r>
      <w:r w:rsidR="00CB0A4D" w:rsidRPr="00922C73">
        <w:rPr>
          <w:rFonts w:ascii="Times New Roman" w:hAnsi="Times New Roman" w:cs="Times New Roman"/>
          <w:sz w:val="24"/>
          <w:szCs w:val="24"/>
        </w:rPr>
        <w:t>recirculat</w:t>
      </w:r>
      <w:r w:rsidR="00ED5231" w:rsidRPr="00922C73">
        <w:rPr>
          <w:rFonts w:ascii="Times New Roman" w:hAnsi="Times New Roman" w:cs="Times New Roman"/>
          <w:sz w:val="24"/>
          <w:szCs w:val="24"/>
        </w:rPr>
        <w:t>ing</w:t>
      </w:r>
      <w:r w:rsidR="00CB0A4D" w:rsidRPr="00922C73">
        <w:rPr>
          <w:rFonts w:ascii="Times New Roman" w:hAnsi="Times New Roman" w:cs="Times New Roman"/>
          <w:sz w:val="24"/>
          <w:szCs w:val="24"/>
        </w:rPr>
        <w:t xml:space="preserve"> them back into the plasma </w:t>
      </w:r>
      <w:r w:rsidR="00CB0A4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77788fc9-fc3d-4103-9123-8fcd06690a29","http://www.mendeley.com/documents/?uuid=a56c5ed6-0288-4cce-896b-2edbb1a44dbe","http://www.mendeley.com/documents/?uuid=dc2fab2b-17ea-4319-9e24-631c0febfbbe"]}],"mendeley":{"formattedCitation":"&lt;sup&gt;65&lt;/sup&gt;","plainTextFormattedCitation":"65","previouslyFormattedCitation":"&lt;sup&gt;65&lt;/sup&gt;"},"properties":{"noteIndex":0},"schema":"https://github.com/citation-style-language/schema/raw/master/csl-citation.json"}</w:instrText>
      </w:r>
      <w:r w:rsidR="00CB0A4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w:t>
      </w:r>
      <w:r w:rsidR="00CB0A4D" w:rsidRPr="00922C73">
        <w:rPr>
          <w:rFonts w:ascii="Times New Roman" w:hAnsi="Times New Roman" w:cs="Times New Roman"/>
          <w:sz w:val="24"/>
          <w:szCs w:val="24"/>
        </w:rPr>
        <w:fldChar w:fldCharType="end"/>
      </w:r>
      <w:r w:rsidR="00CB0A4D" w:rsidRPr="00922C73">
        <w:rPr>
          <w:rFonts w:ascii="Times New Roman" w:hAnsi="Times New Roman" w:cs="Times New Roman"/>
          <w:sz w:val="24"/>
          <w:szCs w:val="24"/>
        </w:rPr>
        <w:t xml:space="preserve">. </w:t>
      </w:r>
      <w:r w:rsidR="005E3EC8" w:rsidRPr="00922C73">
        <w:rPr>
          <w:rFonts w:ascii="Times New Roman" w:hAnsi="Times New Roman" w:cs="Times New Roman"/>
          <w:sz w:val="24"/>
          <w:szCs w:val="24"/>
        </w:rPr>
        <w:t xml:space="preserve"> </w:t>
      </w:r>
    </w:p>
    <w:p w14:paraId="364BFC38" w14:textId="77777777" w:rsidR="00B8489B" w:rsidRPr="00922C73" w:rsidRDefault="00B8489B" w:rsidP="00F64D9D">
      <w:pPr>
        <w:autoSpaceDE w:val="0"/>
        <w:autoSpaceDN w:val="0"/>
        <w:adjustRightInd w:val="0"/>
        <w:spacing w:after="0" w:line="480" w:lineRule="auto"/>
        <w:rPr>
          <w:rFonts w:ascii="Times New Roman" w:hAnsi="Times New Roman" w:cs="Times New Roman"/>
          <w:sz w:val="24"/>
          <w:szCs w:val="24"/>
        </w:rPr>
      </w:pPr>
    </w:p>
    <w:p w14:paraId="06862F66" w14:textId="1AD87825" w:rsidR="00F46463" w:rsidRPr="00922C73" w:rsidRDefault="00F46463" w:rsidP="00F64D9D">
      <w:pPr>
        <w:autoSpaceDE w:val="0"/>
        <w:autoSpaceDN w:val="0"/>
        <w:adjustRightInd w:val="0"/>
        <w:spacing w:after="0" w:line="480" w:lineRule="auto"/>
        <w:rPr>
          <w:rFonts w:ascii="Times New Roman" w:hAnsi="Times New Roman" w:cs="Times New Roman"/>
          <w:i/>
          <w:iCs/>
          <w:sz w:val="24"/>
          <w:szCs w:val="24"/>
        </w:rPr>
      </w:pPr>
      <w:r w:rsidRPr="00922C73">
        <w:rPr>
          <w:rFonts w:ascii="Times New Roman" w:hAnsi="Times New Roman" w:cs="Times New Roman"/>
          <w:i/>
          <w:iCs/>
          <w:sz w:val="24"/>
          <w:szCs w:val="24"/>
        </w:rPr>
        <w:t>Clinical efficacy</w:t>
      </w:r>
    </w:p>
    <w:p w14:paraId="54B113D4" w14:textId="5DF0C656" w:rsidR="003C6570" w:rsidRPr="00922C73" w:rsidRDefault="009163DF" w:rsidP="00F64D9D">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L</w:t>
      </w:r>
      <w:r w:rsidR="0002064B" w:rsidRPr="00922C73">
        <w:rPr>
          <w:rFonts w:ascii="Times New Roman" w:hAnsi="Times New Roman" w:cs="Times New Roman"/>
          <w:sz w:val="24"/>
          <w:szCs w:val="24"/>
        </w:rPr>
        <w:t>andmark l</w:t>
      </w:r>
      <w:r w:rsidRPr="00922C73">
        <w:rPr>
          <w:rFonts w:ascii="Times New Roman" w:hAnsi="Times New Roman" w:cs="Times New Roman"/>
          <w:sz w:val="24"/>
          <w:szCs w:val="24"/>
        </w:rPr>
        <w:t>a</w:t>
      </w:r>
      <w:r w:rsidR="0002064B" w:rsidRPr="00922C73">
        <w:rPr>
          <w:rFonts w:ascii="Times New Roman" w:hAnsi="Times New Roman" w:cs="Times New Roman"/>
          <w:sz w:val="24"/>
          <w:szCs w:val="24"/>
        </w:rPr>
        <w:t xml:space="preserve">rge </w:t>
      </w:r>
      <w:r w:rsidR="00286E06" w:rsidRPr="00922C73">
        <w:rPr>
          <w:rFonts w:ascii="Times New Roman" w:hAnsi="Times New Roman" w:cs="Times New Roman"/>
          <w:sz w:val="24"/>
          <w:szCs w:val="24"/>
        </w:rPr>
        <w:t>RCTs</w:t>
      </w:r>
      <w:r w:rsidRPr="00922C73">
        <w:rPr>
          <w:rFonts w:ascii="Times New Roman" w:hAnsi="Times New Roman" w:cs="Times New Roman"/>
          <w:sz w:val="24"/>
          <w:szCs w:val="24"/>
        </w:rPr>
        <w:t xml:space="preserve"> </w:t>
      </w:r>
      <w:r w:rsidR="004F415D" w:rsidRPr="00922C73">
        <w:rPr>
          <w:rFonts w:ascii="Times New Roman" w:hAnsi="Times New Roman" w:cs="Times New Roman"/>
          <w:sz w:val="24"/>
          <w:szCs w:val="24"/>
        </w:rPr>
        <w:t xml:space="preserve">have </w:t>
      </w:r>
      <w:r w:rsidRPr="00922C73">
        <w:rPr>
          <w:rFonts w:ascii="Times New Roman" w:hAnsi="Times New Roman" w:cs="Times New Roman"/>
          <w:sz w:val="24"/>
          <w:szCs w:val="24"/>
        </w:rPr>
        <w:t>show</w:t>
      </w:r>
      <w:r w:rsidR="004F415D" w:rsidRPr="00922C73">
        <w:rPr>
          <w:rFonts w:ascii="Times New Roman" w:hAnsi="Times New Roman" w:cs="Times New Roman"/>
          <w:sz w:val="24"/>
          <w:szCs w:val="24"/>
        </w:rPr>
        <w:t xml:space="preserve">n </w:t>
      </w:r>
      <w:r w:rsidRPr="00922C73">
        <w:rPr>
          <w:rFonts w:ascii="Times New Roman" w:hAnsi="Times New Roman" w:cs="Times New Roman"/>
          <w:sz w:val="24"/>
          <w:szCs w:val="24"/>
        </w:rPr>
        <w:t xml:space="preserve">infliximab’s efficacy in inducing and maintaining </w:t>
      </w:r>
      <w:r w:rsidR="0002064B" w:rsidRPr="00922C73">
        <w:rPr>
          <w:rFonts w:ascii="Times New Roman" w:hAnsi="Times New Roman" w:cs="Times New Roman"/>
          <w:sz w:val="24"/>
          <w:szCs w:val="24"/>
        </w:rPr>
        <w:t xml:space="preserve">clinical response and </w:t>
      </w:r>
      <w:r w:rsidRPr="00922C73">
        <w:rPr>
          <w:rFonts w:ascii="Times New Roman" w:hAnsi="Times New Roman" w:cs="Times New Roman"/>
          <w:sz w:val="24"/>
          <w:szCs w:val="24"/>
        </w:rPr>
        <w:t>remission in IBD</w:t>
      </w:r>
      <w:r w:rsidR="0002064B" w:rsidRPr="00922C73">
        <w:rPr>
          <w:rFonts w:ascii="Times New Roman" w:hAnsi="Times New Roman" w:cs="Times New Roman"/>
          <w:sz w:val="24"/>
          <w:szCs w:val="24"/>
        </w:rPr>
        <w:t xml:space="preserve"> </w:t>
      </w:r>
      <w:r w:rsidR="0002064B" w:rsidRPr="00922C73">
        <w:rPr>
          <w:rFonts w:ascii="Times New Roman" w:hAnsi="Times New Roman" w:cs="Times New Roman"/>
          <w:sz w:val="24"/>
          <w:szCs w:val="24"/>
        </w:rPr>
        <w:fldChar w:fldCharType="begin" w:fldLock="1"/>
      </w:r>
      <w:r w:rsidR="0080701B"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Colitis","type":"article-journal","volume":"353"},"uris":["http://www.mendeley.com/documents/?uuid=adc04817-1669-4784-a3ae-7f5273bc984e"]},{"id":"ITEM-3","itemData":{"DOI":"10.1056/NEJMoa030815","ISBN":"00284793","ISSN":"0028-4793","PMID":"14985485","abstract":"BACKGROUND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Medicine","id":"ITEM-3","issue":"9","issued":{"date-parts":[["2004","2","26"]]},"page":"876-885","title":"Infliximab Maintenance Therapy for Fistulizing Crohn's Disease","type":"article-journal","volume":"350"},"uris":["http://www.mendeley.com/documents/?uuid=d5a74abf-713b-45ca-9e76-608b0a3dc258"]},{"id":"ITEM-4","itemData":{"DOI":"10.1056/NEJMoa0904492","ISBN":"1533-4406 (Electronic)\\r0028-4793 (Linking)","ISSN":"0028-4793","PMID":"20393175","abstract":"Background The comparative efficacy and safety of infliximab and azathioprine therapy alone or in combination for Crohn's disease are unknown. Methods In this randomized, double-blind trial, we evaluated the efficacy of infliximab monotherapy, azathioprine monotherapy, and the two drugs combined in 508 adults with moderate-to-severe Crohn's disease who had not undergone previous immunosuppressive or biologic therapy. Patients were randomly assigned to receive an intravenous infusion of 5 mg of infliximab per kilogram of body weight at weeks 0, 2, and 6 and then every 8 weeks plus daily oral placebo capsules; 2.5 mg of oral azathioprine per kilogram daily plus a placebo infusion on the standard schedule; or combination therapy with the two drugs. Patients received study medication through week 30 and could continue in a blinded study extension through week 50. Results Of the 169 patients receiving combination therapy, 96 (56.8%) were in corticosteroid-free clinical remission at week 26 (the primary end poi...","author":[{"dropping-particle":"","family":"Colombel","given":"Jean Frédéric","non-dropping-particle":"","parse-names":false,"suffix":""},{"dropping-particle":"","family":"Sandborn","given":"William J.","non-dropping-particle":"","parse-names":false,"suffix":""},{"dropping-particle":"","family":"Reinisch","given":"Walter","non-dropping-particle":"","parse-names":false,"suffix":""},{"dropping-particle":"","family":"Mantzaris","given":"Gerassimos J.","non-dropping-particle":"","parse-names":false,"suffix":""},{"dropping-particle":"","family":"Kornbluth","given":"Asher","non-dropping-particle":"","parse-names":false,"suffix":""},{"dropping-particle":"","family":"Rachmilewitz","given":"Daniel","non-dropping-particle":"","parse-names":false,"suffix":""},{"dropping-particle":"","family":"Lichtiger","given":"Simon","non-dropping-particle":"","parse-names":false,"suffix":""},{"dropping-particle":"","family":"D'Haens","given":"Geert","non-dropping-particle":"","parse-names":false,"suffix":""},{"dropping-particle":"","family":"Diamond","given":"Robert H.","non-dropping-particle":"","parse-names":false,"suffix":""},{"dropping-particle":"","family":"Broussard","given":"Delma L.","non-dropping-particle":"","parse-names":false,"suffix":""},{"dropping-particle":"","family":"Tang","given":"Kezhen L.","non-dropping-particle":"","parse-names":false,"suffix":""},{"dropping-particle":"","family":"Woude","given":"C. Janneke","non-dropping-particle":"van der","parse-names":false,"suffix":""},{"dropping-particle":"","family":"Rutgeerts","given":"Paul","non-dropping-particle":"","parse-names":false,"suffix":""}],"container-title":"New England Journal of Medicine","id":"ITEM-4","issue":"15","issued":{"date-parts":[["2010","4"]]},"page":"1383-1395","title":"Infliximab, Azathioprine, or Combination Therapy for Crohn's Disease","type":"article-journal","volume":"362"},"uris":["http://www.mendeley.com/documents/?uuid=b81572e4-8b83-4637-bbf0-1227bdcd2cb4"]}],"mendeley":{"formattedCitation":"&lt;sup&gt;27,53,55,66&lt;/sup&gt;","plainTextFormattedCitation":"27,53,55,66","previouslyFormattedCitation":"&lt;sup&gt;27,53,55,66&lt;/sup&gt;"},"properties":{"noteIndex":0},"schema":"https://github.com/citation-style-language/schema/raw/master/csl-citation.json"}</w:instrText>
      </w:r>
      <w:r w:rsidR="0002064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27,53,55,66</w:t>
      </w:r>
      <w:r w:rsidR="0002064B"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00123554" w:rsidRPr="00922C73">
        <w:rPr>
          <w:rFonts w:ascii="Georgia" w:hAnsi="Georgia"/>
          <w:sz w:val="27"/>
          <w:szCs w:val="27"/>
        </w:rPr>
        <w:t xml:space="preserve"> </w:t>
      </w:r>
      <w:r w:rsidR="004F415D" w:rsidRPr="00922C73">
        <w:rPr>
          <w:rFonts w:ascii="Times New Roman" w:hAnsi="Times New Roman" w:cs="Times New Roman"/>
          <w:sz w:val="24"/>
          <w:szCs w:val="24"/>
        </w:rPr>
        <w:t xml:space="preserve">In ACCENT 1, </w:t>
      </w:r>
      <w:r w:rsidR="00072403" w:rsidRPr="00922C73">
        <w:rPr>
          <w:rFonts w:ascii="Times New Roman" w:hAnsi="Times New Roman" w:cs="Times New Roman"/>
          <w:sz w:val="24"/>
          <w:szCs w:val="24"/>
        </w:rPr>
        <w:t xml:space="preserve">58% of </w:t>
      </w:r>
      <w:r w:rsidR="00123554" w:rsidRPr="00922C73">
        <w:rPr>
          <w:rFonts w:ascii="Times New Roman" w:hAnsi="Times New Roman" w:cs="Times New Roman"/>
          <w:sz w:val="24"/>
          <w:szCs w:val="24"/>
        </w:rPr>
        <w:t>573 patients with moderate</w:t>
      </w:r>
      <w:r w:rsidR="004F415D" w:rsidRPr="00922C73">
        <w:rPr>
          <w:rFonts w:ascii="Times New Roman" w:hAnsi="Times New Roman" w:cs="Times New Roman"/>
          <w:sz w:val="24"/>
          <w:szCs w:val="24"/>
        </w:rPr>
        <w:t>-severe CD</w:t>
      </w:r>
      <w:r w:rsidR="00123554" w:rsidRPr="00922C73">
        <w:rPr>
          <w:rFonts w:ascii="Times New Roman" w:hAnsi="Times New Roman" w:cs="Times New Roman"/>
          <w:sz w:val="24"/>
          <w:szCs w:val="24"/>
        </w:rPr>
        <w:t xml:space="preserve"> re</w:t>
      </w:r>
      <w:r w:rsidR="00072403" w:rsidRPr="00922C73">
        <w:rPr>
          <w:rFonts w:ascii="Times New Roman" w:hAnsi="Times New Roman" w:cs="Times New Roman"/>
          <w:sz w:val="24"/>
          <w:szCs w:val="24"/>
        </w:rPr>
        <w:t>sponded to</w:t>
      </w:r>
      <w:r w:rsidR="00123554" w:rsidRPr="00922C73">
        <w:rPr>
          <w:rFonts w:ascii="Times New Roman" w:hAnsi="Times New Roman" w:cs="Times New Roman"/>
          <w:sz w:val="24"/>
          <w:szCs w:val="24"/>
        </w:rPr>
        <w:t xml:space="preserve"> a</w:t>
      </w:r>
      <w:r w:rsidR="004F415D" w:rsidRPr="00922C73">
        <w:rPr>
          <w:rFonts w:ascii="Times New Roman" w:hAnsi="Times New Roman" w:cs="Times New Roman"/>
          <w:sz w:val="24"/>
          <w:szCs w:val="24"/>
        </w:rPr>
        <w:t>n initial</w:t>
      </w:r>
      <w:r w:rsidR="00123554" w:rsidRPr="00922C73">
        <w:rPr>
          <w:rFonts w:ascii="Times New Roman" w:hAnsi="Times New Roman" w:cs="Times New Roman"/>
          <w:sz w:val="24"/>
          <w:szCs w:val="24"/>
        </w:rPr>
        <w:t xml:space="preserve"> 5 mg/kg intravenous infusion of inflixima</w:t>
      </w:r>
      <w:r w:rsidR="00072403" w:rsidRPr="00922C73">
        <w:rPr>
          <w:rFonts w:ascii="Times New Roman" w:hAnsi="Times New Roman" w:cs="Times New Roman"/>
          <w:sz w:val="24"/>
          <w:szCs w:val="24"/>
        </w:rPr>
        <w:t>b</w:t>
      </w:r>
      <w:r w:rsidR="008A5D28" w:rsidRPr="00922C73">
        <w:rPr>
          <w:rFonts w:ascii="Times New Roman" w:hAnsi="Times New Roman" w:cs="Times New Roman"/>
          <w:sz w:val="24"/>
          <w:szCs w:val="24"/>
        </w:rPr>
        <w:t xml:space="preserve"> </w:t>
      </w:r>
      <w:r w:rsidR="008A5D2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mendeley":{"formattedCitation":"&lt;sup&gt;53&lt;/sup&gt;","plainTextFormattedCitation":"53","previouslyFormattedCitation":"&lt;sup&gt;53&lt;/sup&gt;"},"properties":{"noteIndex":0},"schema":"https://github.com/citation-style-language/schema/raw/master/csl-citation.json"}</w:instrText>
      </w:r>
      <w:r w:rsidR="008A5D2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53</w:t>
      </w:r>
      <w:r w:rsidR="008A5D28" w:rsidRPr="00922C73">
        <w:rPr>
          <w:rFonts w:ascii="Times New Roman" w:hAnsi="Times New Roman" w:cs="Times New Roman"/>
          <w:sz w:val="24"/>
          <w:szCs w:val="24"/>
        </w:rPr>
        <w:fldChar w:fldCharType="end"/>
      </w:r>
      <w:r w:rsidR="00123554" w:rsidRPr="00922C73">
        <w:rPr>
          <w:rFonts w:ascii="Times New Roman" w:hAnsi="Times New Roman" w:cs="Times New Roman"/>
          <w:sz w:val="24"/>
          <w:szCs w:val="24"/>
        </w:rPr>
        <w:t xml:space="preserve">. </w:t>
      </w:r>
      <w:r w:rsidR="00072403" w:rsidRPr="00922C73">
        <w:rPr>
          <w:rFonts w:ascii="Times New Roman" w:hAnsi="Times New Roman" w:cs="Times New Roman"/>
          <w:sz w:val="24"/>
          <w:szCs w:val="24"/>
        </w:rPr>
        <w:t xml:space="preserve">After randomisation of the responders </w:t>
      </w:r>
      <w:r w:rsidR="004F415D" w:rsidRPr="00922C73">
        <w:rPr>
          <w:rFonts w:ascii="Times New Roman" w:hAnsi="Times New Roman" w:cs="Times New Roman"/>
          <w:sz w:val="24"/>
          <w:szCs w:val="24"/>
        </w:rPr>
        <w:t>to placebo or</w:t>
      </w:r>
      <w:r w:rsidR="00072403" w:rsidRPr="00922C73">
        <w:rPr>
          <w:rFonts w:ascii="Times New Roman" w:hAnsi="Times New Roman" w:cs="Times New Roman"/>
          <w:sz w:val="24"/>
          <w:szCs w:val="24"/>
        </w:rPr>
        <w:t xml:space="preserve"> infliximab for 54 weeks, at </w:t>
      </w:r>
      <w:r w:rsidR="004F415D" w:rsidRPr="00922C73">
        <w:rPr>
          <w:rFonts w:ascii="Times New Roman" w:hAnsi="Times New Roman" w:cs="Times New Roman"/>
          <w:sz w:val="24"/>
          <w:szCs w:val="24"/>
        </w:rPr>
        <w:t>week 30, 21% of those receiving placebo were in remission, compared t</w:t>
      </w:r>
      <w:r w:rsidR="008A5D28" w:rsidRPr="00922C73">
        <w:rPr>
          <w:rFonts w:ascii="Times New Roman" w:hAnsi="Times New Roman" w:cs="Times New Roman"/>
          <w:sz w:val="24"/>
          <w:szCs w:val="24"/>
        </w:rPr>
        <w:t>o</w:t>
      </w:r>
      <w:r w:rsidR="004F415D" w:rsidRPr="00922C73">
        <w:rPr>
          <w:rFonts w:ascii="Times New Roman" w:hAnsi="Times New Roman" w:cs="Times New Roman"/>
          <w:sz w:val="24"/>
          <w:szCs w:val="24"/>
        </w:rPr>
        <w:t xml:space="preserve"> 39% receiving 5 mg/kg and 45% receiving 10 mg/kg (p=</w:t>
      </w:r>
      <w:r w:rsidR="008A5D28" w:rsidRPr="00922C73">
        <w:rPr>
          <w:rFonts w:ascii="Times New Roman" w:hAnsi="Times New Roman" w:cs="Times New Roman"/>
          <w:sz w:val="24"/>
          <w:szCs w:val="24"/>
        </w:rPr>
        <w:t>0.003 and p=</w:t>
      </w:r>
      <w:r w:rsidR="004F415D" w:rsidRPr="00922C73">
        <w:rPr>
          <w:rFonts w:ascii="Times New Roman" w:hAnsi="Times New Roman" w:cs="Times New Roman"/>
          <w:sz w:val="24"/>
          <w:szCs w:val="24"/>
        </w:rPr>
        <w:t>0·0002</w:t>
      </w:r>
      <w:r w:rsidR="008A5D28" w:rsidRPr="00922C73">
        <w:rPr>
          <w:rFonts w:ascii="Times New Roman" w:hAnsi="Times New Roman" w:cs="Times New Roman"/>
          <w:sz w:val="24"/>
          <w:szCs w:val="24"/>
        </w:rPr>
        <w:t xml:space="preserve"> respectively</w:t>
      </w:r>
      <w:r w:rsidR="004F415D" w:rsidRPr="00922C73">
        <w:rPr>
          <w:rFonts w:ascii="Times New Roman" w:hAnsi="Times New Roman" w:cs="Times New Roman"/>
          <w:sz w:val="24"/>
          <w:szCs w:val="24"/>
        </w:rPr>
        <w:t>)</w:t>
      </w:r>
      <w:r w:rsidR="008A5D2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mendeley":{"formattedCitation":"&lt;sup&gt;53&lt;/sup&gt;","plainTextFormattedCitation":"53","previouslyFormattedCitation":"&lt;sup&gt;53&lt;/sup&gt;"},"properties":{"noteIndex":0},"schema":"https://github.com/citation-style-language/schema/raw/master/csl-citation.json"}</w:instrText>
      </w:r>
      <w:r w:rsidR="008A5D2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53</w:t>
      </w:r>
      <w:r w:rsidR="008A5D28" w:rsidRPr="00922C73">
        <w:rPr>
          <w:rFonts w:ascii="Times New Roman" w:hAnsi="Times New Roman" w:cs="Times New Roman"/>
          <w:sz w:val="24"/>
          <w:szCs w:val="24"/>
        </w:rPr>
        <w:fldChar w:fldCharType="end"/>
      </w:r>
      <w:r w:rsidR="00072403" w:rsidRPr="00922C73">
        <w:rPr>
          <w:rFonts w:ascii="Times New Roman" w:hAnsi="Times New Roman" w:cs="Times New Roman"/>
          <w:sz w:val="24"/>
          <w:szCs w:val="24"/>
        </w:rPr>
        <w:t xml:space="preserve">. </w:t>
      </w:r>
      <w:r w:rsidR="00072403" w:rsidRPr="00922C73">
        <w:rPr>
          <w:rFonts w:ascii="Times New Roman" w:hAnsi="Times New Roman" w:cs="Times New Roman"/>
          <w:sz w:val="24"/>
          <w:szCs w:val="24"/>
          <w:shd w:val="clear" w:color="auto" w:fill="FFFFFF"/>
        </w:rPr>
        <w:t xml:space="preserve">In ACT 1 and 2, 728 patients with </w:t>
      </w:r>
      <w:r w:rsidR="00072403" w:rsidRPr="00922C73">
        <w:rPr>
          <w:rFonts w:ascii="Times New Roman" w:hAnsi="Times New Roman" w:cs="Times New Roman"/>
          <w:sz w:val="24"/>
          <w:szCs w:val="24"/>
          <w:shd w:val="clear" w:color="auto" w:fill="FFFFFF"/>
        </w:rPr>
        <w:lastRenderedPageBreak/>
        <w:t>moderate to severe UC were randomised to placebo or infliximab 5 mg/kg or 10 mg/kg</w:t>
      </w:r>
      <w:r w:rsidR="008A5D28" w:rsidRPr="00922C73">
        <w:rPr>
          <w:rFonts w:ascii="Times New Roman" w:hAnsi="Times New Roman" w:cs="Times New Roman"/>
          <w:sz w:val="24"/>
          <w:szCs w:val="24"/>
          <w:shd w:val="clear" w:color="auto" w:fill="FFFFFF"/>
        </w:rPr>
        <w:t xml:space="preserve"> and showed</w:t>
      </w:r>
      <w:r w:rsidR="00072403" w:rsidRPr="00922C73">
        <w:rPr>
          <w:rFonts w:ascii="Times New Roman" w:hAnsi="Times New Roman" w:cs="Times New Roman"/>
          <w:sz w:val="24"/>
          <w:szCs w:val="24"/>
          <w:shd w:val="clear" w:color="auto" w:fill="FFFFFF"/>
        </w:rPr>
        <w:t xml:space="preserve"> significant superiority of both infliximab regimes at week 8</w:t>
      </w:r>
      <w:r w:rsidR="006F7AF4" w:rsidRPr="00922C73">
        <w:rPr>
          <w:rFonts w:ascii="Times New Roman" w:hAnsi="Times New Roman" w:cs="Times New Roman"/>
          <w:sz w:val="24"/>
          <w:szCs w:val="24"/>
          <w:shd w:val="clear" w:color="auto" w:fill="FFFFFF"/>
        </w:rPr>
        <w:t xml:space="preserve"> for induction of clinical response</w:t>
      </w:r>
      <w:r w:rsidR="00072403" w:rsidRPr="00922C73">
        <w:rPr>
          <w:rFonts w:ascii="Times New Roman" w:hAnsi="Times New Roman" w:cs="Times New Roman"/>
          <w:sz w:val="24"/>
          <w:szCs w:val="24"/>
          <w:shd w:val="clear" w:color="auto" w:fill="FFFFFF"/>
        </w:rPr>
        <w:t>, rates of &gt;60% compared to rates of around 30% for placebo</w:t>
      </w:r>
      <w:r w:rsidR="006F7AF4"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Medicine","id":"ITEM-1","issue":"23","issued":{"date-parts":[["2005","12"]]},"page":"2462-2476","title":"Infliximab for Induction and Maintenance Therapy for Ulcerative Colitis","type":"article-journal","volume":"353"},"uris":["http://www.mendeley.com/documents/?uuid=adc04817-1669-4784-a3ae-7f5273bc984e"]}],"mendeley":{"formattedCitation":"&lt;sup&gt;27&lt;/sup&gt;","plainTextFormattedCitation":"27","previouslyFormattedCitation":"&lt;sup&gt;27&lt;/sup&gt;"},"properties":{"noteIndex":0},"schema":"https://github.com/citation-style-language/schema/raw/master/csl-citation.json"}</w:instrText>
      </w:r>
      <w:r w:rsidR="006F7AF4"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27</w:t>
      </w:r>
      <w:r w:rsidR="006F7AF4" w:rsidRPr="00922C73">
        <w:rPr>
          <w:rFonts w:ascii="Times New Roman" w:hAnsi="Times New Roman" w:cs="Times New Roman"/>
          <w:sz w:val="24"/>
          <w:szCs w:val="24"/>
          <w:shd w:val="clear" w:color="auto" w:fill="FFFFFF"/>
        </w:rPr>
        <w:fldChar w:fldCharType="end"/>
      </w:r>
      <w:r w:rsidR="00072403" w:rsidRPr="00922C73">
        <w:rPr>
          <w:rFonts w:ascii="Times New Roman" w:hAnsi="Times New Roman" w:cs="Times New Roman"/>
          <w:sz w:val="24"/>
          <w:szCs w:val="24"/>
          <w:shd w:val="clear" w:color="auto" w:fill="FFFFFF"/>
        </w:rPr>
        <w:t xml:space="preserve">. This significant difference in clinical response was maintained at week 30 and </w:t>
      </w:r>
      <w:r w:rsidR="008A5D28" w:rsidRPr="00922C73">
        <w:rPr>
          <w:rFonts w:ascii="Times New Roman" w:hAnsi="Times New Roman" w:cs="Times New Roman"/>
          <w:sz w:val="24"/>
          <w:szCs w:val="24"/>
          <w:shd w:val="clear" w:color="auto" w:fill="FFFFFF"/>
        </w:rPr>
        <w:t xml:space="preserve">at </w:t>
      </w:r>
      <w:r w:rsidR="00072403" w:rsidRPr="00922C73">
        <w:rPr>
          <w:rFonts w:ascii="Times New Roman" w:hAnsi="Times New Roman" w:cs="Times New Roman"/>
          <w:sz w:val="24"/>
          <w:szCs w:val="24"/>
          <w:shd w:val="clear" w:color="auto" w:fill="FFFFFF"/>
        </w:rPr>
        <w:t>week 54</w:t>
      </w:r>
      <w:r w:rsidR="003427CD" w:rsidRPr="00922C73">
        <w:rPr>
          <w:rFonts w:ascii="Times New Roman" w:hAnsi="Times New Roman" w:cs="Times New Roman"/>
          <w:sz w:val="24"/>
          <w:szCs w:val="24"/>
          <w:shd w:val="clear" w:color="auto" w:fill="FFFFFF"/>
        </w:rPr>
        <w:t>.</w:t>
      </w:r>
      <w:r w:rsidR="008A5D28" w:rsidRPr="00922C73">
        <w:rPr>
          <w:rFonts w:ascii="Times New Roman" w:hAnsi="Times New Roman" w:cs="Times New Roman"/>
          <w:sz w:val="24"/>
          <w:szCs w:val="24"/>
          <w:shd w:val="clear" w:color="auto" w:fill="FFFFFF"/>
        </w:rPr>
        <w:t xml:space="preserve"> </w:t>
      </w:r>
      <w:r w:rsidR="003427CD" w:rsidRPr="00922C73">
        <w:rPr>
          <w:rFonts w:ascii="Times New Roman" w:hAnsi="Times New Roman" w:cs="Times New Roman"/>
          <w:sz w:val="24"/>
          <w:szCs w:val="24"/>
          <w:shd w:val="clear" w:color="auto" w:fill="FFFFFF"/>
        </w:rPr>
        <w:t>I</w:t>
      </w:r>
      <w:r w:rsidR="006F7AF4" w:rsidRPr="00922C73">
        <w:rPr>
          <w:rFonts w:ascii="Times New Roman" w:hAnsi="Times New Roman" w:cs="Times New Roman"/>
          <w:sz w:val="24"/>
          <w:szCs w:val="24"/>
          <w:shd w:val="clear" w:color="auto" w:fill="FFFFFF"/>
        </w:rPr>
        <w:t xml:space="preserve">n the latter, </w:t>
      </w:r>
      <w:r w:rsidR="008A5D28" w:rsidRPr="00922C73">
        <w:rPr>
          <w:rFonts w:ascii="Times New Roman" w:hAnsi="Times New Roman" w:cs="Times New Roman"/>
          <w:sz w:val="24"/>
          <w:szCs w:val="24"/>
          <w:shd w:val="clear" w:color="auto" w:fill="FFFFFF"/>
        </w:rPr>
        <w:t>nearly 50% of those receiving infliximab regimes were in clinical remission compared to 20% of those receiving placebo (P&lt;0.001)</w:t>
      </w:r>
      <w:r w:rsidR="006F7AF4"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Medicine","id":"ITEM-1","issue":"23","issued":{"date-parts":[["2005","12"]]},"page":"2462-2476","title":"Infliximab for Induction and Maintenance Therapy for Ulcerative Colitis","type":"article-journal","volume":"353"},"uris":["http://www.mendeley.com/documents/?uuid=adc04817-1669-4784-a3ae-7f5273bc984e"]}],"mendeley":{"formattedCitation":"&lt;sup&gt;27&lt;/sup&gt;","plainTextFormattedCitation":"27","previouslyFormattedCitation":"&lt;sup&gt;27&lt;/sup&gt;"},"properties":{"noteIndex":0},"schema":"https://github.com/citation-style-language/schema/raw/master/csl-citation.json"}</w:instrText>
      </w:r>
      <w:r w:rsidR="006F7AF4"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27</w:t>
      </w:r>
      <w:r w:rsidR="006F7AF4" w:rsidRPr="00922C73">
        <w:rPr>
          <w:rFonts w:ascii="Times New Roman" w:hAnsi="Times New Roman" w:cs="Times New Roman"/>
          <w:sz w:val="24"/>
          <w:szCs w:val="24"/>
          <w:shd w:val="clear" w:color="auto" w:fill="FFFFFF"/>
        </w:rPr>
        <w:fldChar w:fldCharType="end"/>
      </w:r>
      <w:r w:rsidR="008A5D28" w:rsidRPr="00922C73">
        <w:rPr>
          <w:rFonts w:ascii="Times New Roman" w:hAnsi="Times New Roman" w:cs="Times New Roman"/>
          <w:sz w:val="24"/>
          <w:szCs w:val="24"/>
          <w:shd w:val="clear" w:color="auto" w:fill="FFFFFF"/>
        </w:rPr>
        <w:t>.</w:t>
      </w:r>
      <w:r w:rsidR="00072403" w:rsidRPr="00922C73">
        <w:rPr>
          <w:rFonts w:ascii="Times New Roman" w:hAnsi="Times New Roman" w:cs="Times New Roman"/>
          <w:sz w:val="24"/>
          <w:szCs w:val="24"/>
          <w:shd w:val="clear" w:color="auto" w:fill="FFFFFF"/>
        </w:rPr>
        <w:t xml:space="preserve"> </w:t>
      </w:r>
    </w:p>
    <w:p w14:paraId="04780B1C" w14:textId="77777777" w:rsidR="003C6570" w:rsidRPr="00922C73" w:rsidRDefault="003C6570" w:rsidP="00F64D9D">
      <w:pPr>
        <w:autoSpaceDE w:val="0"/>
        <w:autoSpaceDN w:val="0"/>
        <w:adjustRightInd w:val="0"/>
        <w:spacing w:after="0" w:line="480" w:lineRule="auto"/>
        <w:rPr>
          <w:rFonts w:ascii="Times New Roman" w:hAnsi="Times New Roman" w:cs="Times New Roman"/>
          <w:sz w:val="24"/>
          <w:szCs w:val="24"/>
          <w:shd w:val="clear" w:color="auto" w:fill="FFFFFF"/>
        </w:rPr>
      </w:pPr>
    </w:p>
    <w:p w14:paraId="0CEA3CA1" w14:textId="6C6AF1ED" w:rsidR="003C6570" w:rsidRPr="00922C73" w:rsidRDefault="005825C5"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 xml:space="preserve">Infliximab remains the only biological therapy licensed for use in acute severe UC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Excellence","given":"","non-dropping-particle":"","parse-names":false,"suffix":""}],"id":"ITEM-1","issued":{"date-parts":[["2008"]]},"page":"1-28","title":"Infliximab for acute exacerbations of ulcerative colitis Technology appraisal guidance [TA163]","type":"article-journal"},"uris":["http://www.mendeley.com/documents/?uuid=d0e54ca9-8ff0-4dba-89cb-28ad89ae4675"]}],"mendeley":{"formattedCitation":"&lt;sup&gt;67&lt;/sup&gt;","plainTextFormattedCitation":"67","previouslyFormattedCitation":"&lt;sup&gt;67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67</w:t>
      </w:r>
      <w:r w:rsidRPr="00922C73">
        <w:rPr>
          <w:rFonts w:ascii="Times New Roman" w:hAnsi="Times New Roman" w:cs="Times New Roman"/>
          <w:sz w:val="24"/>
          <w:szCs w:val="24"/>
        </w:rPr>
        <w:fldChar w:fldCharType="end"/>
      </w:r>
      <w:r w:rsidR="00364461" w:rsidRPr="00922C73">
        <w:rPr>
          <w:rFonts w:ascii="Times New Roman" w:hAnsi="Times New Roman" w:cs="Times New Roman"/>
          <w:sz w:val="24"/>
          <w:szCs w:val="24"/>
        </w:rPr>
        <w:t>.</w:t>
      </w:r>
    </w:p>
    <w:p w14:paraId="5F197871" w14:textId="5D6E6A25" w:rsidR="007A1B2A" w:rsidRPr="00922C73" w:rsidRDefault="008D0D1C" w:rsidP="00F64D9D">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This</w:t>
      </w:r>
      <w:r w:rsidR="00704FA6" w:rsidRPr="00922C73">
        <w:rPr>
          <w:rFonts w:ascii="Times New Roman" w:hAnsi="Times New Roman" w:cs="Times New Roman"/>
          <w:sz w:val="24"/>
          <w:szCs w:val="24"/>
          <w:shd w:val="clear" w:color="auto" w:fill="FFFFFF"/>
        </w:rPr>
        <w:t xml:space="preserve"> </w:t>
      </w:r>
      <w:r w:rsidRPr="00922C73">
        <w:rPr>
          <w:rFonts w:ascii="Times New Roman" w:hAnsi="Times New Roman" w:cs="Times New Roman"/>
          <w:sz w:val="24"/>
          <w:szCs w:val="24"/>
          <w:shd w:val="clear" w:color="auto" w:fill="FFFFFF"/>
        </w:rPr>
        <w:t>l</w:t>
      </w:r>
      <w:r w:rsidR="003767CC" w:rsidRPr="00922C73">
        <w:rPr>
          <w:rFonts w:ascii="Times New Roman" w:hAnsi="Times New Roman" w:cs="Times New Roman"/>
          <w:sz w:val="24"/>
          <w:szCs w:val="24"/>
          <w:shd w:val="clear" w:color="auto" w:fill="FFFFFF"/>
        </w:rPr>
        <w:t xml:space="preserve">ife-threatening medical emergency carries a 1% mortality rate </w:t>
      </w:r>
      <w:r w:rsidR="00704FA6" w:rsidRPr="00922C73">
        <w:rPr>
          <w:rFonts w:ascii="Times New Roman" w:hAnsi="Times New Roman" w:cs="Times New Roman"/>
          <w:sz w:val="24"/>
          <w:szCs w:val="24"/>
          <w:shd w:val="clear" w:color="auto" w:fill="FFFFFF"/>
        </w:rPr>
        <w:t>and a high risk of colectomy</w:t>
      </w:r>
      <w:r w:rsidR="00561453" w:rsidRPr="00922C73">
        <w:rPr>
          <w:rFonts w:ascii="Times New Roman" w:hAnsi="Times New Roman" w:cs="Times New Roman"/>
          <w:sz w:val="24"/>
          <w:szCs w:val="24"/>
          <w:shd w:val="clear" w:color="auto" w:fill="FFFFFF"/>
        </w:rPr>
        <w:t xml:space="preserve"> during the acute admission and </w:t>
      </w:r>
      <w:r w:rsidR="00994746" w:rsidRPr="00922C73">
        <w:rPr>
          <w:rFonts w:ascii="Times New Roman" w:hAnsi="Times New Roman" w:cs="Times New Roman"/>
          <w:sz w:val="24"/>
          <w:szCs w:val="24"/>
          <w:shd w:val="clear" w:color="auto" w:fill="FFFFFF"/>
        </w:rPr>
        <w:t>on follow-up</w:t>
      </w:r>
      <w:r w:rsidR="00E945A4" w:rsidRPr="00922C73">
        <w:rPr>
          <w:rFonts w:ascii="Times New Roman" w:hAnsi="Times New Roman" w:cs="Times New Roman"/>
          <w:sz w:val="24"/>
          <w:szCs w:val="24"/>
          <w:shd w:val="clear" w:color="auto" w:fill="FFFFFF"/>
        </w:rPr>
        <w:t xml:space="preserve"> </w:t>
      </w:r>
      <w:r w:rsidR="00C80E85"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15592","ISSN":"02692813","author":[{"dropping-particle":"","family":"Dong","given":"Catherine","non-dropping-particle":"","parse-names":false,"suffix":""},{"dropping-particle":"","family":"Metzger","given":"Marie","non-dropping-particle":"","parse-names":false,"suffix":""},{"dropping-particle":"","family":"Holsbø","given":"Einar","non-dropping-particle":"","parse-names":false,"suffix":""},{"dropping-particle":"","family":"Perduca","given":"Vittorio","non-dropping-particle":"","parse-names":false,"suffix":""},{"dropping-particle":"","family":"Carbonnel","given":"Franck","non-dropping-particle":"","parse-names":false,"suffix":""}],"container-title":"Alimentary Pharmacology &amp; Therapeutics","id":"ITEM-1","issue":"1","issued":{"date-parts":[["2020","1"]]},"page":"8-33","title":"Systematic review with meta-analysis: mortality in acute severe ulcerative colitis","type":"article-journal","volume":"51"},"uris":["http://www.mendeley.com/documents/?uuid=ecac05bd-9393-44c4-ab3f-e4a7c85b1d8b"]},{"id":"ITEM-2","itemData":{"DOI":"10.1046/j.1365-2036.2000.00705.x","ISSN":"02692813","author":[{"dropping-particle":"","family":"Carbonnel","given":"","non-dropping-particle":"","parse-names":false,"suffix":""},{"dropping-particle":"","family":"Gargouri","given":"","non-dropping-particle":"","parse-names":false,"suffix":""},{"dropping-particle":"","family":"Lémann","given":"","non-dropping-particle":"","parse-names":false,"suffix":""},{"dropping-particle":"","family":"Beaugerie","given":"","non-dropping-particle":"","parse-names":false,"suffix":""},{"dropping-particle":"","family":"Cattan","given":"","non-dropping-particle":"","parse-names":false,"suffix":""},{"dropping-particle":"","family":"Cosnes","given":"","non-dropping-particle":"","parse-names":false,"suffix":""},{"dropping-particle":"","family":"Gendre","given":"","non-dropping-particle":"","parse-names":false,"suffix":""}],"container-title":"Alimentary Pharmacology &amp; Therapeutics","id":"ITEM-2","issue":"3","issued":{"date-parts":[["2000","3"]]},"page":"273-279","title":"Predictive factors of outcome of intensive intravenous treatment for attacks of ulcerative colitis","type":"article-journal","volume":"14"},"uris":["http://www.mendeley.com/documents/?uuid=f2dab95a-afaa-4d46-8e98-1aea68d7e656"]}],"mendeley":{"formattedCitation":"&lt;sup&gt;68,69&lt;/sup&gt;","plainTextFormattedCitation":"68,69","previouslyFormattedCitation":"&lt;sup&gt;68,69&lt;/sup&gt;"},"properties":{"noteIndex":0},"schema":"https://github.com/citation-style-language/schema/raw/master/csl-citation.json"}</w:instrText>
      </w:r>
      <w:r w:rsidR="00C80E85"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68,69</w:t>
      </w:r>
      <w:r w:rsidR="00C80E85" w:rsidRPr="00922C73">
        <w:rPr>
          <w:rFonts w:ascii="Times New Roman" w:hAnsi="Times New Roman" w:cs="Times New Roman"/>
          <w:sz w:val="24"/>
          <w:szCs w:val="24"/>
          <w:shd w:val="clear" w:color="auto" w:fill="FFFFFF"/>
        </w:rPr>
        <w:fldChar w:fldCharType="end"/>
      </w:r>
      <w:r w:rsidR="00994746" w:rsidRPr="00922C73">
        <w:rPr>
          <w:rFonts w:ascii="Times New Roman" w:hAnsi="Times New Roman" w:cs="Times New Roman"/>
          <w:sz w:val="24"/>
          <w:szCs w:val="24"/>
          <w:shd w:val="clear" w:color="auto" w:fill="FFFFFF"/>
        </w:rPr>
        <w:t>.</w:t>
      </w:r>
      <w:r w:rsidR="003767CC" w:rsidRPr="00922C73">
        <w:rPr>
          <w:rFonts w:ascii="Times New Roman" w:hAnsi="Times New Roman" w:cs="Times New Roman"/>
          <w:sz w:val="24"/>
          <w:szCs w:val="24"/>
          <w:shd w:val="clear" w:color="auto" w:fill="FFFFFF"/>
        </w:rPr>
        <w:t xml:space="preserve"> </w:t>
      </w:r>
      <w:r w:rsidR="00044DFD" w:rsidRPr="00922C73">
        <w:rPr>
          <w:rFonts w:ascii="Times New Roman" w:hAnsi="Times New Roman" w:cs="Times New Roman"/>
          <w:sz w:val="24"/>
          <w:szCs w:val="24"/>
          <w:shd w:val="clear" w:color="auto" w:fill="FFFFFF"/>
        </w:rPr>
        <w:t>Intravenous c</w:t>
      </w:r>
      <w:r w:rsidR="003767CC" w:rsidRPr="00922C73">
        <w:rPr>
          <w:rFonts w:ascii="Times New Roman" w:hAnsi="Times New Roman" w:cs="Times New Roman"/>
          <w:sz w:val="24"/>
          <w:szCs w:val="24"/>
          <w:shd w:val="clear" w:color="auto" w:fill="FFFFFF"/>
        </w:rPr>
        <w:t>orticosteroids</w:t>
      </w:r>
      <w:r w:rsidR="00994746" w:rsidRPr="00922C73">
        <w:rPr>
          <w:rFonts w:ascii="Times New Roman" w:hAnsi="Times New Roman" w:cs="Times New Roman"/>
          <w:sz w:val="24"/>
          <w:szCs w:val="24"/>
          <w:shd w:val="clear" w:color="auto" w:fill="FFFFFF"/>
        </w:rPr>
        <w:t xml:space="preserve"> </w:t>
      </w:r>
      <w:r w:rsidR="00054D06" w:rsidRPr="00922C73">
        <w:rPr>
          <w:rFonts w:ascii="Times New Roman" w:hAnsi="Times New Roman" w:cs="Times New Roman"/>
          <w:sz w:val="24"/>
          <w:szCs w:val="24"/>
          <w:shd w:val="clear" w:color="auto" w:fill="FFFFFF"/>
        </w:rPr>
        <w:t>are administered as</w:t>
      </w:r>
      <w:r w:rsidR="003767CC" w:rsidRPr="00922C73">
        <w:rPr>
          <w:rFonts w:ascii="Times New Roman" w:hAnsi="Times New Roman" w:cs="Times New Roman"/>
          <w:sz w:val="24"/>
          <w:szCs w:val="24"/>
          <w:shd w:val="clear" w:color="auto" w:fill="FFFFFF"/>
        </w:rPr>
        <w:t xml:space="preserve"> initial therapy but </w:t>
      </w:r>
      <w:r w:rsidR="00C8139F" w:rsidRPr="00922C73">
        <w:rPr>
          <w:rFonts w:ascii="Times New Roman" w:hAnsi="Times New Roman" w:cs="Times New Roman"/>
          <w:sz w:val="24"/>
          <w:szCs w:val="24"/>
          <w:shd w:val="clear" w:color="auto" w:fill="FFFFFF"/>
        </w:rPr>
        <w:t xml:space="preserve">around a </w:t>
      </w:r>
      <w:r w:rsidR="00CB720A" w:rsidRPr="00922C73">
        <w:rPr>
          <w:rFonts w:ascii="Times New Roman" w:hAnsi="Times New Roman" w:cs="Times New Roman"/>
          <w:sz w:val="24"/>
          <w:szCs w:val="24"/>
          <w:shd w:val="clear" w:color="auto" w:fill="FFFFFF"/>
        </w:rPr>
        <w:t>one-third</w:t>
      </w:r>
      <w:r w:rsidR="00044DFD" w:rsidRPr="00922C73">
        <w:rPr>
          <w:rFonts w:ascii="Times New Roman" w:hAnsi="Times New Roman" w:cs="Times New Roman"/>
          <w:sz w:val="24"/>
          <w:szCs w:val="24"/>
          <w:shd w:val="clear" w:color="auto" w:fill="FFFFFF"/>
        </w:rPr>
        <w:t xml:space="preserve"> </w:t>
      </w:r>
      <w:r w:rsidR="003767CC" w:rsidRPr="00922C73">
        <w:rPr>
          <w:rFonts w:ascii="Times New Roman" w:hAnsi="Times New Roman" w:cs="Times New Roman"/>
          <w:sz w:val="24"/>
          <w:szCs w:val="24"/>
          <w:shd w:val="clear" w:color="auto" w:fill="FFFFFF"/>
        </w:rPr>
        <w:t xml:space="preserve">of patients </w:t>
      </w:r>
      <w:r w:rsidR="00044DFD" w:rsidRPr="00922C73">
        <w:rPr>
          <w:rFonts w:ascii="Times New Roman" w:hAnsi="Times New Roman" w:cs="Times New Roman"/>
          <w:sz w:val="24"/>
          <w:szCs w:val="24"/>
          <w:shd w:val="clear" w:color="auto" w:fill="FFFFFF"/>
        </w:rPr>
        <w:t>will</w:t>
      </w:r>
      <w:r w:rsidR="003767CC" w:rsidRPr="00922C73">
        <w:rPr>
          <w:rFonts w:ascii="Times New Roman" w:hAnsi="Times New Roman" w:cs="Times New Roman"/>
          <w:sz w:val="24"/>
          <w:szCs w:val="24"/>
          <w:shd w:val="clear" w:color="auto" w:fill="FFFFFF"/>
        </w:rPr>
        <w:t xml:space="preserve"> fail to respond</w:t>
      </w:r>
      <w:r w:rsidR="00054D06" w:rsidRPr="00922C73">
        <w:rPr>
          <w:rFonts w:ascii="Times New Roman" w:hAnsi="Times New Roman" w:cs="Times New Roman"/>
          <w:sz w:val="24"/>
          <w:szCs w:val="24"/>
          <w:shd w:val="clear" w:color="auto" w:fill="FFFFFF"/>
        </w:rPr>
        <w:t xml:space="preserve"> </w:t>
      </w:r>
      <w:r w:rsidR="00444DD7"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10.1046/j.1365-2036.2000.00705.x","ISSN":"02692813","author":[{"dropping-particle":"","family":"Carbonnel","given":"","non-dropping-particle":"","parse-names":false,"suffix":""},{"dropping-particle":"","family":"Gargouri","given":"","non-dropping-particle":"","parse-names":false,"suffix":""},{"dropping-particle":"","family":"Lémann","given":"","non-dropping-particle":"","parse-names":false,"suffix":""},{"dropping-particle":"","family":"Beaugerie","given":"","non-dropping-particle":"","parse-names":false,"suffix":""},{"dropping-particle":"","family":"Cattan","given":"","non-dropping-particle":"","parse-names":false,"suffix":""},{"dropping-particle":"","family":"Cosnes","given":"","non-dropping-particle":"","parse-names":false,"suffix":""},{"dropping-particle":"","family":"Gendre","given":"","non-dropping-particle":"","parse-names":false,"suffix":""}],"container-title":"Alimentary Pharmacology &amp; Therapeutics","id":"ITEM-1","issue":"3","issued":{"date-parts":[["2000","3"]]},"page":"273-279","title":"Predictive factors of outcome of intensive intravenous treatment for attacks of ulcerative colitis","type":"article-journal","volume":"14"},"uris":["http://www.mendeley.com/documents/?uuid=f2dab95a-afaa-4d46-8e98-1aea68d7e656"]},{"id":"ITEM-2","itemData":{"DOI":"10.1038/ajg.2011.73","ISSN":"0002-9270","author":[{"dropping-particle":"","family":"Ford","given":"Alexander C","non-dropping-particle":"","parse-names":false,"suffix":""},{"dropping-particle":"","family":"Sandborn","given":"William J","non-dropping-particle":"","parse-names":false,"suffix":""},{"dropping-particle":"","family":"Khan","given":"Khurram J","non-dropping-particle":"","parse-names":false,"suffix":""},{"dropping-particle":"","family":"Hanauer","given":"Stephen B","non-dropping-particle":"","parse-names":false,"suffix":""},{"dropping-particle":"","family":"Talley","given":"Nicholas J","non-dropping-particle":"","parse-names":false,"suffix":""},{"dropping-particle":"","family":"Moayyedi","given":"Paul","non-dropping-particle":"","parse-names":false,"suffix":""}],"container-title":"American Journal of Gastroenterology","id":"ITEM-2","issue":"4","issued":{"date-parts":[["2011","4"]]},"page":"644-659","title":"Efficacy of Biological Therapies in Inflammatory Bowel Disease: Systematic Review and Meta-Analysis","type":"article-journal","volume":"106"},"uris":["http://www.mendeley.com/documents/?uuid=85d93890-dd24-45d1-8658-b9336e1dad9e"]},{"id":"ITEM-3","itemData":{"DOI":"10.3748/wjg.v19.i7.1091","ISSN":"1007-9327","author":[{"dropping-particle":"","family":"Halpin","given":"Stephen J","non-dropping-particle":"","parse-names":false,"suffix":""}],"container-title":"World Journal of Gastroenterology","id":"ITEM-3","issue":"7","issued":{"date-parts":[["2013"]]},"page":"1091","title":"Efficacy of infliximab in acute severe ulcerative colitis: A single-centre experience","type":"article-journal","volume":"19"},"uris":["http://www.mendeley.com/documents/?uuid=e795f3bb-a5fa-4949-8a97-8aedd425a4a7"]}],"mendeley":{"formattedCitation":"&lt;sup&gt;69–71&lt;/sup&gt;","plainTextFormattedCitation":"69–71","previouslyFormattedCitation":"&lt;sup&gt;69–71&lt;/sup&gt;"},"properties":{"noteIndex":0},"schema":"https://github.com/citation-style-language/schema/raw/master/csl-citation.json"}</w:instrText>
      </w:r>
      <w:r w:rsidR="00444DD7"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69–71</w:t>
      </w:r>
      <w:r w:rsidR="00444DD7" w:rsidRPr="00922C73">
        <w:rPr>
          <w:rFonts w:ascii="Times New Roman" w:hAnsi="Times New Roman" w:cs="Times New Roman"/>
          <w:sz w:val="24"/>
          <w:szCs w:val="24"/>
          <w:shd w:val="clear" w:color="auto" w:fill="FFFFFF"/>
        </w:rPr>
        <w:fldChar w:fldCharType="end"/>
      </w:r>
      <w:r w:rsidR="00302DE6" w:rsidRPr="00922C73">
        <w:rPr>
          <w:rFonts w:ascii="Times New Roman" w:hAnsi="Times New Roman" w:cs="Times New Roman"/>
          <w:sz w:val="24"/>
          <w:szCs w:val="24"/>
          <w:shd w:val="clear" w:color="auto" w:fill="FFFFFF"/>
        </w:rPr>
        <w:t>. A meta-analysis showed</w:t>
      </w:r>
      <w:r w:rsidR="00054D06" w:rsidRPr="00922C73">
        <w:rPr>
          <w:rFonts w:ascii="Times New Roman" w:hAnsi="Times New Roman" w:cs="Times New Roman"/>
          <w:sz w:val="24"/>
          <w:szCs w:val="24"/>
          <w:shd w:val="clear" w:color="auto" w:fill="FFFFFF"/>
        </w:rPr>
        <w:t xml:space="preserve"> </w:t>
      </w:r>
      <w:r w:rsidR="00EC3FD5" w:rsidRPr="00922C73">
        <w:rPr>
          <w:rFonts w:ascii="Times New Roman" w:hAnsi="Times New Roman" w:cs="Times New Roman"/>
          <w:sz w:val="24"/>
          <w:szCs w:val="24"/>
          <w:shd w:val="clear" w:color="auto" w:fill="FFFFFF"/>
        </w:rPr>
        <w:t>infliximab had a</w:t>
      </w:r>
      <w:r w:rsidR="007F08A7" w:rsidRPr="00922C73">
        <w:rPr>
          <w:rFonts w:ascii="Times New Roman" w:hAnsi="Times New Roman" w:cs="Times New Roman"/>
          <w:sz w:val="24"/>
          <w:szCs w:val="24"/>
          <w:shd w:val="clear" w:color="auto" w:fill="FFFFFF"/>
        </w:rPr>
        <w:t xml:space="preserve"> number needed to treat</w:t>
      </w:r>
      <w:r w:rsidR="00054D06" w:rsidRPr="00922C73">
        <w:rPr>
          <w:rFonts w:ascii="Times New Roman" w:hAnsi="Times New Roman" w:cs="Times New Roman"/>
          <w:sz w:val="24"/>
          <w:szCs w:val="24"/>
          <w:shd w:val="clear" w:color="auto" w:fill="FFFFFF"/>
        </w:rPr>
        <w:t xml:space="preserve"> of </w:t>
      </w:r>
      <w:r w:rsidR="00E17586" w:rsidRPr="00922C73">
        <w:rPr>
          <w:rFonts w:ascii="Times New Roman" w:hAnsi="Times New Roman" w:cs="Times New Roman"/>
          <w:sz w:val="24"/>
          <w:szCs w:val="24"/>
          <w:shd w:val="clear" w:color="auto" w:fill="FFFFFF"/>
        </w:rPr>
        <w:t>four</w:t>
      </w:r>
      <w:r w:rsidR="00054D06" w:rsidRPr="00922C73">
        <w:rPr>
          <w:rFonts w:ascii="Times New Roman" w:hAnsi="Times New Roman" w:cs="Times New Roman"/>
          <w:sz w:val="24"/>
          <w:szCs w:val="24"/>
          <w:shd w:val="clear" w:color="auto" w:fill="FFFFFF"/>
        </w:rPr>
        <w:t xml:space="preserve"> for moderate to severe UC and</w:t>
      </w:r>
      <w:r w:rsidR="007F08A7" w:rsidRPr="00922C73">
        <w:rPr>
          <w:rFonts w:ascii="Times New Roman" w:hAnsi="Times New Roman" w:cs="Times New Roman"/>
          <w:sz w:val="24"/>
          <w:szCs w:val="24"/>
          <w:shd w:val="clear" w:color="auto" w:fill="FFFFFF"/>
        </w:rPr>
        <w:t xml:space="preserve"> real world experience showed</w:t>
      </w:r>
      <w:r w:rsidR="00854932" w:rsidRPr="00922C73">
        <w:rPr>
          <w:rFonts w:ascii="Times New Roman" w:hAnsi="Times New Roman" w:cs="Times New Roman"/>
          <w:sz w:val="24"/>
          <w:szCs w:val="24"/>
          <w:shd w:val="clear" w:color="auto" w:fill="FFFFFF"/>
        </w:rPr>
        <w:t xml:space="preserve"> </w:t>
      </w:r>
      <w:r w:rsidR="007F08A7" w:rsidRPr="00922C73">
        <w:rPr>
          <w:rFonts w:ascii="Times New Roman" w:hAnsi="Times New Roman" w:cs="Times New Roman"/>
          <w:sz w:val="24"/>
          <w:szCs w:val="24"/>
          <w:shd w:val="clear" w:color="auto" w:fill="FFFFFF"/>
        </w:rPr>
        <w:t>two-</w:t>
      </w:r>
      <w:r w:rsidR="00054D06" w:rsidRPr="00922C73">
        <w:rPr>
          <w:rFonts w:ascii="Times New Roman" w:hAnsi="Times New Roman" w:cs="Times New Roman"/>
          <w:sz w:val="24"/>
          <w:szCs w:val="24"/>
          <w:shd w:val="clear" w:color="auto" w:fill="FFFFFF"/>
        </w:rPr>
        <w:t xml:space="preserve">thirds of patients avoided colectomy, and more than 50% were in </w:t>
      </w:r>
      <w:proofErr w:type="spellStart"/>
      <w:r w:rsidR="00054D06" w:rsidRPr="00922C73">
        <w:rPr>
          <w:rFonts w:ascii="Times New Roman" w:hAnsi="Times New Roman" w:cs="Times New Roman"/>
          <w:sz w:val="24"/>
          <w:szCs w:val="24"/>
          <w:shd w:val="clear" w:color="auto" w:fill="FFFFFF"/>
        </w:rPr>
        <w:t>glucocorticosteroid</w:t>
      </w:r>
      <w:proofErr w:type="spellEnd"/>
      <w:r w:rsidR="00054D06" w:rsidRPr="00922C73">
        <w:rPr>
          <w:rFonts w:ascii="Times New Roman" w:hAnsi="Times New Roman" w:cs="Times New Roman"/>
          <w:sz w:val="24"/>
          <w:szCs w:val="24"/>
          <w:shd w:val="clear" w:color="auto" w:fill="FFFFFF"/>
        </w:rPr>
        <w:t>-free remission</w:t>
      </w:r>
      <w:r w:rsidR="007F08A7" w:rsidRPr="00922C73">
        <w:rPr>
          <w:rFonts w:ascii="Times New Roman" w:hAnsi="Times New Roman" w:cs="Times New Roman"/>
          <w:sz w:val="24"/>
          <w:szCs w:val="24"/>
          <w:shd w:val="clear" w:color="auto" w:fill="FFFFFF"/>
        </w:rPr>
        <w:t xml:space="preserve"> on follow-up</w:t>
      </w:r>
      <w:r w:rsidR="00EC3FD5" w:rsidRPr="00922C73">
        <w:rPr>
          <w:rFonts w:ascii="Times New Roman" w:hAnsi="Times New Roman" w:cs="Times New Roman"/>
          <w:sz w:val="24"/>
          <w:szCs w:val="24"/>
          <w:shd w:val="clear" w:color="auto" w:fill="FFFFFF"/>
        </w:rPr>
        <w:t xml:space="preserve"> </w:t>
      </w:r>
      <w:r w:rsidR="00EC3FD5"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{"citationItems":[{"id":"ITEM-1","itemData":{"DOI":"10.1038/ajg.2011.73","ISSN":"0002-9270","author":[{"dropping-particle":"","family":"Ford","given":"Alexander C","non-dropping-particle":"","parse-names":false,"suffix":""},{"dropping-particle":"","family":"Sandborn","given":"William J","non-dropping-particle":"","parse-names":false,"suffix":""},{"dropping-particle":"","family":"Khan","given":"Khurram J","non-dropping-particle":"","parse-names":false,"suffix":""},{"dropping-particle":"","family":"Hanauer","given":"Stephen B","non-dropping-particle":"","parse-names":false,"suffix":""},{"dropping-particle":"","family":"Talley","given":"Nicholas J","non-dropping-particle":"","parse-names":false,"suffix":""},{"dropping-particle":"","family":"Moayyedi","given":"Paul","non-dropping-particle":"","parse-names":false,"suffix":""}],"container-title":"American Journal of Gastroenterology","id":"ITEM-1","issue":"4","issued":{"date-parts":[["2011","4"]]},"page":"644-659","title":"Efficacy of Biological Therapies in Inflammatory Bowel Disease: Systematic Review and Meta-Analysis","type":"article-journal","volume":"106"},"uris":["http://www.mendeley.com/documents/?uuid=85d93890-dd24-45d1-8658-b9336e1dad9e"]},{"id":"ITEM-2","itemData":{"DOI":"10.3748/wjg.v19.i7.1091","ISSN":"1007-9327","author":[{"dropping-particle":"","family":"Halpin","given":"Stephen J","non-dropping-particle":"","parse-names":false,"suffix":""}],"container-title":"World Journal of Gastroenterology","id":"ITEM-2","issue":"7","issued":{"date-parts":[["2013"]]},"page":"1091","title":"Efficacy of infliximab in acute severe ulcerative colitis: A single-centre experience","type":"article-journal","volume":"19"},"uris":["http://www.mendeley.com/documents/?uuid=e795f3bb-a5fa-4949-8a97-8aedd425a4a7"]}],"mendeley":{"formattedCitation":"&lt;sup&gt;70,71&lt;/sup&gt;","plainTextFormattedCitation":"70,71","previouslyFormattedCitation":"&lt;sup&gt;70,71&lt;/sup&gt;"},"properties":{"noteIndex":0},"schema":"https://github.com/citation-style-language/schema/raw/master/csl-citation.json"}</w:instrText>
      </w:r>
      <w:r w:rsidR="00EC3FD5"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70,71</w:t>
      </w:r>
      <w:r w:rsidR="00EC3FD5" w:rsidRPr="00922C73">
        <w:rPr>
          <w:rFonts w:ascii="Times New Roman" w:hAnsi="Times New Roman" w:cs="Times New Roman"/>
          <w:sz w:val="24"/>
          <w:szCs w:val="24"/>
          <w:shd w:val="clear" w:color="auto" w:fill="FFFFFF"/>
        </w:rPr>
        <w:fldChar w:fldCharType="end"/>
      </w:r>
      <w:r w:rsidR="00AB41DE" w:rsidRPr="00922C73">
        <w:rPr>
          <w:rFonts w:ascii="Times New Roman" w:hAnsi="Times New Roman" w:cs="Times New Roman"/>
          <w:sz w:val="24"/>
          <w:szCs w:val="24"/>
          <w:shd w:val="clear" w:color="auto" w:fill="FFFFFF"/>
        </w:rPr>
        <w:t>.</w:t>
      </w:r>
    </w:p>
    <w:p w14:paraId="66442314" w14:textId="77777777" w:rsidR="007A1B2A" w:rsidRPr="00922C73" w:rsidRDefault="007A1B2A" w:rsidP="00F64D9D">
      <w:pPr>
        <w:autoSpaceDE w:val="0"/>
        <w:autoSpaceDN w:val="0"/>
        <w:adjustRightInd w:val="0"/>
        <w:spacing w:after="0" w:line="480" w:lineRule="auto"/>
        <w:rPr>
          <w:rFonts w:ascii="Arial" w:hAnsi="Arial" w:cs="Arial"/>
          <w:sz w:val="20"/>
          <w:szCs w:val="20"/>
          <w:shd w:val="clear" w:color="auto" w:fill="FFFFFF"/>
        </w:rPr>
      </w:pPr>
    </w:p>
    <w:p w14:paraId="241D9EDC" w14:textId="5C1A16C7" w:rsidR="00661DFD" w:rsidRPr="00922C73" w:rsidRDefault="003427CD" w:rsidP="00F64D9D">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 xml:space="preserve">The efficacy of infliximab has also been assessed and shown in </w:t>
      </w:r>
      <w:proofErr w:type="spellStart"/>
      <w:r w:rsidRPr="00922C73">
        <w:rPr>
          <w:rFonts w:ascii="Times New Roman" w:hAnsi="Times New Roman" w:cs="Times New Roman"/>
          <w:sz w:val="24"/>
          <w:szCs w:val="24"/>
        </w:rPr>
        <w:t>fistulating</w:t>
      </w:r>
      <w:proofErr w:type="spellEnd"/>
      <w:r w:rsidRPr="00922C73">
        <w:rPr>
          <w:rFonts w:ascii="Times New Roman" w:hAnsi="Times New Roman" w:cs="Times New Roman"/>
          <w:sz w:val="24"/>
          <w:szCs w:val="24"/>
        </w:rPr>
        <w:t xml:space="preserve"> CD, a difficult patient cohort with limited evidence from RCTs. At week 10, following infliximab induction therapy, </w:t>
      </w:r>
      <w:r w:rsidRPr="00922C73">
        <w:rPr>
          <w:rFonts w:ascii="Times New Roman" w:eastAsia="Times New Roman" w:hAnsi="Times New Roman" w:cs="Times New Roman"/>
          <w:sz w:val="24"/>
          <w:szCs w:val="24"/>
          <w:lang w:eastAsia="en-GB"/>
        </w:rPr>
        <w:t>195 of 306 CD patients with abdominal or perianal fistulas, showed response</w:t>
      </w:r>
      <w:r w:rsidR="00854721" w:rsidRPr="00922C73">
        <w:rPr>
          <w:rFonts w:ascii="Times New Roman" w:eastAsia="Times New Roman" w:hAnsi="Times New Roman" w:cs="Times New Roman"/>
          <w:sz w:val="24"/>
          <w:szCs w:val="24"/>
          <w:lang w:eastAsia="en-GB"/>
        </w:rPr>
        <w:t xml:space="preserve"> </w:t>
      </w:r>
      <w:r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Medicine","id":"ITEM-1","issue":"9","issued":{"date-parts":[["2004","2","26"]]},"page":"876-885","title":"Infliximab Maintenance Therapy for Fistulizing Crohn's Disease","type":"article-journal","volume":"350"},"uris":["http://www.mendeley.com/documents/?uuid=d5a74abf-713b-45ca-9e76-608b0a3dc258"]}],"mendeley":{"formattedCitation":"&lt;sup&gt;55&lt;/sup&gt;","plainTextFormattedCitation":"55","previouslyFormattedCitation":"&lt;sup&gt;55&lt;/sup&gt;"},"properties":{"noteIndex":0},"schema":"https://github.com/citation-style-language/schema/raw/master/csl-citation.json"}</w:instrText>
      </w:r>
      <w:r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55</w:t>
      </w:r>
      <w:r w:rsidRPr="00922C73">
        <w:rPr>
          <w:rFonts w:ascii="Times New Roman" w:eastAsia="Times New Roman" w:hAnsi="Times New Roman" w:cs="Times New Roman"/>
          <w:sz w:val="24"/>
          <w:szCs w:val="24"/>
          <w:lang w:eastAsia="en-GB"/>
        </w:rPr>
        <w:fldChar w:fldCharType="end"/>
      </w:r>
      <w:r w:rsidRPr="00922C73">
        <w:rPr>
          <w:rFonts w:ascii="Times New Roman" w:eastAsia="Times New Roman" w:hAnsi="Times New Roman" w:cs="Times New Roman"/>
          <w:sz w:val="24"/>
          <w:szCs w:val="24"/>
          <w:lang w:eastAsia="en-GB"/>
        </w:rPr>
        <w:t xml:space="preserve">. Responders were randomised to infliximab 5mg/kg or placebo every 8 weeks and the time to loss of response was significantly longer for patients who received infliximab </w:t>
      </w:r>
      <w:r w:rsidR="009C776B" w:rsidRPr="00922C73">
        <w:rPr>
          <w:rFonts w:ascii="Times New Roman" w:eastAsia="Times New Roman" w:hAnsi="Times New Roman" w:cs="Times New Roman"/>
          <w:sz w:val="24"/>
          <w:szCs w:val="24"/>
          <w:lang w:eastAsia="en-GB"/>
        </w:rPr>
        <w:t>compared to</w:t>
      </w:r>
      <w:r w:rsidRPr="00922C73">
        <w:rPr>
          <w:rFonts w:ascii="Times New Roman" w:eastAsia="Times New Roman" w:hAnsi="Times New Roman" w:cs="Times New Roman"/>
          <w:sz w:val="24"/>
          <w:szCs w:val="24"/>
          <w:lang w:eastAsia="en-GB"/>
        </w:rPr>
        <w:t xml:space="preserve"> placebo and at week 54, nearly 40% of those receiving infliximab had a complete absence of draining fistulas, compared to 19% in the placebo group (P=0.009) </w:t>
      </w:r>
      <w:r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Medicine","id":"ITEM-1","issue":"9","issued":{"date-parts":[["2004","2","26"]]},"page":"876-885","title":"Infliximab Maintenance Therapy for Fistulizing Crohn's Disease","type":"article-journal","volume":"350"},"uris":["http://www.mendeley.com/documents/?uuid=d5a74abf-713b-45ca-9e76-608b0a3dc258"]}],"mendeley":{"formattedCitation":"&lt;sup&gt;55&lt;/sup&gt;","plainTextFormattedCitation":"55","previouslyFormattedCitation":"&lt;sup&gt;55&lt;/sup&gt;"},"properties":{"noteIndex":0},"schema":"https://github.com/citation-style-language/schema/raw/master/csl-citation.json"}</w:instrText>
      </w:r>
      <w:r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55</w:t>
      </w:r>
      <w:r w:rsidRPr="00922C73">
        <w:rPr>
          <w:rFonts w:ascii="Times New Roman" w:eastAsia="Times New Roman" w:hAnsi="Times New Roman" w:cs="Times New Roman"/>
          <w:sz w:val="24"/>
          <w:szCs w:val="24"/>
          <w:lang w:eastAsia="en-GB"/>
        </w:rPr>
        <w:fldChar w:fldCharType="end"/>
      </w:r>
      <w:r w:rsidRPr="00922C73">
        <w:rPr>
          <w:rFonts w:ascii="Times New Roman" w:eastAsia="Times New Roman" w:hAnsi="Times New Roman" w:cs="Times New Roman"/>
          <w:sz w:val="24"/>
          <w:szCs w:val="24"/>
          <w:lang w:eastAsia="en-GB"/>
        </w:rPr>
        <w:t>.</w:t>
      </w:r>
      <w:r w:rsidR="00286E06" w:rsidRPr="00922C73">
        <w:rPr>
          <w:rFonts w:ascii="Times New Roman" w:hAnsi="Times New Roman" w:cs="Times New Roman"/>
          <w:sz w:val="24"/>
          <w:szCs w:val="24"/>
          <w:shd w:val="clear" w:color="auto" w:fill="FFFFFF"/>
        </w:rPr>
        <w:t xml:space="preserve"> </w:t>
      </w:r>
    </w:p>
    <w:p w14:paraId="5CDF8905" w14:textId="77777777" w:rsidR="00661DFD" w:rsidRPr="00922C73" w:rsidRDefault="00661DFD" w:rsidP="00F64D9D">
      <w:pPr>
        <w:autoSpaceDE w:val="0"/>
        <w:autoSpaceDN w:val="0"/>
        <w:adjustRightInd w:val="0"/>
        <w:spacing w:after="0" w:line="480" w:lineRule="auto"/>
        <w:rPr>
          <w:rFonts w:ascii="Times New Roman" w:hAnsi="Times New Roman" w:cs="Times New Roman"/>
          <w:sz w:val="24"/>
          <w:szCs w:val="24"/>
          <w:shd w:val="clear" w:color="auto" w:fill="FFFFFF"/>
        </w:rPr>
      </w:pPr>
    </w:p>
    <w:p w14:paraId="082B1206" w14:textId="588C48F9" w:rsidR="003427CD" w:rsidRPr="00922C73" w:rsidRDefault="00286E06"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shd w:val="clear" w:color="auto" w:fill="FFFFFF"/>
        </w:rPr>
        <w:t xml:space="preserve">RCTs in both UC and CD has shown that infliximab used in combination with azathioprine significantly increases rates of corticosteroid free remission and mucosal healing when </w:t>
      </w:r>
      <w:r w:rsidRPr="00922C73">
        <w:rPr>
          <w:rFonts w:ascii="Times New Roman" w:hAnsi="Times New Roman" w:cs="Times New Roman"/>
          <w:sz w:val="24"/>
          <w:szCs w:val="24"/>
          <w:shd w:val="clear" w:color="auto" w:fill="FFFFFF"/>
        </w:rPr>
        <w:lastRenderedPageBreak/>
        <w:t>compared to infliximab or azathioprine monotherapy</w:t>
      </w:r>
      <w:r w:rsidR="002074AC" w:rsidRPr="00922C73">
        <w:rPr>
          <w:rFonts w:ascii="Times New Roman" w:hAnsi="Times New Roman" w:cs="Times New Roman"/>
          <w:sz w:val="24"/>
          <w:szCs w:val="24"/>
          <w:shd w:val="clear" w:color="auto" w:fill="FFFFFF"/>
        </w:rPr>
        <w:t xml:space="preserve"> </w:t>
      </w:r>
      <w:r w:rsidR="002074AC"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{"citationItems":[{"id":"ITEM-1","itemData":{"DOI":"10.1053/j.gastro.2013.10.052","ISBN":"0016-5085 (ISSNLinking)","ISSN":"00165085","PMID":"24512909","abstract":"Background &amp; Aims The comparative efficacy and safety of infliximab and azathioprine therapy alone or in combination for ulcerative colitis (UC) have not been evaluated previously. Methods This randomized, double-blind trial evaluated the efficacy and safety of 16 weeks of treatment with infliximab monotherapy, azathioprine monotherapy, or the 2 drugs combined in tumor necrosis factor-?? antagonist-naive adults with moderate to severe UC. Patients were assigned randomly to receive intravenous infusions of infliximab 5 mg/kg at weeks 0, 2, 6, and 14 plus daily oral placebo capsules; oral azathioprine 2.5 mg/kg daily plus placebo infusions on the infliximab schedule; or combination therapy with the 2 drugs. Corticosteroid-free clinical remission (primary end point, week 16) was evaluated at weeks 8 and 16. The study was terminated before the enrollment target was reached. Results A total of 239 patients were included in efficacy analyses. Baseline characteristics were similar between treatment groups. Corticosteroid-free remission at week 16 was achieved by 39.7% (31 of 78) of patients receiving infliximab/azathioprine, compared with 22.1% (17 of 77) receiving infliximab alone (P =.017) and 23.7% (18 of 76) receiving azathioprine alone (P =.032). Mucosal healing at week 16 occurred in 62.8% (49 of 78) of patients receiving infliximab/azathioprine, compared with 54.6% (42 of 77) receiving infliximab (P =.295) and 36.8% (28 of 76) receiving azathioprine (P =.001). Serious infections occurred in 2 patients (1 patient receiving infliximab, and 1 patient receiving azathioprine). Conclusions Anti-tumor necrosis factor-??-naive patients with moderate to severe UC treated with infliximab plus azathioprine were more likely to achieve corticosteroid-free remission at 16 weeks than those receiving either monotherapy. Combination therapy led to significantly better mucosal healing than azathioprine monotherapy. ClinicalTrials.gov number, NCT00537316. ?? 2014 by the AGA Institute.","author":[{"dropping-particle":"","family":"Panaccione","given":"Remo","non-dropping-particle":"","parse-names":false,"suffix":""},{"dropping-particle":"","family":"Ghosh","given":"Subrata","non-dropping-particle":"","parse-names":false,"suffix":""},{"dropping-particle":"","family":"Middleton","given":"Stephen","non-dropping-particle":"","parse-names":false,"suffix":""},{"dropping-particle":"","family":"Márquez","given":"Juan R.","non-dropping-particle":"","parse-names":false,"suffix":""},{"dropping-particle":"","family":"Scott","given":"Boyd B.","non-dropping-particle":"","parse-names":false,"suffix":""},{"dropping-particle":"","family":"Flint","given":"Laurence","non-dropping-particle":"","parse-names":false,"suffix":""},{"dropping-particle":"","family":"Hoogstraten","given":"Hubert J.F.","non-dropping-particle":"van","parse-names":false,"suffix":""},{"dropping-particle":"","family":"Chen","given":"Annie C.","non-dropping-particle":"","parse-names":false,"suffix":""},{"dropping-particle":"","family":"Zheng","given":"Hanzhe","non-dropping-particle":"","parse-names":false,"suffix":""},{"dropping-particle":"","family":"Danese","given":"Silvio","non-dropping-particle":"","parse-names":false,"suffix":""},{"dropping-particle":"","family":"Rutgeerts","given":"Paul","non-dropping-particle":"","parse-names":false,"suffix":""}],"container-title":"Gastroenterology","id":"ITEM-1","issue":"2","issued":{"date-parts":[["2014","2"]]},"page":"392-400.e3","publisher":"Elsevier, Inc","title":"Combination Therapy With Infliximab and Azathioprine Is Superior to Monotherapy With Either Agent in Ulcerative Colitis","type":"article-journal","volume":"146"},"uris":["http://www.mendeley.com/documents/?uuid=6489a91f-c1ba-452a-bc79-75c9eaab612f"]},{"id":"ITEM-2","itemData":{"DOI":"10.1056/NEJMoa0904492","ISBN":"1533-4406 (Electronic)\\r0028-4793 (Linking)","ISSN":"0028-4793","PMID":"20393175","abstract":"Background The comparative efficacy and safety of infliximab and azathioprine therapy alone or in combination for Crohn's disease are unknown. Methods In this randomized, double-blind trial, we evaluated the efficacy of infliximab monotherapy, azathioprine monotherapy, and the two drugs combined in 508 adults with moderate-to-severe Crohn's disease who had not undergone previous immunosuppressive or biologic therapy. Patients were randomly assigned to receive an intravenous infusion of 5 mg of infliximab per kilogram of body weight at weeks 0, 2, and 6 and then every 8 weeks plus daily oral placebo capsules; 2.5 mg of oral azathioprine per kilogram daily plus a placebo infusion on the standard schedule; or combination therapy with the two drugs. Patients received study medication through week 30 and could continue in a blinded study extension through week 50. Results Of the 169 patients receiving combination therapy, 96 (56.8%) were in corticosteroid-free clinical remission at week 26 (the primary end poi...","author":[{"dropping-particle":"","family":"Colombel","given":"Jean Frédéric","non-dropping-particle":"","parse-names":false,"suffix":""},{"dropping-particle":"","family":"Sandborn","given":"William J.","non-dropping-particle":"","parse-names":false,"suffix":""},{"dropping-particle":"","family":"Reinisch","given":"Walter","non-dropping-particle":"","parse-names":false,"suffix":""},{"dropping-particle":"","family":"Mantzaris","given":"Gerassimos J.","non-dropping-particle":"","parse-names":false,"suffix":""},{"dropping-particle":"","family":"Kornbluth","given":"Asher","non-dropping-particle":"","parse-names":false,"suffix":""},{"dropping-particle":"","family":"Rachmilewitz","given":"Daniel","non-dropping-particle":"","parse-names":false,"suffix":""},{"dropping-particle":"","family":"Lichtiger","given":"Simon","non-dropping-particle":"","parse-names":false,"suffix":""},{"dropping-particle":"","family":"D'Haens","given":"Geert","non-dropping-particle":"","parse-names":false,"suffix":""},{"dropping-particle":"","family":"Diamond","given":"Robert H.","non-dropping-particle":"","parse-names":false,"suffix":""},{"dropping-particle":"","family":"Broussard","given":"Delma L.","non-dropping-particle":"","parse-names":false,"suffix":""},{"dropping-particle":"","family":"Tang","given":"Kezhen L.","non-dropping-particle":"","parse-names":false,"suffix":""},{"dropping-particle":"","family":"Woude","given":"C. Janneke","non-dropping-particle":"van der","parse-names":false,"suffix":""},{"dropping-particle":"","family":"Rutgeerts","given":"Paul","non-dropping-particle":"","parse-names":false,"suffix":""}],"container-title":"New England Journal of Medicine","id":"ITEM-2","issue":"15","issued":{"date-parts":[["2010","4"]]},"page":"1383-1395","title":"Infliximab, Azathioprine, or Combination Therapy for Crohn's Disease","type":"article-journal","volume":"362"},"uris":["http://www.mendeley.com/documents/?uuid=b81572e4-8b83-4637-bbf0-1227bdcd2cb4"]}],"mendeley":{"formattedCitation":"&lt;sup&gt;54,66&lt;/sup&gt;","plainTextFormattedCitation":"54,66","previouslyFormattedCitation":"&lt;sup&gt;54,66&lt;/sup&gt;"},"properties":{"noteIndex":0},"schema":"https://github.com/citation-style-language/schema/raw/master/csl-citation.json"}</w:instrText>
      </w:r>
      <w:r w:rsidR="002074AC"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54,66</w:t>
      </w:r>
      <w:r w:rsidR="002074AC" w:rsidRPr="00922C73">
        <w:rPr>
          <w:rFonts w:ascii="Times New Roman" w:hAnsi="Times New Roman" w:cs="Times New Roman"/>
          <w:sz w:val="24"/>
          <w:szCs w:val="24"/>
          <w:shd w:val="clear" w:color="auto" w:fill="FFFFFF"/>
        </w:rPr>
        <w:fldChar w:fldCharType="end"/>
      </w:r>
      <w:r w:rsidRPr="00922C73">
        <w:rPr>
          <w:rFonts w:ascii="Times New Roman" w:hAnsi="Times New Roman" w:cs="Times New Roman"/>
          <w:sz w:val="24"/>
          <w:szCs w:val="24"/>
          <w:shd w:val="clear" w:color="auto" w:fill="FFFFFF"/>
        </w:rPr>
        <w:t>.</w:t>
      </w:r>
      <w:r w:rsidR="002074AC" w:rsidRPr="00922C73">
        <w:rPr>
          <w:rFonts w:ascii="Times New Roman" w:hAnsi="Times New Roman" w:cs="Times New Roman"/>
          <w:sz w:val="24"/>
          <w:szCs w:val="24"/>
          <w:shd w:val="clear" w:color="auto" w:fill="FFFFFF"/>
        </w:rPr>
        <w:t xml:space="preserve"> Although no significant difference was noted in rates of infection or serious infections between the three treatment arms, risks and benefits of using combination immunosuppression h</w:t>
      </w:r>
      <w:r w:rsidR="00661DFD" w:rsidRPr="00922C73">
        <w:rPr>
          <w:rFonts w:ascii="Times New Roman" w:hAnsi="Times New Roman" w:cs="Times New Roman"/>
          <w:sz w:val="24"/>
          <w:szCs w:val="24"/>
          <w:shd w:val="clear" w:color="auto" w:fill="FFFFFF"/>
        </w:rPr>
        <w:t>ave</w:t>
      </w:r>
      <w:r w:rsidR="002074AC" w:rsidRPr="00922C73">
        <w:rPr>
          <w:rFonts w:ascii="Times New Roman" w:hAnsi="Times New Roman" w:cs="Times New Roman"/>
          <w:sz w:val="24"/>
          <w:szCs w:val="24"/>
          <w:shd w:val="clear" w:color="auto" w:fill="FFFFFF"/>
        </w:rPr>
        <w:t xml:space="preserve"> to be considered for each patient. </w:t>
      </w:r>
    </w:p>
    <w:p w14:paraId="1CA79B09" w14:textId="77777777" w:rsidR="00092AE3" w:rsidRPr="00922C73" w:rsidRDefault="00092AE3" w:rsidP="00F64D9D">
      <w:pPr>
        <w:spacing w:line="480" w:lineRule="auto"/>
        <w:rPr>
          <w:rFonts w:ascii="Times New Roman" w:hAnsi="Times New Roman" w:cs="Times New Roman"/>
          <w:sz w:val="24"/>
          <w:szCs w:val="24"/>
        </w:rPr>
      </w:pPr>
    </w:p>
    <w:p w14:paraId="15B828CA" w14:textId="643B0F7E" w:rsidR="003778D2" w:rsidRPr="00922C73" w:rsidRDefault="003427CD"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The strong evidence base for infliximab’s efficacy in IBD</w:t>
      </w:r>
      <w:r w:rsidR="003778D2" w:rsidRPr="00922C73">
        <w:rPr>
          <w:rFonts w:ascii="Times New Roman" w:hAnsi="Times New Roman" w:cs="Times New Roman"/>
          <w:sz w:val="24"/>
          <w:szCs w:val="24"/>
        </w:rPr>
        <w:t xml:space="preserve"> has led to infliximab </w:t>
      </w:r>
      <w:r w:rsidRPr="00922C73">
        <w:rPr>
          <w:rFonts w:ascii="Times New Roman" w:hAnsi="Times New Roman" w:cs="Times New Roman"/>
          <w:sz w:val="24"/>
          <w:szCs w:val="24"/>
        </w:rPr>
        <w:t xml:space="preserve">being </w:t>
      </w:r>
      <w:r w:rsidR="003778D2" w:rsidRPr="00922C73">
        <w:rPr>
          <w:rFonts w:ascii="Times New Roman" w:hAnsi="Times New Roman" w:cs="Times New Roman"/>
          <w:sz w:val="24"/>
          <w:szCs w:val="24"/>
        </w:rPr>
        <w:t>commonly administered as an intravenous infusion of 5mg/kg at 0, 2 and 6 weeks for induction and then continued 8 weekly as maintenance</w:t>
      </w:r>
      <w:r w:rsidR="006F7AF4" w:rsidRPr="00922C73">
        <w:rPr>
          <w:rFonts w:ascii="Times New Roman" w:hAnsi="Times New Roman" w:cs="Times New Roman"/>
          <w:sz w:val="24"/>
          <w:szCs w:val="24"/>
        </w:rPr>
        <w:t>, with the option of dose escalation to 10 mg/kg +/- a reduction in interval to every 4 weeks</w:t>
      </w:r>
      <w:r w:rsidR="003778D2" w:rsidRPr="00922C73">
        <w:rPr>
          <w:rFonts w:ascii="Times New Roman" w:hAnsi="Times New Roman" w:cs="Times New Roman"/>
          <w:sz w:val="24"/>
          <w:szCs w:val="24"/>
        </w:rPr>
        <w:t xml:space="preserve"> </w:t>
      </w:r>
      <w:r w:rsidR="003778D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Excellence","given":"","non-dropping-particle":"","parse-names":false,"suffix":""}],"id":"ITEM-1","issue":"February","issued":{"date-parts":[["2015"]]},"title":"Infliximab, adalimumab and golimumab for treating moderately to severely active ulcerative colitis after the failure of conventional therapy [TA329]","type":"article-journal"},"uris":["http://www.mendeley.com/documents/?uuid=049b1f3f-8d62-46f1-8f72-119fa2791bf8"]}],"mendeley":{"formattedCitation":"&lt;sup&gt;23&lt;/sup&gt;","plainTextFormattedCitation":"23","previouslyFormattedCitation":"&lt;sup&gt;23&lt;/sup&gt;"},"properties":{"noteIndex":0},"schema":"https://github.com/citation-style-language/schema/raw/master/csl-citation.json"}</w:instrText>
      </w:r>
      <w:r w:rsidR="003778D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23</w:t>
      </w:r>
      <w:r w:rsidR="003778D2" w:rsidRPr="00922C73">
        <w:rPr>
          <w:rFonts w:ascii="Times New Roman" w:hAnsi="Times New Roman" w:cs="Times New Roman"/>
          <w:sz w:val="24"/>
          <w:szCs w:val="24"/>
        </w:rPr>
        <w:fldChar w:fldCharType="end"/>
      </w:r>
      <w:r w:rsidR="003778D2" w:rsidRPr="00922C73">
        <w:rPr>
          <w:rFonts w:ascii="Times New Roman" w:hAnsi="Times New Roman" w:cs="Times New Roman"/>
          <w:sz w:val="24"/>
          <w:szCs w:val="24"/>
        </w:rPr>
        <w:t>.</w:t>
      </w:r>
      <w:r w:rsidR="008A5D28" w:rsidRPr="00922C73">
        <w:rPr>
          <w:rFonts w:ascii="Times New Roman" w:hAnsi="Times New Roman" w:cs="Times New Roman"/>
          <w:sz w:val="24"/>
          <w:szCs w:val="24"/>
        </w:rPr>
        <w:t xml:space="preserve"> </w:t>
      </w:r>
    </w:p>
    <w:p w14:paraId="02E29A76" w14:textId="77777777" w:rsidR="003427CD" w:rsidRPr="00922C73" w:rsidRDefault="003427CD" w:rsidP="00F64D9D">
      <w:pPr>
        <w:autoSpaceDE w:val="0"/>
        <w:autoSpaceDN w:val="0"/>
        <w:adjustRightInd w:val="0"/>
        <w:spacing w:after="0" w:line="480" w:lineRule="auto"/>
        <w:rPr>
          <w:rFonts w:ascii="Times New Roman" w:hAnsi="Times New Roman" w:cs="Times New Roman"/>
          <w:sz w:val="24"/>
          <w:szCs w:val="24"/>
        </w:rPr>
      </w:pPr>
    </w:p>
    <w:p w14:paraId="35F7B1E5" w14:textId="7B644228" w:rsidR="002F35E7" w:rsidRPr="00922C73" w:rsidRDefault="002F35E7" w:rsidP="002F35E7">
      <w:pPr>
        <w:pStyle w:val="Heading3"/>
        <w:spacing w:line="480" w:lineRule="auto"/>
        <w:rPr>
          <w:rFonts w:ascii="Times New Roman" w:hAnsi="Times New Roman" w:cs="Times New Roman"/>
          <w:b/>
          <w:bCs/>
        </w:rPr>
      </w:pPr>
      <w:bookmarkStart w:id="30" w:name="_Toc151020456"/>
      <w:r w:rsidRPr="00922C73">
        <w:rPr>
          <w:rFonts w:ascii="Times New Roman" w:hAnsi="Times New Roman" w:cs="Times New Roman"/>
          <w:b/>
          <w:bCs/>
        </w:rPr>
        <w:t>1.1.7 Side effects of infliximab</w:t>
      </w:r>
      <w:bookmarkEnd w:id="30"/>
      <w:r w:rsidRPr="00922C73">
        <w:rPr>
          <w:rFonts w:ascii="Times New Roman" w:hAnsi="Times New Roman" w:cs="Times New Roman"/>
          <w:b/>
          <w:bCs/>
        </w:rPr>
        <w:t xml:space="preserve"> </w:t>
      </w:r>
    </w:p>
    <w:p w14:paraId="45EE2F41" w14:textId="1175C6C0" w:rsidR="006C72FC" w:rsidRPr="00922C73" w:rsidRDefault="00EF1F06"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Side effects </w:t>
      </w:r>
      <w:r w:rsidR="00B07C7D" w:rsidRPr="00922C73">
        <w:rPr>
          <w:rFonts w:ascii="Times New Roman" w:hAnsi="Times New Roman" w:cs="Times New Roman"/>
          <w:sz w:val="24"/>
          <w:szCs w:val="24"/>
        </w:rPr>
        <w:t xml:space="preserve">with infliximab therapy </w:t>
      </w:r>
      <w:r w:rsidRPr="00922C73">
        <w:rPr>
          <w:rFonts w:ascii="Times New Roman" w:hAnsi="Times New Roman" w:cs="Times New Roman"/>
          <w:sz w:val="24"/>
          <w:szCs w:val="24"/>
        </w:rPr>
        <w:t xml:space="preserve">include </w:t>
      </w:r>
      <w:r w:rsidR="008D6C01" w:rsidRPr="00922C73">
        <w:rPr>
          <w:rFonts w:ascii="Times New Roman" w:hAnsi="Times New Roman" w:cs="Times New Roman"/>
          <w:sz w:val="24"/>
          <w:szCs w:val="24"/>
        </w:rPr>
        <w:t xml:space="preserve">but are not limited to </w:t>
      </w:r>
      <w:r w:rsidRPr="00922C73">
        <w:rPr>
          <w:rFonts w:ascii="Times New Roman" w:hAnsi="Times New Roman" w:cs="Times New Roman"/>
          <w:sz w:val="24"/>
          <w:szCs w:val="24"/>
        </w:rPr>
        <w:t xml:space="preserve">allergic reactions, </w:t>
      </w:r>
      <w:r w:rsidR="0013173B" w:rsidRPr="00922C73">
        <w:rPr>
          <w:rFonts w:ascii="Times New Roman" w:hAnsi="Times New Roman" w:cs="Times New Roman"/>
          <w:sz w:val="24"/>
          <w:szCs w:val="24"/>
        </w:rPr>
        <w:t xml:space="preserve">infections, </w:t>
      </w:r>
      <w:r w:rsidR="003427CD" w:rsidRPr="00922C73">
        <w:rPr>
          <w:rFonts w:ascii="Times New Roman" w:hAnsi="Times New Roman" w:cs="Times New Roman"/>
          <w:sz w:val="24"/>
          <w:szCs w:val="24"/>
        </w:rPr>
        <w:t xml:space="preserve">acute and latent </w:t>
      </w:r>
      <w:r w:rsidRPr="00922C73">
        <w:rPr>
          <w:rFonts w:ascii="Times New Roman" w:hAnsi="Times New Roman" w:cs="Times New Roman"/>
          <w:sz w:val="24"/>
          <w:szCs w:val="24"/>
        </w:rPr>
        <w:t>immune</w:t>
      </w:r>
      <w:r w:rsidR="009C776B" w:rsidRPr="00922C73">
        <w:rPr>
          <w:rFonts w:ascii="Times New Roman" w:hAnsi="Times New Roman" w:cs="Times New Roman"/>
          <w:sz w:val="24"/>
          <w:szCs w:val="24"/>
        </w:rPr>
        <w:t>-</w:t>
      </w:r>
      <w:r w:rsidRPr="00922C73">
        <w:rPr>
          <w:rFonts w:ascii="Times New Roman" w:hAnsi="Times New Roman" w:cs="Times New Roman"/>
          <w:sz w:val="24"/>
          <w:szCs w:val="24"/>
        </w:rPr>
        <w:t>mediated reaction</w:t>
      </w:r>
      <w:r w:rsidR="003427CD" w:rsidRPr="00922C73">
        <w:rPr>
          <w:rFonts w:ascii="Times New Roman" w:hAnsi="Times New Roman" w:cs="Times New Roman"/>
          <w:sz w:val="24"/>
          <w:szCs w:val="24"/>
        </w:rPr>
        <w:t>s</w:t>
      </w:r>
      <w:r w:rsidRPr="00922C73">
        <w:rPr>
          <w:rFonts w:ascii="Times New Roman" w:hAnsi="Times New Roman" w:cs="Times New Roman"/>
          <w:sz w:val="24"/>
          <w:szCs w:val="24"/>
        </w:rPr>
        <w:t xml:space="preserve">, </w:t>
      </w:r>
      <w:r w:rsidR="009C776B" w:rsidRPr="00922C73">
        <w:rPr>
          <w:rFonts w:ascii="Times New Roman" w:hAnsi="Times New Roman" w:cs="Times New Roman"/>
          <w:sz w:val="24"/>
          <w:szCs w:val="24"/>
        </w:rPr>
        <w:t xml:space="preserve">development of </w:t>
      </w:r>
      <w:r w:rsidR="003427CD" w:rsidRPr="00922C73">
        <w:rPr>
          <w:rFonts w:ascii="Times New Roman" w:hAnsi="Times New Roman" w:cs="Times New Roman"/>
          <w:sz w:val="24"/>
          <w:szCs w:val="24"/>
        </w:rPr>
        <w:t xml:space="preserve">anti-drug antibodies, </w:t>
      </w:r>
      <w:r w:rsidRPr="00922C73">
        <w:rPr>
          <w:rFonts w:ascii="Times New Roman" w:hAnsi="Times New Roman" w:cs="Times New Roman"/>
          <w:sz w:val="24"/>
          <w:szCs w:val="24"/>
        </w:rPr>
        <w:t>autoimmune</w:t>
      </w:r>
      <w:r w:rsidR="0013173B" w:rsidRPr="00922C73">
        <w:rPr>
          <w:rFonts w:ascii="Times New Roman" w:hAnsi="Times New Roman" w:cs="Times New Roman"/>
          <w:sz w:val="24"/>
          <w:szCs w:val="24"/>
        </w:rPr>
        <w:t>-</w:t>
      </w:r>
      <w:r w:rsidRPr="00922C73">
        <w:rPr>
          <w:rFonts w:ascii="Times New Roman" w:hAnsi="Times New Roman" w:cs="Times New Roman"/>
          <w:sz w:val="24"/>
          <w:szCs w:val="24"/>
        </w:rPr>
        <w:t>like rea</w:t>
      </w:r>
      <w:r w:rsidR="003427CD" w:rsidRPr="00922C73">
        <w:rPr>
          <w:rFonts w:ascii="Times New Roman" w:hAnsi="Times New Roman" w:cs="Times New Roman"/>
          <w:sz w:val="24"/>
          <w:szCs w:val="24"/>
        </w:rPr>
        <w:t>ctions</w:t>
      </w:r>
      <w:r w:rsidRPr="00922C73">
        <w:rPr>
          <w:rFonts w:ascii="Times New Roman" w:hAnsi="Times New Roman" w:cs="Times New Roman"/>
          <w:sz w:val="24"/>
          <w:szCs w:val="24"/>
        </w:rPr>
        <w:t xml:space="preserve">, </w:t>
      </w:r>
      <w:r w:rsidR="009C776B" w:rsidRPr="00922C73">
        <w:rPr>
          <w:rFonts w:ascii="Times New Roman" w:hAnsi="Times New Roman" w:cs="Times New Roman"/>
          <w:sz w:val="24"/>
          <w:szCs w:val="24"/>
        </w:rPr>
        <w:t>liver derangement,</w:t>
      </w:r>
      <w:r w:rsidR="008D6C01" w:rsidRPr="00922C73">
        <w:rPr>
          <w:rFonts w:ascii="Times New Roman" w:hAnsi="Times New Roman" w:cs="Times New Roman"/>
          <w:sz w:val="24"/>
          <w:szCs w:val="24"/>
        </w:rPr>
        <w:t xml:space="preserve"> gastro-intestinal symptoms, </w:t>
      </w:r>
      <w:r w:rsidR="009C776B" w:rsidRPr="00922C73">
        <w:rPr>
          <w:rFonts w:ascii="Times New Roman" w:hAnsi="Times New Roman" w:cs="Times New Roman"/>
          <w:sz w:val="24"/>
          <w:szCs w:val="24"/>
        </w:rPr>
        <w:t>pancytopenia</w:t>
      </w:r>
      <w:r w:rsidR="008D6C01" w:rsidRPr="00922C73">
        <w:rPr>
          <w:rFonts w:ascii="Times New Roman" w:hAnsi="Times New Roman" w:cs="Times New Roman"/>
          <w:sz w:val="24"/>
          <w:szCs w:val="24"/>
        </w:rPr>
        <w:t>,</w:t>
      </w:r>
      <w:r w:rsidR="009C776B" w:rsidRPr="00922C73">
        <w:rPr>
          <w:rFonts w:ascii="Times New Roman" w:hAnsi="Times New Roman" w:cs="Times New Roman"/>
          <w:sz w:val="24"/>
          <w:szCs w:val="24"/>
        </w:rPr>
        <w:t xml:space="preserve"> </w:t>
      </w:r>
      <w:r w:rsidRPr="00922C73">
        <w:rPr>
          <w:rFonts w:ascii="Times New Roman" w:hAnsi="Times New Roman" w:cs="Times New Roman"/>
          <w:sz w:val="24"/>
          <w:szCs w:val="24"/>
        </w:rPr>
        <w:t>malignancy and worsening o</w:t>
      </w:r>
      <w:r w:rsidR="003427CD" w:rsidRPr="00922C73">
        <w:rPr>
          <w:rFonts w:ascii="Times New Roman" w:hAnsi="Times New Roman" w:cs="Times New Roman"/>
          <w:sz w:val="24"/>
          <w:szCs w:val="24"/>
        </w:rPr>
        <w:t>f</w:t>
      </w:r>
      <w:r w:rsidRPr="00922C73">
        <w:rPr>
          <w:rFonts w:ascii="Times New Roman" w:hAnsi="Times New Roman" w:cs="Times New Roman"/>
          <w:sz w:val="24"/>
          <w:szCs w:val="24"/>
        </w:rPr>
        <w:t xml:space="preserve"> heart failure</w:t>
      </w:r>
      <w:r w:rsidR="003C6984" w:rsidRPr="00922C73">
        <w:rPr>
          <w:rFonts w:ascii="Times New Roman" w:hAnsi="Times New Roman" w:cs="Times New Roman"/>
          <w:sz w:val="24"/>
          <w:szCs w:val="24"/>
        </w:rPr>
        <w:t xml:space="preserve"> </w:t>
      </w:r>
      <w:r w:rsidR="003C6984"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{"citationItems":[{"id":"ITEM-1","itemData":{"URL":"https://bnf.nice.org.uk/drug/infliximab.html#indicationsAndDoses","accessed":{"date-parts":[["2021","3","23"]]},"author":[{"dropping-particle":"","family":"Committee.","given":"Joint Formulary","non-dropping-particle":"","parse-names":false,"suffix":""}],"id":"ITEM-1","issued":{"date-parts":[["0"]]},"title":"British National Formulary (online) London: Infliximab.","type":"webpage"},"uris":["http://www.mendeley.com/documents/?uuid=47418a87-8197-43a0-9584-3261373722c0"]}],"mendeley":{"formattedCitation":"&lt;sup&gt;72&lt;/sup&gt;","plainTextFormattedCitation":"72","previouslyFormattedCitation":"&lt;sup&gt;72&lt;/sup&gt;"},"properties":{"noteIndex":0},"schema":"https://github.com/citation-style-language/schema/raw/master/csl-citation.json"}</w:instrText>
      </w:r>
      <w:r w:rsidR="003C6984"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72</w:t>
      </w:r>
      <w:r w:rsidR="003C698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p>
    <w:p w14:paraId="1BB2B580" w14:textId="77777777" w:rsidR="006C72FC" w:rsidRPr="00922C73" w:rsidRDefault="006C72FC" w:rsidP="00F64D9D">
      <w:pPr>
        <w:spacing w:line="480" w:lineRule="auto"/>
        <w:rPr>
          <w:rFonts w:ascii="Times New Roman" w:hAnsi="Times New Roman" w:cs="Times New Roman"/>
          <w:sz w:val="24"/>
          <w:szCs w:val="24"/>
        </w:rPr>
      </w:pPr>
    </w:p>
    <w:p w14:paraId="2A9904CD" w14:textId="05151C67" w:rsidR="002272FD" w:rsidRPr="00922C73" w:rsidRDefault="002272FD" w:rsidP="00F64D9D">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Infection</w:t>
      </w:r>
    </w:p>
    <w:p w14:paraId="059AFD4F" w14:textId="20F6903C" w:rsidR="008B2E73" w:rsidRPr="00922C73" w:rsidRDefault="008B2E73" w:rsidP="00F64D9D">
      <w:pPr>
        <w:spacing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I</w:t>
      </w:r>
      <w:r w:rsidR="00EF1F06" w:rsidRPr="00922C73">
        <w:rPr>
          <w:rFonts w:ascii="Times New Roman" w:hAnsi="Times New Roman" w:cs="Times New Roman"/>
          <w:sz w:val="24"/>
          <w:szCs w:val="24"/>
        </w:rPr>
        <w:t>nfection is a</w:t>
      </w:r>
      <w:r w:rsidR="002074AC" w:rsidRPr="00922C73">
        <w:rPr>
          <w:rFonts w:ascii="Times New Roman" w:hAnsi="Times New Roman" w:cs="Times New Roman"/>
          <w:sz w:val="24"/>
          <w:szCs w:val="24"/>
        </w:rPr>
        <w:t>n</w:t>
      </w:r>
      <w:r w:rsidR="00EF1F06" w:rsidRPr="00922C73">
        <w:rPr>
          <w:rFonts w:ascii="Times New Roman" w:hAnsi="Times New Roman" w:cs="Times New Roman"/>
          <w:sz w:val="24"/>
          <w:szCs w:val="24"/>
        </w:rPr>
        <w:t xml:space="preserve"> </w:t>
      </w:r>
      <w:r w:rsidR="003C6984" w:rsidRPr="00922C73">
        <w:rPr>
          <w:rFonts w:ascii="Times New Roman" w:hAnsi="Times New Roman" w:cs="Times New Roman"/>
          <w:sz w:val="24"/>
          <w:szCs w:val="24"/>
        </w:rPr>
        <w:t>important side effect and seen consistently in the literature and clinical practice</w:t>
      </w:r>
      <w:r w:rsidR="009C776B"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00686383" w:rsidRPr="00922C73">
        <w:rPr>
          <w:rFonts w:ascii="Times New Roman" w:hAnsi="Times New Roman" w:cs="Times New Roman"/>
          <w:sz w:val="24"/>
          <w:szCs w:val="24"/>
        </w:rPr>
        <w:t>In the landmark RCTs there was no significant difference in rates of infection/serious infections between infliximab treated and placebo groups</w:t>
      </w:r>
      <w:r w:rsidR="002074AC" w:rsidRPr="00922C73">
        <w:rPr>
          <w:rFonts w:ascii="Times New Roman" w:hAnsi="Times New Roman" w:cs="Times New Roman"/>
          <w:sz w:val="24"/>
          <w:szCs w:val="24"/>
        </w:rPr>
        <w:t xml:space="preserve"> </w:t>
      </w:r>
      <w:r w:rsidR="002272F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Colitis","type":"article-journal","volume":"353"},"uris":["http://www.mendeley.com/documents/?uuid=adc04817-1669-4784-a3ae-7f5273bc984e"]},{"id":"ITEM-3","itemData":{"DOI":"10.1056/NEJMoa030815","ISBN":"00284793","ISSN":"0028-4793","PMID":"14985485","abstract":"BACKGROUND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Medicine","id":"ITEM-3","issue":"9","issued":{"date-parts":[["2004","2","26"]]},"page":"876-885","title":"Infliximab Maintenance Therapy for Fistulizing Crohn's Disease","type":"article-journal","volume":"350"},"uris":["http://www.mendeley.com/documents/?uuid=d5a74abf-713b-45ca-9e76-608b0a3dc258"]}],"mendeley":{"formattedCitation":"&lt;sup&gt;27,53,55&lt;/sup&gt;","plainTextFormattedCitation":"27,53,55","previouslyFormattedCitation":"&lt;sup&gt;27,53,55&lt;/sup&gt;"},"properties":{"noteIndex":0},"schema":"https://github.com/citation-style-language/schema/raw/master/csl-citation.json"}</w:instrText>
      </w:r>
      <w:r w:rsidR="002272F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27,53,55</w:t>
      </w:r>
      <w:r w:rsidR="002272FD" w:rsidRPr="00922C73">
        <w:rPr>
          <w:rFonts w:ascii="Times New Roman" w:hAnsi="Times New Roman" w:cs="Times New Roman"/>
          <w:sz w:val="24"/>
          <w:szCs w:val="24"/>
        </w:rPr>
        <w:fldChar w:fldCharType="end"/>
      </w:r>
      <w:r w:rsidR="008548C5" w:rsidRPr="00922C73">
        <w:rPr>
          <w:rFonts w:ascii="Times New Roman" w:hAnsi="Times New Roman" w:cs="Times New Roman"/>
          <w:sz w:val="24"/>
          <w:szCs w:val="24"/>
        </w:rPr>
        <w:t>. H</w:t>
      </w:r>
      <w:r w:rsidR="002074AC" w:rsidRPr="00922C73">
        <w:rPr>
          <w:rFonts w:ascii="Times New Roman" w:hAnsi="Times New Roman" w:cs="Times New Roman"/>
          <w:sz w:val="24"/>
          <w:szCs w:val="24"/>
        </w:rPr>
        <w:t xml:space="preserve">owever in the CD cohort, at least one dose of infliximab had been administered in the placebo group due to the study design, limiting the analysis </w:t>
      </w:r>
      <w:bookmarkStart w:id="31" w:name="_Hlk139289642"/>
      <w:r w:rsidR="002074A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Colitis","type":"article-journal","volume":"353"},"uris":["http://www.mendeley.com/documents/?uuid=adc04817-1669-4784-a3ae-7f5273bc984e"]},{"id":"ITEM-3","itemData":{"DOI":"10.1056/NEJMoa030815","ISBN":"00284793","ISSN":"0028-4793","PMID":"14985485","abstract":"BACKGROUND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Medicine","id":"ITEM-3","issue":"9","issued":{"date-parts":[["2004","2","26"]]},"page":"876-885","title":"Infliximab Maintenance Therapy for Fistulizing Crohn's Disease","type":"article-journal","volume":"350"},"uris":["http://www.mendeley.com/documents/?uuid=d5a74abf-713b-45ca-9e76-608b0a3dc258"]}],"mendeley":{"formattedCitation":"&lt;sup&gt;27,53,55&lt;/sup&gt;","plainTextFormattedCitation":"27,53,55","previouslyFormattedCitation":"&lt;sup&gt;27,53,55&lt;/sup&gt;"},"properties":{"noteIndex":0},"schema":"https://github.com/citation-style-language/schema/raw/master/csl-citation.json"}</w:instrText>
      </w:r>
      <w:r w:rsidR="002074A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27,53,55</w:t>
      </w:r>
      <w:r w:rsidR="002074AC" w:rsidRPr="00922C73">
        <w:rPr>
          <w:rFonts w:ascii="Times New Roman" w:hAnsi="Times New Roman" w:cs="Times New Roman"/>
          <w:sz w:val="24"/>
          <w:szCs w:val="24"/>
        </w:rPr>
        <w:fldChar w:fldCharType="end"/>
      </w:r>
      <w:bookmarkEnd w:id="31"/>
      <w:r w:rsidR="002074AC" w:rsidRPr="00922C73">
        <w:rPr>
          <w:rFonts w:ascii="Times New Roman" w:hAnsi="Times New Roman" w:cs="Times New Roman"/>
          <w:sz w:val="24"/>
          <w:szCs w:val="24"/>
        </w:rPr>
        <w:t xml:space="preserve">. A meta-analysis </w:t>
      </w:r>
      <w:r w:rsidR="006C72FC" w:rsidRPr="00922C73">
        <w:rPr>
          <w:rFonts w:ascii="Times New Roman" w:hAnsi="Times New Roman" w:cs="Times New Roman"/>
          <w:sz w:val="24"/>
          <w:szCs w:val="24"/>
        </w:rPr>
        <w:t xml:space="preserve">in CD showed the </w:t>
      </w:r>
      <w:r w:rsidR="006C72FC" w:rsidRPr="00922C73">
        <w:rPr>
          <w:rFonts w:ascii="Times New Roman" w:hAnsi="Times New Roman" w:cs="Times New Roman"/>
          <w:sz w:val="24"/>
          <w:szCs w:val="24"/>
          <w:shd w:val="clear" w:color="auto" w:fill="FFFFFF"/>
        </w:rPr>
        <w:t xml:space="preserve">rate of infection was not higher in infliximab treated patients compared to placebo but was limited by the study design of the RCTs as discussed above </w:t>
      </w:r>
      <w:r w:rsidR="006C72FC"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14852","ISSN":"02692813","author":[{"dropping-particle":"","family":"Singh","given":"S.","non-dropping-particle":"","parse-names":false,"suffix":""},{"dropping-particle":"","family":"Fumery","given":"M.","non-dropping-particle":"","parse-names":false,"suffix":""},{"dropping-particle":"","family":"Sandborn","given":"W. J.","non-dropping-particle":"","parse-names":false,"suffix":""},{"dropping-particle":"","family":"Murad","given":"M. H.","non-dropping-particle":"","parse-names":false,"suffix":""}],"container-title":"Alimentary Pharmacology &amp; Therapeutics","id":"ITEM-1","issue":"4","issued":{"date-parts":[["2018","8"]]},"page":"394-409","title":"Systematic review and network meta-analysis: first- and second-line biologic therapies for moderate-severe Crohn's disease","type":"article-journal","volume":"48"},"uris":["http://www.mendeley.com/documents/?uuid=5416c594-dc92-4caa-bf27-a130456f0ce3"]}],"mendeley":{"formattedCitation":"&lt;sup&gt;73&lt;/sup&gt;","plainTextFormattedCitation":"73","previouslyFormattedCitation":"&lt;sup&gt;73&lt;/sup&gt;"},"properties":{"noteIndex":0},"schema":"https://github.com/citation-style-language/schema/raw/master/csl-citation.json"}</w:instrText>
      </w:r>
      <w:r w:rsidR="006C72FC"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73</w:t>
      </w:r>
      <w:r w:rsidR="006C72FC" w:rsidRPr="00922C73">
        <w:rPr>
          <w:rFonts w:ascii="Times New Roman" w:hAnsi="Times New Roman" w:cs="Times New Roman"/>
          <w:sz w:val="24"/>
          <w:szCs w:val="24"/>
          <w:shd w:val="clear" w:color="auto" w:fill="FFFFFF"/>
        </w:rPr>
        <w:fldChar w:fldCharType="end"/>
      </w:r>
      <w:r w:rsidR="006C72FC" w:rsidRPr="00922C73">
        <w:rPr>
          <w:rFonts w:ascii="Times New Roman" w:hAnsi="Times New Roman" w:cs="Times New Roman"/>
          <w:sz w:val="24"/>
          <w:szCs w:val="24"/>
          <w:shd w:val="clear" w:color="auto" w:fill="FFFFFF"/>
        </w:rPr>
        <w:t xml:space="preserve">,  More recently, </w:t>
      </w:r>
      <w:r w:rsidR="006C72FC" w:rsidRPr="00922C73">
        <w:rPr>
          <w:rFonts w:ascii="Times New Roman" w:hAnsi="Times New Roman" w:cs="Times New Roman"/>
          <w:sz w:val="24"/>
          <w:szCs w:val="24"/>
        </w:rPr>
        <w:t>t</w:t>
      </w:r>
      <w:r w:rsidR="00197D4F" w:rsidRPr="00922C73">
        <w:rPr>
          <w:rFonts w:ascii="Times New Roman" w:hAnsi="Times New Roman" w:cs="Times New Roman"/>
          <w:sz w:val="24"/>
          <w:szCs w:val="24"/>
          <w:shd w:val="clear" w:color="auto" w:fill="FFFFFF"/>
        </w:rPr>
        <w:t xml:space="preserve">he TREAT registry, a </w:t>
      </w:r>
      <w:r w:rsidR="006C72FC" w:rsidRPr="00922C73">
        <w:rPr>
          <w:rFonts w:ascii="Times New Roman" w:hAnsi="Times New Roman" w:cs="Times New Roman"/>
          <w:sz w:val="24"/>
          <w:szCs w:val="24"/>
          <w:shd w:val="clear" w:color="auto" w:fill="FFFFFF"/>
        </w:rPr>
        <w:t xml:space="preserve">large </w:t>
      </w:r>
      <w:r w:rsidR="00197D4F" w:rsidRPr="00922C73">
        <w:rPr>
          <w:rFonts w:ascii="Times New Roman" w:hAnsi="Times New Roman" w:cs="Times New Roman"/>
          <w:sz w:val="24"/>
          <w:szCs w:val="24"/>
          <w:shd w:val="clear" w:color="auto" w:fill="FFFFFF"/>
        </w:rPr>
        <w:t xml:space="preserve">prospective cohort study </w:t>
      </w:r>
      <w:r w:rsidR="006C72FC" w:rsidRPr="00922C73">
        <w:rPr>
          <w:rFonts w:ascii="Times New Roman" w:hAnsi="Times New Roman" w:cs="Times New Roman"/>
          <w:sz w:val="24"/>
          <w:szCs w:val="24"/>
          <w:shd w:val="clear" w:color="auto" w:fill="FFFFFF"/>
        </w:rPr>
        <w:t xml:space="preserve">in </w:t>
      </w:r>
      <w:r w:rsidR="00197D4F" w:rsidRPr="00922C73">
        <w:rPr>
          <w:rFonts w:ascii="Times New Roman" w:hAnsi="Times New Roman" w:cs="Times New Roman"/>
          <w:sz w:val="24"/>
          <w:szCs w:val="24"/>
          <w:shd w:val="clear" w:color="auto" w:fill="FFFFFF"/>
        </w:rPr>
        <w:t>CD: 3440 infliximab-treated, 2833 other-treatments-only</w:t>
      </w:r>
      <w:r w:rsidR="008D6C01" w:rsidRPr="00922C73">
        <w:rPr>
          <w:rFonts w:ascii="Times New Roman" w:hAnsi="Times New Roman" w:cs="Times New Roman"/>
          <w:sz w:val="24"/>
          <w:szCs w:val="24"/>
          <w:shd w:val="clear" w:color="auto" w:fill="FFFFFF"/>
        </w:rPr>
        <w:t xml:space="preserve"> assessed the long-term safety </w:t>
      </w:r>
      <w:r w:rsidR="008D6C01" w:rsidRPr="00922C73">
        <w:rPr>
          <w:rFonts w:ascii="Times New Roman" w:hAnsi="Times New Roman" w:cs="Times New Roman"/>
          <w:sz w:val="24"/>
          <w:szCs w:val="24"/>
          <w:shd w:val="clear" w:color="auto" w:fill="FFFFFF"/>
        </w:rPr>
        <w:lastRenderedPageBreak/>
        <w:t>of infliximab</w:t>
      </w:r>
      <w:r w:rsidR="006C72FC" w:rsidRPr="00922C73">
        <w:rPr>
          <w:rFonts w:ascii="Times New Roman" w:hAnsi="Times New Roman" w:cs="Times New Roman"/>
          <w:sz w:val="24"/>
          <w:szCs w:val="24"/>
          <w:shd w:val="clear" w:color="auto" w:fill="FFFFFF"/>
        </w:rPr>
        <w:t>, with m</w:t>
      </w:r>
      <w:r w:rsidR="00197D4F" w:rsidRPr="00922C73">
        <w:rPr>
          <w:rFonts w:ascii="Times New Roman" w:hAnsi="Times New Roman" w:cs="Times New Roman"/>
          <w:sz w:val="24"/>
          <w:szCs w:val="24"/>
          <w:shd w:val="clear" w:color="auto" w:fill="FFFFFF"/>
        </w:rPr>
        <w:t>edian duration of follow</w:t>
      </w:r>
      <w:r w:rsidR="008D6C01" w:rsidRPr="00922C73">
        <w:rPr>
          <w:rFonts w:ascii="Times New Roman" w:hAnsi="Times New Roman" w:cs="Times New Roman"/>
          <w:sz w:val="24"/>
          <w:szCs w:val="24"/>
          <w:shd w:val="clear" w:color="auto" w:fill="FFFFFF"/>
        </w:rPr>
        <w:t>-</w:t>
      </w:r>
      <w:r w:rsidR="00197D4F" w:rsidRPr="00922C73">
        <w:rPr>
          <w:rFonts w:ascii="Times New Roman" w:hAnsi="Times New Roman" w:cs="Times New Roman"/>
          <w:sz w:val="24"/>
          <w:szCs w:val="24"/>
          <w:shd w:val="clear" w:color="auto" w:fill="FFFFFF"/>
        </w:rPr>
        <w:t>up exceed</w:t>
      </w:r>
      <w:r w:rsidR="006C72FC" w:rsidRPr="00922C73">
        <w:rPr>
          <w:rFonts w:ascii="Times New Roman" w:hAnsi="Times New Roman" w:cs="Times New Roman"/>
          <w:sz w:val="24"/>
          <w:szCs w:val="24"/>
          <w:shd w:val="clear" w:color="auto" w:fill="FFFFFF"/>
        </w:rPr>
        <w:t>ing</w:t>
      </w:r>
      <w:r w:rsidR="00197D4F" w:rsidRPr="00922C73">
        <w:rPr>
          <w:rFonts w:ascii="Times New Roman" w:hAnsi="Times New Roman" w:cs="Times New Roman"/>
          <w:sz w:val="24"/>
          <w:szCs w:val="24"/>
          <w:shd w:val="clear" w:color="auto" w:fill="FFFFFF"/>
        </w:rPr>
        <w:t xml:space="preserve"> 6 years</w:t>
      </w:r>
      <w:r w:rsidR="006C72FC" w:rsidRPr="00922C73">
        <w:rPr>
          <w:rFonts w:ascii="Times New Roman" w:hAnsi="Times New Roman" w:cs="Times New Roman"/>
          <w:sz w:val="24"/>
          <w:szCs w:val="24"/>
          <w:shd w:val="clear" w:color="auto" w:fill="FFFFFF"/>
        </w:rPr>
        <w:t xml:space="preserve"> </w:t>
      </w:r>
      <w:r w:rsidR="006C72FC"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diseases","id":"ITEM-1","issue":"3","issued":{"date-parts":[["2018"]]},"page":"490-501","title":"Infliximab for Crohn's Disease: More Than 13 Years of Real-world Experience.","type":"article-journal","volume":"24"},"uris":["http://www.mendeley.com/documents/?uuid=d25fd499-0b5f-4ad6-88c1-902d5786c23a"]}],"mendeley":{"formattedCitation":"&lt;sup&gt;74&lt;/sup&gt;","plainTextFormattedCitation":"74","previouslyFormattedCitation":"&lt;sup&gt;74&lt;/sup&gt;"},"properties":{"noteIndex":0},"schema":"https://github.com/citation-style-language/schema/raw/master/csl-citation.json"}</w:instrText>
      </w:r>
      <w:r w:rsidR="006C72FC"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74</w:t>
      </w:r>
      <w:r w:rsidR="006C72FC" w:rsidRPr="00922C73">
        <w:rPr>
          <w:rFonts w:ascii="Times New Roman" w:hAnsi="Times New Roman" w:cs="Times New Roman"/>
          <w:sz w:val="24"/>
          <w:szCs w:val="24"/>
          <w:shd w:val="clear" w:color="auto" w:fill="FFFFFF"/>
        </w:rPr>
        <w:fldChar w:fldCharType="end"/>
      </w:r>
      <w:r w:rsidR="00197D4F" w:rsidRPr="00922C73">
        <w:rPr>
          <w:rFonts w:ascii="Times New Roman" w:hAnsi="Times New Roman" w:cs="Times New Roman"/>
          <w:sz w:val="24"/>
          <w:szCs w:val="24"/>
          <w:shd w:val="clear" w:color="auto" w:fill="FFFFFF"/>
        </w:rPr>
        <w:t xml:space="preserve">. Serious infection rates were </w:t>
      </w:r>
      <w:r w:rsidR="008D6C01" w:rsidRPr="00922C73">
        <w:rPr>
          <w:rFonts w:ascii="Times New Roman" w:hAnsi="Times New Roman" w:cs="Times New Roman"/>
          <w:sz w:val="24"/>
          <w:szCs w:val="24"/>
          <w:shd w:val="clear" w:color="auto" w:fill="FFFFFF"/>
        </w:rPr>
        <w:t xml:space="preserve">significantly </w:t>
      </w:r>
      <w:r w:rsidR="00197D4F" w:rsidRPr="00922C73">
        <w:rPr>
          <w:rFonts w:ascii="Times New Roman" w:hAnsi="Times New Roman" w:cs="Times New Roman"/>
          <w:sz w:val="24"/>
          <w:szCs w:val="24"/>
          <w:shd w:val="clear" w:color="auto" w:fill="FFFFFF"/>
        </w:rPr>
        <w:t xml:space="preserve">higher for infliximab-treated </w:t>
      </w:r>
      <w:r w:rsidR="008D6C01" w:rsidRPr="00922C73">
        <w:rPr>
          <w:rFonts w:ascii="Times New Roman" w:hAnsi="Times New Roman" w:cs="Times New Roman"/>
          <w:sz w:val="24"/>
          <w:szCs w:val="24"/>
          <w:shd w:val="clear" w:color="auto" w:fill="FFFFFF"/>
        </w:rPr>
        <w:t>compared to</w:t>
      </w:r>
      <w:r w:rsidR="00197D4F" w:rsidRPr="00922C73">
        <w:rPr>
          <w:rFonts w:ascii="Times New Roman" w:hAnsi="Times New Roman" w:cs="Times New Roman"/>
          <w:sz w:val="24"/>
          <w:szCs w:val="24"/>
          <w:shd w:val="clear" w:color="auto" w:fill="FFFFFF"/>
        </w:rPr>
        <w:t xml:space="preserve"> other</w:t>
      </w:r>
      <w:r w:rsidR="008D6C01" w:rsidRPr="00922C73">
        <w:rPr>
          <w:rFonts w:ascii="Times New Roman" w:hAnsi="Times New Roman" w:cs="Times New Roman"/>
          <w:sz w:val="24"/>
          <w:szCs w:val="24"/>
          <w:shd w:val="clear" w:color="auto" w:fill="FFFFFF"/>
        </w:rPr>
        <w:t xml:space="preserve"> </w:t>
      </w:r>
      <w:r w:rsidR="00197D4F" w:rsidRPr="00922C73">
        <w:rPr>
          <w:rFonts w:ascii="Times New Roman" w:hAnsi="Times New Roman" w:cs="Times New Roman"/>
          <w:sz w:val="24"/>
          <w:szCs w:val="24"/>
          <w:shd w:val="clear" w:color="auto" w:fill="FFFFFF"/>
        </w:rPr>
        <w:t>treatments</w:t>
      </w:r>
      <w:r w:rsidR="008D6C01" w:rsidRPr="00922C73">
        <w:rPr>
          <w:rFonts w:ascii="Times New Roman" w:hAnsi="Times New Roman" w:cs="Times New Roman"/>
          <w:sz w:val="24"/>
          <w:szCs w:val="24"/>
          <w:shd w:val="clear" w:color="auto" w:fill="FFFFFF"/>
        </w:rPr>
        <w:t xml:space="preserve"> </w:t>
      </w:r>
      <w:r w:rsidR="00197D4F" w:rsidRPr="00922C73">
        <w:rPr>
          <w:rFonts w:ascii="Times New Roman" w:hAnsi="Times New Roman" w:cs="Times New Roman"/>
          <w:sz w:val="24"/>
          <w:szCs w:val="24"/>
          <w:shd w:val="clear" w:color="auto" w:fill="FFFFFF"/>
        </w:rPr>
        <w:t>only patients</w:t>
      </w:r>
      <w:r w:rsidR="008D6C01" w:rsidRPr="00922C73">
        <w:rPr>
          <w:rFonts w:ascii="Times New Roman" w:hAnsi="Times New Roman" w:cs="Times New Roman"/>
          <w:sz w:val="24"/>
          <w:szCs w:val="24"/>
          <w:shd w:val="clear" w:color="auto" w:fill="FFFFFF"/>
        </w:rPr>
        <w:t xml:space="preserve">: </w:t>
      </w:r>
      <w:r w:rsidR="00197D4F" w:rsidRPr="00922C73">
        <w:rPr>
          <w:rFonts w:ascii="Times New Roman" w:hAnsi="Times New Roman" w:cs="Times New Roman"/>
          <w:sz w:val="24"/>
          <w:szCs w:val="24"/>
          <w:shd w:val="clear" w:color="auto" w:fill="FFFFFF"/>
        </w:rPr>
        <w:t>2.15</w:t>
      </w:r>
      <w:r w:rsidR="008D6C01" w:rsidRPr="00922C73">
        <w:rPr>
          <w:rFonts w:ascii="Times New Roman" w:hAnsi="Times New Roman" w:cs="Times New Roman"/>
          <w:sz w:val="24"/>
          <w:szCs w:val="24"/>
          <w:shd w:val="clear" w:color="auto" w:fill="FFFFFF"/>
        </w:rPr>
        <w:t xml:space="preserve"> compared</w:t>
      </w:r>
      <w:r w:rsidR="00197D4F" w:rsidRPr="00922C73">
        <w:rPr>
          <w:rFonts w:ascii="Times New Roman" w:hAnsi="Times New Roman" w:cs="Times New Roman"/>
          <w:sz w:val="24"/>
          <w:szCs w:val="24"/>
          <w:shd w:val="clear" w:color="auto" w:fill="FFFFFF"/>
        </w:rPr>
        <w:t> 0.86/100</w:t>
      </w:r>
      <w:r w:rsidR="008D6C01" w:rsidRPr="00922C73">
        <w:rPr>
          <w:rFonts w:ascii="Times New Roman" w:hAnsi="Times New Roman" w:cs="Times New Roman"/>
          <w:sz w:val="24"/>
          <w:szCs w:val="24"/>
          <w:shd w:val="clear" w:color="auto" w:fill="FFFFFF"/>
        </w:rPr>
        <w:t xml:space="preserve"> patient years (</w:t>
      </w:r>
      <w:r w:rsidR="00197D4F" w:rsidRPr="00922C73">
        <w:rPr>
          <w:rFonts w:ascii="Times New Roman" w:hAnsi="Times New Roman" w:cs="Times New Roman"/>
          <w:sz w:val="24"/>
          <w:szCs w:val="24"/>
          <w:shd w:val="clear" w:color="auto" w:fill="FFFFFF"/>
        </w:rPr>
        <w:t>relative risk of 2.46</w:t>
      </w:r>
      <w:r w:rsidR="008D6C01" w:rsidRPr="00922C73">
        <w:rPr>
          <w:rFonts w:ascii="Times New Roman" w:hAnsi="Times New Roman" w:cs="Times New Roman"/>
          <w:sz w:val="24"/>
          <w:szCs w:val="24"/>
          <w:shd w:val="clear" w:color="auto" w:fill="FFFFFF"/>
        </w:rPr>
        <w:t xml:space="preserve">, </w:t>
      </w:r>
      <w:r w:rsidR="00197D4F" w:rsidRPr="00922C73">
        <w:rPr>
          <w:rFonts w:ascii="Times New Roman" w:hAnsi="Times New Roman" w:cs="Times New Roman"/>
          <w:sz w:val="24"/>
          <w:szCs w:val="24"/>
          <w:shd w:val="clear" w:color="auto" w:fill="FFFFFF"/>
        </w:rPr>
        <w:t>95% CI 1.8–3.4)</w:t>
      </w:r>
      <w:r w:rsidR="008D6C01" w:rsidRPr="00922C73">
        <w:rPr>
          <w:rFonts w:ascii="Times New Roman" w:hAnsi="Times New Roman" w:cs="Times New Roman"/>
          <w:sz w:val="24"/>
          <w:szCs w:val="24"/>
          <w:shd w:val="clear" w:color="auto" w:fill="FFFFFF"/>
        </w:rPr>
        <w:t xml:space="preserve"> </w:t>
      </w:r>
      <w:r w:rsidR="008D6C01"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diseases","id":"ITEM-1","issue":"3","issued":{"date-parts":[["2018"]]},"page":"490-501","title":"Infliximab for Crohn's Disease: More Than 13 Years of Real-world Experience.","type":"article-journal","volume":"24"},"uris":["http://www.mendeley.com/documents/?uuid=d25fd499-0b5f-4ad6-88c1-902d5786c23a"]}],"mendeley":{"formattedCitation":"&lt;sup&gt;74&lt;/sup&gt;","plainTextFormattedCitation":"74","previouslyFormattedCitation":"&lt;sup&gt;74&lt;/sup&gt;"},"properties":{"noteIndex":0},"schema":"https://github.com/citation-style-language/schema/raw/master/csl-citation.json"}</w:instrText>
      </w:r>
      <w:r w:rsidR="008D6C01"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74</w:t>
      </w:r>
      <w:r w:rsidR="008D6C01" w:rsidRPr="00922C73">
        <w:rPr>
          <w:rFonts w:ascii="Times New Roman" w:hAnsi="Times New Roman" w:cs="Times New Roman"/>
          <w:sz w:val="24"/>
          <w:szCs w:val="24"/>
          <w:shd w:val="clear" w:color="auto" w:fill="FFFFFF"/>
        </w:rPr>
        <w:fldChar w:fldCharType="end"/>
      </w:r>
      <w:r w:rsidR="008D6C01" w:rsidRPr="00922C73">
        <w:rPr>
          <w:rFonts w:ascii="Times New Roman" w:hAnsi="Times New Roman" w:cs="Times New Roman"/>
          <w:sz w:val="24"/>
          <w:szCs w:val="24"/>
          <w:shd w:val="clear" w:color="auto" w:fill="FFFFFF"/>
        </w:rPr>
        <w:t xml:space="preserve">. </w:t>
      </w:r>
      <w:r w:rsidR="00B07C7D" w:rsidRPr="00922C73">
        <w:rPr>
          <w:rFonts w:ascii="Times New Roman" w:hAnsi="Times New Roman" w:cs="Times New Roman"/>
          <w:sz w:val="24"/>
          <w:szCs w:val="24"/>
          <w:shd w:val="clear" w:color="auto" w:fill="FFFFFF"/>
        </w:rPr>
        <w:t xml:space="preserve">Prior </w:t>
      </w:r>
      <w:r w:rsidRPr="00922C73">
        <w:rPr>
          <w:rFonts w:ascii="Times New Roman" w:hAnsi="Times New Roman" w:cs="Times New Roman"/>
          <w:sz w:val="24"/>
          <w:szCs w:val="24"/>
        </w:rPr>
        <w:t xml:space="preserve">to commencing all monoclonal antibodies, </w:t>
      </w:r>
      <w:r w:rsidR="00D10A80" w:rsidRPr="00922C73">
        <w:rPr>
          <w:rFonts w:ascii="Times New Roman" w:hAnsi="Times New Roman" w:cs="Times New Roman"/>
          <w:sz w:val="24"/>
          <w:szCs w:val="24"/>
        </w:rPr>
        <w:t xml:space="preserve">acute and latent </w:t>
      </w:r>
      <w:r w:rsidRPr="00922C73">
        <w:rPr>
          <w:rFonts w:ascii="Times New Roman" w:hAnsi="Times New Roman" w:cs="Times New Roman"/>
          <w:sz w:val="24"/>
          <w:szCs w:val="24"/>
        </w:rPr>
        <w:t>infection</w:t>
      </w:r>
      <w:r w:rsidR="00D10A80" w:rsidRPr="00922C73">
        <w:rPr>
          <w:rFonts w:ascii="Times New Roman" w:hAnsi="Times New Roman" w:cs="Times New Roman"/>
          <w:sz w:val="24"/>
          <w:szCs w:val="24"/>
        </w:rPr>
        <w:t>s such as HIV, hepatitis B and C and tuberculosis</w:t>
      </w:r>
      <w:r w:rsidRPr="00922C73">
        <w:rPr>
          <w:rFonts w:ascii="Times New Roman" w:hAnsi="Times New Roman" w:cs="Times New Roman"/>
          <w:sz w:val="24"/>
          <w:szCs w:val="24"/>
        </w:rPr>
        <w:t xml:space="preserve"> must be investigated for and </w:t>
      </w:r>
      <w:r w:rsidR="00D10A80" w:rsidRPr="00922C73">
        <w:rPr>
          <w:rFonts w:ascii="Times New Roman" w:hAnsi="Times New Roman" w:cs="Times New Roman"/>
          <w:sz w:val="24"/>
          <w:szCs w:val="24"/>
        </w:rPr>
        <w:t xml:space="preserve">either fully </w:t>
      </w:r>
      <w:r w:rsidRPr="00922C73">
        <w:rPr>
          <w:rFonts w:ascii="Times New Roman" w:hAnsi="Times New Roman" w:cs="Times New Roman"/>
          <w:sz w:val="24"/>
          <w:szCs w:val="24"/>
        </w:rPr>
        <w:t>treated or controlled</w:t>
      </w:r>
      <w:r w:rsidR="00D10A8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D10A8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D10A80"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Reactivation of tuberculosis is a concern </w:t>
      </w:r>
      <w:r w:rsidR="00D10A80" w:rsidRPr="00922C73">
        <w:rPr>
          <w:rFonts w:ascii="Times New Roman" w:hAnsi="Times New Roman" w:cs="Times New Roman"/>
          <w:sz w:val="24"/>
          <w:szCs w:val="24"/>
        </w:rPr>
        <w:t>and an increase in tuberculosis infections, in particular, atypical presentations with extrapulmonary or disseminated disease has been noted following the introduction</w:t>
      </w:r>
      <w:r w:rsidR="00D10A80" w:rsidRPr="00922C73">
        <w:rPr>
          <w:rFonts w:ascii="Times New Roman" w:hAnsi="Times New Roman" w:cs="Times New Roman"/>
          <w:sz w:val="24"/>
          <w:szCs w:val="24"/>
          <w:shd w:val="clear" w:color="auto" w:fill="FFFFFF"/>
        </w:rPr>
        <w:t xml:space="preserve"> of anti-TNF therapy</w:t>
      </w:r>
      <w:r w:rsidR="0041604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10.1056/NEJMoa011110","ISSN":"0028-4793","author":[{"dropping-particle":"","family":"Keane","given":"Joseph","non-dropping-particle":"","parse-names":false,"suffix":""},{"dropping-particle":"","family":"Gershon","given":"Sharon","non-dropping-particle":"","parse-names":false,"suffix":""},{"dropping-particle":"","family":"Wise","given":"Robert P.","non-dropping-particle":"","parse-names":false,"suffix":""},{"dropping-particle":"","family":"Mirabile-Levens","given":"Elizabeth","non-dropping-particle":"","parse-names":false,"suffix":""},{"dropping-particle":"","family":"Kasznica","given":"John","non-dropping-particle":"","parse-names":false,"suffix":""},{"dropping-particle":"","family":"Schwieterman","given":"William D.","non-dropping-particle":"","parse-names":false,"suffix":""},{"dropping-particle":"","family":"Siegel","given":"Jeffrey N.","non-dropping-particle":"","parse-names":false,"suffix":""},{"dropping-particle":"","family":"Braun","given":"M. Miles","non-dropping-particle":"","parse-names":false,"suffix":""}],"container-title":"New England Journal of Medicine","id":"ITEM-1","issue":"15","issued":{"date-parts":[["2001","10","11"]]},"page":"1098-1104","title":"Tuberculosis Associated with Infliximab, a Tumor Necrosis Factor α–Neutralizing Agent","type":"article-journal","volume":"345"},"uris":["http://www.mendeley.com/documents/?uuid=586a6fcc-e900-45ee-9ad5-323939e05de8"]}],"mendeley":{"formattedCitation":"&lt;sup&gt;75&lt;/sup&gt;","plainTextFormattedCitation":"75","previouslyFormattedCitation":"&lt;sup&gt;75&lt;/sup&gt;"},"properties":{"noteIndex":0},"schema":"https://github.com/citation-style-language/schema/raw/master/csl-citation.json"}</w:instrText>
      </w:r>
      <w:r w:rsidR="0041604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75</w:t>
      </w:r>
      <w:r w:rsidR="00416040" w:rsidRPr="00922C73">
        <w:rPr>
          <w:rFonts w:ascii="Times New Roman" w:hAnsi="Times New Roman" w:cs="Times New Roman"/>
          <w:sz w:val="24"/>
          <w:szCs w:val="24"/>
          <w:shd w:val="clear" w:color="auto" w:fill="FFFFFF"/>
        </w:rPr>
        <w:fldChar w:fldCharType="end"/>
      </w:r>
      <w:r w:rsidR="00D10A80" w:rsidRPr="00922C73">
        <w:rPr>
          <w:rFonts w:ascii="Times New Roman" w:hAnsi="Times New Roman" w:cs="Times New Roman"/>
          <w:sz w:val="24"/>
          <w:szCs w:val="24"/>
          <w:shd w:val="clear" w:color="auto" w:fill="FFFFFF"/>
        </w:rPr>
        <w:t>.</w:t>
      </w:r>
      <w:r w:rsidR="00402C2D" w:rsidRPr="00922C73">
        <w:rPr>
          <w:rFonts w:ascii="Times New Roman" w:hAnsi="Times New Roman" w:cs="Times New Roman"/>
          <w:sz w:val="24"/>
          <w:szCs w:val="24"/>
          <w:shd w:val="clear" w:color="auto" w:fill="FFFFFF"/>
        </w:rPr>
        <w:t xml:space="preserve"> </w:t>
      </w:r>
      <w:r w:rsidR="00416040" w:rsidRPr="00922C73">
        <w:rPr>
          <w:rFonts w:ascii="Times New Roman" w:hAnsi="Times New Roman" w:cs="Times New Roman"/>
          <w:sz w:val="24"/>
          <w:szCs w:val="24"/>
          <w:shd w:val="clear" w:color="auto" w:fill="FFFFFF"/>
        </w:rPr>
        <w:t>S</w:t>
      </w:r>
      <w:r w:rsidR="00402C2D" w:rsidRPr="00922C73">
        <w:rPr>
          <w:rFonts w:ascii="Times New Roman" w:hAnsi="Times New Roman" w:cs="Times New Roman"/>
          <w:sz w:val="24"/>
          <w:szCs w:val="24"/>
          <w:shd w:val="clear" w:color="auto" w:fill="FFFFFF"/>
        </w:rPr>
        <w:t xml:space="preserve">creening for tuberculosis prior to commencing anti-TNF therapy </w:t>
      </w:r>
      <w:r w:rsidR="00416040" w:rsidRPr="00922C73">
        <w:rPr>
          <w:rFonts w:ascii="Times New Roman" w:hAnsi="Times New Roman" w:cs="Times New Roman"/>
          <w:sz w:val="24"/>
          <w:szCs w:val="24"/>
          <w:shd w:val="clear" w:color="auto" w:fill="FFFFFF"/>
        </w:rPr>
        <w:t>is</w:t>
      </w:r>
      <w:r w:rsidR="00402C2D" w:rsidRPr="00922C73">
        <w:rPr>
          <w:rFonts w:ascii="Times New Roman" w:hAnsi="Times New Roman" w:cs="Times New Roman"/>
          <w:sz w:val="24"/>
          <w:szCs w:val="24"/>
          <w:shd w:val="clear" w:color="auto" w:fill="FFFFFF"/>
        </w:rPr>
        <w:t xml:space="preserve"> commonly a</w:t>
      </w:r>
      <w:r w:rsidR="00416040" w:rsidRPr="00922C73">
        <w:rPr>
          <w:rFonts w:ascii="Times New Roman" w:hAnsi="Times New Roman" w:cs="Times New Roman"/>
          <w:sz w:val="24"/>
          <w:szCs w:val="24"/>
          <w:shd w:val="clear" w:color="auto" w:fill="FFFFFF"/>
        </w:rPr>
        <w:t>ccepted</w:t>
      </w:r>
      <w:r w:rsidR="00D3298E" w:rsidRPr="00922C73">
        <w:rPr>
          <w:rFonts w:ascii="Times New Roman" w:hAnsi="Times New Roman" w:cs="Times New Roman"/>
          <w:sz w:val="24"/>
          <w:szCs w:val="24"/>
          <w:shd w:val="clear" w:color="auto" w:fill="FFFFFF"/>
        </w:rPr>
        <w:t>. Ongoing vigilance is required as ac</w:t>
      </w:r>
      <w:r w:rsidR="00402C2D" w:rsidRPr="00922C73">
        <w:rPr>
          <w:rFonts w:ascii="Times New Roman" w:hAnsi="Times New Roman" w:cs="Times New Roman"/>
          <w:sz w:val="24"/>
          <w:szCs w:val="24"/>
          <w:shd w:val="clear" w:color="auto" w:fill="FFFFFF"/>
        </w:rPr>
        <w:t>tive tuberculosis can still develop despite a negative screen during infliximab treatment of IBD and 44 cases were reported in a large multi-centre retrospective study</w:t>
      </w:r>
      <w:r w:rsidR="0041604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ecco-jcc/jjw129","ISSN":"1873-9946","author":[{"dropping-particle":"","family":"Abitbol","given":"Yael","non-dropping-particle":"","parse-names":false,"suffix":""},{"dropping-particle":"","family":"Laharie","given":"David","non-dropping-particle":"","parse-names":false,"suffix":""},{"dropping-particle":"","family":"Cosnes","given":"Jacques","non-dropping-particle":"","parse-names":false,"suffix":""},{"dropping-particle":"","family":"Allez","given":"Matthieu","non-dropping-particle":"","parse-names":false,"suffix":""},{"dropping-particle":"","family":"Nancey","given":"Stéphane","non-dropping-particle":"","parse-names":false,"suffix":""},{"dropping-particle":"","family":"Amiot","given":"Aurélien","non-dropping-particle":"","parse-names":false,"suffix":""},{"dropping-particle":"","family":"Aubourg","given":"Alexandre","non-dropping-particle":"","parse-names":false,"suffix":""},{"dropping-particle":"","family":"Fumery","given":"Mathurin","non-dropping-particle":"","parse-names":false,"suffix":""},{"dropping-particle":"","family":"Altwegg","given":"Romain","non-dropping-particle":"","parse-names":false,"suffix":""},{"dropping-particle":"","family":"Michetti","given":"Pierre","non-dropping-particle":"","parse-names":false,"suffix":""},{"dropping-particle":"","family":"Chanteloup","given":"Elise","non-dropping-particle":"","parse-names":false,"suffix":""},{"dropping-particle":"","family":"Seksik","given":"Philippe","non-dropping-particle":"","parse-names":false,"suffix":""},{"dropping-particle":"","family":"Baudry","given":"Clotilde","non-dropping-particle":"","parse-names":false,"suffix":""},{"dropping-particle":"","family":"Flamant","given":"Mathurin","non-dropping-particle":"","parse-names":false,"suffix":""},{"dropping-particle":"","family":"Bouguen","given":"Guillaume","non-dropping-particle":"","parse-names":false,"suffix":""},{"dropping-particle":"","family":"Stefanescu","given":"Carmen","non-dropping-particle":"","parse-names":false,"suffix":""},{"dropping-particle":"","family":"Bourrier","given":"Anne","non-dropping-particle":"","parse-names":false,"suffix":""},{"dropping-particle":"","family":"Bommelaer","given":"Gilles","non-dropping-particle":"","parse-names":false,"suffix":""},{"dropping-particle":"","family":"Dib","given":"Nina","non-dropping-particle":"","parse-names":false,"suffix":""},{"dropping-particle":"","family":"Bigard","given":"Marc André","non-dropping-particle":"","parse-names":false,"suffix":""},{"dropping-particle":"","family":"Viennot","given":"Stephanie","non-dropping-particle":"","parse-names":false,"suffix":""},{"dropping-particle":"","family":"Hébuterne","given":"Xavier","non-dropping-particle":"","parse-names":false,"suffix":""},{"dropping-particle":"","family":"Gornet","given":"Jean-Marc","non-dropping-particle":"","parse-names":false,"suffix":""},{"dropping-particle":"","family":"Marteau","given":"Philippe","non-dropping-particle":"","parse-names":false,"suffix":""},{"dropping-particle":"","family":"Bouhnik","given":"Yoram","non-dropping-particle":"","parse-names":false,"suffix":""},{"dropping-particle":"","family":"Abitbol","given":"Vered","non-dropping-particle":"","parse-names":false,"suffix":""},{"dropping-particle":"","family":"Nahon","given":"Stéphane","non-dropping-particle":"","parse-names":false,"suffix":""}],"container-title":"Journal of Crohn's and Colitis","id":"ITEM-1","issue":"10","issued":{"date-parts":[["2016","10"]]},"page":"1179-1185","title":"Negative Screening Does Not Rule Out the Risk of Tuberculosis in Patients with Inflammatory Bowel Disease Undergoing Anti-TNF Treatment: A Descriptive Study on the GETAID Cohort","type":"article-journal","volume":"10"},"uris":["http://www.mendeley.com/documents/?uuid=37dc11b1-e8c5-413d-921e-3c78b1a869b9"]}],"mendeley":{"formattedCitation":"&lt;sup&gt;76&lt;/sup&gt;","plainTextFormattedCitation":"76","previouslyFormattedCitation":"&lt;sup&gt;76&lt;/sup&gt;"},"properties":{"noteIndex":0},"schema":"https://github.com/citation-style-language/schema/raw/master/csl-citation.json"}</w:instrText>
      </w:r>
      <w:r w:rsidR="0041604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76</w:t>
      </w:r>
      <w:r w:rsidR="00416040" w:rsidRPr="00922C73">
        <w:rPr>
          <w:rFonts w:ascii="Times New Roman" w:hAnsi="Times New Roman" w:cs="Times New Roman"/>
          <w:sz w:val="24"/>
          <w:szCs w:val="24"/>
          <w:shd w:val="clear" w:color="auto" w:fill="FFFFFF"/>
        </w:rPr>
        <w:fldChar w:fldCharType="end"/>
      </w:r>
      <w:r w:rsidR="00402C2D" w:rsidRPr="00922C73">
        <w:rPr>
          <w:rFonts w:ascii="Times New Roman" w:hAnsi="Times New Roman" w:cs="Times New Roman"/>
          <w:sz w:val="24"/>
          <w:szCs w:val="24"/>
          <w:shd w:val="clear" w:color="auto" w:fill="FFFFFF"/>
        </w:rPr>
        <w:t xml:space="preserve">.   </w:t>
      </w:r>
    </w:p>
    <w:p w14:paraId="6B3285AD" w14:textId="77777777" w:rsidR="00595EEC" w:rsidRPr="00922C73" w:rsidRDefault="00595EEC" w:rsidP="00F64D9D">
      <w:pPr>
        <w:spacing w:line="480" w:lineRule="auto"/>
        <w:rPr>
          <w:rFonts w:ascii="Times New Roman" w:hAnsi="Times New Roman" w:cs="Times New Roman"/>
          <w:sz w:val="24"/>
          <w:szCs w:val="24"/>
        </w:rPr>
      </w:pPr>
    </w:p>
    <w:p w14:paraId="5405A000" w14:textId="18933EAD" w:rsidR="00145FD3" w:rsidRPr="00922C73" w:rsidRDefault="00145FD3" w:rsidP="00F64D9D">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Immune mediated side-effects</w:t>
      </w:r>
    </w:p>
    <w:p w14:paraId="6B33EFB0" w14:textId="10F353E3" w:rsidR="00EB51E2" w:rsidRPr="00922C73" w:rsidRDefault="00572139"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Immune mediated side-effects of </w:t>
      </w:r>
      <w:r w:rsidR="00E92C45" w:rsidRPr="00922C73">
        <w:rPr>
          <w:rFonts w:ascii="Times New Roman" w:hAnsi="Times New Roman" w:cs="Times New Roman"/>
          <w:sz w:val="24"/>
          <w:szCs w:val="24"/>
        </w:rPr>
        <w:t>biological agents</w:t>
      </w:r>
      <w:r w:rsidRPr="00922C73">
        <w:rPr>
          <w:rFonts w:ascii="Times New Roman" w:hAnsi="Times New Roman" w:cs="Times New Roman"/>
          <w:sz w:val="24"/>
          <w:szCs w:val="24"/>
        </w:rPr>
        <w:t xml:space="preserve"> </w:t>
      </w:r>
      <w:r w:rsidR="000777CA" w:rsidRPr="00922C73">
        <w:rPr>
          <w:rFonts w:ascii="Times New Roman" w:hAnsi="Times New Roman" w:cs="Times New Roman"/>
          <w:sz w:val="24"/>
          <w:szCs w:val="24"/>
        </w:rPr>
        <w:t>can be conside</w:t>
      </w:r>
      <w:r w:rsidR="00145FD3" w:rsidRPr="00922C73">
        <w:rPr>
          <w:rFonts w:ascii="Times New Roman" w:hAnsi="Times New Roman" w:cs="Times New Roman"/>
          <w:sz w:val="24"/>
          <w:szCs w:val="24"/>
        </w:rPr>
        <w:t>red as</w:t>
      </w:r>
      <w:r w:rsidR="000777CA" w:rsidRPr="00922C73">
        <w:rPr>
          <w:rFonts w:ascii="Times New Roman" w:hAnsi="Times New Roman" w:cs="Times New Roman"/>
          <w:sz w:val="24"/>
          <w:szCs w:val="24"/>
        </w:rPr>
        <w:t xml:space="preserve"> </w:t>
      </w:r>
      <w:r w:rsidR="00E92C45" w:rsidRPr="00922C73">
        <w:rPr>
          <w:rFonts w:ascii="Times New Roman" w:hAnsi="Times New Roman" w:cs="Times New Roman"/>
          <w:sz w:val="24"/>
          <w:szCs w:val="24"/>
          <w:shd w:val="clear" w:color="auto" w:fill="FFFFFF"/>
        </w:rPr>
        <w:t>target-related e.g. suppression of TNFα and the effect of this on the immune system or agent-related e.g. the</w:t>
      </w:r>
      <w:r w:rsidR="00CD2350" w:rsidRPr="00922C73">
        <w:rPr>
          <w:rFonts w:ascii="Times New Roman" w:hAnsi="Times New Roman" w:cs="Times New Roman"/>
          <w:sz w:val="24"/>
          <w:szCs w:val="24"/>
          <w:shd w:val="clear" w:color="auto" w:fill="FFFFFF"/>
        </w:rPr>
        <w:t xml:space="preserve"> response </w:t>
      </w:r>
      <w:r w:rsidR="00E92C45" w:rsidRPr="00922C73">
        <w:rPr>
          <w:rFonts w:ascii="Times New Roman" w:hAnsi="Times New Roman" w:cs="Times New Roman"/>
          <w:sz w:val="24"/>
          <w:szCs w:val="24"/>
          <w:shd w:val="clear" w:color="auto" w:fill="FFFFFF"/>
        </w:rPr>
        <w:t xml:space="preserve">of the </w:t>
      </w:r>
      <w:r w:rsidR="00CD2350" w:rsidRPr="00922C73">
        <w:rPr>
          <w:rFonts w:ascii="Times New Roman" w:hAnsi="Times New Roman" w:cs="Times New Roman"/>
          <w:sz w:val="24"/>
          <w:szCs w:val="24"/>
          <w:shd w:val="clear" w:color="auto" w:fill="FFFFFF"/>
        </w:rPr>
        <w:t xml:space="preserve">immune system to the presence of the </w:t>
      </w:r>
      <w:r w:rsidR="00E92C45" w:rsidRPr="00922C73">
        <w:rPr>
          <w:rFonts w:ascii="Times New Roman" w:hAnsi="Times New Roman" w:cs="Times New Roman"/>
          <w:sz w:val="24"/>
          <w:szCs w:val="24"/>
          <w:shd w:val="clear" w:color="auto" w:fill="FFFFFF"/>
        </w:rPr>
        <w:t>actual drug inflixi</w:t>
      </w:r>
      <w:r w:rsidR="00CD2350" w:rsidRPr="00922C73">
        <w:rPr>
          <w:rFonts w:ascii="Times New Roman" w:hAnsi="Times New Roman" w:cs="Times New Roman"/>
          <w:sz w:val="24"/>
          <w:szCs w:val="24"/>
          <w:shd w:val="clear" w:color="auto" w:fill="FFFFFF"/>
        </w:rPr>
        <w:t xml:space="preserve">mab </w:t>
      </w:r>
      <w:r w:rsidR="00CD235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{"citationItems":[{"id":"ITEM-1","itemData":{"DOI":"10.1016/j.jaci.2005.03.028","ISSN":"00916749","author":[{"dropping-particle":"","family":"Lee","given":"Susan J.","non-dropping-particle":"","parse-names":false,"suffix":""},{"dropping-particle":"","family":"Kavanaugh","given":"Arthur","non-dropping-particle":"","parse-names":false,"suffix":""}],"container-title":"Journal of Allergy and Clinical Immunology","id":"ITEM-1","issue":"4","issued":{"date-parts":[["2005","10"]]},"page":"900-905","title":"Adverse reactions to biologic agents: Focus on autoimmune disease therapies","type":"article-journal","volume":"116"},"uris":["http://www.mendeley.com/documents/?uuid=42139e29-3a81-4b9e-aec8-f6c818237328"]}],"mendeley":{"formattedCitation":"&lt;sup&gt;77&lt;/sup&gt;","plainTextFormattedCitation":"77","previouslyFormattedCitation":"&lt;sup&gt;77&lt;/sup&gt;"},"properties":{"noteIndex":0},"schema":"https://github.com/citation-style-language/schema/raw/master/csl-citation.json"}</w:instrText>
      </w:r>
      <w:r w:rsidR="00CD235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77</w:t>
      </w:r>
      <w:r w:rsidR="00CD2350" w:rsidRPr="00922C73">
        <w:rPr>
          <w:rFonts w:ascii="Times New Roman" w:hAnsi="Times New Roman" w:cs="Times New Roman"/>
          <w:sz w:val="24"/>
          <w:szCs w:val="24"/>
          <w:shd w:val="clear" w:color="auto" w:fill="FFFFFF"/>
        </w:rPr>
        <w:fldChar w:fldCharType="end"/>
      </w:r>
      <w:r w:rsidR="00E92C45" w:rsidRPr="00922C73">
        <w:rPr>
          <w:rFonts w:ascii="Times New Roman" w:hAnsi="Times New Roman" w:cs="Times New Roman"/>
          <w:sz w:val="24"/>
          <w:szCs w:val="24"/>
          <w:shd w:val="clear" w:color="auto" w:fill="FFFFFF"/>
        </w:rPr>
        <w:t xml:space="preserve">. </w:t>
      </w:r>
      <w:r w:rsidR="00E92C45" w:rsidRPr="00922C73">
        <w:rPr>
          <w:rFonts w:ascii="Times New Roman" w:hAnsi="Times New Roman" w:cs="Times New Roman"/>
          <w:sz w:val="24"/>
          <w:szCs w:val="24"/>
        </w:rPr>
        <w:t>A</w:t>
      </w:r>
      <w:r w:rsidR="007A0FBD" w:rsidRPr="00922C73">
        <w:rPr>
          <w:rFonts w:ascii="Times New Roman" w:hAnsi="Times New Roman" w:cs="Times New Roman"/>
          <w:sz w:val="24"/>
          <w:szCs w:val="24"/>
        </w:rPr>
        <w:t>llergic reaction</w:t>
      </w:r>
      <w:r w:rsidR="00E92C45" w:rsidRPr="00922C73">
        <w:rPr>
          <w:rFonts w:ascii="Times New Roman" w:hAnsi="Times New Roman" w:cs="Times New Roman"/>
          <w:sz w:val="24"/>
          <w:szCs w:val="24"/>
        </w:rPr>
        <w:t>s</w:t>
      </w:r>
      <w:r w:rsidR="007A0FBD" w:rsidRPr="00922C73">
        <w:rPr>
          <w:rFonts w:ascii="Times New Roman" w:hAnsi="Times New Roman" w:cs="Times New Roman"/>
          <w:sz w:val="24"/>
          <w:szCs w:val="24"/>
        </w:rPr>
        <w:t xml:space="preserve">, </w:t>
      </w:r>
      <w:r w:rsidR="00CD2350" w:rsidRPr="00922C73">
        <w:rPr>
          <w:rFonts w:ascii="Times New Roman" w:hAnsi="Times New Roman" w:cs="Times New Roman"/>
          <w:sz w:val="24"/>
          <w:szCs w:val="24"/>
        </w:rPr>
        <w:t xml:space="preserve">acute </w:t>
      </w:r>
      <w:r w:rsidR="00E92C45" w:rsidRPr="00922C73">
        <w:rPr>
          <w:rFonts w:ascii="Times New Roman" w:hAnsi="Times New Roman" w:cs="Times New Roman"/>
          <w:sz w:val="24"/>
          <w:szCs w:val="24"/>
        </w:rPr>
        <w:t>infusion reactions:</w:t>
      </w:r>
      <w:r w:rsidR="00CD2350" w:rsidRPr="00922C73">
        <w:rPr>
          <w:rFonts w:ascii="Times New Roman" w:hAnsi="Times New Roman" w:cs="Times New Roman"/>
          <w:sz w:val="24"/>
          <w:szCs w:val="24"/>
        </w:rPr>
        <w:t xml:space="preserve"> </w:t>
      </w:r>
      <w:r w:rsidR="00D77958" w:rsidRPr="00922C73">
        <w:rPr>
          <w:rFonts w:ascii="Times New Roman" w:hAnsi="Times New Roman" w:cs="Times New Roman"/>
          <w:sz w:val="24"/>
          <w:szCs w:val="24"/>
        </w:rPr>
        <w:t>occurring within 1-2 hours of the infusion</w:t>
      </w:r>
      <w:r w:rsidRPr="00922C73">
        <w:rPr>
          <w:rFonts w:ascii="Times New Roman" w:hAnsi="Times New Roman" w:cs="Times New Roman"/>
          <w:sz w:val="24"/>
          <w:szCs w:val="24"/>
        </w:rPr>
        <w:t xml:space="preserve"> and delayed</w:t>
      </w:r>
      <w:r w:rsidR="007A0FBD" w:rsidRPr="00922C73">
        <w:rPr>
          <w:rFonts w:ascii="Times New Roman" w:hAnsi="Times New Roman" w:cs="Times New Roman"/>
          <w:sz w:val="24"/>
          <w:szCs w:val="24"/>
        </w:rPr>
        <w:t>/</w:t>
      </w:r>
      <w:r w:rsidR="00D77958" w:rsidRPr="00922C73">
        <w:rPr>
          <w:rFonts w:ascii="Times New Roman" w:hAnsi="Times New Roman" w:cs="Times New Roman"/>
          <w:sz w:val="24"/>
          <w:szCs w:val="24"/>
        </w:rPr>
        <w:t>late</w:t>
      </w:r>
      <w:r w:rsidR="00CD2350" w:rsidRPr="00922C73">
        <w:rPr>
          <w:rFonts w:ascii="Times New Roman" w:hAnsi="Times New Roman" w:cs="Times New Roman"/>
          <w:sz w:val="24"/>
          <w:szCs w:val="24"/>
        </w:rPr>
        <w:t xml:space="preserve"> infusion reactions</w:t>
      </w:r>
      <w:r w:rsidR="00E92C45" w:rsidRPr="00922C73">
        <w:rPr>
          <w:rFonts w:ascii="Times New Roman" w:hAnsi="Times New Roman" w:cs="Times New Roman"/>
          <w:sz w:val="24"/>
          <w:szCs w:val="24"/>
        </w:rPr>
        <w:t>-</w:t>
      </w:r>
      <w:r w:rsidR="00D77958" w:rsidRPr="00922C73">
        <w:rPr>
          <w:rFonts w:ascii="Times New Roman" w:hAnsi="Times New Roman" w:cs="Times New Roman"/>
          <w:sz w:val="24"/>
          <w:szCs w:val="24"/>
        </w:rPr>
        <w:t>occurring &gt; 24 hours post infusion</w:t>
      </w:r>
      <w:r w:rsidR="00E92C45" w:rsidRPr="00922C73">
        <w:rPr>
          <w:rFonts w:ascii="Times New Roman" w:hAnsi="Times New Roman" w:cs="Times New Roman"/>
          <w:sz w:val="24"/>
          <w:szCs w:val="24"/>
        </w:rPr>
        <w:t xml:space="preserve"> </w:t>
      </w:r>
      <w:r w:rsidR="00CD2350" w:rsidRPr="00922C73">
        <w:rPr>
          <w:rFonts w:ascii="Times New Roman" w:hAnsi="Times New Roman" w:cs="Times New Roman"/>
          <w:sz w:val="24"/>
          <w:szCs w:val="24"/>
        </w:rPr>
        <w:t xml:space="preserve">are considered to be </w:t>
      </w:r>
      <w:r w:rsidR="003B5497" w:rsidRPr="00922C73">
        <w:rPr>
          <w:rFonts w:ascii="Times New Roman" w:hAnsi="Times New Roman" w:cs="Times New Roman"/>
          <w:sz w:val="24"/>
          <w:szCs w:val="24"/>
        </w:rPr>
        <w:t>agent</w:t>
      </w:r>
      <w:r w:rsidR="00CD2350" w:rsidRPr="00922C73">
        <w:rPr>
          <w:rFonts w:ascii="Times New Roman" w:hAnsi="Times New Roman" w:cs="Times New Roman"/>
          <w:sz w:val="24"/>
          <w:szCs w:val="24"/>
        </w:rPr>
        <w:t xml:space="preserve"> related</w:t>
      </w:r>
      <w:r w:rsidR="003B5497" w:rsidRPr="00922C73">
        <w:rPr>
          <w:rFonts w:ascii="Times New Roman" w:hAnsi="Times New Roman" w:cs="Times New Roman"/>
          <w:sz w:val="24"/>
          <w:szCs w:val="24"/>
        </w:rPr>
        <w:t xml:space="preserve">. Infusion reactions </w:t>
      </w:r>
      <w:r w:rsidR="00913B7F" w:rsidRPr="00922C73">
        <w:rPr>
          <w:rFonts w:ascii="Times New Roman" w:hAnsi="Times New Roman" w:cs="Times New Roman"/>
          <w:sz w:val="24"/>
          <w:szCs w:val="24"/>
        </w:rPr>
        <w:t>have a complex aetiology and may be</w:t>
      </w:r>
      <w:r w:rsidR="00CD2350" w:rsidRPr="00922C73">
        <w:rPr>
          <w:rFonts w:ascii="Times New Roman" w:hAnsi="Times New Roman" w:cs="Times New Roman"/>
          <w:sz w:val="24"/>
          <w:szCs w:val="24"/>
        </w:rPr>
        <w:t xml:space="preserve"> </w:t>
      </w:r>
      <w:proofErr w:type="spellStart"/>
      <w:r w:rsidR="00B904D1" w:rsidRPr="00922C73">
        <w:rPr>
          <w:rFonts w:ascii="Times New Roman" w:hAnsi="Times New Roman" w:cs="Times New Roman"/>
          <w:sz w:val="24"/>
          <w:szCs w:val="24"/>
        </w:rPr>
        <w:t>IgE</w:t>
      </w:r>
      <w:proofErr w:type="spellEnd"/>
      <w:r w:rsidR="00B904D1" w:rsidRPr="00922C73">
        <w:rPr>
          <w:rFonts w:ascii="Times New Roman" w:hAnsi="Times New Roman" w:cs="Times New Roman"/>
          <w:sz w:val="24"/>
          <w:szCs w:val="24"/>
        </w:rPr>
        <w:t xml:space="preserve"> mediated, or related to</w:t>
      </w:r>
      <w:r w:rsidR="00CD2350" w:rsidRPr="00922C73">
        <w:rPr>
          <w:rFonts w:ascii="Times New Roman" w:hAnsi="Times New Roman" w:cs="Times New Roman"/>
          <w:sz w:val="24"/>
          <w:szCs w:val="24"/>
        </w:rPr>
        <w:t xml:space="preserve"> the formation of ATI</w:t>
      </w:r>
      <w:r w:rsidR="00913B7F" w:rsidRPr="00922C73">
        <w:rPr>
          <w:rFonts w:ascii="Times New Roman" w:hAnsi="Times New Roman" w:cs="Times New Roman"/>
          <w:sz w:val="24"/>
          <w:szCs w:val="24"/>
        </w:rPr>
        <w:t xml:space="preserve"> and immune complex formation</w:t>
      </w:r>
      <w:r w:rsidR="00CD2350" w:rsidRPr="00922C73">
        <w:rPr>
          <w:rFonts w:ascii="Times New Roman" w:hAnsi="Times New Roman" w:cs="Times New Roman"/>
          <w:sz w:val="24"/>
          <w:szCs w:val="24"/>
        </w:rPr>
        <w:t xml:space="preserve"> </w:t>
      </w:r>
      <w:r w:rsidR="00CD235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{"citationItems":[{"id":"ITEM-1","itemData":{"DOI":"10.1016/j.jaci.2005.03.028","ISSN":"00916749","author":[{"dropping-particle":"","family":"Lee","given":"Susan J.","non-dropping-particle":"","parse-names":false,"suffix":""},{"dropping-particle":"","family":"Kavanaugh","given":"Arthur","non-dropping-particle":"","parse-names":false,"suffix":""}],"container-title":"Journal of Allergy and Clinical Immunology","id":"ITEM-1","issue":"4","issued":{"date-parts":[["2005","10"]]},"page":"900-905","title":"Adverse reactions to biologic agents: Focus on autoimmune disease therapies","type":"article-journal","volume":"116"},"uris":["http://www.mendeley.com/documents/?uuid=42139e29-3a81-4b9e-aec8-f6c818237328"]},{"id":"ITEM-2","itemData":{"DOI":"10.1093/ecco-jcc/jjv096","ISBN":"1876-4479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Colitis","id":"ITEM-2","issue":"9","issued":{"date-parts":[["2015","9"]]},"page":"806-815","title":"Infliximab-Related Infusion Reactions: Systematic Review","type":"article-journal","volume":"9"},"uris":["http://www.mendeley.com/documents/?uuid=46980e5d-a324-4be5-9921-6f1fc2ff65dd"]}],"mendeley":{"formattedCitation":"&lt;sup&gt;77,78&lt;/sup&gt;","plainTextFormattedCitation":"77,78","previouslyFormattedCitation":"&lt;sup&gt;77,78&lt;/sup&gt;"},"properties":{"noteIndex":0},"schema":"https://github.com/citation-style-language/schema/raw/master/csl-citation.json"}</w:instrText>
      </w:r>
      <w:r w:rsidR="00CD235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77,78</w:t>
      </w:r>
      <w:r w:rsidR="00CD2350" w:rsidRPr="00922C73">
        <w:rPr>
          <w:rFonts w:ascii="Times New Roman" w:hAnsi="Times New Roman" w:cs="Times New Roman"/>
          <w:sz w:val="24"/>
          <w:szCs w:val="24"/>
        </w:rPr>
        <w:fldChar w:fldCharType="end"/>
      </w:r>
      <w:r w:rsidR="00CD2350" w:rsidRPr="00922C73">
        <w:rPr>
          <w:rFonts w:ascii="Times New Roman" w:hAnsi="Times New Roman" w:cs="Times New Roman"/>
          <w:sz w:val="24"/>
          <w:szCs w:val="24"/>
        </w:rPr>
        <w:t xml:space="preserve">. </w:t>
      </w:r>
      <w:r w:rsidRPr="00922C73">
        <w:rPr>
          <w:rFonts w:ascii="Times New Roman" w:hAnsi="Times New Roman" w:cs="Times New Roman"/>
          <w:sz w:val="24"/>
          <w:szCs w:val="24"/>
        </w:rPr>
        <w:t>Infusion reactions will be discussed further in section</w:t>
      </w:r>
      <w:r w:rsidR="00D332A8" w:rsidRPr="00922C73">
        <w:rPr>
          <w:rFonts w:ascii="Times New Roman" w:hAnsi="Times New Roman" w:cs="Times New Roman"/>
          <w:sz w:val="24"/>
          <w:szCs w:val="24"/>
        </w:rPr>
        <w:t xml:space="preserve"> </w:t>
      </w:r>
      <w:r w:rsidR="00D332A8" w:rsidRPr="00922C73">
        <w:rPr>
          <w:rFonts w:ascii="Times New Roman" w:hAnsi="Times New Roman" w:cs="Times New Roman"/>
          <w:sz w:val="24"/>
          <w:szCs w:val="24"/>
          <w:lang w:eastAsia="en-GB"/>
        </w:rPr>
        <w:t>1.3.5</w:t>
      </w:r>
      <w:r w:rsidRPr="00922C73">
        <w:rPr>
          <w:rFonts w:ascii="Times New Roman" w:hAnsi="Times New Roman" w:cs="Times New Roman"/>
          <w:sz w:val="24"/>
          <w:szCs w:val="24"/>
        </w:rPr>
        <w:t xml:space="preserve">. </w:t>
      </w:r>
      <w:r w:rsidR="007A0FBD" w:rsidRPr="00922C73">
        <w:rPr>
          <w:rFonts w:ascii="Times New Roman" w:hAnsi="Times New Roman" w:cs="Times New Roman"/>
          <w:sz w:val="24"/>
          <w:szCs w:val="24"/>
        </w:rPr>
        <w:t xml:space="preserve">Features of </w:t>
      </w:r>
      <w:r w:rsidRPr="00922C73">
        <w:rPr>
          <w:rFonts w:ascii="Times New Roman" w:hAnsi="Times New Roman" w:cs="Times New Roman"/>
          <w:sz w:val="24"/>
          <w:szCs w:val="24"/>
        </w:rPr>
        <w:t xml:space="preserve">autoimmunity </w:t>
      </w:r>
      <w:r w:rsidR="00CD2350" w:rsidRPr="00922C73">
        <w:rPr>
          <w:rFonts w:ascii="Times New Roman" w:hAnsi="Times New Roman" w:cs="Times New Roman"/>
          <w:sz w:val="24"/>
          <w:szCs w:val="24"/>
        </w:rPr>
        <w:t xml:space="preserve">are considered to be target-related and </w:t>
      </w:r>
      <w:r w:rsidRPr="00922C73">
        <w:rPr>
          <w:rFonts w:ascii="Times New Roman" w:hAnsi="Times New Roman" w:cs="Times New Roman"/>
          <w:sz w:val="24"/>
          <w:szCs w:val="24"/>
        </w:rPr>
        <w:t>formation of auto-antibodies, lupus</w:t>
      </w:r>
      <w:r w:rsidR="00D3298E" w:rsidRPr="00922C73">
        <w:rPr>
          <w:rFonts w:ascii="Times New Roman" w:hAnsi="Times New Roman" w:cs="Times New Roman"/>
          <w:sz w:val="24"/>
          <w:szCs w:val="24"/>
        </w:rPr>
        <w:t>-</w:t>
      </w:r>
      <w:r w:rsidRPr="00922C73">
        <w:rPr>
          <w:rFonts w:ascii="Times New Roman" w:hAnsi="Times New Roman" w:cs="Times New Roman"/>
          <w:sz w:val="24"/>
          <w:szCs w:val="24"/>
        </w:rPr>
        <w:t>like syn</w:t>
      </w:r>
      <w:r w:rsidR="007A0FBD" w:rsidRPr="00922C73">
        <w:rPr>
          <w:rFonts w:ascii="Times New Roman" w:hAnsi="Times New Roman" w:cs="Times New Roman"/>
          <w:sz w:val="24"/>
          <w:szCs w:val="24"/>
        </w:rPr>
        <w:t>d</w:t>
      </w:r>
      <w:r w:rsidRPr="00922C73">
        <w:rPr>
          <w:rFonts w:ascii="Times New Roman" w:hAnsi="Times New Roman" w:cs="Times New Roman"/>
          <w:sz w:val="24"/>
          <w:szCs w:val="24"/>
        </w:rPr>
        <w:t>rome</w:t>
      </w:r>
      <w:r w:rsidR="007A0FBD" w:rsidRPr="00922C73">
        <w:rPr>
          <w:rFonts w:ascii="Times New Roman" w:hAnsi="Times New Roman" w:cs="Times New Roman"/>
          <w:sz w:val="24"/>
          <w:szCs w:val="24"/>
        </w:rPr>
        <w:t>,</w:t>
      </w:r>
      <w:r w:rsidRPr="00922C73">
        <w:rPr>
          <w:rFonts w:ascii="Times New Roman" w:hAnsi="Times New Roman" w:cs="Times New Roman"/>
          <w:sz w:val="24"/>
          <w:szCs w:val="24"/>
        </w:rPr>
        <w:t xml:space="preserve"> demyelinating disease</w:t>
      </w:r>
      <w:r w:rsidR="007A0FBD" w:rsidRPr="00922C73">
        <w:rPr>
          <w:rFonts w:ascii="Times New Roman" w:hAnsi="Times New Roman" w:cs="Times New Roman"/>
          <w:sz w:val="24"/>
          <w:szCs w:val="24"/>
        </w:rPr>
        <w:t>, neuropathy are associated with infliximab therapy.</w:t>
      </w:r>
      <w:r w:rsidR="007A0FB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Colitis","type":"article-journal","volume":"353"},"uris":["http://www.mendeley.com/documents/?uuid=adc04817-1669-4784-a3ae-7f5273bc984e"]},{"id":"ITEM-3","itemData":{"DOI":"10.1093/ibd/izx072","ISSN":"1536-4844","PMID":"29462395","abstract":"Background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diseases","id":"ITEM-3","issue":"3","issued":{"date-parts":[["2018"]]},"page":"490-501","title":"Infliximab for Crohn's Disease: More Than 13 Years of Real-world Experience.","type":"article-journal","volume":"24"},"uris":["http://www.mendeley.com/documents/?uuid=d25fd499-0b5f-4ad6-88c1-902d5786c23a"]},{"id":"ITEM-4","itemData":{"DOI":"10.1016/j.jaci.2005.03.028","ISSN":"00916749","author":[{"dropping-particle":"","family":"Lee","given":"Susan J.","non-dropping-particle":"","parse-names":false,"suffix":""},{"dropping-particle":"","family":"Kavanaugh","given":"Arthur","non-dropping-particle":"","parse-names":false,"suffix":""}],"container-title":"Journal of Allergy and Clinical Immunology","id":"ITEM-4","issue":"4","issued":{"date-parts":[["2005","10"]]},"page":"900-905","title":"Adverse reactions to biologic agents: Focus on autoimmune disease therapies","type":"article-journal","volume":"116"},"uris":["http://www.mendeley.com/documents/?uuid=42139e29-3a81-4b9e-aec8-f6c818237328"]}],"mendeley":{"formattedCitation":"&lt;sup&gt;27,53,74,77&lt;/sup&gt;","plainTextFormattedCitation":"27,53,74,77","previouslyFormattedCitation":"&lt;sup&gt;27,53,74,77&lt;/sup&gt;"},"properties":{"noteIndex":0},"schema":"https://github.com/citation-style-language/schema/raw/master/csl-citation.json"}</w:instrText>
      </w:r>
      <w:r w:rsidR="007A0FB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27,53,74,77</w:t>
      </w:r>
      <w:r w:rsidR="007A0FBD"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EB51E2" w:rsidRPr="00922C73">
        <w:rPr>
          <w:rFonts w:ascii="Times New Roman" w:hAnsi="Times New Roman" w:cs="Times New Roman"/>
          <w:sz w:val="24"/>
          <w:szCs w:val="24"/>
        </w:rPr>
        <w:t>Infection can</w:t>
      </w:r>
      <w:r w:rsidR="005440B6" w:rsidRPr="00922C73">
        <w:rPr>
          <w:rFonts w:ascii="Times New Roman" w:hAnsi="Times New Roman" w:cs="Times New Roman"/>
          <w:sz w:val="24"/>
          <w:szCs w:val="24"/>
        </w:rPr>
        <w:t xml:space="preserve"> also</w:t>
      </w:r>
      <w:r w:rsidR="00EB51E2" w:rsidRPr="00922C73">
        <w:rPr>
          <w:rFonts w:ascii="Times New Roman" w:hAnsi="Times New Roman" w:cs="Times New Roman"/>
          <w:sz w:val="24"/>
          <w:szCs w:val="24"/>
        </w:rPr>
        <w:t xml:space="preserve"> be considered as a target-related side effect as the TNF antagonism leads to immunosuppression. </w:t>
      </w:r>
    </w:p>
    <w:p w14:paraId="5E8C14DB" w14:textId="17933AB5" w:rsidR="005440B6" w:rsidRPr="00922C73" w:rsidRDefault="005440B6" w:rsidP="00F64D9D">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lastRenderedPageBreak/>
        <w:t xml:space="preserve">Malignancies </w:t>
      </w:r>
    </w:p>
    <w:p w14:paraId="731062BB" w14:textId="6A193C39" w:rsidR="00AD5A4F" w:rsidRPr="00922C73" w:rsidRDefault="009860DF"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Malignancies have been noted during infliximab treatment, </w:t>
      </w:r>
      <w:r w:rsidR="003B5EC0" w:rsidRPr="00922C73">
        <w:rPr>
          <w:rFonts w:ascii="Times New Roman" w:hAnsi="Times New Roman" w:cs="Times New Roman"/>
          <w:sz w:val="24"/>
          <w:szCs w:val="24"/>
        </w:rPr>
        <w:t>though</w:t>
      </w:r>
      <w:r w:rsidR="00D47C60" w:rsidRPr="00922C73">
        <w:rPr>
          <w:rFonts w:ascii="Times New Roman" w:hAnsi="Times New Roman" w:cs="Times New Roman"/>
          <w:sz w:val="24"/>
          <w:szCs w:val="24"/>
        </w:rPr>
        <w:t xml:space="preserve"> large cohort studies have not shown a</w:t>
      </w:r>
      <w:r w:rsidR="003B5EC0" w:rsidRPr="00922C73">
        <w:rPr>
          <w:rFonts w:ascii="Times New Roman" w:hAnsi="Times New Roman" w:cs="Times New Roman"/>
          <w:sz w:val="24"/>
          <w:szCs w:val="24"/>
        </w:rPr>
        <w:t xml:space="preserve"> significant</w:t>
      </w:r>
      <w:r w:rsidR="00D47C60" w:rsidRPr="00922C73">
        <w:rPr>
          <w:rFonts w:ascii="Times New Roman" w:hAnsi="Times New Roman" w:cs="Times New Roman"/>
          <w:sz w:val="24"/>
          <w:szCs w:val="24"/>
        </w:rPr>
        <w:t xml:space="preserve"> increased risk of cancer with infliximab treatment</w:t>
      </w:r>
      <w:r w:rsidR="00BF135F" w:rsidRPr="00922C73">
        <w:rPr>
          <w:rFonts w:ascii="Times New Roman" w:hAnsi="Times New Roman" w:cs="Times New Roman"/>
          <w:sz w:val="24"/>
          <w:szCs w:val="24"/>
        </w:rPr>
        <w:t xml:space="preserve"> compared to other treatments</w:t>
      </w:r>
      <w:r w:rsidR="00D47C60" w:rsidRPr="00922C73">
        <w:rPr>
          <w:rFonts w:ascii="Times New Roman" w:hAnsi="Times New Roman" w:cs="Times New Roman"/>
          <w:sz w:val="24"/>
          <w:szCs w:val="24"/>
        </w:rPr>
        <w:t xml:space="preserve"> </w:t>
      </w:r>
      <w:r w:rsidR="00D47C6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diseases","id":"ITEM-1","issue":"3","issued":{"date-parts":[["2018"]]},"page":"490-501","title":"Infliximab for Crohn's Disease: More Than 13 Years of Real-world Experience.","type":"article-journal","volume":"24"},"uris":["http://www.mendeley.com/documents/?uuid=d25fd499-0b5f-4ad6-88c1-902d5786c23a"]},{"id":"ITEM-2","itemData":{"DOI":"10.1001/jama.2014.5613","ISSN":"0098-7484","author":[{"dropping-particle":"","family":"Andersen","given":"Nynne Nyboe","non-dropping-particle":"","parse-names":false,"suffix":""},{"dropping-particle":"","family":"Pasternak","given":"Björn","non-dropping-particle":"","parse-names":false,"suffix":""},{"dropping-particle":"","family":"Basit","given":"Saima","non-dropping-particle":"","parse-names":false,"suffix":""},{"dropping-particle":"","family":"Andersson","given":"Mikael","non-dropping-particle":"","parse-names":false,"suffix":""},{"dropping-particle":"","family":"Svanström","given":"Henrik","non-dropping-particle":"","parse-names":false,"suffix":""},{"dropping-particle":"","family":"Caspersen","given":"Sarah","non-dropping-particle":"","parse-names":false,"suffix":""},{"dropping-particle":"","family":"Munkholm","given":"Pia","non-dropping-particle":"","parse-names":false,"suffix":""},{"dropping-particle":"","family":"Hviid","given":"Anders","non-dropping-particle":"","parse-names":false,"suffix":""},{"dropping-particle":"","family":"Jess","given":"Tine","non-dropping-particle":"","parse-names":false,"suffix":""}],"container-title":"JAMA","id":"ITEM-2","issue":"23","issued":{"date-parts":[["2014","6","18"]]},"page":"2406","title":"Association Between Tumor Necrosis Factor-α Antagonists and Risk of Cancer in Patients With Inflammatory Bowel Disease","type":"article-journal","volume":"311"},"uris":["http://www.mendeley.com/documents/?uuid=b4fa50b7-e6bb-4fdb-a7cc-d8fbe340de56"]}],"mendeley":{"formattedCitation":"&lt;sup&gt;74,79&lt;/sup&gt;","plainTextFormattedCitation":"74,79","previouslyFormattedCitation":"&lt;sup&gt;74,79&lt;/sup&gt;"},"properties":{"noteIndex":0},"schema":"https://github.com/citation-style-language/schema/raw/master/csl-citation.json"}</w:instrText>
      </w:r>
      <w:r w:rsidR="00D47C6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74,79</w:t>
      </w:r>
      <w:r w:rsidR="00D47C60" w:rsidRPr="00922C73">
        <w:rPr>
          <w:rFonts w:ascii="Times New Roman" w:hAnsi="Times New Roman" w:cs="Times New Roman"/>
          <w:sz w:val="24"/>
          <w:szCs w:val="24"/>
        </w:rPr>
        <w:fldChar w:fldCharType="end"/>
      </w:r>
      <w:r w:rsidR="003B5EC0"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 </w:t>
      </w:r>
      <w:r w:rsidR="003B5EC0" w:rsidRPr="00922C73">
        <w:rPr>
          <w:rFonts w:ascii="Times New Roman" w:hAnsi="Times New Roman" w:cs="Times New Roman"/>
          <w:sz w:val="24"/>
          <w:szCs w:val="24"/>
        </w:rPr>
        <w:t xml:space="preserve">However, a limitation with assessing malignancy in </w:t>
      </w:r>
      <w:r w:rsidR="00102DBD" w:rsidRPr="00922C73">
        <w:rPr>
          <w:rFonts w:ascii="Times New Roman" w:hAnsi="Times New Roman" w:cs="Times New Roman"/>
          <w:sz w:val="24"/>
          <w:szCs w:val="24"/>
        </w:rPr>
        <w:t xml:space="preserve">studies is duration of follow up. </w:t>
      </w:r>
      <w:r w:rsidR="00E10360" w:rsidRPr="00922C73">
        <w:rPr>
          <w:rFonts w:ascii="Times New Roman" w:hAnsi="Times New Roman" w:cs="Times New Roman"/>
          <w:sz w:val="24"/>
          <w:szCs w:val="24"/>
          <w:shd w:val="clear" w:color="auto" w:fill="FFFFFF"/>
        </w:rPr>
        <w:t>C</w:t>
      </w:r>
      <w:r w:rsidRPr="00922C73">
        <w:rPr>
          <w:rFonts w:ascii="Times New Roman" w:hAnsi="Times New Roman" w:cs="Times New Roman"/>
          <w:sz w:val="24"/>
          <w:szCs w:val="24"/>
          <w:shd w:val="clear" w:color="auto" w:fill="FFFFFF"/>
        </w:rPr>
        <w:t>ommon</w:t>
      </w:r>
      <w:r w:rsidR="00E10360" w:rsidRPr="00922C73">
        <w:rPr>
          <w:rFonts w:ascii="Times New Roman" w:hAnsi="Times New Roman" w:cs="Times New Roman"/>
          <w:sz w:val="24"/>
          <w:szCs w:val="24"/>
          <w:shd w:val="clear" w:color="auto" w:fill="FFFFFF"/>
        </w:rPr>
        <w:t>ly</w:t>
      </w:r>
      <w:r w:rsidRPr="00922C73">
        <w:rPr>
          <w:rFonts w:ascii="Times New Roman" w:hAnsi="Times New Roman" w:cs="Times New Roman"/>
          <w:sz w:val="24"/>
          <w:szCs w:val="24"/>
          <w:shd w:val="clear" w:color="auto" w:fill="FFFFFF"/>
        </w:rPr>
        <w:t xml:space="preserve"> </w:t>
      </w:r>
      <w:r w:rsidR="00E10360" w:rsidRPr="00922C73">
        <w:rPr>
          <w:rFonts w:ascii="Times New Roman" w:hAnsi="Times New Roman" w:cs="Times New Roman"/>
          <w:sz w:val="24"/>
          <w:szCs w:val="24"/>
          <w:shd w:val="clear" w:color="auto" w:fill="FFFFFF"/>
        </w:rPr>
        <w:t xml:space="preserve">reported </w:t>
      </w:r>
      <w:r w:rsidRPr="00922C73">
        <w:rPr>
          <w:rFonts w:ascii="Times New Roman" w:hAnsi="Times New Roman" w:cs="Times New Roman"/>
          <w:sz w:val="24"/>
          <w:szCs w:val="24"/>
          <w:shd w:val="clear" w:color="auto" w:fill="FFFFFF"/>
        </w:rPr>
        <w:t xml:space="preserve">malignancies </w:t>
      </w:r>
      <w:r w:rsidR="00E10360" w:rsidRPr="00922C73">
        <w:rPr>
          <w:rFonts w:ascii="Times New Roman" w:hAnsi="Times New Roman" w:cs="Times New Roman"/>
          <w:sz w:val="24"/>
          <w:szCs w:val="24"/>
          <w:shd w:val="clear" w:color="auto" w:fill="FFFFFF"/>
        </w:rPr>
        <w:t>included</w:t>
      </w:r>
      <w:r w:rsidRPr="00922C73">
        <w:rPr>
          <w:rFonts w:ascii="Times New Roman" w:hAnsi="Times New Roman" w:cs="Times New Roman"/>
          <w:sz w:val="24"/>
          <w:szCs w:val="24"/>
          <w:shd w:val="clear" w:color="auto" w:fill="FFFFFF"/>
        </w:rPr>
        <w:t xml:space="preserve"> breast, lung, prostate, colonic and malignant melanoma</w:t>
      </w:r>
      <w:r w:rsidR="00E10360" w:rsidRPr="00922C73">
        <w:rPr>
          <w:rFonts w:ascii="Times New Roman" w:hAnsi="Times New Roman" w:cs="Times New Roman"/>
          <w:sz w:val="24"/>
          <w:szCs w:val="24"/>
          <w:shd w:val="clear" w:color="auto" w:fill="FFFFFF"/>
        </w:rPr>
        <w:t xml:space="preserve"> </w:t>
      </w:r>
      <w:r w:rsidR="00E1036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diseases","id":"ITEM-1","issue":"3","issued":{"date-parts":[["2018"]]},"page":"490-501","title":"Infliximab for Crohn's Disease: More Than 13 Years of Real-world Experience.","type":"article-journal","volume":"24"},"uris":["http://www.mendeley.com/documents/?uuid=d25fd499-0b5f-4ad6-88c1-902d5786c23a"]}],"mendeley":{"formattedCitation":"&lt;sup&gt;74&lt;/sup&gt;","plainTextFormattedCitation":"74","previouslyFormattedCitation":"&lt;sup&gt;74&lt;/sup&gt;"},"properties":{"noteIndex":0},"schema":"https://github.com/citation-style-language/schema/raw/master/csl-citation.json"}</w:instrText>
      </w:r>
      <w:r w:rsidR="00E1036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74</w:t>
      </w:r>
      <w:r w:rsidR="00E10360" w:rsidRPr="00922C73">
        <w:rPr>
          <w:rFonts w:ascii="Times New Roman" w:hAnsi="Times New Roman" w:cs="Times New Roman"/>
          <w:sz w:val="24"/>
          <w:szCs w:val="24"/>
          <w:shd w:val="clear" w:color="auto" w:fill="FFFFFF"/>
        </w:rPr>
        <w:fldChar w:fldCharType="end"/>
      </w:r>
      <w:r w:rsidRPr="00922C73">
        <w:rPr>
          <w:rFonts w:ascii="Times New Roman" w:hAnsi="Times New Roman" w:cs="Times New Roman"/>
          <w:sz w:val="24"/>
          <w:szCs w:val="24"/>
          <w:shd w:val="clear" w:color="auto" w:fill="FFFFFF"/>
        </w:rPr>
        <w:t xml:space="preserve">. Lymphoproliferative disorders </w:t>
      </w:r>
      <w:r w:rsidR="00BF135F" w:rsidRPr="00922C73">
        <w:rPr>
          <w:rFonts w:ascii="Times New Roman" w:hAnsi="Times New Roman" w:cs="Times New Roman"/>
          <w:sz w:val="24"/>
          <w:szCs w:val="24"/>
          <w:shd w:val="clear" w:color="auto" w:fill="FFFFFF"/>
        </w:rPr>
        <w:t>are associated with immunosuppressive treatments in IBD, though less consistently with infliximab monotherapy compared to combination therapy with thiopurines</w:t>
      </w:r>
      <w:r w:rsidR="00E10360" w:rsidRPr="00922C73">
        <w:rPr>
          <w:rFonts w:ascii="Times New Roman" w:hAnsi="Times New Roman" w:cs="Times New Roman"/>
          <w:sz w:val="24"/>
          <w:szCs w:val="24"/>
          <w:shd w:val="clear" w:color="auto" w:fill="FFFFFF"/>
        </w:rPr>
        <w:t xml:space="preserve"> </w:t>
      </w:r>
      <w:r w:rsidR="00E10360"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{"citationItems":[{"id":"ITEM-1","itemData":{"DOI":"10.1093/ibd/izx072","ISSN":"1536-4844","PMID":"29462395","abstract":"Background The purpose of this study was to compare the long-term safety of infliximab and nonbiologic agents as Crohn's disease (CD) therapy. Methods Patients with CD were prospectively evaluated in this large, observational registry. Results Patients (n = 6273) participated in this observational registry from July 1999 through March 2012; 3440 (54.8%) received infliximab (20,971 patient-years), and 2833 (45.2%) received other treatments only (14,806 patient-years). Overall, 59,875 infliximab infusions were administered (80%, 5 mg/kg); 3006 (89.9%) patients received ≥2 infusions. Adverse events (AEs), most commonly those related to CD (eg, abdominal pain, diarrhea), and serious AEs occurred at a higher rate among infliximab-treated patients. Mortality (0.57/100 patient-years, 0.67/100 patient-years) and malignancy rates (0.69/100 patient-years, 0.71/100 patient-years) for infliximab-treated and other-treatments-only patients, respectively, were generally similar. Serious infection rates were higher for infliximab-treated (2.15/100 patient-years) than other-treatments-only patients (0.86/100 patient-years). Infliximab dose was not associated with mortality or serious infection. An increased risk of serious infection was observed with age (&gt;52 years vs ≤30 years) when examined in infliximab-treated patients. Nonserious cerebrovascular accidents (13 events, 0.06/100 patient-years; 5 events, 0.03/100 patient-years) and pulmonary embolisms (11 events, 0.05/100 patient-years; 4 events 0.03/100 patient-years) also occurred at higher rates among infliximab-treated patients than other-treatments-only patients. Conclusions Through more than 13 years of registry experience and an overall median duration of patient follow-up &gt;6 years, mortality was similar between the infliximab-treated and other-treatments-only groups. These final cumulative results are representative of real-world experience among infliximab-treated patients with CD and are consistent with the known risks of disease activity and tumor necrosis factor antagonist therapy.","author":[{"dropping-particle":"","family":"Lichtenstein","given":"Gary R","non-dropping-particle":"","parse-names":false,"suffix":""},{"dropping-particle":"","family":"Feagan","given":"Brian G","non-dropping-particle":"","parse-names":false,"suffix":""},{"dropping-particle":"","family":"Cohen","given":"Russell D","non-dropping-particle":"","parse-names":false,"suffix":""},{"dropping-particle":"","family":"Salzberg","given":"Bruce A","non-dropping-particle":"","parse-names":false,"suffix":""},{"dropping-particle":"","family":"Safdi","given":"Michael","non-dropping-particle":"","parse-names":false,"suffix":""},{"dropping-particle":"","family":"Popp","given":"John W","non-dropping-particle":"","parse-names":false,"suffix":""},{"dropping-particle":"","family":"Langholff","given":"Wayne","non-dropping-particle":"","parse-names":false,"suffix":""},{"dropping-particle":"","family":"Sandborn","given":"William J","non-dropping-particle":"","parse-names":false,"suffix":""}],"container-title":"Inflammatory bowel diseases","id":"ITEM-1","issue":"3","issued":{"date-parts":[["2018"]]},"page":"490-501","title":"Infliximab for Crohn's Disease: More Than 13 Years of Real-world Experience.","type":"article-journal","volume":"24"},"uris":["http://www.mendeley.com/documents/?uuid=d25fd499-0b5f-4ad6-88c1-902d5786c23a"]},{"id":"ITEM-2","itemData":{"DOI":"10.1016/S0140-6736(09)61302-7","ISSN":"01406736","author":[{"dropping-particle":"","family":"Beaugerie","given":"Laurent","non-dropping-particle":"","parse-names":false,"suffix":""},{"dropping-particle":"","family":"Brousse","given":"Nicole","non-dropping-particle":"","parse-names":false,"suffix":""},{"dropping-particle":"","family":"Bouvier","given":"Anne Marie","non-dropping-particle":"","parse-names":false,"suffix":""},{"dropping-particle":"","family":"Colombel","given":"Jean Frédéric","non-dropping-particle":"","parse-names":false,"suffix":""},{"dropping-particle":"","family":"Lémann","given":"Marc","non-dropping-particle":"","parse-names":false,"suffix":""},{"dropping-particle":"","family":"Cosnes","given":"Jacques","non-dropping-particle":"","parse-names":false,"suffix":""},{"dropping-particle":"","family":"Hébuterne","given":"Xavier","non-dropping-particle":"","parse-names":false,"suffix":""},{"dropping-particle":"","family":"Cortot","given":"Antoine","non-dropping-particle":"","parse-names":false,"suffix":""},{"dropping-particle":"","family":"Bouhnik","given":"Yoram","non-dropping-particle":"","parse-names":false,"suffix":""},{"dropping-particle":"","family":"Gendre","given":"Jean Pierre","non-dropping-particle":"","parse-names":false,"suffix":""},{"dropping-particle":"","family":"Simon","given":"Tabassome","non-dropping-particle":"","parse-names":false,"suffix":""},{"dropping-particle":"","family":"Maynadié","given":"Marc","non-dropping-particle":"","parse-names":false,"suffix":""},{"dropping-particle":"","family":"Hermine","given":"Olivier","non-dropping-particle":"","parse-names":false,"suffix":""},{"dropping-particle":"","family":"Faivre","given":"Jean","non-dropping-particle":"","parse-names":false,"suffix":""},{"dropping-particle":"","family":"Carrat","given":"Fabrice","non-dropping-particle":"","parse-names":false,"suffix":""}],"container-title":"The Lancet","id":"ITEM-2","issue":"9701","issued":{"date-parts":[["2009","11"]]},"page":"1617-1625","title":"Lymphoproliferative disorders in patients receiving thiopurines for inflammatory bowel disease: a prospective observational cohort study","type":"article-journal","volume":"374"},"uris":["http://www.mendeley.com/documents/?uuid=99219aa4-abbf-464d-a485-0cf222f1db11"]},{"id":"ITEM-3","itemData":{"DOI":"10.1111/jgh.12015","ISSN":"08159319","author":[{"dropping-particle":"","family":"Subramaniam","given":"Kavitha","non-dropping-particle":"","parse-names":false,"suffix":""},{"dropping-particle":"","family":"D'Rozario","given":"James","non-dropping-particle":"","parse-names":false,"suffix":""},{"dropping-particle":"","family":"Pavli","given":"Paul","non-dropping-particle":"","parse-names":false,"suffix":""}],"container-title":"Journal of Gastroenterology and Hepatology","id":"ITEM-3","issue":"1","issued":{"date-parts":[["2013","1"]]},"page":"24-30","title":"Lymphoma and other lymphoproliferative disorders in inflammatory bowel disease: A review","type":"article-journal","volume":"28"},"uris":["http://www.mendeley.com/documents/?uuid=3533c044-684a-47ce-916c-923fa39f1b2f"]}],"mendeley":{"formattedCitation":"&lt;sup&gt;74,80,81&lt;/sup&gt;","plainTextFormattedCitation":"74,80,81","previouslyFormattedCitation":"&lt;sup&gt;74,80,81&lt;/sup&gt;"},"properties":{"noteIndex":0},"schema":"https://github.com/citation-style-language/schema/raw/master/csl-citation.json"}</w:instrText>
      </w:r>
      <w:r w:rsidR="00E10360"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74,80,81</w:t>
      </w:r>
      <w:r w:rsidR="00E10360" w:rsidRPr="00922C73">
        <w:rPr>
          <w:rFonts w:ascii="Times New Roman" w:hAnsi="Times New Roman" w:cs="Times New Roman"/>
          <w:sz w:val="24"/>
          <w:szCs w:val="24"/>
          <w:shd w:val="clear" w:color="auto" w:fill="FFFFFF"/>
        </w:rPr>
        <w:fldChar w:fldCharType="end"/>
      </w:r>
      <w:r w:rsidR="00BF135F" w:rsidRPr="00922C73">
        <w:rPr>
          <w:rFonts w:ascii="Times New Roman" w:hAnsi="Times New Roman" w:cs="Times New Roman"/>
          <w:sz w:val="24"/>
          <w:szCs w:val="24"/>
          <w:shd w:val="clear" w:color="auto" w:fill="FFFFFF"/>
        </w:rPr>
        <w:t xml:space="preserve">. </w:t>
      </w:r>
      <w:r w:rsidR="001644F2" w:rsidRPr="00922C73">
        <w:rPr>
          <w:rFonts w:ascii="Times New Roman" w:hAnsi="Times New Roman" w:cs="Times New Roman"/>
          <w:sz w:val="24"/>
          <w:szCs w:val="24"/>
          <w:shd w:val="clear" w:color="auto" w:fill="FFFFFF"/>
        </w:rPr>
        <w:t>62 cases of a</w:t>
      </w:r>
      <w:r w:rsidR="00BF135F" w:rsidRPr="00922C73">
        <w:rPr>
          <w:rFonts w:ascii="Times New Roman" w:hAnsi="Times New Roman" w:cs="Times New Roman"/>
          <w:sz w:val="24"/>
          <w:szCs w:val="24"/>
          <w:shd w:val="clear" w:color="auto" w:fill="FFFFFF"/>
        </w:rPr>
        <w:t xml:space="preserve"> rare but aggressive lymphoma</w:t>
      </w:r>
      <w:r w:rsidR="008D696D" w:rsidRPr="00922C73">
        <w:rPr>
          <w:rFonts w:ascii="Times New Roman" w:hAnsi="Times New Roman" w:cs="Times New Roman"/>
          <w:sz w:val="24"/>
          <w:szCs w:val="24"/>
          <w:shd w:val="clear" w:color="auto" w:fill="FFFFFF"/>
        </w:rPr>
        <w:t xml:space="preserve">, </w:t>
      </w:r>
      <w:r w:rsidR="001644F2" w:rsidRPr="00922C73">
        <w:rPr>
          <w:rFonts w:ascii="Times New Roman" w:hAnsi="Times New Roman" w:cs="Times New Roman"/>
          <w:sz w:val="24"/>
          <w:szCs w:val="24"/>
          <w:shd w:val="clear" w:color="auto" w:fill="FFFFFF"/>
        </w:rPr>
        <w:t xml:space="preserve">hepatosplenic T cell lymphoma, was noted </w:t>
      </w:r>
      <w:r w:rsidR="00E10360" w:rsidRPr="00922C73">
        <w:rPr>
          <w:rFonts w:ascii="Times New Roman" w:hAnsi="Times New Roman" w:cs="Times New Roman"/>
          <w:sz w:val="24"/>
          <w:szCs w:val="24"/>
          <w:shd w:val="clear" w:color="auto" w:fill="FFFFFF"/>
        </w:rPr>
        <w:t xml:space="preserve">on interrogation of the Food and Drug Administration Adverse Event Reporting System </w:t>
      </w:r>
      <w:r w:rsidR="00D3298E" w:rsidRPr="00922C73">
        <w:rPr>
          <w:rFonts w:ascii="Times New Roman" w:hAnsi="Times New Roman" w:cs="Times New Roman"/>
          <w:sz w:val="24"/>
          <w:szCs w:val="24"/>
          <w:shd w:val="clear" w:color="auto" w:fill="FFFFFF"/>
        </w:rPr>
        <w:t xml:space="preserve">in 2020 </w:t>
      </w:r>
      <w:r w:rsidR="00E10360" w:rsidRPr="00922C73">
        <w:rPr>
          <w:rFonts w:ascii="Times New Roman" w:hAnsi="Times New Roman" w:cs="Times New Roman"/>
          <w:sz w:val="24"/>
          <w:szCs w:val="24"/>
          <w:shd w:val="clear" w:color="auto" w:fill="FFFFFF"/>
        </w:rPr>
        <w:t>of IBD patients receiving biologic</w:t>
      </w:r>
      <w:r w:rsidR="007F5517" w:rsidRPr="00922C73">
        <w:rPr>
          <w:rFonts w:ascii="Times New Roman" w:hAnsi="Times New Roman" w:cs="Times New Roman"/>
          <w:sz w:val="24"/>
          <w:szCs w:val="24"/>
          <w:shd w:val="clear" w:color="auto" w:fill="FFFFFF"/>
        </w:rPr>
        <w:t xml:space="preserve">s </w:t>
      </w:r>
      <w:r w:rsidR="00D3298E"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{"citationItems":[{"id":"ITEM-1","itemData":{"DOI":"10.1111/apt.15637","ISSN":"02692813","author":[{"dropping-particle":"","family":"Shah","given":"Eric D.","non-dropping-particle":"","parse-names":false,"suffix":""},{"dropping-particle":"","family":"Coburn","given":"Elliot S.","non-dropping-particle":"","parse-names":false,"suffix":""},{"dropping-particle":"","family":"Nayyar","given":"Anil","non-dropping-particle":"","parse-names":false,"suffix":""},{"dropping-particle":"","family":"Lee","given":"Kerry Jo","non-dropping-particle":"","parse-names":false,"suffix":""},{"dropping-particle":"","family":"Koliani-Pace","given":"Jenna L.","non-dropping-particle":"","parse-names":false,"suffix":""},{"dropping-particle":"","family":"Siegel","given":"Corey A.","non-dropping-particle":"","parse-names":false,"suffix":""}],"container-title":"Alimentary Pharmacology &amp; Therapeutics","id":"ITEM-1","issue":"5","issued":{"date-parts":[["2020","3"]]},"page":"527-533","title":"Systematic review: hepatosplenic T-cell lymphoma on biologic therapy for inflammatory bowel disease, including data from the Food and Drug Administration Adverse Event Reporting System","type":"article-journal","volume":"51"},"uris":["http://www.mendeley.com/documents/?uuid=8447ec99-47e3-4ee3-9976-d13af355b9a3"]}],"mendeley":{"formattedCitation":"&lt;sup&gt;82&lt;/sup&gt;","plainTextFormattedCitation":"82","previouslyFormattedCitation":"&lt;sup&gt;82&lt;/sup&gt;"},"properties":{"noteIndex":0},"schema":"https://github.com/citation-style-language/schema/raw/master/csl-citation.json"}</w:instrText>
      </w:r>
      <w:r w:rsidR="00D3298E"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82</w:t>
      </w:r>
      <w:r w:rsidR="00D3298E" w:rsidRPr="00922C73">
        <w:rPr>
          <w:rFonts w:ascii="Times New Roman" w:hAnsi="Times New Roman" w:cs="Times New Roman"/>
          <w:sz w:val="24"/>
          <w:szCs w:val="24"/>
          <w:shd w:val="clear" w:color="auto" w:fill="FFFFFF"/>
        </w:rPr>
        <w:fldChar w:fldCharType="end"/>
      </w:r>
      <w:r w:rsidR="00D3298E" w:rsidRPr="00922C73">
        <w:rPr>
          <w:rFonts w:ascii="Times New Roman" w:hAnsi="Times New Roman" w:cs="Times New Roman"/>
          <w:sz w:val="24"/>
          <w:szCs w:val="24"/>
          <w:shd w:val="clear" w:color="auto" w:fill="FFFFFF"/>
        </w:rPr>
        <w:t>. A</w:t>
      </w:r>
      <w:r w:rsidR="00E10360" w:rsidRPr="00922C73">
        <w:rPr>
          <w:rFonts w:ascii="Times New Roman" w:hAnsi="Times New Roman" w:cs="Times New Roman"/>
          <w:sz w:val="24"/>
          <w:szCs w:val="24"/>
          <w:shd w:val="clear" w:color="auto" w:fill="FFFFFF"/>
        </w:rPr>
        <w:t xml:space="preserve">lmost all had thiopurine </w:t>
      </w:r>
      <w:r w:rsidR="00D3298E" w:rsidRPr="00922C73">
        <w:rPr>
          <w:rFonts w:ascii="Times New Roman" w:hAnsi="Times New Roman" w:cs="Times New Roman"/>
          <w:sz w:val="24"/>
          <w:szCs w:val="24"/>
          <w:shd w:val="clear" w:color="auto" w:fill="FFFFFF"/>
        </w:rPr>
        <w:t>exposure,</w:t>
      </w:r>
      <w:r w:rsidR="00E10360" w:rsidRPr="00922C73">
        <w:rPr>
          <w:rFonts w:ascii="Times New Roman" w:hAnsi="Times New Roman" w:cs="Times New Roman"/>
          <w:sz w:val="24"/>
          <w:szCs w:val="24"/>
          <w:shd w:val="clear" w:color="auto" w:fill="FFFFFF"/>
        </w:rPr>
        <w:t xml:space="preserve"> </w:t>
      </w:r>
      <w:r w:rsidR="00D3298E" w:rsidRPr="00922C73">
        <w:rPr>
          <w:rFonts w:ascii="Times New Roman" w:hAnsi="Times New Roman" w:cs="Times New Roman"/>
          <w:sz w:val="24"/>
          <w:szCs w:val="24"/>
          <w:shd w:val="clear" w:color="auto" w:fill="FFFFFF"/>
        </w:rPr>
        <w:t xml:space="preserve">but </w:t>
      </w:r>
      <w:r w:rsidR="00E10360" w:rsidRPr="00922C73">
        <w:rPr>
          <w:rFonts w:ascii="Times New Roman" w:hAnsi="Times New Roman" w:cs="Times New Roman"/>
          <w:sz w:val="24"/>
          <w:szCs w:val="24"/>
          <w:shd w:val="clear" w:color="auto" w:fill="FFFFFF"/>
        </w:rPr>
        <w:t xml:space="preserve">3 cases </w:t>
      </w:r>
      <w:r w:rsidR="00D3298E" w:rsidRPr="00922C73">
        <w:rPr>
          <w:rFonts w:ascii="Times New Roman" w:hAnsi="Times New Roman" w:cs="Times New Roman"/>
          <w:sz w:val="24"/>
          <w:szCs w:val="24"/>
          <w:shd w:val="clear" w:color="auto" w:fill="FFFFFF"/>
        </w:rPr>
        <w:t>occurred with</w:t>
      </w:r>
      <w:r w:rsidR="00E10360" w:rsidRPr="00922C73">
        <w:rPr>
          <w:rFonts w:ascii="Times New Roman" w:hAnsi="Times New Roman" w:cs="Times New Roman"/>
          <w:sz w:val="24"/>
          <w:szCs w:val="24"/>
          <w:shd w:val="clear" w:color="auto" w:fill="FFFFFF"/>
        </w:rPr>
        <w:t xml:space="preserve"> infliximab monotherapy</w:t>
      </w:r>
      <w:r w:rsidR="00D3298E" w:rsidRPr="00922C73">
        <w:rPr>
          <w:rFonts w:ascii="Times New Roman" w:hAnsi="Times New Roman" w:cs="Times New Roman"/>
          <w:sz w:val="24"/>
          <w:szCs w:val="24"/>
          <w:shd w:val="clear" w:color="auto" w:fill="FFFFFF"/>
        </w:rPr>
        <w:t xml:space="preserve"> </w:t>
      </w:r>
      <w:r w:rsidR="00D3298E"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{"citationItems":[{"id":"ITEM-1","itemData":{"DOI":"10.1111/apt.15637","ISSN":"02692813","author":[{"dropping-particle":"","family":"Shah","given":"Eric D.","non-dropping-particle":"","parse-names":false,"suffix":""},{"dropping-particle":"","family":"Coburn","given":"Elliot S.","non-dropping-particle":"","parse-names":false,"suffix":""},{"dropping-particle":"","family":"Nayyar","given":"Anil","non-dropping-particle":"","parse-names":false,"suffix":""},{"dropping-particle":"","family":"Lee","given":"Kerry Jo","non-dropping-particle":"","parse-names":false,"suffix":""},{"dropping-particle":"","family":"Koliani-Pace","given":"Jenna L.","non-dropping-particle":"","parse-names":false,"suffix":""},{"dropping-particle":"","family":"Siegel","given":"Corey A.","non-dropping-particle":"","parse-names":false,"suffix":""}],"container-title":"Alimentary Pharmacology &amp; Therapeutics","id":"ITEM-1","issue":"5","issued":{"date-parts":[["2020","3"]]},"page":"527-533","title":"Systematic review: hepatosplenic T-cell lymphoma on biologic therapy for inflammatory bowel disease, including data from the Food and Drug Administration Adverse Event Reporting System","type":"article-journal","volume":"51"},"uris":["http://www.mendeley.com/documents/?uuid=8447ec99-47e3-4ee3-9976-d13af355b9a3"]}],"mendeley":{"formattedCitation":"&lt;sup&gt;82&lt;/sup&gt;","plainTextFormattedCitation":"82","previouslyFormattedCitation":"&lt;sup&gt;82&lt;/sup&gt;"},"properties":{"noteIndex":0},"schema":"https://github.com/citation-style-language/schema/raw/master/csl-citation.json"}</w:instrText>
      </w:r>
      <w:r w:rsidR="00D3298E"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82</w:t>
      </w:r>
      <w:r w:rsidR="00D3298E" w:rsidRPr="00922C73">
        <w:rPr>
          <w:rFonts w:ascii="Times New Roman" w:hAnsi="Times New Roman" w:cs="Times New Roman"/>
          <w:sz w:val="24"/>
          <w:szCs w:val="24"/>
          <w:shd w:val="clear" w:color="auto" w:fill="FFFFFF"/>
        </w:rPr>
        <w:fldChar w:fldCharType="end"/>
      </w:r>
      <w:r w:rsidR="00E10360" w:rsidRPr="00922C73">
        <w:rPr>
          <w:rFonts w:ascii="Times New Roman" w:hAnsi="Times New Roman" w:cs="Times New Roman"/>
          <w:sz w:val="24"/>
          <w:szCs w:val="24"/>
          <w:shd w:val="clear" w:color="auto" w:fill="FFFFFF"/>
        </w:rPr>
        <w:t xml:space="preserve">.  </w:t>
      </w:r>
    </w:p>
    <w:p w14:paraId="385CCB34" w14:textId="77777777" w:rsidR="003778D2" w:rsidRPr="00922C73" w:rsidRDefault="003778D2" w:rsidP="00F64D9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  </w:t>
      </w:r>
    </w:p>
    <w:p w14:paraId="5AEC59EA" w14:textId="1B2E3C05" w:rsidR="003778D2" w:rsidRPr="00922C73" w:rsidRDefault="003778D2" w:rsidP="004C0B75">
      <w:pPr>
        <w:pStyle w:val="Heading3"/>
        <w:spacing w:line="480" w:lineRule="auto"/>
        <w:rPr>
          <w:rFonts w:ascii="Times New Roman" w:hAnsi="Times New Roman" w:cs="Times New Roman"/>
          <w:b/>
          <w:bCs/>
        </w:rPr>
      </w:pPr>
      <w:bookmarkStart w:id="32" w:name="_Toc521055983"/>
      <w:bookmarkStart w:id="33" w:name="_Toc151020457"/>
      <w:r w:rsidRPr="00922C73">
        <w:rPr>
          <w:rFonts w:ascii="Times New Roman" w:hAnsi="Times New Roman" w:cs="Times New Roman"/>
          <w:b/>
          <w:bCs/>
        </w:rPr>
        <w:t>1.</w:t>
      </w:r>
      <w:r w:rsidR="00AD5A4F" w:rsidRPr="00922C73">
        <w:rPr>
          <w:rFonts w:ascii="Times New Roman" w:hAnsi="Times New Roman" w:cs="Times New Roman"/>
          <w:b/>
          <w:bCs/>
        </w:rPr>
        <w:t>1.</w:t>
      </w:r>
      <w:r w:rsidR="00312521" w:rsidRPr="00922C73">
        <w:rPr>
          <w:rFonts w:ascii="Times New Roman" w:hAnsi="Times New Roman" w:cs="Times New Roman"/>
          <w:b/>
          <w:bCs/>
        </w:rPr>
        <w:t>8</w:t>
      </w:r>
      <w:r w:rsidRPr="00922C73">
        <w:rPr>
          <w:rFonts w:ascii="Times New Roman" w:hAnsi="Times New Roman" w:cs="Times New Roman"/>
          <w:b/>
          <w:bCs/>
        </w:rPr>
        <w:t xml:space="preserve"> Biosimilars</w:t>
      </w:r>
      <w:bookmarkEnd w:id="32"/>
      <w:bookmarkEnd w:id="33"/>
    </w:p>
    <w:p w14:paraId="38423F8C" w14:textId="38B7DB77" w:rsidR="003778D2" w:rsidRPr="00922C73" w:rsidRDefault="003778D2" w:rsidP="004C0B75">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A </w:t>
      </w:r>
      <w:r w:rsidR="004C0B75" w:rsidRPr="00922C73">
        <w:rPr>
          <w:rFonts w:ascii="Times New Roman" w:hAnsi="Times New Roman" w:cs="Times New Roman"/>
          <w:sz w:val="24"/>
          <w:szCs w:val="24"/>
        </w:rPr>
        <w:t>biosimilar</w:t>
      </w:r>
      <w:r w:rsidRPr="00922C73">
        <w:rPr>
          <w:rFonts w:ascii="Times New Roman" w:hAnsi="Times New Roman" w:cs="Times New Roman"/>
          <w:sz w:val="24"/>
          <w:szCs w:val="24"/>
        </w:rPr>
        <w:t xml:space="preserve"> is </w:t>
      </w:r>
      <w:r w:rsidR="00961F0E" w:rsidRPr="00922C73">
        <w:rPr>
          <w:rFonts w:ascii="Times New Roman" w:hAnsi="Times New Roman" w:cs="Times New Roman"/>
          <w:sz w:val="24"/>
          <w:szCs w:val="24"/>
        </w:rPr>
        <w:t xml:space="preserve">defined by the World Health Organization (WHO) as </w:t>
      </w:r>
      <w:r w:rsidRPr="00922C73">
        <w:rPr>
          <w:rFonts w:ascii="Times New Roman" w:hAnsi="Times New Roman" w:cs="Times New Roman"/>
          <w:sz w:val="24"/>
          <w:szCs w:val="24"/>
        </w:rPr>
        <w:t xml:space="preserve">“a biotherapeutic product that is similar in terms of quality, safety and efficacy to an already licensed reference biotherapeutic drug”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{"citationItems":[{"id":"ITEM-1","itemData":{"abstract":"Biotherapeutic products (biotherapeutics) have a successful record in treating many lifethreatening and chronic diseases. However, their cost has often been high, thereby limiting their access to patients, particularly in developing countries. Recently, the expiration of patents and/or data protection for the first major group of originator’s biotherapeutics has ushered in an era of products that are designed to be ‘similar’ to a licensed originator product. These products rely, in part, for their licensing on prior information regarding safety and efficacy obtained with the originator products. The clinical experience and established safety profile of the originator products should contribute to the development of similar biotherapeutic products (SBPs). A variety of terms, such as 'biosimilar products', 'follow-on protein products' and 'subsequent-entry biologics' have been coined by different jurisdictions to describe these products.","author":[{"dropping-particle":"","family":"World Health Organization","given":"","non-dropping-particle":"","parse-names":false,"suffix":""}],"container-title":"WHO Technical Report Series","id":"ITEM-1","issue":"October","issued":{"date-parts":[["2009"]]},"page":"34","title":"Guidelines on Evaluation of Similar Biotherapeutic Products (SBPs)","type":"article-journal"},"uris":["http://www.mendeley.com/documents/?uuid=59eef62a-85c9-4f50-b50d-8d7a8237d6c1"]}],"mendeley":{"formattedCitation":"&lt;sup&gt;83&lt;/sup&gt;","plainTextFormattedCitation":"83","previouslyFormattedCitation":"&lt;sup&gt;83&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83</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CT-P13 (</w:t>
      </w:r>
      <w:proofErr w:type="spellStart"/>
      <w:r w:rsidRPr="00922C73">
        <w:rPr>
          <w:rFonts w:ascii="Times New Roman" w:hAnsi="Times New Roman" w:cs="Times New Roman"/>
          <w:sz w:val="24"/>
          <w:szCs w:val="24"/>
        </w:rPr>
        <w:t>Inflectra</w:t>
      </w:r>
      <w:proofErr w:type="spellEnd"/>
      <w:r w:rsidRPr="00922C73">
        <w:rPr>
          <w:rFonts w:ascii="Times New Roman" w:hAnsi="Times New Roman" w:cs="Times New Roman"/>
          <w:sz w:val="24"/>
          <w:szCs w:val="24"/>
        </w:rPr>
        <w:t xml:space="preserve">® Hospira, UK and </w:t>
      </w:r>
      <w:proofErr w:type="spellStart"/>
      <w:r w:rsidRPr="00922C73">
        <w:rPr>
          <w:rFonts w:ascii="Times New Roman" w:hAnsi="Times New Roman" w:cs="Times New Roman"/>
          <w:sz w:val="24"/>
          <w:szCs w:val="24"/>
        </w:rPr>
        <w:t>Remsima</w:t>
      </w:r>
      <w:proofErr w:type="spellEnd"/>
      <w:r w:rsidRPr="00922C73">
        <w:rPr>
          <w:rFonts w:ascii="Times New Roman" w:hAnsi="Times New Roman" w:cs="Times New Roman"/>
          <w:sz w:val="24"/>
          <w:szCs w:val="24"/>
        </w:rPr>
        <w:t>®</w:t>
      </w:r>
      <w:r w:rsidRPr="00922C73">
        <w:rPr>
          <w:rStyle w:val="Heading3Char"/>
          <w:rFonts w:ascii="Times New Roman" w:hAnsi="Times New Roman" w:cs="Times New Roman"/>
          <w:shd w:val="clear" w:color="auto" w:fill="FFFFFF"/>
        </w:rPr>
        <w:t> </w:t>
      </w:r>
      <w:proofErr w:type="spellStart"/>
      <w:r w:rsidRPr="00922C73">
        <w:rPr>
          <w:rFonts w:ascii="Times New Roman" w:hAnsi="Times New Roman" w:cs="Times New Roman"/>
          <w:sz w:val="24"/>
          <w:szCs w:val="24"/>
          <w:shd w:val="clear" w:color="auto" w:fill="FFFFFF"/>
        </w:rPr>
        <w:t>Celltrion</w:t>
      </w:r>
      <w:proofErr w:type="spellEnd"/>
      <w:r w:rsidRPr="00922C73">
        <w:rPr>
          <w:rFonts w:ascii="Times New Roman" w:hAnsi="Times New Roman" w:cs="Times New Roman"/>
          <w:sz w:val="24"/>
          <w:szCs w:val="24"/>
          <w:shd w:val="clear" w:color="auto" w:fill="FFFFFF"/>
        </w:rPr>
        <w:t xml:space="preserve"> Inc., Korea</w:t>
      </w:r>
      <w:r w:rsidRPr="00922C73">
        <w:rPr>
          <w:rFonts w:ascii="Times New Roman" w:hAnsi="Times New Roman" w:cs="Times New Roman"/>
          <w:sz w:val="24"/>
          <w:szCs w:val="24"/>
        </w:rPr>
        <w:t xml:space="preserve"> ) and SB2 (</w:t>
      </w:r>
      <w:proofErr w:type="spellStart"/>
      <w:r w:rsidRPr="00922C73">
        <w:rPr>
          <w:rFonts w:ascii="Times New Roman" w:hAnsi="Times New Roman" w:cs="Times New Roman"/>
          <w:sz w:val="24"/>
          <w:szCs w:val="24"/>
        </w:rPr>
        <w:t>Flixabi</w:t>
      </w:r>
      <w:proofErr w:type="spellEnd"/>
      <w:r w:rsidRPr="00922C73">
        <w:rPr>
          <w:rFonts w:ascii="Times New Roman" w:hAnsi="Times New Roman" w:cs="Times New Roman"/>
          <w:sz w:val="24"/>
          <w:szCs w:val="24"/>
        </w:rPr>
        <w:t xml:space="preserve">® Samsung </w:t>
      </w:r>
      <w:proofErr w:type="spellStart"/>
      <w:r w:rsidRPr="00922C73">
        <w:rPr>
          <w:rFonts w:ascii="Times New Roman" w:hAnsi="Times New Roman" w:cs="Times New Roman"/>
          <w:sz w:val="24"/>
          <w:szCs w:val="24"/>
        </w:rPr>
        <w:t>Bioepis</w:t>
      </w:r>
      <w:proofErr w:type="spellEnd"/>
      <w:r w:rsidRPr="00922C73">
        <w:rPr>
          <w:rFonts w:ascii="Times New Roman" w:hAnsi="Times New Roman" w:cs="Times New Roman"/>
          <w:sz w:val="24"/>
          <w:szCs w:val="24"/>
        </w:rPr>
        <w:t xml:space="preserve">, UK) are </w:t>
      </w:r>
      <w:proofErr w:type="spellStart"/>
      <w:r w:rsidRPr="00922C73">
        <w:rPr>
          <w:rFonts w:ascii="Times New Roman" w:hAnsi="Times New Roman" w:cs="Times New Roman"/>
          <w:sz w:val="24"/>
          <w:szCs w:val="24"/>
        </w:rPr>
        <w:t>biosimiliars</w:t>
      </w:r>
      <w:proofErr w:type="spellEnd"/>
      <w:r w:rsidRPr="00922C73">
        <w:rPr>
          <w:rFonts w:ascii="Times New Roman" w:hAnsi="Times New Roman" w:cs="Times New Roman"/>
          <w:sz w:val="24"/>
          <w:szCs w:val="24"/>
        </w:rPr>
        <w:t xml:space="preserve"> of originator </w:t>
      </w:r>
      <w:r w:rsidR="00961F0E" w:rsidRPr="00922C73">
        <w:rPr>
          <w:rFonts w:ascii="Times New Roman" w:hAnsi="Times New Roman" w:cs="Times New Roman"/>
          <w:sz w:val="24"/>
          <w:szCs w:val="24"/>
        </w:rPr>
        <w:t>infliximab,</w:t>
      </w:r>
      <w:r w:rsidRPr="00922C73">
        <w:rPr>
          <w:rFonts w:ascii="Times New Roman" w:hAnsi="Times New Roman" w:cs="Times New Roman"/>
          <w:sz w:val="24"/>
          <w:szCs w:val="24"/>
        </w:rPr>
        <w:t xml:space="preserve"> Remicade® </w:t>
      </w:r>
      <w:r w:rsidRPr="00922C73">
        <w:rPr>
          <w:rFonts w:ascii="Times New Roman" w:hAnsi="Times New Roman" w:cs="Times New Roman"/>
          <w:sz w:val="24"/>
          <w:szCs w:val="24"/>
          <w:shd w:val="clear" w:color="auto" w:fill="FFFFFF"/>
        </w:rPr>
        <w:t xml:space="preserve">(Janssen Biotech Inc., USA) with </w:t>
      </w:r>
      <w:r w:rsidRPr="00922C73">
        <w:rPr>
          <w:rFonts w:ascii="Times New Roman" w:hAnsi="Times New Roman" w:cs="Times New Roman"/>
          <w:sz w:val="24"/>
          <w:szCs w:val="24"/>
        </w:rPr>
        <w:t xml:space="preserve">identical amino acid sequences to the originator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{"citationItems":[{"id":"ITEM-1","itemData":{"DOI":"10.4161/mabs.32221","ISBN":"1942-0870 (Electronic)\\r1942-0862 (Linking)","ISSN":"1942-0862","PMID":"25517302","abstract":"Remsima® (infliximab) was recently approved as the world's first biosimilar monoclonal antibody (mAb) in both the European Union and Korea. To achieve this, extensive physicochemical characterization of Remsima® in relation to Remicade® was conducted in order to demonstrate the highly similar properties between the two molecules. A multitude of state-of-the-art analyses revealed that Remsima® has identical primary as well as indistinguishable higher order structures compared with the original product. Monomer and aggregate contents of Remsima® were also found to be comparable with those of Remicade®. In terms of charge isoforms, although Remsima® was observed to contain slightly less basic variants than the original antibody, the difference was shown to be largely due to the presence of C-terminal lysine. On the other hand, this lysine was found to be rapidly clipped inside serum in vitro and in vivo, suggesting it has no effect on the biological potency or safety of the drug. Analysis of the glycan contents of the antibodies showed comparable glycan types and distributions. Recent results of clinical studies have further confirmed that the two antibody products are highly similar to each other. Based on this research as well as previous clinical and non-clinical comparability studies, Remsima® can be considered as a highly similar molecule to Remicade® in terms of physicochemical properties, efficacy, and safety for its final approval as a biosimilar product to Remicade®.","author":[{"dropping-particle":"","family":"Jung","given":"Soon Kwan","non-dropping-particle":"","parse-names":false,"suffix":""},{"dropping-particle":"","family":"Lee","given":"Kyoung Hoon","non-dropping-particle":"","parse-names":false,"suffix":""},{"dropping-particle":"","family":"Jeon","given":"Jae Won","non-dropping-particle":"","parse-names":false,"suffix":""},{"dropping-particle":"","family":"Lee","given":"Joon Won","non-dropping-particle":"","parse-names":false,"suffix":""},{"dropping-particle":"","family":"Kwon","given":"Byoung Oh","non-dropping-particle":"","parse-names":false,"suffix":""},{"dropping-particle":"","family":"Kim","given":"Yeon Jung","non-dropping-particle":"","parse-names":false,"suffix":""},{"dropping-particle":"","family":"Bae","given":"Jin Soo","non-dropping-particle":"","parse-names":false,"suffix":""},{"dropping-particle":"","family":"Kim","given":"Dong-Il","non-dropping-particle":"","parse-names":false,"suffix":""},{"dropping-particle":"","family":"Lee","given":"Soo Young","non-dropping-particle":"","parse-names":false,"suffix":""},{"dropping-particle":"","family":"Chang","given":"Shin Jae","non-dropping-particle":"","parse-names":false,"suffix":""}],"container-title":"mAbs","id":"ITEM-1","issue":"5","issued":{"date-parts":[["2014","9"]]},"page":"1163-1177","title":"Physicochemical characterization of Remsima®","type":"article-journal","volume":"6"},"uris":["http://www.mendeley.com/documents/?uuid=77f05d03-1f30-4850-b687-0ab7fbc5edc7"]},{"id":"ITEM-2","itemData":{"DOI":"10.1007/s40259-015-0150-5","ISBN":"4025901501","ISSN":"1173-8804","PMID":"26577771","abstract":"Background: SB2, a biosimilar to infliximab reference product (INF), has an identical amino acid sequence and similar physicochemical and in vitro functional properties to its reference drug. Objectives: The primary objective of this study was to demonstrate pharmacokinetic (PK) equivalence between SB2 and EU sourced INF (EU-INF), SB2 and US sourced INF (US-INF), and between EU-INF and US-INF. Safety, tolerability, and immunogenicity were investigated as secondary objectives. Methods: This study was a randomised, single-blind, 3-arm, parallel group study in 159 healthy subjects. In each arm, all subjects received a single 5 mg/kg dose of SB2, EU-INF, or US-INF by intravenous infusion on Day 1 and then were observed for 71 days during which the PK, safety, tolerability, and immunogenicity measurements were made. The serum concentration of infliximab was measured using an enzyme-linked immunosorbent assay (ELISA). The primary PK parameters were area under the concentration-time curve from time zero to infinity (AUCinf), area under the concentration-time curve from time zero to the last quantifiable concentration (AUClast), and maximum concentration (Cmax). Equivalence for the primary PK parameters was to be concluded if the 90% confidence intervals (CIs) for the ratio of geometric least squares means (LSMeans) of the groups compared were completely contained within the pre-defined equivalence margin of 0.8 to 1.25 using an analysis of variance (ANOVA). Results: All of the 90% CIs for the geometric LSMeans ratios of primary PK parameters for SB2 and EU-INF comparison, SB2 and US-INF comparison, and EU-INF and US-INF comparison were within the pre-defined equivalence margin of 0.8 to 1.25 (Table). The proportion of subjects who experienced treatment-emergent adverse events (TEAEs) was comparable between the SB2, EU-INF, and US-INF groups. The most frequent TEAEs were nasopharyngitis and headache. The majority of TEAEs were mild to moderate in severity. Three serious adverse events (SAEs) were reported in two subjects from SB2 group where one SAE was assessed to be related to the study drug: one subject had a Borrelia infection which resolved without sequelae. There were no statistically significant differences in the incidence of post-dose anti-drug antibodies between the three groups. Conclusions: This study demonstrated PK equivalence between SB2 and EUINF, SB2 and US-INF, and between EU-INF and US-INF in healthy subjects. All three infliximab products we…","author":[{"dropping-particle":"","family":"Shin","given":"Donghoon","non-dropping-particle":"","parse-names":false,"suffix":""},{"dropping-particle":"","family":"Kim","given":"Youngdoe","non-dropping-particle":"","parse-names":false,"suffix":""},{"dropping-particle":"","family":"Kim","given":"Yoo Seok","non-dropping-particle":"","parse-names":false,"suffix":""},{"dropping-particle":"","family":"Körnicke","given":"Thomas","non-dropping-particle":"","parse-names":false,"suffix":""},{"dropping-particle":"","family":"Fuhr","given":"Rainard","non-dropping-particle":"","parse-names":false,"suffix":""}],"container-title":"BioDrugs","id":"ITEM-2","issue":"6","issued":{"date-parts":[["2015","12"]]},"page":"381-388","title":"A Randomized, Phase I Pharmacokinetic Study Comparing SB2 and Infliximab Reference Product (Remicade®) in Healthy Subjects","type":"article-journal","volume":"29"},"uris":["http://www.mendeley.com/documents/?uuid=895c80d0-6107-4a63-b4c1-e729f24ab2b9"]}],"mendeley":{"formattedCitation":"&lt;sup&gt;84,85&lt;/sup&gt;","plainTextFormattedCitation":"84,85","previouslyFormattedCitation":"&lt;sup&gt;84,85&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84,85</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440937" w:rsidRPr="00922C73">
        <w:rPr>
          <w:rFonts w:ascii="Times New Roman" w:hAnsi="Times New Roman" w:cs="Times New Roman"/>
          <w:sz w:val="24"/>
          <w:szCs w:val="24"/>
        </w:rPr>
        <w:t xml:space="preserve">Infliximab biosimilars approved for use in IBD </w:t>
      </w:r>
      <w:r w:rsidR="00C80182" w:rsidRPr="00922C73">
        <w:rPr>
          <w:rFonts w:ascii="Times New Roman" w:hAnsi="Times New Roman" w:cs="Times New Roman"/>
          <w:sz w:val="24"/>
          <w:szCs w:val="24"/>
        </w:rPr>
        <w:t xml:space="preserve">by the EMA </w:t>
      </w:r>
      <w:r w:rsidR="00440937" w:rsidRPr="00922C73">
        <w:rPr>
          <w:rFonts w:ascii="Times New Roman" w:hAnsi="Times New Roman" w:cs="Times New Roman"/>
          <w:sz w:val="24"/>
          <w:szCs w:val="24"/>
        </w:rPr>
        <w:t xml:space="preserve">are listed in Table 1. </w:t>
      </w:r>
    </w:p>
    <w:p w14:paraId="616A4FF4" w14:textId="77777777" w:rsidR="00440937" w:rsidRPr="00922C73" w:rsidRDefault="00440937" w:rsidP="00440937">
      <w:pPr>
        <w:spacing w:before="200" w:after="0" w:line="480" w:lineRule="auto"/>
        <w:rPr>
          <w:rFonts w:ascii="Times New Roman" w:hAnsi="Times New Roman" w:cs="Times New Roman"/>
          <w:sz w:val="24"/>
          <w:szCs w:val="24"/>
        </w:rPr>
      </w:pPr>
    </w:p>
    <w:p w14:paraId="60EE3D5A" w14:textId="6B6211BC" w:rsidR="00440937" w:rsidRPr="00922C73" w:rsidRDefault="00440937" w:rsidP="00440937">
      <w:pPr>
        <w:spacing w:before="200" w:after="0" w:line="480" w:lineRule="auto"/>
        <w:rPr>
          <w:rFonts w:ascii="Times New Roman" w:hAnsi="Times New Roman" w:cs="Times New Roman"/>
          <w:sz w:val="24"/>
          <w:szCs w:val="24"/>
        </w:rPr>
      </w:pPr>
      <w:r w:rsidRPr="00922C73">
        <w:rPr>
          <w:rFonts w:ascii="Times New Roman" w:hAnsi="Times New Roman" w:cs="Times New Roman"/>
          <w:sz w:val="24"/>
          <w:szCs w:val="24"/>
        </w:rPr>
        <w:t xml:space="preserve">In depth physicochemical characterisation of </w:t>
      </w:r>
      <w:proofErr w:type="spellStart"/>
      <w:r w:rsidRPr="00922C73">
        <w:rPr>
          <w:rFonts w:ascii="Times New Roman" w:hAnsi="Times New Roman" w:cs="Times New Roman"/>
          <w:sz w:val="24"/>
          <w:szCs w:val="24"/>
        </w:rPr>
        <w:t>Remsima</w:t>
      </w:r>
      <w:proofErr w:type="spellEnd"/>
      <w:r w:rsidRPr="00922C73">
        <w:rPr>
          <w:rFonts w:ascii="Times New Roman" w:hAnsi="Times New Roman" w:cs="Times New Roman"/>
          <w:sz w:val="24"/>
          <w:szCs w:val="24"/>
        </w:rPr>
        <w:t xml:space="preserve">® indicates identical primary and higher-order structures compared with the originator drug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{"citationItems":[{"id":"ITEM-1","itemData":{"DOI":"10.4161/mabs.32221","ISBN":"1942-0870 (Electronic)\\r1942-0862 (Linking)","ISSN":"1942-0862","PMID":"25517302","abstract":"Remsima® (infliximab) was recently approved as the world's first biosimilar monoclonal antibody (mAb) in both the European Union and Korea. To achieve this, extensive physicochemical characterization of Remsima® in relation to Remicade® was conducted in order to demonstrate the highly similar properties between the two molecules. A multitude of state-of-the-art analyses revealed that Remsima® has identical primary as well as indistinguishable higher order structures compared with the original product. Monomer and aggregate contents of Remsima® were also found to be comparable with those of Remicade®. In terms of charge isoforms, although Remsima® was observed to contain slightly less basic variants than the original antibody, the difference was shown to be largely due to the presence of C-terminal lysine. On the other hand, this lysine was found to be rapidly clipped inside serum in vitro and in vivo, suggesting it has no effect on the biological potency or safety of the drug. Analysis of the glycan contents of the antibodies showed comparable glycan types and distributions. Recent results of clinical studies have further confirmed that the two antibody products are highly similar to each other. Based on this research as well as previous clinical and non-clinical comparability studies, Remsima® can be considered as a highly similar molecule to Remicade® in terms of physicochemical properties, efficacy, and safety for its final approval as a biosimilar product to Remicade®.","author":[{"dropping-particle":"","family":"Jung","given":"Soon Kwan","non-dropping-particle":"","parse-names":false,"suffix":""},{"dropping-particle":"","family":"Lee","given":"Kyoung Hoon","non-dropping-particle":"","parse-names":false,"suffix":""},{"dropping-particle":"","family":"Jeon","given":"Jae Won","non-dropping-particle":"","parse-names":false,"suffix":""},{"dropping-particle":"","family":"Lee","given":"Joon Won","non-dropping-particle":"","parse-names":false,"suffix":""},{"dropping-particle":"","family":"Kwon","given":"Byoung Oh","non-dropping-particle":"","parse-names":false,"suffix":""},{"dropping-particle":"","family":"Kim","given":"Yeon Jung","non-dropping-particle":"","parse-names":false,"suffix":""},{"dropping-particle":"","family":"Bae","given":"Jin Soo","non-dropping-particle":"","parse-names":false,"suffix":""},{"dropping-particle":"","family":"Kim","given":"Dong-Il","non-dropping-particle":"","parse-names":false,"suffix":""},{"dropping-particle":"","family":"Lee","given":"Soo Young","non-dropping-particle":"","parse-names":false,"suffix":""},{"dropping-particle":"","family":"Chang","given":"Shin Jae","non-dropping-particle":"","parse-names":false,"suffix":""}],"container-title":"mAbs","id":"ITEM-1","issue":"5","issued":{"date-parts":[["2014","9"]]},"page":"1163-1177","title":"Physicochemical characterization of Remsima®","type":"article-journal","volume":"6"},"uris":["http://www.mendeley.com/documents/?uuid=77f05d03-1f30-4850-b687-0ab7fbc5edc7"]}],"mendeley":{"formattedCitation":"&lt;sup&gt;84&lt;/sup&gt;","plainTextFormattedCitation":"84","previouslyFormattedCitation":"&lt;sup&gt;84&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Pr="00922C73">
        <w:rPr>
          <w:rFonts w:ascii="Times New Roman" w:hAnsi="Times New Roman" w:cs="Times New Roman"/>
          <w:sz w:val="24"/>
          <w:szCs w:val="24"/>
          <w:shd w:val="clear" w:color="auto" w:fill="FFFFFF"/>
        </w:rPr>
        <w:t xml:space="preserve"> </w:t>
      </w:r>
      <w:r w:rsidRPr="00922C73">
        <w:rPr>
          <w:rFonts w:ascii="Times New Roman" w:hAnsi="Times New Roman" w:cs="Times New Roman"/>
          <w:sz w:val="24"/>
          <w:szCs w:val="24"/>
        </w:rPr>
        <w:t xml:space="preserve">Physicochemical assessment of primary and higher-order structures of SB2 to originator infliximab also indicates it is highly </w:t>
      </w:r>
      <w:r w:rsidRPr="00922C73">
        <w:rPr>
          <w:rFonts w:ascii="Times New Roman" w:hAnsi="Times New Roman" w:cs="Times New Roman"/>
          <w:sz w:val="24"/>
          <w:szCs w:val="24"/>
        </w:rPr>
        <w:lastRenderedPageBreak/>
        <w:t xml:space="preserve">similar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10.1002/biot.201800340","ISSN":"1860-6768","author":[{"dropping-particle":"","family":"Beyer","given":"Beate","non-dropping-particle":"","parse-names":false,"suffix":""},{"dropping-particle":"","family":"Walch","given":"Nicole","non-dropping-particle":"","parse-names":false,"suffix":""},{"dropping-particle":"","family":"Jungbauer","given":"Alois","non-dropping-particle":"","parse-names":false,"suffix":""},{"dropping-particle":"","family":"Lingg","given":"Nico","non-dropping-particle":"","parse-names":false,"suffix":""}],"container-title":"Biotechnology Journal","id":"ITEM-1","issue":"4","issued":{"date-parts":[["2019","4","30"]]},"page":"1800340","title":"How Similar Is Biosimilar? A Comparison of Infliximab Therapeutics in Regard to Charge Variant Profile and Antigen Binding Affinity","type":"article-journal","volume":"14"},"uris":["http://www.mendeley.com/documents/?uuid=4957fa33-74c2-48f7-b94e-4222072639b5"]},{"id":"ITEM-2","itemData":{"DOI":"10.1007/s40259-019-00402-0","ISSN":"1173-8804","author":[{"dropping-particle":"","family":"Ebbers","given":"Hans C.","non-dropping-particle":"","parse-names":false,"suffix":""},{"dropping-particle":"","family":"Fehrmann","given":"Bjørn","non-dropping-particle":"","parse-names":false,"suffix":""},{"dropping-particle":"","family":"Ottosen","given":"Mette","non-dropping-particle":"","parse-names":false,"suffix":""},{"dropping-particle":"","family":"Hvorslev","given":"Niels","non-dropping-particle":"","parse-names":false,"suffix":""},{"dropping-particle":"","family":"Høier","given":"Pia","non-dropping-particle":"","parse-names":false,"suffix":""},{"dropping-particle":"","family":"Hwang","given":"Jae-Woong","non-dropping-particle":"","parse-names":false,"suffix":""},{"dropping-particle":"","family":"Chung","given":"Jinhan","non-dropping-particle":"","parse-names":false,"suffix":""},{"dropping-particle":"","family":"Lim","given":"Hyoung Taek","non-dropping-particle":"","parse-names":false,"suffix":""},{"dropping-particle":"","family":"Lee","given":"Shinjung","non-dropping-particle":"","parse-names":false,"suffix":""},{"dropping-particle":"","family":"Hong","given":"Juyoung","non-dropping-particle":"","parse-names":false,"suffix":""},{"dropping-particle":"","family":"Rezk","given":"Mourad Farouk","non-dropping-particle":"","parse-names":false,"suffix":""}],"container-title":"BioDrugs","id":"ITEM-2","issue":"2","issued":{"date-parts":[["2020","4","10"]]},"page":"225-233","title":"Batch-to-Batch Consistency of SB4 and SB2, Etanercept and Infliximab Biosimilars","type":"article-journal","volume":"34"},"uris":["http://www.mendeley.com/documents/?uuid=b2abff48-6707-4a1b-b787-af1a42cc1248"]}],"mendeley":{"formattedCitation":"&lt;sup&gt;86,87&lt;/sup&gt;","plainTextFormattedCitation":"86,87","previouslyFormattedCitation":"&lt;sup&gt;86,87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86,87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However, SB2 showed a lower proportion of basic charge variants with the absence of two basic charge variants caused by more extensive C-terminal lysine clipping of SB2</w:t>
      </w:r>
      <w:r w:rsidR="004B7C2C" w:rsidRPr="00922C73">
        <w:rPr>
          <w:rFonts w:ascii="Times New Roman" w:hAnsi="Times New Roman" w:cs="Times New Roman"/>
          <w:sz w:val="24"/>
          <w:szCs w:val="24"/>
        </w:rPr>
        <w:t xml:space="preserv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10.1002/biot.201800340","ISSN":"1860-6768","author":[{"dropping-particle":"","family":"Beyer","given":"Beate","non-dropping-particle":"","parse-names":false,"suffix":""},{"dropping-particle":"","family":"Walch","given":"Nicole","non-dropping-particle":"","parse-names":false,"suffix":""},{"dropping-particle":"","family":"Jungbauer","given":"Alois","non-dropping-particle":"","parse-names":false,"suffix":""},{"dropping-particle":"","family":"Lingg","given":"Nico","non-dropping-particle":"","parse-names":false,"suffix":""}],"container-title":"Biotechnology Journal","id":"ITEM-1","issue":"4","issued":{"date-parts":[["2019","4","30"]]},"page":"1800340","title":"How Similar Is Biosimilar? A Comparison of Infliximab Therapeutics in Regard to Charge Variant Profile and Antigen Binding Affinity","type":"article-journal","volume":"14"},"uris":["http://www.mendeley.com/documents/?uuid=4957fa33-74c2-48f7-b94e-4222072639b5"]}],"mendeley":{"formattedCitation":"&lt;sup&gt;86&lt;/sup&gt;","plainTextFormattedCitation":"86","previouslyFormattedCitation":"&lt;sup&gt;86&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86</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Batch to batch analysis showed no significant effect on TNF-α binding nor TNF-α neutralization despite this difference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{"citationItems":[{"id":"ITEM-1","itemData":{"DOI":"10.1007/s40259-019-00402-0","ISSN":"1173-8804","author":[{"dropping-particle":"","family":"Ebbers","given":"Hans C.","non-dropping-particle":"","parse-names":false,"suffix":""},{"dropping-particle":"","family":"Fehrmann","given":"Bjørn","non-dropping-particle":"","parse-names":false,"suffix":""},{"dropping-particle":"","family":"Ottosen","given":"Mette","non-dropping-particle":"","parse-names":false,"suffix":""},{"dropping-particle":"","family":"Hvorslev","given":"Niels","non-dropping-particle":"","parse-names":false,"suffix":""},{"dropping-particle":"","family":"Høier","given":"Pia","non-dropping-particle":"","parse-names":false,"suffix":""},{"dropping-particle":"","family":"Hwang","given":"Jae-Woong","non-dropping-particle":"","parse-names":false,"suffix":""},{"dropping-particle":"","family":"Chung","given":"Jinhan","non-dropping-particle":"","parse-names":false,"suffix":""},{"dropping-particle":"","family":"Lim","given":"Hyoung Taek","non-dropping-particle":"","parse-names":false,"suffix":""},{"dropping-particle":"","family":"Lee","given":"Shinjung","non-dropping-particle":"","parse-names":false,"suffix":""},{"dropping-particle":"","family":"Hong","given":"Juyoung","non-dropping-particle":"","parse-names":false,"suffix":""},{"dropping-particle":"","family":"Rezk","given":"Mourad Farouk","non-dropping-particle":"","parse-names":false,"suffix":""}],"container-title":"BioDrugs","id":"ITEM-1","issue":"2","issued":{"date-parts":[["2020","4","10"]]},"page":"225-233","title":"Batch-to-Batch Consistency of SB4 and SB2, Etanercept and Infliximab Biosimilars","type":"article-journal","volume":"34"},"uris":["http://www.mendeley.com/documents/?uuid=b2abff48-6707-4a1b-b787-af1a42cc1248"]}],"mendeley":{"formattedCitation":"&lt;sup&gt;87&lt;/sup&gt;","plainTextFormattedCitation":"87","previouslyFormattedCitation":"&lt;sup&gt;87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Pr="00922C73">
        <w:rPr>
          <w:rFonts w:ascii="Times New Roman" w:hAnsi="Times New Roman" w:cs="Times New Roman"/>
          <w:sz w:val="24"/>
          <w:szCs w:val="24"/>
          <w:shd w:val="clear" w:color="auto" w:fill="FFFFFF"/>
        </w:rPr>
        <w:t xml:space="preserve">Cross-reactivity of ADA between </w:t>
      </w:r>
      <w:r w:rsidRPr="00922C73">
        <w:rPr>
          <w:rFonts w:ascii="Times New Roman" w:hAnsi="Times New Roman" w:cs="Times New Roman"/>
          <w:sz w:val="24"/>
          <w:szCs w:val="24"/>
        </w:rPr>
        <w:t xml:space="preserve">Remicade® and biosimilars have been shown. </w:t>
      </w:r>
      <w:r w:rsidRPr="00922C73">
        <w:rPr>
          <w:rFonts w:ascii="Times New Roman" w:hAnsi="Times New Roman" w:cs="Times New Roman"/>
          <w:sz w:val="24"/>
          <w:szCs w:val="24"/>
          <w:shd w:val="clear" w:color="auto" w:fill="FFFFFF"/>
        </w:rPr>
        <w:t>S</w:t>
      </w:r>
      <w:r w:rsidRPr="00922C73">
        <w:rPr>
          <w:rFonts w:ascii="Times New Roman" w:hAnsi="Times New Roman" w:cs="Times New Roman"/>
          <w:sz w:val="24"/>
          <w:szCs w:val="24"/>
        </w:rPr>
        <w:t xml:space="preserve">era from 69 IBD patients with antibodies to </w:t>
      </w:r>
      <w:bookmarkStart w:id="34" w:name="_Hlk87622266"/>
      <w:r w:rsidRPr="00922C73">
        <w:rPr>
          <w:rFonts w:ascii="Times New Roman" w:hAnsi="Times New Roman" w:cs="Times New Roman"/>
          <w:sz w:val="24"/>
          <w:szCs w:val="24"/>
        </w:rPr>
        <w:t xml:space="preserve">Remicade®, </w:t>
      </w:r>
      <w:bookmarkEnd w:id="34"/>
      <w:r w:rsidRPr="00922C73">
        <w:rPr>
          <w:rFonts w:ascii="Times New Roman" w:hAnsi="Times New Roman" w:cs="Times New Roman"/>
          <w:sz w:val="24"/>
          <w:szCs w:val="24"/>
        </w:rPr>
        <w:t xml:space="preserve">all recognised and cross reacted with </w:t>
      </w:r>
      <w:proofErr w:type="spellStart"/>
      <w:r w:rsidRPr="00922C73">
        <w:rPr>
          <w:rFonts w:ascii="Times New Roman" w:hAnsi="Times New Roman" w:cs="Times New Roman"/>
          <w:sz w:val="24"/>
          <w:szCs w:val="24"/>
        </w:rPr>
        <w:t>Remsima</w:t>
      </w:r>
      <w:proofErr w:type="spellEnd"/>
      <w:r w:rsidRPr="00922C73">
        <w:rPr>
          <w:rFonts w:ascii="Times New Roman" w:hAnsi="Times New Roman" w:cs="Times New Roman"/>
          <w:sz w:val="24"/>
          <w:szCs w:val="24"/>
        </w:rPr>
        <w:t xml:space="preserve">® </w:t>
      </w:r>
      <w:r w:rsidR="00E70F10" w:rsidRPr="00922C73">
        <w:rPr>
          <w:rFonts w:ascii="Times New Roman" w:hAnsi="Times New Roman" w:cs="Times New Roman"/>
          <w:sz w:val="24"/>
          <w:szCs w:val="24"/>
        </w:rPr>
        <w:t>with</w:t>
      </w:r>
      <w:r w:rsidRPr="00922C73">
        <w:rPr>
          <w:rFonts w:ascii="Times New Roman" w:hAnsi="Times New Roman" w:cs="Times New Roman"/>
          <w:sz w:val="24"/>
          <w:szCs w:val="24"/>
        </w:rPr>
        <w:t xml:space="preserve"> correlation on ELISAs between titres of antibodies to </w:t>
      </w:r>
      <w:proofErr w:type="spellStart"/>
      <w:r w:rsidRPr="00922C73">
        <w:rPr>
          <w:rFonts w:ascii="Times New Roman" w:hAnsi="Times New Roman" w:cs="Times New Roman"/>
          <w:sz w:val="24"/>
          <w:szCs w:val="24"/>
        </w:rPr>
        <w:t>Remsima</w:t>
      </w:r>
      <w:proofErr w:type="spellEnd"/>
      <w:r w:rsidRPr="00922C73">
        <w:rPr>
          <w:rFonts w:ascii="Times New Roman" w:hAnsi="Times New Roman" w:cs="Times New Roman"/>
          <w:sz w:val="24"/>
          <w:szCs w:val="24"/>
        </w:rPr>
        <w:t xml:space="preserve">® and titres of antibodies to Remicade®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{"citationItems":[{"id":"ITEM-1","itemData":{"DOI":"10.1136/gutjnl-2015-309290","ISSN":"0017-5749","PMID":"25897019","abstract":"OBJECTIVE The cross-immunogenicity of the recently approved infliximab-biosimilar Remsima (CT-P13) with the originator drug Remicade is still unknown. DESIGN Sera of patients with IBD with or without measurable anti-Remicade antibodies to infliximab (ATI) were tested for their cross-reactivity to two batches of Remsima. Experiments were repeated after deglycosylation of Remicade/Remsima, IgG purification, excipients' dialysis and monomer purification by size exclusion chromatography. Anti-Remicade antibodies were tested for their functional inhibition of TNF-α binding by Remsima/Remicade by competition assay. Cross-reactivity of anti-adalimumab antibodies with Remicade/Remsima was also investigated. RESULTS 125 patients' and controls' sera were tested (median age 31 years, IQR 24.5-39.5). All 56 anti-Remicade ATI-negative controls (14 healthy individuals, 42 patients with IBD) were also negative for anti-Remsima ATI. All 69 positive anti-Remicade IBD sera were cross-reactive with Remsima. ATI titres against Remicade or Remsima were strongly correlated (r values between 0.92 and 0.99, p&lt;0.001 for all experiments, Spearman's correlation test). The background ELISA signal for Remsima was slightly higher compared with Remicade in negative controls (1.25±0.6 µg/mL vs 0.76±0.5 µg/mL, respectively, p&lt;0.001), and persisted after deglycosylation, dialysis or protein size filtration, but abolished by IgG purification and significantly diminished by monomer purification. Anti-Remicade ATIs of patients with IBD (n=10) exerted similar functional inhibition on Remsima or Remicade TNF-α binding capacity (p=NS for all inhibition curve points). Antibodies-to-adalimumab in adalimumab-treated patients with IBD (n=7) did not cross-react with either Remicade or Remsima. CONCLUSIONS Anti-Remicade antibodies in patients with IBD recognise and functionally inhibit Remsima to a similar degree, suggesting similar immunogenicity and shared immunodominant epitopes on these two infliximab agents. In contrast, anti-adalimumab antibodies do not cross-react with Remsima or Remicade.","author":[{"dropping-particle":"","family":"Ben-Horin","given":"Shomron","non-dropping-particle":"","parse-names":false,"suffix":""},{"dropping-particle":"","family":"Yavzori","given":"Miri","non-dropping-particle":"","parse-names":false,"suffix":""},{"dropping-particle":"","family":"Benhar","given":"Itai","non-dropping-particle":"","parse-names":false,"suffix":""},{"dropping-particle":"","family":"Fudim","given":"Ella","non-dropping-particle":"","parse-names":false,"suffix":""},{"dropping-particle":"","family":"Picard","given":"Orit","non-dropping-particle":"","parse-names":false,"suffix":""},{"dropping-particle":"","family":"Ungar","given":"Bella","non-dropping-particle":"","parse-names":false,"suffix":""},{"dropping-particle":"","family":"Lee","given":"SooYoung","non-dropping-particle":"","parse-names":false,"suffix":""},{"dropping-particle":"","family":"Kim","given":"SungHwan","non-dropping-particle":"","parse-names":false,"suffix":""},{"dropping-particle":"","family":"Eliakim","given":"Rami","non-dropping-particle":"","parse-names":false,"suffix":""},{"dropping-particle":"","family":"Chowers","given":"Yehuda","non-dropping-particle":"","parse-names":false,"suffix":""}],"container-title":"Gut","id":"ITEM-1","issue":"7","issued":{"date-parts":[["2016","7"]]},"page":"1132-1138","title":"Cross-immunogenicity: antibodies to infliximab in Remicade-treated patients with IBD similarly recognise the biosimilar Remsima","type":"article-journal","volume":"65"},"uris":["http://www.mendeley.com/documents/?uuid=259bdf25-a190-4d0b-8a48-542832dfdcb0"]}],"mendeley":{"formattedCitation":"&lt;sup&gt;88&lt;/sup&gt;","plainTextFormattedCitation":"88","previouslyFormattedCitation":"&lt;sup&gt;88&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88</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E70F10" w:rsidRPr="00922C73">
        <w:rPr>
          <w:rFonts w:ascii="Times New Roman" w:hAnsi="Times New Roman" w:cs="Times New Roman"/>
          <w:sz w:val="24"/>
          <w:szCs w:val="24"/>
        </w:rPr>
        <w:t xml:space="preserve">Sera from ATI positive patients treated with originator infliximab, CT-P13 or originator to CTP13 switched patients showed ATI positivity using CT-P13 or SB3 bridging assays with 100% overall agreement between assays and no significant difference in ATI levels </w:t>
      </w:r>
      <w:r w:rsidR="00E70F1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ibd/izx086","ISSN":"1078-0998","author":[{"dropping-particle":"","family":"Fiorino","given":"Gionata","non-dropping-particle":"","parse-names":false,"suffix":""},{"dropping-particle":"","family":"Ruiz-Argüello","given":"M Begoña","non-dropping-particle":"","parse-names":false,"suffix":""},{"dropping-particle":"","family":"Maguregui","given":"Ainara","non-dropping-particle":"","parse-names":false,"suffix":""},{"dropping-particle":"","family":"Nagore","given":"Daniel","non-dropping-particle":"","parse-names":false,"suffix":""},{"dropping-particle":"","family":"Correale","given":"Carmen","non-dropping-particle":"","parse-names":false,"suffix":""},{"dropping-particle":"","family":"Radice","given":"Simona","non-dropping-particle":"","parse-names":false,"suffix":""},{"dropping-particle":"","family":"Gilardi","given":"Daniela","non-dropping-particle":"","parse-names":false,"suffix":""},{"dropping-particle":"","family":"Allocca","given":"Mariangela","non-dropping-particle":"","parse-names":false,"suffix":""},{"dropping-particle":"","family":"Furfaro","given":"Federica","non-dropping-particle":"","parse-names":false,"suffix":""},{"dropping-particle":"","family":"Martínez","given":"Antonio","non-dropping-particle":"","parse-names":false,"suffix":""},{"dropping-particle":"","family":"Danese","given":"Silvio","non-dropping-particle":"","parse-names":false,"suffix":""}],"container-title":"Inflammatory Bowel Diseases","id":"ITEM-1","issue":"3","issued":{"date-parts":[["2018","2","16"]]},"page":"601-606","title":"Full Interchangeability in Regard to Immunogenicity Between the Infliximab Reference Biologic and Biosimilars CT-P13 and SB2 in Inflammatory Bowel Disease","type":"article-journal","volume":"24"},"uris":["http://www.mendeley.com/documents/?uuid=18eac931-a097-4372-aad9-f9292e89cb82"]}],"mendeley":{"formattedCitation":"&lt;sup&gt;89&lt;/sup&gt;","plainTextFormattedCitation":"89","previouslyFormattedCitation":"&lt;sup&gt;89&lt;/sup&gt;"},"properties":{"noteIndex":0},"schema":"https://github.com/citation-style-language/schema/raw/master/csl-citation.json"}</w:instrText>
      </w:r>
      <w:r w:rsidR="00E70F1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89</w:t>
      </w:r>
      <w:r w:rsidR="00E70F10" w:rsidRPr="00922C73">
        <w:rPr>
          <w:rFonts w:ascii="Times New Roman" w:hAnsi="Times New Roman" w:cs="Times New Roman"/>
          <w:sz w:val="24"/>
          <w:szCs w:val="24"/>
        </w:rPr>
        <w:fldChar w:fldCharType="end"/>
      </w:r>
      <w:r w:rsidR="00E70F10" w:rsidRPr="00922C73">
        <w:rPr>
          <w:rFonts w:ascii="Times New Roman" w:hAnsi="Times New Roman" w:cs="Times New Roman"/>
          <w:sz w:val="24"/>
          <w:szCs w:val="24"/>
        </w:rPr>
        <w:t>.</w:t>
      </w:r>
    </w:p>
    <w:p w14:paraId="33253E39" w14:textId="77777777" w:rsidR="00CE109C" w:rsidRPr="00922C73" w:rsidRDefault="00CE109C" w:rsidP="00E70F10">
      <w:pPr>
        <w:pStyle w:val="NormalWeb"/>
        <w:spacing w:before="0" w:beforeAutospacing="0" w:after="240" w:afterAutospacing="0" w:line="480" w:lineRule="auto"/>
      </w:pPr>
    </w:p>
    <w:p w14:paraId="51DFA737" w14:textId="7845FFE6" w:rsidR="00B076DA" w:rsidRPr="00922C73" w:rsidRDefault="003778D2" w:rsidP="00E70F10">
      <w:pPr>
        <w:pStyle w:val="NormalWeb"/>
        <w:spacing w:before="0" w:beforeAutospacing="0" w:after="240" w:afterAutospacing="0" w:line="480" w:lineRule="auto"/>
      </w:pPr>
      <w:r w:rsidRPr="00922C73">
        <w:t xml:space="preserve">Prior to their marketing authorisation, large RCTs in rheumatoid arthritis and ankylosing spondylitis patients showed similar pharmacokinetics, comparable efficacy and safety of CT-P13 and SB2 to Remicade® </w:t>
      </w:r>
      <w:r w:rsidRPr="00922C73">
        <w:fldChar w:fldCharType="begin" w:fldLock="1"/>
      </w:r>
      <w:r w:rsidR="00DD0F87" w:rsidRPr="00922C73">
        <w:instrText>ADDIN CSL_CITATION {"citationItems":[{"id":"ITEM-1","itemData":{"DOI":"10.1136/annrheumdis-2012-203090","ISBN":"1468-2060 (Electronic)\\r0003-4967 (Linking)","ISSN":"0003-4967","PMID":"23687260","abstract":"OBJECTIVES To compare the efficacy and safety of innovator infliximab (INX) and CT-P13, an INX biosimilar, in active rheumatoid arthritis patients with inadequate response to methotrexate (MTX) treatment. METHODS Phase III randomised, double-blind, multicentre, multinational, parallel-group study. Patients with active disease despite MTX (12.5-25 mg/week) were randomised to receive 3 mg/kg of CT-P13 (n=302) or INX (n=304) with MTX and folic acid. The primary endpoint was the American College of Rheumatology 20% (ACR20) response at week 30. Therapeutic equivalence of clinical response according to ACR20 criteria was concluded if the 95% CI for the treatment difference was within ±15%. Secondary endpoints included ACR response criteria, European League Against Rheumatism (EULAR) response criteria, change in Disease Activity Score 28 (DAS28), Medical Outcomes Study Short-Form Health Survey (SF-36), Simplified Disease Activity Index, Clinical Disease Activity Index, as well as pharmacokinetic (PK) and pharmacodynamic (PD) parameters, safety and immunogenicity. RESULTS At week 30, ACR20 responses were 60.9% for CT-P13 and 58.6% for INX (95% CI -6% to 10%) in the intention-to-treat population. The proportions in CT-P13 and INX groups achieving good or moderate EULAR responses (C reactive protein (CRP)) at week 30 were 85.8% and 87.1%, respectively. Low disease activity or remission according to DAS28-CRP, ACR-EULAR remission rates, ACR50/ACR70 responses and all other PK and PD endpoints were highly similar at week 30. Incidence of drug-related adverse events (35.2% vs 35.9%) and detection of antidrug antibodies (48.4% vs 48.2%) were highly similar for CT-P13 and INX, respectively. CONCLUSIONS CT-P13 demonstrated equivalent efficacy to INX at week 30, with a comparable PK profile and immunogenicity. CT-P13 was well tolerated, with a safety profile comparable with that of INX. CLINICALTRIALS.GOV IDENTIFIER: NCT01217086.","author":[{"dropping-particle":"","family":"Yoo","given":"Dae Hyun","non-dropping-particle":"","parse-names":false,"suffix":""},{"dropping-particle":"","family":"Hrycaj","given":"Pawel","non-dropping-particle":"","parse-names":false,"suffix":""},{"dropping-particle":"","family":"Miranda","given":"Pedro","non-dropping-particle":"","parse-names":false,"suffix":""},{"dropping-particle":"","family":"Ramiterre","given":"Edgar","non-dropping-particle":"","parse-names":false,"suffix":""},{"dropping-particle":"","family":"Piotrowski","given":"Mariusz","non-dropping-particle":"","parse-names":false,"suffix":""},{"dropping-particle":"","family":"Shevchuk","given":"Sergii","non-dropping-particle":"","parse-names":false,"suffix":""},{"dropping-particle":"","family":"Kovalenko","given":"Volodymyr","non-dropping-particle":"","parse-names":false,"suffix":""},{"dropping-particle":"","family":"Prodanovic","given":"Nenad","non-dropping-particle":"","parse-names":false,"suffix":""},{"dropping-particle":"","family":"Abello-Banfi","given":"Mauricio","non-dropping-particle":"","parse-names":false,"suffix":""},{"dropping-particle":"","family":"Gutierrez-Ureña","given":"Sergio","non-dropping-particle":"","parse-names":false,"suffix":""},{"dropping-particle":"","family":"Morales-Olazabal","given":"Luis","non-dropping-particle":"","parse-names":false,"suffix":""},{"dropping-particle":"","family":"Tee","given":"Michael","non-dropping-particle":"","parse-names":false,"suffix":""},{"dropping-particle":"","family":"Jimenez","given":"Renato","non-dropping-particle":"","parse-names":false,"suffix":""},{"dropping-particle":"","family":"Zamani","given":"Omid","non-dropping-particle":"","parse-names":false,"suffix":""},{"dropping-particle":"","family":"Lee","given":"Sang Joon","non-dropping-particle":"","parse-names":false,"suffix":""},{"dropping-particle":"","family":"Kim","given":"HoUng","non-dropping-particle":"","parse-names":false,"suffix":""},{"dropping-particle":"","family":"Park","given":"Won","non-dropping-particle":"","parse-names":false,"suffix":""},{"dropping-particle":"","family":"Müller-Ladner","given":"Ulf","non-dropping-particle":"","parse-names":false,"suffix":""}],"container-title":"Annals of the Rheumatic Diseases","id":"ITEM-1","issue":"10","issued":{"date-parts":[["2013","10"]]},"page":"1613-1620","title":"A randomised, double-blind, parallel-group study to demonstrate equivalence in efficacy and safety of CT-P13 compared with innovator infliximab when coadministered with methotrexate in patients with active rheumatoid arthritis: the PLANETRA study","type":"article-journal","volume":"72"},"uris":["http://www.mendeley.com/documents/?uuid=1f6d9eaf-367c-4117-969f-2d4fdf1ea581"]},{"id":"ITEM-2","itemData":{"DOI":"10.1136/annrheumdis-2012-203091","ISBN":"1468-2060 (Electronic)\\r0003-4967 (Linking)","ISSN":"0003-4967","PMID":"23687259","abstract":"OBJECTIVES To compare the pharmacokinetics (PK), safety and efficacy of innovator infliximab (INX) and CT-P13, a biosimilar to INX, in patients with active ankylosing spondylitis (AS). METHODS Phase 1 randomised, double-blind, multicentre, multinational, parallel-group study. Patients were randomised to receive 5 mg/kg of CT-P13 (n=125) or INX (n=125). Primary endpoints were area under the concentration-time curve (AUC) at steady state and observed maximum steady state serum concentration (Cmax,ss) between weeks 22 and 30. Additional PK, efficacy endpoints, including 20% and 40% improvement response according to Assessment in Ankylosing Spondylitis International Working Group criteria (ASAS20 and ASAS40), and safety outcomes were also assessed. RESULTS Geometric mean AUC was 32 765.8 μgh/ml for CT-P13 and 31 359.3 μgh/ml for INX. Geometric mean Cmax,ss was 147.0 μg/ml for CT-P13 and 144.8 μg/ml for INX. The ratio of geometric means was 104.5% (90% CI 94% to 116%) for AUC and 101.5% (90% CI 95% to 109%) for Cmax,ss. ASAS20 and ASAS40 responses at week 30 were 70.5% and 51.8% for CT-P13 and 72.4% and 47.4% for INX, respectively. In the CT-P13 and INX groups more than one adverse event occurred in 64.8% and 63.9% of patients, infusion reactions occurred in 3.9% and 4.9%, active tuberculosis occurred in 1.6% and 0.8%, and 27.4% and 22.5% of patients tested positive for anti-drug antibodies, respectively. CONCLUSIONS The PK profiles of CT-P13 and INX were equivalent in patients with active AS. CT-P13 was well tolerated, with an efficacy and safety profile comparable to that of INX up to week 30.","author":[{"dropping-particle":"","family":"Park","given":"Won","non-dropping-particle":"","parse-names":false,"suffix":""},{"dropping-particle":"","family":"Hrycaj","given":"Pawel","non-dropping-particle":"","parse-names":false,"suffix":""},{"dropping-particle":"","family":"Jeka","given":"Slawomir","non-dropping-particle":"","parse-names":false,"suffix":""},{"dropping-particle":"","family":"Kovalenko","given":"Volodymyr","non-dropping-particle":"","parse-names":false,"suffix":""},{"dropping-particle":"","family":"Lysenko","given":"Grygorii","non-dropping-particle":"","parse-names":false,"suffix":""},{"dropping-particle":"","family":"Miranda","given":"Pedro","non-dropping-particle":"","parse-names":false,"suffix":""},{"dropping-particle":"","family":"Mikazane","given":"Helena","non-dropping-particle":"","parse-names":false,"suffix":""},{"dropping-particle":"","family":"Gutierrez-Ureña","given":"Sergio","non-dropping-particle":"","parse-names":false,"suffix":""},{"dropping-particle":"","family":"Lim","given":"MieJin","non-dropping-particle":"","parse-names":false,"suffix":""},{"dropping-particle":"","family":"Lee","given":"Yeon-Ah","non-dropping-particle":"","parse-names":false,"suffix":""},{"dropping-particle":"","family":"Lee","given":"Sang Joon","non-dropping-particle":"","parse-names":false,"suffix":""},{"dropping-particle":"","family":"Kim","given":"HoUng","non-dropping-particle":"","parse-names":false,"suffix":""},{"dropping-particle":"","family":"Yoo","given":"Dae Hyun","non-dropping-particle":"","parse-names":false,"suffix":""},{"dropping-particle":"","family":"Braun","given":"Jürgen","non-dropping-particle":"","parse-names":false,"suffix":""}],"container-title":"Annals of the Rheumatic Diseases","id":"ITEM-2","issue":"10","issued":{"date-parts":[["2013","10"]]},"page":"1605-1612","title":"A randomised, double-blind, multicentre, parallel-group, prospective study comparing the pharmacokinetics, safety, and efficacy of CT-P13 and innovator infliximab in patients with ankylosing spondylitis: the PLANETAS study","type":"article-journal","volume":"72"},"uris":["http://www.mendeley.com/documents/?uuid=81e8cfb0-6f07-4185-9976-9e9a9bcfd4f3"]},{"id":"ITEM-3","itemData":{"DOI":"10.1136/annrheumdis-2015-207764","ISSN":"0003-4967","PMID":"26318384","abstract":"OBJECTIVES: To compare the efficacy, safety, immunogenicity and pharmacokinetics (PK) of SB2 to the infliximab reference product (INF) in patients with moderate to severe rheumatoid arthritis (RA) despite methotrexate therapy.\\n\\nMETHODS: This is a phase III, randomised, double-blind, multinational, multicentre parallel group study. Patients with moderate to severe RA despite methotrexate therapy were randomised in a 1:1 ratio to receive either SB2 or INF of 3 mg/kg. The primary end point was the American College of Rheumatology 20% (ACR20) response at week 30. Inclusion of the 95% CI of the ACR20 response difference within a ±15% margin was required for equivalence.\\n\\nRESULTS: 584 subjects were randomised into SB2 (N=291; 290 analysed) or INF (N=293). The ACR20 response at week 30 in the per-protocol set was 64.1% in SB2 versus 66.0% in INF. The adjusted rate difference was -1.88% (95% CI -10.26% to 6.51%), which was within the predefined equivalence margin. Other efficacy outcomes such as ACR50/70, disease activity score measured by 28 joints and European League against Rheumatism response were similar between SB2 and INF. The incidence of treatment-emergent adverse events was comparable (57.6% in SB2 vs 58.0% in INF) as well as the incidence of antidrug antibodies (ADA) to infliximab up to week 30 (55.1% in SB2 vs 49.7% in INF). The PK profile was similar between SB2 and INF. Efficacy, safety and PK by ADA subgroup were comparable between SB2 and INF.\\n\\nCONCLUSIONS: SB2 was equivalent to INF in terms of ACR20 response at week 30. SB2 was well tolerated with a comparable safety profile, immunogenicity and PK to INF.\\n\\nTRIAL REGISTRATION NUMBER: NCT01936181.","author":[{"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Hee","non-dropping-particle":"","parse-names":false,"suffix":""},{"dropping-particle":"","family":"Smolen","given":"Josef S","non-dropping-particle":"","parse-names":false,"suffix":""}],"container-title":"Annals of the Rheumatic Diseases","id":"ITEM-3","issue":"1","issued":{"date-parts":[["2017","1"]]},"page":"58-64","title":"A randomised, double-blind, phase III study comparing SB2, an infliximab biosimilar, to the infliximab reference product Remicade in patients with moderate to severe rheumatoid arthritis despite methotrexate therapy","type":"article-journal","volume":"76"},"uris":["http://www.mendeley.com/documents/?uuid=ecf1a2e5-c3b2-4e3c-8981-e3d8e1fe728f"]}],"mendeley":{"formattedCitation":"&lt;sup&gt;90–92&lt;/sup&gt;","plainTextFormattedCitation":"90–92","previouslyFormattedCitation":"&lt;sup&gt;90–92&lt;/sup&gt;"},"properties":{"noteIndex":0},"schema":"https://github.com/citation-style-language/schema/raw/master/csl-citation.json"}</w:instrText>
      </w:r>
      <w:r w:rsidRPr="00922C73">
        <w:fldChar w:fldCharType="separate"/>
      </w:r>
      <w:r w:rsidR="00A00D49" w:rsidRPr="00922C73">
        <w:rPr>
          <w:noProof/>
          <w:vertAlign w:val="superscript"/>
        </w:rPr>
        <w:t>90–92</w:t>
      </w:r>
      <w:r w:rsidRPr="00922C73">
        <w:fldChar w:fldCharType="end"/>
      </w:r>
      <w:r w:rsidRPr="00922C73">
        <w:t xml:space="preserve">. </w:t>
      </w:r>
      <w:r w:rsidR="00E405D9" w:rsidRPr="00922C73">
        <w:rPr>
          <w:shd w:val="clear" w:color="auto" w:fill="FFFFFF"/>
        </w:rPr>
        <w:t>NOR-SWITCH</w:t>
      </w:r>
      <w:r w:rsidR="00EA0062" w:rsidRPr="00922C73">
        <w:rPr>
          <w:shd w:val="clear" w:color="auto" w:fill="FFFFFF"/>
        </w:rPr>
        <w:t xml:space="preserve">, </w:t>
      </w:r>
      <w:r w:rsidR="00E405D9" w:rsidRPr="00922C73">
        <w:rPr>
          <w:shd w:val="clear" w:color="auto" w:fill="FFFFFF"/>
        </w:rPr>
        <w:t xml:space="preserve">a </w:t>
      </w:r>
      <w:r w:rsidR="00E36CF6" w:rsidRPr="00922C73">
        <w:rPr>
          <w:shd w:val="clear" w:color="auto" w:fill="FFFFFF"/>
        </w:rPr>
        <w:t>landmark</w:t>
      </w:r>
      <w:r w:rsidR="00EA0062" w:rsidRPr="00922C73">
        <w:rPr>
          <w:shd w:val="clear" w:color="auto" w:fill="FFFFFF"/>
        </w:rPr>
        <w:t xml:space="preserve">, </w:t>
      </w:r>
      <w:r w:rsidR="00446027" w:rsidRPr="00922C73">
        <w:rPr>
          <w:shd w:val="clear" w:color="auto" w:fill="FFFFFF"/>
        </w:rPr>
        <w:t xml:space="preserve">multi-centre, </w:t>
      </w:r>
      <w:r w:rsidR="00E405D9" w:rsidRPr="00922C73">
        <w:rPr>
          <w:shd w:val="clear" w:color="auto" w:fill="FFFFFF"/>
        </w:rPr>
        <w:t>randomi</w:t>
      </w:r>
      <w:r w:rsidR="00EA0062" w:rsidRPr="00922C73">
        <w:rPr>
          <w:shd w:val="clear" w:color="auto" w:fill="FFFFFF"/>
        </w:rPr>
        <w:t>s</w:t>
      </w:r>
      <w:r w:rsidR="00E405D9" w:rsidRPr="00922C73">
        <w:rPr>
          <w:shd w:val="clear" w:color="auto" w:fill="FFFFFF"/>
        </w:rPr>
        <w:t xml:space="preserve">ed, double-blind study </w:t>
      </w:r>
      <w:r w:rsidR="00E36CF6" w:rsidRPr="00922C73">
        <w:rPr>
          <w:shd w:val="clear" w:color="auto" w:fill="FFFFFF"/>
        </w:rPr>
        <w:t xml:space="preserve">in 2017 </w:t>
      </w:r>
      <w:r w:rsidR="00E405D9" w:rsidRPr="00922C73">
        <w:rPr>
          <w:shd w:val="clear" w:color="auto" w:fill="FFFFFF"/>
        </w:rPr>
        <w:t>evaluate</w:t>
      </w:r>
      <w:r w:rsidR="00EA0062" w:rsidRPr="00922C73">
        <w:rPr>
          <w:shd w:val="clear" w:color="auto" w:fill="FFFFFF"/>
        </w:rPr>
        <w:t>d</w:t>
      </w:r>
      <w:r w:rsidR="00E405D9" w:rsidRPr="00922C73">
        <w:rPr>
          <w:shd w:val="clear" w:color="auto" w:fill="FFFFFF"/>
        </w:rPr>
        <w:t xml:space="preserve"> the safety and efficacy of switching from </w:t>
      </w:r>
      <w:r w:rsidR="00EA0062" w:rsidRPr="00922C73">
        <w:t>Remicade®</w:t>
      </w:r>
      <w:r w:rsidR="00E405D9" w:rsidRPr="00922C73">
        <w:rPr>
          <w:shd w:val="clear" w:color="auto" w:fill="FFFFFF"/>
        </w:rPr>
        <w:t xml:space="preserve"> to </w:t>
      </w:r>
      <w:proofErr w:type="spellStart"/>
      <w:r w:rsidR="00EA0062" w:rsidRPr="00922C73">
        <w:t>Remsima</w:t>
      </w:r>
      <w:proofErr w:type="spellEnd"/>
      <w:r w:rsidR="00EA0062" w:rsidRPr="00922C73">
        <w:t>®</w:t>
      </w:r>
      <w:r w:rsidR="00E405D9" w:rsidRPr="00922C73">
        <w:rPr>
          <w:shd w:val="clear" w:color="auto" w:fill="FFFFFF"/>
        </w:rPr>
        <w:t xml:space="preserve"> </w:t>
      </w:r>
      <w:r w:rsidR="00EA0062" w:rsidRPr="00922C73">
        <w:rPr>
          <w:shd w:val="clear" w:color="auto" w:fill="FFFFFF"/>
        </w:rPr>
        <w:t xml:space="preserve">in </w:t>
      </w:r>
      <w:r w:rsidR="00E405D9" w:rsidRPr="00922C73">
        <w:rPr>
          <w:shd w:val="clear" w:color="auto" w:fill="FFFFFF"/>
        </w:rPr>
        <w:t xml:space="preserve">patients with rheumatoid arthritis, </w:t>
      </w:r>
      <w:proofErr w:type="spellStart"/>
      <w:r w:rsidR="00E405D9" w:rsidRPr="00922C73">
        <w:rPr>
          <w:shd w:val="clear" w:color="auto" w:fill="FFFFFF"/>
        </w:rPr>
        <w:t>spondyloarthritis</w:t>
      </w:r>
      <w:proofErr w:type="spellEnd"/>
      <w:r w:rsidR="00E405D9" w:rsidRPr="00922C73">
        <w:rPr>
          <w:shd w:val="clear" w:color="auto" w:fill="FFFFFF"/>
        </w:rPr>
        <w:t xml:space="preserve">, psoriatic arthritis, </w:t>
      </w:r>
      <w:r w:rsidR="00EA0062" w:rsidRPr="00922C73">
        <w:rPr>
          <w:shd w:val="clear" w:color="auto" w:fill="FFFFFF"/>
        </w:rPr>
        <w:t>psoriasis and IBD</w:t>
      </w:r>
      <w:r w:rsidR="004C0B75" w:rsidRPr="00922C73">
        <w:rPr>
          <w:shd w:val="clear" w:color="auto" w:fill="FFFFFF"/>
        </w:rPr>
        <w:t xml:space="preserve"> over 52 weeks</w:t>
      </w:r>
      <w:r w:rsidR="00EA0062" w:rsidRPr="00922C73">
        <w:rPr>
          <w:shd w:val="clear" w:color="auto" w:fill="FFFFFF"/>
        </w:rPr>
        <w:t xml:space="preserve">. Subgroup analysis of </w:t>
      </w:r>
      <w:r w:rsidR="004C0B75" w:rsidRPr="00922C73">
        <w:rPr>
          <w:shd w:val="clear" w:color="auto" w:fill="FFFFFF"/>
        </w:rPr>
        <w:t xml:space="preserve">the </w:t>
      </w:r>
      <w:r w:rsidR="00EA0062" w:rsidRPr="00922C73">
        <w:rPr>
          <w:shd w:val="clear" w:color="auto" w:fill="FFFFFF"/>
        </w:rPr>
        <w:t>204 IBD patient</w:t>
      </w:r>
      <w:r w:rsidR="004C0B75" w:rsidRPr="00922C73">
        <w:rPr>
          <w:shd w:val="clear" w:color="auto" w:fill="FFFFFF"/>
        </w:rPr>
        <w:t>s</w:t>
      </w:r>
      <w:r w:rsidR="00EA0062" w:rsidRPr="00922C73">
        <w:t xml:space="preserve"> showed no difference in efficacy, trough serum levels, ATI nor adverse events </w:t>
      </w:r>
      <w:r w:rsidR="00EA0062" w:rsidRPr="00922C73">
        <w:fldChar w:fldCharType="begin" w:fldLock="1"/>
      </w:r>
      <w:r w:rsidR="00DD0F87" w:rsidRPr="00922C73">
        <w:instrText>ADDIN CSL_CITATION {"citationItems":[{"id":"ITEM-1","itemData":{"DOI":"10.1016/S0016-5085(17)30572-3","ISSN":"00165085","author":[{"dropping-particle":"","family":"Joergensen","given":"Kristin K.","non-dropping-particle":"","parse-names":false,"suffix":""},{"dropping-particle":"","family":"Olsen","given":"Inge C","non-dropping-particle":"","parse-names":false,"suffix":""},{"dropping-particle":"","family":"Goll","given":"Guro L","non-dropping-particle":"","parse-names":false,"suffix":""},{"dropping-particle":"","family":"Lorentzen","given":"Merete","non-dropping-particle":"","parse-names":false,"suffix":""},{"dropping-particle":"","family":"Bolstad","given":"Nils","non-dropping-particle":"","parse-names":false,"suffix":""},{"dropping-particle":"","family":"Berset","given":"Ingrid P.","non-dropping-particle":"","parse-names":false,"suffix":""},{"dropping-particle":"","family":"Haavardsholm","given":"Espen A","non-dropping-particle":"","parse-names":false,"suffix":""},{"dropping-particle":"","family":"Lundin","given":"Knut E.","non-dropping-particle":"","parse-names":false,"suffix":""},{"dropping-particle":"","family":"Mørk","given":"Cato","non-dropping-particle":"","parse-names":false,"suffix":""},{"dropping-particle":"","family":"Kvien","given":"Tore K","non-dropping-particle":"","parse-names":false,"suffix":""},{"dropping-particle":"","family":"Jahnsen","given":"Jorgen","non-dropping-particle":"","parse-names":false,"suffix":""}],"container-title":"Gastroenterology","id":"ITEM-1","issue":"5","issued":{"date-parts":[["2017","4"]]},"page":"S65-S66","title":"Biosimilar Infliximab (CT-P13) is not Inferior to Originator Infliximab: Explorative IBD Subgroup-Analyses in Crohn's Disease and Ulcerative Colitis from the Nor-Switch Trial","type":"article-journal","volume":"152"},"uris":["http://www.mendeley.com/documents/?uuid=11614ea5-1731-48b5-a09f-36e286915b30"]}],"mendeley":{"formattedCitation":"&lt;sup&gt;93&lt;/sup&gt;","plainTextFormattedCitation":"93","previouslyFormattedCitation":"&lt;sup&gt;93&lt;/sup&gt;"},"properties":{"noteIndex":0},"schema":"https://github.com/citation-style-language/schema/raw/master/csl-citation.json"}</w:instrText>
      </w:r>
      <w:r w:rsidR="00EA0062" w:rsidRPr="00922C73">
        <w:fldChar w:fldCharType="separate"/>
      </w:r>
      <w:r w:rsidR="00A00D49" w:rsidRPr="00922C73">
        <w:rPr>
          <w:noProof/>
          <w:vertAlign w:val="superscript"/>
        </w:rPr>
        <w:t>93</w:t>
      </w:r>
      <w:r w:rsidR="00EA0062" w:rsidRPr="00922C73">
        <w:fldChar w:fldCharType="end"/>
      </w:r>
      <w:r w:rsidR="00EA0062" w:rsidRPr="00922C73">
        <w:t>.</w:t>
      </w:r>
      <w:r w:rsidR="00E36CF6" w:rsidRPr="00922C73">
        <w:t xml:space="preserve"> A systematic review identified 24 studies evaluating the switch between Remicade</w:t>
      </w:r>
      <w:r w:rsidR="00E36CF6" w:rsidRPr="00922C73">
        <w:rPr>
          <w:vertAlign w:val="superscript"/>
        </w:rPr>
        <w:t>®</w:t>
      </w:r>
      <w:r w:rsidR="00E36CF6" w:rsidRPr="00922C73">
        <w:t xml:space="preserve"> </w:t>
      </w:r>
      <w:r w:rsidR="00446027" w:rsidRPr="00922C73">
        <w:t xml:space="preserve">and </w:t>
      </w:r>
      <w:r w:rsidR="00E36CF6" w:rsidRPr="00922C73">
        <w:t xml:space="preserve">CT-P13 in 1326 </w:t>
      </w:r>
      <w:r w:rsidR="00961F0E" w:rsidRPr="00922C73">
        <w:t xml:space="preserve">IBD </w:t>
      </w:r>
      <w:r w:rsidR="00E36CF6" w:rsidRPr="00922C73">
        <w:t xml:space="preserve">patients </w:t>
      </w:r>
      <w:r w:rsidR="00961F0E" w:rsidRPr="00922C73">
        <w:t xml:space="preserve">and </w:t>
      </w:r>
      <w:r w:rsidR="00446027" w:rsidRPr="00922C73">
        <w:t xml:space="preserve">showed no difference in </w:t>
      </w:r>
      <w:r w:rsidR="00E36CF6" w:rsidRPr="00922C73">
        <w:t xml:space="preserve">disease control </w:t>
      </w:r>
      <w:r w:rsidR="00446027" w:rsidRPr="00922C73">
        <w:t xml:space="preserve">nor </w:t>
      </w:r>
      <w:r w:rsidR="00E36CF6" w:rsidRPr="00922C73">
        <w:t xml:space="preserve">adverse </w:t>
      </w:r>
      <w:r w:rsidR="00B26820" w:rsidRPr="00922C73">
        <w:t>eve</w:t>
      </w:r>
      <w:r w:rsidR="00E36CF6" w:rsidRPr="00922C73">
        <w:t>nts before and after switching</w:t>
      </w:r>
      <w:r w:rsidR="00961F0E" w:rsidRPr="00922C73">
        <w:t xml:space="preserve"> </w:t>
      </w:r>
      <w:r w:rsidR="00961F0E" w:rsidRPr="00922C73">
        <w:fldChar w:fldCharType="begin" w:fldLock="1"/>
      </w:r>
      <w:r w:rsidR="00DD0F87" w:rsidRPr="00922C73">
        <w:instrText>ADDIN CSL_CITATION {"citationItems":[{"id":"ITEM-1","itemData":{"DOI":"10.1016/j.gastrohep.2018.04.005","ISSN":"02105705","author":[{"dropping-particle":"","family":"Gisbert","given":"Javier P.","non-dropping-particle":"","parse-names":false,"suffix":""},{"dropping-particle":"","family":"Chaparro","given":"María","non-dropping-particle":"","parse-names":false,"suffix":""}],"container-title":"Gastroenterología y Hepatología","id":"ITEM-1","issue":"6","issued":{"date-parts":[["2018","6"]]},"page":"389-405","title":"Switching from an originator anti-TNF to a biosimilar in patients with inflammatory bowel disease: Can it be recommended? A systematic review","type":"article-journal","volume":"41"},"uris":["http://www.mendeley.com/documents/?uuid=4ff213c3-788b-4c6c-8572-105c1645f3ee"]}],"mendeley":{"formattedCitation":"&lt;sup&gt;94&lt;/sup&gt;","plainTextFormattedCitation":"94","previouslyFormattedCitation":"&lt;sup&gt;94&lt;/sup&gt;"},"properties":{"noteIndex":0},"schema":"https://github.com/citation-style-language/schema/raw/master/csl-citation.json"}</w:instrText>
      </w:r>
      <w:r w:rsidR="00961F0E" w:rsidRPr="00922C73">
        <w:fldChar w:fldCharType="separate"/>
      </w:r>
      <w:r w:rsidR="00A00D49" w:rsidRPr="00922C73">
        <w:rPr>
          <w:noProof/>
          <w:vertAlign w:val="superscript"/>
        </w:rPr>
        <w:t>94</w:t>
      </w:r>
      <w:r w:rsidR="00961F0E" w:rsidRPr="00922C73">
        <w:fldChar w:fldCharType="end"/>
      </w:r>
      <w:r w:rsidR="00E36CF6" w:rsidRPr="00922C73">
        <w:t>.</w:t>
      </w:r>
      <w:r w:rsidR="00324E27" w:rsidRPr="00922C73">
        <w:t xml:space="preserve"> Limitations noted by the investigators </w:t>
      </w:r>
      <w:r w:rsidR="004C0B75" w:rsidRPr="00922C73">
        <w:t xml:space="preserve">of the systematic review was that all </w:t>
      </w:r>
      <w:r w:rsidR="00324E27" w:rsidRPr="00922C73">
        <w:t>but one study was retrospective, the low sample size of the individual studies,</w:t>
      </w:r>
      <w:r w:rsidR="00B26820" w:rsidRPr="00922C73">
        <w:t xml:space="preserve"> that follow-up</w:t>
      </w:r>
      <w:r w:rsidR="00324E27" w:rsidRPr="00922C73">
        <w:t xml:space="preserve"> ≤1 year in all studies</w:t>
      </w:r>
      <w:r w:rsidR="00B26820" w:rsidRPr="00922C73">
        <w:t xml:space="preserve"> and</w:t>
      </w:r>
      <w:r w:rsidR="00324E27" w:rsidRPr="00922C73">
        <w:t xml:space="preserve"> response</w:t>
      </w:r>
      <w:r w:rsidR="00B26820" w:rsidRPr="00922C73">
        <w:t xml:space="preserve"> was assessed clinically instead of harder end points such as endoscopically</w:t>
      </w:r>
      <w:r w:rsidR="00324E27" w:rsidRPr="00922C73">
        <w:t xml:space="preserve">. </w:t>
      </w:r>
      <w:r w:rsidR="00B26820" w:rsidRPr="00922C73">
        <w:t xml:space="preserve">A later </w:t>
      </w:r>
      <w:r w:rsidR="006477D6" w:rsidRPr="00922C73">
        <w:t xml:space="preserve">RCT </w:t>
      </w:r>
      <w:r w:rsidR="00B26820" w:rsidRPr="00922C73">
        <w:t xml:space="preserve">to assess non-inferiority </w:t>
      </w:r>
      <w:r w:rsidR="006477D6" w:rsidRPr="00922C73">
        <w:t xml:space="preserve">enrolled 308 patients with active Crohn’s disease naïve to biologics to </w:t>
      </w:r>
      <w:r w:rsidR="00B26820" w:rsidRPr="00922C73">
        <w:t>4 arms:</w:t>
      </w:r>
      <w:r w:rsidR="006477D6" w:rsidRPr="00922C73">
        <w:t xml:space="preserve"> CT-P13 then CT-P13, CT-P13 then infliximab, infliximab then infliximab, </w:t>
      </w:r>
      <w:r w:rsidR="006477D6" w:rsidRPr="00922C73">
        <w:lastRenderedPageBreak/>
        <w:t xml:space="preserve">or infliximab then CT-P13, with switching at week 30 </w:t>
      </w:r>
      <w:r w:rsidR="006477D6" w:rsidRPr="00922C73">
        <w:fldChar w:fldCharType="begin" w:fldLock="1"/>
      </w:r>
      <w:r w:rsidR="00DD0F87" w:rsidRPr="00922C73">
        <w:instrText>ADDIN CSL_CITATION {"citationItems":[{"id":"ITEM-1","itemData":{"DOI":"10.1016/S0140-6736(18)32196-2","ISSN":"01406736","author":[{"dropping-particle":"","family":"Ye","given":"Byong Duk","non-dropping-particle":"","parse-names":false,"suffix":""},{"dropping-particle":"","family":"Pesegova","given":"Marina","non-dropping-particle":"","parse-names":false,"suffix":""},{"dropping-particle":"","family":"Alexeeva","given":"Olga","non-dropping-particle":"","parse-names":false,"suffix":""},{"dropping-particle":"","family":"Osipenko","given":"Marina","non-dropping-particle":"","parse-names":false,"suffix":""},{"dropping-particle":"","family":"Lahat","given":"Adi","non-dropping-particle":"","parse-names":false,"suffix":""},{"dropping-particle":"","family":"Dorofeyev","given":"Andriy","non-dropping-particle":"","parse-names":false,"suffix":""},{"dropping-particle":"","family":"Fishman","given":"Sigal","non-dropping-particle":"","parse-names":false,"suffix":""},{"dropping-particle":"","family":"Levchenko","given":"Olena","non-dropping-particle":"","parse-names":false,"suffix":""},{"dropping-particle":"","family":"Cheon","given":"Jae Hee","non-dropping-particle":"","parse-names":false,"suffix":""},{"dropping-particle":"","family":"Scribano","given":"Maria Lia","non-dropping-particle":"","parse-names":false,"suffix":""},{"dropping-particle":"","family":"Mateescu","given":"Radu-Bogdan","non-dropping-particle":"","parse-names":false,"suffix":""},{"dropping-particle":"","family":"Lee","given":"Kang-Moon","non-dropping-particle":"","parse-names":false,"suffix":""},{"dropping-particle":"","family":"Eun","given":"Chang Soo","non-dropping-particle":"","parse-names":false,"suffix":""},{"dropping-particle":"","family":"Lee","given":"Sang Joon","non-dropping-particle":"","parse-names":false,"suffix":""},{"dropping-particle":"","family":"Lee","given":"Sung Young","non-dropping-particle":"","parse-names":false,"suffix":""},{"dropping-particle":"","family":"Kim","given":"HoUng","non-dropping-particle":"","parse-names":false,"suffix":""},{"dropping-particle":"","family":"Schreiber","given":"Stefan","non-dropping-particle":"","parse-names":false,"suffix":""},{"dropping-particle":"","family":"Fowler","given":"Heather","non-dropping-particle":"","parse-names":false,"suffix":""},{"dropping-particle":"","family":"Cheung","given":"Raymond","non-dropping-particle":"","parse-names":false,"suffix":""},{"dropping-particle":"","family":"Kim","given":"Young-Ho","non-dropping-particle":"","parse-names":false,"suffix":""}],"container-title":"The Lancet","id":"ITEM-1","issue":"10182","issued":{"date-parts":[["2019","4"]]},"page":"1699-1707","title":"Efficacy and safety of biosimilar CT-P13 compared with originator infliximab in patients with active Crohn's disease: an international, randomised, double-blind, phase 3 non-inferiority study","type":"article-journal","volume":"393"},"uris":["http://www.mendeley.com/documents/?uuid=48b71dd9-4336-4d67-935d-8598f25195da"]}],"mendeley":{"formattedCitation":"&lt;sup&gt;95&lt;/sup&gt;","plainTextFormattedCitation":"95","previouslyFormattedCitation":"&lt;sup&gt;95&lt;/sup&gt;"},"properties":{"noteIndex":0},"schema":"https://github.com/citation-style-language/schema/raw/master/csl-citation.json"}</w:instrText>
      </w:r>
      <w:r w:rsidR="006477D6" w:rsidRPr="00922C73">
        <w:fldChar w:fldCharType="separate"/>
      </w:r>
      <w:r w:rsidR="00A00D49" w:rsidRPr="00922C73">
        <w:rPr>
          <w:noProof/>
          <w:vertAlign w:val="superscript"/>
        </w:rPr>
        <w:t>95</w:t>
      </w:r>
      <w:r w:rsidR="006477D6" w:rsidRPr="00922C73">
        <w:fldChar w:fldCharType="end"/>
      </w:r>
      <w:r w:rsidR="006477D6" w:rsidRPr="00922C73">
        <w:t>. There was n</w:t>
      </w:r>
      <w:r w:rsidR="005755F3" w:rsidRPr="00922C73">
        <w:t xml:space="preserve">o </w:t>
      </w:r>
      <w:r w:rsidR="006477D6" w:rsidRPr="00922C73">
        <w:t xml:space="preserve">significant </w:t>
      </w:r>
      <w:r w:rsidR="005755F3" w:rsidRPr="00922C73">
        <w:t>difference in rates of clinical response following induction at week 6</w:t>
      </w:r>
      <w:r w:rsidR="006477D6" w:rsidRPr="00922C73">
        <w:t>, similar</w:t>
      </w:r>
      <w:r w:rsidR="005755F3" w:rsidRPr="00922C73">
        <w:t xml:space="preserve"> </w:t>
      </w:r>
      <w:r w:rsidR="006477D6" w:rsidRPr="00922C73">
        <w:t>s</w:t>
      </w:r>
      <w:r w:rsidR="005755F3" w:rsidRPr="00922C73">
        <w:t>ustained steroid-free remission rates between groups after switching</w:t>
      </w:r>
      <w:r w:rsidR="006477D6" w:rsidRPr="00922C73">
        <w:t xml:space="preserve"> and similar rates of adverse reactions before and after switching </w:t>
      </w:r>
      <w:r w:rsidR="006477D6" w:rsidRPr="00922C73">
        <w:fldChar w:fldCharType="begin" w:fldLock="1"/>
      </w:r>
      <w:r w:rsidR="00DD0F87" w:rsidRPr="00922C73">
        <w:instrText>ADDIN CSL_CITATION {"citationItems":[{"id":"ITEM-1","itemData":{"DOI":"10.1016/S0140-6736(18)32196-2","ISSN":"01406736","author":[{"dropping-particle":"","family":"Ye","given":"Byong Duk","non-dropping-particle":"","parse-names":false,"suffix":""},{"dropping-particle":"","family":"Pesegova","given":"Marina","non-dropping-particle":"","parse-names":false,"suffix":""},{"dropping-particle":"","family":"Alexeeva","given":"Olga","non-dropping-particle":"","parse-names":false,"suffix":""},{"dropping-particle":"","family":"Osipenko","given":"Marina","non-dropping-particle":"","parse-names":false,"suffix":""},{"dropping-particle":"","family":"Lahat","given":"Adi","non-dropping-particle":"","parse-names":false,"suffix":""},{"dropping-particle":"","family":"Dorofeyev","given":"Andriy","non-dropping-particle":"","parse-names":false,"suffix":""},{"dropping-particle":"","family":"Fishman","given":"Sigal","non-dropping-particle":"","parse-names":false,"suffix":""},{"dropping-particle":"","family":"Levchenko","given":"Olena","non-dropping-particle":"","parse-names":false,"suffix":""},{"dropping-particle":"","family":"Cheon","given":"Jae Hee","non-dropping-particle":"","parse-names":false,"suffix":""},{"dropping-particle":"","family":"Scribano","given":"Maria Lia","non-dropping-particle":"","parse-names":false,"suffix":""},{"dropping-particle":"","family":"Mateescu","given":"Radu-Bogdan","non-dropping-particle":"","parse-names":false,"suffix":""},{"dropping-particle":"","family":"Lee","given":"Kang-Moon","non-dropping-particle":"","parse-names":false,"suffix":""},{"dropping-particle":"","family":"Eun","given":"Chang Soo","non-dropping-particle":"","parse-names":false,"suffix":""},{"dropping-particle":"","family":"Lee","given":"Sang Joon","non-dropping-particle":"","parse-names":false,"suffix":""},{"dropping-particle":"","family":"Lee","given":"Sung Young","non-dropping-particle":"","parse-names":false,"suffix":""},{"dropping-particle":"","family":"Kim","given":"HoUng","non-dropping-particle":"","parse-names":false,"suffix":""},{"dropping-particle":"","family":"Schreiber","given":"Stefan","non-dropping-particle":"","parse-names":false,"suffix":""},{"dropping-particle":"","family":"Fowler","given":"Heather","non-dropping-particle":"","parse-names":false,"suffix":""},{"dropping-particle":"","family":"Cheung","given":"Raymond","non-dropping-particle":"","parse-names":false,"suffix":""},{"dropping-particle":"","family":"Kim","given":"Young-Ho","non-dropping-particle":"","parse-names":false,"suffix":""}],"container-title":"The Lancet","id":"ITEM-1","issue":"10182","issued":{"date-parts":[["2019","4"]]},"page":"1699-1707","title":"Efficacy and safety of biosimilar CT-P13 compared with originator infliximab in patients with active Crohn's disease: an international, randomised, double-blind, phase 3 non-inferiority study","type":"article-journal","volume":"393"},"uris":["http://www.mendeley.com/documents/?uuid=48b71dd9-4336-4d67-935d-8598f25195da"]}],"mendeley":{"formattedCitation":"&lt;sup&gt;95&lt;/sup&gt;","plainTextFormattedCitation":"95","previouslyFormattedCitation":"&lt;sup&gt;95&lt;/sup&gt;"},"properties":{"noteIndex":0},"schema":"https://github.com/citation-style-language/schema/raw/master/csl-citation.json"}</w:instrText>
      </w:r>
      <w:r w:rsidR="006477D6" w:rsidRPr="00922C73">
        <w:fldChar w:fldCharType="separate"/>
      </w:r>
      <w:r w:rsidR="00A00D49" w:rsidRPr="00922C73">
        <w:rPr>
          <w:noProof/>
          <w:vertAlign w:val="superscript"/>
        </w:rPr>
        <w:t>95</w:t>
      </w:r>
      <w:r w:rsidR="006477D6" w:rsidRPr="00922C73">
        <w:fldChar w:fldCharType="end"/>
      </w:r>
      <w:r w:rsidR="006477D6" w:rsidRPr="00922C73">
        <w:t xml:space="preserve">. </w:t>
      </w:r>
      <w:r w:rsidR="006E7D0F" w:rsidRPr="00922C73">
        <w:t xml:space="preserve">Once again response was assessed clinically with improvement in CDAI scores. </w:t>
      </w:r>
      <w:r w:rsidR="003614F4" w:rsidRPr="00922C73">
        <w:t xml:space="preserve">The rates of ADA </w:t>
      </w:r>
      <w:r w:rsidR="00324E27" w:rsidRPr="00922C73">
        <w:t>appeared</w:t>
      </w:r>
      <w:r w:rsidR="003614F4" w:rsidRPr="00922C73">
        <w:t xml:space="preserve"> similar prior to switching and at </w:t>
      </w:r>
      <w:r w:rsidR="005755F3" w:rsidRPr="00922C73">
        <w:t>week 54</w:t>
      </w:r>
      <w:r w:rsidR="00324E27" w:rsidRPr="00922C73">
        <w:t xml:space="preserve"> (rates of 33%-55%), but no statistical analysis was performed</w:t>
      </w:r>
      <w:r w:rsidR="007F37F2" w:rsidRPr="00922C73">
        <w:t xml:space="preserve"> </w:t>
      </w:r>
      <w:r w:rsidR="007F37F2" w:rsidRPr="00922C73">
        <w:fldChar w:fldCharType="begin" w:fldLock="1"/>
      </w:r>
      <w:r w:rsidR="00DD0F87" w:rsidRPr="00922C73">
        <w:instrText>ADDIN CSL_CITATION {"citationItems":[{"id":"ITEM-1","itemData":{"DOI":"10.1016/S0140-6736(18)32196-2","ISSN":"01406736","author":[{"dropping-particle":"","family":"Ye","given":"Byong Duk","non-dropping-particle":"","parse-names":false,"suffix":""},{"dropping-particle":"","family":"Pesegova","given":"Marina","non-dropping-particle":"","parse-names":false,"suffix":""},{"dropping-particle":"","family":"Alexeeva","given":"Olga","non-dropping-particle":"","parse-names":false,"suffix":""},{"dropping-particle":"","family":"Osipenko","given":"Marina","non-dropping-particle":"","parse-names":false,"suffix":""},{"dropping-particle":"","family":"Lahat","given":"Adi","non-dropping-particle":"","parse-names":false,"suffix":""},{"dropping-particle":"","family":"Dorofeyev","given":"Andriy","non-dropping-particle":"","parse-names":false,"suffix":""},{"dropping-particle":"","family":"Fishman","given":"Sigal","non-dropping-particle":"","parse-names":false,"suffix":""},{"dropping-particle":"","family":"Levchenko","given":"Olena","non-dropping-particle":"","parse-names":false,"suffix":""},{"dropping-particle":"","family":"Cheon","given":"Jae Hee","non-dropping-particle":"","parse-names":false,"suffix":""},{"dropping-particle":"","family":"Scribano","given":"Maria Lia","non-dropping-particle":"","parse-names":false,"suffix":""},{"dropping-particle":"","family":"Mateescu","given":"Radu-Bogdan","non-dropping-particle":"","parse-names":false,"suffix":""},{"dropping-particle":"","family":"Lee","given":"Kang-Moon","non-dropping-particle":"","parse-names":false,"suffix":""},{"dropping-particle":"","family":"Eun","given":"Chang Soo","non-dropping-particle":"","parse-names":false,"suffix":""},{"dropping-particle":"","family":"Lee","given":"Sang Joon","non-dropping-particle":"","parse-names":false,"suffix":""},{"dropping-particle":"","family":"Lee","given":"Sung Young","non-dropping-particle":"","parse-names":false,"suffix":""},{"dropping-particle":"","family":"Kim","given":"HoUng","non-dropping-particle":"","parse-names":false,"suffix":""},{"dropping-particle":"","family":"Schreiber","given":"Stefan","non-dropping-particle":"","parse-names":false,"suffix":""},{"dropping-particle":"","family":"Fowler","given":"Heather","non-dropping-particle":"","parse-names":false,"suffix":""},{"dropping-particle":"","family":"Cheung","given":"Raymond","non-dropping-particle":"","parse-names":false,"suffix":""},{"dropping-particle":"","family":"Kim","given":"Young-Ho","non-dropping-particle":"","parse-names":false,"suffix":""}],"container-title":"The Lancet","id":"ITEM-1","issue":"10182","issued":{"date-parts":[["2019","4"]]},"page":"1699-1707","title":"Efficacy and safety of biosimilar CT-P13 compared with originator infliximab in patients with active Crohn's disease: an international, randomised, double-blind, phase 3 non-inferiority study","type":"article-journal","volume":"393"},"uris":["http://www.mendeley.com/documents/?uuid=48b71dd9-4336-4d67-935d-8598f25195da"]}],"mendeley":{"formattedCitation":"&lt;sup&gt;95&lt;/sup&gt;","plainTextFormattedCitation":"95","previouslyFormattedCitation":"&lt;sup&gt;95&lt;/sup&gt;"},"properties":{"noteIndex":0},"schema":"https://github.com/citation-style-language/schema/raw/master/csl-citation.json"}</w:instrText>
      </w:r>
      <w:r w:rsidR="007F37F2" w:rsidRPr="00922C73">
        <w:fldChar w:fldCharType="separate"/>
      </w:r>
      <w:r w:rsidR="00A00D49" w:rsidRPr="00922C73">
        <w:rPr>
          <w:noProof/>
          <w:vertAlign w:val="superscript"/>
        </w:rPr>
        <w:t>95</w:t>
      </w:r>
      <w:r w:rsidR="007F37F2" w:rsidRPr="00922C73">
        <w:fldChar w:fldCharType="end"/>
      </w:r>
      <w:r w:rsidR="00324E27" w:rsidRPr="00922C73">
        <w:t xml:space="preserve">. </w:t>
      </w:r>
      <w:r w:rsidR="00B076DA" w:rsidRPr="00922C73">
        <w:rPr>
          <w:shd w:val="clear" w:color="auto" w:fill="FFFFFF"/>
        </w:rPr>
        <w:t xml:space="preserve">There are no RCTs in IBD comparing SB2 to originator infliximab. </w:t>
      </w:r>
      <w:r w:rsidR="00B076DA" w:rsidRPr="00922C73">
        <w:t xml:space="preserve">A RCT in moderate to severe rheumatoid arthritis </w:t>
      </w:r>
      <w:r w:rsidR="007F37F2" w:rsidRPr="00922C73">
        <w:t xml:space="preserve">(n=584) </w:t>
      </w:r>
      <w:r w:rsidR="00B076DA" w:rsidRPr="00922C73">
        <w:t>compared SB2’s efficacy, safety, immunogenicity, and PK to originator infliximab</w:t>
      </w:r>
      <w:r w:rsidR="007F37F2" w:rsidRPr="00922C73">
        <w:t xml:space="preserve"> over 54 weeks</w:t>
      </w:r>
      <w:r w:rsidR="00440937" w:rsidRPr="00922C73">
        <w:t xml:space="preserve"> and showed</w:t>
      </w:r>
      <w:r w:rsidR="007F37F2" w:rsidRPr="00922C73">
        <w:t xml:space="preserve"> no significance difference in response rates at week 30 </w:t>
      </w:r>
      <w:r w:rsidR="00440937" w:rsidRPr="00922C73">
        <w:t>and</w:t>
      </w:r>
      <w:r w:rsidR="007F37F2" w:rsidRPr="00922C73">
        <w:t xml:space="preserve"> 54</w:t>
      </w:r>
      <w:r w:rsidR="00440937" w:rsidRPr="00922C73">
        <w:t xml:space="preserve"> </w:t>
      </w:r>
      <w:r w:rsidR="00440937" w:rsidRPr="00922C73">
        <w:fldChar w:fldCharType="begin" w:fldLock="1"/>
      </w:r>
      <w:r w:rsidR="00DD0F87" w:rsidRPr="00922C73">
        <w:instrText>ADDIN CSL_CITATION {"citationItems":[{"id":"ITEM-1","itemData":{"DOI":"10.1136/annrheumdis-2015-207764","ISSN":"0003-4967","PMID":"26318384","abstract":"OBJECTIVES: To compare the efficacy, safety, immunogenicity and pharmacokinetics (PK) of SB2 to the infliximab reference product (INF) in patients with moderate to severe rheumatoid arthritis (RA) despite methotrexate therapy.\\n\\nMETHODS: This is a phase III, randomised, double-blind, multinational, multicentre parallel group study. Patients with moderate to severe RA despite methotrexate therapy were randomised in a 1:1 ratio to receive either SB2 or INF of 3 mg/kg. The primary end point was the American College of Rheumatology 20% (ACR20) response at week 30. Inclusion of the 95% CI of the ACR20 response difference within a ±15% margin was required for equivalence.\\n\\nRESULTS: 584 subjects were randomised into SB2 (N=291; 290 analysed) or INF (N=293). The ACR20 response at week 30 in the per-protocol set was 64.1% in SB2 versus 66.0% in INF. The adjusted rate difference was -1.88% (95% CI -10.26% to 6.51%), which was within the predefined equivalence margin. Other efficacy outcomes such as ACR50/70, disease activity score measured by 28 joints and European League against Rheumatism response were similar between SB2 and INF. The incidence of treatment-emergent adverse events was comparable (57.6% in SB2 vs 58.0% in INF) as well as the incidence of antidrug antibodies (ADA) to infliximab up to week 30 (55.1% in SB2 vs 49.7% in INF). The PK profile was similar between SB2 and INF. Efficacy, safety and PK by ADA subgroup were comparable between SB2 and INF.\\n\\nCONCLUSIONS: SB2 was equivalent to INF in terms of ACR20 response at week 30. SB2 was well tolerated with a comparable safety profile, immunogenicity and PK to INF.\\n\\nTRIAL REGISTRATION NUMBER: NCT01936181.","author":[{"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Hee","non-dropping-particle":"","parse-names":false,"suffix":""},{"dropping-particle":"","family":"Smolen","given":"Josef S","non-dropping-particle":"","parse-names":false,"suffix":""}],"container-title":"Annals of the Rheumatic Diseases","id":"ITEM-1","issue":"1","issued":{"date-parts":[["2017","1"]]},"page":"58-64","title":"A randomised, double-blind, phase III study comparing SB2, an infliximab biosimilar, to the infliximab reference product Remicade in patients with moderate to severe rheumatoid arthritis despite methotrexate therapy","type":"article-journal","volume":"76"},"uris":["http://www.mendeley.com/documents/?uuid=ecf1a2e5-c3b2-4e3c-8981-e3d8e1fe728f"]}],"mendeley":{"formattedCitation":"&lt;sup&gt;92&lt;/sup&gt;","plainTextFormattedCitation":"92","previouslyFormattedCitation":"&lt;sup&gt;92&lt;/sup&gt;"},"properties":{"noteIndex":0},"schema":"https://github.com/citation-style-language/schema/raw/master/csl-citation.json"}</w:instrText>
      </w:r>
      <w:r w:rsidR="00440937" w:rsidRPr="00922C73">
        <w:fldChar w:fldCharType="separate"/>
      </w:r>
      <w:r w:rsidR="00A00D49" w:rsidRPr="00922C73">
        <w:rPr>
          <w:noProof/>
          <w:vertAlign w:val="superscript"/>
        </w:rPr>
        <w:t>92</w:t>
      </w:r>
      <w:r w:rsidR="00440937" w:rsidRPr="00922C73">
        <w:fldChar w:fldCharType="end"/>
      </w:r>
      <w:r w:rsidR="007F37F2" w:rsidRPr="00922C73">
        <w:t>. At 54 weeks, patients in the SB2 arm continued treatment and patients in the originator drug arm were re-randomised to SB2 or continued the originator drug</w:t>
      </w:r>
      <w:r w:rsidR="00440937" w:rsidRPr="00922C73">
        <w:t xml:space="preserve"> with similar response rates of 64-69% at week 78 in all three arms </w:t>
      </w:r>
      <w:r w:rsidR="00440937" w:rsidRPr="00922C73">
        <w:fldChar w:fldCharType="begin" w:fldLock="1"/>
      </w:r>
      <w:r w:rsidR="00DD0F87" w:rsidRPr="00922C73">
        <w:instrText>ADDIN CSL_CITATION {"citationItems":[{"id":"ITEM-1","itemData":{"DOI":"10.1093/rheumatology/kex254","ISSN":"1462-0324","author":[{"dropping-particle":"","family":"Smolen","given":"Josef S.","non-dropping-particle":"","parse-names":false,"suffix":""},{"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Hee","non-dropping-particle":"","parse-names":false,"suffix":""}],"container-title":"Rheumatology","id":"ITEM-1","issue":"10","issued":{"date-parts":[["2017","10","1"]]},"page":"1771-1779","title":"Comparing biosimilar SB2 with reference infliximab after 54 weeks of a double-blind trial: clinical, structural and safety results","type":"article-journal","volume":"56"},"uris":["http://www.mendeley.com/documents/?uuid=3e4dc9ef-7eb2-4398-b762-b7bad438fdaf"]}],"mendeley":{"formattedCitation":"&lt;sup&gt;96&lt;/sup&gt;","plainTextFormattedCitation":"96","previouslyFormattedCitation":"&lt;sup&gt;96&lt;/sup&gt;"},"properties":{"noteIndex":0},"schema":"https://github.com/citation-style-language/schema/raw/master/csl-citation.json"}</w:instrText>
      </w:r>
      <w:r w:rsidR="00440937" w:rsidRPr="00922C73">
        <w:fldChar w:fldCharType="separate"/>
      </w:r>
      <w:r w:rsidR="00A00D49" w:rsidRPr="00922C73">
        <w:rPr>
          <w:noProof/>
          <w:vertAlign w:val="superscript"/>
        </w:rPr>
        <w:t>96</w:t>
      </w:r>
      <w:r w:rsidR="00440937" w:rsidRPr="00922C73">
        <w:fldChar w:fldCharType="end"/>
      </w:r>
      <w:r w:rsidR="007F37F2" w:rsidRPr="00922C73">
        <w:t xml:space="preserve">. Rates of adverse events and ADA formation was also similar in the initial </w:t>
      </w:r>
      <w:r w:rsidR="0048624A" w:rsidRPr="00922C73">
        <w:t xml:space="preserve">part of the </w:t>
      </w:r>
      <w:r w:rsidR="007F37F2" w:rsidRPr="00922C73">
        <w:t>study and following switching</w:t>
      </w:r>
      <w:r w:rsidR="00440937" w:rsidRPr="00922C73">
        <w:t xml:space="preserve"> </w:t>
      </w:r>
      <w:r w:rsidR="00440937" w:rsidRPr="00922C73">
        <w:fldChar w:fldCharType="begin" w:fldLock="1"/>
      </w:r>
      <w:r w:rsidR="00DD0F87" w:rsidRPr="00922C73">
        <w:instrText>ADDIN CSL_CITATION {"citationItems":[{"id":"ITEM-1","itemData":{"DOI":"10.1136/annrheumdis-2015-207764","ISSN":"0003-4967","PMID":"26318384","abstract":"OBJECTIVES: To compare the efficacy, safety, immunogenicity and pharmacokinetics (PK) of SB2 to the infliximab reference product (INF) in patients with moderate to severe rheumatoid arthritis (RA) despite methotrexate therapy.\\n\\nMETHODS: This is a phase III, randomised, double-blind, multinational, multicentre parallel group study. Patients with moderate to severe RA despite methotrexate therapy were randomised in a 1:1 ratio to receive either SB2 or INF of 3 mg/kg. The primary end point was the American College of Rheumatology 20% (ACR20) response at week 30. Inclusion of the 95% CI of the ACR20 response difference within a ±15% margin was required for equivalence.\\n\\nRESULTS: 584 subjects were randomised into SB2 (N=291; 290 analysed) or INF (N=293). The ACR20 response at week 30 in the per-protocol set was 64.1% in SB2 versus 66.0% in INF. The adjusted rate difference was -1.88% (95% CI -10.26% to 6.51%), which was within the predefined equivalence margin. Other efficacy outcomes such as ACR50/70, disease activity score measured by 28 joints and European League against Rheumatism response were similar between SB2 and INF. The incidence of treatment-emergent adverse events was comparable (57.6% in SB2 vs 58.0% in INF) as well as the incidence of antidrug antibodies (ADA) to infliximab up to week 30 (55.1% in SB2 vs 49.7% in INF). The PK profile was similar between SB2 and INF. Efficacy, safety and PK by ADA subgroup were comparable between SB2 and INF.\\n\\nCONCLUSIONS: SB2 was equivalent to INF in terms of ACR20 response at week 30. SB2 was well tolerated with a comparable safety profile, immunogenicity and PK to INF.\\n\\nTRIAL REGISTRATION NUMBER: NCT01936181.","author":[{"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Hee","non-dropping-particle":"","parse-names":false,"suffix":""},{"dropping-particle":"","family":"Smolen","given":"Josef S","non-dropping-particle":"","parse-names":false,"suffix":""}],"container-title":"Annals of the Rheumatic Diseases","id":"ITEM-1","issue":"1","issued":{"date-parts":[["2017","1"]]},"page":"58-64","title":"A randomised, double-blind, phase III study comparing SB2, an infliximab biosimilar, to the infliximab reference product Remicade in patients with moderate to severe rheumatoid arthritis despite methotrexate therapy","type":"article-journal","volume":"76"},"uris":["http://www.mendeley.com/documents/?uuid=ecf1a2e5-c3b2-4e3c-8981-e3d8e1fe728f"]},{"id":"ITEM-2","itemData":{"DOI":"10.1093/rheumatology/kex254","ISSN":"1462-0324","author":[{"dropping-particle":"","family":"Smolen","given":"Josef S.","non-dropping-particle":"","parse-names":false,"suffix":""},{"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Hee","non-dropping-particle":"","parse-names":false,"suffix":""}],"container-title":"Rheumatology","id":"ITEM-2","issue":"10","issued":{"date-parts":[["2017","10","1"]]},"page":"1771-1779","title":"Comparing biosimilar SB2 with reference infliximab after 54 weeks of a double-blind trial: clinical, structural and safety results","type":"article-journal","volume":"56"},"uris":["http://www.mendeley.com/documents/?uuid=3e4dc9ef-7eb2-4398-b762-b7bad438fdaf"]}],"mendeley":{"formattedCitation":"&lt;sup&gt;92,96&lt;/sup&gt;","plainTextFormattedCitation":"92,96","previouslyFormattedCitation":"&lt;sup&gt;92,96&lt;/sup&gt;"},"properties":{"noteIndex":0},"schema":"https://github.com/citation-style-language/schema/raw/master/csl-citation.json"}</w:instrText>
      </w:r>
      <w:r w:rsidR="00440937" w:rsidRPr="00922C73">
        <w:fldChar w:fldCharType="separate"/>
      </w:r>
      <w:r w:rsidR="00A00D49" w:rsidRPr="00922C73">
        <w:rPr>
          <w:noProof/>
          <w:vertAlign w:val="superscript"/>
        </w:rPr>
        <w:t>92,96</w:t>
      </w:r>
      <w:r w:rsidR="00440937" w:rsidRPr="00922C73">
        <w:fldChar w:fldCharType="end"/>
      </w:r>
      <w:r w:rsidR="007F37F2" w:rsidRPr="00922C73">
        <w:t xml:space="preserve">. </w:t>
      </w:r>
      <w:r w:rsidR="00C34A33" w:rsidRPr="00922C73">
        <w:t xml:space="preserve">Real life prospective studies in IBD </w:t>
      </w:r>
      <w:r w:rsidR="004C5B50" w:rsidRPr="00922C73">
        <w:t>have subsequently indicated</w:t>
      </w:r>
      <w:r w:rsidR="00C34A33" w:rsidRPr="00922C73">
        <w:t xml:space="preserve"> that following a switch from originator infliximab to SB2</w:t>
      </w:r>
      <w:r w:rsidR="00A532C5" w:rsidRPr="00922C73">
        <w:t>,</w:t>
      </w:r>
      <w:r w:rsidR="00C34A33" w:rsidRPr="00922C73">
        <w:t xml:space="preserve"> clinical response </w:t>
      </w:r>
      <w:r w:rsidR="004C5B50" w:rsidRPr="00922C73">
        <w:t>i</w:t>
      </w:r>
      <w:r w:rsidR="00C34A33" w:rsidRPr="00922C73">
        <w:t>s maintained</w:t>
      </w:r>
      <w:r w:rsidR="00A532C5" w:rsidRPr="00922C73">
        <w:t xml:space="preserve"> in clinically stable patients</w:t>
      </w:r>
      <w:r w:rsidR="004C5B50" w:rsidRPr="00922C73">
        <w:t xml:space="preserve"> </w:t>
      </w:r>
      <w:r w:rsidR="004C5B50" w:rsidRPr="00922C73">
        <w:fldChar w:fldCharType="begin" w:fldLock="1"/>
      </w:r>
      <w:r w:rsidR="00DD0F87" w:rsidRPr="00922C73">
        <w:instrText>ADDIN CSL_CITATION {"citationItems":[{"id":"ITEM-1","itemData":{"DOI":"10.1177/1756284820982802","ISSN":"1756-2848","author":[{"dropping-particle":"","family":"Fischer","given":"Sarah","non-dropping-particle":"","parse-names":false,"suffix":""},{"dropping-particle":"","family":"Cohnen","given":"Sarah","non-dropping-particle":"","parse-names":false,"suffix":""},{"dropping-particle":"","family":"Klenske","given":"Entcho","non-dropping-particle":"","parse-names":false,"suffix":""},{"dropping-particle":"","family":"Schmitt","given":"Heike","non-dropping-particle":"","parse-names":false,"suffix":""},{"dropping-particle":"","family":"Vitali","given":"Francesco","non-dropping-particle":"","parse-names":false,"suffix":""},{"dropping-particle":"","family":"Hirschmann","given":"Simon","non-dropping-particle":"","parse-names":false,"suffix":""},{"dropping-particle":"","family":"Ramming","given":"Andreas","non-dropping-particle":"","parse-names":false,"suffix":""},{"dropping-particle":"","family":"Zundler","given":"Sebastian","non-dropping-particle":"","parse-names":false,"suffix":""},{"dropping-particle":"","family":"Rath","given":"Timo","non-dropping-particle":"","parse-names":false,"suffix":""},{"dropping-particle":"","family":"Krebs","given":"Sabine","non-dropping-particle":"","parse-names":false,"suffix":""},{"dropping-particle":"","family":"Dörje","given":"Frank","non-dropping-particle":"","parse-names":false,"suffix":""},{"dropping-particle":"","family":"Uter","given":"Wolfgang","non-dropping-particle":"","parse-names":false,"suffix":""},{"dropping-particle":"","family":"Nagore","given":"Daniel","non-dropping-particle":"","parse-names":false,"suffix":""},{"dropping-particle":"","family":"Meyer","given":"Sebastian","non-dropping-particle":"","parse-names":false,"suffix":""},{"dropping-particle":"","family":"Neurath","given":"Markus F.","non-dropping-particle":"","parse-names":false,"suffix":""},{"dropping-particle":"","family":"Atreya","given":"Raja","non-dropping-particle":"","parse-names":false,"suffix":""}],"container-title":"Therapeutic Advances in Gastroenterology","id":"ITEM-1","issued":{"date-parts":[["2021","1","14"]]},"page":"175628482098280","title":"Long-term effectiveness, safety and immunogenicity of the biosimilar SB2 in inflammatory bowel disease patients after switching from originator infliximab","type":"article-journal","volume":"14"},"uris":["http://www.mendeley.com/documents/?uuid=4cfa2b67-d949-4d63-94ae-018ed65fd2a0"]},{"id":"ITEM-2","itemData":{"DOI":"10.1177/17562848211023384","ISSN":"1756-2848","author":[{"dropping-particle":"","family":"Massimi","given":"Davide","non-dropping-particle":"","parse-names":false,"suffix":""},{"dropping-particle":"","family":"Barberio","given":"Brigida","non-dropping-particle":"","parse-names":false,"suffix":""},{"dropping-particle":"","family":"Bertani","given":"Lorenzo","non-dropping-particle":"","parse-names":false,"suffix":""},{"dropping-particle":"","family":"Costa","given":"Francesco","non-dropping-particle":"","parse-names":false,"suffix":""},{"dropping-particle":"","family":"Ferronato","given":"Antonio","non-dropping-particle":"","parse-names":false,"suffix":""},{"dropping-particle":"","family":"Facchin","given":"Sonia","non-dropping-particle":"","parse-names":false,"suffix":""},{"dropping-particle":"","family":"Cardin","given":"Romilda","non-dropping-particle":"","parse-names":false,"suffix":""},{"dropping-particle":"","family":"Cingolani","given":"Linda","non-dropping-particle":"","parse-names":false,"suffix":""},{"dropping-particle":"","family":"Casadei","given":"Cesare","non-dropping-particle":"","parse-names":false,"suffix":""},{"dropping-particle":"","family":"D’Incà","given":"Renata","non-dropping-particle":"","parse-names":false,"suffix":""},{"dropping-particle":"","family":"Zingone","given":"Fabiana","non-dropping-particle":"","parse-names":false,"suffix":""},{"dropping-particle":"","family":"Savarino","given":"Edoardo Vincenzo","non-dropping-particle":"","parse-names":false,"suffix":""}],"container-title":"Therapeutic Advances in Gastroenterology","id":"ITEM-2","issued":{"date-parts":[["2021","1","27"]]},"page":"175628482110233","title":"Switching from Infliximab Originator to SB2 Biosimilar in Inflammatory Bowel Diseases: A Multicentric Prospective Real-Life Study","type":"article-journal","volume":"14"},"uris":["http://www.mendeley.com/documents/?uuid=c4a6f910-b3f5-4612-bfb4-f3b931e17524"]}],"mendeley":{"formattedCitation":"&lt;sup&gt;97,98&lt;/sup&gt;","plainTextFormattedCitation":"97,98","previouslyFormattedCitation":"&lt;sup&gt;97,98&lt;/sup&gt;"},"properties":{"noteIndex":0},"schema":"https://github.com/citation-style-language/schema/raw/master/csl-citation.json"}</w:instrText>
      </w:r>
      <w:r w:rsidR="004C5B50" w:rsidRPr="00922C73">
        <w:fldChar w:fldCharType="separate"/>
      </w:r>
      <w:r w:rsidR="00A00D49" w:rsidRPr="00922C73">
        <w:rPr>
          <w:noProof/>
          <w:vertAlign w:val="superscript"/>
        </w:rPr>
        <w:t>97,98</w:t>
      </w:r>
      <w:r w:rsidR="004C5B50" w:rsidRPr="00922C73">
        <w:fldChar w:fldCharType="end"/>
      </w:r>
      <w:r w:rsidR="00C34A33" w:rsidRPr="00922C73">
        <w:t xml:space="preserve">. </w:t>
      </w:r>
    </w:p>
    <w:p w14:paraId="0FC18C10" w14:textId="0C1EC825" w:rsidR="005755F3" w:rsidRPr="00922C73" w:rsidRDefault="005755F3" w:rsidP="00440937">
      <w:pPr>
        <w:spacing w:line="480" w:lineRule="auto"/>
        <w:rPr>
          <w:rFonts w:ascii="Times New Roman" w:hAnsi="Times New Roman" w:cs="Times New Roman"/>
          <w:sz w:val="24"/>
          <w:szCs w:val="24"/>
          <w:shd w:val="clear" w:color="auto" w:fill="FFFFFF"/>
        </w:rPr>
      </w:pPr>
    </w:p>
    <w:p w14:paraId="3F82D9AB" w14:textId="262CC158" w:rsidR="00446027" w:rsidRPr="00922C73" w:rsidRDefault="00446027" w:rsidP="00440937">
      <w:pPr>
        <w:spacing w:before="200" w:after="0" w:line="480" w:lineRule="auto"/>
        <w:rPr>
          <w:rFonts w:ascii="Times New Roman" w:hAnsi="Times New Roman" w:cs="Times New Roman"/>
          <w:sz w:val="24"/>
          <w:szCs w:val="24"/>
        </w:rPr>
      </w:pPr>
      <w:r w:rsidRPr="00922C73">
        <w:rPr>
          <w:rFonts w:ascii="Times New Roman" w:hAnsi="Times New Roman" w:cs="Times New Roman"/>
          <w:sz w:val="24"/>
          <w:szCs w:val="24"/>
        </w:rPr>
        <w:t xml:space="preserve">CT-P13 and SB2 received European marketing authorisation in 2013 and 2016 for all of the same licensing indications as Remicade®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{"citationItems":[{"id":"ITEM-1","itemData":{"author":[{"dropping-particle":"","family":"European Medicines Agency","given":"","non-dropping-particle":"","parse-names":false,"suffix":""}],"id":"ITEM-1","issued":{"date-parts":[["2013"]]},"page":"1-105","title":"Assessment Report: REMSIMA","type":"article-journal"},"uris":["http://www.mendeley.com/documents/?uuid=4acba06a-5ea8-422e-a588-2d78fef0a3b5"]},{"id":"ITEM-2","itemData":{"author":[{"dropping-particle":"","family":"European Medicines Agency","given":"","non-dropping-particle":"","parse-names":false,"suffix":""}],"id":"ITEM-2","issue":"0","issued":{"date-parts":[["2016"]]},"title":"EPAR Summary for the public Flixabi infliximab","type":"article-journal","volume":"44"},"uris":["http://www.mendeley.com/documents/?uuid=225b5332-37a4-4b76-9bec-f6608ffee38e"]}],"mendeley":{"formattedCitation":"&lt;sup&gt;99,100&lt;/sup&gt;","plainTextFormattedCitation":"99,100","previouslyFormattedCitation":"&lt;sup&gt;99,100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99,100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As biosimilars they have the same amino acid sequence as the originator drug</w:t>
      </w:r>
      <w:r w:rsidR="000C65C5" w:rsidRPr="00922C73">
        <w:rPr>
          <w:rFonts w:ascii="Times New Roman" w:hAnsi="Times New Roman" w:cs="Times New Roman"/>
          <w:sz w:val="24"/>
          <w:szCs w:val="24"/>
        </w:rPr>
        <w:t xml:space="preserve"> and s</w:t>
      </w:r>
      <w:r w:rsidR="00C34A33" w:rsidRPr="00922C73">
        <w:rPr>
          <w:rFonts w:ascii="Times New Roman" w:hAnsi="Times New Roman" w:cs="Times New Roman"/>
          <w:sz w:val="24"/>
          <w:szCs w:val="24"/>
        </w:rPr>
        <w:t>tudies have suggested</w:t>
      </w:r>
      <w:r w:rsidRPr="00922C73">
        <w:rPr>
          <w:rFonts w:ascii="Times New Roman" w:hAnsi="Times New Roman" w:cs="Times New Roman"/>
          <w:sz w:val="24"/>
          <w:szCs w:val="24"/>
        </w:rPr>
        <w:t xml:space="preserve"> comparable efficacy, side effects profile and immunogenicity. </w:t>
      </w:r>
      <w:r w:rsidR="00C34A33" w:rsidRPr="00922C73">
        <w:rPr>
          <w:rFonts w:ascii="Times New Roman" w:hAnsi="Times New Roman" w:cs="Times New Roman"/>
          <w:sz w:val="24"/>
          <w:szCs w:val="24"/>
        </w:rPr>
        <w:t xml:space="preserve">However, </w:t>
      </w:r>
      <w:r w:rsidR="000C65C5" w:rsidRPr="00922C73">
        <w:rPr>
          <w:rFonts w:ascii="Times New Roman" w:hAnsi="Times New Roman" w:cs="Times New Roman"/>
          <w:sz w:val="24"/>
          <w:szCs w:val="24"/>
        </w:rPr>
        <w:t xml:space="preserve">in IBD, </w:t>
      </w:r>
      <w:r w:rsidR="00C34A33" w:rsidRPr="00922C73">
        <w:rPr>
          <w:rFonts w:ascii="Times New Roman" w:hAnsi="Times New Roman" w:cs="Times New Roman"/>
          <w:sz w:val="24"/>
          <w:szCs w:val="24"/>
        </w:rPr>
        <w:t>data</w:t>
      </w:r>
      <w:r w:rsidR="000C65C5" w:rsidRPr="00922C73">
        <w:rPr>
          <w:rFonts w:ascii="Times New Roman" w:hAnsi="Times New Roman" w:cs="Times New Roman"/>
          <w:sz w:val="24"/>
          <w:szCs w:val="24"/>
        </w:rPr>
        <w:t xml:space="preserve"> especially from RCTs</w:t>
      </w:r>
      <w:r w:rsidR="00C34A33" w:rsidRPr="00922C73">
        <w:rPr>
          <w:rFonts w:ascii="Times New Roman" w:hAnsi="Times New Roman" w:cs="Times New Roman"/>
          <w:sz w:val="24"/>
          <w:szCs w:val="24"/>
        </w:rPr>
        <w:t xml:space="preserve"> </w:t>
      </w:r>
      <w:r w:rsidR="00C80182" w:rsidRPr="00922C73">
        <w:rPr>
          <w:rFonts w:ascii="Times New Roman" w:hAnsi="Times New Roman" w:cs="Times New Roman"/>
          <w:sz w:val="24"/>
          <w:szCs w:val="24"/>
        </w:rPr>
        <w:t>have been</w:t>
      </w:r>
      <w:r w:rsidR="000C65C5" w:rsidRPr="00922C73">
        <w:rPr>
          <w:rFonts w:ascii="Times New Roman" w:hAnsi="Times New Roman" w:cs="Times New Roman"/>
          <w:sz w:val="24"/>
          <w:szCs w:val="24"/>
        </w:rPr>
        <w:t xml:space="preserve"> </w:t>
      </w:r>
      <w:r w:rsidR="00C34A33" w:rsidRPr="00922C73">
        <w:rPr>
          <w:rFonts w:ascii="Times New Roman" w:hAnsi="Times New Roman" w:cs="Times New Roman"/>
          <w:sz w:val="24"/>
          <w:szCs w:val="24"/>
        </w:rPr>
        <w:t xml:space="preserve">extrapolated </w:t>
      </w:r>
      <w:r w:rsidR="000C65C5" w:rsidRPr="00922C73">
        <w:rPr>
          <w:rFonts w:ascii="Times New Roman" w:hAnsi="Times New Roman" w:cs="Times New Roman"/>
          <w:sz w:val="24"/>
          <w:szCs w:val="24"/>
        </w:rPr>
        <w:t>from assessment of their use in other medical conditions</w:t>
      </w:r>
      <w:r w:rsidR="00C34A33" w:rsidRPr="00922C73">
        <w:rPr>
          <w:rFonts w:ascii="Times New Roman" w:hAnsi="Times New Roman" w:cs="Times New Roman"/>
          <w:sz w:val="24"/>
          <w:szCs w:val="24"/>
        </w:rPr>
        <w:t xml:space="preserve">. Other limitations </w:t>
      </w:r>
      <w:r w:rsidR="00C80182" w:rsidRPr="00922C73">
        <w:rPr>
          <w:rFonts w:ascii="Times New Roman" w:hAnsi="Times New Roman" w:cs="Times New Roman"/>
          <w:sz w:val="24"/>
          <w:szCs w:val="24"/>
        </w:rPr>
        <w:t xml:space="preserve">of their assessment in IBD </w:t>
      </w:r>
      <w:r w:rsidR="00C34A33" w:rsidRPr="00922C73">
        <w:rPr>
          <w:rFonts w:ascii="Times New Roman" w:hAnsi="Times New Roman" w:cs="Times New Roman"/>
          <w:sz w:val="24"/>
          <w:szCs w:val="24"/>
        </w:rPr>
        <w:t xml:space="preserve">include that most studies </w:t>
      </w:r>
      <w:r w:rsidR="00C80182" w:rsidRPr="00922C73">
        <w:rPr>
          <w:rFonts w:ascii="Times New Roman" w:hAnsi="Times New Roman" w:cs="Times New Roman"/>
          <w:sz w:val="24"/>
          <w:szCs w:val="24"/>
        </w:rPr>
        <w:t>contain</w:t>
      </w:r>
      <w:r w:rsidR="000C65C5" w:rsidRPr="00922C73">
        <w:rPr>
          <w:rFonts w:ascii="Times New Roman" w:hAnsi="Times New Roman" w:cs="Times New Roman"/>
          <w:sz w:val="24"/>
          <w:szCs w:val="24"/>
        </w:rPr>
        <w:t xml:space="preserve"> a small</w:t>
      </w:r>
      <w:r w:rsidR="00C34A33" w:rsidRPr="00922C73">
        <w:rPr>
          <w:rFonts w:ascii="Times New Roman" w:hAnsi="Times New Roman" w:cs="Times New Roman"/>
          <w:sz w:val="24"/>
          <w:szCs w:val="24"/>
        </w:rPr>
        <w:t xml:space="preserve"> number of patients</w:t>
      </w:r>
      <w:r w:rsidR="000C65C5" w:rsidRPr="00922C73">
        <w:rPr>
          <w:rFonts w:ascii="Times New Roman" w:hAnsi="Times New Roman" w:cs="Times New Roman"/>
          <w:sz w:val="24"/>
          <w:szCs w:val="24"/>
        </w:rPr>
        <w:t xml:space="preserve"> (n&lt; 100)</w:t>
      </w:r>
      <w:r w:rsidR="00C34A33" w:rsidRPr="00922C73">
        <w:rPr>
          <w:rFonts w:ascii="Times New Roman" w:hAnsi="Times New Roman" w:cs="Times New Roman"/>
          <w:sz w:val="24"/>
          <w:szCs w:val="24"/>
        </w:rPr>
        <w:t>, follow</w:t>
      </w:r>
      <w:r w:rsidR="000C65C5" w:rsidRPr="00922C73">
        <w:rPr>
          <w:rFonts w:ascii="Times New Roman" w:hAnsi="Times New Roman" w:cs="Times New Roman"/>
          <w:sz w:val="24"/>
          <w:szCs w:val="24"/>
        </w:rPr>
        <w:t>-</w:t>
      </w:r>
      <w:r w:rsidR="00C34A33" w:rsidRPr="00922C73">
        <w:rPr>
          <w:rFonts w:ascii="Times New Roman" w:hAnsi="Times New Roman" w:cs="Times New Roman"/>
          <w:sz w:val="24"/>
          <w:szCs w:val="24"/>
        </w:rPr>
        <w:t xml:space="preserve">up </w:t>
      </w:r>
      <w:r w:rsidR="000C65C5" w:rsidRPr="00922C73">
        <w:rPr>
          <w:rFonts w:ascii="Times New Roman" w:hAnsi="Times New Roman" w:cs="Times New Roman"/>
          <w:sz w:val="24"/>
          <w:szCs w:val="24"/>
        </w:rPr>
        <w:t xml:space="preserve">is </w:t>
      </w:r>
      <w:r w:rsidR="00C34A33" w:rsidRPr="00922C73">
        <w:rPr>
          <w:rFonts w:ascii="Times New Roman" w:hAnsi="Times New Roman" w:cs="Times New Roman"/>
          <w:sz w:val="24"/>
          <w:szCs w:val="24"/>
        </w:rPr>
        <w:t>most</w:t>
      </w:r>
      <w:r w:rsidR="000C65C5" w:rsidRPr="00922C73">
        <w:rPr>
          <w:rFonts w:ascii="Times New Roman" w:hAnsi="Times New Roman" w:cs="Times New Roman"/>
          <w:sz w:val="24"/>
          <w:szCs w:val="24"/>
        </w:rPr>
        <w:t>ly</w:t>
      </w:r>
      <w:r w:rsidR="00C34A33" w:rsidRPr="00922C73">
        <w:rPr>
          <w:rFonts w:ascii="Times New Roman" w:hAnsi="Times New Roman" w:cs="Times New Roman"/>
          <w:sz w:val="24"/>
          <w:szCs w:val="24"/>
        </w:rPr>
        <w:t xml:space="preserve"> &lt; 1 year</w:t>
      </w:r>
      <w:r w:rsidR="000C65C5" w:rsidRPr="00922C73">
        <w:rPr>
          <w:rFonts w:ascii="Times New Roman" w:hAnsi="Times New Roman" w:cs="Times New Roman"/>
          <w:sz w:val="24"/>
          <w:szCs w:val="24"/>
        </w:rPr>
        <w:t xml:space="preserve">, assessment of efficacy relies on clinical assessment and switch to biosimilar often occurs in stable disease with only 1 RCT comparing CT-P13 and infliximab </w:t>
      </w:r>
      <w:r w:rsidR="00AD2FED" w:rsidRPr="00922C73">
        <w:rPr>
          <w:rFonts w:ascii="Times New Roman" w:hAnsi="Times New Roman" w:cs="Times New Roman"/>
          <w:sz w:val="24"/>
          <w:szCs w:val="24"/>
        </w:rPr>
        <w:lastRenderedPageBreak/>
        <w:t>use from induction</w:t>
      </w:r>
      <w:r w:rsidR="000C65C5" w:rsidRPr="00922C73">
        <w:rPr>
          <w:rFonts w:ascii="Times New Roman" w:hAnsi="Times New Roman" w:cs="Times New Roman"/>
          <w:sz w:val="24"/>
          <w:szCs w:val="24"/>
        </w:rPr>
        <w:t xml:space="preserve"> </w:t>
      </w:r>
      <w:r w:rsidR="000C65C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{"citationItems":[{"id":"ITEM-1","itemData":{"DOI":"10.1016/S0140-6736(18)32196-2","ISSN":"01406736","author":[{"dropping-particle":"","family":"Ye","given":"Byong Duk","non-dropping-particle":"","parse-names":false,"suffix":""},{"dropping-particle":"","family":"Pesegova","given":"Marina","non-dropping-particle":"","parse-names":false,"suffix":""},{"dropping-particle":"","family":"Alexeeva","given":"Olga","non-dropping-particle":"","parse-names":false,"suffix":""},{"dropping-particle":"","family":"Osipenko","given":"Marina","non-dropping-particle":"","parse-names":false,"suffix":""},{"dropping-particle":"","family":"Lahat","given":"Adi","non-dropping-particle":"","parse-names":false,"suffix":""},{"dropping-particle":"","family":"Dorofeyev","given":"Andriy","non-dropping-particle":"","parse-names":false,"suffix":""},{"dropping-particle":"","family":"Fishman","given":"Sigal","non-dropping-particle":"","parse-names":false,"suffix":""},{"dropping-particle":"","family":"Levchenko","given":"Olena","non-dropping-particle":"","parse-names":false,"suffix":""},{"dropping-particle":"","family":"Cheon","given":"Jae Hee","non-dropping-particle":"","parse-names":false,"suffix":""},{"dropping-particle":"","family":"Scribano","given":"Maria Lia","non-dropping-particle":"","parse-names":false,"suffix":""},{"dropping-particle":"","family":"Mateescu","given":"Radu-Bogdan","non-dropping-particle":"","parse-names":false,"suffix":""},{"dropping-particle":"","family":"Lee","given":"Kang-Moon","non-dropping-particle":"","parse-names":false,"suffix":""},{"dropping-particle":"","family":"Eun","given":"Chang Soo","non-dropping-particle":"","parse-names":false,"suffix":""},{"dropping-particle":"","family":"Lee","given":"Sang Joon","non-dropping-particle":"","parse-names":false,"suffix":""},{"dropping-particle":"","family":"Lee","given":"Sung Young","non-dropping-particle":"","parse-names":false,"suffix":""},{"dropping-particle":"","family":"Kim","given":"HoUng","non-dropping-particle":"","parse-names":false,"suffix":""},{"dropping-particle":"","family":"Schreiber","given":"Stefan","non-dropping-particle":"","parse-names":false,"suffix":""},{"dropping-particle":"","family":"Fowler","given":"Heather","non-dropping-particle":"","parse-names":false,"suffix":""},{"dropping-particle":"","family":"Cheung","given":"Raymond","non-dropping-particle":"","parse-names":false,"suffix":""},{"dropping-particle":"","family":"Kim","given":"Young-Ho","non-dropping-particle":"","parse-names":false,"suffix":""}],"container-title":"The Lancet","id":"ITEM-1","issue":"10182","issued":{"date-parts":[["2019","4"]]},"page":"1699-1707","title":"Efficacy and safety of biosimilar CT-P13 compared with originator infliximab in patients with active Crohn's disease: an international, randomised, double-blind, phase 3 non-inferiority study","type":"article-journal","volume":"393"},"uris":["http://www.mendeley.com/documents/?uuid=48b71dd9-4336-4d67-935d-8598f25195da"]}],"mendeley":{"formattedCitation":"&lt;sup&gt;95&lt;/sup&gt;","plainTextFormattedCitation":"95","previouslyFormattedCitation":"&lt;sup&gt;95&lt;/sup&gt;"},"properties":{"noteIndex":0},"schema":"https://github.com/citation-style-language/schema/raw/master/csl-citation.json"}</w:instrText>
      </w:r>
      <w:r w:rsidR="000C65C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95</w:t>
      </w:r>
      <w:r w:rsidR="000C65C5" w:rsidRPr="00922C73">
        <w:rPr>
          <w:rFonts w:ascii="Times New Roman" w:hAnsi="Times New Roman" w:cs="Times New Roman"/>
          <w:sz w:val="24"/>
          <w:szCs w:val="24"/>
        </w:rPr>
        <w:fldChar w:fldCharType="end"/>
      </w:r>
      <w:r w:rsidR="000C65C5" w:rsidRPr="00922C73">
        <w:rPr>
          <w:rFonts w:ascii="Times New Roman" w:hAnsi="Times New Roman" w:cs="Times New Roman"/>
          <w:sz w:val="24"/>
          <w:szCs w:val="24"/>
        </w:rPr>
        <w:t>. The lack of long-term follow</w:t>
      </w:r>
      <w:r w:rsidR="00AD2FED" w:rsidRPr="00922C73">
        <w:rPr>
          <w:rFonts w:ascii="Times New Roman" w:hAnsi="Times New Roman" w:cs="Times New Roman"/>
          <w:sz w:val="24"/>
          <w:szCs w:val="24"/>
        </w:rPr>
        <w:t>-</w:t>
      </w:r>
      <w:r w:rsidR="000C65C5" w:rsidRPr="00922C73">
        <w:rPr>
          <w:rFonts w:ascii="Times New Roman" w:hAnsi="Times New Roman" w:cs="Times New Roman"/>
          <w:sz w:val="24"/>
          <w:szCs w:val="24"/>
        </w:rPr>
        <w:t xml:space="preserve">up is especially a concern in terms of adverse events as </w:t>
      </w:r>
      <w:r w:rsidR="00C80182" w:rsidRPr="00922C73">
        <w:rPr>
          <w:rFonts w:ascii="Times New Roman" w:hAnsi="Times New Roman" w:cs="Times New Roman"/>
          <w:sz w:val="24"/>
          <w:szCs w:val="24"/>
        </w:rPr>
        <w:t xml:space="preserve">these </w:t>
      </w:r>
      <w:r w:rsidR="000C65C5" w:rsidRPr="00922C73">
        <w:rPr>
          <w:rFonts w:ascii="Times New Roman" w:hAnsi="Times New Roman" w:cs="Times New Roman"/>
          <w:sz w:val="24"/>
          <w:szCs w:val="24"/>
        </w:rPr>
        <w:t xml:space="preserve">effects </w:t>
      </w:r>
      <w:r w:rsidR="00C80182" w:rsidRPr="00922C73">
        <w:rPr>
          <w:rFonts w:ascii="Times New Roman" w:hAnsi="Times New Roman" w:cs="Times New Roman"/>
          <w:sz w:val="24"/>
          <w:szCs w:val="24"/>
        </w:rPr>
        <w:t>may require assessment of a large number of patient</w:t>
      </w:r>
      <w:r w:rsidR="0048624A" w:rsidRPr="00922C73">
        <w:rPr>
          <w:rFonts w:ascii="Times New Roman" w:hAnsi="Times New Roman" w:cs="Times New Roman"/>
          <w:sz w:val="24"/>
          <w:szCs w:val="24"/>
        </w:rPr>
        <w:t>s</w:t>
      </w:r>
      <w:r w:rsidR="00C80182" w:rsidRPr="00922C73">
        <w:rPr>
          <w:rFonts w:ascii="Times New Roman" w:hAnsi="Times New Roman" w:cs="Times New Roman"/>
          <w:sz w:val="24"/>
          <w:szCs w:val="24"/>
        </w:rPr>
        <w:t xml:space="preserve"> </w:t>
      </w:r>
      <w:r w:rsidR="00AD2FED" w:rsidRPr="00922C73">
        <w:rPr>
          <w:rFonts w:ascii="Times New Roman" w:hAnsi="Times New Roman" w:cs="Times New Roman"/>
          <w:sz w:val="24"/>
          <w:szCs w:val="24"/>
        </w:rPr>
        <w:t xml:space="preserve">over many </w:t>
      </w:r>
      <w:r w:rsidR="00C80182" w:rsidRPr="00922C73">
        <w:rPr>
          <w:rFonts w:ascii="Times New Roman" w:hAnsi="Times New Roman" w:cs="Times New Roman"/>
          <w:sz w:val="24"/>
          <w:szCs w:val="24"/>
        </w:rPr>
        <w:t>years</w:t>
      </w:r>
      <w:r w:rsidR="000C65C5" w:rsidRPr="00922C73">
        <w:rPr>
          <w:rFonts w:ascii="Times New Roman" w:hAnsi="Times New Roman" w:cs="Times New Roman"/>
          <w:sz w:val="24"/>
          <w:szCs w:val="24"/>
        </w:rPr>
        <w:t xml:space="preserve">. </w:t>
      </w:r>
      <w:r w:rsidR="00C80182" w:rsidRPr="00922C73">
        <w:rPr>
          <w:rFonts w:ascii="Times New Roman" w:hAnsi="Times New Roman" w:cs="Times New Roman"/>
          <w:sz w:val="24"/>
          <w:szCs w:val="24"/>
        </w:rPr>
        <w:t>Regarding immunogenicity,</w:t>
      </w:r>
      <w:r w:rsidR="000C65C5" w:rsidRPr="00922C73">
        <w:rPr>
          <w:rFonts w:ascii="Times New Roman" w:hAnsi="Times New Roman" w:cs="Times New Roman"/>
          <w:sz w:val="24"/>
          <w:szCs w:val="24"/>
        </w:rPr>
        <w:t xml:space="preserve"> </w:t>
      </w:r>
      <w:r w:rsidR="00C80182" w:rsidRPr="00922C73">
        <w:rPr>
          <w:rFonts w:ascii="Times New Roman" w:hAnsi="Times New Roman" w:cs="Times New Roman"/>
          <w:sz w:val="24"/>
          <w:szCs w:val="24"/>
        </w:rPr>
        <w:t>although there is a high similarity for higher</w:t>
      </w:r>
      <w:r w:rsidR="000442CA" w:rsidRPr="00922C73">
        <w:rPr>
          <w:rFonts w:ascii="Times New Roman" w:hAnsi="Times New Roman" w:cs="Times New Roman"/>
          <w:sz w:val="24"/>
          <w:szCs w:val="24"/>
        </w:rPr>
        <w:t>-</w:t>
      </w:r>
      <w:r w:rsidR="00C80182" w:rsidRPr="00922C73">
        <w:rPr>
          <w:rFonts w:ascii="Times New Roman" w:hAnsi="Times New Roman" w:cs="Times New Roman"/>
          <w:sz w:val="24"/>
          <w:szCs w:val="24"/>
        </w:rPr>
        <w:t>order structures between originator and biosimilar</w:t>
      </w:r>
      <w:r w:rsidR="000442CA" w:rsidRPr="00922C73">
        <w:rPr>
          <w:rFonts w:ascii="Times New Roman" w:hAnsi="Times New Roman" w:cs="Times New Roman"/>
          <w:sz w:val="24"/>
          <w:szCs w:val="24"/>
        </w:rPr>
        <w:t xml:space="preserve"> infliximab</w:t>
      </w:r>
      <w:r w:rsidR="00C80182" w:rsidRPr="00922C73">
        <w:rPr>
          <w:rFonts w:ascii="Times New Roman" w:hAnsi="Times New Roman" w:cs="Times New Roman"/>
          <w:sz w:val="24"/>
          <w:szCs w:val="24"/>
        </w:rPr>
        <w:t xml:space="preserve">, </w:t>
      </w:r>
      <w:r w:rsidR="000C65C5" w:rsidRPr="00922C73">
        <w:rPr>
          <w:rFonts w:ascii="Times New Roman" w:hAnsi="Times New Roman" w:cs="Times New Roman"/>
          <w:sz w:val="24"/>
          <w:szCs w:val="24"/>
        </w:rPr>
        <w:t xml:space="preserve">small changes in </w:t>
      </w:r>
      <w:r w:rsidR="00C80182" w:rsidRPr="00922C73">
        <w:rPr>
          <w:rFonts w:ascii="Times New Roman" w:hAnsi="Times New Roman" w:cs="Times New Roman"/>
          <w:sz w:val="24"/>
          <w:szCs w:val="24"/>
        </w:rPr>
        <w:t>structure</w:t>
      </w:r>
      <w:r w:rsidR="000C65C5" w:rsidRPr="00922C73">
        <w:rPr>
          <w:rFonts w:ascii="Times New Roman" w:hAnsi="Times New Roman" w:cs="Times New Roman"/>
          <w:sz w:val="24"/>
          <w:szCs w:val="24"/>
        </w:rPr>
        <w:t xml:space="preserve"> have been noted</w:t>
      </w:r>
      <w:r w:rsidR="00C60AE4" w:rsidRPr="00922C73">
        <w:rPr>
          <w:rFonts w:ascii="Times New Roman" w:hAnsi="Times New Roman" w:cs="Times New Roman"/>
          <w:sz w:val="24"/>
          <w:szCs w:val="24"/>
        </w:rPr>
        <w:t>.</w:t>
      </w:r>
      <w:r w:rsidR="00C80182" w:rsidRPr="00922C73">
        <w:rPr>
          <w:rFonts w:ascii="Times New Roman" w:hAnsi="Times New Roman" w:cs="Times New Roman"/>
          <w:sz w:val="24"/>
          <w:szCs w:val="24"/>
        </w:rPr>
        <w:t xml:space="preserve"> </w:t>
      </w:r>
      <w:r w:rsidR="00C60AE4" w:rsidRPr="00922C73">
        <w:rPr>
          <w:rFonts w:ascii="Times New Roman" w:hAnsi="Times New Roman" w:cs="Times New Roman"/>
          <w:sz w:val="24"/>
          <w:szCs w:val="24"/>
        </w:rPr>
        <w:t>In addition, we have yet</w:t>
      </w:r>
      <w:r w:rsidR="00C80182" w:rsidRPr="00922C73">
        <w:rPr>
          <w:rFonts w:ascii="Times New Roman" w:hAnsi="Times New Roman" w:cs="Times New Roman"/>
          <w:sz w:val="24"/>
          <w:szCs w:val="24"/>
        </w:rPr>
        <w:t xml:space="preserve"> </w:t>
      </w:r>
      <w:r w:rsidR="00C60AE4" w:rsidRPr="00922C73">
        <w:rPr>
          <w:rFonts w:ascii="Times New Roman" w:hAnsi="Times New Roman" w:cs="Times New Roman"/>
          <w:sz w:val="24"/>
          <w:szCs w:val="24"/>
        </w:rPr>
        <w:t xml:space="preserve">to </w:t>
      </w:r>
      <w:r w:rsidR="00C80182" w:rsidRPr="00922C73">
        <w:rPr>
          <w:rFonts w:ascii="Times New Roman" w:hAnsi="Times New Roman" w:cs="Times New Roman"/>
          <w:sz w:val="24"/>
          <w:szCs w:val="24"/>
        </w:rPr>
        <w:t xml:space="preserve">understand the </w:t>
      </w:r>
      <w:r w:rsidR="00C60AE4" w:rsidRPr="00922C73">
        <w:rPr>
          <w:rFonts w:ascii="Times New Roman" w:hAnsi="Times New Roman" w:cs="Times New Roman"/>
          <w:sz w:val="24"/>
          <w:szCs w:val="24"/>
        </w:rPr>
        <w:t xml:space="preserve">full </w:t>
      </w:r>
      <w:r w:rsidR="00C80182" w:rsidRPr="00922C73">
        <w:rPr>
          <w:rFonts w:ascii="Times New Roman" w:hAnsi="Times New Roman" w:cs="Times New Roman"/>
          <w:sz w:val="24"/>
          <w:szCs w:val="24"/>
        </w:rPr>
        <w:t>impact of post</w:t>
      </w:r>
      <w:r w:rsidR="00C60AE4" w:rsidRPr="00922C73">
        <w:rPr>
          <w:rFonts w:ascii="Times New Roman" w:hAnsi="Times New Roman" w:cs="Times New Roman"/>
          <w:sz w:val="24"/>
          <w:szCs w:val="24"/>
        </w:rPr>
        <w:t>-</w:t>
      </w:r>
      <w:r w:rsidR="00C80182" w:rsidRPr="00922C73">
        <w:rPr>
          <w:rFonts w:ascii="Times New Roman" w:hAnsi="Times New Roman" w:cs="Times New Roman"/>
          <w:sz w:val="24"/>
          <w:szCs w:val="24"/>
        </w:rPr>
        <w:t>translational changes</w:t>
      </w:r>
      <w:r w:rsidR="00C60AE4" w:rsidRPr="00922C73">
        <w:rPr>
          <w:rFonts w:ascii="Times New Roman" w:hAnsi="Times New Roman" w:cs="Times New Roman"/>
          <w:sz w:val="24"/>
          <w:szCs w:val="24"/>
        </w:rPr>
        <w:t>: enzymatic modifications</w:t>
      </w:r>
      <w:r w:rsidR="00C80182" w:rsidRPr="00922C73">
        <w:rPr>
          <w:rFonts w:ascii="Times New Roman" w:hAnsi="Times New Roman" w:cs="Times New Roman"/>
          <w:sz w:val="24"/>
          <w:szCs w:val="24"/>
        </w:rPr>
        <w:t xml:space="preserve"> </w:t>
      </w:r>
      <w:r w:rsidR="00C60AE4" w:rsidRPr="00922C73">
        <w:rPr>
          <w:rFonts w:ascii="Times New Roman" w:hAnsi="Times New Roman" w:cs="Times New Roman"/>
          <w:sz w:val="24"/>
          <w:szCs w:val="24"/>
        </w:rPr>
        <w:t>that occur after translation, between administering</w:t>
      </w:r>
      <w:r w:rsidR="000442CA" w:rsidRPr="00922C73">
        <w:rPr>
          <w:rFonts w:ascii="Times New Roman" w:hAnsi="Times New Roman" w:cs="Times New Roman"/>
          <w:sz w:val="24"/>
          <w:szCs w:val="24"/>
        </w:rPr>
        <w:t xml:space="preserve"> originator and</w:t>
      </w:r>
      <w:r w:rsidR="00C80182" w:rsidRPr="00922C73">
        <w:rPr>
          <w:rFonts w:ascii="Times New Roman" w:hAnsi="Times New Roman" w:cs="Times New Roman"/>
          <w:sz w:val="24"/>
          <w:szCs w:val="24"/>
        </w:rPr>
        <w:t xml:space="preserve"> biosimilar </w:t>
      </w:r>
      <w:r w:rsidR="000442CA" w:rsidRPr="00922C73">
        <w:rPr>
          <w:rFonts w:ascii="Times New Roman" w:hAnsi="Times New Roman" w:cs="Times New Roman"/>
          <w:sz w:val="24"/>
          <w:szCs w:val="24"/>
        </w:rPr>
        <w:t>drugs</w:t>
      </w:r>
      <w:r w:rsidR="00C60AE4" w:rsidRPr="00922C73">
        <w:rPr>
          <w:rFonts w:ascii="Times New Roman" w:hAnsi="Times New Roman" w:cs="Times New Roman"/>
          <w:sz w:val="24"/>
          <w:szCs w:val="24"/>
        </w:rPr>
        <w:t xml:space="preserve"> </w:t>
      </w:r>
      <w:r w:rsidR="00C60AE4"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{"citationItems":[{"id":"ITEM-1","itemData":{"DOI":"10.1155/2016/1298473","ISSN":"2314-8861","abstract":"Today, potential immunogenicity can be better evaluated during the drug development process, and we have rational approaches to manage the clinical consequences of immunogenicity. The focus of the scientific community should be on developing sensitive diagnostics that can predict immunogenicity-mediated adverse events in the small fraction of subjects that develop clinically relevant anti-drug antibodies. Here, we discuss the causes of immunogenicity which could be product-related (inherent property of the product or might be picked up during the manufacturing process), patient-related (genetic profile or eating habits), or linked to the route of administration. We describe various posttranslational modifications (PTMs) and how they may influence immunogenicity. Over the last three decades, we have significantly improved our understanding about the types of PTMs of biotherapeutic proteins and their association with immunogenicity. It is also now clear that all PTMs do not lead to clinical immunogenicity. We also discuss the mechanisms of immunogenicity (which include T cell-dependent and T cell-independent responses) and immunological tolerance. We further elaborate on the management of immunogenicity in preclinical and clinical setting and the unique challenges raised by biosimilars, which may have different immunogenic potential from their parent biotherapeutics.","author":[{"dropping-particle":"","family":"Kuriakose","given":"Anshu","non-dropping-particle":"","parse-names":false,"suffix":""},{"dropping-particle":"","family":"Chirmule","given":"Narendra","non-dropping-particle":"","parse-names":false,"suffix":""},{"dropping-particle":"","family":"Nair","given":"Pradip","non-dropping-particle":"","parse-names":false,"suffix":""}],"container-title":"Journal of Immunology Research","id":"ITEM-1","issued":{"date-parts":[["2016"]]},"page":"1-18","title":"Immunogenicity of Biotherapeutics: Causes and Association with Posttranslational Modifications","type":"article-journal","volume":"2016"},"uris":["http://www.mendeley.com/documents/?uuid=da81b649-27d9-4faf-b6ce-7d55c121464d"]}],"mendeley":{"formattedCitation":"&lt;sup&gt;101&lt;/sup&gt;","plainTextFormattedCitation":"101","previouslyFormattedCitation":"&lt;sup&gt;101&lt;/sup&gt;"},"properties":{"noteIndex":0},"schema":"https://github.com/citation-style-language/schema/raw/master/csl-citation.json"}</w:instrText>
      </w:r>
      <w:r w:rsidR="00C60AE4"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101</w:t>
      </w:r>
      <w:r w:rsidR="00C60AE4" w:rsidRPr="00922C73">
        <w:rPr>
          <w:rFonts w:ascii="Times New Roman" w:hAnsi="Times New Roman" w:cs="Times New Roman"/>
          <w:sz w:val="24"/>
          <w:szCs w:val="24"/>
        </w:rPr>
        <w:fldChar w:fldCharType="end"/>
      </w:r>
      <w:r w:rsidR="000C65C5" w:rsidRPr="00922C73">
        <w:rPr>
          <w:rFonts w:ascii="Times New Roman" w:hAnsi="Times New Roman" w:cs="Times New Roman"/>
          <w:sz w:val="24"/>
          <w:szCs w:val="24"/>
        </w:rPr>
        <w:t xml:space="preserve">. </w:t>
      </w:r>
      <w:r w:rsidR="00AD2FED" w:rsidRPr="00922C73">
        <w:rPr>
          <w:rFonts w:ascii="Times New Roman" w:hAnsi="Times New Roman" w:cs="Times New Roman"/>
          <w:sz w:val="24"/>
          <w:szCs w:val="24"/>
        </w:rPr>
        <w:t>There is also a significant paucity of data for switch between biosimilars</w:t>
      </w:r>
      <w:r w:rsidR="0048624A" w:rsidRPr="00922C73">
        <w:rPr>
          <w:rFonts w:ascii="Times New Roman" w:hAnsi="Times New Roman" w:cs="Times New Roman"/>
          <w:sz w:val="24"/>
          <w:szCs w:val="24"/>
        </w:rPr>
        <w:t xml:space="preserve"> indicating a cautious approach regarding </w:t>
      </w:r>
      <w:r w:rsidR="00C60AE4" w:rsidRPr="00922C73">
        <w:rPr>
          <w:rFonts w:ascii="Times New Roman" w:hAnsi="Times New Roman" w:cs="Times New Roman"/>
          <w:sz w:val="24"/>
          <w:szCs w:val="24"/>
        </w:rPr>
        <w:t>recurrent switching</w:t>
      </w:r>
      <w:r w:rsidR="00AD2FED" w:rsidRPr="00922C73">
        <w:rPr>
          <w:rFonts w:ascii="Times New Roman" w:hAnsi="Times New Roman" w:cs="Times New Roman"/>
          <w:sz w:val="24"/>
          <w:szCs w:val="24"/>
        </w:rPr>
        <w:t xml:space="preserve">. </w:t>
      </w:r>
      <w:r w:rsidR="000C65C5" w:rsidRPr="00922C73">
        <w:rPr>
          <w:rFonts w:ascii="Times New Roman" w:hAnsi="Times New Roman" w:cs="Times New Roman"/>
          <w:sz w:val="24"/>
          <w:szCs w:val="24"/>
        </w:rPr>
        <w:t xml:space="preserve">Ultimately, the potential risks of using biosimilars </w:t>
      </w:r>
      <w:r w:rsidR="000442CA" w:rsidRPr="00922C73">
        <w:rPr>
          <w:rFonts w:ascii="Times New Roman" w:hAnsi="Times New Roman" w:cs="Times New Roman"/>
          <w:sz w:val="24"/>
          <w:szCs w:val="24"/>
        </w:rPr>
        <w:t>must</w:t>
      </w:r>
      <w:r w:rsidR="000C65C5" w:rsidRPr="00922C73">
        <w:rPr>
          <w:rFonts w:ascii="Times New Roman" w:hAnsi="Times New Roman" w:cs="Times New Roman"/>
          <w:sz w:val="24"/>
          <w:szCs w:val="24"/>
        </w:rPr>
        <w:t xml:space="preserve"> be weighed against the lower cost associated with them and the </w:t>
      </w:r>
      <w:r w:rsidR="000442CA" w:rsidRPr="00922C73">
        <w:rPr>
          <w:rFonts w:ascii="Times New Roman" w:hAnsi="Times New Roman" w:cs="Times New Roman"/>
          <w:sz w:val="24"/>
          <w:szCs w:val="24"/>
        </w:rPr>
        <w:t xml:space="preserve">opportunity they offer for </w:t>
      </w:r>
      <w:r w:rsidR="000C65C5" w:rsidRPr="00922C73">
        <w:rPr>
          <w:rFonts w:ascii="Times New Roman" w:hAnsi="Times New Roman" w:cs="Times New Roman"/>
          <w:sz w:val="24"/>
          <w:szCs w:val="24"/>
        </w:rPr>
        <w:t xml:space="preserve">increase access to </w:t>
      </w:r>
      <w:r w:rsidR="000442CA" w:rsidRPr="00922C73">
        <w:rPr>
          <w:rFonts w:ascii="Times New Roman" w:hAnsi="Times New Roman" w:cs="Times New Roman"/>
          <w:sz w:val="24"/>
          <w:szCs w:val="24"/>
        </w:rPr>
        <w:t>life-changing medications</w:t>
      </w:r>
      <w:r w:rsidR="000C65C5" w:rsidRPr="00922C73">
        <w:rPr>
          <w:rFonts w:ascii="Times New Roman" w:hAnsi="Times New Roman" w:cs="Times New Roman"/>
          <w:sz w:val="24"/>
          <w:szCs w:val="24"/>
        </w:rPr>
        <w:t xml:space="preserve">. </w:t>
      </w:r>
    </w:p>
    <w:p w14:paraId="6F739E61" w14:textId="77777777" w:rsidR="0000629C" w:rsidRPr="00922C73" w:rsidRDefault="0000629C" w:rsidP="004C0B75">
      <w:pPr>
        <w:spacing w:before="200" w:after="0" w:line="480" w:lineRule="auto"/>
        <w:rPr>
          <w:rFonts w:ascii="Times New Roman" w:hAnsi="Times New Roman" w:cs="Times New Roman"/>
          <w:sz w:val="24"/>
          <w:szCs w:val="24"/>
        </w:rPr>
      </w:pPr>
    </w:p>
    <w:p w14:paraId="4C03BF89" w14:textId="77777777" w:rsidR="00AD2FED" w:rsidRPr="00922C73" w:rsidRDefault="00AD2FED" w:rsidP="004C0B75">
      <w:pPr>
        <w:spacing w:before="200" w:after="0" w:line="480" w:lineRule="auto"/>
        <w:rPr>
          <w:rFonts w:ascii="Times New Roman" w:hAnsi="Times New Roman" w:cs="Times New Roman"/>
          <w:sz w:val="24"/>
          <w:szCs w:val="24"/>
        </w:rPr>
      </w:pPr>
    </w:p>
    <w:p w14:paraId="60834ECD" w14:textId="77777777" w:rsidR="003B1709" w:rsidRPr="00922C73" w:rsidRDefault="003B1709" w:rsidP="004C0B75">
      <w:pPr>
        <w:spacing w:before="200" w:after="0" w:line="480" w:lineRule="auto"/>
        <w:rPr>
          <w:rFonts w:ascii="Times New Roman" w:hAnsi="Times New Roman" w:cs="Times New Roman"/>
          <w:sz w:val="24"/>
          <w:szCs w:val="24"/>
        </w:rPr>
      </w:pPr>
    </w:p>
    <w:p w14:paraId="60183F40" w14:textId="77777777" w:rsidR="003B1709" w:rsidRPr="00922C73" w:rsidRDefault="003B1709" w:rsidP="004C0B75">
      <w:pPr>
        <w:spacing w:before="200" w:after="0" w:line="480" w:lineRule="auto"/>
        <w:rPr>
          <w:rFonts w:ascii="Times New Roman" w:hAnsi="Times New Roman" w:cs="Times New Roman"/>
          <w:sz w:val="24"/>
          <w:szCs w:val="24"/>
        </w:rPr>
      </w:pPr>
    </w:p>
    <w:p w14:paraId="26BCAC27" w14:textId="77777777" w:rsidR="003B1709" w:rsidRPr="00922C73" w:rsidRDefault="003B1709" w:rsidP="004C0B75">
      <w:pPr>
        <w:spacing w:before="200" w:after="0" w:line="480" w:lineRule="auto"/>
        <w:rPr>
          <w:rFonts w:ascii="Times New Roman" w:hAnsi="Times New Roman" w:cs="Times New Roman"/>
          <w:sz w:val="24"/>
          <w:szCs w:val="24"/>
        </w:rPr>
      </w:pPr>
    </w:p>
    <w:p w14:paraId="3C15E5EE" w14:textId="77777777" w:rsidR="003B1709" w:rsidRPr="00922C73" w:rsidRDefault="003B1709" w:rsidP="004C0B75">
      <w:pPr>
        <w:spacing w:before="200" w:after="0" w:line="480" w:lineRule="auto"/>
        <w:rPr>
          <w:rFonts w:ascii="Times New Roman" w:hAnsi="Times New Roman" w:cs="Times New Roman"/>
          <w:sz w:val="24"/>
          <w:szCs w:val="24"/>
        </w:rPr>
      </w:pPr>
    </w:p>
    <w:p w14:paraId="6252B3FA" w14:textId="77777777" w:rsidR="003B1709" w:rsidRPr="00922C73" w:rsidRDefault="003B1709" w:rsidP="004C0B75">
      <w:pPr>
        <w:spacing w:before="200" w:after="0" w:line="480" w:lineRule="auto"/>
        <w:rPr>
          <w:rFonts w:ascii="Times New Roman" w:hAnsi="Times New Roman" w:cs="Times New Roman"/>
          <w:sz w:val="24"/>
          <w:szCs w:val="24"/>
        </w:rPr>
      </w:pPr>
    </w:p>
    <w:p w14:paraId="728BCDF3" w14:textId="77777777" w:rsidR="00761637" w:rsidRPr="00922C73" w:rsidRDefault="00761637" w:rsidP="004C0B75">
      <w:pPr>
        <w:spacing w:before="200" w:after="0" w:line="480" w:lineRule="auto"/>
        <w:rPr>
          <w:rFonts w:ascii="Times New Roman" w:hAnsi="Times New Roman" w:cs="Times New Roman"/>
          <w:sz w:val="24"/>
          <w:szCs w:val="24"/>
        </w:rPr>
      </w:pPr>
    </w:p>
    <w:p w14:paraId="46EEEBB0" w14:textId="77777777" w:rsidR="003B1709" w:rsidRPr="00922C73" w:rsidRDefault="003B1709" w:rsidP="004C0B75">
      <w:pPr>
        <w:spacing w:before="200" w:after="0" w:line="480" w:lineRule="auto"/>
        <w:rPr>
          <w:rFonts w:ascii="Times New Roman" w:hAnsi="Times New Roman" w:cs="Times New Roman"/>
          <w:sz w:val="24"/>
          <w:szCs w:val="24"/>
        </w:rPr>
      </w:pPr>
    </w:p>
    <w:p w14:paraId="37BBDC06" w14:textId="77777777" w:rsidR="003B1709" w:rsidRPr="00922C73" w:rsidRDefault="003B1709" w:rsidP="004C0B75">
      <w:pPr>
        <w:spacing w:before="200" w:after="0" w:line="480" w:lineRule="auto"/>
        <w:rPr>
          <w:rFonts w:ascii="Times New Roman" w:hAnsi="Times New Roman" w:cs="Times New Roman"/>
          <w:sz w:val="24"/>
          <w:szCs w:val="24"/>
        </w:rPr>
      </w:pPr>
    </w:p>
    <w:p w14:paraId="0E561193" w14:textId="77777777" w:rsidR="003B1709" w:rsidRPr="00922C73" w:rsidRDefault="003B1709" w:rsidP="004C0B75">
      <w:pPr>
        <w:spacing w:before="200" w:after="0" w:line="480" w:lineRule="auto"/>
        <w:rPr>
          <w:rFonts w:ascii="Times New Roman" w:hAnsi="Times New Roman" w:cs="Times New Roman"/>
          <w:sz w:val="24"/>
          <w:szCs w:val="24"/>
        </w:rPr>
      </w:pPr>
    </w:p>
    <w:tbl>
      <w:tblPr>
        <w:tblStyle w:val="TableGridLight"/>
        <w:tblW w:w="9209" w:type="dxa"/>
        <w:tblLook w:val="04A0" w:firstRow="1" w:lastRow="0" w:firstColumn="1" w:lastColumn="0" w:noHBand="0" w:noVBand="1"/>
      </w:tblPr>
      <w:tblGrid>
        <w:gridCol w:w="1517"/>
        <w:gridCol w:w="1541"/>
        <w:gridCol w:w="1540"/>
        <w:gridCol w:w="1541"/>
        <w:gridCol w:w="1540"/>
        <w:gridCol w:w="1530"/>
      </w:tblGrid>
      <w:tr w:rsidR="00922C73" w:rsidRPr="00922C73" w14:paraId="535E8E91" w14:textId="77777777" w:rsidTr="00B1767B">
        <w:tc>
          <w:tcPr>
            <w:tcW w:w="1413" w:type="dxa"/>
            <w:vMerge w:val="restart"/>
            <w:shd w:val="clear" w:color="auto" w:fill="auto"/>
          </w:tcPr>
          <w:p w14:paraId="16109095" w14:textId="77777777" w:rsidR="006B0B04" w:rsidRPr="00922C73" w:rsidRDefault="006B0B04" w:rsidP="00B1767B">
            <w:pPr>
              <w:spacing w:before="200" w:line="480" w:lineRule="auto"/>
              <w:jc w:val="center"/>
              <w:rPr>
                <w:rFonts w:ascii="Times New Roman" w:hAnsi="Times New Roman" w:cs="Times New Roman"/>
                <w:b/>
                <w:bCs/>
                <w:sz w:val="20"/>
                <w:szCs w:val="20"/>
              </w:rPr>
            </w:pPr>
          </w:p>
        </w:tc>
        <w:tc>
          <w:tcPr>
            <w:tcW w:w="1559" w:type="dxa"/>
            <w:shd w:val="clear" w:color="auto" w:fill="auto"/>
          </w:tcPr>
          <w:p w14:paraId="14877115" w14:textId="390157AA" w:rsidR="006B0B04" w:rsidRPr="00922C73" w:rsidRDefault="006B0B04" w:rsidP="00B1767B">
            <w:pPr>
              <w:spacing w:before="200" w:line="480" w:lineRule="auto"/>
              <w:jc w:val="center"/>
              <w:rPr>
                <w:rFonts w:ascii="Times New Roman" w:hAnsi="Times New Roman" w:cs="Times New Roman"/>
                <w:b/>
                <w:bCs/>
                <w:sz w:val="20"/>
                <w:szCs w:val="20"/>
              </w:rPr>
            </w:pPr>
            <w:r w:rsidRPr="00922C73">
              <w:rPr>
                <w:rFonts w:ascii="Times New Roman" w:hAnsi="Times New Roman" w:cs="Times New Roman"/>
                <w:b/>
                <w:bCs/>
                <w:sz w:val="20"/>
                <w:szCs w:val="20"/>
              </w:rPr>
              <w:t>Originator</w:t>
            </w:r>
          </w:p>
        </w:tc>
        <w:tc>
          <w:tcPr>
            <w:tcW w:w="6237" w:type="dxa"/>
            <w:gridSpan w:val="4"/>
            <w:shd w:val="clear" w:color="auto" w:fill="auto"/>
          </w:tcPr>
          <w:p w14:paraId="38EF6766" w14:textId="486AB681" w:rsidR="006B0B04" w:rsidRPr="00922C73" w:rsidRDefault="006B0B04" w:rsidP="00B1767B">
            <w:pPr>
              <w:spacing w:before="200" w:line="480" w:lineRule="auto"/>
              <w:jc w:val="center"/>
              <w:rPr>
                <w:rFonts w:ascii="Times New Roman" w:hAnsi="Times New Roman" w:cs="Times New Roman"/>
                <w:b/>
                <w:bCs/>
                <w:sz w:val="20"/>
                <w:szCs w:val="20"/>
              </w:rPr>
            </w:pPr>
            <w:r w:rsidRPr="00922C73">
              <w:rPr>
                <w:rFonts w:ascii="Times New Roman" w:hAnsi="Times New Roman" w:cs="Times New Roman"/>
                <w:b/>
                <w:bCs/>
                <w:sz w:val="20"/>
                <w:szCs w:val="20"/>
              </w:rPr>
              <w:t>Biosimilars</w:t>
            </w:r>
          </w:p>
        </w:tc>
      </w:tr>
      <w:tr w:rsidR="00922C73" w:rsidRPr="00922C73" w14:paraId="7C18E57A" w14:textId="77777777" w:rsidTr="00B1767B">
        <w:tc>
          <w:tcPr>
            <w:tcW w:w="1413" w:type="dxa"/>
            <w:vMerge/>
            <w:shd w:val="clear" w:color="auto" w:fill="auto"/>
          </w:tcPr>
          <w:p w14:paraId="7C7A70AE" w14:textId="7E9654CE" w:rsidR="006B0B04" w:rsidRPr="00922C73" w:rsidRDefault="006B0B04" w:rsidP="00B1767B">
            <w:pPr>
              <w:spacing w:before="200" w:line="480" w:lineRule="auto"/>
              <w:rPr>
                <w:rFonts w:ascii="Times New Roman" w:hAnsi="Times New Roman" w:cs="Times New Roman"/>
                <w:b/>
                <w:bCs/>
                <w:sz w:val="20"/>
                <w:szCs w:val="20"/>
              </w:rPr>
            </w:pPr>
          </w:p>
        </w:tc>
        <w:tc>
          <w:tcPr>
            <w:tcW w:w="1559" w:type="dxa"/>
            <w:shd w:val="clear" w:color="auto" w:fill="auto"/>
          </w:tcPr>
          <w:p w14:paraId="0041B255" w14:textId="39D818FA" w:rsidR="006B0B04" w:rsidRPr="00922C73" w:rsidRDefault="006B0B04"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 xml:space="preserve">Infliximab </w:t>
            </w:r>
          </w:p>
        </w:tc>
        <w:tc>
          <w:tcPr>
            <w:tcW w:w="1559" w:type="dxa"/>
            <w:shd w:val="clear" w:color="auto" w:fill="auto"/>
          </w:tcPr>
          <w:p w14:paraId="58C91A5E" w14:textId="10A04D17" w:rsidR="006B0B04" w:rsidRPr="00922C73" w:rsidRDefault="006B0B04"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 xml:space="preserve">Infliximab </w:t>
            </w:r>
          </w:p>
        </w:tc>
        <w:tc>
          <w:tcPr>
            <w:tcW w:w="1560" w:type="dxa"/>
            <w:shd w:val="clear" w:color="auto" w:fill="auto"/>
          </w:tcPr>
          <w:p w14:paraId="736328BD" w14:textId="185039E1" w:rsidR="006B0B04" w:rsidRPr="00922C73" w:rsidRDefault="006B0B04"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CT-P13</w:t>
            </w:r>
          </w:p>
        </w:tc>
        <w:tc>
          <w:tcPr>
            <w:tcW w:w="1559" w:type="dxa"/>
            <w:shd w:val="clear" w:color="auto" w:fill="auto"/>
          </w:tcPr>
          <w:p w14:paraId="1C81E8FE" w14:textId="5E3C0BB2" w:rsidR="006B0B04" w:rsidRPr="00922C73" w:rsidRDefault="006B0B04"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CT-P13</w:t>
            </w:r>
          </w:p>
        </w:tc>
        <w:tc>
          <w:tcPr>
            <w:tcW w:w="1559" w:type="dxa"/>
            <w:shd w:val="clear" w:color="auto" w:fill="auto"/>
          </w:tcPr>
          <w:p w14:paraId="3E1ECDE7" w14:textId="705E99D3" w:rsidR="006B0B04" w:rsidRPr="00922C73" w:rsidRDefault="006B0B04"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SB2</w:t>
            </w:r>
          </w:p>
        </w:tc>
      </w:tr>
      <w:tr w:rsidR="00922C73" w:rsidRPr="00922C73" w14:paraId="3D8FFEDD" w14:textId="77777777" w:rsidTr="00B1767B">
        <w:tc>
          <w:tcPr>
            <w:tcW w:w="1413" w:type="dxa"/>
          </w:tcPr>
          <w:p w14:paraId="622861D8" w14:textId="594105AC" w:rsidR="00C55C9F" w:rsidRPr="00922C73" w:rsidRDefault="00C55C9F"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 xml:space="preserve">Brand name </w:t>
            </w:r>
          </w:p>
        </w:tc>
        <w:tc>
          <w:tcPr>
            <w:tcW w:w="1559" w:type="dxa"/>
          </w:tcPr>
          <w:p w14:paraId="423E844B" w14:textId="0D92F155" w:rsidR="00C55C9F" w:rsidRPr="00922C73" w:rsidRDefault="00C55C9F"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Remicad</w:t>
            </w:r>
            <w:r w:rsidR="00DE0620" w:rsidRPr="00922C73">
              <w:rPr>
                <w:rFonts w:ascii="Times New Roman" w:hAnsi="Times New Roman" w:cs="Times New Roman"/>
                <w:b/>
                <w:bCs/>
                <w:sz w:val="20"/>
                <w:szCs w:val="20"/>
              </w:rPr>
              <w:t>e</w:t>
            </w:r>
          </w:p>
        </w:tc>
        <w:tc>
          <w:tcPr>
            <w:tcW w:w="1559" w:type="dxa"/>
          </w:tcPr>
          <w:p w14:paraId="0B1C2F97" w14:textId="4CEF565F" w:rsidR="00C55C9F" w:rsidRPr="00922C73" w:rsidRDefault="00C55C9F" w:rsidP="00B1767B">
            <w:pPr>
              <w:spacing w:before="200" w:line="480" w:lineRule="auto"/>
              <w:jc w:val="center"/>
              <w:rPr>
                <w:rFonts w:ascii="Times New Roman" w:eastAsia="Times New Roman" w:hAnsi="Times New Roman" w:cs="Times New Roman"/>
                <w:b/>
                <w:bCs/>
                <w:sz w:val="20"/>
                <w:szCs w:val="20"/>
                <w:lang w:eastAsia="en-GB"/>
              </w:rPr>
            </w:pPr>
            <w:proofErr w:type="spellStart"/>
            <w:r w:rsidRPr="00922C73">
              <w:rPr>
                <w:rFonts w:ascii="Times New Roman" w:eastAsia="Times New Roman" w:hAnsi="Times New Roman" w:cs="Times New Roman"/>
                <w:b/>
                <w:bCs/>
                <w:sz w:val="20"/>
                <w:szCs w:val="20"/>
                <w:lang w:eastAsia="en-GB"/>
              </w:rPr>
              <w:t>Zessly</w:t>
            </w:r>
            <w:proofErr w:type="spellEnd"/>
          </w:p>
        </w:tc>
        <w:tc>
          <w:tcPr>
            <w:tcW w:w="1560" w:type="dxa"/>
          </w:tcPr>
          <w:p w14:paraId="73660F81" w14:textId="37EAFCC1" w:rsidR="00C55C9F" w:rsidRPr="00922C73" w:rsidRDefault="00C55C9F" w:rsidP="00B1767B">
            <w:pPr>
              <w:spacing w:before="200" w:line="480" w:lineRule="auto"/>
              <w:jc w:val="center"/>
              <w:rPr>
                <w:rFonts w:ascii="Times New Roman" w:eastAsia="Times New Roman" w:hAnsi="Times New Roman" w:cs="Times New Roman"/>
                <w:b/>
                <w:bCs/>
                <w:sz w:val="20"/>
                <w:szCs w:val="20"/>
                <w:lang w:eastAsia="en-GB"/>
              </w:rPr>
            </w:pPr>
            <w:proofErr w:type="spellStart"/>
            <w:r w:rsidRPr="00922C73">
              <w:rPr>
                <w:rFonts w:ascii="Times New Roman" w:eastAsia="Times New Roman" w:hAnsi="Times New Roman" w:cs="Times New Roman"/>
                <w:b/>
                <w:bCs/>
                <w:sz w:val="20"/>
                <w:szCs w:val="20"/>
                <w:lang w:eastAsia="en-GB"/>
              </w:rPr>
              <w:t>Remsima</w:t>
            </w:r>
            <w:proofErr w:type="spellEnd"/>
          </w:p>
        </w:tc>
        <w:tc>
          <w:tcPr>
            <w:tcW w:w="1559" w:type="dxa"/>
          </w:tcPr>
          <w:p w14:paraId="6B3A8F3C" w14:textId="03549231" w:rsidR="00C55C9F" w:rsidRPr="00922C73" w:rsidRDefault="00C55C9F" w:rsidP="00B1767B">
            <w:pPr>
              <w:spacing w:before="200" w:line="480" w:lineRule="auto"/>
              <w:rPr>
                <w:rFonts w:ascii="Times New Roman" w:hAnsi="Times New Roman" w:cs="Times New Roman"/>
                <w:b/>
                <w:bCs/>
                <w:sz w:val="20"/>
                <w:szCs w:val="20"/>
              </w:rPr>
            </w:pPr>
            <w:proofErr w:type="spellStart"/>
            <w:r w:rsidRPr="00922C73">
              <w:rPr>
                <w:rFonts w:ascii="Times New Roman" w:hAnsi="Times New Roman" w:cs="Times New Roman"/>
                <w:b/>
                <w:bCs/>
                <w:sz w:val="20"/>
                <w:szCs w:val="20"/>
              </w:rPr>
              <w:t>Inflectra</w:t>
            </w:r>
            <w:proofErr w:type="spellEnd"/>
            <w:r w:rsidRPr="00922C73">
              <w:rPr>
                <w:rFonts w:ascii="Times New Roman" w:hAnsi="Times New Roman" w:cs="Times New Roman"/>
                <w:b/>
                <w:bCs/>
                <w:sz w:val="20"/>
                <w:szCs w:val="20"/>
              </w:rPr>
              <w:t xml:space="preserve"> </w:t>
            </w:r>
          </w:p>
        </w:tc>
        <w:tc>
          <w:tcPr>
            <w:tcW w:w="1559" w:type="dxa"/>
          </w:tcPr>
          <w:p w14:paraId="2D6DB509" w14:textId="2E836F60" w:rsidR="00C55C9F" w:rsidRPr="00922C73" w:rsidRDefault="00C55C9F" w:rsidP="00B1767B">
            <w:pPr>
              <w:spacing w:before="200" w:line="480" w:lineRule="auto"/>
              <w:rPr>
                <w:rFonts w:ascii="Times New Roman" w:hAnsi="Times New Roman" w:cs="Times New Roman"/>
                <w:b/>
                <w:bCs/>
                <w:sz w:val="20"/>
                <w:szCs w:val="20"/>
              </w:rPr>
            </w:pPr>
            <w:proofErr w:type="spellStart"/>
            <w:r w:rsidRPr="00922C73">
              <w:rPr>
                <w:rFonts w:ascii="Times New Roman" w:hAnsi="Times New Roman" w:cs="Times New Roman"/>
                <w:b/>
                <w:bCs/>
                <w:sz w:val="20"/>
                <w:szCs w:val="20"/>
              </w:rPr>
              <w:t>Flixabi</w:t>
            </w:r>
            <w:proofErr w:type="spellEnd"/>
          </w:p>
        </w:tc>
      </w:tr>
      <w:tr w:rsidR="00922C73" w:rsidRPr="00922C73" w14:paraId="3E937DCC" w14:textId="77777777" w:rsidTr="00B1767B">
        <w:tc>
          <w:tcPr>
            <w:tcW w:w="1413" w:type="dxa"/>
          </w:tcPr>
          <w:p w14:paraId="17A5DA61" w14:textId="32BDC156" w:rsidR="000442CA" w:rsidRPr="00922C73" w:rsidRDefault="006E07DB"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Manufacturing process</w:t>
            </w:r>
          </w:p>
        </w:tc>
        <w:tc>
          <w:tcPr>
            <w:tcW w:w="1559" w:type="dxa"/>
          </w:tcPr>
          <w:p w14:paraId="50B77B3A" w14:textId="299ECB99" w:rsidR="007B67F7" w:rsidRPr="00922C73" w:rsidRDefault="006B0B04"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shd w:val="clear" w:color="auto" w:fill="FFFFFF"/>
              </w:rPr>
              <w:t>S</w:t>
            </w:r>
            <w:r w:rsidR="007B67F7" w:rsidRPr="00922C73">
              <w:rPr>
                <w:rFonts w:ascii="Times New Roman" w:hAnsi="Times New Roman" w:cs="Times New Roman"/>
                <w:sz w:val="20"/>
                <w:szCs w:val="20"/>
                <w:shd w:val="clear" w:color="auto" w:fill="FFFFFF"/>
              </w:rPr>
              <w:t>P2/0 host cell line (mouse myeloma-derived)</w:t>
            </w:r>
          </w:p>
        </w:tc>
        <w:tc>
          <w:tcPr>
            <w:tcW w:w="1559" w:type="dxa"/>
          </w:tcPr>
          <w:p w14:paraId="29FF3E8E" w14:textId="6F3CABEE" w:rsidR="000442CA" w:rsidRPr="00922C73" w:rsidRDefault="00DE0620" w:rsidP="00B1767B">
            <w:pPr>
              <w:spacing w:before="200" w:line="480" w:lineRule="auto"/>
              <w:rPr>
                <w:rFonts w:ascii="Times New Roman" w:eastAsia="Times New Roman" w:hAnsi="Times New Roman" w:cs="Times New Roman"/>
                <w:sz w:val="20"/>
                <w:szCs w:val="20"/>
                <w:lang w:eastAsia="en-GB"/>
              </w:rPr>
            </w:pPr>
            <w:r w:rsidRPr="00922C73">
              <w:rPr>
                <w:rFonts w:ascii="Times New Roman" w:hAnsi="Times New Roman" w:cs="Times New Roman"/>
                <w:sz w:val="20"/>
                <w:szCs w:val="20"/>
                <w:shd w:val="clear" w:color="auto" w:fill="FFFFFF"/>
              </w:rPr>
              <w:t>SP2/0 host cell line (mouse myeloma-derived)</w:t>
            </w:r>
          </w:p>
        </w:tc>
        <w:tc>
          <w:tcPr>
            <w:tcW w:w="1560" w:type="dxa"/>
          </w:tcPr>
          <w:p w14:paraId="400FA94C" w14:textId="4631F7C6" w:rsidR="000442CA" w:rsidRPr="00922C73" w:rsidRDefault="00DE0620" w:rsidP="00B1767B">
            <w:pPr>
              <w:spacing w:before="200" w:line="480" w:lineRule="auto"/>
              <w:jc w:val="center"/>
              <w:rPr>
                <w:rFonts w:ascii="Times New Roman" w:eastAsia="Times New Roman" w:hAnsi="Times New Roman" w:cs="Times New Roman"/>
                <w:sz w:val="20"/>
                <w:szCs w:val="20"/>
                <w:lang w:eastAsia="en-GB"/>
              </w:rPr>
            </w:pPr>
            <w:r w:rsidRPr="00922C73">
              <w:rPr>
                <w:rFonts w:ascii="Times New Roman" w:hAnsi="Times New Roman" w:cs="Times New Roman"/>
                <w:sz w:val="20"/>
                <w:szCs w:val="20"/>
                <w:shd w:val="clear" w:color="auto" w:fill="FFFFFF"/>
              </w:rPr>
              <w:t>SP2/0 host cell line (mouse myeloma-derived)</w:t>
            </w:r>
          </w:p>
        </w:tc>
        <w:tc>
          <w:tcPr>
            <w:tcW w:w="1559" w:type="dxa"/>
          </w:tcPr>
          <w:p w14:paraId="33DEAF0A" w14:textId="510FD7B2" w:rsidR="000442CA" w:rsidRPr="00922C73" w:rsidRDefault="00DE0620"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shd w:val="clear" w:color="auto" w:fill="FFFFFF"/>
              </w:rPr>
              <w:t>SP2/0 host cell line (mouse myeloma-derived)</w:t>
            </w:r>
          </w:p>
        </w:tc>
        <w:tc>
          <w:tcPr>
            <w:tcW w:w="1559" w:type="dxa"/>
          </w:tcPr>
          <w:p w14:paraId="00EDD1BA" w14:textId="7A191A20" w:rsidR="00DE0620" w:rsidRPr="00922C73" w:rsidRDefault="00DE0620"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 xml:space="preserve">CHO host cell (Chinese hamster ovary derived) </w:t>
            </w:r>
          </w:p>
        </w:tc>
      </w:tr>
      <w:tr w:rsidR="00922C73" w:rsidRPr="00922C73" w14:paraId="0AB159EB" w14:textId="77777777" w:rsidTr="00B1767B">
        <w:tc>
          <w:tcPr>
            <w:tcW w:w="1413" w:type="dxa"/>
          </w:tcPr>
          <w:p w14:paraId="289626F4" w14:textId="2759A0B4" w:rsidR="00A532C5" w:rsidRPr="00922C73" w:rsidRDefault="00A532C5"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Approval date</w:t>
            </w:r>
          </w:p>
        </w:tc>
        <w:tc>
          <w:tcPr>
            <w:tcW w:w="1559" w:type="dxa"/>
          </w:tcPr>
          <w:p w14:paraId="14A0E29E" w14:textId="596D4D94" w:rsidR="00A532C5" w:rsidRPr="00922C73" w:rsidRDefault="00A532C5"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FDA: Aug</w:t>
            </w:r>
            <w:r w:rsidR="00C80182" w:rsidRPr="00922C73">
              <w:rPr>
                <w:rFonts w:ascii="Times New Roman" w:hAnsi="Times New Roman" w:cs="Times New Roman"/>
                <w:sz w:val="20"/>
                <w:szCs w:val="20"/>
              </w:rPr>
              <w:t>ust</w:t>
            </w:r>
            <w:r w:rsidRPr="00922C73">
              <w:rPr>
                <w:rFonts w:ascii="Times New Roman" w:hAnsi="Times New Roman" w:cs="Times New Roman"/>
                <w:sz w:val="20"/>
                <w:szCs w:val="20"/>
              </w:rPr>
              <w:t xml:space="preserve"> 1998</w:t>
            </w:r>
          </w:p>
          <w:p w14:paraId="23611604" w14:textId="69887630" w:rsidR="00A532C5" w:rsidRPr="00922C73" w:rsidRDefault="00A532C5"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EMA: Aug</w:t>
            </w:r>
            <w:r w:rsidR="00C80182" w:rsidRPr="00922C73">
              <w:rPr>
                <w:rFonts w:ascii="Times New Roman" w:hAnsi="Times New Roman" w:cs="Times New Roman"/>
                <w:sz w:val="20"/>
                <w:szCs w:val="20"/>
              </w:rPr>
              <w:t>ust</w:t>
            </w:r>
            <w:r w:rsidRPr="00922C73">
              <w:rPr>
                <w:rFonts w:ascii="Times New Roman" w:hAnsi="Times New Roman" w:cs="Times New Roman"/>
                <w:sz w:val="20"/>
                <w:szCs w:val="20"/>
              </w:rPr>
              <w:t xml:space="preserve"> 1999</w:t>
            </w:r>
          </w:p>
        </w:tc>
        <w:tc>
          <w:tcPr>
            <w:tcW w:w="1559" w:type="dxa"/>
          </w:tcPr>
          <w:p w14:paraId="5E9653D8" w14:textId="51363878" w:rsidR="00A532C5" w:rsidRPr="00922C73" w:rsidRDefault="00A532C5" w:rsidP="00B1767B">
            <w:pPr>
              <w:spacing w:before="200" w:line="480" w:lineRule="auto"/>
              <w:jc w:val="center"/>
              <w:rPr>
                <w:rFonts w:ascii="Times New Roman" w:eastAsia="Times New Roman" w:hAnsi="Times New Roman" w:cs="Times New Roman"/>
                <w:sz w:val="20"/>
                <w:szCs w:val="20"/>
                <w:lang w:eastAsia="en-GB"/>
              </w:rPr>
            </w:pPr>
            <w:r w:rsidRPr="00922C73">
              <w:rPr>
                <w:rFonts w:ascii="Times New Roman" w:eastAsia="Times New Roman" w:hAnsi="Times New Roman" w:cs="Times New Roman"/>
                <w:sz w:val="20"/>
                <w:szCs w:val="20"/>
                <w:lang w:eastAsia="en-GB"/>
              </w:rPr>
              <w:t>EMA: May 2018</w:t>
            </w:r>
          </w:p>
        </w:tc>
        <w:tc>
          <w:tcPr>
            <w:tcW w:w="1560" w:type="dxa"/>
          </w:tcPr>
          <w:p w14:paraId="481B6EBE" w14:textId="038D1C97" w:rsidR="00A532C5" w:rsidRPr="00922C73" w:rsidRDefault="00A532C5" w:rsidP="00B1767B">
            <w:pPr>
              <w:spacing w:before="200" w:line="480" w:lineRule="auto"/>
              <w:jc w:val="center"/>
              <w:rPr>
                <w:rFonts w:ascii="Times New Roman" w:eastAsia="Times New Roman" w:hAnsi="Times New Roman" w:cs="Times New Roman"/>
                <w:sz w:val="20"/>
                <w:szCs w:val="20"/>
                <w:lang w:eastAsia="en-GB"/>
              </w:rPr>
            </w:pPr>
            <w:r w:rsidRPr="00922C73">
              <w:rPr>
                <w:rFonts w:ascii="Times New Roman" w:eastAsia="Times New Roman" w:hAnsi="Times New Roman" w:cs="Times New Roman"/>
                <w:sz w:val="20"/>
                <w:szCs w:val="20"/>
                <w:lang w:eastAsia="en-GB"/>
              </w:rPr>
              <w:t>EMA: Sept</w:t>
            </w:r>
            <w:r w:rsidR="00C80182" w:rsidRPr="00922C73">
              <w:rPr>
                <w:rFonts w:ascii="Times New Roman" w:eastAsia="Times New Roman" w:hAnsi="Times New Roman" w:cs="Times New Roman"/>
                <w:sz w:val="20"/>
                <w:szCs w:val="20"/>
                <w:lang w:eastAsia="en-GB"/>
              </w:rPr>
              <w:t>ember</w:t>
            </w:r>
            <w:r w:rsidRPr="00922C73">
              <w:rPr>
                <w:rFonts w:ascii="Times New Roman" w:eastAsia="Times New Roman" w:hAnsi="Times New Roman" w:cs="Times New Roman"/>
                <w:sz w:val="20"/>
                <w:szCs w:val="20"/>
                <w:lang w:eastAsia="en-GB"/>
              </w:rPr>
              <w:t xml:space="preserve"> 2013</w:t>
            </w:r>
          </w:p>
        </w:tc>
        <w:tc>
          <w:tcPr>
            <w:tcW w:w="1559" w:type="dxa"/>
          </w:tcPr>
          <w:p w14:paraId="552ACFDE" w14:textId="344DB0D9" w:rsidR="00C80182" w:rsidRPr="00922C73" w:rsidRDefault="00C80182"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EMA: September 2013</w:t>
            </w:r>
          </w:p>
          <w:p w14:paraId="5F7450BA" w14:textId="6E24EDF4" w:rsidR="00A532C5" w:rsidRPr="00922C73" w:rsidRDefault="00C80182"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FDA: April 2016</w:t>
            </w:r>
          </w:p>
        </w:tc>
        <w:tc>
          <w:tcPr>
            <w:tcW w:w="1559" w:type="dxa"/>
          </w:tcPr>
          <w:p w14:paraId="0C49EA62" w14:textId="5E15CE0A" w:rsidR="00A532C5" w:rsidRPr="00922C73" w:rsidRDefault="00C80182"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EMA: May 2016</w:t>
            </w:r>
          </w:p>
        </w:tc>
      </w:tr>
      <w:tr w:rsidR="00922C73" w:rsidRPr="00922C73" w14:paraId="4AF70548" w14:textId="77777777" w:rsidTr="00B1767B">
        <w:tc>
          <w:tcPr>
            <w:tcW w:w="1413" w:type="dxa"/>
          </w:tcPr>
          <w:p w14:paraId="58314252" w14:textId="006F5C0B" w:rsidR="00C55C9F" w:rsidRPr="00922C73" w:rsidRDefault="00C55C9F"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Indications</w:t>
            </w:r>
          </w:p>
        </w:tc>
        <w:tc>
          <w:tcPr>
            <w:tcW w:w="1559" w:type="dxa"/>
          </w:tcPr>
          <w:p w14:paraId="74CA1C0D" w14:textId="4F8D8909" w:rsidR="00C55C9F" w:rsidRPr="00922C73" w:rsidRDefault="00C55C9F"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AS, CD, PsA, Ps, RA, UC</w:t>
            </w:r>
          </w:p>
        </w:tc>
        <w:tc>
          <w:tcPr>
            <w:tcW w:w="1559" w:type="dxa"/>
          </w:tcPr>
          <w:p w14:paraId="4DDC1DD1" w14:textId="2D536977" w:rsidR="00C55C9F" w:rsidRPr="00922C73" w:rsidRDefault="00C55C9F"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AS, CD, PsA, Ps, RA, UC</w:t>
            </w:r>
          </w:p>
        </w:tc>
        <w:tc>
          <w:tcPr>
            <w:tcW w:w="1560" w:type="dxa"/>
          </w:tcPr>
          <w:p w14:paraId="08A31DE1" w14:textId="535A64DC" w:rsidR="00C55C9F" w:rsidRPr="00922C73" w:rsidRDefault="00C55C9F"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AS, CD, PsA, Ps, RA, UC</w:t>
            </w:r>
          </w:p>
        </w:tc>
        <w:tc>
          <w:tcPr>
            <w:tcW w:w="1559" w:type="dxa"/>
          </w:tcPr>
          <w:p w14:paraId="501263CA" w14:textId="2D7ACB3D" w:rsidR="00C55C9F" w:rsidRPr="00922C73" w:rsidRDefault="00C55C9F"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AS, CD, PsA, Ps, RA, UC</w:t>
            </w:r>
          </w:p>
        </w:tc>
        <w:tc>
          <w:tcPr>
            <w:tcW w:w="1559" w:type="dxa"/>
          </w:tcPr>
          <w:p w14:paraId="74BDFDA7" w14:textId="4095DB7F" w:rsidR="00C55C9F" w:rsidRPr="00922C73" w:rsidRDefault="00C55C9F"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AS, CD, PsA, Ps, RA, UC</w:t>
            </w:r>
          </w:p>
        </w:tc>
      </w:tr>
      <w:tr w:rsidR="00922C73" w:rsidRPr="00922C73" w14:paraId="5257C116" w14:textId="77777777" w:rsidTr="00B1767B">
        <w:tc>
          <w:tcPr>
            <w:tcW w:w="1413" w:type="dxa"/>
          </w:tcPr>
          <w:p w14:paraId="4C54D8A3" w14:textId="321292B1" w:rsidR="00C55C9F" w:rsidRPr="00922C73" w:rsidRDefault="00C55C9F" w:rsidP="00B1767B">
            <w:pPr>
              <w:spacing w:before="200" w:line="480" w:lineRule="auto"/>
              <w:rPr>
                <w:rFonts w:ascii="Times New Roman" w:hAnsi="Times New Roman" w:cs="Times New Roman"/>
                <w:b/>
                <w:bCs/>
                <w:sz w:val="20"/>
                <w:szCs w:val="20"/>
              </w:rPr>
            </w:pPr>
            <w:r w:rsidRPr="00922C73">
              <w:rPr>
                <w:rFonts w:ascii="Times New Roman" w:hAnsi="Times New Roman" w:cs="Times New Roman"/>
                <w:b/>
                <w:bCs/>
                <w:sz w:val="20"/>
                <w:szCs w:val="20"/>
              </w:rPr>
              <w:t xml:space="preserve">Cost </w:t>
            </w:r>
          </w:p>
        </w:tc>
        <w:tc>
          <w:tcPr>
            <w:tcW w:w="1559" w:type="dxa"/>
          </w:tcPr>
          <w:p w14:paraId="5B2DF3B9" w14:textId="77777777" w:rsidR="00FB78B3"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 xml:space="preserve">£419.62 </w:t>
            </w:r>
          </w:p>
          <w:p w14:paraId="6E07C2DF" w14:textId="0A8CEB5D" w:rsidR="00FB78B3" w:rsidRPr="00922C73" w:rsidRDefault="00FB78B3" w:rsidP="00B1767B">
            <w:pPr>
              <w:spacing w:before="200" w:line="480" w:lineRule="auto"/>
              <w:rPr>
                <w:rFonts w:ascii="Lato" w:hAnsi="Lato"/>
                <w:sz w:val="20"/>
                <w:szCs w:val="20"/>
                <w:shd w:val="clear" w:color="auto" w:fill="EFF1F3"/>
              </w:rPr>
            </w:pPr>
            <w:r w:rsidRPr="00922C73">
              <w:rPr>
                <w:rFonts w:ascii="Times New Roman" w:hAnsi="Times New Roman" w:cs="Times New Roman"/>
                <w:sz w:val="20"/>
                <w:szCs w:val="20"/>
              </w:rPr>
              <w:t>(1 x 100 mg vial)</w:t>
            </w:r>
          </w:p>
        </w:tc>
        <w:tc>
          <w:tcPr>
            <w:tcW w:w="1559" w:type="dxa"/>
          </w:tcPr>
          <w:p w14:paraId="52408BB1" w14:textId="77777777" w:rsidR="00FB78B3"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 xml:space="preserve">£377.66 </w:t>
            </w:r>
          </w:p>
          <w:p w14:paraId="67876AC8" w14:textId="0CEBEF1B" w:rsidR="00C55C9F"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(1 x 100 mg vial)</w:t>
            </w:r>
          </w:p>
        </w:tc>
        <w:tc>
          <w:tcPr>
            <w:tcW w:w="1560" w:type="dxa"/>
          </w:tcPr>
          <w:p w14:paraId="4B70BDA1" w14:textId="68ABA1E4" w:rsidR="00FB78B3" w:rsidRPr="00922C73" w:rsidRDefault="00FB78B3" w:rsidP="00B1767B">
            <w:pPr>
              <w:spacing w:before="200" w:line="480" w:lineRule="auto"/>
              <w:rPr>
                <w:rFonts w:ascii="Lato" w:hAnsi="Lato"/>
                <w:sz w:val="20"/>
                <w:szCs w:val="20"/>
                <w:shd w:val="clear" w:color="auto" w:fill="EFF1F3"/>
              </w:rPr>
            </w:pPr>
            <w:r w:rsidRPr="00922C73">
              <w:rPr>
                <w:rFonts w:ascii="Times New Roman" w:hAnsi="Times New Roman" w:cs="Times New Roman"/>
                <w:sz w:val="20"/>
                <w:szCs w:val="20"/>
              </w:rPr>
              <w:t xml:space="preserve">£377.66 </w:t>
            </w:r>
          </w:p>
          <w:p w14:paraId="3ACBE72A" w14:textId="30F1E87C" w:rsidR="00FB78B3"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(1 x 100 mg vial)</w:t>
            </w:r>
          </w:p>
        </w:tc>
        <w:tc>
          <w:tcPr>
            <w:tcW w:w="1559" w:type="dxa"/>
          </w:tcPr>
          <w:p w14:paraId="3B541FDB" w14:textId="77777777" w:rsidR="00FB78B3"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 xml:space="preserve">£377.66 </w:t>
            </w:r>
          </w:p>
          <w:p w14:paraId="6885EFBA" w14:textId="71975A11" w:rsidR="00C55C9F" w:rsidRPr="00922C73" w:rsidRDefault="00FB78B3" w:rsidP="00B1767B">
            <w:pPr>
              <w:spacing w:before="200" w:line="480" w:lineRule="auto"/>
              <w:rPr>
                <w:rFonts w:ascii="Times New Roman" w:hAnsi="Times New Roman" w:cs="Times New Roman"/>
                <w:sz w:val="20"/>
                <w:szCs w:val="20"/>
              </w:rPr>
            </w:pPr>
            <w:r w:rsidRPr="00922C73">
              <w:rPr>
                <w:rFonts w:ascii="Times New Roman" w:hAnsi="Times New Roman" w:cs="Times New Roman"/>
                <w:sz w:val="20"/>
                <w:szCs w:val="20"/>
              </w:rPr>
              <w:t>(1 x 100 mg vial)</w:t>
            </w:r>
          </w:p>
        </w:tc>
        <w:tc>
          <w:tcPr>
            <w:tcW w:w="1559" w:type="dxa"/>
            <w:shd w:val="clear" w:color="auto" w:fill="FFFFFF" w:themeFill="background1"/>
          </w:tcPr>
          <w:p w14:paraId="550AC7AC" w14:textId="77777777" w:rsidR="00B1767B" w:rsidRPr="00922C73" w:rsidRDefault="00B1767B" w:rsidP="00B1767B">
            <w:pPr>
              <w:spacing w:line="480" w:lineRule="auto"/>
              <w:rPr>
                <w:rFonts w:ascii="Times New Roman" w:hAnsi="Times New Roman" w:cs="Times New Roman"/>
                <w:sz w:val="20"/>
                <w:szCs w:val="20"/>
              </w:rPr>
            </w:pPr>
            <w:r w:rsidRPr="00922C73">
              <w:rPr>
                <w:rFonts w:ascii="Times New Roman" w:hAnsi="Times New Roman" w:cs="Times New Roman"/>
                <w:sz w:val="20"/>
                <w:szCs w:val="20"/>
              </w:rPr>
              <w:t>£377</w:t>
            </w:r>
          </w:p>
          <w:p w14:paraId="69176AFD" w14:textId="4D5BC7BF" w:rsidR="00B1767B" w:rsidRPr="00922C73" w:rsidRDefault="00B1767B" w:rsidP="00B1767B">
            <w:pPr>
              <w:spacing w:line="480" w:lineRule="auto"/>
              <w:rPr>
                <w:rFonts w:ascii="Times New Roman" w:hAnsi="Times New Roman" w:cs="Times New Roman"/>
                <w:sz w:val="20"/>
                <w:szCs w:val="20"/>
              </w:rPr>
            </w:pPr>
            <w:r w:rsidRPr="00922C73">
              <w:rPr>
                <w:rFonts w:ascii="Times New Roman" w:hAnsi="Times New Roman" w:cs="Times New Roman"/>
                <w:sz w:val="20"/>
                <w:szCs w:val="20"/>
              </w:rPr>
              <w:t xml:space="preserve"> </w:t>
            </w:r>
          </w:p>
          <w:p w14:paraId="3B6FFD5E" w14:textId="427068F7" w:rsidR="00B1767B" w:rsidRPr="00922C73" w:rsidRDefault="00B1767B" w:rsidP="00C05533">
            <w:pPr>
              <w:keepNext/>
              <w:spacing w:line="480" w:lineRule="auto"/>
              <w:rPr>
                <w:rFonts w:ascii="Times New Roman" w:hAnsi="Times New Roman" w:cs="Times New Roman"/>
                <w:sz w:val="20"/>
                <w:szCs w:val="20"/>
              </w:rPr>
            </w:pPr>
            <w:r w:rsidRPr="00922C73">
              <w:rPr>
                <w:rFonts w:ascii="Times New Roman" w:hAnsi="Times New Roman" w:cs="Times New Roman"/>
                <w:sz w:val="20"/>
                <w:szCs w:val="20"/>
              </w:rPr>
              <w:t>(1 x 100 mg vial)</w:t>
            </w:r>
          </w:p>
        </w:tc>
      </w:tr>
    </w:tbl>
    <w:p w14:paraId="1A9C50A3" w14:textId="77777777" w:rsidR="00C05533" w:rsidRPr="00922C73" w:rsidRDefault="00C05533" w:rsidP="00C05533">
      <w:pPr>
        <w:pStyle w:val="Caption"/>
      </w:pPr>
    </w:p>
    <w:p w14:paraId="08391184" w14:textId="12EED9D2" w:rsidR="00B1767B" w:rsidRPr="00922C73" w:rsidRDefault="00C05533" w:rsidP="00252B23">
      <w:pPr>
        <w:pStyle w:val="Caption"/>
        <w:spacing w:line="240" w:lineRule="auto"/>
        <w:rPr>
          <w:rFonts w:ascii="Times New Roman" w:hAnsi="Times New Roman" w:cs="Times New Roman"/>
          <w:b w:val="0"/>
          <w:bCs w:val="0"/>
          <w:sz w:val="24"/>
          <w:szCs w:val="24"/>
        </w:rPr>
      </w:pPr>
      <w:bookmarkStart w:id="35" w:name="_Toc139306954"/>
      <w:r w:rsidRPr="00922C73">
        <w:rPr>
          <w:rFonts w:ascii="Times New Roman" w:hAnsi="Times New Roman" w:cs="Times New Roman"/>
          <w:sz w:val="24"/>
          <w:szCs w:val="24"/>
        </w:rPr>
        <w:t xml:space="preserve">Table </w:t>
      </w:r>
      <w:r w:rsidR="00334B74" w:rsidRPr="00922C73">
        <w:rPr>
          <w:rFonts w:ascii="Times New Roman" w:hAnsi="Times New Roman" w:cs="Times New Roman"/>
          <w:sz w:val="24"/>
          <w:szCs w:val="24"/>
        </w:rPr>
        <w:fldChar w:fldCharType="begin"/>
      </w:r>
      <w:r w:rsidR="00334B74" w:rsidRPr="00922C73">
        <w:rPr>
          <w:rFonts w:ascii="Times New Roman" w:hAnsi="Times New Roman" w:cs="Times New Roman"/>
          <w:sz w:val="24"/>
          <w:szCs w:val="24"/>
        </w:rPr>
        <w:instrText xml:space="preserve"> SEQ Table \* ARABIC </w:instrText>
      </w:r>
      <w:r w:rsidR="00334B74" w:rsidRPr="00922C73">
        <w:rPr>
          <w:rFonts w:ascii="Times New Roman" w:hAnsi="Times New Roman" w:cs="Times New Roman"/>
          <w:sz w:val="24"/>
          <w:szCs w:val="24"/>
        </w:rPr>
        <w:fldChar w:fldCharType="separate"/>
      </w:r>
      <w:r w:rsidR="00F2388D" w:rsidRPr="00922C73">
        <w:rPr>
          <w:rFonts w:ascii="Times New Roman" w:hAnsi="Times New Roman" w:cs="Times New Roman"/>
          <w:noProof/>
          <w:sz w:val="24"/>
          <w:szCs w:val="24"/>
        </w:rPr>
        <w:t>1</w:t>
      </w:r>
      <w:r w:rsidR="00334B7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Infliximab biosimilars licensed for use</w:t>
      </w:r>
      <w:r w:rsidRPr="00922C73">
        <w:rPr>
          <w:rFonts w:ascii="Times New Roman" w:hAnsi="Times New Roman" w:cs="Times New Roman"/>
          <w:noProof/>
          <w:sz w:val="24"/>
          <w:szCs w:val="24"/>
        </w:rPr>
        <w:t xml:space="preserve"> in the European Union </w:t>
      </w:r>
      <w:r w:rsidRPr="00922C73">
        <w:rPr>
          <w:rFonts w:ascii="Times New Roman" w:hAnsi="Times New Roman" w:cs="Times New Roman"/>
          <w:b w:val="0"/>
          <w:bCs w:val="0"/>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{"citationItems":[{"id":"ITEM-1","itemData":{"author":[{"dropping-particle":"","family":"European Medicines Agency","given":"","non-dropping-particle":"","parse-names":false,"suffix":""}],"id":"ITEM-1","issued":{"date-parts":[["2005"]]},"page":"1-30","title":"Remicade scientific discussion","type":"article-journal"},"uris":["http://www.mendeley.com/documents/?uuid=be6b712e-2523-437c-8912-a7027c681952"]},{"id":"ITEM-2","itemData":{"author":[{"dropping-particle":"","family":"European Medicines Agency","given":"","non-dropping-particle":"","parse-names":false,"suffix":""}],"id":"ITEM-2","issue":"0","issued":{"date-parts":[["2016"]]},"title":"EPAR Summary for the public Flixabi infliximab","type":"article-journal","volume":"44"},"uris":["http://www.mendeley.com/documents/?uuid=225b5332-37a4-4b76-9bec-f6608ffee38e"]},{"id":"ITEM-3","itemData":{"author":[{"dropping-particle":"","family":"European Medicines Agency","given":"","non-dropping-particle":"","parse-names":false,"suffix":""}],"id":"ITEM-3","issued":{"date-parts":[["2013"]]},"page":"1-105","title":"Assessment Report: REMSIMA","type":"article-journal"},"uris":["http://www.mendeley.com/documents/?uuid=4acba06a-5ea8-422e-a588-2d78fef0a3b5"]},{"id":"ITEM-4","itemData":{"URL":"https://bnf.nice.org.uk/drug/infliximab.html#indicationsAndDoses","accessed":{"date-parts":[["2021","3","23"]]},"author":[{"dropping-particle":"","family":"Committee.","given":"Joint Formulary","non-dropping-particle":"","parse-names":false,"suffix":""}],"id":"ITEM-4","issued":{"date-parts":[["0"]]},"title":"British National Formulary (online) London: Infliximab.","type":"webpage"},"uris":["http://www.mendeley.com/documents/?uuid=47418a87-8197-43a0-9584-3261373722c0"]},{"id":"ITEM-5","itemData":{"DOI":"10.1080/14712598.2019.1561851","ISSN":"1471-2598","author":[{"dropping-particle":"","family":"Gimeno-Gracia","given":"Mercedes","non-dropping-particle":"","parse-names":false,"suffix":""},{"dropping-particle":"","family":"Gargallo-Puyuelo","given":"Carla J.","non-dropping-particle":"","parse-names":false,"suffix":""},{"dropping-particle":"","family":"Gomollón","given":"Fernando","non-dropping-particle":"","parse-names":false,"suffix":""}],"container-title":"Expert Opinion on Biological Therapy","id":"ITEM-5","issue":"10","issued":{"date-parts":[["2019","10","3"]]},"page":"1031-1043","title":"Bioequivalence studies with anti-TNF biosimilars","type":"article-journal","volume":"19"},"uris":["http://www.mendeley.com/documents/?uuid=60860282-d845-45ca-b28b-1782ea93c42e"]}],"mendeley":{"formattedCitation":"&lt;sup&gt;72,99,100,102,103&lt;/sup&gt;","plainTextFormattedCitation":"72,99,100,102,103","previouslyFormattedCitation":"&lt;sup&gt;72,99,100,102,103&lt;/sup&gt;"},"properties":{"noteIndex":0},"schema":"https://github.com/citation-style-language/schema/raw/master/csl-citation.json"}</w:instrText>
      </w:r>
      <w:r w:rsidRPr="00922C73">
        <w:rPr>
          <w:rFonts w:ascii="Times New Roman" w:hAnsi="Times New Roman" w:cs="Times New Roman"/>
          <w:b w:val="0"/>
          <w:bCs w:val="0"/>
          <w:sz w:val="24"/>
          <w:szCs w:val="24"/>
        </w:rPr>
        <w:fldChar w:fldCharType="separate"/>
      </w:r>
      <w:r w:rsidR="00A00D49" w:rsidRPr="00922C73">
        <w:rPr>
          <w:rFonts w:ascii="Times New Roman" w:hAnsi="Times New Roman" w:cs="Times New Roman"/>
          <w:b w:val="0"/>
          <w:noProof/>
          <w:sz w:val="24"/>
          <w:szCs w:val="24"/>
          <w:vertAlign w:val="superscript"/>
        </w:rPr>
        <w:t>72,99,100,102,103</w:t>
      </w:r>
      <w:r w:rsidRPr="00922C73">
        <w:rPr>
          <w:rFonts w:ascii="Times New Roman" w:hAnsi="Times New Roman" w:cs="Times New Roman"/>
          <w:b w:val="0"/>
          <w:bCs w:val="0"/>
          <w:sz w:val="24"/>
          <w:szCs w:val="24"/>
        </w:rPr>
        <w:fldChar w:fldCharType="end"/>
      </w:r>
      <w:r w:rsidRPr="00922C73">
        <w:rPr>
          <w:rFonts w:ascii="Times New Roman" w:hAnsi="Times New Roman" w:cs="Times New Roman"/>
          <w:b w:val="0"/>
          <w:bCs w:val="0"/>
          <w:sz w:val="24"/>
          <w:szCs w:val="24"/>
        </w:rPr>
        <w:t>.</w:t>
      </w:r>
      <w:bookmarkEnd w:id="35"/>
    </w:p>
    <w:p w14:paraId="4CCB7254" w14:textId="5292D4AF" w:rsidR="00B1767B" w:rsidRPr="00922C73" w:rsidRDefault="00B1767B" w:rsidP="00252B23">
      <w:pPr>
        <w:spacing w:before="200" w:after="0" w:line="240" w:lineRule="auto"/>
        <w:rPr>
          <w:rFonts w:ascii="Times New Roman" w:hAnsi="Times New Roman" w:cs="Times New Roman"/>
          <w:sz w:val="24"/>
          <w:szCs w:val="24"/>
        </w:rPr>
      </w:pPr>
      <w:r w:rsidRPr="00922C73">
        <w:rPr>
          <w:rFonts w:ascii="Times New Roman" w:hAnsi="Times New Roman" w:cs="Times New Roman"/>
          <w:sz w:val="24"/>
          <w:szCs w:val="24"/>
        </w:rPr>
        <w:t xml:space="preserve">AS: ankylosing spondylitis, CD: Crohn’s disease, PsA: Psoriatic arthropathy, PS: psoriasis, RA: rheumatoid arthritis, UC: ulcerative colitis. </w:t>
      </w:r>
    </w:p>
    <w:p w14:paraId="4FABA193" w14:textId="66B06ACC" w:rsidR="00B1767B" w:rsidRPr="00922C73" w:rsidRDefault="009B3C57" w:rsidP="00252B23">
      <w:pPr>
        <w:autoSpaceDE w:val="0"/>
        <w:autoSpaceDN w:val="0"/>
        <w:adjustRightInd w:val="0"/>
        <w:spacing w:after="0" w:line="240" w:lineRule="auto"/>
        <w:rPr>
          <w:rFonts w:ascii="Times New Roman" w:hAnsi="Times New Roman" w:cs="Times New Roman"/>
          <w:sz w:val="24"/>
          <w:szCs w:val="24"/>
        </w:rPr>
      </w:pPr>
      <w:r w:rsidRPr="00922C73">
        <w:rPr>
          <w:rFonts w:ascii="Times New Roman" w:hAnsi="Times New Roman" w:cs="Times New Roman"/>
          <w:sz w:val="24"/>
          <w:szCs w:val="24"/>
        </w:rPr>
        <w:t xml:space="preserve"> </w:t>
      </w:r>
    </w:p>
    <w:p w14:paraId="6067038C" w14:textId="77777777" w:rsidR="00660C1A" w:rsidRPr="00922C73" w:rsidRDefault="00660C1A" w:rsidP="00B1767B">
      <w:pPr>
        <w:autoSpaceDE w:val="0"/>
        <w:autoSpaceDN w:val="0"/>
        <w:adjustRightInd w:val="0"/>
        <w:spacing w:after="0" w:line="480" w:lineRule="auto"/>
        <w:rPr>
          <w:rFonts w:ascii="Times New Roman" w:hAnsi="Times New Roman" w:cs="Times New Roman"/>
          <w:sz w:val="24"/>
          <w:szCs w:val="24"/>
        </w:rPr>
      </w:pPr>
    </w:p>
    <w:p w14:paraId="17DBCF67" w14:textId="77777777" w:rsidR="00252B23" w:rsidRPr="00922C73" w:rsidRDefault="00252B23" w:rsidP="00B1767B">
      <w:pPr>
        <w:autoSpaceDE w:val="0"/>
        <w:autoSpaceDN w:val="0"/>
        <w:adjustRightInd w:val="0"/>
        <w:spacing w:after="0" w:line="480" w:lineRule="auto"/>
        <w:rPr>
          <w:rFonts w:ascii="Times New Roman" w:hAnsi="Times New Roman" w:cs="Times New Roman"/>
          <w:sz w:val="24"/>
          <w:szCs w:val="24"/>
        </w:rPr>
      </w:pPr>
    </w:p>
    <w:p w14:paraId="44DB587A" w14:textId="1F9C7119" w:rsidR="006774D6" w:rsidRPr="00922C73" w:rsidRDefault="006774D6" w:rsidP="0023671B">
      <w:pPr>
        <w:pStyle w:val="Heading2"/>
        <w:spacing w:line="480" w:lineRule="auto"/>
        <w:rPr>
          <w:rFonts w:ascii="Times New Roman" w:hAnsi="Times New Roman" w:cs="Times New Roman"/>
          <w:sz w:val="24"/>
          <w:szCs w:val="24"/>
        </w:rPr>
      </w:pPr>
      <w:bookmarkStart w:id="36" w:name="_Toc151020458"/>
      <w:r w:rsidRPr="00922C73">
        <w:rPr>
          <w:rFonts w:ascii="Times New Roman" w:hAnsi="Times New Roman" w:cs="Times New Roman"/>
          <w:sz w:val="24"/>
          <w:szCs w:val="24"/>
        </w:rPr>
        <w:lastRenderedPageBreak/>
        <w:t>1.</w:t>
      </w:r>
      <w:r w:rsidR="00EB51E2" w:rsidRPr="00922C73">
        <w:rPr>
          <w:rFonts w:ascii="Times New Roman" w:hAnsi="Times New Roman" w:cs="Times New Roman"/>
          <w:sz w:val="24"/>
          <w:szCs w:val="24"/>
        </w:rPr>
        <w:t>2</w:t>
      </w:r>
      <w:r w:rsidRPr="00922C73">
        <w:rPr>
          <w:rFonts w:ascii="Times New Roman" w:hAnsi="Times New Roman" w:cs="Times New Roman"/>
          <w:sz w:val="24"/>
          <w:szCs w:val="24"/>
        </w:rPr>
        <w:t xml:space="preserve"> Monoclonal antibodies</w:t>
      </w:r>
      <w:bookmarkEnd w:id="36"/>
      <w:r w:rsidRPr="00922C73">
        <w:rPr>
          <w:rFonts w:ascii="Times New Roman" w:hAnsi="Times New Roman" w:cs="Times New Roman"/>
          <w:sz w:val="24"/>
          <w:szCs w:val="24"/>
        </w:rPr>
        <w:t xml:space="preserve"> </w:t>
      </w:r>
    </w:p>
    <w:p w14:paraId="6371CF01" w14:textId="4B0A34BA" w:rsidR="004920A9" w:rsidRPr="00922C73" w:rsidRDefault="00EB51E2" w:rsidP="0023671B">
      <w:pPr>
        <w:pStyle w:val="Heading3"/>
        <w:spacing w:line="480" w:lineRule="auto"/>
        <w:rPr>
          <w:rFonts w:ascii="Times New Roman" w:eastAsia="Times New Roman" w:hAnsi="Times New Roman" w:cs="Times New Roman"/>
          <w:lang w:val="en-US" w:eastAsia="en-GB"/>
        </w:rPr>
      </w:pPr>
      <w:bookmarkStart w:id="37" w:name="_Toc151020459"/>
      <w:bookmarkStart w:id="38" w:name="_Hlk139441427"/>
      <w:r w:rsidRPr="00922C73">
        <w:rPr>
          <w:rFonts w:ascii="Times New Roman" w:hAnsi="Times New Roman" w:cs="Times New Roman"/>
          <w:b/>
          <w:bCs/>
        </w:rPr>
        <w:t xml:space="preserve">1.2.1 </w:t>
      </w:r>
      <w:r w:rsidR="0089567F" w:rsidRPr="00922C73">
        <w:rPr>
          <w:rFonts w:ascii="Times New Roman" w:hAnsi="Times New Roman" w:cs="Times New Roman"/>
          <w:b/>
          <w:bCs/>
        </w:rPr>
        <w:t>Immunoglobulins</w:t>
      </w:r>
      <w:bookmarkEnd w:id="37"/>
      <w:r w:rsidR="002810A0" w:rsidRPr="00922C73">
        <w:rPr>
          <w:rFonts w:ascii="Times New Roman" w:hAnsi="Times New Roman" w:cs="Times New Roman"/>
          <w:b/>
          <w:bCs/>
        </w:rPr>
        <w:t xml:space="preserve"> </w:t>
      </w:r>
    </w:p>
    <w:p w14:paraId="76D5CC83" w14:textId="3982D9D4" w:rsidR="00060840" w:rsidRPr="00922C73" w:rsidRDefault="00CA43E2" w:rsidP="0023671B">
      <w:pPr>
        <w:spacing w:line="480" w:lineRule="auto"/>
        <w:rPr>
          <w:rFonts w:ascii="Times New Roman" w:hAnsi="Times New Roman" w:cs="Times New Roman"/>
          <w:sz w:val="24"/>
          <w:szCs w:val="24"/>
        </w:rPr>
      </w:pPr>
      <w:bookmarkStart w:id="39" w:name="_Hlk75850989"/>
      <w:bookmarkEnd w:id="38"/>
      <w:r w:rsidRPr="00922C73">
        <w:rPr>
          <w:rFonts w:ascii="Times New Roman" w:hAnsi="Times New Roman" w:cs="Times New Roman"/>
          <w:sz w:val="24"/>
          <w:szCs w:val="24"/>
        </w:rPr>
        <w:t xml:space="preserve">There are 5 main classes of immunoglobulins: IgG, IgA, </w:t>
      </w:r>
      <w:proofErr w:type="spellStart"/>
      <w:r w:rsidRPr="00922C73">
        <w:rPr>
          <w:rFonts w:ascii="Times New Roman" w:hAnsi="Times New Roman" w:cs="Times New Roman"/>
          <w:sz w:val="24"/>
          <w:szCs w:val="24"/>
        </w:rPr>
        <w:t>IgD</w:t>
      </w:r>
      <w:proofErr w:type="spellEnd"/>
      <w:r w:rsidRPr="00922C73">
        <w:rPr>
          <w:rFonts w:ascii="Times New Roman" w:hAnsi="Times New Roman" w:cs="Times New Roman"/>
          <w:sz w:val="24"/>
          <w:szCs w:val="24"/>
        </w:rPr>
        <w:t xml:space="preserve">, IgM and </w:t>
      </w:r>
      <w:proofErr w:type="spellStart"/>
      <w:r w:rsidRPr="00922C73">
        <w:rPr>
          <w:rFonts w:ascii="Times New Roman" w:hAnsi="Times New Roman" w:cs="Times New Roman"/>
          <w:sz w:val="24"/>
          <w:szCs w:val="24"/>
        </w:rPr>
        <w:t>IgE</w:t>
      </w:r>
      <w:proofErr w:type="spellEnd"/>
      <w:r w:rsidRPr="00922C73">
        <w:rPr>
          <w:rFonts w:ascii="Times New Roman" w:hAnsi="Times New Roman" w:cs="Times New Roman"/>
          <w:sz w:val="24"/>
          <w:szCs w:val="24"/>
        </w:rPr>
        <w:t xml:space="preserve">, and each class share identical heavy chain constant domains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dc2fab2b-17ea-4319-9e24-631c0febfbbe","http://www.mendeley.com/documents/?uuid=a56c5ed6-0288-4cce-896b-2edbb1a44dbe","http://www.mendeley.com/documents/?uuid=77788fc9-fc3d-4103-9123-8fcd06690a29"]}],"mendeley":{"formattedCitation":"&lt;sup&gt;65&lt;/sup&gt;","plainTextFormattedCitation":"65","previouslyFormattedCitation":"&lt;sup&gt;65&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6774D6" w:rsidRPr="00922C73">
        <w:rPr>
          <w:rFonts w:ascii="Times New Roman" w:hAnsi="Times New Roman" w:cs="Times New Roman"/>
          <w:sz w:val="24"/>
          <w:szCs w:val="24"/>
        </w:rPr>
        <w:t>Monomeric immunoglobulin structure</w:t>
      </w:r>
      <w:r w:rsidR="004920A9" w:rsidRPr="00922C73">
        <w:rPr>
          <w:rFonts w:ascii="Times New Roman" w:hAnsi="Times New Roman" w:cs="Times New Roman"/>
          <w:sz w:val="24"/>
          <w:szCs w:val="24"/>
        </w:rPr>
        <w:t xml:space="preserve">: </w:t>
      </w:r>
      <w:r w:rsidR="006774D6" w:rsidRPr="00922C73">
        <w:rPr>
          <w:rFonts w:ascii="Times New Roman" w:hAnsi="Times New Roman" w:cs="Times New Roman"/>
          <w:sz w:val="24"/>
          <w:szCs w:val="24"/>
        </w:rPr>
        <w:t xml:space="preserve">IgG, IgA, </w:t>
      </w:r>
      <w:proofErr w:type="spellStart"/>
      <w:r w:rsidR="006774D6" w:rsidRPr="00922C73">
        <w:rPr>
          <w:rFonts w:ascii="Times New Roman" w:hAnsi="Times New Roman" w:cs="Times New Roman"/>
          <w:sz w:val="24"/>
          <w:szCs w:val="24"/>
        </w:rPr>
        <w:t>IgD</w:t>
      </w:r>
      <w:proofErr w:type="spellEnd"/>
      <w:r w:rsidR="006774D6" w:rsidRPr="00922C73">
        <w:rPr>
          <w:rFonts w:ascii="Times New Roman" w:hAnsi="Times New Roman" w:cs="Times New Roman"/>
          <w:sz w:val="24"/>
          <w:szCs w:val="24"/>
        </w:rPr>
        <w:t xml:space="preserve"> and </w:t>
      </w:r>
      <w:proofErr w:type="spellStart"/>
      <w:r w:rsidR="006774D6" w:rsidRPr="00922C73">
        <w:rPr>
          <w:rFonts w:ascii="Times New Roman" w:hAnsi="Times New Roman" w:cs="Times New Roman"/>
          <w:sz w:val="24"/>
          <w:szCs w:val="24"/>
        </w:rPr>
        <w:t>IgE</w:t>
      </w:r>
      <w:proofErr w:type="spellEnd"/>
      <w:r w:rsidR="004920A9" w:rsidRPr="00922C73">
        <w:rPr>
          <w:rFonts w:ascii="Times New Roman" w:hAnsi="Times New Roman" w:cs="Times New Roman"/>
          <w:sz w:val="24"/>
          <w:szCs w:val="24"/>
        </w:rPr>
        <w:t>,</w:t>
      </w:r>
      <w:r w:rsidR="006774D6" w:rsidRPr="00922C73">
        <w:rPr>
          <w:rFonts w:ascii="Times New Roman" w:hAnsi="Times New Roman" w:cs="Times New Roman"/>
          <w:sz w:val="24"/>
          <w:szCs w:val="24"/>
        </w:rPr>
        <w:t xml:space="preserve"> consist of </w:t>
      </w:r>
      <w:r w:rsidR="004920A9" w:rsidRPr="00922C73">
        <w:rPr>
          <w:rFonts w:ascii="Times New Roman" w:hAnsi="Times New Roman" w:cs="Times New Roman"/>
          <w:sz w:val="24"/>
          <w:szCs w:val="24"/>
        </w:rPr>
        <w:t>two</w:t>
      </w:r>
      <w:r w:rsidR="006774D6" w:rsidRPr="00922C73">
        <w:rPr>
          <w:rFonts w:ascii="Times New Roman" w:hAnsi="Times New Roman" w:cs="Times New Roman"/>
          <w:sz w:val="24"/>
          <w:szCs w:val="24"/>
        </w:rPr>
        <w:t xml:space="preserve"> identical heavy and </w:t>
      </w:r>
      <w:r w:rsidR="004920A9" w:rsidRPr="00922C73">
        <w:rPr>
          <w:rFonts w:ascii="Times New Roman" w:hAnsi="Times New Roman" w:cs="Times New Roman"/>
          <w:sz w:val="24"/>
          <w:szCs w:val="24"/>
        </w:rPr>
        <w:t>two</w:t>
      </w:r>
      <w:r w:rsidR="006774D6" w:rsidRPr="00922C73">
        <w:rPr>
          <w:rFonts w:ascii="Times New Roman" w:hAnsi="Times New Roman" w:cs="Times New Roman"/>
          <w:sz w:val="24"/>
          <w:szCs w:val="24"/>
        </w:rPr>
        <w:t xml:space="preserve"> identical light chains </w:t>
      </w:r>
      <w:r w:rsidR="004920A9" w:rsidRPr="00922C73">
        <w:rPr>
          <w:rFonts w:ascii="Times New Roman" w:hAnsi="Times New Roman" w:cs="Times New Roman"/>
          <w:sz w:val="24"/>
          <w:szCs w:val="24"/>
        </w:rPr>
        <w:t xml:space="preserve">as shown in </w:t>
      </w:r>
      <w:r w:rsidR="006774D6" w:rsidRPr="00922C73">
        <w:rPr>
          <w:rFonts w:ascii="Times New Roman" w:hAnsi="Times New Roman" w:cs="Times New Roman"/>
          <w:sz w:val="24"/>
          <w:szCs w:val="24"/>
        </w:rPr>
        <w:t xml:space="preserve">Figure </w:t>
      </w:r>
      <w:r w:rsidR="00060840" w:rsidRPr="00922C73">
        <w:rPr>
          <w:rFonts w:ascii="Times New Roman" w:hAnsi="Times New Roman" w:cs="Times New Roman"/>
          <w:sz w:val="24"/>
          <w:szCs w:val="24"/>
        </w:rPr>
        <w:t>5</w:t>
      </w:r>
      <w:r w:rsidR="006774D6" w:rsidRPr="00922C73">
        <w:rPr>
          <w:rFonts w:ascii="Times New Roman" w:hAnsi="Times New Roman" w:cs="Times New Roman"/>
          <w:sz w:val="24"/>
          <w:szCs w:val="24"/>
        </w:rPr>
        <w:t xml:space="preserve">. IgA and IgM can exist in multimeric forms </w:t>
      </w:r>
      <w:r w:rsidR="006774D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77788fc9-fc3d-4103-9123-8fcd06690a29","http://www.mendeley.com/documents/?uuid=dc2fab2b-17ea-4319-9e24-631c0febfbbe"]}],"mendeley":{"formattedCitation":"&lt;sup&gt;65&lt;/sup&gt;","plainTextFormattedCitation":"65","previouslyFormattedCitation":"&lt;sup&gt;65&lt;/sup&gt;"},"properties":{"noteIndex":0},"schema":"https://github.com/citation-style-language/schema/raw/master/csl-citation.json"}</w:instrText>
      </w:r>
      <w:r w:rsidR="006774D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w:t>
      </w:r>
      <w:r w:rsidR="006774D6" w:rsidRPr="00922C73">
        <w:rPr>
          <w:rFonts w:ascii="Times New Roman" w:hAnsi="Times New Roman" w:cs="Times New Roman"/>
          <w:sz w:val="24"/>
          <w:szCs w:val="24"/>
        </w:rPr>
        <w:fldChar w:fldCharType="end"/>
      </w:r>
      <w:r w:rsidR="006774D6" w:rsidRPr="00922C73">
        <w:rPr>
          <w:rFonts w:ascii="Times New Roman" w:hAnsi="Times New Roman" w:cs="Times New Roman"/>
          <w:sz w:val="24"/>
          <w:szCs w:val="24"/>
        </w:rPr>
        <w:t xml:space="preserve">. The heavy and light chains form </w:t>
      </w:r>
      <w:r w:rsidR="004920A9" w:rsidRPr="00922C73">
        <w:rPr>
          <w:rFonts w:ascii="Times New Roman" w:hAnsi="Times New Roman" w:cs="Times New Roman"/>
          <w:sz w:val="24"/>
          <w:szCs w:val="24"/>
        </w:rPr>
        <w:t>two</w:t>
      </w:r>
      <w:r w:rsidR="006774D6" w:rsidRPr="00922C73">
        <w:rPr>
          <w:rFonts w:ascii="Times New Roman" w:hAnsi="Times New Roman" w:cs="Times New Roman"/>
          <w:sz w:val="24"/>
          <w:szCs w:val="24"/>
        </w:rPr>
        <w:t xml:space="preserve"> antigen binding fragments (Fab) and </w:t>
      </w:r>
      <w:r w:rsidR="004920A9" w:rsidRPr="00922C73">
        <w:rPr>
          <w:rFonts w:ascii="Times New Roman" w:hAnsi="Times New Roman" w:cs="Times New Roman"/>
          <w:sz w:val="24"/>
          <w:szCs w:val="24"/>
        </w:rPr>
        <w:t>one</w:t>
      </w:r>
      <w:r w:rsidR="006774D6" w:rsidRPr="00922C73">
        <w:rPr>
          <w:rFonts w:ascii="Times New Roman" w:hAnsi="Times New Roman" w:cs="Times New Roman"/>
          <w:sz w:val="24"/>
          <w:szCs w:val="24"/>
        </w:rPr>
        <w:t xml:space="preserve"> crystalline fragment (Fc), which via Fc receptors on cell surfaces activate the cellular immune system </w:t>
      </w:r>
      <w:r w:rsidR="006774D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{"citationItems":[{"id":"ITEM-1","itemData":{"DOI":"10.1016/S0149-2918(99)80015-0","ISSN":"01492918","abstract":"Crohn's disease (CD) is characterized by transmural inflammatory disease involving any portion of the gastrointestinal tract. Patients with CD have increased mucosal concentrations of the cytokine tumor necrosis factor-alpha (TNF-alpha), a key mediator of mucosal inflammation. In addition, TNF-alpha has multiple biologic activities involved in apoptosis, metabolism, and activation of granulocytes, lymphocytes, eosinophils, fibroblasts, chondrocytes, and endothelial cells. Recently, infliximab has emerged as a novel chimeric monoclonal antibody that inhibits TNF-alpha. Infliximab is indicated for the treatment of moderately to severely active CD in patients having an inadequate response to conventional therapy. To date, a small number of clinical trials with infliximab have demonstrated efficacy and tolerability when the agent is initiated as a 5-mg/kg single intravenous infusion. In patients with fistulizing CD, administration of 2 subsequent 5-mg/kg doses 2 and 6 weeks after the initial dose appears to be efficacious. Infliximab seems to be a promising therapeutic strategy for patients with refractory CD.","author":[{"dropping-particle":"","family":"Mauser","given":"JF","non-dropping-particle":"","parse-names":false,"suffix":""},{"dropping-particle":"","family":"Hyams","given":"JS","non-dropping-particle":"","parse-names":false,"suffix":""}],"container-title":"Clinical Therapeutics","id":"ITEM-1","issue":"6","issued":{"date-parts":[["1999","6"]]},"page":"932-942","title":"Infliximab: A novel chimeric monoclonal antibody for the treatment of Crohn's disease","type":"article-journal","volume":"21"},"uris":["http://www.mendeley.com/documents/?uuid=ef46343e-3a5b-4f76-bd95-19a85c0285de","http://www.mendeley.com/documents/?uuid=841022c5-f952-4b85-9777-55ea21a0fbde"]},{"id":"ITEM-2","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Immunology","id":"ITEM-2","issue":"2","issued":{"date-parts":[["2010","2"]]},"page":"S41-S52","title":"Structure and function of immunoglobulins","type":"article-journal","volume":"125"},"uris":["http://www.mendeley.com/documents/?uuid=77788fc9-fc3d-4103-9123-8fcd06690a29","http://www.mendeley.com/documents/?uuid=dc2fab2b-17ea-4319-9e24-631c0febfbbe"]}],"mendeley":{"formattedCitation":"&lt;sup&gt;37,65&lt;/sup&gt;","plainTextFormattedCitation":"37,65","previouslyFormattedCitation":"&lt;sup&gt;37,65&lt;/sup&gt;"},"properties":{"noteIndex":0},"schema":"https://github.com/citation-style-language/schema/raw/master/csl-citation.json"}</w:instrText>
      </w:r>
      <w:r w:rsidR="006774D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37,65</w:t>
      </w:r>
      <w:r w:rsidR="006774D6" w:rsidRPr="00922C73">
        <w:rPr>
          <w:rFonts w:ascii="Times New Roman" w:hAnsi="Times New Roman" w:cs="Times New Roman"/>
          <w:sz w:val="24"/>
          <w:szCs w:val="24"/>
        </w:rPr>
        <w:fldChar w:fldCharType="end"/>
      </w:r>
      <w:r w:rsidR="006774D6" w:rsidRPr="00922C73">
        <w:rPr>
          <w:rFonts w:ascii="Times New Roman" w:hAnsi="Times New Roman" w:cs="Times New Roman"/>
          <w:sz w:val="24"/>
          <w:szCs w:val="24"/>
        </w:rPr>
        <w:t>. Within the variable Fab region of each light (V</w:t>
      </w:r>
      <w:r w:rsidR="006774D6" w:rsidRPr="00922C73">
        <w:rPr>
          <w:rFonts w:ascii="Times New Roman" w:hAnsi="Times New Roman" w:cs="Times New Roman"/>
          <w:sz w:val="24"/>
          <w:szCs w:val="24"/>
          <w:vertAlign w:val="subscript"/>
        </w:rPr>
        <w:t>L</w:t>
      </w:r>
      <w:r w:rsidR="006774D6" w:rsidRPr="00922C73">
        <w:rPr>
          <w:rFonts w:ascii="Times New Roman" w:hAnsi="Times New Roman" w:cs="Times New Roman"/>
          <w:sz w:val="24"/>
          <w:szCs w:val="24"/>
        </w:rPr>
        <w:t>) and heavy chain (V</w:t>
      </w:r>
      <w:r w:rsidR="006774D6" w:rsidRPr="00922C73">
        <w:rPr>
          <w:rFonts w:ascii="Times New Roman" w:hAnsi="Times New Roman" w:cs="Times New Roman"/>
          <w:sz w:val="24"/>
          <w:szCs w:val="24"/>
          <w:vertAlign w:val="subscript"/>
        </w:rPr>
        <w:t>H</w:t>
      </w:r>
      <w:r w:rsidR="006774D6" w:rsidRPr="00922C73">
        <w:rPr>
          <w:rFonts w:ascii="Times New Roman" w:hAnsi="Times New Roman" w:cs="Times New Roman"/>
          <w:sz w:val="24"/>
          <w:szCs w:val="24"/>
        </w:rPr>
        <w:t xml:space="preserve">) are 3 hypervariable regions: complementarity determining regions (CDR 1, 2 and 3) which are held within sequences of limited variability: framework regions </w:t>
      </w:r>
      <w:r w:rsidR="006774D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{"citationItems":[{"id":"ITEM-1","itemData":{"DOI":"10.3389/fimmu.2013.00302","ISBN":"1664-3224 (Electronic)\\r1664-3224 (Linking)","ISSN":"1664-3224","PMID":"24115948","abstract":"The function of antibodies (Abs) involves specific binding to antigens (Ags) and activation of other components of the immune system to fight pathogens.The six hypervariable loops within the variable domains of Abs, commonly termed complementarity determining regions (CDRs), are widely assumed to be responsible for Ag recognition, while the constant domains are believed to mediate effector activation. Recent studies and analyses of the growing number of available Ab structures, indicate that this clear functional separation between the two regions may be an oversimplification. Some positions within the CDRs have been shown to never participate in Ag binding and some off-CDRs residues often contribute critically to the interaction with the Ag. Moreover, there is now growing evidence for non-local and even allosteric effects in Ab-Ag interaction in which Ag binding affects the constant region and vice versa. This review summarizes and discusses the structural basis of Ag recognition, elaborating on the contribution of different structural determinants of the Ab to Ag binding and recognition. We discuss the CDRs, the different approaches for their identification and their relationship to the Ag interface. We also review what is currently known about the contribution of non-CDRs regions to Ag recognition, namely the framework regions (FRs) and the constant domains.The suggested mechanisms by which these regions contribute to Ag binding are discussed. On the Ag side of the interaction, we discuss attempts to predict B-cell epitopes and the suggested idea to incorporate Ab information into B-cell epitope prediction schemes. Beyond improving the understanding of immunity, characterization of the functional role of different parts of the Ab molecule may help in Ab engineering, design of CDR-derived peptides, and epitope prediction.","author":[{"dropping-particle":"","family":"Sela-Culang","given":"Inbal","non-dropping-particle":"","parse-names":false,"suffix":""},{"dropping-particle":"","family":"Kunik","given":"Vered","non-dropping-particle":"","parse-names":false,"suffix":""},{"dropping-particle":"","family":"Ofran","given":"Yanay","non-dropping-particle":"","parse-names":false,"suffix":""}],"container-title":"Frontiers in Immunology","id":"ITEM-1","issue":"OCT","issued":{"date-parts":[["2013"]]},"page":"1-13","title":"The Structural Basis of Antibody-Antigen Recognition","type":"article-journal","volume":"4"},"uris":["http://www.mendeley.com/documents/?uuid=105cd357-583b-421a-8e14-915cfc89cd92","http://www.mendeley.com/documents/?uuid=d5ca381f-14b7-482e-ba91-a495eb1d8ea7","http://www.mendeley.com/documents/?uuid=cafe28b4-4543-4d7b-8a78-74d024b75e7c"]}],"mendeley":{"formattedCitation":"&lt;sup&gt;104&lt;/sup&gt;","plainTextFormattedCitation":"104","previouslyFormattedCitation":"&lt;sup&gt;104&lt;/sup&gt;"},"properties":{"noteIndex":0},"schema":"https://github.com/citation-style-language/schema/raw/master/csl-citation.json"}</w:instrText>
      </w:r>
      <w:r w:rsidR="006774D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104</w:t>
      </w:r>
      <w:r w:rsidR="006774D6" w:rsidRPr="00922C73">
        <w:rPr>
          <w:rFonts w:ascii="Times New Roman" w:hAnsi="Times New Roman" w:cs="Times New Roman"/>
          <w:sz w:val="24"/>
          <w:szCs w:val="24"/>
        </w:rPr>
        <w:fldChar w:fldCharType="end"/>
      </w:r>
      <w:bookmarkEnd w:id="39"/>
      <w:r w:rsidR="006774D6" w:rsidRPr="00922C73">
        <w:rPr>
          <w:rFonts w:ascii="Times New Roman" w:hAnsi="Times New Roman" w:cs="Times New Roman"/>
          <w:sz w:val="24"/>
          <w:szCs w:val="24"/>
        </w:rPr>
        <w:t xml:space="preserve">. </w:t>
      </w:r>
    </w:p>
    <w:p w14:paraId="1242D910" w14:textId="77777777" w:rsidR="00060840" w:rsidRPr="00922C73" w:rsidRDefault="00060840" w:rsidP="00060840">
      <w:pPr>
        <w:autoSpaceDE w:val="0"/>
        <w:autoSpaceDN w:val="0"/>
        <w:adjustRightInd w:val="0"/>
        <w:spacing w:after="0" w:line="480" w:lineRule="auto"/>
        <w:rPr>
          <w:rFonts w:ascii="Times New Roman" w:hAnsi="Times New Roman" w:cs="Times New Roman"/>
          <w:sz w:val="24"/>
          <w:szCs w:val="24"/>
        </w:rPr>
      </w:pPr>
    </w:p>
    <w:p w14:paraId="34B34C5A" w14:textId="77777777" w:rsidR="00060840" w:rsidRPr="00922C73" w:rsidRDefault="00060840" w:rsidP="00060840">
      <w:pPr>
        <w:autoSpaceDE w:val="0"/>
        <w:autoSpaceDN w:val="0"/>
        <w:adjustRightInd w:val="0"/>
        <w:spacing w:after="0" w:line="480" w:lineRule="auto"/>
        <w:rPr>
          <w:rFonts w:ascii="Times New Roman" w:hAnsi="Times New Roman" w:cs="Times New Roman"/>
          <w:sz w:val="24"/>
          <w:szCs w:val="24"/>
        </w:rPr>
      </w:pPr>
    </w:p>
    <w:p w14:paraId="41AA2661" w14:textId="77777777" w:rsidR="00060840" w:rsidRPr="00922C73" w:rsidRDefault="00060840" w:rsidP="00060840">
      <w:pPr>
        <w:autoSpaceDE w:val="0"/>
        <w:autoSpaceDN w:val="0"/>
        <w:adjustRightInd w:val="0"/>
        <w:spacing w:after="0" w:line="480" w:lineRule="auto"/>
        <w:rPr>
          <w:rFonts w:ascii="Times New Roman" w:hAnsi="Times New Roman" w:cs="Times New Roman"/>
          <w:sz w:val="24"/>
          <w:szCs w:val="24"/>
        </w:rPr>
      </w:pPr>
    </w:p>
    <w:p w14:paraId="298E03CB" w14:textId="77777777" w:rsidR="00060840" w:rsidRPr="00922C73" w:rsidRDefault="00060840" w:rsidP="00060840">
      <w:pPr>
        <w:autoSpaceDE w:val="0"/>
        <w:autoSpaceDN w:val="0"/>
        <w:adjustRightInd w:val="0"/>
        <w:spacing w:after="0" w:line="480" w:lineRule="auto"/>
        <w:rPr>
          <w:rFonts w:ascii="Times New Roman" w:hAnsi="Times New Roman" w:cs="Times New Roman"/>
          <w:sz w:val="24"/>
          <w:szCs w:val="24"/>
        </w:rPr>
      </w:pPr>
    </w:p>
    <w:p w14:paraId="48345970" w14:textId="77777777" w:rsidR="00060840" w:rsidRPr="00922C73" w:rsidRDefault="00060840" w:rsidP="00060840">
      <w:pPr>
        <w:keepNext/>
        <w:spacing w:line="480" w:lineRule="auto"/>
      </w:pPr>
      <w:bookmarkStart w:id="40" w:name="_Hlk99975073"/>
      <w:r w:rsidRPr="00922C73">
        <w:rPr>
          <w:noProof/>
        </w:rPr>
        <w:lastRenderedPageBreak/>
        <w:drawing>
          <wp:inline distT="0" distB="0" distL="0" distR="0" wp14:anchorId="74A51203" wp14:editId="7BB0E9A8">
            <wp:extent cx="5379410" cy="3067050"/>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96DAC541-7B7A-43D3-8B79-37D633B846F1}">
                          <asvg:svgBlip xmlns:asvg="http://schemas.microsoft.com/office/drawing/2016/SVG/main" r:embed="rId23"/>
                        </a:ext>
                      </a:extLst>
                    </a:blip>
                    <a:srcRect l="3787" t="8037" r="6878" b="9020"/>
                    <a:stretch/>
                  </pic:blipFill>
                  <pic:spPr bwMode="auto">
                    <a:xfrm>
                      <a:off x="0" y="0"/>
                      <a:ext cx="5415207" cy="3087460"/>
                    </a:xfrm>
                    <a:prstGeom prst="rect">
                      <a:avLst/>
                    </a:prstGeom>
                    <a:ln>
                      <a:noFill/>
                    </a:ln>
                    <a:extLst>
                      <a:ext uri="{53640926-AAD7-44D8-BBD7-CCE9431645EC}">
                        <a14:shadowObscured xmlns:a14="http://schemas.microsoft.com/office/drawing/2010/main"/>
                      </a:ext>
                    </a:extLst>
                  </pic:spPr>
                </pic:pic>
              </a:graphicData>
            </a:graphic>
          </wp:inline>
        </w:drawing>
      </w:r>
    </w:p>
    <w:p w14:paraId="1B57FD99" w14:textId="2C91D77E" w:rsidR="00060840" w:rsidRPr="00922C73" w:rsidRDefault="00060840" w:rsidP="00715B1C">
      <w:pPr>
        <w:pStyle w:val="Caption"/>
        <w:spacing w:line="240" w:lineRule="auto"/>
        <w:rPr>
          <w:rFonts w:ascii="Times New Roman" w:hAnsi="Times New Roman" w:cs="Times New Roman"/>
          <w:sz w:val="24"/>
          <w:szCs w:val="24"/>
        </w:rPr>
      </w:pPr>
      <w:bookmarkStart w:id="41" w:name="_Toc139397306"/>
      <w:bookmarkStart w:id="42" w:name="_Toc151020650"/>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5</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Structure of a monomeric immunoglobulin</w:t>
      </w:r>
      <w:bookmarkEnd w:id="41"/>
      <w:bookmarkEnd w:id="42"/>
    </w:p>
    <w:p w14:paraId="19A89D3E" w14:textId="77777777" w:rsidR="00060840" w:rsidRPr="00922C73" w:rsidRDefault="00060840" w:rsidP="00715B1C">
      <w:pPr>
        <w:spacing w:line="240" w:lineRule="auto"/>
      </w:pPr>
      <w:r w:rsidRPr="00922C73">
        <w:rPr>
          <w:rFonts w:ascii="Times New Roman" w:hAnsi="Times New Roman" w:cs="Times New Roman"/>
          <w:sz w:val="24"/>
          <w:szCs w:val="24"/>
        </w:rPr>
        <w:t xml:space="preserve">Monomeric immunoglobulins: IgG, IgA, </w:t>
      </w:r>
      <w:proofErr w:type="spellStart"/>
      <w:r w:rsidRPr="00922C73">
        <w:rPr>
          <w:rFonts w:ascii="Times New Roman" w:hAnsi="Times New Roman" w:cs="Times New Roman"/>
          <w:sz w:val="24"/>
          <w:szCs w:val="24"/>
        </w:rPr>
        <w:t>IgD</w:t>
      </w:r>
      <w:proofErr w:type="spellEnd"/>
      <w:r w:rsidRPr="00922C73">
        <w:rPr>
          <w:rFonts w:ascii="Times New Roman" w:hAnsi="Times New Roman" w:cs="Times New Roman"/>
          <w:sz w:val="24"/>
          <w:szCs w:val="24"/>
        </w:rPr>
        <w:t xml:space="preserve"> and </w:t>
      </w:r>
      <w:proofErr w:type="spellStart"/>
      <w:r w:rsidRPr="00922C73">
        <w:rPr>
          <w:rFonts w:ascii="Times New Roman" w:hAnsi="Times New Roman" w:cs="Times New Roman"/>
          <w:sz w:val="24"/>
          <w:szCs w:val="24"/>
        </w:rPr>
        <w:t>IgE</w:t>
      </w:r>
      <w:proofErr w:type="spellEnd"/>
      <w:r w:rsidRPr="00922C73">
        <w:rPr>
          <w:rFonts w:ascii="Times New Roman" w:hAnsi="Times New Roman" w:cs="Times New Roman"/>
          <w:sz w:val="24"/>
          <w:szCs w:val="24"/>
        </w:rPr>
        <w:t xml:space="preserve"> consists of two identical heavy and two identical light chains linked by disulphide bonds. The heavy and light chains form two antigen binding fragments (Fab) and 1 crystalline fragment (Fc). Within the variable Fab region of each light (V</w:t>
      </w:r>
      <w:r w:rsidRPr="00922C73">
        <w:rPr>
          <w:rFonts w:ascii="Times New Roman" w:hAnsi="Times New Roman" w:cs="Times New Roman"/>
          <w:sz w:val="24"/>
          <w:szCs w:val="24"/>
          <w:vertAlign w:val="subscript"/>
        </w:rPr>
        <w:t>L</w:t>
      </w:r>
      <w:r w:rsidRPr="00922C73">
        <w:rPr>
          <w:rFonts w:ascii="Times New Roman" w:hAnsi="Times New Roman" w:cs="Times New Roman"/>
          <w:sz w:val="24"/>
          <w:szCs w:val="24"/>
        </w:rPr>
        <w:t>) and each heavy chain (V</w:t>
      </w:r>
      <w:r w:rsidRPr="00922C73">
        <w:rPr>
          <w:rFonts w:ascii="Times New Roman" w:hAnsi="Times New Roman" w:cs="Times New Roman"/>
          <w:sz w:val="24"/>
          <w:szCs w:val="24"/>
          <w:vertAlign w:val="subscript"/>
        </w:rPr>
        <w:t>H</w:t>
      </w:r>
      <w:r w:rsidRPr="00922C73">
        <w:rPr>
          <w:rFonts w:ascii="Times New Roman" w:hAnsi="Times New Roman" w:cs="Times New Roman"/>
          <w:sz w:val="24"/>
          <w:szCs w:val="24"/>
        </w:rPr>
        <w:t xml:space="preserve">) are three hypervariable regions: complementarity determining regions (CDR 1, 2 and 3). The CDRs determine antibody specificity and the 6 CDRs from each Fab form a paratope: the antigen binding site.  </w:t>
      </w:r>
      <w:bookmarkEnd w:id="40"/>
    </w:p>
    <w:p w14:paraId="23B0512C" w14:textId="77777777" w:rsidR="00060840" w:rsidRPr="00922C73" w:rsidRDefault="00060840" w:rsidP="00AD2C99"/>
    <w:p w14:paraId="09387683" w14:textId="77777777" w:rsidR="00060840" w:rsidRPr="00922C73" w:rsidRDefault="00060840" w:rsidP="00AD2C99">
      <w:pPr>
        <w:rPr>
          <w:b/>
          <w:bCs/>
        </w:rPr>
      </w:pPr>
    </w:p>
    <w:p w14:paraId="3B294A77" w14:textId="77777777" w:rsidR="00060840" w:rsidRPr="00922C73" w:rsidRDefault="00060840" w:rsidP="00AD2C99"/>
    <w:p w14:paraId="213208A9" w14:textId="77777777" w:rsidR="00060840" w:rsidRPr="00922C73" w:rsidRDefault="00060840" w:rsidP="00AD2C99"/>
    <w:p w14:paraId="60364CF5" w14:textId="77777777" w:rsidR="00060840" w:rsidRPr="00922C73" w:rsidRDefault="00060840" w:rsidP="00060840"/>
    <w:p w14:paraId="2D01869F" w14:textId="77777777" w:rsidR="00AD2C99" w:rsidRPr="00922C73" w:rsidRDefault="00AD2C99" w:rsidP="00060840"/>
    <w:p w14:paraId="58A9BB99" w14:textId="77777777" w:rsidR="00AD2C99" w:rsidRPr="00922C73" w:rsidRDefault="00AD2C99" w:rsidP="00060840"/>
    <w:p w14:paraId="3C826AA9" w14:textId="77777777" w:rsidR="00AD2C99" w:rsidRPr="00922C73" w:rsidRDefault="00AD2C99" w:rsidP="00060840"/>
    <w:p w14:paraId="5B207D23" w14:textId="77777777" w:rsidR="00451F4B" w:rsidRPr="00922C73" w:rsidRDefault="00451F4B" w:rsidP="00060840"/>
    <w:p w14:paraId="6E0CBF5D" w14:textId="77777777" w:rsidR="00451F4B" w:rsidRPr="00922C73" w:rsidRDefault="00451F4B" w:rsidP="00060840"/>
    <w:p w14:paraId="3A436A86" w14:textId="77777777" w:rsidR="00451F4B" w:rsidRPr="00922C73" w:rsidRDefault="00451F4B" w:rsidP="00060840"/>
    <w:p w14:paraId="1DA9238F" w14:textId="77777777" w:rsidR="00451F4B" w:rsidRPr="00922C73" w:rsidRDefault="00451F4B" w:rsidP="00060840"/>
    <w:p w14:paraId="759A1F1F" w14:textId="06AC75DB" w:rsidR="00060840" w:rsidRPr="00922C73" w:rsidRDefault="00060840" w:rsidP="00060840">
      <w:pPr>
        <w:pStyle w:val="Heading3"/>
        <w:spacing w:line="480" w:lineRule="auto"/>
        <w:rPr>
          <w:rFonts w:ascii="Times New Roman" w:eastAsia="Times New Roman" w:hAnsi="Times New Roman" w:cs="Times New Roman"/>
          <w:lang w:val="en-US" w:eastAsia="en-GB"/>
        </w:rPr>
      </w:pPr>
      <w:bookmarkStart w:id="43" w:name="_Toc151020460"/>
      <w:r w:rsidRPr="00922C73">
        <w:rPr>
          <w:rFonts w:ascii="Times New Roman" w:hAnsi="Times New Roman" w:cs="Times New Roman"/>
          <w:b/>
          <w:bCs/>
        </w:rPr>
        <w:lastRenderedPageBreak/>
        <w:t>1.2.2 Epitopes</w:t>
      </w:r>
      <w:bookmarkEnd w:id="43"/>
      <w:r w:rsidRPr="00922C73">
        <w:rPr>
          <w:rFonts w:ascii="Times New Roman" w:hAnsi="Times New Roman" w:cs="Times New Roman"/>
          <w:b/>
          <w:bCs/>
        </w:rPr>
        <w:t xml:space="preserve"> </w:t>
      </w:r>
    </w:p>
    <w:p w14:paraId="2AA9F68A" w14:textId="0F67D9BE" w:rsidR="00AD2C99" w:rsidRPr="00922C73" w:rsidRDefault="006774D6" w:rsidP="0023671B">
      <w:pPr>
        <w:spacing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 xml:space="preserve">The </w:t>
      </w:r>
      <w:r w:rsidR="0089567F" w:rsidRPr="00922C73">
        <w:rPr>
          <w:rFonts w:ascii="Times New Roman" w:hAnsi="Times New Roman" w:cs="Times New Roman"/>
          <w:sz w:val="24"/>
          <w:szCs w:val="24"/>
        </w:rPr>
        <w:t>six</w:t>
      </w:r>
      <w:r w:rsidRPr="00922C73">
        <w:rPr>
          <w:rFonts w:ascii="Times New Roman" w:hAnsi="Times New Roman" w:cs="Times New Roman"/>
          <w:sz w:val="24"/>
          <w:szCs w:val="24"/>
        </w:rPr>
        <w:t xml:space="preserve"> CDRs of a variable Fab </w:t>
      </w:r>
      <w:r w:rsidR="0089567F" w:rsidRPr="00922C73">
        <w:rPr>
          <w:rFonts w:ascii="Times New Roman" w:hAnsi="Times New Roman" w:cs="Times New Roman"/>
          <w:sz w:val="24"/>
          <w:szCs w:val="24"/>
        </w:rPr>
        <w:t xml:space="preserve">constitutes the </w:t>
      </w:r>
      <w:r w:rsidRPr="00922C73">
        <w:rPr>
          <w:rFonts w:ascii="Times New Roman" w:hAnsi="Times New Roman" w:cs="Times New Roman"/>
          <w:sz w:val="24"/>
          <w:szCs w:val="24"/>
        </w:rPr>
        <w:t>paratope</w:t>
      </w:r>
      <w:r w:rsidR="00815E4E" w:rsidRPr="00922C73">
        <w:rPr>
          <w:rFonts w:ascii="Times New Roman" w:hAnsi="Times New Roman" w:cs="Times New Roman"/>
          <w:sz w:val="24"/>
          <w:szCs w:val="24"/>
        </w:rPr>
        <w:t>:</w:t>
      </w:r>
      <w:r w:rsidRPr="00922C73">
        <w:rPr>
          <w:rFonts w:ascii="Times New Roman" w:hAnsi="Times New Roman" w:cs="Times New Roman"/>
          <w:sz w:val="24"/>
          <w:szCs w:val="24"/>
        </w:rPr>
        <w:t xml:space="preserve"> the region on the antibody</w:t>
      </w:r>
      <w:r w:rsidR="0089567F" w:rsidRPr="00922C73">
        <w:rPr>
          <w:rFonts w:ascii="Times New Roman" w:hAnsi="Times New Roman" w:cs="Times New Roman"/>
          <w:sz w:val="24"/>
          <w:szCs w:val="24"/>
        </w:rPr>
        <w:t xml:space="preserve"> that determines specificity and</w:t>
      </w:r>
      <w:r w:rsidRPr="00922C73">
        <w:rPr>
          <w:rFonts w:ascii="Times New Roman" w:hAnsi="Times New Roman" w:cs="Times New Roman"/>
          <w:sz w:val="24"/>
          <w:szCs w:val="24"/>
        </w:rPr>
        <w:t xml:space="preserve"> </w:t>
      </w:r>
      <w:r w:rsidR="0089567F" w:rsidRPr="00922C73">
        <w:rPr>
          <w:rFonts w:ascii="Times New Roman" w:hAnsi="Times New Roman" w:cs="Times New Roman"/>
          <w:sz w:val="24"/>
          <w:szCs w:val="24"/>
        </w:rPr>
        <w:t>binds</w:t>
      </w:r>
      <w:r w:rsidRPr="00922C73">
        <w:rPr>
          <w:rFonts w:ascii="Times New Roman" w:hAnsi="Times New Roman" w:cs="Times New Roman"/>
          <w:sz w:val="24"/>
          <w:szCs w:val="24"/>
        </w:rPr>
        <w:t xml:space="preserve"> to the B cell epitope on the antigen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77788fc9-fc3d-4103-9123-8fcd06690a29","http://www.mendeley.com/documents/?uuid=dc2fab2b-17ea-4319-9e24-631c0febfbbe"]},{"id":"ITEM-2","itemData":{"DOI":"10.3389/fimmu.2013.00302","ISBN":"1664-3224 (Electronic)\\r1664-3224 (Linking)","ISSN":"1664-3224","PMID":"24115948","abstract":"The function of antibodies (Abs) involves specific binding to antigens (Ags) and activation of other components of the immune system to fight pathogens.The six hypervariable loops within the variable domains of Abs, commonly termed complementarity determining regions (CDRs), are widely assumed to be responsible for Ag recognition, while the constant domains are believed to mediate effector activation. Recent studies and analyses of the growing number of available Ab structures, indicate that this clear functional separation between the two regions may be an oversimplification. Some positions within the CDRs have been shown to never participate in Ag binding and some off-CDRs residues often contribute critically to the interaction with the Ag. Moreover, there is now growing evidence for non-local and even allosteric effects in Ab-Ag interaction in which Ag binding affects the constant region and vice versa. This review summarizes and discusses the structural basis of Ag recognition, elaborating on the contribution of different structural determinants of the Ab to Ag binding and recognition. We discuss the CDRs, the different approaches for their identification and their relationship to the Ag interface. We also review what is currently known about the contribution of non-CDRs regions to Ag recognition, namely the framework regions (FRs) and the constant domains.The suggested mechanisms by which these regions contribute to Ag binding are discussed. On the Ag side of the interaction, we discuss attempts to predict B-cell epitopes and the suggested idea to incorporate Ab information into B-cell epitope prediction schemes. Beyond improving the understanding of immunity, characterization of the functional role of different parts of the Ab molecule may help in Ab engineering, design of CDR-derived peptides, and epitope prediction.","author":[{"dropping-particle":"","family":"Sela-Culang","given":"Inbal","non-dropping-particle":"","parse-names":false,"suffix":""},{"dropping-particle":"","family":"Kunik","given":"Vered","non-dropping-particle":"","parse-names":false,"suffix":""},{"dropping-particle":"","family":"Ofran","given":"Yanay","non-dropping-particle":"","parse-names":false,"suffix":""}],"container-title":"Frontiers in Immunology","id":"ITEM-2","issue":"OCT","issued":{"date-parts":[["2013"]]},"page":"1-13","title":"The Structural Basis of Antibody-Antigen Recognition","type":"article-journal","volume":"4"},"uris":["http://www.mendeley.com/documents/?uuid=cafe28b4-4543-4d7b-8a78-74d024b75e7c","http://www.mendeley.com/documents/?uuid=d5ca381f-14b7-482e-ba91-a495eb1d8ea7","http://www.mendeley.com/documents/?uuid=105cd357-583b-421a-8e14-915cfc89cd92","http://www.mendeley.com/documents/?uuid=65027840-e03c-4e77-8ab8-8049a3234d16"]}],"mendeley":{"formattedCitation":"&lt;sup&gt;65,104&lt;/sup&gt;","plainTextFormattedCitation":"65,104","previouslyFormattedCitation":"&lt;sup&gt;65,104&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65,104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B cell epitopes can be linear: continuous short sequences of amino acids, or conformational: </w:t>
      </w:r>
      <w:r w:rsidRPr="00922C73">
        <w:rPr>
          <w:rFonts w:ascii="Times New Roman" w:hAnsi="Times New Roman" w:cs="Times New Roman"/>
          <w:sz w:val="24"/>
          <w:szCs w:val="24"/>
          <w:shd w:val="clear" w:color="auto" w:fill="FFFFFF"/>
        </w:rPr>
        <w:t xml:space="preserve">discontinuous or continuous sequences of amino acids which as a three-dimensional structure interacts with the paratope </w:t>
      </w:r>
      <w:r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lt;/sup&gt;","plainTextFormattedCitation":"105","previouslyFormattedCitation":"&lt;sup&gt;105&lt;/sup&gt;"},"properties":{"noteIndex":0},"schema":"https://github.com/citation-style-language/schema/raw/master/csl-citation.json"}</w:instrText>
      </w:r>
      <w:r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105</w:t>
      </w:r>
      <w:r w:rsidRPr="00922C73">
        <w:rPr>
          <w:rFonts w:ascii="Times New Roman" w:hAnsi="Times New Roman" w:cs="Times New Roman"/>
          <w:sz w:val="24"/>
          <w:szCs w:val="24"/>
          <w:shd w:val="clear" w:color="auto" w:fill="FFFFFF"/>
        </w:rPr>
        <w:fldChar w:fldCharType="end"/>
      </w:r>
      <w:r w:rsidR="00AD2C99" w:rsidRPr="00922C73">
        <w:rPr>
          <w:rFonts w:ascii="Times New Roman" w:hAnsi="Times New Roman" w:cs="Times New Roman"/>
          <w:sz w:val="24"/>
          <w:szCs w:val="24"/>
          <w:shd w:val="clear" w:color="auto" w:fill="FFFFFF"/>
        </w:rPr>
        <w:t xml:space="preserve"> (Figure 6)</w:t>
      </w:r>
      <w:r w:rsidRPr="00922C73">
        <w:rPr>
          <w:rFonts w:ascii="Times New Roman" w:hAnsi="Times New Roman" w:cs="Times New Roman"/>
          <w:sz w:val="24"/>
          <w:szCs w:val="24"/>
          <w:shd w:val="clear" w:color="auto" w:fill="FFFFFF"/>
        </w:rPr>
        <w:t>.</w:t>
      </w:r>
    </w:p>
    <w:p w14:paraId="684DF5A3" w14:textId="77777777" w:rsidR="00761637" w:rsidRPr="00922C73" w:rsidRDefault="00761637" w:rsidP="0023671B">
      <w:pPr>
        <w:spacing w:line="480" w:lineRule="auto"/>
        <w:rPr>
          <w:rFonts w:ascii="Times New Roman" w:hAnsi="Times New Roman" w:cs="Times New Roman"/>
          <w:sz w:val="24"/>
          <w:szCs w:val="24"/>
          <w:shd w:val="clear" w:color="auto" w:fill="FFFFFF"/>
        </w:rPr>
      </w:pPr>
    </w:p>
    <w:p w14:paraId="748012DE" w14:textId="77777777" w:rsidR="00AD2C99" w:rsidRPr="00922C73" w:rsidRDefault="00AD2C99" w:rsidP="0023671B">
      <w:pPr>
        <w:spacing w:line="480" w:lineRule="auto"/>
        <w:rPr>
          <w:rFonts w:ascii="Times New Roman" w:hAnsi="Times New Roman" w:cs="Times New Roman"/>
          <w:sz w:val="24"/>
          <w:szCs w:val="24"/>
          <w:shd w:val="clear" w:color="auto" w:fill="FFFFFF"/>
        </w:rPr>
      </w:pPr>
    </w:p>
    <w:p w14:paraId="72672309" w14:textId="77777777" w:rsidR="0084568D" w:rsidRPr="00922C73" w:rsidRDefault="00AD2C99" w:rsidP="0084568D">
      <w:pPr>
        <w:keepNext/>
        <w:autoSpaceDE w:val="0"/>
        <w:autoSpaceDN w:val="0"/>
        <w:adjustRightInd w:val="0"/>
        <w:spacing w:after="0" w:line="480" w:lineRule="auto"/>
        <w:jc w:val="left"/>
      </w:pPr>
      <w:r w:rsidRPr="00922C73">
        <w:rPr>
          <w:noProof/>
        </w:rPr>
        <w:drawing>
          <wp:inline distT="0" distB="0" distL="0" distR="0" wp14:anchorId="0AD7F83C" wp14:editId="1A5AD484">
            <wp:extent cx="5429250" cy="2958585"/>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96DAC541-7B7A-43D3-8B79-37D633B846F1}">
                          <asvg:svgBlip xmlns:asvg="http://schemas.microsoft.com/office/drawing/2016/SVG/main" r:embed="rId25"/>
                        </a:ext>
                      </a:extLst>
                    </a:blip>
                    <a:srcRect l="8196" t="40116" r="10138" b="138"/>
                    <a:stretch/>
                  </pic:blipFill>
                  <pic:spPr bwMode="auto">
                    <a:xfrm>
                      <a:off x="0" y="0"/>
                      <a:ext cx="5456368" cy="2973363"/>
                    </a:xfrm>
                    <a:prstGeom prst="rect">
                      <a:avLst/>
                    </a:prstGeom>
                    <a:ln>
                      <a:noFill/>
                    </a:ln>
                    <a:extLst>
                      <a:ext uri="{53640926-AAD7-44D8-BBD7-CCE9431645EC}">
                        <a14:shadowObscured xmlns:a14="http://schemas.microsoft.com/office/drawing/2010/main"/>
                      </a:ext>
                    </a:extLst>
                  </pic:spPr>
                </pic:pic>
              </a:graphicData>
            </a:graphic>
          </wp:inline>
        </w:drawing>
      </w:r>
    </w:p>
    <w:p w14:paraId="53641C6B" w14:textId="453C90CB" w:rsidR="00AD2C99" w:rsidRPr="00922C73" w:rsidRDefault="0084568D" w:rsidP="00451F4B">
      <w:pPr>
        <w:pStyle w:val="Caption"/>
        <w:spacing w:line="240" w:lineRule="auto"/>
        <w:jc w:val="left"/>
        <w:rPr>
          <w:rFonts w:ascii="Times New Roman" w:hAnsi="Times New Roman" w:cs="Times New Roman"/>
          <w:sz w:val="24"/>
          <w:szCs w:val="24"/>
        </w:rPr>
      </w:pPr>
      <w:bookmarkStart w:id="44" w:name="_Toc151020651"/>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6</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Linear and conformational epitopes.</w:t>
      </w:r>
      <w:bookmarkEnd w:id="44"/>
    </w:p>
    <w:p w14:paraId="686F2BE0" w14:textId="77777777" w:rsidR="00AD2C99" w:rsidRPr="00922C73" w:rsidRDefault="00AD2C99" w:rsidP="00451F4B">
      <w:pPr>
        <w:pStyle w:val="Default"/>
        <w:rPr>
          <w:rFonts w:ascii="Times New Roman" w:hAnsi="Times New Roman" w:cs="Times New Roman"/>
          <w:color w:val="auto"/>
        </w:rPr>
      </w:pPr>
      <w:r w:rsidRPr="00922C73">
        <w:rPr>
          <w:rFonts w:ascii="Times New Roman" w:hAnsi="Times New Roman" w:cs="Times New Roman"/>
          <w:color w:val="auto"/>
        </w:rPr>
        <w:t>Linear epitopes are peptides on an antigen which consist of a continuous amino acid sequence. Conformational epitopes consist of discontinuous amino acids which are only brought into proximity by the 3D folding of the tertiary peptide structure of the antigen.</w:t>
      </w:r>
    </w:p>
    <w:p w14:paraId="0BF32B7C" w14:textId="77777777" w:rsidR="00AD2C99" w:rsidRPr="00922C73" w:rsidRDefault="00AD2C99" w:rsidP="00AD2C99">
      <w:pPr>
        <w:pStyle w:val="Default"/>
        <w:spacing w:line="480" w:lineRule="auto"/>
        <w:rPr>
          <w:rFonts w:ascii="Times New Roman" w:hAnsi="Times New Roman" w:cs="Times New Roman"/>
          <w:color w:val="auto"/>
        </w:rPr>
      </w:pPr>
      <w:r w:rsidRPr="00922C73">
        <w:rPr>
          <w:rFonts w:ascii="Times New Roman" w:hAnsi="Times New Roman" w:cs="Times New Roman"/>
          <w:color w:val="auto"/>
        </w:rPr>
        <w:t xml:space="preserve"> </w:t>
      </w:r>
    </w:p>
    <w:p w14:paraId="4B9EE1F2" w14:textId="77777777" w:rsidR="00AD2C99" w:rsidRPr="00922C73" w:rsidRDefault="00AD2C99" w:rsidP="0023671B">
      <w:pPr>
        <w:spacing w:line="480" w:lineRule="auto"/>
        <w:rPr>
          <w:rFonts w:ascii="Times New Roman" w:hAnsi="Times New Roman" w:cs="Times New Roman"/>
          <w:sz w:val="24"/>
          <w:szCs w:val="24"/>
          <w:shd w:val="clear" w:color="auto" w:fill="FFFFFF"/>
        </w:rPr>
      </w:pPr>
    </w:p>
    <w:p w14:paraId="4399D790" w14:textId="42D78870" w:rsidR="0049205C" w:rsidRPr="00922C73" w:rsidRDefault="006774D6" w:rsidP="0023671B">
      <w:pPr>
        <w:spacing w:line="480" w:lineRule="auto"/>
        <w:rPr>
          <w:rFonts w:ascii="Times New Roman" w:hAnsi="Times New Roman" w:cs="Times New Roman"/>
          <w:sz w:val="24"/>
          <w:szCs w:val="24"/>
        </w:rPr>
      </w:pPr>
      <w:r w:rsidRPr="00922C73">
        <w:rPr>
          <w:rFonts w:ascii="Times New Roman" w:hAnsi="Times New Roman" w:cs="Times New Roman"/>
          <w:sz w:val="24"/>
          <w:szCs w:val="24"/>
          <w:shd w:val="clear" w:color="auto" w:fill="FFFFFF"/>
        </w:rPr>
        <w:t xml:space="preserve"> </w:t>
      </w:r>
      <w:r w:rsidRPr="00922C73">
        <w:rPr>
          <w:rFonts w:ascii="Times New Roman" w:hAnsi="Times New Roman" w:cs="Times New Roman"/>
          <w:sz w:val="24"/>
          <w:szCs w:val="24"/>
        </w:rPr>
        <w:t xml:space="preserve"> </w:t>
      </w:r>
    </w:p>
    <w:p w14:paraId="29D30842" w14:textId="4A417B6E" w:rsidR="006774D6" w:rsidRPr="00922C73" w:rsidRDefault="00815E4E" w:rsidP="0023671B">
      <w:pPr>
        <w:spacing w:line="480" w:lineRule="auto"/>
        <w:rPr>
          <w:rFonts w:ascii="Times New Roman" w:hAnsi="Times New Roman" w:cs="Times New Roman"/>
          <w:sz w:val="24"/>
          <w:szCs w:val="24"/>
        </w:rPr>
      </w:pPr>
      <w:r w:rsidRPr="00922C73">
        <w:rPr>
          <w:rFonts w:ascii="Times New Roman" w:hAnsi="Times New Roman" w:cs="Times New Roman"/>
          <w:sz w:val="24"/>
          <w:szCs w:val="24"/>
        </w:rPr>
        <w:lastRenderedPageBreak/>
        <w:t>S</w:t>
      </w:r>
      <w:r w:rsidR="0049205C" w:rsidRPr="00922C73">
        <w:rPr>
          <w:rFonts w:ascii="Times New Roman" w:hAnsi="Times New Roman" w:cs="Times New Roman"/>
          <w:sz w:val="24"/>
          <w:szCs w:val="24"/>
        </w:rPr>
        <w:t xml:space="preserve">pecificity, the ability of the antibody to differentiate between different antigenic variants and bind only to a </w:t>
      </w:r>
      <w:r w:rsidR="0049205C" w:rsidRPr="00922C73">
        <w:rPr>
          <w:rFonts w:ascii="Times New Roman" w:hAnsi="Times New Roman" w:cs="Times New Roman"/>
          <w:sz w:val="24"/>
          <w:szCs w:val="24"/>
          <w:u w:val="single"/>
        </w:rPr>
        <w:t>intended antigen</w:t>
      </w:r>
      <w:r w:rsidR="0049205C" w:rsidRPr="00922C73">
        <w:rPr>
          <w:rFonts w:ascii="Times New Roman" w:hAnsi="Times New Roman" w:cs="Times New Roman"/>
          <w:sz w:val="24"/>
          <w:szCs w:val="24"/>
        </w:rPr>
        <w:t xml:space="preserve">, and affinity, </w:t>
      </w:r>
      <w:r w:rsidR="0049205C" w:rsidRPr="00922C73">
        <w:rPr>
          <w:rFonts w:ascii="Times New Roman" w:hAnsi="Times New Roman" w:cs="Times New Roman"/>
          <w:sz w:val="24"/>
          <w:szCs w:val="24"/>
          <w:u w:val="single"/>
        </w:rPr>
        <w:t>the strength of the binding</w:t>
      </w:r>
      <w:r w:rsidR="0049205C" w:rsidRPr="00922C73">
        <w:rPr>
          <w:rFonts w:ascii="Times New Roman" w:hAnsi="Times New Roman" w:cs="Times New Roman"/>
          <w:sz w:val="24"/>
          <w:szCs w:val="24"/>
        </w:rPr>
        <w:t xml:space="preserve"> between an antibody and its antigen is key to immune recognition </w:t>
      </w:r>
      <w:r w:rsidR="0049205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immunoglobulins","type":"article-journal","volume":"125"},"uris":["http://www.mendeley.com/documents/?uuid=77788fc9-fc3d-4103-9123-8fcd06690a29"]},{"id":"ITEM-2","itemData":{"author":[{"dropping-particle":"","family":"Frank SA.","given":"","non-dropping-particle":"","parse-names":false,"suffix":""}],"id":"ITEM-2","issued":{"date-parts":[["2002"]]},"title":"Immunology and Evolution of Infectious Disease. Princeton (NJ): Princeton University Press; 2002. Chapter 4, Specificity and Cross-Reactivity.","type":"book"},"uris":["http://www.mendeley.com/documents/?uuid=a0c0e67e-9970-406f-a643-2e7d815a08e4"]}],"mendeley":{"formattedCitation":"&lt;sup&gt;65,106&lt;/sup&gt;","plainTextFormattedCitation":"65,106","previouslyFormattedCitation":"&lt;sup&gt;65,106&lt;/sup&gt;"},"properties":{"noteIndex":0},"schema":"https://github.com/citation-style-language/schema/raw/master/csl-citation.json"}</w:instrText>
      </w:r>
      <w:r w:rsidR="0049205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65,106</w:t>
      </w:r>
      <w:r w:rsidR="0049205C" w:rsidRPr="00922C73">
        <w:rPr>
          <w:rFonts w:ascii="Times New Roman" w:hAnsi="Times New Roman" w:cs="Times New Roman"/>
          <w:sz w:val="24"/>
          <w:szCs w:val="24"/>
        </w:rPr>
        <w:fldChar w:fldCharType="end"/>
      </w:r>
      <w:r w:rsidR="0049205C" w:rsidRPr="00922C73">
        <w:rPr>
          <w:rFonts w:ascii="Times New Roman" w:hAnsi="Times New Roman" w:cs="Times New Roman"/>
          <w:sz w:val="24"/>
          <w:szCs w:val="24"/>
        </w:rPr>
        <w:t xml:space="preserve">. </w:t>
      </w:r>
      <w:r w:rsidR="00B45F38" w:rsidRPr="00922C73">
        <w:rPr>
          <w:rFonts w:ascii="Times New Roman" w:hAnsi="Times New Roman" w:cs="Times New Roman"/>
          <w:sz w:val="24"/>
          <w:szCs w:val="24"/>
        </w:rPr>
        <w:t>The initial</w:t>
      </w:r>
      <w:r w:rsidR="00D861D3" w:rsidRPr="00922C73">
        <w:rPr>
          <w:rFonts w:ascii="Times New Roman" w:hAnsi="Times New Roman" w:cs="Times New Roman"/>
          <w:sz w:val="24"/>
          <w:szCs w:val="24"/>
        </w:rPr>
        <w:t xml:space="preserve"> antibody-antigen interaction</w:t>
      </w:r>
      <w:r w:rsidR="00B45F38" w:rsidRPr="00922C73">
        <w:rPr>
          <w:rFonts w:ascii="Times New Roman" w:hAnsi="Times New Roman" w:cs="Times New Roman"/>
          <w:sz w:val="24"/>
          <w:szCs w:val="24"/>
        </w:rPr>
        <w:t xml:space="preserve"> </w:t>
      </w:r>
      <w:r w:rsidR="00FA2F2F" w:rsidRPr="00922C73">
        <w:rPr>
          <w:rFonts w:ascii="Times New Roman" w:hAnsi="Times New Roman" w:cs="Times New Roman"/>
          <w:sz w:val="24"/>
          <w:szCs w:val="24"/>
        </w:rPr>
        <w:t xml:space="preserve">is often weak and </w:t>
      </w:r>
      <w:r w:rsidR="00B45F38" w:rsidRPr="00922C73">
        <w:rPr>
          <w:rFonts w:ascii="Times New Roman" w:hAnsi="Times New Roman" w:cs="Times New Roman"/>
          <w:sz w:val="24"/>
          <w:szCs w:val="24"/>
        </w:rPr>
        <w:t xml:space="preserve">occurs between </w:t>
      </w:r>
      <w:r w:rsidR="0049205C" w:rsidRPr="00922C73">
        <w:rPr>
          <w:rFonts w:ascii="Times New Roman" w:hAnsi="Times New Roman" w:cs="Times New Roman"/>
          <w:sz w:val="24"/>
          <w:szCs w:val="24"/>
        </w:rPr>
        <w:t xml:space="preserve">the antigen and </w:t>
      </w:r>
      <w:r w:rsidR="00B45F38" w:rsidRPr="00922C73">
        <w:rPr>
          <w:rFonts w:ascii="Times New Roman" w:hAnsi="Times New Roman" w:cs="Times New Roman"/>
          <w:sz w:val="24"/>
          <w:szCs w:val="24"/>
        </w:rPr>
        <w:t>IgM on naïve B cells (B cells which have not encountered their specific antigen before)</w:t>
      </w:r>
      <w:r w:rsidR="001146B7" w:rsidRPr="00922C73">
        <w:rPr>
          <w:rFonts w:ascii="Times New Roman" w:hAnsi="Times New Roman" w:cs="Times New Roman"/>
          <w:sz w:val="24"/>
          <w:szCs w:val="24"/>
        </w:rPr>
        <w:t xml:space="preserve"> </w:t>
      </w:r>
      <w:r w:rsidR="001146B7"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{"citationItems":[{"id":"ITEM-1","itemData":{"author":[{"dropping-particle":"","family":"Frank SA.","given":"","non-dropping-particle":"","parse-names":false,"suffix":""}],"id":"ITEM-1","issued":{"date-parts":[["2002"]]},"title":"Immunology and Evolution of Infectious Disease. Princeton (NJ): Princeton University Press; 2002. Chapter 4, Specificity and Cross-Reactivity.","type":"book"},"uris":["http://www.mendeley.com/documents/?uuid=a0c0e67e-9970-406f-a643-2e7d815a08e4"]}],"mendeley":{"formattedCitation":"&lt;sup&gt;106&lt;/sup&gt;","plainTextFormattedCitation":"106","previouslyFormattedCitation":"&lt;sup&gt;106&lt;/sup&gt;"},"properties":{"noteIndex":0},"schema":"https://github.com/citation-style-language/schema/raw/master/csl-citation.json"}</w:instrText>
      </w:r>
      <w:r w:rsidR="001146B7"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106</w:t>
      </w:r>
      <w:r w:rsidR="001146B7" w:rsidRPr="00922C73">
        <w:rPr>
          <w:rFonts w:ascii="Times New Roman" w:hAnsi="Times New Roman" w:cs="Times New Roman"/>
          <w:sz w:val="24"/>
          <w:szCs w:val="24"/>
        </w:rPr>
        <w:fldChar w:fldCharType="end"/>
      </w:r>
      <w:r w:rsidR="00FA2F2F" w:rsidRPr="00922C73">
        <w:rPr>
          <w:rFonts w:ascii="Times New Roman" w:hAnsi="Times New Roman" w:cs="Times New Roman"/>
          <w:sz w:val="24"/>
          <w:szCs w:val="24"/>
        </w:rPr>
        <w:t>. F</w:t>
      </w:r>
      <w:r w:rsidR="00B45F38" w:rsidRPr="00922C73">
        <w:rPr>
          <w:rFonts w:ascii="Times New Roman" w:hAnsi="Times New Roman" w:cs="Times New Roman"/>
          <w:sz w:val="24"/>
          <w:szCs w:val="24"/>
        </w:rPr>
        <w:t>ollowing this</w:t>
      </w:r>
      <w:r w:rsidR="00FA2F2F" w:rsidRPr="00922C73">
        <w:rPr>
          <w:rFonts w:ascii="Times New Roman" w:hAnsi="Times New Roman" w:cs="Times New Roman"/>
          <w:sz w:val="24"/>
          <w:szCs w:val="24"/>
        </w:rPr>
        <w:t xml:space="preserve"> interaction</w:t>
      </w:r>
      <w:r w:rsidR="00B45F38" w:rsidRPr="00922C73">
        <w:rPr>
          <w:rFonts w:ascii="Times New Roman" w:hAnsi="Times New Roman" w:cs="Times New Roman"/>
          <w:sz w:val="24"/>
          <w:szCs w:val="24"/>
        </w:rPr>
        <w:t>, affinity maturation occurs. This process</w:t>
      </w:r>
      <w:r w:rsidR="003310C0" w:rsidRPr="00922C73">
        <w:rPr>
          <w:rFonts w:ascii="Times New Roman" w:hAnsi="Times New Roman" w:cs="Times New Roman"/>
          <w:sz w:val="24"/>
          <w:szCs w:val="24"/>
        </w:rPr>
        <w:t xml:space="preserve"> involves</w:t>
      </w:r>
      <w:r w:rsidR="0049205C" w:rsidRPr="00922C73">
        <w:rPr>
          <w:rFonts w:ascii="Times New Roman" w:hAnsi="Times New Roman" w:cs="Times New Roman"/>
          <w:sz w:val="24"/>
          <w:szCs w:val="24"/>
        </w:rPr>
        <w:t xml:space="preserve"> hyper</w:t>
      </w:r>
      <w:r w:rsidR="00FA2F2F" w:rsidRPr="00922C73">
        <w:rPr>
          <w:rFonts w:ascii="Times New Roman" w:hAnsi="Times New Roman" w:cs="Times New Roman"/>
          <w:sz w:val="24"/>
          <w:szCs w:val="24"/>
        </w:rPr>
        <w:t xml:space="preserve">mutations in the DNA </w:t>
      </w:r>
      <w:r w:rsidRPr="00922C73">
        <w:rPr>
          <w:rFonts w:ascii="Times New Roman" w:hAnsi="Times New Roman" w:cs="Times New Roman"/>
          <w:sz w:val="24"/>
          <w:szCs w:val="24"/>
        </w:rPr>
        <w:t>coding of</w:t>
      </w:r>
      <w:r w:rsidR="003310C0" w:rsidRPr="00922C73">
        <w:rPr>
          <w:rFonts w:ascii="Times New Roman" w:hAnsi="Times New Roman" w:cs="Times New Roman"/>
          <w:sz w:val="24"/>
          <w:szCs w:val="24"/>
        </w:rPr>
        <w:t xml:space="preserve"> the CDRs</w:t>
      </w:r>
      <w:r w:rsidR="00FA2F2F" w:rsidRPr="00922C73">
        <w:rPr>
          <w:rFonts w:ascii="Times New Roman" w:hAnsi="Times New Roman" w:cs="Times New Roman"/>
          <w:sz w:val="24"/>
          <w:szCs w:val="24"/>
        </w:rPr>
        <w:t xml:space="preserve"> to</w:t>
      </w:r>
      <w:r w:rsidR="003310C0" w:rsidRPr="00922C73">
        <w:rPr>
          <w:rFonts w:ascii="Times New Roman" w:hAnsi="Times New Roman" w:cs="Times New Roman"/>
          <w:sz w:val="24"/>
          <w:szCs w:val="24"/>
        </w:rPr>
        <w:t xml:space="preserve"> </w:t>
      </w:r>
      <w:r w:rsidR="00FA2F2F" w:rsidRPr="00922C73">
        <w:rPr>
          <w:rFonts w:ascii="Times New Roman" w:hAnsi="Times New Roman" w:cs="Times New Roman"/>
          <w:sz w:val="24"/>
          <w:szCs w:val="24"/>
        </w:rPr>
        <w:t>select</w:t>
      </w:r>
      <w:r w:rsidR="003310C0" w:rsidRPr="00922C73">
        <w:rPr>
          <w:rFonts w:ascii="Times New Roman" w:hAnsi="Times New Roman" w:cs="Times New Roman"/>
          <w:sz w:val="24"/>
          <w:szCs w:val="24"/>
        </w:rPr>
        <w:t xml:space="preserve"> </w:t>
      </w:r>
      <w:r w:rsidR="0049205C" w:rsidRPr="00922C73">
        <w:rPr>
          <w:rFonts w:ascii="Times New Roman" w:hAnsi="Times New Roman" w:cs="Times New Roman"/>
          <w:sz w:val="24"/>
          <w:szCs w:val="24"/>
        </w:rPr>
        <w:t>those</w:t>
      </w:r>
      <w:r w:rsidR="008E1514" w:rsidRPr="00922C73">
        <w:rPr>
          <w:rFonts w:ascii="Times New Roman" w:hAnsi="Times New Roman" w:cs="Times New Roman"/>
          <w:sz w:val="24"/>
          <w:szCs w:val="24"/>
        </w:rPr>
        <w:t xml:space="preserve"> B cells</w:t>
      </w:r>
      <w:r w:rsidR="0049205C" w:rsidRPr="00922C73">
        <w:rPr>
          <w:rFonts w:ascii="Times New Roman" w:hAnsi="Times New Roman" w:cs="Times New Roman"/>
          <w:sz w:val="24"/>
          <w:szCs w:val="24"/>
        </w:rPr>
        <w:t xml:space="preserve"> that </w:t>
      </w:r>
      <w:r w:rsidR="008E1514" w:rsidRPr="00922C73">
        <w:rPr>
          <w:rFonts w:ascii="Times New Roman" w:hAnsi="Times New Roman" w:cs="Times New Roman"/>
          <w:sz w:val="24"/>
          <w:szCs w:val="24"/>
        </w:rPr>
        <w:t xml:space="preserve">produce antibodies that </w:t>
      </w:r>
      <w:r w:rsidR="0049205C" w:rsidRPr="00922C73">
        <w:rPr>
          <w:rFonts w:ascii="Times New Roman" w:hAnsi="Times New Roman" w:cs="Times New Roman"/>
          <w:sz w:val="24"/>
          <w:szCs w:val="24"/>
        </w:rPr>
        <w:t>bind at highe</w:t>
      </w:r>
      <w:r w:rsidR="003310C0" w:rsidRPr="00922C73">
        <w:rPr>
          <w:rFonts w:ascii="Times New Roman" w:hAnsi="Times New Roman" w:cs="Times New Roman"/>
          <w:sz w:val="24"/>
          <w:szCs w:val="24"/>
        </w:rPr>
        <w:t>r affinities</w:t>
      </w:r>
      <w:r w:rsidRPr="00922C73">
        <w:rPr>
          <w:rFonts w:ascii="Times New Roman" w:hAnsi="Times New Roman" w:cs="Times New Roman"/>
          <w:sz w:val="24"/>
          <w:szCs w:val="24"/>
        </w:rPr>
        <w:t>,</w:t>
      </w:r>
      <w:r w:rsidR="008E1514" w:rsidRPr="00922C73">
        <w:rPr>
          <w:rFonts w:ascii="Times New Roman" w:hAnsi="Times New Roman" w:cs="Times New Roman"/>
          <w:sz w:val="24"/>
          <w:szCs w:val="24"/>
        </w:rPr>
        <w:t xml:space="preserve"> further competitive selection of these B cells </w:t>
      </w:r>
      <w:r w:rsidR="00570435" w:rsidRPr="00922C73">
        <w:rPr>
          <w:rFonts w:ascii="Times New Roman" w:hAnsi="Times New Roman" w:cs="Times New Roman"/>
          <w:sz w:val="24"/>
          <w:szCs w:val="24"/>
        </w:rPr>
        <w:t>from T cell independent activation</w:t>
      </w:r>
      <w:r w:rsidR="00FD0D33" w:rsidRPr="00922C73">
        <w:rPr>
          <w:rFonts w:ascii="Times New Roman" w:hAnsi="Times New Roman" w:cs="Times New Roman"/>
          <w:sz w:val="24"/>
          <w:szCs w:val="24"/>
        </w:rPr>
        <w:t xml:space="preserve">, leading to high affinity IgG secreting plasma B cells </w:t>
      </w:r>
      <w:r w:rsidR="00FD0D33"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{"citationItems":[{"id":"ITEM-1","itemData":{"author":[{"dropping-particle":"","family":"Frank SA.","given":"","non-dropping-particle":"","parse-names":false,"suffix":""}],"id":"ITEM-1","issued":{"date-parts":[["2002"]]},"title":"Immunology and Evolution of Infectious Disease. Princeton (NJ): Princeton University Press; 2002. Chapter 4, Specificity and Cross-Reactivity.","type":"book"},"uris":["http://www.mendeley.com/documents/?uuid=a0c0e67e-9970-406f-a643-2e7d815a08e4"]},{"id":"ITEM-2","itemData":{"DOI":"10.1016/j.it.2007.07.011","ISBN":"1471-4906 (Print)\\n1471-4906 (Linking)","ISSN":"14714906","PMID":"17964218","abstract":"Protein therapeutics, such as monoclonal antibodies, enzymes and toxins, hold significant promise for improving human health. However, repeated administration of protein therapeutics, whether natural or recombinant, often leads to the induction of undesirable anti-drug antibodies (ADAs), which interfere with or neutralize the effect of the drug. Although an immune response to foreign proteins can be expected and is well understood, the basis for the development of responses to therapeutic autologous proteins is the subject of some debate. Inflammatory components of the drug delivery vehicle, T cell responses, T and B cell epitopes in the protein drug, and the associated B cell response are all targets for interventions aimed at reducing ADA responses. Here, we review some theories put forward to explain the immunogenicity of therapeutic proteins and describe some emerging protein-engineering approaches that might prevent the development of anti-drug antibodies. ?? 2007 Elsevier Ltd. All rights reserved.","author":[{"dropping-particle":"","family":"Groot","given":"Anne S.","non-dropping-particle":"De","parse-names":false,"suffix":""},{"dropping-particle":"","family":"Scott","given":"David W.","non-dropping-particle":"","parse-names":false,"suffix":""}],"container-title":"Trends in Immunology","id":"ITEM-2","issue":"11","issued":{"date-parts":[["2007"]]},"page":"482-490","title":"Immunogenicity of protein therapeutics","type":"article-journal","volume":"28"},"uris":["http://www.mendeley.com/documents/?uuid=1face482-3e9a-403a-a4cc-693ba9e68188"]}],"mendeley":{"formattedCitation":"&lt;sup&gt;106,107&lt;/sup&gt;","plainTextFormattedCitation":"106,107","previouslyFormattedCitation":"&lt;sup&gt;106,107&lt;/sup&gt;"},"properties":{"noteIndex":0},"schema":"https://github.com/citation-style-language/schema/raw/master/csl-citation.json"}</w:instrText>
      </w:r>
      <w:r w:rsidR="00FD0D33"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106,107</w:t>
      </w:r>
      <w:r w:rsidR="00FD0D33" w:rsidRPr="00922C73">
        <w:rPr>
          <w:rFonts w:ascii="Times New Roman" w:hAnsi="Times New Roman" w:cs="Times New Roman"/>
          <w:sz w:val="24"/>
          <w:szCs w:val="24"/>
        </w:rPr>
        <w:fldChar w:fldCharType="end"/>
      </w:r>
      <w:r w:rsidR="002E14E7" w:rsidRPr="00922C73">
        <w:rPr>
          <w:rFonts w:ascii="Times New Roman" w:hAnsi="Times New Roman" w:cs="Times New Roman"/>
          <w:sz w:val="24"/>
          <w:szCs w:val="24"/>
        </w:rPr>
        <w:t xml:space="preserve">. </w:t>
      </w:r>
      <w:r w:rsidR="00D74576" w:rsidRPr="00922C73">
        <w:rPr>
          <w:rFonts w:ascii="Times New Roman" w:hAnsi="Times New Roman" w:cs="Times New Roman"/>
          <w:sz w:val="24"/>
          <w:szCs w:val="24"/>
        </w:rPr>
        <w:t xml:space="preserve">Antigen specificity is retained despite the switch in isotype from the initial IgM or </w:t>
      </w:r>
      <w:proofErr w:type="spellStart"/>
      <w:r w:rsidR="00D74576" w:rsidRPr="00922C73">
        <w:rPr>
          <w:rFonts w:ascii="Times New Roman" w:hAnsi="Times New Roman" w:cs="Times New Roman"/>
          <w:sz w:val="24"/>
          <w:szCs w:val="24"/>
        </w:rPr>
        <w:t>IgD</w:t>
      </w:r>
      <w:proofErr w:type="spellEnd"/>
      <w:r w:rsidR="00D74576" w:rsidRPr="00922C73">
        <w:rPr>
          <w:rFonts w:ascii="Times New Roman" w:hAnsi="Times New Roman" w:cs="Times New Roman"/>
          <w:sz w:val="24"/>
          <w:szCs w:val="24"/>
        </w:rPr>
        <w:t xml:space="preserve"> in the primary immune response to IgG, as isotype switching is determined by the constant region and therefore the Fab region is unaffected maintaining recognition of the same B cell epitopes </w:t>
      </w:r>
      <w:r w:rsidR="00D7457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{"citationItems":[{"id":"ITEM-1","itemData":{"author":[{"dropping-particle":"","family":"Janeway CA Jr, Travers P, Walport M","given":"et al.","non-dropping-particle":"","parse-names":false,"suffix":""}],"container-title":"Immunobiology: The Immune System in Health and Disease. 5th edition.","edition":"5th editio","editor":[{"dropping-particle":"","family":"Garland Science","given":"","non-dropping-particle":"","parse-names":false,"suffix":""}],"id":"ITEM-1","issued":{"date-parts":[["2001"]]},"publisher-place":"New York","title":"B-cell activation by armed helper T cells.","type":"chapter"},"uris":["http://www.mendeley.com/documents/?uuid=40fa88fa-bc1d-49f8-856d-95bc5c4ca573"]},{"id":"ITEM-2","itemData":{"author":[{"dropping-particle":"","family":"Frank SA.","given":"","non-dropping-particle":"","parse-names":false,"suffix":""}],"id":"ITEM-2","issued":{"date-parts":[["2002"]]},"title":"Immunology and Evolution of Infectious Disease. Princeton (NJ): Princeton University Press; 2002. Chapter 4, Specificity and Cross-Reactivity.","type":"book"},"uris":["http://www.mendeley.com/documents/?uuid=a0c0e67e-9970-406f-a643-2e7d815a08e4"]}],"mendeley":{"formattedCitation":"&lt;sup&gt;106,108&lt;/sup&gt;","plainTextFormattedCitation":"106,108","previouslyFormattedCitation":"&lt;sup&gt;106,108&lt;/sup&gt;"},"properties":{"noteIndex":0},"schema":"https://github.com/citation-style-language/schema/raw/master/csl-citation.json"}</w:instrText>
      </w:r>
      <w:r w:rsidR="00D7457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106,108</w:t>
      </w:r>
      <w:r w:rsidR="00D74576" w:rsidRPr="00922C73">
        <w:rPr>
          <w:rFonts w:ascii="Times New Roman" w:hAnsi="Times New Roman" w:cs="Times New Roman"/>
          <w:sz w:val="24"/>
          <w:szCs w:val="24"/>
        </w:rPr>
        <w:fldChar w:fldCharType="end"/>
      </w:r>
      <w:r w:rsidR="00D74576" w:rsidRPr="00922C73">
        <w:rPr>
          <w:rFonts w:ascii="Times New Roman" w:hAnsi="Times New Roman" w:cs="Times New Roman"/>
          <w:sz w:val="24"/>
          <w:szCs w:val="24"/>
        </w:rPr>
        <w:t>.</w:t>
      </w:r>
    </w:p>
    <w:p w14:paraId="31203488" w14:textId="77777777" w:rsidR="00060840" w:rsidRPr="00922C73" w:rsidRDefault="00060840" w:rsidP="0089567F">
      <w:pPr>
        <w:pStyle w:val="Heading3"/>
        <w:spacing w:line="480" w:lineRule="auto"/>
        <w:rPr>
          <w:rFonts w:ascii="Times New Roman" w:hAnsi="Times New Roman" w:cs="Times New Roman"/>
          <w:b/>
          <w:bCs/>
        </w:rPr>
      </w:pPr>
      <w:bookmarkStart w:id="45" w:name="_Toc487702685"/>
    </w:p>
    <w:p w14:paraId="168155CD" w14:textId="086C9303" w:rsidR="0089567F" w:rsidRPr="00922C73" w:rsidRDefault="008C6C08" w:rsidP="0089567F">
      <w:pPr>
        <w:pStyle w:val="Heading3"/>
        <w:spacing w:line="480" w:lineRule="auto"/>
        <w:rPr>
          <w:rFonts w:ascii="Times New Roman" w:hAnsi="Times New Roman" w:cs="Times New Roman"/>
          <w:b/>
          <w:bCs/>
        </w:rPr>
      </w:pPr>
      <w:bookmarkStart w:id="46" w:name="_Toc151020461"/>
      <w:r w:rsidRPr="00922C73">
        <w:rPr>
          <w:rFonts w:ascii="Times New Roman" w:hAnsi="Times New Roman" w:cs="Times New Roman"/>
          <w:b/>
          <w:bCs/>
        </w:rPr>
        <w:t>1.2.</w:t>
      </w:r>
      <w:r w:rsidR="00060840" w:rsidRPr="00922C73">
        <w:rPr>
          <w:rFonts w:ascii="Times New Roman" w:hAnsi="Times New Roman" w:cs="Times New Roman"/>
          <w:b/>
          <w:bCs/>
        </w:rPr>
        <w:t>3</w:t>
      </w:r>
      <w:r w:rsidRPr="00922C73">
        <w:rPr>
          <w:rFonts w:ascii="Times New Roman" w:hAnsi="Times New Roman" w:cs="Times New Roman"/>
          <w:b/>
          <w:bCs/>
        </w:rPr>
        <w:t xml:space="preserve"> </w:t>
      </w:r>
      <w:r w:rsidR="0089567F" w:rsidRPr="00922C73">
        <w:rPr>
          <w:rFonts w:ascii="Times New Roman" w:hAnsi="Times New Roman" w:cs="Times New Roman"/>
          <w:b/>
          <w:bCs/>
        </w:rPr>
        <w:t xml:space="preserve">Monoclonal antibodies as </w:t>
      </w:r>
      <w:r w:rsidR="0049205C" w:rsidRPr="00922C73">
        <w:rPr>
          <w:rFonts w:ascii="Times New Roman" w:hAnsi="Times New Roman" w:cs="Times New Roman"/>
          <w:b/>
          <w:bCs/>
        </w:rPr>
        <w:t>bio</w:t>
      </w:r>
      <w:r w:rsidR="0089567F" w:rsidRPr="00922C73">
        <w:rPr>
          <w:rFonts w:ascii="Times New Roman" w:hAnsi="Times New Roman" w:cs="Times New Roman"/>
          <w:b/>
          <w:bCs/>
        </w:rPr>
        <w:t>therapeutic agents</w:t>
      </w:r>
      <w:bookmarkEnd w:id="46"/>
    </w:p>
    <w:p w14:paraId="245E2CCE" w14:textId="55936563" w:rsidR="00D05CDD" w:rsidRPr="00922C73" w:rsidRDefault="008C6C08" w:rsidP="00D05CDD">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In 1975, </w:t>
      </w:r>
      <w:r w:rsidRPr="00922C73">
        <w:rPr>
          <w:rFonts w:ascii="Times New Roman" w:hAnsi="Times New Roman" w:cs="Times New Roman"/>
          <w:sz w:val="24"/>
          <w:szCs w:val="24"/>
          <w:shd w:val="clear" w:color="auto" w:fill="FFFFFF"/>
        </w:rPr>
        <w:t>Köhler and Milstein</w:t>
      </w:r>
      <w:r w:rsidR="004A1159" w:rsidRPr="00922C73">
        <w:rPr>
          <w:rFonts w:ascii="Times New Roman" w:eastAsia="Times New Roman" w:hAnsi="Times New Roman" w:cs="Times New Roman"/>
          <w:sz w:val="24"/>
          <w:szCs w:val="24"/>
          <w:lang w:val="en-US" w:eastAsia="en-GB"/>
        </w:rPr>
        <w:t>, in one of the greatest scientific breakthroughs,</w:t>
      </w:r>
      <w:r w:rsidRPr="00922C73">
        <w:rPr>
          <w:rFonts w:ascii="Times New Roman" w:hAnsi="Times New Roman" w:cs="Times New Roman"/>
          <w:sz w:val="24"/>
          <w:szCs w:val="24"/>
          <w:shd w:val="clear" w:color="auto" w:fill="FFFFFF"/>
        </w:rPr>
        <w:t xml:space="preserve"> produced the</w:t>
      </w:r>
      <w:r w:rsidRPr="00922C73">
        <w:rPr>
          <w:rFonts w:ascii="Times New Roman" w:hAnsi="Times New Roman" w:cs="Times New Roman"/>
          <w:sz w:val="24"/>
          <w:szCs w:val="24"/>
        </w:rPr>
        <w:t xml:space="preserve"> first synthetic monoclonal antibodies</w:t>
      </w:r>
      <w:r w:rsidR="004A1159"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004A1159" w:rsidRPr="00922C73">
        <w:rPr>
          <w:rFonts w:ascii="Times New Roman" w:hAnsi="Times New Roman" w:cs="Times New Roman"/>
          <w:sz w:val="24"/>
          <w:szCs w:val="24"/>
        </w:rPr>
        <w:t xml:space="preserve">They </w:t>
      </w:r>
      <w:r w:rsidR="0057665C" w:rsidRPr="00922C73">
        <w:rPr>
          <w:rFonts w:ascii="Times New Roman" w:hAnsi="Times New Roman" w:cs="Times New Roman"/>
          <w:sz w:val="24"/>
          <w:szCs w:val="24"/>
        </w:rPr>
        <w:t>formed</w:t>
      </w:r>
      <w:r w:rsidR="004A1159"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hybridoma cells from fusion of an immortal myeloma cell with a mouse spleen cell from an immunised donor, which </w:t>
      </w:r>
      <w:r w:rsidRPr="00922C73">
        <w:rPr>
          <w:rFonts w:ascii="Times New Roman" w:eastAsia="Times New Roman" w:hAnsi="Times New Roman" w:cs="Times New Roman"/>
          <w:sz w:val="24"/>
          <w:szCs w:val="24"/>
          <w:lang w:val="en-US" w:eastAsia="en-GB"/>
        </w:rPr>
        <w:t xml:space="preserve">secreted the antibody of interest </w:t>
      </w:r>
      <w:r w:rsidRPr="00922C73">
        <w:rPr>
          <w:rFonts w:ascii="Times New Roman" w:eastAsia="Times New Roman" w:hAnsi="Times New Roman" w:cs="Times New Roman"/>
          <w:sz w:val="24"/>
          <w:szCs w:val="24"/>
          <w:lang w:val="en-US" w:eastAsia="en-GB"/>
        </w:rPr>
        <w:fldChar w:fldCharType="begin" w:fldLock="1"/>
      </w:r>
      <w:r w:rsidR="00DD0F87" w:rsidRPr="00922C73">
        <w:rPr>
          <w:rFonts w:ascii="Times New Roman" w:eastAsia="Times New Roman" w:hAnsi="Times New Roman" w:cs="Times New Roman"/>
          <w:sz w:val="24"/>
          <w:szCs w:val="24"/>
          <w:lang w:val="en-US" w:eastAsia="en-GB"/>
        </w:rPr>
        <w:instrText>ADDIN CSL_CITATION {"citationItems":[{"id":"ITEM-1","itemData":{"ISSN":"0028-0836","PMID":"1172191","author":[{"dropping-particle":"","family":"Köhler","given":"G.","non-dropping-particle":"","parse-names":false,"suffix":""},{"dropping-particle":"","family":"Milstein","given":"C.","non-dropping-particle":"","parse-names":false,"suffix":""}],"container-title":"Nature","id":"ITEM-1","issue":"5517","issued":{"date-parts":[["1975","8"]]},"page":"495-7","title":"Continuous cultures of fused cells secreting antibody of predefined specificity.","type":"article-journal","volume":"256"},"uris":["http://www.mendeley.com/documents/?uuid=dce35141-f104-48b1-9824-50a026ab11d2","http://www.mendeley.com/documents/?uuid=5460d820-2603-4ee6-b3db-b1d9a1e2dc97","http://www.mendeley.com/documents/?uuid=ca414f1a-7bca-45e4-be20-f9e3e71a84bf"]}],"mendeley":{"formattedCitation":"&lt;sup&gt;109&lt;/sup&gt;","plainTextFormattedCitation":"109","previouslyFormattedCitation":"&lt;sup&gt;109&lt;/sup&gt;"},"properties":{"noteIndex":0},"schema":"https://github.com/citation-style-language/schema/raw/master/csl-citation.json"}</w:instrText>
      </w:r>
      <w:r w:rsidRPr="00922C73">
        <w:rPr>
          <w:rFonts w:ascii="Times New Roman" w:eastAsia="Times New Roman" w:hAnsi="Times New Roman" w:cs="Times New Roman"/>
          <w:sz w:val="24"/>
          <w:szCs w:val="24"/>
          <w:lang w:val="en-US" w:eastAsia="en-GB"/>
        </w:rPr>
        <w:fldChar w:fldCharType="separate"/>
      </w:r>
      <w:r w:rsidR="00A00D49" w:rsidRPr="00922C73">
        <w:rPr>
          <w:rFonts w:ascii="Times New Roman" w:eastAsia="Times New Roman" w:hAnsi="Times New Roman" w:cs="Times New Roman"/>
          <w:noProof/>
          <w:sz w:val="24"/>
          <w:szCs w:val="24"/>
          <w:vertAlign w:val="superscript"/>
          <w:lang w:val="en-US" w:eastAsia="en-GB"/>
        </w:rPr>
        <w:t>109</w:t>
      </w:r>
      <w:r w:rsidRPr="00922C73">
        <w:rPr>
          <w:rFonts w:ascii="Times New Roman" w:eastAsia="Times New Roman" w:hAnsi="Times New Roman" w:cs="Times New Roman"/>
          <w:sz w:val="24"/>
          <w:szCs w:val="24"/>
          <w:lang w:val="en-US" w:eastAsia="en-GB"/>
        </w:rPr>
        <w:fldChar w:fldCharType="end"/>
      </w:r>
      <w:r w:rsidRPr="00922C73">
        <w:rPr>
          <w:rFonts w:ascii="Times New Roman" w:eastAsia="Times New Roman" w:hAnsi="Times New Roman" w:cs="Times New Roman"/>
          <w:sz w:val="24"/>
          <w:szCs w:val="24"/>
          <w:lang w:val="en-US" w:eastAsia="en-GB"/>
        </w:rPr>
        <w:t xml:space="preserve">. </w:t>
      </w:r>
      <w:r w:rsidR="004A1159" w:rsidRPr="00922C73">
        <w:rPr>
          <w:rFonts w:ascii="Times New Roman" w:hAnsi="Times New Roman" w:cs="Times New Roman"/>
          <w:sz w:val="24"/>
          <w:szCs w:val="24"/>
        </w:rPr>
        <w:t>As m</w:t>
      </w:r>
      <w:r w:rsidRPr="00922C73">
        <w:rPr>
          <w:rFonts w:ascii="Times New Roman" w:hAnsi="Times New Roman" w:cs="Times New Roman"/>
          <w:sz w:val="24"/>
          <w:szCs w:val="24"/>
        </w:rPr>
        <w:t>onoclonal antibodies are produced by a clonal population of plasma B cell</w:t>
      </w:r>
      <w:r w:rsidR="004A1159" w:rsidRPr="00922C73">
        <w:rPr>
          <w:rFonts w:ascii="Times New Roman" w:hAnsi="Times New Roman" w:cs="Times New Roman"/>
          <w:sz w:val="24"/>
          <w:szCs w:val="24"/>
        </w:rPr>
        <w:t xml:space="preserve">, they </w:t>
      </w:r>
      <w:r w:rsidRPr="00922C73">
        <w:rPr>
          <w:rFonts w:ascii="Times New Roman" w:hAnsi="Times New Roman" w:cs="Times New Roman"/>
          <w:sz w:val="24"/>
          <w:szCs w:val="24"/>
        </w:rPr>
        <w:t>are identical</w:t>
      </w:r>
      <w:r w:rsidR="0079000C" w:rsidRPr="00922C73">
        <w:rPr>
          <w:rFonts w:ascii="Times New Roman" w:hAnsi="Times New Roman" w:cs="Times New Roman"/>
          <w:sz w:val="24"/>
          <w:szCs w:val="24"/>
        </w:rPr>
        <w:t>,</w:t>
      </w:r>
      <w:r w:rsidRPr="00922C73">
        <w:rPr>
          <w:rFonts w:ascii="Times New Roman" w:hAnsi="Times New Roman" w:cs="Times New Roman"/>
          <w:sz w:val="24"/>
          <w:szCs w:val="24"/>
        </w:rPr>
        <w:t xml:space="preserve"> with the same variable domains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{"citationItems":[{"id":"ITEM-1","itemData":{"author":[{"dropping-particle":"","family":"Rich RR, Fleisher TA, Shearer WT, Schroeder H","given":"Frew AJ and Weyand CM.","non-dropping-particle":"","parse-names":false,"suffix":""}],"edition":"4th editio","editor":[{"dropping-particle":"","family":"Rich.","given":"Robert R","non-dropping-particle":"","parse-names":false,"suffix":""}],"id":"ITEM-1","issued":{"date-parts":[["2012"]]},"number-of-pages":"191","publisher":"Saunders","title":"Clinical Immunology, 4th Edition.","type":"book"},"uris":["http://www.mendeley.com/documents/?uuid=295561ed-3db2-4e7c-803c-ea51d56fc735","http://www.mendeley.com/documents/?uuid=1f3a0fbc-8005-418c-8fbf-02a126054290","http://www.mendeley.com/documents/?uuid=0c66755c-48e5-4b7e-adb0-288d37051394"]}],"mendeley":{"formattedCitation":"&lt;sup&gt;110&lt;/sup&gt;","plainTextFormattedCitation":"110","previouslyFormattedCitation":"&lt;sup&gt;110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89567F" w:rsidRPr="00922C73">
        <w:rPr>
          <w:rFonts w:ascii="Times New Roman" w:hAnsi="Times New Roman" w:cs="Times New Roman"/>
          <w:sz w:val="24"/>
          <w:szCs w:val="24"/>
        </w:rPr>
        <w:t>Monoclonal antibodies’ specificity and affinity to an antigen of interest have made them effective biotherapeutics</w:t>
      </w:r>
      <w:r w:rsidR="0049205C" w:rsidRPr="00922C73">
        <w:rPr>
          <w:rFonts w:ascii="Times New Roman" w:hAnsi="Times New Roman" w:cs="Times New Roman"/>
          <w:sz w:val="24"/>
          <w:szCs w:val="24"/>
        </w:rPr>
        <w:t xml:space="preserve"> and </w:t>
      </w:r>
      <w:r w:rsidR="0089567F" w:rsidRPr="00922C73">
        <w:rPr>
          <w:rFonts w:ascii="Times New Roman" w:hAnsi="Times New Roman" w:cs="Times New Roman"/>
          <w:sz w:val="24"/>
          <w:szCs w:val="24"/>
        </w:rPr>
        <w:t>ha</w:t>
      </w:r>
      <w:r w:rsidR="0049205C" w:rsidRPr="00922C73">
        <w:rPr>
          <w:rFonts w:ascii="Times New Roman" w:hAnsi="Times New Roman" w:cs="Times New Roman"/>
          <w:sz w:val="24"/>
          <w:szCs w:val="24"/>
        </w:rPr>
        <w:t>s</w:t>
      </w:r>
      <w:r w:rsidR="0089567F" w:rsidRPr="00922C73">
        <w:rPr>
          <w:rFonts w:ascii="Times New Roman" w:hAnsi="Times New Roman" w:cs="Times New Roman"/>
          <w:sz w:val="24"/>
          <w:szCs w:val="24"/>
        </w:rPr>
        <w:t xml:space="preserve"> allow targeted therapy to specific cellular pathways and cellular targets. </w:t>
      </w:r>
    </w:p>
    <w:p w14:paraId="68D64EF3" w14:textId="77777777" w:rsidR="0079000C" w:rsidRPr="00922C73" w:rsidRDefault="0079000C" w:rsidP="00D05CDD">
      <w:pPr>
        <w:spacing w:line="480" w:lineRule="auto"/>
        <w:rPr>
          <w:rFonts w:ascii="Times New Roman" w:hAnsi="Times New Roman" w:cs="Times New Roman"/>
          <w:sz w:val="24"/>
          <w:szCs w:val="24"/>
        </w:rPr>
      </w:pPr>
    </w:p>
    <w:p w14:paraId="17F91342" w14:textId="17B59BF1" w:rsidR="00D05CDD" w:rsidRPr="00922C73" w:rsidRDefault="002810A0" w:rsidP="00D05CDD">
      <w:pPr>
        <w:spacing w:line="480" w:lineRule="auto"/>
        <w:rPr>
          <w:rFonts w:ascii="Times New Roman" w:hAnsi="Times New Roman" w:cs="Times New Roman"/>
          <w:sz w:val="24"/>
          <w:szCs w:val="24"/>
        </w:rPr>
      </w:pPr>
      <w:r w:rsidRPr="00922C73">
        <w:rPr>
          <w:rFonts w:ascii="Times New Roman" w:hAnsi="Times New Roman" w:cs="Times New Roman"/>
          <w:sz w:val="24"/>
          <w:szCs w:val="24"/>
        </w:rPr>
        <w:t>I</w:t>
      </w:r>
      <w:r w:rsidR="00C54F6D" w:rsidRPr="00922C73">
        <w:rPr>
          <w:rFonts w:ascii="Times New Roman" w:hAnsi="Times New Roman" w:cs="Times New Roman"/>
          <w:sz w:val="24"/>
          <w:szCs w:val="24"/>
        </w:rPr>
        <w:t xml:space="preserve">mmunogenicity can occur to monoclonal antibodies. </w:t>
      </w:r>
      <w:r w:rsidR="0057665C" w:rsidRPr="00922C73">
        <w:rPr>
          <w:rFonts w:ascii="Times New Roman" w:hAnsi="Times New Roman" w:cs="Times New Roman"/>
          <w:sz w:val="24"/>
          <w:szCs w:val="24"/>
        </w:rPr>
        <w:t>A</w:t>
      </w:r>
      <w:r w:rsidR="00C54F6D" w:rsidRPr="00922C73">
        <w:rPr>
          <w:rFonts w:ascii="Times New Roman" w:hAnsi="Times New Roman" w:cs="Times New Roman"/>
          <w:sz w:val="24"/>
          <w:szCs w:val="24"/>
        </w:rPr>
        <w:t xml:space="preserve"> robust immune response is often </w:t>
      </w:r>
      <w:r w:rsidR="0057665C" w:rsidRPr="00922C73">
        <w:rPr>
          <w:rFonts w:ascii="Times New Roman" w:hAnsi="Times New Roman" w:cs="Times New Roman"/>
          <w:sz w:val="24"/>
          <w:szCs w:val="24"/>
        </w:rPr>
        <w:t xml:space="preserve">associated </w:t>
      </w:r>
      <w:r w:rsidR="0079000C" w:rsidRPr="00922C73">
        <w:rPr>
          <w:rFonts w:ascii="Times New Roman" w:hAnsi="Times New Roman" w:cs="Times New Roman"/>
          <w:sz w:val="24"/>
          <w:szCs w:val="24"/>
        </w:rPr>
        <w:t>with the immune response to monoclonal antibodies. T</w:t>
      </w:r>
      <w:r w:rsidR="00C54F6D" w:rsidRPr="00922C73">
        <w:rPr>
          <w:rFonts w:ascii="Times New Roman" w:hAnsi="Times New Roman" w:cs="Times New Roman"/>
          <w:sz w:val="24"/>
          <w:szCs w:val="24"/>
        </w:rPr>
        <w:t xml:space="preserve">he presence of IgG anti-drug </w:t>
      </w:r>
      <w:r w:rsidR="00C54F6D" w:rsidRPr="00922C73">
        <w:rPr>
          <w:rFonts w:ascii="Times New Roman" w:hAnsi="Times New Roman" w:cs="Times New Roman"/>
          <w:sz w:val="24"/>
          <w:szCs w:val="24"/>
        </w:rPr>
        <w:lastRenderedPageBreak/>
        <w:t>antibodies</w:t>
      </w:r>
      <w:r w:rsidR="0057665C" w:rsidRPr="00922C73">
        <w:rPr>
          <w:rFonts w:ascii="Times New Roman" w:hAnsi="Times New Roman" w:cs="Times New Roman"/>
          <w:sz w:val="24"/>
          <w:szCs w:val="24"/>
        </w:rPr>
        <w:t xml:space="preserve"> indicates </w:t>
      </w:r>
      <w:r w:rsidR="00C54F6D" w:rsidRPr="00922C73">
        <w:rPr>
          <w:rFonts w:ascii="Times New Roman" w:hAnsi="Times New Roman" w:cs="Times New Roman"/>
          <w:sz w:val="24"/>
          <w:szCs w:val="24"/>
        </w:rPr>
        <w:t xml:space="preserve">T cell dependant B cell activation </w:t>
      </w:r>
      <w:r w:rsidR="0057665C" w:rsidRPr="00922C73">
        <w:rPr>
          <w:rFonts w:ascii="Times New Roman" w:hAnsi="Times New Roman" w:cs="Times New Roman"/>
          <w:sz w:val="24"/>
          <w:szCs w:val="24"/>
        </w:rPr>
        <w:t xml:space="preserve">may </w:t>
      </w:r>
      <w:r w:rsidR="00C54F6D" w:rsidRPr="00922C73">
        <w:rPr>
          <w:rFonts w:ascii="Times New Roman" w:hAnsi="Times New Roman" w:cs="Times New Roman"/>
          <w:sz w:val="24"/>
          <w:szCs w:val="24"/>
        </w:rPr>
        <w:t>be the underlying mechanism</w:t>
      </w:r>
      <w:r w:rsidR="0057665C" w:rsidRPr="00922C73">
        <w:rPr>
          <w:rFonts w:ascii="Times New Roman" w:hAnsi="Times New Roman" w:cs="Times New Roman"/>
          <w:sz w:val="24"/>
          <w:szCs w:val="24"/>
        </w:rPr>
        <w:t xml:space="preserve"> </w:t>
      </w:r>
      <w:r w:rsidR="0057665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{"citationItems":[{"id":"ITEM-1","itemData":{"DOI":"10.1016/j.it.2007.07.011","ISBN":"1471-4906 (Print)\\n1471-4906 (Linking)","ISSN":"14714906","PMID":"17964218","abstract":"Protein therapeutics, such as monoclonal antibodies, enzymes and toxins, hold significant promise for improving human health. However, repeated administration of protein therapeutics, whether natural or recombinant, often leads to the induction of undesirable anti-drug antibodies (ADAs), which interfere with or neutralize the effect of the drug. Although an immune response to foreign proteins can be expected and is well understood, the basis for the development of responses to therapeutic autologous proteins is the subject of some debate. Inflammatory components of the drug delivery vehicle, T cell responses, T and B cell epitopes in the protein drug, and the associated B cell response are all targets for interventions aimed at reducing ADA responses. Here, we review some theories put forward to explain the immunogenicity of therapeutic proteins and describe some emerging protein-engineering approaches that might prevent the development of anti-drug antibodies. ?? 2007 Elsevier Ltd. All rights reserved.","author":[{"dropping-particle":"","family":"Groot","given":"Anne S.","non-dropping-particle":"De","parse-names":false,"suffix":""},{"dropping-particle":"","family":"Scott","given":"David W.","non-dropping-particle":"","parse-names":false,"suffix":""}],"container-title":"Trends in Immunology","id":"ITEM-1","issue":"11","issued":{"date-parts":[["2007"]]},"page":"482-490","title":"Immunogenicity of protein therapeutics","type":"article-journal","volume":"28"},"uris":["http://www.mendeley.com/documents/?uuid=1face482-3e9a-403a-a4cc-693ba9e68188"]}],"mendeley":{"formattedCitation":"&lt;sup&gt;107&lt;/sup&gt;","plainTextFormattedCitation":"107","previouslyFormattedCitation":"&lt;sup&gt;107&lt;/sup&gt;"},"properties":{"noteIndex":0},"schema":"https://github.com/citation-style-language/schema/raw/master/csl-citation.json"}</w:instrText>
      </w:r>
      <w:r w:rsidR="0057665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107</w:t>
      </w:r>
      <w:r w:rsidR="0057665C" w:rsidRPr="00922C73">
        <w:rPr>
          <w:rFonts w:ascii="Times New Roman" w:hAnsi="Times New Roman" w:cs="Times New Roman"/>
          <w:sz w:val="24"/>
          <w:szCs w:val="24"/>
        </w:rPr>
        <w:fldChar w:fldCharType="end"/>
      </w:r>
      <w:r w:rsidR="00C54F6D" w:rsidRPr="00922C73">
        <w:rPr>
          <w:rFonts w:ascii="Times New Roman" w:hAnsi="Times New Roman" w:cs="Times New Roman"/>
          <w:sz w:val="24"/>
          <w:szCs w:val="24"/>
        </w:rPr>
        <w:t xml:space="preserve">. However, the exact mechanism remains unknown, and it may be that </w:t>
      </w:r>
      <w:r w:rsidR="0079000C" w:rsidRPr="00922C73">
        <w:rPr>
          <w:rFonts w:ascii="Times New Roman" w:hAnsi="Times New Roman" w:cs="Times New Roman"/>
          <w:sz w:val="24"/>
          <w:szCs w:val="24"/>
        </w:rPr>
        <w:t xml:space="preserve">both T cell dependant and </w:t>
      </w:r>
      <w:r w:rsidR="00570435" w:rsidRPr="00922C73">
        <w:rPr>
          <w:rFonts w:ascii="Times New Roman" w:hAnsi="Times New Roman" w:cs="Times New Roman"/>
          <w:sz w:val="24"/>
          <w:szCs w:val="24"/>
        </w:rPr>
        <w:t xml:space="preserve">T cell </w:t>
      </w:r>
      <w:r w:rsidR="0079000C" w:rsidRPr="00922C73">
        <w:rPr>
          <w:rFonts w:ascii="Times New Roman" w:hAnsi="Times New Roman" w:cs="Times New Roman"/>
          <w:sz w:val="24"/>
          <w:szCs w:val="24"/>
        </w:rPr>
        <w:t>independent</w:t>
      </w:r>
      <w:r w:rsidR="00C54F6D" w:rsidRPr="00922C73">
        <w:rPr>
          <w:rFonts w:ascii="Times New Roman" w:hAnsi="Times New Roman" w:cs="Times New Roman"/>
          <w:sz w:val="24"/>
          <w:szCs w:val="24"/>
        </w:rPr>
        <w:t xml:space="preserve"> pathways are involved. </w:t>
      </w:r>
      <w:r w:rsidR="00D05CDD" w:rsidRPr="00922C73">
        <w:rPr>
          <w:rFonts w:ascii="Times New Roman" w:hAnsi="Times New Roman" w:cs="Times New Roman"/>
          <w:sz w:val="24"/>
          <w:szCs w:val="24"/>
        </w:rPr>
        <w:t xml:space="preserve">T cell independent activation </w:t>
      </w:r>
      <w:r w:rsidR="0057665C" w:rsidRPr="00922C73">
        <w:rPr>
          <w:rFonts w:ascii="Times New Roman" w:hAnsi="Times New Roman" w:cs="Times New Roman"/>
          <w:sz w:val="24"/>
          <w:szCs w:val="24"/>
        </w:rPr>
        <w:t xml:space="preserve">can </w:t>
      </w:r>
      <w:r w:rsidR="00D05CDD" w:rsidRPr="00922C73">
        <w:rPr>
          <w:rFonts w:ascii="Times New Roman" w:hAnsi="Times New Roman" w:cs="Times New Roman"/>
          <w:sz w:val="24"/>
          <w:szCs w:val="24"/>
        </w:rPr>
        <w:t>occur via exposure to products of bacterial degradation, display of antigen on viruses or viruses</w:t>
      </w:r>
      <w:r w:rsidR="00570435" w:rsidRPr="00922C73">
        <w:rPr>
          <w:rFonts w:ascii="Times New Roman" w:hAnsi="Times New Roman" w:cs="Times New Roman"/>
          <w:sz w:val="24"/>
          <w:szCs w:val="24"/>
        </w:rPr>
        <w:t>-</w:t>
      </w:r>
      <w:r w:rsidR="00D05CDD" w:rsidRPr="00922C73">
        <w:rPr>
          <w:rFonts w:ascii="Times New Roman" w:hAnsi="Times New Roman" w:cs="Times New Roman"/>
          <w:sz w:val="24"/>
          <w:szCs w:val="24"/>
        </w:rPr>
        <w:t>like</w:t>
      </w:r>
      <w:r w:rsidR="00570435" w:rsidRPr="00922C73">
        <w:rPr>
          <w:rFonts w:ascii="Times New Roman" w:hAnsi="Times New Roman" w:cs="Times New Roman"/>
          <w:sz w:val="24"/>
          <w:szCs w:val="24"/>
        </w:rPr>
        <w:t>-</w:t>
      </w:r>
      <w:r w:rsidR="00D05CDD" w:rsidRPr="00922C73">
        <w:rPr>
          <w:rFonts w:ascii="Times New Roman" w:hAnsi="Times New Roman" w:cs="Times New Roman"/>
          <w:sz w:val="24"/>
          <w:szCs w:val="24"/>
        </w:rPr>
        <w:t xml:space="preserve">particles and  protein aggregates which have the ability to cross link B cell receptors, inducing B cell signals required for activation  </w:t>
      </w:r>
      <w:r w:rsidR="00D05CD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{"citationItems":[{"id":"ITEM-1","itemData":{"DOI":"10.4161/self.1.4.13904","ISBN":"1938-2030\\r1938-2049","ISSN":"1938-2030","PMID":"21487506","abstract":"The immunogenicity of protein therapeutics has so far proven to be difficult to predict in patients, with many biologics inducing undesirable immune responses directed towards the therapeutic resulting in reduced efficacy, anaphylaxis and occasionally life threatening autoimmunity. The most common effect of administrating an immunogenic protein therapeutic is the development of a high affinity anti-therapeutic antibody response. Furthermore, it is clear from clinical studies that protein therapeutics derived from endogenous human proteins are capable of stimulating undesirable immune responses in patients, and as a consequence, the prediction and reduction of immunogenicity has been the focus of intense research. This review will outline the principle causes of the immunogenicity in protein therapeutics, and describe the development of pre-clinical models that can be used to aid in the prediction of the immunogenic potential of novel protein therapeutics prior to administration in man.","author":[{"dropping-particle":"","family":"Baker","given":"Matthew","non-dropping-particle":"","parse-names":false,"suffix":""},{"dropping-particle":"","family":"Reynolds","given":"Helen M.","non-dropping-particle":"","parse-names":false,"suffix":""},{"dropping-particle":"","family":"Lumicisi","given":"Brooke","non-dropping-particle":"","parse-names":false,"suffix":""},{"dropping-particle":"","family":"Bryson","given":"Christine J.","non-dropping-particle":"","parse-names":false,"suffix":""}],"container-title":"Self/Nonself","id":"ITEM-1","issue":"4","issued":{"date-parts":[["2010","10"]]},"page":"314-322","title":"Immunogenicity of protein therapeutics: The key causes, consequences and challenges","type":"article-journal","volume":"1"},"uris":["http://www.mendeley.com/documents/?uuid=b10fc114-dbd0-459a-89c9-52e511f85d67","http://www.mendeley.com/documents/?uuid=721c2fbf-c994-4e0c-bdea-6c385bc851b6"]},{"id":"ITEM-2","itemData":{"DOI":"10.1016/j.it.2007.07.011","ISBN":"1471-4906 (Print)\\n1471-4906 (Linking)","ISSN":"14714906","PMID":"17964218","abstract":"Protein therapeutics, such as monoclonal antibodies, enzymes and toxins, hold significant promise for improving human health. However, repeated administration of protein therapeutics, whether natural or recombinant, often leads to the induction of undesirable anti-drug antibodies (ADAs), which interfere with or neutralize the effect of the drug. Although an immune response to foreign proteins can be expected and is well understood, the basis for the development of responses to therapeutic autologous proteins is the subject of some debate. Inflammatory components of the drug delivery vehicle, T cell responses, T and B cell epitopes in the protein drug, and the associated B cell response are all targets for interventions aimed at reducing ADA responses. Here, we review some theories put forward to explain the immunogenicity of therapeutic proteins and describe some emerging protein-engineering approaches that might prevent the development of anti-drug antibodies. ?? 2007 Elsevier Ltd. All rights reserved.","author":[{"dropping-particle":"","family":"Groot","given":"Anne S.","non-dropping-particle":"De","parse-names":false,"suffix":""},{"dropping-particle":"","family":"Scott","given":"David W.","non-dropping-particle":"","parse-names":false,"suffix":""}],"container-title":"Trends in Immunology","id":"ITEM-2","issue":"11","issued":{"date-parts":[["2007"]]},"page":"482-490","title":"Immunogenicity of protein therapeutics","type":"article-journal","volume":"28"},"uris":["http://www.mendeley.com/documents/?uuid=1face482-3e9a-403a-a4cc-693ba9e68188","http://www.mendeley.com/documents/?uuid=beb90ff3-4637-4a15-bc54-73a757a92735"]}],"mendeley":{"formattedCitation":"&lt;sup&gt;107,111&lt;/sup&gt;","plainTextFormattedCitation":"107,111","previouslyFormattedCitation":"&lt;sup&gt;107,111&lt;/sup&gt;"},"properties":{"noteIndex":0},"schema":"https://github.com/citation-style-language/schema/raw/master/csl-citation.json"}</w:instrText>
      </w:r>
      <w:r w:rsidR="00D05CD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107,111</w:t>
      </w:r>
      <w:r w:rsidR="00D05CDD" w:rsidRPr="00922C73">
        <w:rPr>
          <w:rFonts w:ascii="Times New Roman" w:hAnsi="Times New Roman" w:cs="Times New Roman"/>
          <w:sz w:val="24"/>
          <w:szCs w:val="24"/>
        </w:rPr>
        <w:fldChar w:fldCharType="end"/>
      </w:r>
      <w:r w:rsidR="00D05CDD" w:rsidRPr="00922C73">
        <w:rPr>
          <w:rFonts w:ascii="Times New Roman" w:hAnsi="Times New Roman" w:cs="Times New Roman"/>
          <w:sz w:val="24"/>
          <w:szCs w:val="24"/>
        </w:rPr>
        <w:t xml:space="preserve"> .</w:t>
      </w:r>
    </w:p>
    <w:p w14:paraId="7CEAF60C" w14:textId="77777777" w:rsidR="0057665C" w:rsidRPr="00922C73" w:rsidRDefault="0057665C" w:rsidP="00D05CDD">
      <w:pPr>
        <w:spacing w:line="480" w:lineRule="auto"/>
        <w:rPr>
          <w:rFonts w:ascii="Times New Roman" w:hAnsi="Times New Roman" w:cs="Times New Roman"/>
          <w:sz w:val="24"/>
          <w:szCs w:val="24"/>
        </w:rPr>
      </w:pPr>
    </w:p>
    <w:p w14:paraId="00EA1440" w14:textId="1DBC654B" w:rsidR="00485056" w:rsidRPr="00922C73" w:rsidRDefault="00D05CDD" w:rsidP="00485056">
      <w:pPr>
        <w:spacing w:line="480" w:lineRule="auto"/>
        <w:rPr>
          <w:rFonts w:ascii="AdvTT4e89fb21" w:hAnsi="AdvTT4e89fb21" w:cs="AdvTT4e89fb21"/>
          <w:sz w:val="19"/>
          <w:szCs w:val="19"/>
        </w:rPr>
      </w:pPr>
      <w:r w:rsidRPr="00922C73">
        <w:rPr>
          <w:rFonts w:ascii="Times New Roman" w:hAnsi="Times New Roman" w:cs="Times New Roman"/>
          <w:sz w:val="24"/>
          <w:szCs w:val="24"/>
        </w:rPr>
        <w:t xml:space="preserve">Factors that </w:t>
      </w:r>
      <w:r w:rsidR="00A6750A" w:rsidRPr="00922C73">
        <w:rPr>
          <w:rFonts w:ascii="Times New Roman" w:hAnsi="Times New Roman" w:cs="Times New Roman"/>
          <w:sz w:val="24"/>
          <w:szCs w:val="24"/>
        </w:rPr>
        <w:t>affect</w:t>
      </w:r>
      <w:r w:rsidRPr="00922C73">
        <w:rPr>
          <w:rFonts w:ascii="Times New Roman" w:hAnsi="Times New Roman" w:cs="Times New Roman"/>
          <w:sz w:val="24"/>
          <w:szCs w:val="24"/>
        </w:rPr>
        <w:t xml:space="preserve"> immunogenicity can be viewed in terms of </w:t>
      </w:r>
      <w:r w:rsidR="00FE45B2" w:rsidRPr="00922C73">
        <w:rPr>
          <w:rFonts w:ascii="Times New Roman" w:hAnsi="Times New Roman" w:cs="Times New Roman"/>
          <w:sz w:val="24"/>
          <w:szCs w:val="24"/>
        </w:rPr>
        <w:t>relat</w:t>
      </w:r>
      <w:r w:rsidR="00A6750A" w:rsidRPr="00922C73">
        <w:rPr>
          <w:rFonts w:ascii="Times New Roman" w:hAnsi="Times New Roman" w:cs="Times New Roman"/>
          <w:sz w:val="24"/>
          <w:szCs w:val="24"/>
        </w:rPr>
        <w:t>ing</w:t>
      </w:r>
      <w:r w:rsidR="00FE45B2" w:rsidRPr="00922C73">
        <w:rPr>
          <w:rFonts w:ascii="Times New Roman" w:hAnsi="Times New Roman" w:cs="Times New Roman"/>
          <w:sz w:val="24"/>
          <w:szCs w:val="24"/>
        </w:rPr>
        <w:t xml:space="preserve"> to </w:t>
      </w:r>
      <w:r w:rsidR="0079000C" w:rsidRPr="00922C73">
        <w:rPr>
          <w:rFonts w:ascii="Times New Roman" w:hAnsi="Times New Roman" w:cs="Times New Roman"/>
          <w:sz w:val="24"/>
          <w:szCs w:val="24"/>
        </w:rPr>
        <w:t xml:space="preserve">1) </w:t>
      </w:r>
      <w:r w:rsidR="00FE45B2" w:rsidRPr="00922C73">
        <w:rPr>
          <w:rFonts w:ascii="Times New Roman" w:hAnsi="Times New Roman" w:cs="Times New Roman"/>
          <w:sz w:val="24"/>
          <w:szCs w:val="24"/>
        </w:rPr>
        <w:t xml:space="preserve">product, </w:t>
      </w:r>
      <w:r w:rsidR="0079000C" w:rsidRPr="00922C73">
        <w:rPr>
          <w:rFonts w:ascii="Times New Roman" w:hAnsi="Times New Roman" w:cs="Times New Roman"/>
          <w:sz w:val="24"/>
          <w:szCs w:val="24"/>
        </w:rPr>
        <w:t xml:space="preserve">2) </w:t>
      </w:r>
      <w:r w:rsidR="00E33B8C" w:rsidRPr="00922C73">
        <w:rPr>
          <w:rFonts w:ascii="Times New Roman" w:hAnsi="Times New Roman" w:cs="Times New Roman"/>
          <w:sz w:val="24"/>
          <w:szCs w:val="24"/>
        </w:rPr>
        <w:t>patient,</w:t>
      </w:r>
      <w:r w:rsidR="00FE45B2" w:rsidRPr="00922C73">
        <w:rPr>
          <w:rFonts w:ascii="Times New Roman" w:hAnsi="Times New Roman" w:cs="Times New Roman"/>
          <w:sz w:val="24"/>
          <w:szCs w:val="24"/>
        </w:rPr>
        <w:t xml:space="preserve"> or </w:t>
      </w:r>
      <w:r w:rsidR="0079000C" w:rsidRPr="00922C73">
        <w:rPr>
          <w:rFonts w:ascii="Times New Roman" w:hAnsi="Times New Roman" w:cs="Times New Roman"/>
          <w:sz w:val="24"/>
          <w:szCs w:val="24"/>
        </w:rPr>
        <w:t xml:space="preserve">3) </w:t>
      </w:r>
      <w:r w:rsidR="00FE45B2" w:rsidRPr="00922C73">
        <w:rPr>
          <w:rFonts w:ascii="Times New Roman" w:hAnsi="Times New Roman" w:cs="Times New Roman"/>
          <w:sz w:val="24"/>
          <w:szCs w:val="24"/>
        </w:rPr>
        <w:t>m</w:t>
      </w:r>
      <w:r w:rsidR="00E33B8C" w:rsidRPr="00922C73">
        <w:rPr>
          <w:rFonts w:ascii="Times New Roman" w:hAnsi="Times New Roman" w:cs="Times New Roman"/>
          <w:sz w:val="24"/>
          <w:szCs w:val="24"/>
        </w:rPr>
        <w:t>ethod</w:t>
      </w:r>
      <w:r w:rsidR="00245EED" w:rsidRPr="00922C73">
        <w:rPr>
          <w:rFonts w:ascii="Times New Roman" w:hAnsi="Times New Roman" w:cs="Times New Roman"/>
          <w:sz w:val="24"/>
          <w:szCs w:val="24"/>
        </w:rPr>
        <w:t xml:space="preserve"> of administration</w:t>
      </w:r>
      <w:r w:rsidR="00FE45B2" w:rsidRPr="00922C73">
        <w:rPr>
          <w:rFonts w:ascii="Times New Roman" w:hAnsi="Times New Roman" w:cs="Times New Roman"/>
          <w:sz w:val="24"/>
          <w:szCs w:val="24"/>
        </w:rPr>
        <w:t xml:space="preserve">. </w:t>
      </w:r>
      <w:r w:rsidR="0079000C" w:rsidRPr="00922C73">
        <w:rPr>
          <w:rFonts w:ascii="Times New Roman" w:hAnsi="Times New Roman" w:cs="Times New Roman"/>
          <w:sz w:val="24"/>
          <w:szCs w:val="24"/>
        </w:rPr>
        <w:t>P</w:t>
      </w:r>
      <w:r w:rsidR="00FE45B2" w:rsidRPr="00922C73">
        <w:rPr>
          <w:rFonts w:ascii="Times New Roman" w:hAnsi="Times New Roman" w:cs="Times New Roman"/>
          <w:sz w:val="24"/>
          <w:szCs w:val="24"/>
        </w:rPr>
        <w:t xml:space="preserve">roduct </w:t>
      </w:r>
      <w:r w:rsidR="0079000C" w:rsidRPr="00922C73">
        <w:rPr>
          <w:rFonts w:ascii="Times New Roman" w:hAnsi="Times New Roman" w:cs="Times New Roman"/>
          <w:sz w:val="24"/>
          <w:szCs w:val="24"/>
        </w:rPr>
        <w:t xml:space="preserve">related factors </w:t>
      </w:r>
      <w:r w:rsidR="0032439F" w:rsidRPr="00922C73">
        <w:rPr>
          <w:rFonts w:ascii="Times New Roman" w:hAnsi="Times New Roman" w:cs="Times New Roman"/>
          <w:sz w:val="24"/>
          <w:szCs w:val="24"/>
        </w:rPr>
        <w:t>such as</w:t>
      </w:r>
      <w:r w:rsidR="0079000C" w:rsidRPr="00922C73">
        <w:rPr>
          <w:rFonts w:ascii="Times New Roman" w:hAnsi="Times New Roman" w:cs="Times New Roman"/>
          <w:sz w:val="24"/>
          <w:szCs w:val="24"/>
        </w:rPr>
        <w:t xml:space="preserve"> the origin of the</w:t>
      </w:r>
      <w:r w:rsidR="00FE45B2" w:rsidRPr="00922C73">
        <w:rPr>
          <w:rFonts w:ascii="Times New Roman" w:hAnsi="Times New Roman" w:cs="Times New Roman"/>
          <w:sz w:val="24"/>
          <w:szCs w:val="24"/>
        </w:rPr>
        <w:t xml:space="preserve"> biotherapeutics </w:t>
      </w:r>
      <w:r w:rsidR="0079000C" w:rsidRPr="00922C73">
        <w:rPr>
          <w:rFonts w:ascii="Times New Roman" w:hAnsi="Times New Roman" w:cs="Times New Roman"/>
          <w:sz w:val="24"/>
          <w:szCs w:val="24"/>
        </w:rPr>
        <w:t xml:space="preserve">as </w:t>
      </w:r>
      <w:r w:rsidR="00FE45B2" w:rsidRPr="00922C73">
        <w:rPr>
          <w:rFonts w:ascii="Times New Roman" w:hAnsi="Times New Roman" w:cs="Times New Roman"/>
          <w:sz w:val="24"/>
          <w:szCs w:val="24"/>
        </w:rPr>
        <w:t>t</w:t>
      </w:r>
      <w:r w:rsidR="0079000C" w:rsidRPr="00922C73">
        <w:rPr>
          <w:rFonts w:ascii="Times New Roman" w:hAnsi="Times New Roman" w:cs="Times New Roman"/>
          <w:sz w:val="24"/>
          <w:szCs w:val="24"/>
        </w:rPr>
        <w:t>hose</w:t>
      </w:r>
      <w:r w:rsidR="00FE45B2" w:rsidRPr="00922C73">
        <w:rPr>
          <w:rFonts w:ascii="Times New Roman" w:hAnsi="Times New Roman" w:cs="Times New Roman"/>
          <w:sz w:val="24"/>
          <w:szCs w:val="24"/>
        </w:rPr>
        <w:t xml:space="preserve"> from animal sources </w:t>
      </w:r>
      <w:proofErr w:type="spellStart"/>
      <w:r w:rsidR="00FE45B2" w:rsidRPr="00922C73">
        <w:rPr>
          <w:rFonts w:ascii="Times New Roman" w:hAnsi="Times New Roman" w:cs="Times New Roman"/>
          <w:sz w:val="24"/>
          <w:szCs w:val="24"/>
        </w:rPr>
        <w:t>ie</w:t>
      </w:r>
      <w:proofErr w:type="spellEnd"/>
      <w:r w:rsidR="00FE45B2" w:rsidRPr="00922C73">
        <w:rPr>
          <w:rFonts w:ascii="Times New Roman" w:hAnsi="Times New Roman" w:cs="Times New Roman"/>
          <w:sz w:val="24"/>
          <w:szCs w:val="24"/>
        </w:rPr>
        <w:t xml:space="preserve"> “foreign”</w:t>
      </w:r>
      <w:r w:rsidR="0079000C" w:rsidRPr="00922C73">
        <w:rPr>
          <w:rFonts w:ascii="Times New Roman" w:hAnsi="Times New Roman" w:cs="Times New Roman"/>
          <w:sz w:val="24"/>
          <w:szCs w:val="24"/>
        </w:rPr>
        <w:t xml:space="preserve"> are more immunogenic than human derived products</w:t>
      </w:r>
      <w:r w:rsidR="0057665C" w:rsidRPr="00922C73">
        <w:rPr>
          <w:rFonts w:ascii="Times New Roman" w:hAnsi="Times New Roman" w:cs="Times New Roman"/>
          <w:sz w:val="24"/>
          <w:szCs w:val="24"/>
        </w:rPr>
        <w:t xml:space="preserve">, </w:t>
      </w:r>
      <w:r w:rsidR="00245EED" w:rsidRPr="00922C73">
        <w:rPr>
          <w:rFonts w:ascii="Times New Roman" w:hAnsi="Times New Roman" w:cs="Times New Roman"/>
          <w:sz w:val="24"/>
          <w:szCs w:val="24"/>
        </w:rPr>
        <w:t xml:space="preserve">protein modification </w:t>
      </w:r>
      <w:proofErr w:type="spellStart"/>
      <w:r w:rsidR="00245EED" w:rsidRPr="00922C73">
        <w:rPr>
          <w:rFonts w:ascii="Times New Roman" w:hAnsi="Times New Roman" w:cs="Times New Roman"/>
          <w:sz w:val="24"/>
          <w:szCs w:val="24"/>
        </w:rPr>
        <w:t>ie</w:t>
      </w:r>
      <w:proofErr w:type="spellEnd"/>
      <w:r w:rsidR="00245EED" w:rsidRPr="00922C73">
        <w:rPr>
          <w:rFonts w:ascii="Times New Roman" w:hAnsi="Times New Roman" w:cs="Times New Roman"/>
          <w:sz w:val="24"/>
          <w:szCs w:val="24"/>
        </w:rPr>
        <w:t xml:space="preserve"> the presence of a unique</w:t>
      </w:r>
      <w:r w:rsidR="00A6750A" w:rsidRPr="00922C73">
        <w:rPr>
          <w:rFonts w:ascii="Times New Roman" w:hAnsi="Times New Roman" w:cs="Times New Roman"/>
          <w:sz w:val="24"/>
          <w:szCs w:val="24"/>
        </w:rPr>
        <w:t xml:space="preserve"> or unusual amino acid sequences in </w:t>
      </w:r>
      <w:r w:rsidR="00245EED" w:rsidRPr="00922C73">
        <w:rPr>
          <w:rFonts w:ascii="Times New Roman" w:hAnsi="Times New Roman" w:cs="Times New Roman"/>
          <w:sz w:val="24"/>
          <w:szCs w:val="24"/>
        </w:rPr>
        <w:t>a humanised protein</w:t>
      </w:r>
      <w:r w:rsidR="00A6750A" w:rsidRPr="00922C73">
        <w:rPr>
          <w:rFonts w:ascii="Times New Roman" w:hAnsi="Times New Roman" w:cs="Times New Roman"/>
          <w:sz w:val="24"/>
          <w:szCs w:val="24"/>
        </w:rPr>
        <w:t>,</w:t>
      </w:r>
      <w:r w:rsidR="00245EED" w:rsidRPr="00922C73">
        <w:rPr>
          <w:rFonts w:ascii="Times New Roman" w:hAnsi="Times New Roman" w:cs="Times New Roman"/>
          <w:sz w:val="24"/>
          <w:szCs w:val="24"/>
        </w:rPr>
        <w:t xml:space="preserve"> </w:t>
      </w:r>
      <w:r w:rsidR="00A6750A" w:rsidRPr="00922C73">
        <w:rPr>
          <w:rFonts w:ascii="Times New Roman" w:hAnsi="Times New Roman" w:cs="Times New Roman"/>
          <w:sz w:val="24"/>
          <w:szCs w:val="24"/>
        </w:rPr>
        <w:t xml:space="preserve">impurities such </w:t>
      </w:r>
      <w:r w:rsidR="00245EED" w:rsidRPr="00922C73">
        <w:rPr>
          <w:rFonts w:ascii="Times New Roman" w:hAnsi="Times New Roman" w:cs="Times New Roman"/>
          <w:sz w:val="24"/>
          <w:szCs w:val="24"/>
        </w:rPr>
        <w:t xml:space="preserve">leachates from the container </w:t>
      </w:r>
      <w:r w:rsidR="00A6750A" w:rsidRPr="00922C73">
        <w:rPr>
          <w:rFonts w:ascii="Times New Roman" w:hAnsi="Times New Roman" w:cs="Times New Roman"/>
          <w:sz w:val="24"/>
          <w:szCs w:val="24"/>
        </w:rPr>
        <w:t xml:space="preserve">or the </w:t>
      </w:r>
      <w:r w:rsidR="00E33B8C" w:rsidRPr="00922C73">
        <w:rPr>
          <w:rFonts w:ascii="Times New Roman" w:hAnsi="Times New Roman" w:cs="Times New Roman"/>
          <w:sz w:val="24"/>
          <w:szCs w:val="24"/>
        </w:rPr>
        <w:t>effect</w:t>
      </w:r>
      <w:r w:rsidR="00A6750A" w:rsidRPr="00922C73">
        <w:rPr>
          <w:rFonts w:ascii="Times New Roman" w:hAnsi="Times New Roman" w:cs="Times New Roman"/>
          <w:sz w:val="24"/>
          <w:szCs w:val="24"/>
        </w:rPr>
        <w:t xml:space="preserve"> </w:t>
      </w:r>
      <w:r w:rsidR="00E33B8C" w:rsidRPr="00922C73">
        <w:rPr>
          <w:rFonts w:ascii="Times New Roman" w:hAnsi="Times New Roman" w:cs="Times New Roman"/>
          <w:sz w:val="24"/>
          <w:szCs w:val="24"/>
        </w:rPr>
        <w:t>of their presence on the</w:t>
      </w:r>
      <w:r w:rsidR="00A6750A" w:rsidRPr="00922C73">
        <w:rPr>
          <w:rFonts w:ascii="Times New Roman" w:hAnsi="Times New Roman" w:cs="Times New Roman"/>
          <w:sz w:val="24"/>
          <w:szCs w:val="24"/>
        </w:rPr>
        <w:t xml:space="preserve"> drug</w:t>
      </w:r>
      <w:r w:rsidR="00E33B8C" w:rsidRPr="00922C73">
        <w:rPr>
          <w:rFonts w:ascii="Times New Roman" w:hAnsi="Times New Roman" w:cs="Times New Roman"/>
          <w:sz w:val="24"/>
          <w:szCs w:val="24"/>
        </w:rPr>
        <w:t xml:space="preserve"> such as</w:t>
      </w:r>
      <w:r w:rsidR="00A6750A" w:rsidRPr="00922C73">
        <w:rPr>
          <w:rFonts w:ascii="Times New Roman" w:hAnsi="Times New Roman" w:cs="Times New Roman"/>
          <w:sz w:val="24"/>
          <w:szCs w:val="24"/>
        </w:rPr>
        <w:t xml:space="preserve"> aggregation, </w:t>
      </w:r>
      <w:r w:rsidR="0057665C" w:rsidRPr="00922C73">
        <w:rPr>
          <w:rFonts w:ascii="Times New Roman" w:hAnsi="Times New Roman" w:cs="Times New Roman"/>
          <w:sz w:val="24"/>
          <w:szCs w:val="24"/>
        </w:rPr>
        <w:t xml:space="preserve">increases </w:t>
      </w:r>
      <w:r w:rsidR="00A6750A" w:rsidRPr="00922C73">
        <w:rPr>
          <w:rFonts w:ascii="Times New Roman" w:hAnsi="Times New Roman" w:cs="Times New Roman"/>
          <w:sz w:val="24"/>
          <w:szCs w:val="24"/>
        </w:rPr>
        <w:t xml:space="preserve">the </w:t>
      </w:r>
      <w:r w:rsidR="0057665C" w:rsidRPr="00922C73">
        <w:rPr>
          <w:rFonts w:ascii="Times New Roman" w:hAnsi="Times New Roman" w:cs="Times New Roman"/>
          <w:sz w:val="24"/>
          <w:szCs w:val="24"/>
        </w:rPr>
        <w:t>likelihood of immunogenicit</w:t>
      </w:r>
      <w:r w:rsidR="00A6750A" w:rsidRPr="00922C73">
        <w:rPr>
          <w:rFonts w:ascii="Times New Roman" w:hAnsi="Times New Roman" w:cs="Times New Roman"/>
          <w:sz w:val="24"/>
          <w:szCs w:val="24"/>
        </w:rPr>
        <w:t>y</w:t>
      </w:r>
      <w:r w:rsidR="00E33B8C" w:rsidRPr="00922C73">
        <w:rPr>
          <w:rFonts w:ascii="Times New Roman" w:hAnsi="Times New Roman" w:cs="Times New Roman"/>
          <w:sz w:val="24"/>
          <w:szCs w:val="24"/>
        </w:rPr>
        <w:t xml:space="preserve"> </w:t>
      </w:r>
      <w:r w:rsidR="00E33B8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10.1111/j.1523-1755.2005.00340.x","ISSN":"00852538","author":[{"dropping-particle":"","family":"Boven","given":"Katia","non-dropping-particle":"","parse-names":false,"suffix":""},{"dropping-particle":"","family":"Stryker","given":"Scott","non-dropping-particle":"","parse-names":false,"suffix":""},{"dropping-particle":"","family":"Knight","given":"John","non-dropping-particle":"","parse-names":false,"suffix":""},{"dropping-particle":"","family":"Thomas","given":"Adrian","non-dropping-particle":"","parse-names":false,"suffix":""},{"dropping-particle":"","family":"Regenmortel","given":"Marc","non-dropping-particle":"van","parse-names":false,"suffix":""},{"dropping-particle":"","family":"Kemeny","given":"David M.","non-dropping-particle":"","parse-names":false,"suffix":""},{"dropping-particle":"","family":"Power","given":"David","non-dropping-particle":"","parse-names":false,"suffix":""},{"dropping-particle":"","family":"Rossert","given":"Jerome","non-dropping-particle":"","parse-names":false,"suffix":""},{"dropping-particle":"","family":"Casadevall","given":"Nicole","non-dropping-particle":"","parse-names":false,"suffix":""}],"container-title":"Kidney International","id":"ITEM-1","issue":"6","issued":{"date-parts":[["2005","6"]]},"page":"2346-2353","title":"The increased incidence of pure red cell aplasia with an Eprex formulation in uncoated rubber stopper syringes","type":"article-journal","volume":"67"},"uris":["http://www.mendeley.com/documents/?uuid=cf9fd8e8-8f3f-4ea4-84ba-5a9a378512c0"]},{"id":"ITEM-2","itemData":{"DOI":"10.1016/j.it.2007.07.011","ISBN":"1471-4906 (Print)\\n1471-4906 (Linking)","ISSN":"14714906","PMID":"17964218","abstract":"Protein therapeutics, such as monoclonal antibodies, enzymes and toxins, hold significant promise for improving human health. However, repeated administration of protein therapeutics, whether natural or recombinant, often leads to the induction of undesirable anti-drug antibodies (ADAs), which interfere with or neutralize the effect of the drug. Although an immune response to foreign proteins can be expected and is well understood, the basis for the development of responses to therapeutic autologous proteins is the subject of some debate. Inflammatory components of the drug delivery vehicle, T cell responses, T and B cell epitopes in the protein drug, and the associated B cell response are all targets for interventions aimed at reducing ADA responses. Here, we review some theories put forward to explain the immunogenicity of therapeutic proteins and describe some emerging protein-engineering approaches that might prevent the development of anti-drug antibodies. ?? 2007 Elsevier Ltd. All rights reserved.","author":[{"dropping-particle":"","family":"Groot","given":"Anne S.","non-dropping-particle":"De","parse-names":false,"suffix":""},{"dropping-particle":"","family":"Scott","given":"David W.","non-dropping-particle":"","parse-names":false,"suffix":""}],"container-title":"Trends in Immunology","id":"ITEM-2","issue":"11","issued":{"date-parts":[["2007"]]},"page":"482-490","title":"Immunogenicity of protein therapeutics","type":"article-journal","volume":"28"},"uris":["http://www.mendeley.com/documents/?uuid=1face482-3e9a-403a-a4cc-693ba9e68188"]},{"id":"ITEM-3","itemData":{"DOI":"10.1016/j.biologicals.2015.06.004","ISBN":"1045-1056","ISSN":"10451056","PMID":"26144595","abstract":"Biotherapeutic products (BTPs) are the fastest growing medicines in the pharmaceutical market. Despite their clinical success, the immunogenicity of BTPs continues to be a major concern. Assessment of immunogenicity as well as appropriate interpretation of immunogenicity data is therefore, of critical importance for defining safety profile of these products for the purpose of their licensure and use. In the past decade, much progress has been made towards how immunogenicity should be studied. This article reflects the content of the brief presentation on principles of methods used for immunogenicity assessment and their merits and limitations given at the first World Health Organization (WHO) implementation workshop on rDNA derived biotherapeutic products held in the Republic of Korea in May 2014 to support the case studies on immunogenicity presented and discussed during the workshop. The purpose of this article is to provide an overview of the methods used for assessing immunogenicity of biotherapeutic products (BTPs) and the most important considerations in interpreting results in the context of regulatory overview of these products.","author":[{"dropping-particle":"","family":"Wadhwa","given":"Meenu","non-dropping-particle":"","parse-names":false,"suffix":""},{"dropping-particle":"","family":"Knezevic","given":"Ivana","non-dropping-particle":"","parse-names":false,"suffix":""},{"dropping-particle":"","family":"Kang","given":"Hye-Na","non-dropping-particle":"","parse-names":false,"suffix":""},{"dropping-particle":"","family":"Thorpe","given":"Robin","non-dropping-particle":"","parse-names":false,"suffix":""}],"container-title":"Biologicals","id":"ITEM-3","issue":"5","issued":{"date-parts":[["2015","9"]]},"page":"298-306","publisher":"Elsevier Ltd","title":"Immunogenicity assessment of biotherapeutic products: An overview of assays and their utility","type":"article-journal","volume":"43"},"uris":["http://www.mendeley.com/documents/?uuid=afa96980-2f5a-40a1-8cdf-07c5c4f696c0"]},{"id":"ITEM-4","itemData":{"DOI":"10.1155/2016/1298473","ISSN":"2314-8861","abstract":"Today, potential immunogenicity can be better evaluated during the drug development process, and we have rational approaches to manage the clinical consequences of immunogenicity. The focus of the scientific community should be on developing sensitive diagnostics that can predict immunogenicity-mediated adverse events in the small fraction of subjects that develop clinically relevant anti-drug antibodies. Here, we discuss the causes of immunogenicity which could be product-related (inherent property of the product or might be picked up during the manufacturing process), patient-related (genetic profile or eating habits), or linked to the route of administration. We describe various posttranslational modifications (PTMs) and how they may influence immunogenicity. Over the last three decades, we have significantly improved our understanding about the types of PTMs of biotherapeutic proteins and their association with immunogenicity. It is also now clear that all PTMs do not lead to clinical immunogenicity. We also discuss the mechanisms of immunogenicity (which include T cell-dependent and T cell-independent responses) and immunological tolerance. We further elaborate on the management of immunogenicity in preclinical and clinical setting and the unique challenges raised by biosimilars, which may have different immunogenic potential from their parent biotherapeutics.","author":[{"dropping-particle":"","family":"Kuriakose","given":"Anshu","non-dropping-particle":"","parse-names":false,"suffix":""},{"dropping-particle":"","family":"Chirmule","given":"Narendra","non-dropping-particle":"","parse-names":false,"suffix":""},{"dropping-particle":"","family":"Nair","given":"Pradip","non-dropping-particle":"","parse-names":false,"suffix":""}],"container-title":"Journal of Immunology Research","id":"ITEM-4","issued":{"date-parts":[["2016"]]},"page":"1-18","title":"Immunogenicity of Biotherapeutics: Causes and Association with Posttranslational Modifications","type":"article-journal","volume":"2016"},"uris":["http://www.mendeley.com/documents/?uuid=da81b649-27d9-4faf-b6ce-7d55c121464d"]}],"mendeley":{"formattedCitation":"&lt;sup&gt;101,107,112,113&lt;/sup&gt;","plainTextFormattedCitation":"101,107,112,113","previouslyFormattedCitation":"&lt;sup&gt;101,107,112,113&lt;/sup&gt;"},"properties":{"noteIndex":0},"schema":"https://github.com/citation-style-language/schema/raw/master/csl-citation.json"}</w:instrText>
      </w:r>
      <w:r w:rsidR="00E33B8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101,107,112,113</w:t>
      </w:r>
      <w:r w:rsidR="00E33B8C" w:rsidRPr="00922C73">
        <w:rPr>
          <w:rFonts w:ascii="Times New Roman" w:hAnsi="Times New Roman" w:cs="Times New Roman"/>
          <w:sz w:val="24"/>
          <w:szCs w:val="24"/>
        </w:rPr>
        <w:fldChar w:fldCharType="end"/>
      </w:r>
      <w:r w:rsidR="00A6750A" w:rsidRPr="00922C73">
        <w:rPr>
          <w:rFonts w:ascii="Times New Roman" w:hAnsi="Times New Roman" w:cs="Times New Roman"/>
          <w:sz w:val="24"/>
          <w:szCs w:val="24"/>
        </w:rPr>
        <w:t xml:space="preserve">. </w:t>
      </w:r>
      <w:r w:rsidR="00B00168" w:rsidRPr="00922C73">
        <w:rPr>
          <w:rFonts w:ascii="Times New Roman" w:hAnsi="Times New Roman" w:cs="Times New Roman"/>
          <w:sz w:val="24"/>
          <w:szCs w:val="24"/>
        </w:rPr>
        <w:t>Patient</w:t>
      </w:r>
      <w:r w:rsidR="00A6750A" w:rsidRPr="00922C73">
        <w:rPr>
          <w:rFonts w:ascii="Times New Roman" w:hAnsi="Times New Roman" w:cs="Times New Roman"/>
          <w:sz w:val="24"/>
          <w:szCs w:val="24"/>
        </w:rPr>
        <w:t xml:space="preserve"> related factors include immunosuppression state (reduce risk of immunogenicity if immunosuppressed), genetic deficiency with administration of </w:t>
      </w:r>
      <w:r w:rsidR="00D62815" w:rsidRPr="00922C73">
        <w:rPr>
          <w:rFonts w:ascii="Times New Roman" w:hAnsi="Times New Roman" w:cs="Times New Roman"/>
          <w:sz w:val="24"/>
          <w:szCs w:val="24"/>
        </w:rPr>
        <w:t xml:space="preserve">the </w:t>
      </w:r>
      <w:r w:rsidR="00A6750A" w:rsidRPr="00922C73">
        <w:rPr>
          <w:rFonts w:ascii="Times New Roman" w:hAnsi="Times New Roman" w:cs="Times New Roman"/>
          <w:sz w:val="24"/>
          <w:szCs w:val="24"/>
        </w:rPr>
        <w:t>replacement therapeutic protein</w:t>
      </w:r>
      <w:r w:rsidR="00D62815" w:rsidRPr="00922C73">
        <w:rPr>
          <w:rFonts w:ascii="Times New Roman" w:hAnsi="Times New Roman" w:cs="Times New Roman"/>
          <w:sz w:val="24"/>
          <w:szCs w:val="24"/>
        </w:rPr>
        <w:t xml:space="preserve"> leading to</w:t>
      </w:r>
      <w:r w:rsidR="00A6750A" w:rsidRPr="00922C73">
        <w:rPr>
          <w:rFonts w:ascii="Times New Roman" w:hAnsi="Times New Roman" w:cs="Times New Roman"/>
          <w:sz w:val="24"/>
          <w:szCs w:val="24"/>
        </w:rPr>
        <w:t xml:space="preserve"> </w:t>
      </w:r>
      <w:r w:rsidR="00D62815" w:rsidRPr="00922C73">
        <w:rPr>
          <w:rFonts w:ascii="Times New Roman" w:hAnsi="Times New Roman" w:cs="Times New Roman"/>
          <w:sz w:val="24"/>
          <w:szCs w:val="24"/>
        </w:rPr>
        <w:t xml:space="preserve">immune recognition of those proteins as “foreign” and </w:t>
      </w:r>
      <w:r w:rsidR="00B00168" w:rsidRPr="00922C73">
        <w:rPr>
          <w:rFonts w:ascii="Times New Roman" w:hAnsi="Times New Roman" w:cs="Times New Roman"/>
          <w:sz w:val="24"/>
          <w:szCs w:val="24"/>
        </w:rPr>
        <w:t>allelic variation</w:t>
      </w:r>
      <w:r w:rsidR="00D62815" w:rsidRPr="00922C73">
        <w:rPr>
          <w:rFonts w:ascii="Times New Roman" w:hAnsi="Times New Roman" w:cs="Times New Roman"/>
          <w:sz w:val="24"/>
          <w:szCs w:val="24"/>
        </w:rPr>
        <w:t>s that increase or reduce the risk of immunogenicity</w:t>
      </w:r>
      <w:r w:rsidR="00E33B8C" w:rsidRPr="00922C73">
        <w:rPr>
          <w:rFonts w:ascii="Times New Roman" w:hAnsi="Times New Roman" w:cs="Times New Roman"/>
          <w:sz w:val="24"/>
          <w:szCs w:val="24"/>
        </w:rPr>
        <w:t xml:space="preserve"> </w:t>
      </w:r>
      <w:r w:rsidR="00E33B8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{"citationItems":[{"id":"ITEM-1","itemData":{"DOI":"10.1155/2016/1298473","ISSN":"2314-8861","abstract":"Today, potential immunogenicity can be better evaluated during the drug development process, and we have rational approaches to manage the clinical consequences of immunogenicity. The focus of the scientific community should be on developing sensitive diagnostics that can predict immunogenicity-mediated adverse events in the small fraction of subjects that develop clinically relevant anti-drug antibodies. Here, we discuss the causes of immunogenicity which could be product-related (inherent property of the product or might be picked up during the manufacturing process), patient-related (genetic profile or eating habits), or linked to the route of administration. We describe various posttranslational modifications (PTMs) and how they may influence immunogenicity. Over the last three decades, we have significantly improved our understanding about the types of PTMs of biotherapeutic proteins and their association with immunogenicity. It is also now clear that all PTMs do not lead to clinical immunogenicity. We also discuss the mechanisms of immunogenicity (which include T cell-dependent and T cell-independent responses) and immunological tolerance. We further elaborate on the management of immunogenicity in preclinical and clinical setting and the unique challenges raised by biosimilars, which may have different immunogenic potential from their parent biotherapeutics.","author":[{"dropping-particle":"","family":"Kuriakose","given":"Anshu","non-dropping-particle":"","parse-names":false,"suffix":""},{"dropping-particle":"","family":"Chirmule","given":"Narendra","non-dropping-particle":"","parse-names":false,"suffix":""},{"dropping-particle":"","family":"Nair","given":"Pradip","non-dropping-particle":"","parse-names":false,"suffix":""}],"container-title":"Journal of Immunology Research","id":"ITEM-1","issued":{"date-parts":[["2016"]]},"page":"1-18","title":"Immunogenicity of Biotherapeutics: Causes and Association with Posttranslational Modifications","type":"article-journal","volume":"2016"},"uris":["http://www.mendeley.com/documents/?uuid=da81b649-27d9-4faf-b6ce-7d55c121464d"]},{"id":"ITEM-2","itemData":{"DOI":"10.1111/j.1365-2516.2006.01360.x","ISSN":"1351-8216","author":[{"dropping-particle":"","family":"ASTERMARK","given":"J.","non-dropping-particle":"","parse-names":false,"suffix":""}],"container-title":"Haemophilia","id":"ITEM-2","issue":"s6","issued":{"date-parts":[["2006","12"]]},"page":"8-14","title":"Basic aspects of inhibitors to factors VIII and IX and the influence of non-genetic risk factors","type":"article-journal","volume":"12"},"uris":["http://www.mendeley.com/documents/?uuid=5a4c593b-d3f6-440e-950b-9a6a4c1d2a65"]}],"mendeley":{"formattedCitation":"&lt;sup&gt;101,114&lt;/sup&gt;","plainTextFormattedCitation":"101,114","previouslyFormattedCitation":"&lt;sup&gt;101,114&lt;/sup&gt;"},"properties":{"noteIndex":0},"schema":"https://github.com/citation-style-language/schema/raw/master/csl-citation.json"}</w:instrText>
      </w:r>
      <w:r w:rsidR="00E33B8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101,114</w:t>
      </w:r>
      <w:r w:rsidR="00E33B8C" w:rsidRPr="00922C73">
        <w:rPr>
          <w:rFonts w:ascii="Times New Roman" w:hAnsi="Times New Roman" w:cs="Times New Roman"/>
          <w:sz w:val="24"/>
          <w:szCs w:val="24"/>
        </w:rPr>
        <w:fldChar w:fldCharType="end"/>
      </w:r>
      <w:r w:rsidR="00E33B8C" w:rsidRPr="00922C73">
        <w:rPr>
          <w:rFonts w:ascii="Times New Roman" w:hAnsi="Times New Roman" w:cs="Times New Roman"/>
          <w:sz w:val="24"/>
          <w:szCs w:val="24"/>
        </w:rPr>
        <w:t>.</w:t>
      </w:r>
      <w:r w:rsidR="00B00168" w:rsidRPr="00922C73">
        <w:rPr>
          <w:rFonts w:ascii="Times New Roman" w:hAnsi="Times New Roman" w:cs="Times New Roman"/>
          <w:sz w:val="24"/>
          <w:szCs w:val="24"/>
        </w:rPr>
        <w:t xml:space="preserve"> </w:t>
      </w:r>
      <w:r w:rsidR="00750DB6" w:rsidRPr="00922C73">
        <w:rPr>
          <w:rFonts w:ascii="Times New Roman" w:hAnsi="Times New Roman" w:cs="Times New Roman"/>
          <w:sz w:val="24"/>
          <w:szCs w:val="24"/>
        </w:rPr>
        <w:t>Short-term therapy compared to long-term treatment</w:t>
      </w:r>
      <w:r w:rsidR="007D1627" w:rsidRPr="00922C73">
        <w:rPr>
          <w:rFonts w:ascii="Times New Roman" w:hAnsi="Times New Roman" w:cs="Times New Roman"/>
          <w:sz w:val="24"/>
          <w:szCs w:val="24"/>
        </w:rPr>
        <w:t xml:space="preserve">, </w:t>
      </w:r>
      <w:r w:rsidR="00750DB6" w:rsidRPr="00922C73">
        <w:rPr>
          <w:rFonts w:ascii="Times New Roman" w:hAnsi="Times New Roman" w:cs="Times New Roman"/>
          <w:sz w:val="24"/>
          <w:szCs w:val="24"/>
        </w:rPr>
        <w:t>continuous vs intermittent administration</w:t>
      </w:r>
      <w:r w:rsidR="007D1627" w:rsidRPr="00922C73">
        <w:rPr>
          <w:rFonts w:ascii="Times New Roman" w:hAnsi="Times New Roman" w:cs="Times New Roman"/>
          <w:sz w:val="24"/>
          <w:szCs w:val="24"/>
        </w:rPr>
        <w:t xml:space="preserve"> and a higher concentration of drug compared to a lower concentration</w:t>
      </w:r>
      <w:r w:rsidR="00750DB6" w:rsidRPr="00922C73">
        <w:rPr>
          <w:rFonts w:ascii="Times New Roman" w:hAnsi="Times New Roman" w:cs="Times New Roman"/>
          <w:sz w:val="24"/>
          <w:szCs w:val="24"/>
        </w:rPr>
        <w:t xml:space="preserve"> </w:t>
      </w:r>
      <w:r w:rsidR="00570435" w:rsidRPr="00922C73">
        <w:rPr>
          <w:rFonts w:ascii="Times New Roman" w:hAnsi="Times New Roman" w:cs="Times New Roman"/>
          <w:sz w:val="24"/>
          <w:szCs w:val="24"/>
        </w:rPr>
        <w:t>are</w:t>
      </w:r>
      <w:r w:rsidR="00750DB6" w:rsidRPr="00922C73">
        <w:rPr>
          <w:rFonts w:ascii="Times New Roman" w:hAnsi="Times New Roman" w:cs="Times New Roman"/>
          <w:sz w:val="24"/>
          <w:szCs w:val="24"/>
        </w:rPr>
        <w:t xml:space="preserve"> associated with</w:t>
      </w:r>
      <w:r w:rsidR="007D1627" w:rsidRPr="00922C73">
        <w:rPr>
          <w:rFonts w:ascii="Times New Roman" w:hAnsi="Times New Roman" w:cs="Times New Roman"/>
          <w:sz w:val="24"/>
          <w:szCs w:val="24"/>
        </w:rPr>
        <w:t xml:space="preserve"> a</w:t>
      </w:r>
      <w:r w:rsidR="00750DB6" w:rsidRPr="00922C73">
        <w:rPr>
          <w:rFonts w:ascii="Times New Roman" w:hAnsi="Times New Roman" w:cs="Times New Roman"/>
          <w:sz w:val="24"/>
          <w:szCs w:val="24"/>
        </w:rPr>
        <w:t xml:space="preserve"> lower risk of immunogenicity</w:t>
      </w:r>
      <w:r w:rsidR="007D1627" w:rsidRPr="00922C73">
        <w:rPr>
          <w:rFonts w:ascii="Times New Roman" w:hAnsi="Times New Roman" w:cs="Times New Roman"/>
          <w:sz w:val="24"/>
          <w:szCs w:val="24"/>
        </w:rPr>
        <w:t xml:space="preserve"> </w:t>
      </w:r>
      <w:r w:rsidR="007D1627"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{"citationItems":[{"id":"ITEM-1","itemData":{"DOI":"10.1155/2016/1298473","ISSN":"2314-8861","abstract":"Today, potential immunogenicity can be better evaluated during the drug development process, and we have rational approaches to manage the clinical consequences of immunogenicity. The focus of the scientific community should be on developing sensitive diagnostics that can predict immunogenicity-mediated adverse events in the small fraction of subjects that develop clinically relevant anti-drug antibodies. Here, we discuss the causes of immunogenicity which could be product-related (inherent property of the product or might be picked up during the manufacturing process), patient-related (genetic profile or eating habits), or linked to the route of administration. We describe various posttranslational modifications (PTMs) and how they may influence immunogenicity. Over the last three decades, we have significantly improved our understanding about the types of PTMs of biotherapeutic proteins and their association with immunogenicity. It is also now clear that all PTMs do not lead to clinical immunogenicity. We also discuss the mechanisms of immunogenicity (which include T cell-dependent and T cell-independent responses) and immunological tolerance. We further elaborate on the management of immunogenicity in preclinical and clinical setting and the unique challenges raised by biosimilars, which may have different immunogenic potential from their parent biotherapeutics.","author":[{"dropping-particle":"","family":"Kuriakose","given":"Anshu","non-dropping-particle":"","parse-names":false,"suffix":""},{"dropping-particle":"","family":"Chirmule","given":"Narendra","non-dropping-particle":"","parse-names":false,"suffix":""},{"dropping-particle":"","family":"Nair","given":"Pradip","non-dropping-particle":"","parse-names":false,"suffix":""}],"container-title":"Journal of Immunology Research","id":"ITEM-1","issued":{"date-parts":[["2016"]]},"page":"1-18","title":"Immunogenicity of Biotherapeutics: Causes and Association with Posttranslational Modifications","type":"article-journal","volume":"2016"},"uris":["http://www.mendeley.com/documents/?uuid=da81b649-27d9-4faf-b6ce-7d55c121464d"]}],"mendeley":{"formattedCitation":"&lt;sup&gt;101&lt;/sup&gt;","plainTextFormattedCitation":"101","previouslyFormattedCitation":"&lt;sup&gt;101&lt;/sup&gt;"},"properties":{"noteIndex":0},"schema":"https://github.com/citation-style-language/schema/raw/master/csl-citation.json"}</w:instrText>
      </w:r>
      <w:r w:rsidR="007D1627"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101</w:t>
      </w:r>
      <w:r w:rsidR="007D1627" w:rsidRPr="00922C73">
        <w:rPr>
          <w:rFonts w:ascii="Times New Roman" w:hAnsi="Times New Roman" w:cs="Times New Roman"/>
          <w:sz w:val="24"/>
          <w:szCs w:val="24"/>
        </w:rPr>
        <w:fldChar w:fldCharType="end"/>
      </w:r>
      <w:r w:rsidR="00750DB6" w:rsidRPr="00922C73">
        <w:rPr>
          <w:rFonts w:ascii="Times New Roman" w:hAnsi="Times New Roman" w:cs="Times New Roman"/>
          <w:sz w:val="24"/>
          <w:szCs w:val="24"/>
        </w:rPr>
        <w:t xml:space="preserve">. </w:t>
      </w:r>
      <w:r w:rsidR="007D1627" w:rsidRPr="00922C73">
        <w:rPr>
          <w:rFonts w:ascii="Times New Roman" w:hAnsi="Times New Roman" w:cs="Times New Roman"/>
          <w:sz w:val="24"/>
          <w:szCs w:val="24"/>
        </w:rPr>
        <w:t>Route</w:t>
      </w:r>
      <w:r w:rsidR="00750DB6" w:rsidRPr="00922C73">
        <w:rPr>
          <w:rFonts w:ascii="Times New Roman" w:hAnsi="Times New Roman" w:cs="Times New Roman"/>
          <w:sz w:val="24"/>
          <w:szCs w:val="24"/>
        </w:rPr>
        <w:t xml:space="preserve"> of administration via the skin</w:t>
      </w:r>
      <w:r w:rsidR="00C148D2" w:rsidRPr="00922C73">
        <w:rPr>
          <w:rFonts w:ascii="Times New Roman" w:hAnsi="Times New Roman" w:cs="Times New Roman"/>
          <w:sz w:val="24"/>
          <w:szCs w:val="24"/>
        </w:rPr>
        <w:t xml:space="preserve"> </w:t>
      </w:r>
      <w:r w:rsidR="00750DB6" w:rsidRPr="00922C73">
        <w:rPr>
          <w:rFonts w:ascii="Times New Roman" w:hAnsi="Times New Roman" w:cs="Times New Roman"/>
          <w:sz w:val="24"/>
          <w:szCs w:val="24"/>
        </w:rPr>
        <w:t xml:space="preserve">is </w:t>
      </w:r>
      <w:r w:rsidR="0032439F" w:rsidRPr="00922C73">
        <w:rPr>
          <w:rFonts w:ascii="Times New Roman" w:hAnsi="Times New Roman" w:cs="Times New Roman"/>
          <w:sz w:val="24"/>
          <w:szCs w:val="24"/>
        </w:rPr>
        <w:t xml:space="preserve">also </w:t>
      </w:r>
      <w:r w:rsidR="00750DB6" w:rsidRPr="00922C73">
        <w:rPr>
          <w:rFonts w:ascii="Times New Roman" w:hAnsi="Times New Roman" w:cs="Times New Roman"/>
          <w:sz w:val="24"/>
          <w:szCs w:val="24"/>
        </w:rPr>
        <w:t xml:space="preserve">associated with increased immunogenicity as the skin is the largest barrier to pathogens and </w:t>
      </w:r>
      <w:r w:rsidR="007D1627" w:rsidRPr="00922C73">
        <w:rPr>
          <w:rFonts w:ascii="Times New Roman" w:hAnsi="Times New Roman" w:cs="Times New Roman"/>
          <w:sz w:val="24"/>
          <w:szCs w:val="24"/>
        </w:rPr>
        <w:t>has the immune system in close proximity</w:t>
      </w:r>
      <w:r w:rsidR="00C148D2" w:rsidRPr="00922C73">
        <w:rPr>
          <w:rFonts w:ascii="Times New Roman" w:hAnsi="Times New Roman" w:cs="Times New Roman"/>
          <w:sz w:val="24"/>
          <w:szCs w:val="24"/>
        </w:rPr>
        <w:t xml:space="preserve"> </w:t>
      </w:r>
      <w:r w:rsidR="00C148D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{"citationItems":[{"id":"ITEM-1","itemData":{"DOI":"10.1002/jps.22276","ISSN":"00223549","author":[{"dropping-particle":"","family":"Singh","given":"Satish Kumar","non-dropping-particle":"","parse-names":false,"suffix":""}],"container-title":"Journal of Pharmaceutical Sciences","id":"ITEM-1","issue":"2","issued":{"date-parts":[["2011","2"]]},"page":"354-387","title":"Impact of Product-Related Factors on Immunogenicity of Biotherapeutics","type":"article-journal","volume":"100"},"uris":["http://www.mendeley.com/documents/?uuid=77865ff5-6312-4d10-8ab3-9d46d5ae1768"]}],"mendeley":{"formattedCitation":"&lt;sup&gt;115&lt;/sup&gt;","plainTextFormattedCitation":"115","previouslyFormattedCitation":"&lt;sup&gt;115&lt;/sup&gt;"},"properties":{"noteIndex":0},"schema":"https://github.com/citation-style-language/schema/raw/master/csl-citation.json"}</w:instrText>
      </w:r>
      <w:r w:rsidR="00C148D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115</w:t>
      </w:r>
      <w:r w:rsidR="00C148D2" w:rsidRPr="00922C73">
        <w:rPr>
          <w:rFonts w:ascii="Times New Roman" w:hAnsi="Times New Roman" w:cs="Times New Roman"/>
          <w:sz w:val="24"/>
          <w:szCs w:val="24"/>
        </w:rPr>
        <w:fldChar w:fldCharType="end"/>
      </w:r>
      <w:r w:rsidR="007D1627" w:rsidRPr="00922C73">
        <w:rPr>
          <w:rFonts w:ascii="Times New Roman" w:hAnsi="Times New Roman" w:cs="Times New Roman"/>
          <w:sz w:val="24"/>
          <w:szCs w:val="24"/>
        </w:rPr>
        <w:t>.</w:t>
      </w:r>
      <w:r w:rsidR="007D1627" w:rsidRPr="00922C73">
        <w:rPr>
          <w:rFonts w:ascii="AdvTT4e89fb21" w:hAnsi="AdvTT4e89fb21" w:cs="AdvTT4e89fb21"/>
          <w:sz w:val="19"/>
          <w:szCs w:val="19"/>
        </w:rPr>
        <w:t xml:space="preserve"> </w:t>
      </w:r>
    </w:p>
    <w:p w14:paraId="3788D333" w14:textId="77777777" w:rsidR="00485056" w:rsidRPr="00922C73" w:rsidRDefault="00485056" w:rsidP="00485056">
      <w:pPr>
        <w:spacing w:line="480" w:lineRule="auto"/>
        <w:rPr>
          <w:rFonts w:ascii="AdvTT4e89fb21" w:hAnsi="AdvTT4e89fb21" w:cs="AdvTT4e89fb21"/>
          <w:sz w:val="19"/>
          <w:szCs w:val="19"/>
        </w:rPr>
      </w:pPr>
    </w:p>
    <w:p w14:paraId="078D6D96" w14:textId="4C2F36EA" w:rsidR="0046318C" w:rsidRPr="00922C73" w:rsidRDefault="009B113B" w:rsidP="00485056">
      <w:pPr>
        <w:spacing w:line="480" w:lineRule="auto"/>
        <w:rPr>
          <w:rFonts w:ascii="AdvTT4e89fb21" w:hAnsi="AdvTT4e89fb21" w:cs="AdvTT4e89fb21"/>
          <w:sz w:val="19"/>
          <w:szCs w:val="19"/>
        </w:rPr>
      </w:pPr>
      <w:r w:rsidRPr="00922C73">
        <w:rPr>
          <w:rFonts w:ascii="Times New Roman" w:hAnsi="Times New Roman" w:cs="Times New Roman"/>
          <w:sz w:val="24"/>
          <w:szCs w:val="24"/>
        </w:rPr>
        <w:t xml:space="preserve">Biotherapeutics have changed the </w:t>
      </w:r>
      <w:r w:rsidR="00485056" w:rsidRPr="00922C73">
        <w:rPr>
          <w:rFonts w:ascii="Times New Roman" w:hAnsi="Times New Roman" w:cs="Times New Roman"/>
          <w:sz w:val="24"/>
          <w:szCs w:val="24"/>
        </w:rPr>
        <w:t>management</w:t>
      </w:r>
      <w:r w:rsidRPr="00922C73">
        <w:rPr>
          <w:rFonts w:ascii="Times New Roman" w:hAnsi="Times New Roman" w:cs="Times New Roman"/>
          <w:sz w:val="24"/>
          <w:szCs w:val="24"/>
        </w:rPr>
        <w:t xml:space="preserve"> of infective, </w:t>
      </w:r>
      <w:r w:rsidR="00485056" w:rsidRPr="00922C73">
        <w:rPr>
          <w:rFonts w:ascii="Times New Roman" w:hAnsi="Times New Roman" w:cs="Times New Roman"/>
          <w:sz w:val="24"/>
          <w:szCs w:val="24"/>
        </w:rPr>
        <w:t>immunological,</w:t>
      </w:r>
      <w:r w:rsidRPr="00922C73">
        <w:rPr>
          <w:rFonts w:ascii="Times New Roman" w:hAnsi="Times New Roman" w:cs="Times New Roman"/>
          <w:sz w:val="24"/>
          <w:szCs w:val="24"/>
        </w:rPr>
        <w:t xml:space="preserve"> and oncological conditions</w:t>
      </w:r>
      <w:r w:rsidR="00485056" w:rsidRPr="00922C73">
        <w:rPr>
          <w:rFonts w:ascii="Times New Roman" w:hAnsi="Times New Roman" w:cs="Times New Roman"/>
          <w:sz w:val="24"/>
          <w:szCs w:val="24"/>
        </w:rPr>
        <w:t xml:space="preserve"> and their scope will only increase further. </w:t>
      </w:r>
      <w:r w:rsidRPr="00922C73">
        <w:rPr>
          <w:rFonts w:ascii="Times New Roman" w:hAnsi="Times New Roman" w:cs="Times New Roman"/>
          <w:sz w:val="24"/>
          <w:szCs w:val="24"/>
        </w:rPr>
        <w:t xml:space="preserve">Understanding and assessing their </w:t>
      </w:r>
      <w:r w:rsidRPr="00922C73">
        <w:rPr>
          <w:rFonts w:ascii="Times New Roman" w:hAnsi="Times New Roman" w:cs="Times New Roman"/>
          <w:sz w:val="24"/>
          <w:szCs w:val="24"/>
        </w:rPr>
        <w:lastRenderedPageBreak/>
        <w:t xml:space="preserve">potential for immunogenicity is essential </w:t>
      </w:r>
      <w:r w:rsidR="000F15C2" w:rsidRPr="00922C73">
        <w:rPr>
          <w:rFonts w:ascii="Times New Roman" w:hAnsi="Times New Roman" w:cs="Times New Roman"/>
          <w:sz w:val="24"/>
          <w:szCs w:val="24"/>
        </w:rPr>
        <w:t xml:space="preserve">to their optimal use </w:t>
      </w:r>
      <w:r w:rsidRPr="00922C73">
        <w:rPr>
          <w:rFonts w:ascii="Times New Roman" w:hAnsi="Times New Roman" w:cs="Times New Roman"/>
          <w:sz w:val="24"/>
          <w:szCs w:val="24"/>
        </w:rPr>
        <w:t xml:space="preserve">and should be considered during the drug development with a focus on </w:t>
      </w:r>
      <w:r w:rsidR="00485056" w:rsidRPr="00922C73">
        <w:rPr>
          <w:rFonts w:ascii="Times New Roman" w:hAnsi="Times New Roman" w:cs="Times New Roman"/>
          <w:sz w:val="24"/>
          <w:szCs w:val="24"/>
        </w:rPr>
        <w:t xml:space="preserve">development of standardised assays for </w:t>
      </w:r>
      <w:r w:rsidRPr="00922C73">
        <w:rPr>
          <w:rFonts w:ascii="Times New Roman" w:hAnsi="Times New Roman" w:cs="Times New Roman"/>
          <w:sz w:val="24"/>
          <w:szCs w:val="24"/>
        </w:rPr>
        <w:t xml:space="preserve">detection </w:t>
      </w:r>
      <w:r w:rsidR="00485056" w:rsidRPr="00922C73">
        <w:rPr>
          <w:rFonts w:ascii="Times New Roman" w:hAnsi="Times New Roman" w:cs="Times New Roman"/>
          <w:sz w:val="24"/>
          <w:szCs w:val="24"/>
        </w:rPr>
        <w:t xml:space="preserve">of </w:t>
      </w:r>
      <w:r w:rsidRPr="00922C73">
        <w:rPr>
          <w:rFonts w:ascii="Times New Roman" w:hAnsi="Times New Roman" w:cs="Times New Roman"/>
          <w:sz w:val="24"/>
          <w:szCs w:val="24"/>
        </w:rPr>
        <w:t>clinically relev</w:t>
      </w:r>
      <w:r w:rsidR="00485056" w:rsidRPr="00922C73">
        <w:rPr>
          <w:rFonts w:ascii="Times New Roman" w:hAnsi="Times New Roman" w:cs="Times New Roman"/>
          <w:sz w:val="24"/>
          <w:szCs w:val="24"/>
        </w:rPr>
        <w:t>ant immunogenicity.</w:t>
      </w:r>
      <w:bookmarkEnd w:id="45"/>
    </w:p>
    <w:p w14:paraId="33450974" w14:textId="77777777" w:rsidR="00485056" w:rsidRPr="00922C73" w:rsidRDefault="00485056" w:rsidP="00485056">
      <w:pPr>
        <w:spacing w:line="480" w:lineRule="auto"/>
        <w:rPr>
          <w:rFonts w:ascii="Times New Roman" w:hAnsi="Times New Roman" w:cs="Times New Roman"/>
          <w:sz w:val="24"/>
          <w:szCs w:val="24"/>
        </w:rPr>
      </w:pPr>
    </w:p>
    <w:p w14:paraId="0C81216E" w14:textId="2700192E" w:rsidR="002C7D93" w:rsidRPr="00922C73" w:rsidRDefault="004631AE" w:rsidP="002D7BEB">
      <w:pPr>
        <w:pStyle w:val="Heading2"/>
        <w:spacing w:line="480" w:lineRule="auto"/>
        <w:rPr>
          <w:rFonts w:ascii="Times New Roman" w:hAnsi="Times New Roman" w:cs="Times New Roman"/>
          <w:sz w:val="24"/>
          <w:szCs w:val="24"/>
        </w:rPr>
      </w:pPr>
      <w:bookmarkStart w:id="47" w:name="_Toc151020462"/>
      <w:r w:rsidRPr="00922C73">
        <w:rPr>
          <w:rFonts w:ascii="Times New Roman" w:hAnsi="Times New Roman" w:cs="Times New Roman"/>
          <w:sz w:val="24"/>
          <w:szCs w:val="24"/>
        </w:rPr>
        <w:t>1.</w:t>
      </w:r>
      <w:r w:rsidR="00F64D9D" w:rsidRPr="00922C73">
        <w:rPr>
          <w:rFonts w:ascii="Times New Roman" w:hAnsi="Times New Roman" w:cs="Times New Roman"/>
          <w:sz w:val="24"/>
          <w:szCs w:val="24"/>
        </w:rPr>
        <w:t>3</w:t>
      </w:r>
      <w:r w:rsidR="002D7BEB" w:rsidRPr="00922C73">
        <w:rPr>
          <w:rFonts w:ascii="Times New Roman" w:hAnsi="Times New Roman" w:cs="Times New Roman"/>
          <w:sz w:val="24"/>
          <w:szCs w:val="24"/>
        </w:rPr>
        <w:t xml:space="preserve"> </w:t>
      </w:r>
      <w:r w:rsidR="00BE0B7A" w:rsidRPr="00922C73">
        <w:rPr>
          <w:rFonts w:ascii="Times New Roman" w:hAnsi="Times New Roman" w:cs="Times New Roman"/>
          <w:sz w:val="24"/>
          <w:szCs w:val="24"/>
        </w:rPr>
        <w:t xml:space="preserve">Clinical implications of </w:t>
      </w:r>
      <w:r w:rsidR="00E11C3D" w:rsidRPr="00922C73">
        <w:rPr>
          <w:rFonts w:ascii="Times New Roman" w:hAnsi="Times New Roman" w:cs="Times New Roman"/>
          <w:sz w:val="24"/>
          <w:szCs w:val="24"/>
        </w:rPr>
        <w:t xml:space="preserve">antibodies to infliximab </w:t>
      </w:r>
      <w:r w:rsidR="00761637" w:rsidRPr="00922C73">
        <w:rPr>
          <w:rFonts w:ascii="Times New Roman" w:hAnsi="Times New Roman" w:cs="Times New Roman"/>
          <w:sz w:val="24"/>
          <w:szCs w:val="24"/>
        </w:rPr>
        <w:t>(</w:t>
      </w:r>
      <w:r w:rsidR="00406911" w:rsidRPr="00922C73">
        <w:rPr>
          <w:rFonts w:ascii="Times New Roman" w:hAnsi="Times New Roman" w:cs="Times New Roman"/>
          <w:sz w:val="24"/>
          <w:szCs w:val="24"/>
        </w:rPr>
        <w:t>A</w:t>
      </w:r>
      <w:r w:rsidR="00761637" w:rsidRPr="00922C73">
        <w:rPr>
          <w:rFonts w:ascii="Times New Roman" w:hAnsi="Times New Roman" w:cs="Times New Roman"/>
          <w:sz w:val="24"/>
          <w:szCs w:val="24"/>
        </w:rPr>
        <w:t>TI)</w:t>
      </w:r>
      <w:bookmarkEnd w:id="47"/>
    </w:p>
    <w:p w14:paraId="5D8F1A0F" w14:textId="75C9F291" w:rsidR="00D65B36" w:rsidRPr="00922C73" w:rsidRDefault="004631AE" w:rsidP="002D7BEB">
      <w:pPr>
        <w:pStyle w:val="Heading3"/>
        <w:spacing w:line="480" w:lineRule="auto"/>
        <w:rPr>
          <w:rFonts w:ascii="Times New Roman" w:hAnsi="Times New Roman" w:cs="Times New Roman"/>
          <w:b/>
          <w:bCs/>
        </w:rPr>
      </w:pPr>
      <w:bookmarkStart w:id="48" w:name="_Toc151020463"/>
      <w:r w:rsidRPr="00922C73">
        <w:rPr>
          <w:rFonts w:ascii="Times New Roman" w:hAnsi="Times New Roman" w:cs="Times New Roman"/>
          <w:b/>
          <w:bCs/>
        </w:rPr>
        <w:t>1.</w:t>
      </w:r>
      <w:r w:rsidR="00F64D9D" w:rsidRPr="00922C73">
        <w:rPr>
          <w:rFonts w:ascii="Times New Roman" w:hAnsi="Times New Roman" w:cs="Times New Roman"/>
          <w:b/>
          <w:bCs/>
        </w:rPr>
        <w:t>3</w:t>
      </w:r>
      <w:r w:rsidR="002D7BEB" w:rsidRPr="00922C73">
        <w:rPr>
          <w:rFonts w:ascii="Times New Roman" w:hAnsi="Times New Roman" w:cs="Times New Roman"/>
          <w:b/>
          <w:bCs/>
        </w:rPr>
        <w:t xml:space="preserve">.1 </w:t>
      </w:r>
      <w:r w:rsidR="00A70A32" w:rsidRPr="00922C73">
        <w:rPr>
          <w:rFonts w:ascii="Times New Roman" w:hAnsi="Times New Roman" w:cs="Times New Roman"/>
          <w:b/>
          <w:bCs/>
        </w:rPr>
        <w:t>Measurement</w:t>
      </w:r>
      <w:r w:rsidR="00BE1DE3" w:rsidRPr="00922C73">
        <w:rPr>
          <w:rFonts w:ascii="Times New Roman" w:hAnsi="Times New Roman" w:cs="Times New Roman"/>
          <w:b/>
          <w:bCs/>
        </w:rPr>
        <w:t xml:space="preserve"> of </w:t>
      </w:r>
      <w:r w:rsidR="00F64D9D" w:rsidRPr="00922C73">
        <w:rPr>
          <w:rFonts w:ascii="Times New Roman" w:hAnsi="Times New Roman" w:cs="Times New Roman"/>
          <w:b/>
          <w:bCs/>
        </w:rPr>
        <w:t>ATI</w:t>
      </w:r>
      <w:bookmarkEnd w:id="48"/>
      <w:r w:rsidR="00BE1DE3" w:rsidRPr="00922C73">
        <w:rPr>
          <w:rFonts w:ascii="Times New Roman" w:hAnsi="Times New Roman" w:cs="Times New Roman"/>
          <w:b/>
          <w:bCs/>
        </w:rPr>
        <w:t xml:space="preserve"> </w:t>
      </w:r>
    </w:p>
    <w:p w14:paraId="79DDE7EE" w14:textId="70F9B1D2" w:rsidR="008E1DF9" w:rsidRPr="00922C73" w:rsidRDefault="00BF1867" w:rsidP="004A0A47">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Worldwide</w:t>
      </w:r>
      <w:r w:rsidR="003C7225" w:rsidRPr="00922C73">
        <w:rPr>
          <w:rFonts w:ascii="Times New Roman" w:hAnsi="Times New Roman" w:cs="Times New Roman"/>
          <w:sz w:val="24"/>
          <w:szCs w:val="24"/>
        </w:rPr>
        <w:t>,</w:t>
      </w:r>
      <w:r w:rsidRPr="00922C73">
        <w:rPr>
          <w:rFonts w:ascii="Times New Roman" w:hAnsi="Times New Roman" w:cs="Times New Roman"/>
          <w:sz w:val="24"/>
          <w:szCs w:val="24"/>
        </w:rPr>
        <w:t xml:space="preserve"> different methods are used to</w:t>
      </w:r>
      <w:r w:rsidR="00E5562F" w:rsidRPr="00922C73">
        <w:rPr>
          <w:rFonts w:ascii="Times New Roman" w:hAnsi="Times New Roman" w:cs="Times New Roman"/>
          <w:sz w:val="24"/>
          <w:szCs w:val="24"/>
        </w:rPr>
        <w:t xml:space="preserve"> assess </w:t>
      </w:r>
      <w:r w:rsidR="00BD4B4B" w:rsidRPr="00922C73">
        <w:rPr>
          <w:rFonts w:ascii="Times New Roman" w:hAnsi="Times New Roman" w:cs="Times New Roman"/>
          <w:sz w:val="24"/>
          <w:szCs w:val="24"/>
        </w:rPr>
        <w:t>antibodies to</w:t>
      </w:r>
      <w:r w:rsidR="00E5562F" w:rsidRPr="00922C73">
        <w:rPr>
          <w:rFonts w:ascii="Times New Roman" w:hAnsi="Times New Roman" w:cs="Times New Roman"/>
          <w:sz w:val="24"/>
          <w:szCs w:val="24"/>
        </w:rPr>
        <w:t xml:space="preserve"> infliximab</w:t>
      </w:r>
      <w:r w:rsidR="00485056"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00485056" w:rsidRPr="00922C73">
        <w:rPr>
          <w:rFonts w:ascii="Times New Roman" w:hAnsi="Times New Roman" w:cs="Times New Roman"/>
          <w:sz w:val="24"/>
          <w:szCs w:val="24"/>
        </w:rPr>
        <w:t>C</w:t>
      </w:r>
      <w:r w:rsidRPr="00922C73">
        <w:rPr>
          <w:rFonts w:ascii="Times New Roman" w:hAnsi="Times New Roman" w:cs="Times New Roman"/>
          <w:sz w:val="24"/>
          <w:szCs w:val="24"/>
        </w:rPr>
        <w:t xml:space="preserve">ommon screening assays </w:t>
      </w:r>
      <w:r w:rsidR="00485056" w:rsidRPr="00922C73">
        <w:rPr>
          <w:rFonts w:ascii="Times New Roman" w:hAnsi="Times New Roman" w:cs="Times New Roman"/>
          <w:sz w:val="24"/>
          <w:szCs w:val="24"/>
        </w:rPr>
        <w:t>include</w:t>
      </w:r>
      <w:r w:rsidR="009843D6" w:rsidRPr="00922C73">
        <w:rPr>
          <w:rFonts w:ascii="Times New Roman" w:hAnsi="Times New Roman" w:cs="Times New Roman"/>
          <w:sz w:val="24"/>
          <w:szCs w:val="24"/>
        </w:rPr>
        <w:t xml:space="preserve"> </w:t>
      </w:r>
      <w:r w:rsidR="00E5562F" w:rsidRPr="00922C73">
        <w:rPr>
          <w:rFonts w:ascii="Times New Roman" w:hAnsi="Times New Roman" w:cs="Times New Roman"/>
          <w:sz w:val="24"/>
          <w:szCs w:val="24"/>
        </w:rPr>
        <w:t>radio-immu</w:t>
      </w:r>
      <w:r w:rsidR="00390DB6" w:rsidRPr="00922C73">
        <w:rPr>
          <w:rFonts w:ascii="Times New Roman" w:hAnsi="Times New Roman" w:cs="Times New Roman"/>
          <w:sz w:val="24"/>
          <w:szCs w:val="24"/>
        </w:rPr>
        <w:t xml:space="preserve">noassay, </w:t>
      </w:r>
      <w:r w:rsidR="00E5562F" w:rsidRPr="00922C73">
        <w:rPr>
          <w:rFonts w:ascii="Times New Roman" w:hAnsi="Times New Roman" w:cs="Times New Roman"/>
          <w:sz w:val="24"/>
          <w:szCs w:val="24"/>
        </w:rPr>
        <w:t>fluid phase mobility shift assays</w:t>
      </w:r>
      <w:r w:rsidR="009843D6" w:rsidRPr="00922C73">
        <w:rPr>
          <w:rFonts w:ascii="Times New Roman" w:hAnsi="Times New Roman" w:cs="Times New Roman"/>
          <w:sz w:val="24"/>
          <w:szCs w:val="24"/>
        </w:rPr>
        <w:t xml:space="preserve"> and ELISA</w:t>
      </w:r>
      <w:r w:rsidR="0047353C" w:rsidRPr="00922C73">
        <w:rPr>
          <w:rFonts w:ascii="Times New Roman" w:hAnsi="Times New Roman" w:cs="Times New Roman"/>
          <w:sz w:val="24"/>
          <w:szCs w:val="24"/>
        </w:rPr>
        <w:t>s</w:t>
      </w:r>
      <w:r w:rsidR="00ED4544" w:rsidRPr="00922C73">
        <w:rPr>
          <w:rFonts w:ascii="Times New Roman" w:hAnsi="Times New Roman" w:cs="Times New Roman"/>
          <w:sz w:val="24"/>
          <w:szCs w:val="24"/>
        </w:rPr>
        <w:t xml:space="preserve"> </w:t>
      </w:r>
      <w:r w:rsidR="00ED4544"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{"citationItems":[{"id":"ITEM-1","itemData":{"DOI":"10.1111/apt.12030","ISBN":"1365-2036","ISSN":"02692813","PMID":"22928581","abstract":"BACKGROUND: Formation of antibodies to infliximab (ATI) inversely correlates with functional drug levels and clinical outcome. Comparison of drug levels and anti-drug antibody monitoring is hampered by lack of standardisation.\\n\\nAIM: To determine the correlation between three different assays for measuring infliximab and ATI.\\n\\nMETHODS: Serum samples and spiked controls (total 62) were evaluated in a blinded way in infliximab and ATI assays developed by Sanquin Amsterdam, Netherlands (A), Laboratory for Pharmaceutical Biology, KU Leuven, Belgium (B) and a commercially available kit from Biomedical Diagnostics (BMD), Paris, France (C) performed by the University Medical Center Groningen (UMCG), Netherlands.\\n\\nRESULTS: All infliximab assays showed a linear quantitative correlation (Pearson r = 0.91 for A vs. B, 0.83 for A vs. C and 0.73 for B vs. C). Assay C detected infliximab in 11 samples (18%) not detected by A and B, including samples containing only ATI. All ATI assays showed a good linear correlation (Pearson r = 0.95 for A vs. B, 0.99 for A vs. C and 0.97 for B vs. C). Assay A detected ATI in five samples with low ATI that were not detected by assays B and C. Assay B did not detect ATI in three patient samples with low ATI according to assays A and C.\\n\\nCONCLUSIONS: There is a good correlation of infliximab and antibodies to infliximab measurements between these assays. Nevertheless, the Biomedical Diagnostics kit detected false positive infliximab levels in 18% of the samples.","author":[{"dropping-particle":"","family":"Casteele","given":"N.","non-dropping-particle":"Vande","parse-names":false,"suffix":""},{"dropping-particle":"","family":"Buurman","given":"D. J.","non-dropping-particle":"","parse-names":false,"suffix":""},{"dropping-particle":"","family":"Sturkenboom","given":"M. G. G.","non-dropping-particle":"","parse-names":false,"suffix":""},{"dropping-particle":"","family":"Kleibeuker","given":"J. H.","non-dropping-particle":"","parse-names":false,"suffix":""},{"dropping-particle":"","family":"Vermeire","given":"S.","non-dropping-particle":"","parse-names":false,"suffix":""},{"dropping-particle":"","family":"Rispens","given":"T.","non-dropping-particle":"","parse-names":false,"suffix":""},{"dropping-particle":"","family":"Kleij","given":"D.","non-dropping-particle":"van der","parse-names":false,"suffix":""},{"dropping-particle":"","family":"Gils","given":"A.","non-dropping-particle":"","parse-names":false,"suffix":""},{"dropping-particle":"","family":"Dijkstra","given":"G.","non-dropping-particle":"","parse-names":false,"suffix":""}],"container-title":"Alimentary Pharmacology &amp; Therapeutics","id":"ITEM-1","issue":"8","issued":{"date-parts":[["2012","10"]]},"page":"765-771","title":"Detection of infliximab levels and anti-infliximab antibodies: a comparison of three different assays","type":"article-journal","volume":"36"},"uris":["http://www.mendeley.com/documents/?uuid=9f8b647d-3861-4852-92c4-1a1c0a3f1ca4","http://www.mendeley.com/documents/?uuid=a2d9b8e5-2105-4ca6-8c9e-ccfddeb9f814","http://www.mendeley.com/documents/?uuid=08fccd93-26f0-40be-a337-1255b9c30e3a"]}],"mendeley":{"formattedCitation":"&lt;sup&gt;116&lt;/sup&gt;","plainTextFormattedCitation":"116","previouslyFormattedCitation":"&lt;sup&gt;116&lt;/sup&gt;"},"properties":{"noteIndex":0},"schema":"https://github.com/citation-style-language/schema/raw/master/csl-citation.json"}</w:instrText>
      </w:r>
      <w:r w:rsidR="00ED4544"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116</w:t>
      </w:r>
      <w:r w:rsidR="00ED4544" w:rsidRPr="00922C73">
        <w:rPr>
          <w:rFonts w:ascii="Times New Roman" w:hAnsi="Times New Roman" w:cs="Times New Roman"/>
          <w:sz w:val="24"/>
          <w:szCs w:val="24"/>
        </w:rPr>
        <w:fldChar w:fldCharType="end"/>
      </w:r>
      <w:r w:rsidR="003C6587" w:rsidRPr="00922C73">
        <w:rPr>
          <w:rFonts w:ascii="Times New Roman" w:hAnsi="Times New Roman" w:cs="Times New Roman"/>
          <w:sz w:val="24"/>
          <w:szCs w:val="24"/>
        </w:rPr>
        <w:t>.</w:t>
      </w:r>
      <w:r w:rsidR="00ED598A" w:rsidRPr="00922C73">
        <w:rPr>
          <w:rFonts w:ascii="Times New Roman" w:hAnsi="Times New Roman" w:cs="Times New Roman"/>
          <w:sz w:val="24"/>
          <w:szCs w:val="24"/>
        </w:rPr>
        <w:t xml:space="preserve"> </w:t>
      </w:r>
      <w:r w:rsidR="00736CF2" w:rsidRPr="00922C73">
        <w:rPr>
          <w:rFonts w:ascii="Times New Roman" w:hAnsi="Times New Roman" w:cs="Times New Roman"/>
          <w:sz w:val="24"/>
          <w:szCs w:val="24"/>
        </w:rPr>
        <w:t>There are lim</w:t>
      </w:r>
      <w:r w:rsidR="00E5562F" w:rsidRPr="00922C73">
        <w:rPr>
          <w:rFonts w:ascii="Times New Roman" w:hAnsi="Times New Roman" w:cs="Times New Roman"/>
          <w:sz w:val="24"/>
          <w:szCs w:val="24"/>
        </w:rPr>
        <w:t>itations</w:t>
      </w:r>
      <w:r w:rsidR="009843D6" w:rsidRPr="00922C73">
        <w:rPr>
          <w:rFonts w:ascii="Times New Roman" w:hAnsi="Times New Roman" w:cs="Times New Roman"/>
          <w:sz w:val="24"/>
          <w:szCs w:val="24"/>
        </w:rPr>
        <w:t xml:space="preserve"> in </w:t>
      </w:r>
      <w:r w:rsidR="00736CF2" w:rsidRPr="00922C73">
        <w:rPr>
          <w:rFonts w:ascii="Times New Roman" w:hAnsi="Times New Roman" w:cs="Times New Roman"/>
          <w:sz w:val="24"/>
          <w:szCs w:val="24"/>
        </w:rPr>
        <w:t>current</w:t>
      </w:r>
      <w:r w:rsidR="009843D6" w:rsidRPr="00922C73">
        <w:rPr>
          <w:rFonts w:ascii="Times New Roman" w:hAnsi="Times New Roman" w:cs="Times New Roman"/>
          <w:sz w:val="24"/>
          <w:szCs w:val="24"/>
        </w:rPr>
        <w:t xml:space="preserve"> measurement</w:t>
      </w:r>
      <w:r w:rsidR="00736CF2" w:rsidRPr="00922C73">
        <w:rPr>
          <w:rFonts w:ascii="Times New Roman" w:hAnsi="Times New Roman" w:cs="Times New Roman"/>
          <w:sz w:val="24"/>
          <w:szCs w:val="24"/>
        </w:rPr>
        <w:t>s</w:t>
      </w:r>
      <w:r w:rsidR="009843D6" w:rsidRPr="00922C73">
        <w:rPr>
          <w:rFonts w:ascii="Times New Roman" w:hAnsi="Times New Roman" w:cs="Times New Roman"/>
          <w:sz w:val="24"/>
          <w:szCs w:val="24"/>
        </w:rPr>
        <w:t xml:space="preserve"> of </w:t>
      </w:r>
      <w:r w:rsidR="00485056" w:rsidRPr="00922C73">
        <w:rPr>
          <w:rFonts w:ascii="Times New Roman" w:hAnsi="Times New Roman" w:cs="Times New Roman"/>
          <w:sz w:val="24"/>
          <w:szCs w:val="24"/>
        </w:rPr>
        <w:t>ATI</w:t>
      </w:r>
      <w:r w:rsidR="00BD4B4B" w:rsidRPr="00922C73">
        <w:rPr>
          <w:rFonts w:ascii="Times New Roman" w:hAnsi="Times New Roman" w:cs="Times New Roman"/>
          <w:sz w:val="24"/>
          <w:szCs w:val="24"/>
        </w:rPr>
        <w:t xml:space="preserve">. </w:t>
      </w:r>
      <w:r w:rsidR="008E1DF9" w:rsidRPr="00922C73">
        <w:rPr>
          <w:rFonts w:ascii="Times New Roman" w:hAnsi="Times New Roman" w:cs="Times New Roman"/>
          <w:sz w:val="24"/>
          <w:szCs w:val="24"/>
        </w:rPr>
        <w:t xml:space="preserve">Comparative studies of assays highlight their differing sensitivities in detection of ATI. A study assessing an in-house ELISA, an in-house radioimmunoassay and a commercially available ELISA did suggest a good correlation between the three assays in detection of ATI, however the in-house ELISA had lower sensitivity and did not detect ATI in 8/46 positive samples (all with low levels of ATI) </w:t>
      </w:r>
      <w:r w:rsidR="008E1DF9"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{"citationItems":[{"id":"ITEM-1","itemData":{"DOI":"10.1111/apt.12030","ISBN":"1365-2036","ISSN":"02692813","PMID":"22928581","abstract":"BACKGROUND: Formation of antibodies to infliximab (ATI) inversely correlates with functional drug levels and clinical outcome. Comparison of drug levels and anti-drug antibody monitoring is hampered by lack of standardisation.\\n\\nAIM: To determine the correlation between three different assays for measuring infliximab and ATI.\\n\\nMETHODS: Serum samples and spiked controls (total 62) were evaluated in a blinded way in infliximab and ATI assays developed by Sanquin Amsterdam, Netherlands (A), Laboratory for Pharmaceutical Biology, KU Leuven, Belgium (B) and a commercially available kit from Biomedical Diagnostics (BMD), Paris, France (C) performed by the University Medical Center Groningen (UMCG), Netherlands.\\n\\nRESULTS: All infliximab assays showed a linear quantitative correlation (Pearson r = 0.91 for A vs. B, 0.83 for A vs. C and 0.73 for B vs. C). Assay C detected infliximab in 11 samples (18%) not detected by A and B, including samples containing only ATI. All ATI assays showed a good linear correlation (Pearson r = 0.95 for A vs. B, 0.99 for A vs. C and 0.97 for B vs. C). Assay A detected ATI in five samples with low ATI that were not detected by assays B and C. Assay B did not detect ATI in three patient samples with low ATI according to assays A and C.\\n\\nCONCLUSIONS: There is a good correlation of infliximab and antibodies to infliximab measurements between these assays. Nevertheless, the Biomedical Diagnostics kit detected false positive infliximab levels in 18% of the samples.","author":[{"dropping-particle":"","family":"Casteele","given":"N.","non-dropping-particle":"Vande","parse-names":false,"suffix":""},{"dropping-particle":"","family":"Buurman","given":"D. J.","non-dropping-particle":"","parse-names":false,"suffix":""},{"dropping-particle":"","family":"Sturkenboom","given":"M. G. G.","non-dropping-particle":"","parse-names":false,"suffix":""},{"dropping-particle":"","family":"Kleibeuker","given":"J. H.","non-dropping-particle":"","parse-names":false,"suffix":""},{"dropping-particle":"","family":"Vermeire","given":"S.","non-dropping-particle":"","parse-names":false,"suffix":""},{"dropping-particle":"","family":"Rispens","given":"T.","non-dropping-particle":"","parse-names":false,"suffix":""},{"dropping-particle":"","family":"Kleij","given":"D.","non-dropping-particle":"van der","parse-names":false,"suffix":""},{"dropping-particle":"","family":"Gils","given":"A.","non-dropping-particle":"","parse-names":false,"suffix":""},{"dropping-particle":"","family":"Dijkstra","given":"G.","non-dropping-particle":"","parse-names":false,"suffix":""}],"container-title":"Alimentary Pharmacology &amp; Therapeutics","id":"ITEM-1","issue":"8","issued":{"date-parts":[["2012","10"]]},"page":"765-771","title":"Detection of infliximab levels and anti-infliximab antibodies: a comparison of three different assays","type":"article-journal","volume":"36"},"uris":["http://www.mendeley.com/documents/?uuid=08fccd93-26f0-40be-a337-1255b9c30e3a","http://www.mendeley.com/documents/?uuid=9f8b647d-3861-4852-92c4-1a1c0a3f1ca4","http://www.mendeley.com/documents/?uuid=a2d9b8e5-2105-4ca6-8c9e-ccfddeb9f814"]}],"mendeley":{"formattedCitation":"&lt;sup&gt;116&lt;/sup&gt;","plainTextFormattedCitation":"116","previouslyFormattedCitation":"&lt;sup&gt;116&lt;/sup&gt;"},"properties":{"noteIndex":0},"schema":"https://github.com/citation-style-language/schema/raw/master/csl-citation.json"}</w:instrText>
      </w:r>
      <w:r w:rsidR="008E1DF9"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116</w:t>
      </w:r>
      <w:r w:rsidR="008E1DF9" w:rsidRPr="00922C73">
        <w:rPr>
          <w:rFonts w:ascii="Times New Roman" w:hAnsi="Times New Roman" w:cs="Times New Roman"/>
          <w:sz w:val="24"/>
          <w:szCs w:val="24"/>
        </w:rPr>
        <w:fldChar w:fldCharType="end"/>
      </w:r>
      <w:r w:rsidR="008E1DF9" w:rsidRPr="00922C73">
        <w:rPr>
          <w:rFonts w:ascii="Times New Roman" w:hAnsi="Times New Roman" w:cs="Times New Roman"/>
          <w:sz w:val="24"/>
          <w:szCs w:val="24"/>
        </w:rPr>
        <w:t>.</w:t>
      </w:r>
    </w:p>
    <w:p w14:paraId="0F45DE69" w14:textId="77777777" w:rsidR="008E1DF9" w:rsidRPr="00922C73" w:rsidRDefault="008E1DF9" w:rsidP="004A0A47">
      <w:pPr>
        <w:autoSpaceDE w:val="0"/>
        <w:autoSpaceDN w:val="0"/>
        <w:adjustRightInd w:val="0"/>
        <w:spacing w:after="0" w:line="480" w:lineRule="auto"/>
        <w:rPr>
          <w:rFonts w:ascii="Times New Roman" w:hAnsi="Times New Roman" w:cs="Times New Roman"/>
          <w:sz w:val="24"/>
          <w:szCs w:val="24"/>
        </w:rPr>
      </w:pPr>
    </w:p>
    <w:p w14:paraId="2A2EE1FD" w14:textId="371A9922" w:rsidR="00363AFD" w:rsidRPr="00922C73" w:rsidRDefault="00D15343" w:rsidP="003C1152">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Sandwich and bridging ELISAs</w:t>
      </w:r>
      <w:r w:rsidR="00BD4B4B" w:rsidRPr="00922C73">
        <w:rPr>
          <w:rFonts w:ascii="Times New Roman" w:hAnsi="Times New Roman" w:cs="Times New Roman"/>
          <w:sz w:val="24"/>
          <w:szCs w:val="24"/>
        </w:rPr>
        <w:t xml:space="preserve"> are commonly used to detect ATI due to availability of commercial kits </w:t>
      </w:r>
      <w:r w:rsidR="00BD4B4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31a0f245-3a47-4438-8a67-d4882963d07c","http://www.mendeley.com/documents/?uuid=cac8a093-0a29-480a-8018-878ce8b61e6b","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00BD4B4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w:t>
      </w:r>
      <w:r w:rsidR="00BD4B4B" w:rsidRPr="00922C73">
        <w:rPr>
          <w:rFonts w:ascii="Times New Roman" w:hAnsi="Times New Roman" w:cs="Times New Roman"/>
          <w:sz w:val="24"/>
          <w:szCs w:val="24"/>
        </w:rPr>
        <w:fldChar w:fldCharType="end"/>
      </w:r>
      <w:r w:rsidR="00BD4B4B" w:rsidRPr="00922C73">
        <w:rPr>
          <w:rFonts w:ascii="Times New Roman" w:hAnsi="Times New Roman" w:cs="Times New Roman"/>
          <w:sz w:val="24"/>
          <w:szCs w:val="24"/>
        </w:rPr>
        <w:t xml:space="preserve">. </w:t>
      </w:r>
      <w:r w:rsidR="00E5562F" w:rsidRPr="00922C73">
        <w:rPr>
          <w:rFonts w:ascii="Times New Roman" w:hAnsi="Times New Roman" w:cs="Times New Roman"/>
          <w:sz w:val="24"/>
          <w:szCs w:val="24"/>
        </w:rPr>
        <w:t>I</w:t>
      </w:r>
      <w:r w:rsidR="00E45499" w:rsidRPr="00922C73">
        <w:rPr>
          <w:rFonts w:ascii="Times New Roman" w:hAnsi="Times New Roman" w:cs="Times New Roman"/>
          <w:sz w:val="24"/>
          <w:szCs w:val="24"/>
        </w:rPr>
        <w:t xml:space="preserve">nitial ELISAs </w:t>
      </w:r>
      <w:r w:rsidR="009843D6" w:rsidRPr="00922C73">
        <w:rPr>
          <w:rFonts w:ascii="Times New Roman" w:hAnsi="Times New Roman" w:cs="Times New Roman"/>
          <w:sz w:val="24"/>
          <w:szCs w:val="24"/>
        </w:rPr>
        <w:t xml:space="preserve">were </w:t>
      </w:r>
      <w:r w:rsidR="00BD4B4B" w:rsidRPr="00922C73">
        <w:rPr>
          <w:rFonts w:ascii="Times New Roman" w:hAnsi="Times New Roman" w:cs="Times New Roman"/>
          <w:sz w:val="24"/>
          <w:szCs w:val="24"/>
        </w:rPr>
        <w:t>“</w:t>
      </w:r>
      <w:r w:rsidR="009843D6" w:rsidRPr="00922C73">
        <w:rPr>
          <w:rFonts w:ascii="Times New Roman" w:hAnsi="Times New Roman" w:cs="Times New Roman"/>
          <w:sz w:val="24"/>
          <w:szCs w:val="24"/>
        </w:rPr>
        <w:t>drug sensitive</w:t>
      </w:r>
      <w:r w:rsidR="00BD4B4B" w:rsidRPr="00922C73">
        <w:rPr>
          <w:rFonts w:ascii="Times New Roman" w:hAnsi="Times New Roman" w:cs="Times New Roman"/>
          <w:sz w:val="24"/>
          <w:szCs w:val="24"/>
        </w:rPr>
        <w:t>”</w:t>
      </w:r>
      <w:r w:rsidR="009843D6" w:rsidRPr="00922C73">
        <w:rPr>
          <w:rFonts w:ascii="Times New Roman" w:hAnsi="Times New Roman" w:cs="Times New Roman"/>
          <w:sz w:val="24"/>
          <w:szCs w:val="24"/>
        </w:rPr>
        <w:t xml:space="preserve"> </w:t>
      </w:r>
      <w:r w:rsidR="00E5562F" w:rsidRPr="00922C73">
        <w:rPr>
          <w:rFonts w:ascii="Times New Roman" w:hAnsi="Times New Roman" w:cs="Times New Roman"/>
          <w:sz w:val="24"/>
          <w:szCs w:val="24"/>
        </w:rPr>
        <w:t xml:space="preserve">as the </w:t>
      </w:r>
      <w:r w:rsidRPr="00922C73">
        <w:rPr>
          <w:rFonts w:ascii="Times New Roman" w:hAnsi="Times New Roman" w:cs="Times New Roman"/>
          <w:sz w:val="24"/>
          <w:szCs w:val="24"/>
        </w:rPr>
        <w:t>ATI</w:t>
      </w:r>
      <w:r w:rsidR="00E5562F" w:rsidRPr="00922C73">
        <w:rPr>
          <w:rFonts w:ascii="Times New Roman" w:hAnsi="Times New Roman" w:cs="Times New Roman"/>
          <w:sz w:val="24"/>
          <w:szCs w:val="24"/>
        </w:rPr>
        <w:t xml:space="preserve"> could be bound by the drug giving a false negative result </w:t>
      </w:r>
      <w:r w:rsidR="00E5562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Medicine","id":"ITEM-1","issue":"7","issued":{"date-parts":[["2003","2","13"]]},"page":"601-608","title":"Influence of Immunogenicity on the Long-Term Efficacy of Infliximab in Crohn's Disease","type":"article-journal","volume":"348"},"uris":["http://www.mendeley.com/documents/?uuid=72121be2-7798-491e-9859-363ec1226430","http://www.mendeley.com/documents/?uuid=413c22be-a34e-4623-b99e-e17f8f159bc6","http://www.mendeley.com/documents/?uuid=a7f617eb-fb32-4b78-b0e6-6fa31fb61500"]},{"id":"ITEM-2","itemData":{"DOI":"10.1136/gutjnl-2012-304094","ISBN":"00175749","ISSN":"0017-5749","PMID":"24474383","abstract":"BACKGROUND: Serum infliximab trough levels correlate with efficacy; dose escalation is often beneficial in patients with Crohn's disease who stop responding to infliximab treatment.\\n\\nOBJECTIVE: To carry out a post hoc analysis of A Crohn's Disease Clinical Trial Evaluating Infliximab in a New Long-term Treatment Regimen I (ACCENT I) to evaluate the association between serum infliximab trough levels and C-reactive protein (CRP) after 14 weeks of induction treatment with durable sustained long-term response (Crohn's Disease Activity Index decrease ≥70 points and reduction ≥25% from baseline).\\n\\nDESIGN: ACCENT I was a multicentre, randomised, placebo-controlled study. Week 14 trough levels and CRP percentage decrease from baseline to week 14 were compared between patients with and without durable sustained response through week 54. Sensitivity and specificity were determined to predict durable sustained response. Receiver operating characteristic (ROC) curves identified optimal cut-off points; logistic regression determined ORs.\\n\\nRESULTS: After induction with 5 mg/kg infliximab, 25% (37/147) and 33% (47/144) of patients sustained week 14 response to infliximab 5 or 10 mg/kg, respectively, administered every 8 weeks without dose escalation, through week 54. Median week 14 trough levels of patients with and without durable sustained response to infliximab 5 mg/kg were 4.0 and 1.9 μg/mL, respectively (p=0.0331). Optimal predictors of durable sustained response to maintenance infliximab 5 mg/kg were week 14 trough level ≥3.5 µg/mL and ≥60% CRP decrease (ORs (95% CI), 3.5 (1.1 to 11.4) and 7.3 (1.4 to 36.7)), respectively, in patients with raised baseline CRP (&gt;8.0 mg/L); area under the ROC curve was 0.75 for both predictors. A ≥3.5 µg/mL week 14 infliximab serum level did not predict durable sustained response to 10 mg/kg maintenance infliximab.\\n\\nCONCLUSIONS: Patients with durable sustained response to maintenance infliximab 5 mg/kg had higher postinduction trough levels than patients without durable sustained response. Serum infliximab trough levels ≥3.5 µg/mL and ≥60% CRP decrease were significantly associated with durable sustained response.","author":[{"dropping-particle":"","family":"Cornillie","given":"Freddy","non-dropping-particle":"","parse-names":false,"suffix":""},{"dropping-particle":"","family":"Hanauer","given":"Stephen B","non-dropping-particle":"","parse-names":false,"suffix":""},{"dropping-particle":"","family":"Diamond","given":"Robert H","non-dropping-particle":"","parse-names":false,"suffix":""},{"dropping-particle":"","family":"Wang","given":"Jianping","non-dropping-particle":"","parse-names":false,"suffix":""},{"dropping-particle":"","family":"Tang","given":"Kezhen L","non-dropping-particle":"","parse-names":false,"suffix":""},{"dropping-particle":"","family":"Xu","given":"Zhenhua","non-dropping-particle":"","parse-names":false,"suffix":""},{"dropping-particle":"","family":"Rutgeerts","given":"Paul","non-dropping-particle":"","parse-names":false,"suffix":""},{"dropping-particle":"","family":"Vermeire","given":"Séverine","non-dropping-particle":"","parse-names":false,"suffix":""}],"container-title":"Gut","id":"ITEM-2","issue":"11","issued":{"date-parts":[["2014","11"]]},"page":"1721-1727","title":"Postinduction serum infliximab trough level and decrease of C-reactive protein level are associated with durable sustained response to infliximab: a retrospective analysis of the ACCENT I trial","type":"article-journal","volume":"63"},"uris":["http://www.mendeley.com/documents/?uuid=da1147a3-d021-405a-95f7-d9045ce3f883","http://www.mendeley.com/documents/?uuid=d6301d59-3e1d-4a31-ac46-ab51fdc4ca9e","http://www.mendeley.com/documents/?uuid=9d393b75-cbff-4b05-ba76-e3968d5b3585","http://www.mendeley.com/documents/?uuid=5bc1cc6e-31a5-41f4-8058-17b912329744"]},{"id":"ITEM-3","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-3","issue":"7","issued":{"date-parts":[["2015","6"]]},"page":"1320-1329.e3","title":"Trough Concentrations of Infliximab Guide Dosing for Patients With Inflammatory Bowel Disease","type":"article-journal","volume":"148"},"uris":["http://www.mendeley.com/documents/?uuid=834093e6-a268-4918-9c3d-3a109b59c2a7","http://www.mendeley.com/documents/?uuid=f1340c3c-348a-4939-ab0e-a28e1a41d540","http://www.mendeley.com/documents/?uuid=d85f8101-48db-46f1-ae15-012d1f07fe16","http://www.mendeley.com/documents/?uuid=fe4b8cc4-2ab7-4960-a991-09dacd224038"]}],"mendeley":{"formattedCitation":"&lt;sup&gt;118–120&lt;/sup&gt;","plainTextFormattedCitation":"118–120","previouslyFormattedCitation":"&lt;sup&gt;118–120&lt;/sup&gt;"},"properties":{"noteIndex":0},"schema":"https://github.com/citation-style-language/schema/raw/master/csl-citation.json"}</w:instrText>
      </w:r>
      <w:r w:rsidR="00E5562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118–120</w:t>
      </w:r>
      <w:r w:rsidR="00E5562F" w:rsidRPr="00922C73">
        <w:rPr>
          <w:rFonts w:ascii="Times New Roman" w:hAnsi="Times New Roman" w:cs="Times New Roman"/>
          <w:sz w:val="24"/>
          <w:szCs w:val="24"/>
        </w:rPr>
        <w:fldChar w:fldCharType="end"/>
      </w:r>
      <w:r w:rsidR="00E5562F" w:rsidRPr="00922C73">
        <w:rPr>
          <w:rFonts w:ascii="Times New Roman" w:hAnsi="Times New Roman" w:cs="Times New Roman"/>
          <w:sz w:val="24"/>
          <w:szCs w:val="24"/>
        </w:rPr>
        <w:t>. In its drug tolerant form, steps such as acid dissociation or wash out</w:t>
      </w:r>
      <w:r w:rsidR="002837AD" w:rsidRPr="00922C73">
        <w:rPr>
          <w:rFonts w:ascii="Times New Roman" w:hAnsi="Times New Roman" w:cs="Times New Roman"/>
          <w:sz w:val="24"/>
          <w:szCs w:val="24"/>
        </w:rPr>
        <w:t>,</w:t>
      </w:r>
      <w:r w:rsidR="00E5562F" w:rsidRPr="00922C73">
        <w:rPr>
          <w:rFonts w:ascii="Times New Roman" w:hAnsi="Times New Roman" w:cs="Times New Roman"/>
          <w:sz w:val="24"/>
          <w:szCs w:val="24"/>
        </w:rPr>
        <w:t xml:space="preserve"> </w:t>
      </w:r>
      <w:r w:rsidR="00A51777" w:rsidRPr="00922C73">
        <w:rPr>
          <w:rFonts w:ascii="Times New Roman" w:hAnsi="Times New Roman" w:cs="Times New Roman"/>
          <w:sz w:val="24"/>
          <w:szCs w:val="24"/>
        </w:rPr>
        <w:t>f</w:t>
      </w:r>
      <w:r w:rsidR="00485056" w:rsidRPr="00922C73">
        <w:rPr>
          <w:rFonts w:ascii="Times New Roman" w:hAnsi="Times New Roman" w:cs="Times New Roman"/>
          <w:sz w:val="24"/>
          <w:szCs w:val="24"/>
        </w:rPr>
        <w:t xml:space="preserve">irstly </w:t>
      </w:r>
      <w:r w:rsidR="00232DF2" w:rsidRPr="00922C73">
        <w:rPr>
          <w:rFonts w:ascii="Times New Roman" w:hAnsi="Times New Roman" w:cs="Times New Roman"/>
          <w:sz w:val="24"/>
          <w:szCs w:val="24"/>
        </w:rPr>
        <w:t>dissociate</w:t>
      </w:r>
      <w:r w:rsidR="00A51777" w:rsidRPr="00922C73">
        <w:rPr>
          <w:rFonts w:ascii="Times New Roman" w:hAnsi="Times New Roman" w:cs="Times New Roman"/>
          <w:sz w:val="24"/>
          <w:szCs w:val="24"/>
        </w:rPr>
        <w:t>s</w:t>
      </w:r>
      <w:r w:rsidR="00232DF2" w:rsidRPr="00922C73">
        <w:rPr>
          <w:rFonts w:ascii="Times New Roman" w:hAnsi="Times New Roman" w:cs="Times New Roman"/>
          <w:sz w:val="24"/>
          <w:szCs w:val="24"/>
        </w:rPr>
        <w:t xml:space="preserve"> the </w:t>
      </w:r>
      <w:r w:rsidR="00A51777" w:rsidRPr="00922C73">
        <w:rPr>
          <w:rFonts w:ascii="Times New Roman" w:hAnsi="Times New Roman" w:cs="Times New Roman"/>
          <w:sz w:val="24"/>
          <w:szCs w:val="24"/>
        </w:rPr>
        <w:t xml:space="preserve">immune </w:t>
      </w:r>
      <w:r w:rsidR="00232DF2" w:rsidRPr="00922C73">
        <w:rPr>
          <w:rFonts w:ascii="Times New Roman" w:hAnsi="Times New Roman" w:cs="Times New Roman"/>
          <w:sz w:val="24"/>
          <w:szCs w:val="24"/>
        </w:rPr>
        <w:t xml:space="preserve">complexes and </w:t>
      </w:r>
      <w:r w:rsidR="00485056" w:rsidRPr="00922C73">
        <w:rPr>
          <w:rFonts w:ascii="Times New Roman" w:hAnsi="Times New Roman" w:cs="Times New Roman"/>
          <w:sz w:val="24"/>
          <w:szCs w:val="24"/>
        </w:rPr>
        <w:t xml:space="preserve">then </w:t>
      </w:r>
      <w:r w:rsidR="00E5562F" w:rsidRPr="00922C73">
        <w:rPr>
          <w:rFonts w:ascii="Times New Roman" w:hAnsi="Times New Roman" w:cs="Times New Roman"/>
          <w:sz w:val="24"/>
          <w:szCs w:val="24"/>
        </w:rPr>
        <w:t>remove infli</w:t>
      </w:r>
      <w:r w:rsidR="003C7225" w:rsidRPr="00922C73">
        <w:rPr>
          <w:rFonts w:ascii="Times New Roman" w:hAnsi="Times New Roman" w:cs="Times New Roman"/>
          <w:sz w:val="24"/>
          <w:szCs w:val="24"/>
        </w:rPr>
        <w:t>ximab</w:t>
      </w:r>
      <w:r w:rsidR="00736CF2" w:rsidRPr="00922C73">
        <w:rPr>
          <w:rFonts w:ascii="Times New Roman" w:hAnsi="Times New Roman" w:cs="Times New Roman"/>
          <w:sz w:val="24"/>
          <w:szCs w:val="24"/>
        </w:rPr>
        <w:t>,</w:t>
      </w:r>
      <w:r w:rsidR="003C7225" w:rsidRPr="00922C73">
        <w:rPr>
          <w:rFonts w:ascii="Times New Roman" w:hAnsi="Times New Roman" w:cs="Times New Roman"/>
          <w:sz w:val="24"/>
          <w:szCs w:val="24"/>
        </w:rPr>
        <w:t xml:space="preserve"> </w:t>
      </w:r>
      <w:r w:rsidR="00736CF2" w:rsidRPr="00922C73">
        <w:rPr>
          <w:rFonts w:ascii="Times New Roman" w:hAnsi="Times New Roman" w:cs="Times New Roman"/>
          <w:sz w:val="24"/>
          <w:szCs w:val="24"/>
        </w:rPr>
        <w:t xml:space="preserve">increasing </w:t>
      </w:r>
      <w:r w:rsidR="003C7225" w:rsidRPr="00922C73">
        <w:rPr>
          <w:rFonts w:ascii="Times New Roman" w:hAnsi="Times New Roman" w:cs="Times New Roman"/>
          <w:sz w:val="24"/>
          <w:szCs w:val="24"/>
        </w:rPr>
        <w:t xml:space="preserve">the </w:t>
      </w:r>
      <w:r w:rsidR="00E5562F" w:rsidRPr="00922C73">
        <w:rPr>
          <w:rFonts w:ascii="Times New Roman" w:hAnsi="Times New Roman" w:cs="Times New Roman"/>
          <w:sz w:val="24"/>
          <w:szCs w:val="24"/>
        </w:rPr>
        <w:t>accuracy in ATI</w:t>
      </w:r>
      <w:r w:rsidR="00736CF2" w:rsidRPr="00922C73">
        <w:rPr>
          <w:rFonts w:ascii="Times New Roman" w:hAnsi="Times New Roman" w:cs="Times New Roman"/>
          <w:sz w:val="24"/>
          <w:szCs w:val="24"/>
        </w:rPr>
        <w:t xml:space="preserve"> detection</w:t>
      </w:r>
      <w:r w:rsidR="009843D6" w:rsidRPr="00922C73">
        <w:rPr>
          <w:rFonts w:ascii="Times New Roman" w:hAnsi="Times New Roman" w:cs="Times New Roman"/>
          <w:sz w:val="24"/>
          <w:szCs w:val="24"/>
        </w:rPr>
        <w:t xml:space="preserve"> </w:t>
      </w:r>
      <w:r w:rsidR="009843D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{"citationItems":[{"id":"ITEM-1","itemData":{"DOI":"10.1136/gutjnl-2014-307883","ISBN":"0017-5749","ISSN":"0017-5749","PMID":"25336114","abstract":"OBJECTIVE Although low infliximab trough concentrations and antibodies to infliximab (ATI) are associated with poor outcomes in patients with Crohn's disease (CD), the clinical relevance of ATI in patients with adequate infliximab concentrations is uncertain. We evaluated this question using an assay sensitive for identification of ATI in the presence of infliximab. DESIGN In an observational study, 1487 trough serum samples from 483 patients with CD who participated in four clinical studies of maintenance infliximab therapy were analysed using a fluid phase mobility shift assay. Infliximab and ATI concentrations most discriminant for remission, defined as a C-reactive protein concentration of ≤ 5 mg/L, were determined by receiver operating characteristic curves. A multivariable regression model evaluated these factors as independent predictors of remission. RESULTS Based upon analysis of 1487 samples, 77.1% of patients had detectable and 22.9% had undetectable infliximab concentrations, of which 9.5% and 71.8%, respectively, were positive for ATI. An infliximab concentration of &gt; 2.79 μg/mL (area under the curve (AUC) = 0.681; 95% CI 0.632 to 0.731) and ATI concentration of &lt; 3.15 U/mL (AUC = 0.632; 95% CI 0.589 to 0.676) were associated with remission. Multivariable analysis showed that concentrations of both infliximab trough (OR 1.8; 95% CI 1.3 to 2.5; p &lt; 0.001) and ATI (OR 0.57; 95% CI 0.39 to 0.81; p = 0.002) were independent predictors of remission. CONCLUSIONS The development of ATI increases the probability of active disease even at low concentrations and in the presence of a therapeutic concentration of drug during infliximab maintenance therapy. Evaluation of strategies to prevent ATI formation, including therapeutic drug monitoring with selective infliximab dose intensification, is needed.","author":[{"dropping-particle":"","family":"Casteele","given":"Niels","non-dropping-particle":"Vande","parse-names":false,"suffix":""},{"dropping-particle":"","family":"Khanna","given":"Reena","non-dropping-particle":"","parse-names":false,"suffix":""},{"dropping-particle":"","family":"Levesque","given":"Barrett G","non-dropping-particle":"","parse-names":false,"suffix":""},{"dropping-particle":"","family":"Stitt","given":"Larry","non-dropping-particle":"","parse-names":false,"suffix":""},{"dropping-particle":"","family":"Zou","given":"G Y","non-dropping-particle":"","parse-names":false,"suffix":""},{"dropping-particle":"","family":"Singh","given":"Sharat","non-dropping-particle":"","parse-names":false,"suffix":""},{"dropping-particle":"","family":"Lockton","given":"Steve","non-dropping-particle":"","parse-names":false,"suffix":""},{"dropping-particle":"","family":"Hauenstein","given":"Scott","non-dropping-particle":"","parse-names":false,"suffix":""},{"dropping-particle":"","family":"Ohrmund","given":"Linda","non-dropping-particle":"","parse-names":false,"suffix":""},{"dropping-particle":"","family":"Greenberg","given":"Gordon R","non-dropping-particle":"","parse-names":false,"suffix":""},{"dropping-particle":"","family":"Rutgeerts","given":"Paul J","non-dropping-particle":"","parse-names":false,"suffix":""},{"dropping-particle":"","family":"Gils","given":"Ann","non-dropping-particle":"","parse-names":false,"suffix":""},{"dropping-particle":"","family":"Sandborn","given":"William J","non-dropping-particle":"","parse-names":false,"suffix":""},{"dropping-particle":"","family":"Vermeire","given":"Séverine","non-dropping-particle":"","parse-names":false,"suffix":""},{"dropping-particle":"","family":"Feagan","given":"Brian G","non-dropping-particle":"","parse-names":false,"suffix":""}],"container-title":"Gut","id":"ITEM-1","issue":"10","issued":{"date-parts":[["2015","10"]]},"page":"1539-1545","title":"The relationship between infliximab concentrations, antibodies to infliximab and disease activity in Crohn's disease","type":"article-journal","volume":"64"},"uris":["http://www.mendeley.com/documents/?uuid=320e0966-9777-433f-aeff-26091f10b5e6","http://www.mendeley.com/documents/?uuid=3dac88bf-a464-420e-8f4e-bdfd5d921a93","http://www.mendeley.com/documents/?uuid=779feb1c-0258-4bcc-8e22-c9ba0e7cad4b"]},{"id":"ITEM-2","itemData":{"author":[{"dropping-particle":"","family":"Immunodiagnostik AG","given":"","non-dropping-particle":"","parse-names":false,"suffix":""}],"id":"ITEM-2","issued":{"date-parts":[["2015"]]},"title":"IDK monitor Infliximab total ADA ELISA","type":"article-journal"},"uris":["http://www.mendeley.com/documents/?uuid=f6337396-cd7f-4f3d-aec6-b19db04d2dc0","http://www.mendeley.com/documents/?uuid=cac8a093-0a29-480a-8018-878ce8b61e6b","http://www.mendeley.com/documents/?uuid=31a0f245-3a47-4438-8a67-d4882963d07c"]}],"mendeley":{"formattedCitation":"&lt;sup&gt;117,121&lt;/sup&gt;","plainTextFormattedCitation":"117,121","previouslyFormattedCitation":"&lt;sup&gt;117,121&lt;/sup&gt;"},"properties":{"noteIndex":0},"schema":"https://github.com/citation-style-language/schema/raw/master/csl-citation.json"}</w:instrText>
      </w:r>
      <w:r w:rsidR="009843D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117,121</w:t>
      </w:r>
      <w:r w:rsidR="009843D6" w:rsidRPr="00922C73">
        <w:rPr>
          <w:rFonts w:ascii="Times New Roman" w:hAnsi="Times New Roman" w:cs="Times New Roman"/>
          <w:sz w:val="24"/>
          <w:szCs w:val="24"/>
        </w:rPr>
        <w:fldChar w:fldCharType="end"/>
      </w:r>
      <w:r w:rsidR="00E5562F" w:rsidRPr="00922C73">
        <w:rPr>
          <w:rFonts w:ascii="Times New Roman" w:hAnsi="Times New Roman" w:cs="Times New Roman"/>
          <w:sz w:val="24"/>
          <w:szCs w:val="24"/>
        </w:rPr>
        <w:t>.</w:t>
      </w:r>
      <w:r w:rsidR="00E45499"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False positives are also a concern </w:t>
      </w:r>
      <w:r w:rsidR="00D940BB" w:rsidRPr="00922C73">
        <w:rPr>
          <w:rFonts w:ascii="Times New Roman" w:hAnsi="Times New Roman" w:cs="Times New Roman"/>
          <w:sz w:val="24"/>
          <w:szCs w:val="24"/>
        </w:rPr>
        <w:t xml:space="preserve">with ELISAs </w:t>
      </w:r>
      <w:r w:rsidRPr="00922C73">
        <w:rPr>
          <w:rFonts w:ascii="Times New Roman" w:hAnsi="Times New Roman" w:cs="Times New Roman"/>
          <w:sz w:val="24"/>
          <w:szCs w:val="24"/>
        </w:rPr>
        <w:t>as the presence of other immunoglobulins in the sera may lead to</w:t>
      </w:r>
      <w:r w:rsidR="00D940BB" w:rsidRPr="00922C73">
        <w:rPr>
          <w:rFonts w:ascii="Times New Roman" w:hAnsi="Times New Roman" w:cs="Times New Roman"/>
          <w:sz w:val="24"/>
          <w:szCs w:val="24"/>
        </w:rPr>
        <w:t xml:space="preserve"> aggregation, cross-linking and</w:t>
      </w:r>
      <w:r w:rsidRPr="00922C73">
        <w:rPr>
          <w:rFonts w:ascii="Times New Roman" w:hAnsi="Times New Roman" w:cs="Times New Roman"/>
          <w:sz w:val="24"/>
          <w:szCs w:val="24"/>
        </w:rPr>
        <w:t xml:space="preserve"> non-specific binding.</w:t>
      </w:r>
      <w:r w:rsidR="00472F56" w:rsidRPr="00922C73">
        <w:rPr>
          <w:rFonts w:ascii="Times New Roman" w:hAnsi="Times New Roman" w:cs="Times New Roman"/>
          <w:sz w:val="24"/>
          <w:szCs w:val="24"/>
        </w:rPr>
        <w:t xml:space="preserve"> </w:t>
      </w:r>
      <w:r w:rsidR="0041385C" w:rsidRPr="00922C73">
        <w:rPr>
          <w:rFonts w:ascii="Times New Roman" w:hAnsi="Times New Roman" w:cs="Times New Roman"/>
          <w:sz w:val="24"/>
          <w:szCs w:val="24"/>
          <w:shd w:val="clear" w:color="auto" w:fill="FFFFFF"/>
        </w:rPr>
        <w:t>Bridging ELISAs reduce the risk of non-specific binding compared to simple sandwich ELISAs but are unable to detect monovalent IgG4</w:t>
      </w:r>
      <w:r w:rsidR="003C1152" w:rsidRPr="00922C73">
        <w:rPr>
          <w:rFonts w:ascii="Times New Roman" w:hAnsi="Times New Roman" w:cs="Times New Roman"/>
          <w:sz w:val="24"/>
          <w:szCs w:val="24"/>
          <w:shd w:val="clear" w:color="auto" w:fill="FFFFFF"/>
        </w:rPr>
        <w:t xml:space="preserve"> </w:t>
      </w:r>
      <w:r w:rsidR="003C1152"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10.1373/clinchem.2015.242875","ISSN":"0009-9147","author":[{"dropping-particle":"","family":"Lázár-Molnár","given":"Eszter","non-dropping-particle":"","parse-names":false,"suffix":""},{"dropping-particle":"","family":"Delgado","given":"Julio C","non-dropping-particle":"","parse-names":false,"suffix":""}],"container-title":"Clinical Chemistry","id":"ITEM-1","issue":"9","issued":{"date-parts":[["2016","9","1"]]},"page":"1186-1198","title":"Immunogenicity Assessment of Tumor Necrosis Factor Antagonists in the Clinical Laboratory","type":"article-journal","volume":"62"},"uris":["http://www.mendeley.com/documents/?uuid=67197bc0-6889-4e35-a75e-4fd4b040113e"]}],"mendeley":{"formattedCitation":"&lt;sup&gt;122&lt;/sup&gt;","plainTextFormattedCitation":"122","previouslyFormattedCitation":"&lt;sup&gt;122&lt;/sup&gt;"},"properties":{"noteIndex":0},"schema":"https://github.com/citation-style-language/schema/raw/master/csl-citation.json"}</w:instrText>
      </w:r>
      <w:r w:rsidR="003C1152"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122</w:t>
      </w:r>
      <w:r w:rsidR="003C1152" w:rsidRPr="00922C73">
        <w:rPr>
          <w:rFonts w:ascii="Times New Roman" w:hAnsi="Times New Roman" w:cs="Times New Roman"/>
          <w:sz w:val="24"/>
          <w:szCs w:val="24"/>
          <w:shd w:val="clear" w:color="auto" w:fill="FFFFFF"/>
        </w:rPr>
        <w:fldChar w:fldCharType="end"/>
      </w:r>
      <w:r w:rsidR="0041385C" w:rsidRPr="00922C73">
        <w:rPr>
          <w:rFonts w:ascii="Times New Roman" w:hAnsi="Times New Roman" w:cs="Times New Roman"/>
          <w:sz w:val="24"/>
          <w:szCs w:val="24"/>
          <w:shd w:val="clear" w:color="auto" w:fill="FFFFFF"/>
        </w:rPr>
        <w:t>.</w:t>
      </w:r>
      <w:r w:rsidR="008E1DF9" w:rsidRPr="00922C73">
        <w:rPr>
          <w:rFonts w:ascii="Times New Roman" w:hAnsi="Times New Roman" w:cs="Times New Roman"/>
          <w:sz w:val="24"/>
          <w:szCs w:val="24"/>
        </w:rPr>
        <w:t xml:space="preserve"> A study of three ELISAs showed one commercial bridging assay could not detect 29% of ATI positive samples in the presence of infliximab or if the ATI consisted of a high concentration of IgG4 </w:t>
      </w:r>
      <w:r w:rsidR="008E1DF9"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{"citationItems":[{"id":"ITEM-1","itemData":{"DOI":"10.1111/imr.12349","ISSN":"01052896","author":[{"dropping-particle":"","family":"Davies","given":"Anna M","non-dropping-particle":"","parse-names":false,"suffix":""},{"dropping-particle":"","family":"Sutton","given":"Brian J","non-dropping-particle":"","parse-names":false,"suffix":""}],"container-title":"Immunological Reviews","id":"ITEM-1","issue":"1","issued":{"date-parts":[["2015","11"]]},"page":"139-159","title":"Human IgG4: a structural perspective","type":"article-journal","volume":"268"},"uris":["http://www.mendeley.com/documents/?uuid=a9aec0ae-5f12-4305-94e4-f672b7fcc96d","http://www.mendeley.com/documents/?uuid=3fc2fcbc-7263-4a41-9c94-213edb8ff986","http://www.mendeley.com/documents/?uuid=83103e36-e007-4ca8-b434-4b369bd963de"]},{"id":"ITEM-2","itemData":{"DOI":"10.1177/1756283X16658223","ISSN":"1756-283X","PMID":"27803733","abstract":"BACKGROUND There is scant information on the accuracy of different assays used to measure anti-infliximab antibodies (ADAs), especially in the presence of detectable infliximab (IFX). We thus aimed to evaluate and compare three different assays for the detection of IFX and ADAs and to clarify the impact of the presence of circulating IFX on the accuracy of the ADA assays. METHODS Blood samples from 79 ulcerative colitis (UC) patients treated with infliximab were assessed for IFX levels and ADAs using three different assays: an in-house assay and two commercial kits, Immundiagnostik and Theradiag. Sera samples with ADAs and undetectable levels of IFX were spiked with exogenous IFX and analyzed for ADAs. RESULTS The three assays showed 81-96% agreement for the measured IFX level. However, the in-house assay and Immundiagnostik assays detected ADAs in 34 out of 79 samples, whereas Theradiag only detected ADAs in 24 samples. Samples negative for ADAs with Theradiag, but ADA-positive in both the in-house and Immundiagnostik assays, were positive for IFX or IgG4 ADAs. In spiking experiments, a low concentration of exogenous IFX (5 µg/ml) hampered ADA detection with Theradiag in sera samples with ADA levels of between 3 and 10 µg/ml. In the Immundiagnostik assay detection interference was only observed at concentrations of exogenous IFX higher than 30 µg/ml. However, in samples with high levels of ADAs (&gt;25 µg/ml) interference was only observed at IFX concentrations higher than 100 µg/ml in all three assays. Binary (IFX/ADA) stratification of the results showed that IFX+/ADA- and IFX-/ADAs+ were less influenced by the assay results than the double-positive (IFX+/ADAs+) and double-negative (IFX-/ADAs-) combination. CONCLUSIONS All three methodologies are equally suitable for measuring IFX levels. However, erroneous therapeutic decisions may occur when patients show double-negative (IFX-/ADAs-) or double-positive (IFX+/ADAs+) status, since agreement between assays is significantly lower in these circumstances.","author":[{"dropping-particle":"","family":"Afonso","given":"Joana","non-dropping-particle":"","parse-names":false,"suffix":""},{"dropping-particle":"","family":"Lopes","given":"Susana","non-dropping-particle":"","parse-names":false,"suffix":""},{"dropping-particle":"","family":"Gonçalves","given":"Raquel","non-dropping-particle":"","parse-names":false,"suffix":""},{"dropping-particle":"","family":"Caldeira","given":"Paulo","non-dropping-particle":"","parse-names":false,"suffix":""},{"dropping-particle":"","family":"Lago","given":"Paula","non-dropping-particle":"","parse-names":false,"suffix":""},{"dropping-particle":"","family":"Tavares de Sousa","given":"Helena","non-dropping-particle":"","parse-names":false,"suffix":""},{"dropping-particle":"","family":"Ramos","given":"Jaime","non-dropping-particle":"","parse-names":false,"suffix":""},{"dropping-particle":"","family":"Gonçalves","given":"Ana Rita","non-dropping-particle":"","parse-names":false,"suffix":""},{"dropping-particle":"","family":"Ministro","given":"Paula","non-dropping-particle":"","parse-names":false,"suffix":""},{"dropping-particle":"","family":"Rosa","given":"Isadora","non-dropping-particle":"","parse-names":false,"suffix":""},{"dropping-particle":"","family":"Vieira","given":"Ana Isabel","non-dropping-particle":"","parse-names":false,"suffix":""},{"dropping-particle":"","family":"Coelho","given":"Rosa","non-dropping-particle":"","parse-names":false,"suffix":""},{"dropping-particle":"","family":"Tavares","given":"Patrícia","non-dropping-particle":"","parse-names":false,"suffix":""},{"dropping-particle":"","family":"Soares","given":"João","non-dropping-particle":"","parse-names":false,"suffix":""},{"dropping-particle":"","family":"Sousa","given":"Ana Lúcia","non-dropping-particle":"","parse-names":false,"suffix":""},{"dropping-particle":"","family":"Carvalho","given":"Diana","non-dropping-particle":"","parse-names":false,"suffix":""},{"dropping-particle":"","family":"Sousa","given":"Paula","non-dropping-particle":"","parse-names":false,"suffix":""},{"dropping-particle":"","family":"Silva","given":"João Pereira","non-dropping-particle":"da","parse-names":false,"suffix":""},{"dropping-particle":"","family":"Meira","given":"Tânia","non-dropping-particle":"","parse-names":false,"suffix":""},{"dropping-particle":"","family":"Silva Ferreira","given":"Filipa","non-dropping-particle":"","parse-names":false,"suffix":""},{"dropping-particle":"","family":"Dias","given":"Cláudia Camila","non-dropping-particle":"","parse-names":false,"suffix":""},{"dropping-particle":"","family":"Chowers","given":"Yehuda","non-dropping-particle":"","parse-names":false,"suffix":""},{"dropping-particle":"","family":"Ben-Horin","given":"Shomron","non-dropping-particle":"","parse-names":false,"suffix":""},{"dropping-particle":"","family":"Magro","given":"Fernando","non-dropping-particle":"","parse-names":false,"suffix":""}],"container-title":"Therapeutic Advances in Gastroenterology","id":"ITEM-2","issue":"6","issued":{"date-parts":[["2016","11"]]},"page":"781-794","title":"Detection of anti-infliximab antibodies is impacted by antibody titer, infliximab level and IgG4 antibodies: a systematic comparison of three different assays","type":"article-journal","volume":"9"},"uris":["http://www.mendeley.com/documents/?uuid=d1eebcd3-f1f1-44ea-8039-77763d58e05c","http://www.mendeley.com/documents/?uuid=99a19570-b7bc-4231-8e79-8d014225c2a0","http://www.mendeley.com/documents/?uuid=fcfd99c6-6bf3-4d17-a9db-b0279c8403ee"]}],"mendeley":{"formattedCitation":"&lt;sup&gt;123,124&lt;/sup&gt;","plainTextFormattedCitation":"123,124","previouslyFormattedCitation":"&lt;sup&gt;123,124&lt;/sup&gt;"},"properties":{"noteIndex":0},"schema":"https://github.com/citation-style-language/schema/raw/master/csl-citation.json"}</w:instrText>
      </w:r>
      <w:r w:rsidR="008E1DF9"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123,124</w:t>
      </w:r>
      <w:r w:rsidR="008E1DF9" w:rsidRPr="00922C73">
        <w:rPr>
          <w:rFonts w:ascii="Times New Roman" w:hAnsi="Times New Roman" w:cs="Times New Roman"/>
          <w:sz w:val="24"/>
          <w:szCs w:val="24"/>
        </w:rPr>
        <w:fldChar w:fldCharType="end"/>
      </w:r>
      <w:r w:rsidR="008E1DF9" w:rsidRPr="00922C73">
        <w:rPr>
          <w:rFonts w:ascii="Times New Roman" w:hAnsi="Times New Roman" w:cs="Times New Roman"/>
          <w:sz w:val="24"/>
          <w:szCs w:val="24"/>
        </w:rPr>
        <w:t xml:space="preserve">. </w:t>
      </w:r>
      <w:r w:rsidR="004A0A47" w:rsidRPr="00922C73">
        <w:rPr>
          <w:rFonts w:ascii="Times New Roman" w:hAnsi="Times New Roman" w:cs="Times New Roman"/>
          <w:sz w:val="24"/>
          <w:szCs w:val="24"/>
          <w:shd w:val="clear" w:color="auto" w:fill="FFFFFF"/>
        </w:rPr>
        <w:t xml:space="preserve"> </w:t>
      </w:r>
      <w:r w:rsidR="004A0A47" w:rsidRPr="00922C73">
        <w:rPr>
          <w:rFonts w:ascii="Times New Roman" w:hAnsi="Times New Roman" w:cs="Times New Roman"/>
          <w:sz w:val="24"/>
          <w:szCs w:val="24"/>
          <w:shd w:val="clear" w:color="auto" w:fill="FFFFFF"/>
        </w:rPr>
        <w:lastRenderedPageBreak/>
        <w:t xml:space="preserve">Mobility shift assays </w:t>
      </w:r>
      <w:r w:rsidR="005469F8" w:rsidRPr="00922C73">
        <w:rPr>
          <w:rFonts w:ascii="Times New Roman" w:hAnsi="Times New Roman" w:cs="Times New Roman"/>
          <w:sz w:val="24"/>
          <w:szCs w:val="24"/>
          <w:shd w:val="clear" w:color="auto" w:fill="FFFFFF"/>
        </w:rPr>
        <w:t xml:space="preserve">incorporates acid-dissociation of immune complexes and </w:t>
      </w:r>
      <w:r w:rsidR="004A0A47" w:rsidRPr="00922C73">
        <w:rPr>
          <w:rFonts w:ascii="Times New Roman" w:hAnsi="Times New Roman" w:cs="Times New Roman"/>
          <w:sz w:val="24"/>
          <w:szCs w:val="24"/>
          <w:shd w:val="clear" w:color="auto" w:fill="FFFFFF"/>
        </w:rPr>
        <w:t xml:space="preserve">detects ATI using a </w:t>
      </w:r>
      <w:r w:rsidR="004A0A47" w:rsidRPr="00922C73">
        <w:rPr>
          <w:rFonts w:ascii="Times New Roman" w:eastAsia="Times New Roman" w:hAnsi="Times New Roman" w:cs="Times New Roman"/>
          <w:sz w:val="24"/>
          <w:szCs w:val="24"/>
          <w:lang w:eastAsia="en-GB"/>
        </w:rPr>
        <w:t>fluorescently labelled drug</w:t>
      </w:r>
      <w:r w:rsidR="005469F8" w:rsidRPr="00922C73">
        <w:rPr>
          <w:rFonts w:ascii="Times New Roman" w:eastAsia="Times New Roman" w:hAnsi="Times New Roman" w:cs="Times New Roman"/>
          <w:sz w:val="24"/>
          <w:szCs w:val="24"/>
          <w:lang w:eastAsia="en-GB"/>
        </w:rPr>
        <w:t xml:space="preserve"> in a liquid phase.</w:t>
      </w:r>
      <w:r w:rsidR="004A0A47" w:rsidRPr="00922C73">
        <w:rPr>
          <w:rFonts w:ascii="Times New Roman" w:eastAsia="Times New Roman" w:hAnsi="Times New Roman" w:cs="Times New Roman"/>
          <w:sz w:val="24"/>
          <w:szCs w:val="24"/>
          <w:lang w:eastAsia="en-GB"/>
        </w:rPr>
        <w:t xml:space="preserve"> </w:t>
      </w:r>
      <w:r w:rsidR="005469F8" w:rsidRPr="00922C73">
        <w:rPr>
          <w:rFonts w:ascii="Times New Roman" w:eastAsia="Times New Roman" w:hAnsi="Times New Roman" w:cs="Times New Roman"/>
          <w:sz w:val="24"/>
          <w:szCs w:val="24"/>
          <w:lang w:eastAsia="en-GB"/>
        </w:rPr>
        <w:t xml:space="preserve">The </w:t>
      </w:r>
      <w:r w:rsidR="004A0A47" w:rsidRPr="00922C73">
        <w:rPr>
          <w:rFonts w:ascii="Times New Roman" w:eastAsia="Times New Roman" w:hAnsi="Times New Roman" w:cs="Times New Roman"/>
          <w:sz w:val="24"/>
          <w:szCs w:val="24"/>
          <w:lang w:eastAsia="en-GB"/>
        </w:rPr>
        <w:t xml:space="preserve">detection is via </w:t>
      </w:r>
      <w:r w:rsidR="005469F8" w:rsidRPr="00922C73">
        <w:rPr>
          <w:rFonts w:ascii="Times New Roman" w:hAnsi="Times New Roman" w:cs="Times New Roman"/>
          <w:sz w:val="24"/>
          <w:szCs w:val="24"/>
          <w:shd w:val="clear" w:color="auto" w:fill="FFFFFF"/>
        </w:rPr>
        <w:t>h</w:t>
      </w:r>
      <w:r w:rsidR="004A0A47" w:rsidRPr="00922C73">
        <w:rPr>
          <w:rFonts w:ascii="Times New Roman" w:hAnsi="Times New Roman" w:cs="Times New Roman"/>
          <w:sz w:val="24"/>
          <w:szCs w:val="24"/>
          <w:shd w:val="clear" w:color="auto" w:fill="FFFFFF"/>
        </w:rPr>
        <w:t>igh-performance liquid chromatography</w:t>
      </w:r>
      <w:r w:rsidR="004A0A47" w:rsidRPr="00922C73">
        <w:rPr>
          <w:rFonts w:ascii="Times New Roman" w:eastAsia="Times New Roman" w:hAnsi="Times New Roman" w:cs="Times New Roman"/>
          <w:sz w:val="24"/>
          <w:szCs w:val="24"/>
          <w:lang w:eastAsia="en-GB"/>
        </w:rPr>
        <w:t xml:space="preserve"> which allows separation by size</w:t>
      </w:r>
      <w:r w:rsidR="005469F8" w:rsidRPr="00922C73">
        <w:rPr>
          <w:rFonts w:ascii="Times New Roman" w:eastAsia="Times New Roman" w:hAnsi="Times New Roman" w:cs="Times New Roman"/>
          <w:sz w:val="24"/>
          <w:szCs w:val="24"/>
          <w:lang w:eastAsia="en-GB"/>
        </w:rPr>
        <w:t xml:space="preserve"> of particles</w:t>
      </w:r>
      <w:r w:rsidR="004A0A47" w:rsidRPr="00922C73">
        <w:rPr>
          <w:rFonts w:ascii="Times New Roman" w:eastAsia="Times New Roman" w:hAnsi="Times New Roman" w:cs="Times New Roman"/>
          <w:sz w:val="24"/>
          <w:szCs w:val="24"/>
          <w:lang w:eastAsia="en-GB"/>
        </w:rPr>
        <w:t xml:space="preserve">, </w:t>
      </w:r>
      <w:r w:rsidR="005469F8" w:rsidRPr="00922C73">
        <w:rPr>
          <w:rFonts w:ascii="Times New Roman" w:eastAsia="Times New Roman" w:hAnsi="Times New Roman" w:cs="Times New Roman"/>
          <w:sz w:val="24"/>
          <w:szCs w:val="24"/>
          <w:lang w:eastAsia="en-GB"/>
        </w:rPr>
        <w:t>distinguishing</w:t>
      </w:r>
      <w:r w:rsidR="004A0A47" w:rsidRPr="00922C73">
        <w:rPr>
          <w:rFonts w:ascii="Times New Roman" w:eastAsia="Times New Roman" w:hAnsi="Times New Roman" w:cs="Times New Roman"/>
          <w:sz w:val="24"/>
          <w:szCs w:val="24"/>
          <w:lang w:eastAsia="en-GB"/>
        </w:rPr>
        <w:t xml:space="preserve"> antibody-bound labelled drug</w:t>
      </w:r>
      <w:r w:rsidR="005469F8" w:rsidRPr="00922C73">
        <w:rPr>
          <w:rFonts w:ascii="Times New Roman" w:eastAsia="Times New Roman" w:hAnsi="Times New Roman" w:cs="Times New Roman"/>
          <w:sz w:val="24"/>
          <w:szCs w:val="24"/>
          <w:lang w:eastAsia="en-GB"/>
        </w:rPr>
        <w:t xml:space="preserve"> from free labelled drug</w:t>
      </w:r>
      <w:r w:rsidR="003C1152" w:rsidRPr="00922C73">
        <w:rPr>
          <w:rFonts w:ascii="Times New Roman" w:eastAsia="Times New Roman" w:hAnsi="Times New Roman" w:cs="Times New Roman"/>
          <w:sz w:val="24"/>
          <w:szCs w:val="24"/>
          <w:lang w:eastAsia="en-GB"/>
        </w:rPr>
        <w:t xml:space="preserve"> </w:t>
      </w:r>
      <w:r w:rsidR="003C1152"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10.1373/clinchem.2015.242875","ISSN":"0009-9147","author":[{"dropping-particle":"","family":"Lázár-Molnár","given":"Eszter","non-dropping-particle":"","parse-names":false,"suffix":""},{"dropping-particle":"","family":"Delgado","given":"Julio C","non-dropping-particle":"","parse-names":false,"suffix":""}],"container-title":"Clinical Chemistry","id":"ITEM-1","issue":"9","issued":{"date-parts":[["2016","9","1"]]},"page":"1186-1198","title":"Immunogenicity Assessment of Tumor Necrosis Factor Antagonists in the Clinical Laboratory","type":"article-journal","volume":"62"},"uris":["http://www.mendeley.com/documents/?uuid=67197bc0-6889-4e35-a75e-4fd4b040113e"]},{"id":"ITEM-2","itemData":{"DOI":"10.1016/j.jim.2012.06.002","ISSN":"00221759","author":[{"dropping-particle":"","family":"Wang","given":"Shui-Long","non-dropping-particle":"","parse-names":false,"suffix":""},{"dropping-particle":"","family":"Ohrmund","given":"Linda","non-dropping-particle":"","parse-names":false,"suffix":""},{"dropping-particle":"","family":"Hauenstein","given":"Scott","non-dropping-particle":"","parse-names":false,"suffix":""},{"dropping-particle":"","family":"Salbato","given":"Jared","non-dropping-particle":"","parse-names":false,"suffix":""},{"dropping-particle":"","family":"Reddy","given":"Rukmini","non-dropping-particle":"","parse-names":false,"suffix":""},{"dropping-particle":"","family":"Monk","given":"Patrick","non-dropping-particle":"","parse-names":false,"suffix":""},{"dropping-particle":"","family":"Lockton","given":"Steven","non-dropping-particle":"","parse-names":false,"suffix":""},{"dropping-particle":"","family":"Ling","given":"Nicholas","non-dropping-particle":"","parse-names":false,"suffix":""},{"dropping-particle":"","family":"Singh","given":"Sharat","non-dropping-particle":"","parse-names":false,"suffix":""}],"container-title":"Journal of Immunological Methods","id":"ITEM-2","issue":"1-2","issued":{"date-parts":[["2012","8"]]},"page":"177-188","title":"Development and validation of a homogeneous mobility shift assay for the measurement of infliximab and antibodies-to-infliximab levels in patient serum","type":"article-journal","volume":"382"},"uris":["http://www.mendeley.com/documents/?uuid=1f869e29-8109-4e34-a406-75d78fcb552c"]}],"mendeley":{"formattedCitation":"&lt;sup&gt;122,125&lt;/sup&gt;","plainTextFormattedCitation":"122,125","previouslyFormattedCitation":"&lt;sup&gt;122,125&lt;/sup&gt;"},"properties":{"noteIndex":0},"schema":"https://github.com/citation-style-language/schema/raw/master/csl-citation.json"}</w:instrText>
      </w:r>
      <w:r w:rsidR="003C1152"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122,125</w:t>
      </w:r>
      <w:r w:rsidR="003C1152" w:rsidRPr="00922C73">
        <w:rPr>
          <w:rFonts w:ascii="Times New Roman" w:eastAsia="Times New Roman" w:hAnsi="Times New Roman" w:cs="Times New Roman"/>
          <w:sz w:val="24"/>
          <w:szCs w:val="24"/>
          <w:lang w:eastAsia="en-GB"/>
        </w:rPr>
        <w:fldChar w:fldCharType="end"/>
      </w:r>
      <w:r w:rsidR="004A0A47" w:rsidRPr="00922C73">
        <w:rPr>
          <w:rFonts w:ascii="Times New Roman" w:eastAsia="Times New Roman" w:hAnsi="Times New Roman" w:cs="Times New Roman"/>
          <w:sz w:val="24"/>
          <w:szCs w:val="24"/>
          <w:lang w:eastAsia="en-GB"/>
        </w:rPr>
        <w:t>.</w:t>
      </w:r>
      <w:r w:rsidR="005469F8" w:rsidRPr="00922C73">
        <w:rPr>
          <w:rFonts w:ascii="Times New Roman" w:eastAsia="Times New Roman" w:hAnsi="Times New Roman" w:cs="Times New Roman"/>
          <w:sz w:val="24"/>
          <w:szCs w:val="24"/>
          <w:lang w:eastAsia="en-GB"/>
        </w:rPr>
        <w:t xml:space="preserve"> Mobility shift assays are less affected by non-specific binding, are drug tolerant, but are </w:t>
      </w:r>
      <w:r w:rsidR="002837AD" w:rsidRPr="00922C73">
        <w:rPr>
          <w:rFonts w:ascii="Times New Roman" w:eastAsia="Times New Roman" w:hAnsi="Times New Roman" w:cs="Times New Roman"/>
          <w:sz w:val="24"/>
          <w:szCs w:val="24"/>
          <w:lang w:eastAsia="en-GB"/>
        </w:rPr>
        <w:t xml:space="preserve">more </w:t>
      </w:r>
      <w:r w:rsidR="005469F8" w:rsidRPr="00922C73">
        <w:rPr>
          <w:rFonts w:ascii="Times New Roman" w:eastAsia="Times New Roman" w:hAnsi="Times New Roman" w:cs="Times New Roman"/>
          <w:sz w:val="24"/>
          <w:szCs w:val="24"/>
          <w:lang w:eastAsia="en-GB"/>
        </w:rPr>
        <w:t>complex and expensive due to fluorescent labelling</w:t>
      </w:r>
      <w:r w:rsidR="00AF0D51" w:rsidRPr="00922C73">
        <w:rPr>
          <w:rFonts w:ascii="Times New Roman" w:eastAsia="Times New Roman" w:hAnsi="Times New Roman" w:cs="Times New Roman"/>
          <w:sz w:val="24"/>
          <w:szCs w:val="24"/>
          <w:lang w:eastAsia="en-GB"/>
        </w:rPr>
        <w:t xml:space="preserve"> </w:t>
      </w:r>
      <w:r w:rsidR="00AF0D51"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10.1016/j.jim.2012.06.002","ISSN":"00221759","author":[{"dropping-particle":"","family":"Wang","given":"Shui-Long","non-dropping-particle":"","parse-names":false,"suffix":""},{"dropping-particle":"","family":"Ohrmund","given":"Linda","non-dropping-particle":"","parse-names":false,"suffix":""},{"dropping-particle":"","family":"Hauenstein","given":"Scott","non-dropping-particle":"","parse-names":false,"suffix":""},{"dropping-particle":"","family":"Salbato","given":"Jared","non-dropping-particle":"","parse-names":false,"suffix":""},{"dropping-particle":"","family":"Reddy","given":"Rukmini","non-dropping-particle":"","parse-names":false,"suffix":""},{"dropping-particle":"","family":"Monk","given":"Patrick","non-dropping-particle":"","parse-names":false,"suffix":""},{"dropping-particle":"","family":"Lockton","given":"Steven","non-dropping-particle":"","parse-names":false,"suffix":""},{"dropping-particle":"","family":"Ling","given":"Nicholas","non-dropping-particle":"","parse-names":false,"suffix":""},{"dropping-particle":"","family":"Singh","given":"Sharat","non-dropping-particle":"","parse-names":false,"suffix":""}],"container-title":"Journal of Immunological Methods","id":"ITEM-1","issue":"1-2","issued":{"date-parts":[["2012","8"]]},"page":"177-188","title":"Development and validation of a homogeneous mobility shift assay for the measurement of infliximab and antibodies-to-infliximab levels in patient serum","type":"article-journal","volume":"382"},"uris":["http://www.mendeley.com/documents/?uuid=1f869e29-8109-4e34-a406-75d78fcb552c"]}],"mendeley":{"formattedCitation":"&lt;sup&gt;125&lt;/sup&gt;","plainTextFormattedCitation":"125","previouslyFormattedCitation":"&lt;sup&gt;125&lt;/sup&gt;"},"properties":{"noteIndex":0},"schema":"https://github.com/citation-style-language/schema/raw/master/csl-citation.json"}</w:instrText>
      </w:r>
      <w:r w:rsidR="00AF0D51"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125</w:t>
      </w:r>
      <w:r w:rsidR="00AF0D51" w:rsidRPr="00922C73">
        <w:rPr>
          <w:rFonts w:ascii="Times New Roman" w:eastAsia="Times New Roman" w:hAnsi="Times New Roman" w:cs="Times New Roman"/>
          <w:sz w:val="24"/>
          <w:szCs w:val="24"/>
          <w:lang w:eastAsia="en-GB"/>
        </w:rPr>
        <w:fldChar w:fldCharType="end"/>
      </w:r>
      <w:r w:rsidR="005469F8" w:rsidRPr="00922C73">
        <w:rPr>
          <w:rFonts w:ascii="Times New Roman" w:eastAsia="Times New Roman" w:hAnsi="Times New Roman" w:cs="Times New Roman"/>
          <w:sz w:val="24"/>
          <w:szCs w:val="24"/>
          <w:lang w:eastAsia="en-GB"/>
        </w:rPr>
        <w:t xml:space="preserve">. </w:t>
      </w:r>
      <w:r w:rsidR="002837AD" w:rsidRPr="00922C73">
        <w:rPr>
          <w:rFonts w:ascii="Times New Roman" w:eastAsia="Times New Roman" w:hAnsi="Times New Roman" w:cs="Times New Roman"/>
          <w:sz w:val="24"/>
          <w:szCs w:val="24"/>
          <w:lang w:eastAsia="en-GB"/>
        </w:rPr>
        <w:t>In addition, a limitation with routinely used assays for ADA detection is their inability to differentiate whether the antibodies are neutralising or not</w:t>
      </w:r>
      <w:r w:rsidR="002B1EDF" w:rsidRPr="00922C73">
        <w:rPr>
          <w:rFonts w:ascii="Times New Roman" w:eastAsia="Times New Roman" w:hAnsi="Times New Roman" w:cs="Times New Roman"/>
          <w:sz w:val="24"/>
          <w:szCs w:val="24"/>
          <w:lang w:eastAsia="en-GB"/>
        </w:rPr>
        <w:t xml:space="preserve">. </w:t>
      </w:r>
    </w:p>
    <w:p w14:paraId="7ED204ED" w14:textId="77777777" w:rsidR="00AF0D51" w:rsidRPr="00922C73" w:rsidRDefault="00AF0D51" w:rsidP="00AF0D51">
      <w:pPr>
        <w:autoSpaceDE w:val="0"/>
        <w:autoSpaceDN w:val="0"/>
        <w:adjustRightInd w:val="0"/>
        <w:spacing w:after="0" w:line="480" w:lineRule="auto"/>
        <w:rPr>
          <w:rFonts w:ascii="Times New Roman" w:hAnsi="Times New Roman" w:cs="Times New Roman"/>
          <w:sz w:val="24"/>
          <w:szCs w:val="24"/>
        </w:rPr>
      </w:pPr>
    </w:p>
    <w:p w14:paraId="35AF7BE5" w14:textId="107085BE" w:rsidR="008E1DF9" w:rsidRPr="00922C73" w:rsidRDefault="00AF0D51" w:rsidP="00FD6CB8">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The diagnosis of a “positive threshold for ATI” varies between assays as no reference standards are available</w:t>
      </w:r>
      <w:r w:rsidR="008478D7"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008478D7" w:rsidRPr="00922C73">
        <w:rPr>
          <w:rFonts w:ascii="Times New Roman" w:hAnsi="Times New Roman" w:cs="Times New Roman"/>
          <w:sz w:val="24"/>
          <w:szCs w:val="24"/>
        </w:rPr>
        <w:t>H</w:t>
      </w:r>
      <w:r w:rsidRPr="00922C73">
        <w:rPr>
          <w:rFonts w:ascii="Times New Roman" w:hAnsi="Times New Roman" w:cs="Times New Roman"/>
          <w:sz w:val="24"/>
          <w:szCs w:val="24"/>
        </w:rPr>
        <w:t xml:space="preserve">eterogenous units of measurement between assays makes comparisons </w:t>
      </w:r>
      <w:r w:rsidR="008478D7" w:rsidRPr="00922C73">
        <w:rPr>
          <w:rFonts w:ascii="Times New Roman" w:hAnsi="Times New Roman" w:cs="Times New Roman"/>
          <w:sz w:val="24"/>
          <w:szCs w:val="24"/>
        </w:rPr>
        <w:t xml:space="preserve">and generalisation of results </w:t>
      </w:r>
      <w:r w:rsidRPr="00922C73">
        <w:rPr>
          <w:rFonts w:ascii="Times New Roman" w:hAnsi="Times New Roman" w:cs="Times New Roman"/>
          <w:sz w:val="24"/>
          <w:szCs w:val="24"/>
        </w:rPr>
        <w:t xml:space="preserve">difficult. </w:t>
      </w:r>
      <w:bookmarkStart w:id="49" w:name="_Hlk92288863"/>
      <w:proofErr w:type="spellStart"/>
      <w:r w:rsidR="00C31ED3" w:rsidRPr="00922C73">
        <w:rPr>
          <w:rFonts w:ascii="Times New Roman" w:hAnsi="Times New Roman" w:cs="Times New Roman"/>
          <w:bCs/>
          <w:iCs/>
          <w:sz w:val="24"/>
          <w:szCs w:val="24"/>
        </w:rPr>
        <w:t>IDK</w:t>
      </w:r>
      <w:r w:rsidR="00C31ED3" w:rsidRPr="00922C73">
        <w:rPr>
          <w:rFonts w:ascii="Times New Roman" w:hAnsi="Times New Roman" w:cs="Times New Roman"/>
          <w:bCs/>
          <w:sz w:val="24"/>
          <w:szCs w:val="24"/>
        </w:rPr>
        <w:t>monitor</w:t>
      </w:r>
      <w:proofErr w:type="spellEnd"/>
      <w:r w:rsidR="00C31ED3" w:rsidRPr="00922C73">
        <w:rPr>
          <w:rFonts w:ascii="Times New Roman" w:hAnsi="Times New Roman" w:cs="Times New Roman"/>
          <w:sz w:val="24"/>
          <w:szCs w:val="24"/>
        </w:rPr>
        <w:t xml:space="preserve">® </w:t>
      </w:r>
      <w:r w:rsidR="00C31ED3" w:rsidRPr="00922C73">
        <w:rPr>
          <w:rFonts w:ascii="Times New Roman" w:hAnsi="Times New Roman" w:cs="Times New Roman"/>
          <w:bCs/>
          <w:sz w:val="24"/>
          <w:szCs w:val="24"/>
        </w:rPr>
        <w:t xml:space="preserve">Infliximab total ADA </w:t>
      </w:r>
      <w:r w:rsidR="00C31ED3" w:rsidRPr="00922C73">
        <w:rPr>
          <w:rFonts w:ascii="Times New Roman" w:hAnsi="Times New Roman" w:cs="Times New Roman"/>
          <w:sz w:val="24"/>
          <w:szCs w:val="24"/>
        </w:rPr>
        <w:t>(</w:t>
      </w:r>
      <w:proofErr w:type="spellStart"/>
      <w:r w:rsidR="00C31ED3" w:rsidRPr="00922C73">
        <w:rPr>
          <w:rFonts w:ascii="Times New Roman" w:hAnsi="Times New Roman" w:cs="Times New Roman"/>
          <w:sz w:val="24"/>
          <w:szCs w:val="24"/>
        </w:rPr>
        <w:t>Immundiagnostik</w:t>
      </w:r>
      <w:proofErr w:type="spellEnd"/>
      <w:r w:rsidR="00C31ED3" w:rsidRPr="00922C73">
        <w:rPr>
          <w:rFonts w:ascii="Times New Roman" w:hAnsi="Times New Roman" w:cs="Times New Roman"/>
          <w:sz w:val="24"/>
          <w:szCs w:val="24"/>
        </w:rPr>
        <w:t xml:space="preserve"> AG, </w:t>
      </w:r>
      <w:proofErr w:type="spellStart"/>
      <w:r w:rsidR="00C31ED3" w:rsidRPr="00922C73">
        <w:rPr>
          <w:rFonts w:ascii="Times New Roman" w:hAnsi="Times New Roman" w:cs="Times New Roman"/>
          <w:sz w:val="24"/>
          <w:szCs w:val="24"/>
        </w:rPr>
        <w:t>Bensheim</w:t>
      </w:r>
      <w:proofErr w:type="spellEnd"/>
      <w:r w:rsidR="00C31ED3" w:rsidRPr="00922C73">
        <w:rPr>
          <w:rFonts w:ascii="Times New Roman" w:hAnsi="Times New Roman" w:cs="Times New Roman"/>
          <w:sz w:val="24"/>
          <w:szCs w:val="24"/>
        </w:rPr>
        <w:t>, Germany) is a commonly used commercial ELISA</w:t>
      </w:r>
      <w:r w:rsidR="00274F92" w:rsidRPr="00922C73">
        <w:rPr>
          <w:rFonts w:ascii="Times New Roman" w:hAnsi="Times New Roman" w:cs="Times New Roman"/>
          <w:sz w:val="24"/>
          <w:szCs w:val="24"/>
        </w:rPr>
        <w:t xml:space="preserve">, </w:t>
      </w:r>
      <w:r w:rsidR="00C31ED3" w:rsidRPr="00922C73">
        <w:rPr>
          <w:rFonts w:ascii="Times New Roman" w:hAnsi="Times New Roman" w:cs="Times New Roman"/>
          <w:sz w:val="24"/>
          <w:szCs w:val="24"/>
        </w:rPr>
        <w:t>also used by our centre</w:t>
      </w:r>
      <w:r w:rsidR="00274F92" w:rsidRPr="00922C73">
        <w:rPr>
          <w:rFonts w:ascii="Times New Roman" w:hAnsi="Times New Roman" w:cs="Times New Roman"/>
          <w:sz w:val="24"/>
          <w:szCs w:val="24"/>
        </w:rPr>
        <w:t xml:space="preserve">. It is drug tolerant and </w:t>
      </w:r>
      <w:r w:rsidR="009614C0" w:rsidRPr="00922C73">
        <w:rPr>
          <w:rFonts w:ascii="Times New Roman" w:hAnsi="Times New Roman" w:cs="Times New Roman"/>
          <w:sz w:val="24"/>
          <w:szCs w:val="24"/>
        </w:rPr>
        <w:t xml:space="preserve">includes </w:t>
      </w:r>
      <w:r w:rsidR="00B62205" w:rsidRPr="00922C73">
        <w:rPr>
          <w:rFonts w:ascii="Times New Roman" w:hAnsi="Times New Roman" w:cs="Times New Roman"/>
          <w:sz w:val="24"/>
          <w:szCs w:val="24"/>
        </w:rPr>
        <w:t xml:space="preserve">immune </w:t>
      </w:r>
      <w:r w:rsidR="009614C0" w:rsidRPr="00922C73">
        <w:rPr>
          <w:rFonts w:ascii="Times New Roman" w:hAnsi="Times New Roman" w:cs="Times New Roman"/>
          <w:sz w:val="24"/>
          <w:szCs w:val="24"/>
        </w:rPr>
        <w:t>complex dissociation</w:t>
      </w:r>
      <w:r w:rsidR="0043073F" w:rsidRPr="00922C73">
        <w:rPr>
          <w:rFonts w:ascii="Times New Roman" w:hAnsi="Times New Roman" w:cs="Times New Roman"/>
          <w:sz w:val="24"/>
          <w:szCs w:val="24"/>
        </w:rPr>
        <w:t xml:space="preserve"> allowing ATI to be detected in the presence of the drug</w:t>
      </w:r>
      <w:r w:rsidR="009614C0" w:rsidRPr="00922C73">
        <w:rPr>
          <w:rFonts w:ascii="Times New Roman" w:hAnsi="Times New Roman" w:cs="Times New Roman"/>
          <w:sz w:val="24"/>
          <w:szCs w:val="24"/>
        </w:rPr>
        <w:t>. The free ATI bind to labelled infliximab: peroxidase conjugate infliximab and biotinylated infliximab, which binds via biotin to the streptavidin coated microtiter plate and is detected via the peroxidase conju</w:t>
      </w:r>
      <w:r w:rsidR="009614C0" w:rsidRPr="00922C73">
        <w:rPr>
          <w:rFonts w:ascii="Times New Roman" w:hAnsi="Times New Roman" w:cs="Times New Roman"/>
          <w:sz w:val="24"/>
          <w:szCs w:val="24"/>
        </w:rPr>
        <w:softHyphen/>
        <w:t xml:space="preserve">gate which leads to a colour change when TMB </w:t>
      </w:r>
      <w:r w:rsidR="003C47EB" w:rsidRPr="00922C73">
        <w:rPr>
          <w:rFonts w:ascii="Times New Roman" w:hAnsi="Times New Roman" w:cs="Times New Roman"/>
          <w:sz w:val="24"/>
          <w:szCs w:val="24"/>
        </w:rPr>
        <w:t xml:space="preserve">substrate </w:t>
      </w:r>
      <w:r w:rsidR="009614C0" w:rsidRPr="00922C73">
        <w:rPr>
          <w:rFonts w:ascii="Times New Roman" w:hAnsi="Times New Roman" w:cs="Times New Roman"/>
          <w:sz w:val="24"/>
          <w:szCs w:val="24"/>
        </w:rPr>
        <w:t>is added</w:t>
      </w:r>
      <w:r w:rsidR="003C47EB" w:rsidRPr="00922C73">
        <w:rPr>
          <w:rFonts w:ascii="Times New Roman" w:hAnsi="Times New Roman" w:cs="Times New Roman"/>
          <w:sz w:val="24"/>
          <w:szCs w:val="24"/>
        </w:rPr>
        <w:t xml:space="preserve"> (Figure </w:t>
      </w:r>
      <w:r w:rsidR="00AD2C99" w:rsidRPr="00922C73">
        <w:rPr>
          <w:rFonts w:ascii="Times New Roman" w:hAnsi="Times New Roman" w:cs="Times New Roman"/>
          <w:sz w:val="24"/>
          <w:szCs w:val="24"/>
        </w:rPr>
        <w:t>7</w:t>
      </w:r>
      <w:r w:rsidR="003C47EB" w:rsidRPr="00922C73">
        <w:rPr>
          <w:rFonts w:ascii="Times New Roman" w:hAnsi="Times New Roman" w:cs="Times New Roman"/>
          <w:sz w:val="24"/>
          <w:szCs w:val="24"/>
        </w:rPr>
        <w:t>)</w:t>
      </w:r>
      <w:r w:rsidR="0043073F" w:rsidRPr="00922C73">
        <w:rPr>
          <w:rFonts w:ascii="Times New Roman" w:hAnsi="Times New Roman" w:cs="Times New Roman"/>
          <w:sz w:val="24"/>
          <w:szCs w:val="24"/>
        </w:rPr>
        <w:t xml:space="preserve"> </w:t>
      </w:r>
      <w:r w:rsidR="0043073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0043073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w:t>
      </w:r>
      <w:r w:rsidR="0043073F" w:rsidRPr="00922C73">
        <w:rPr>
          <w:rFonts w:ascii="Times New Roman" w:hAnsi="Times New Roman" w:cs="Times New Roman"/>
          <w:sz w:val="24"/>
          <w:szCs w:val="24"/>
        </w:rPr>
        <w:fldChar w:fldCharType="end"/>
      </w:r>
      <w:r w:rsidR="009614C0" w:rsidRPr="00922C73">
        <w:rPr>
          <w:rFonts w:ascii="Times New Roman" w:hAnsi="Times New Roman" w:cs="Times New Roman"/>
          <w:sz w:val="24"/>
          <w:szCs w:val="24"/>
        </w:rPr>
        <w:t>.</w:t>
      </w:r>
      <w:r w:rsidR="003C47EB" w:rsidRPr="00922C73">
        <w:rPr>
          <w:rFonts w:ascii="Times New Roman" w:hAnsi="Times New Roman" w:cs="Times New Roman"/>
          <w:sz w:val="24"/>
          <w:szCs w:val="24"/>
        </w:rPr>
        <w:t xml:space="preserve"> </w:t>
      </w:r>
      <w:bookmarkEnd w:id="49"/>
      <w:r w:rsidR="00274F92" w:rsidRPr="00922C73">
        <w:rPr>
          <w:rFonts w:ascii="Times New Roman" w:hAnsi="Times New Roman" w:cs="Times New Roman"/>
          <w:sz w:val="24"/>
          <w:szCs w:val="24"/>
        </w:rPr>
        <w:t>T</w:t>
      </w:r>
      <w:r w:rsidR="00C31ED3" w:rsidRPr="00922C73">
        <w:rPr>
          <w:rFonts w:ascii="Times New Roman" w:hAnsi="Times New Roman" w:cs="Times New Roman"/>
          <w:sz w:val="24"/>
          <w:szCs w:val="24"/>
        </w:rPr>
        <w:t>he p</w:t>
      </w:r>
      <w:r w:rsidR="005753A1" w:rsidRPr="00922C73">
        <w:rPr>
          <w:rFonts w:ascii="Times New Roman" w:eastAsiaTheme="minorHAnsi" w:hAnsi="Times New Roman" w:cs="Times New Roman"/>
          <w:sz w:val="24"/>
          <w:szCs w:val="24"/>
        </w:rPr>
        <w:t>ositive threshold</w:t>
      </w:r>
      <w:r w:rsidR="00274F92" w:rsidRPr="00922C73">
        <w:rPr>
          <w:rFonts w:ascii="Times New Roman" w:eastAsiaTheme="minorHAnsi" w:hAnsi="Times New Roman" w:cs="Times New Roman"/>
          <w:sz w:val="24"/>
          <w:szCs w:val="24"/>
        </w:rPr>
        <w:t xml:space="preserve"> of </w:t>
      </w:r>
      <w:r w:rsidR="006D7B4F" w:rsidRPr="00922C73">
        <w:rPr>
          <w:rFonts w:ascii="Times New Roman" w:eastAsiaTheme="minorHAnsi" w:hAnsi="Times New Roman" w:cs="Times New Roman"/>
          <w:sz w:val="24"/>
          <w:szCs w:val="24"/>
        </w:rPr>
        <w:t>&gt;10 AU/mL was</w:t>
      </w:r>
      <w:r w:rsidR="00274F92" w:rsidRPr="00922C73">
        <w:rPr>
          <w:rFonts w:ascii="Times New Roman" w:eastAsiaTheme="minorHAnsi" w:hAnsi="Times New Roman" w:cs="Times New Roman"/>
          <w:sz w:val="24"/>
          <w:szCs w:val="24"/>
        </w:rPr>
        <w:t xml:space="preserve"> established</w:t>
      </w:r>
      <w:r w:rsidR="008E1DF9" w:rsidRPr="00922C73">
        <w:rPr>
          <w:rFonts w:ascii="Times New Roman" w:hAnsi="Times New Roman" w:cs="Times New Roman"/>
          <w:sz w:val="24"/>
          <w:szCs w:val="24"/>
          <w:shd w:val="clear" w:color="auto" w:fill="FFFFFF"/>
        </w:rPr>
        <w:t xml:space="preserve"> by diluting a</w:t>
      </w:r>
      <w:r w:rsidR="005753A1" w:rsidRPr="00922C73">
        <w:rPr>
          <w:rFonts w:ascii="Times New Roman" w:hAnsi="Times New Roman" w:cs="Times New Roman"/>
          <w:sz w:val="24"/>
          <w:szCs w:val="24"/>
          <w:shd w:val="clear" w:color="auto" w:fill="FFFFFF"/>
        </w:rPr>
        <w:t xml:space="preserve"> highly positive ATI </w:t>
      </w:r>
      <w:r w:rsidR="00C31ED3" w:rsidRPr="00922C73">
        <w:rPr>
          <w:rFonts w:ascii="Times New Roman" w:hAnsi="Times New Roman" w:cs="Times New Roman"/>
          <w:sz w:val="24"/>
          <w:szCs w:val="24"/>
          <w:shd w:val="clear" w:color="auto" w:fill="FFFFFF"/>
        </w:rPr>
        <w:t xml:space="preserve">sample </w:t>
      </w:r>
      <w:r w:rsidR="008E1DF9" w:rsidRPr="00922C73">
        <w:rPr>
          <w:rFonts w:ascii="Times New Roman" w:hAnsi="Times New Roman" w:cs="Times New Roman"/>
          <w:sz w:val="24"/>
          <w:szCs w:val="24"/>
          <w:shd w:val="clear" w:color="auto" w:fill="FFFFFF"/>
        </w:rPr>
        <w:t xml:space="preserve">until no further linear dilution was possible. Using this cut-off, subsequent testing of sera from infliximab-naive patients </w:t>
      </w:r>
      <w:r w:rsidR="0085794A" w:rsidRPr="00922C73">
        <w:rPr>
          <w:rFonts w:ascii="Times New Roman" w:hAnsi="Times New Roman" w:cs="Times New Roman"/>
          <w:sz w:val="24"/>
          <w:szCs w:val="24"/>
          <w:shd w:val="clear" w:color="auto" w:fill="FFFFFF"/>
        </w:rPr>
        <w:t>we</w:t>
      </w:r>
      <w:r w:rsidR="005753A1" w:rsidRPr="00922C73">
        <w:rPr>
          <w:rFonts w:ascii="Times New Roman" w:hAnsi="Times New Roman" w:cs="Times New Roman"/>
          <w:sz w:val="24"/>
          <w:szCs w:val="24"/>
          <w:shd w:val="clear" w:color="auto" w:fill="FFFFFF"/>
        </w:rPr>
        <w:t xml:space="preserve">re confirmed to </w:t>
      </w:r>
      <w:r w:rsidR="008E1DF9" w:rsidRPr="00922C73">
        <w:rPr>
          <w:rFonts w:ascii="Times New Roman" w:hAnsi="Times New Roman" w:cs="Times New Roman"/>
          <w:sz w:val="24"/>
          <w:szCs w:val="24"/>
          <w:shd w:val="clear" w:color="auto" w:fill="FFFFFF"/>
        </w:rPr>
        <w:t>be negative for ATI</w:t>
      </w:r>
      <w:r w:rsidR="00C31ED3" w:rsidRPr="00922C73">
        <w:rPr>
          <w:rFonts w:ascii="Times New Roman" w:hAnsi="Times New Roman" w:cs="Times New Roman"/>
          <w:sz w:val="24"/>
          <w:szCs w:val="24"/>
          <w:shd w:val="clear" w:color="auto" w:fill="FFFFFF"/>
        </w:rPr>
        <w:t xml:space="preserve"> in 97.5% of patients</w:t>
      </w:r>
      <w:r w:rsidR="00274F92" w:rsidRPr="00922C73">
        <w:rPr>
          <w:rFonts w:ascii="Times New Roman" w:hAnsi="Times New Roman" w:cs="Times New Roman"/>
          <w:sz w:val="24"/>
          <w:szCs w:val="24"/>
          <w:shd w:val="clear" w:color="auto" w:fill="FFFFFF"/>
        </w:rPr>
        <w:t xml:space="preserve"> </w:t>
      </w:r>
      <w:r w:rsidR="00274F92"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00274F92"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117</w:t>
      </w:r>
      <w:r w:rsidR="00274F92" w:rsidRPr="00922C73">
        <w:rPr>
          <w:rFonts w:ascii="Times New Roman" w:hAnsi="Times New Roman" w:cs="Times New Roman"/>
          <w:sz w:val="24"/>
          <w:szCs w:val="24"/>
          <w:shd w:val="clear" w:color="auto" w:fill="FFFFFF"/>
        </w:rPr>
        <w:fldChar w:fldCharType="end"/>
      </w:r>
      <w:r w:rsidR="00274F92" w:rsidRPr="00922C73">
        <w:rPr>
          <w:rFonts w:ascii="Times New Roman" w:hAnsi="Times New Roman" w:cs="Times New Roman"/>
          <w:sz w:val="24"/>
          <w:szCs w:val="24"/>
          <w:shd w:val="clear" w:color="auto" w:fill="FFFFFF"/>
        </w:rPr>
        <w:t>.</w:t>
      </w:r>
      <w:r w:rsidR="006D7B4F" w:rsidRPr="00922C73">
        <w:rPr>
          <w:rFonts w:ascii="Times New Roman" w:hAnsi="Times New Roman" w:cs="Times New Roman"/>
          <w:sz w:val="24"/>
          <w:szCs w:val="24"/>
          <w:shd w:val="clear" w:color="auto" w:fill="FFFFFF"/>
        </w:rPr>
        <w:t xml:space="preserve"> This positive threshold was </w:t>
      </w:r>
      <w:r w:rsidR="0085794A" w:rsidRPr="00922C73">
        <w:rPr>
          <w:rFonts w:ascii="Times New Roman" w:hAnsi="Times New Roman" w:cs="Times New Roman"/>
          <w:sz w:val="24"/>
          <w:szCs w:val="24"/>
          <w:shd w:val="clear" w:color="auto" w:fill="FFFFFF"/>
        </w:rPr>
        <w:t>assessed</w:t>
      </w:r>
      <w:r w:rsidR="006D7B4F" w:rsidRPr="00922C73">
        <w:rPr>
          <w:rFonts w:ascii="Times New Roman" w:hAnsi="Times New Roman" w:cs="Times New Roman"/>
          <w:sz w:val="24"/>
          <w:szCs w:val="24"/>
          <w:shd w:val="clear" w:color="auto" w:fill="FFFFFF"/>
        </w:rPr>
        <w:t xml:space="preserve"> in a </w:t>
      </w:r>
      <w:r w:rsidR="0085794A" w:rsidRPr="00922C73">
        <w:rPr>
          <w:rFonts w:ascii="Times New Roman" w:hAnsi="Times New Roman" w:cs="Times New Roman"/>
          <w:sz w:val="24"/>
          <w:szCs w:val="24"/>
          <w:shd w:val="clear" w:color="auto" w:fill="FFFFFF"/>
        </w:rPr>
        <w:t xml:space="preserve">much </w:t>
      </w:r>
      <w:r w:rsidR="006D7B4F" w:rsidRPr="00922C73">
        <w:rPr>
          <w:rFonts w:ascii="Times New Roman" w:hAnsi="Times New Roman" w:cs="Times New Roman"/>
          <w:sz w:val="24"/>
          <w:szCs w:val="24"/>
          <w:shd w:val="clear" w:color="auto" w:fill="FFFFFF"/>
        </w:rPr>
        <w:t xml:space="preserve">large cohort of 500 healthy volunteers </w:t>
      </w:r>
      <w:r w:rsidR="006D7B4F" w:rsidRPr="00922C73">
        <w:rPr>
          <w:rFonts w:ascii="Times New Roman" w:eastAsiaTheme="minorHAnsi" w:hAnsi="Times New Roman" w:cs="Times New Roman"/>
          <w:sz w:val="24"/>
          <w:szCs w:val="24"/>
        </w:rPr>
        <w:t>and a slightly lower threshold of</w:t>
      </w:r>
      <w:r w:rsidRPr="00922C73">
        <w:rPr>
          <w:rFonts w:ascii="Times New Roman" w:eastAsiaTheme="minorHAnsi" w:hAnsi="Times New Roman" w:cs="Times New Roman"/>
          <w:sz w:val="24"/>
          <w:szCs w:val="24"/>
        </w:rPr>
        <w:t xml:space="preserve"> 9 AU/mL</w:t>
      </w:r>
      <w:r w:rsidR="006D7B4F" w:rsidRPr="00922C73">
        <w:rPr>
          <w:rFonts w:ascii="Times New Roman" w:eastAsiaTheme="minorHAnsi" w:hAnsi="Times New Roman" w:cs="Times New Roman"/>
          <w:sz w:val="24"/>
          <w:szCs w:val="24"/>
        </w:rPr>
        <w:t xml:space="preserve"> was determined </w:t>
      </w:r>
      <w:r w:rsidR="006D7B4F" w:rsidRPr="00922C73">
        <w:rPr>
          <w:rFonts w:ascii="Times New Roman" w:hAnsi="Times New Roman" w:cs="Times New Roman"/>
          <w:sz w:val="24"/>
          <w:szCs w:val="24"/>
          <w:shd w:val="clear" w:color="auto" w:fill="FFFFFF"/>
        </w:rPr>
        <w:t xml:space="preserve">for </w:t>
      </w:r>
      <w:r w:rsidR="0085794A" w:rsidRPr="00922C73">
        <w:rPr>
          <w:rFonts w:ascii="Times New Roman" w:hAnsi="Times New Roman" w:cs="Times New Roman"/>
          <w:sz w:val="24"/>
          <w:szCs w:val="24"/>
          <w:shd w:val="clear" w:color="auto" w:fill="FFFFFF"/>
        </w:rPr>
        <w:t>ATI positivity</w:t>
      </w:r>
      <w:r w:rsidR="00FD6CB8" w:rsidRPr="00922C73">
        <w:rPr>
          <w:rFonts w:ascii="Times New Roman" w:hAnsi="Times New Roman" w:cs="Times New Roman"/>
          <w:sz w:val="24"/>
          <w:szCs w:val="24"/>
          <w:shd w:val="clear" w:color="auto" w:fill="FFFFFF"/>
        </w:rPr>
        <w:t xml:space="preserve"> </w:t>
      </w:r>
      <w:r w:rsidR="00FD6CB8"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{"citationItems":[{"id":"ITEM-1","itemData":{"DOI":"10.1111/apt.16135","abstract":"SummaryBackground: When used proactively, drug-tolerant anti-tumour necrosis factor (TNF) antibody assays provide early opportunity to suppress immunogenicity.Aim: To validate positivity thresholds of IDKmonitor drug-tolerant anti-infliximab and -adalimumab antibody assays.Methods: We applied positivity thresholds, defined by testing sera from 498 anti-TNF naive healthy adults, from the Exeter Ten Thousand study to data from our therapeutic drug monitoring (TDM) service and Personalised Anti-TNF Therapy in Crohn's disease (PANTS) cohort to explore associations with drug level and treatment outcomes.Results: The 80% one-sided lower confidence interval of the 99th centile concentra-tion for anti-infliximab and –adalimumab antibodies were lower than the manufac-turers threshold of 10 arbitrary units (AU)/mL; 9 and 6 AU/mL, respectively. Using these new thresholds in the TDM cohort, more adalimumab- than infliximab- (11.2% [814/7272] vs 3.1% [390/12 683] P&lt; 0.0001) treated patients were reclassified as antibody-positive. Adalimumab drug concentrations in this reclassified group (median 8.1, interquartile range [IQR] 5.5-11.0 mg/L) were lower than those below the new threshold (≤5AU/mL) (median 9.9, IQR 7.1-13.0 mg/L; P&lt; 0.0001), but higher than at the manufacturer's threshold (10-29 AU/mL) (median 5.9 mg/L, IQR 3.5-8.7; P&lt; 0.0001). No difference in infliximab drug concentration was observed using the new or manufacturer's positivity threshold (P= 0.11). In the PANTS cohort, patients with anti-adalimumab antibody concentrations at or above the new threshold were more likely to be in primary non-response (25/68 [37%] vs. 64/332 [19%], P= 0.0035), and non-remission at week 54 (51/62 [82%] vs. 168/279 [60%], P= 0.0011), than pa-tients with anti-drug antibody concentrations in the group below the new threshold (0-5 AU/mL); this was not seen for anti-infliximab antibodies.Conclusion: Laboratories should derive antibody positivity thresholds for assays they use. For adalimumab, low-concentration anti-drug antibodies were associated with lower drug levels and treatment failure","author":[{"dropping-particle":"","family":"Rachel Nice1| Neil Chanchlani2, 3| Harry Green3| Claire Bewshea3|Tariq Ahmad2, 3| James R. Goodhand2","given":"3| Timothy J. McDonald1|Mandy H. Perry1| Nicholas A. Kennedy","non-dropping-particle":"","parse-names":false,"suffix":""}],"container-title":"Aliment Pharmacol Ther. 2021;53:128–137","id":"ITEM-1","issued":{"date-parts":[["0"]]},"title":"Validating the positivity thresholds of drug-tolerant anti-infliximab and anti-adalimumab antibody assays","type":"article-journal"},"uris":["http://www.mendeley.com/documents/?uuid=585007ef-7b1c-466b-b5a2-c8296bedf495"]}],"mendeley":{"formattedCitation":"&lt;sup&gt;126&lt;/sup&gt;","plainTextFormattedCitation":"126","previouslyFormattedCitation":"&lt;sup&gt;126&lt;/sup&gt;"},"properties":{"noteIndex":0},"schema":"https://github.com/citation-style-language/schema/raw/master/csl-citation.json"}</w:instrText>
      </w:r>
      <w:r w:rsidR="00FD6CB8"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126</w:t>
      </w:r>
      <w:r w:rsidR="00FD6CB8" w:rsidRPr="00922C73">
        <w:rPr>
          <w:rFonts w:ascii="Times New Roman" w:hAnsi="Times New Roman" w:cs="Times New Roman"/>
          <w:sz w:val="24"/>
          <w:szCs w:val="24"/>
          <w:shd w:val="clear" w:color="auto" w:fill="FFFFFF"/>
        </w:rPr>
        <w:fldChar w:fldCharType="end"/>
      </w:r>
      <w:r w:rsidR="006D7B4F" w:rsidRPr="00922C73">
        <w:rPr>
          <w:rFonts w:ascii="Times New Roman" w:hAnsi="Times New Roman" w:cs="Times New Roman"/>
          <w:sz w:val="24"/>
          <w:szCs w:val="24"/>
          <w:shd w:val="clear" w:color="auto" w:fill="FFFFFF"/>
        </w:rPr>
        <w:t xml:space="preserve">. </w:t>
      </w:r>
      <w:r w:rsidR="0085794A" w:rsidRPr="00922C73">
        <w:rPr>
          <w:rFonts w:ascii="Times New Roman" w:hAnsi="Times New Roman" w:cs="Times New Roman"/>
          <w:sz w:val="24"/>
          <w:szCs w:val="24"/>
          <w:shd w:val="clear" w:color="auto" w:fill="FFFFFF"/>
        </w:rPr>
        <w:t>A limitation with this validation study was that the cohort was healthy, young, mainly Caucasian students, which may limit generalisation to other ethnicities or ages, but it</w:t>
      </w:r>
      <w:r w:rsidR="006D7B4F" w:rsidRPr="00922C73">
        <w:rPr>
          <w:rFonts w:ascii="Times New Roman" w:hAnsi="Times New Roman" w:cs="Times New Roman"/>
          <w:sz w:val="24"/>
          <w:szCs w:val="24"/>
          <w:shd w:val="clear" w:color="auto" w:fill="FFFFFF"/>
        </w:rPr>
        <w:t xml:space="preserve"> </w:t>
      </w:r>
      <w:r w:rsidR="0085794A" w:rsidRPr="00922C73">
        <w:rPr>
          <w:rFonts w:ascii="Times New Roman" w:hAnsi="Times New Roman" w:cs="Times New Roman"/>
          <w:sz w:val="24"/>
          <w:szCs w:val="24"/>
          <w:shd w:val="clear" w:color="auto" w:fill="FFFFFF"/>
        </w:rPr>
        <w:t>highlights</w:t>
      </w:r>
      <w:r w:rsidR="006D7B4F" w:rsidRPr="00922C73">
        <w:rPr>
          <w:rFonts w:ascii="Times New Roman" w:hAnsi="Times New Roman" w:cs="Times New Roman"/>
          <w:sz w:val="24"/>
          <w:szCs w:val="24"/>
          <w:shd w:val="clear" w:color="auto" w:fill="FFFFFF"/>
        </w:rPr>
        <w:t xml:space="preserve"> the importance of validating these thresholds in local populations</w:t>
      </w:r>
      <w:r w:rsidR="00FD6CB8" w:rsidRPr="00922C73">
        <w:rPr>
          <w:rFonts w:ascii="Times New Roman" w:hAnsi="Times New Roman" w:cs="Times New Roman"/>
          <w:sz w:val="24"/>
          <w:szCs w:val="24"/>
          <w:shd w:val="clear" w:color="auto" w:fill="FFFFFF"/>
        </w:rPr>
        <w:t>.</w:t>
      </w:r>
      <w:r w:rsidR="006D7B4F" w:rsidRPr="00922C73">
        <w:rPr>
          <w:rFonts w:ascii="Times New Roman" w:hAnsi="Times New Roman" w:cs="Times New Roman"/>
          <w:sz w:val="24"/>
          <w:szCs w:val="24"/>
          <w:shd w:val="clear" w:color="auto" w:fill="FFFFFF"/>
        </w:rPr>
        <w:t xml:space="preserve"> </w:t>
      </w:r>
    </w:p>
    <w:p w14:paraId="42238139" w14:textId="77777777" w:rsidR="00FD6CB8" w:rsidRPr="00922C73" w:rsidRDefault="00FD6CB8" w:rsidP="00FD6CB8">
      <w:pPr>
        <w:autoSpaceDE w:val="0"/>
        <w:autoSpaceDN w:val="0"/>
        <w:adjustRightInd w:val="0"/>
        <w:spacing w:after="0" w:line="480" w:lineRule="auto"/>
        <w:rPr>
          <w:rFonts w:ascii="Times New Roman" w:hAnsi="Times New Roman" w:cs="Times New Roman"/>
          <w:sz w:val="24"/>
          <w:szCs w:val="24"/>
        </w:rPr>
      </w:pPr>
    </w:p>
    <w:p w14:paraId="5B4A7539" w14:textId="77F2F92F" w:rsidR="008D1347" w:rsidRPr="00922C73" w:rsidRDefault="008D1347" w:rsidP="00700BBF">
      <w:pPr>
        <w:shd w:val="clear" w:color="auto" w:fill="FFFFFF"/>
        <w:spacing w:after="0" w:line="480" w:lineRule="auto"/>
        <w:rPr>
          <w:rFonts w:ascii="Times New Roman" w:hAnsi="Times New Roman" w:cs="Times New Roman"/>
          <w:sz w:val="24"/>
          <w:szCs w:val="24"/>
        </w:rPr>
      </w:pPr>
      <w:r w:rsidRPr="00922C73">
        <w:rPr>
          <w:rFonts w:ascii="Times New Roman" w:hAnsi="Times New Roman" w:cs="Times New Roman"/>
          <w:sz w:val="24"/>
          <w:szCs w:val="24"/>
        </w:rPr>
        <w:lastRenderedPageBreak/>
        <w:t xml:space="preserve">Despite </w:t>
      </w:r>
      <w:r w:rsidR="006D7B4F" w:rsidRPr="00922C73">
        <w:rPr>
          <w:rFonts w:ascii="Times New Roman" w:hAnsi="Times New Roman" w:cs="Times New Roman"/>
          <w:sz w:val="24"/>
          <w:szCs w:val="24"/>
        </w:rPr>
        <w:t xml:space="preserve">the limitations discussed above, </w:t>
      </w:r>
      <w:r w:rsidRPr="00922C73">
        <w:rPr>
          <w:rFonts w:ascii="Times New Roman" w:hAnsi="Times New Roman" w:cs="Times New Roman"/>
          <w:sz w:val="24"/>
          <w:szCs w:val="24"/>
        </w:rPr>
        <w:t>therapeutic drug monitoring</w:t>
      </w:r>
      <w:r w:rsidR="0085794A" w:rsidRPr="00922C73">
        <w:rPr>
          <w:rFonts w:ascii="Times New Roman" w:hAnsi="Times New Roman" w:cs="Times New Roman"/>
          <w:sz w:val="24"/>
          <w:szCs w:val="24"/>
        </w:rPr>
        <w:t xml:space="preserve"> is</w:t>
      </w:r>
      <w:r w:rsidRPr="00922C73">
        <w:rPr>
          <w:rFonts w:ascii="Times New Roman" w:hAnsi="Times New Roman" w:cs="Times New Roman"/>
          <w:sz w:val="24"/>
          <w:szCs w:val="24"/>
        </w:rPr>
        <w:t xml:space="preserve"> a useful</w:t>
      </w:r>
      <w:r w:rsidR="006D7B4F" w:rsidRPr="00922C73">
        <w:rPr>
          <w:rFonts w:ascii="Times New Roman" w:hAnsi="Times New Roman" w:cs="Times New Roman"/>
          <w:sz w:val="24"/>
          <w:szCs w:val="24"/>
        </w:rPr>
        <w:t xml:space="preserve"> clinical</w:t>
      </w:r>
      <w:r w:rsidRPr="00922C73">
        <w:rPr>
          <w:rFonts w:ascii="Times New Roman" w:hAnsi="Times New Roman" w:cs="Times New Roman"/>
          <w:sz w:val="24"/>
          <w:szCs w:val="24"/>
        </w:rPr>
        <w:t xml:space="preserve"> tool </w:t>
      </w:r>
      <w:r w:rsidR="00232DF2" w:rsidRPr="00922C73">
        <w:rPr>
          <w:rFonts w:ascii="Times New Roman" w:hAnsi="Times New Roman" w:cs="Times New Roman"/>
          <w:sz w:val="24"/>
          <w:szCs w:val="24"/>
        </w:rPr>
        <w:t>in</w:t>
      </w:r>
      <w:r w:rsidR="005E6A5D" w:rsidRPr="00922C73">
        <w:rPr>
          <w:rFonts w:ascii="Times New Roman" w:hAnsi="Times New Roman" w:cs="Times New Roman"/>
          <w:sz w:val="24"/>
          <w:szCs w:val="24"/>
        </w:rPr>
        <w:t xml:space="preserve"> </w:t>
      </w:r>
      <w:r w:rsidRPr="00922C73">
        <w:rPr>
          <w:rFonts w:ascii="Times New Roman" w:hAnsi="Times New Roman" w:cs="Times New Roman"/>
          <w:sz w:val="24"/>
          <w:szCs w:val="24"/>
        </w:rPr>
        <w:t>guiding treatment decisions</w:t>
      </w:r>
      <w:r w:rsidR="00D65B36" w:rsidRPr="00922C73">
        <w:rPr>
          <w:rFonts w:ascii="Times New Roman" w:hAnsi="Times New Roman" w:cs="Times New Roman"/>
          <w:sz w:val="24"/>
          <w:szCs w:val="24"/>
        </w:rPr>
        <w:t xml:space="preserve"> </w:t>
      </w:r>
      <w:r w:rsidR="00FD6CB8" w:rsidRPr="00922C73">
        <w:rPr>
          <w:rFonts w:ascii="Times New Roman" w:hAnsi="Times New Roman" w:cs="Times New Roman"/>
          <w:sz w:val="24"/>
          <w:szCs w:val="24"/>
        </w:rPr>
        <w:t>in those on infliximab</w:t>
      </w:r>
      <w:r w:rsidR="008E257F" w:rsidRPr="00922C73">
        <w:rPr>
          <w:rFonts w:ascii="Times New Roman" w:hAnsi="Times New Roman" w:cs="Times New Roman"/>
          <w:sz w:val="24"/>
          <w:szCs w:val="24"/>
        </w:rPr>
        <w:t xml:space="preserve"> and has been incorporated into guidelines </w:t>
      </w:r>
      <w:r w:rsidR="008E257F"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8E257F"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8E257F" w:rsidRPr="00922C73">
        <w:rPr>
          <w:rFonts w:ascii="Times New Roman" w:hAnsi="Times New Roman" w:cs="Times New Roman"/>
          <w:sz w:val="24"/>
          <w:szCs w:val="24"/>
        </w:rPr>
        <w:fldChar w:fldCharType="end"/>
      </w:r>
      <w:r w:rsidR="008E257F" w:rsidRPr="00922C73">
        <w:rPr>
          <w:rFonts w:ascii="Times New Roman" w:hAnsi="Times New Roman" w:cs="Times New Roman"/>
          <w:sz w:val="24"/>
          <w:szCs w:val="24"/>
        </w:rPr>
        <w:t>.</w:t>
      </w:r>
      <w:r w:rsidR="003C47EB" w:rsidRPr="00922C73">
        <w:rPr>
          <w:rFonts w:ascii="Times New Roman" w:hAnsi="Times New Roman" w:cs="Times New Roman"/>
          <w:sz w:val="24"/>
          <w:szCs w:val="24"/>
        </w:rPr>
        <w:t xml:space="preserve"> </w:t>
      </w:r>
      <w:r w:rsidR="0085794A" w:rsidRPr="00922C73">
        <w:rPr>
          <w:rFonts w:ascii="Times New Roman" w:hAnsi="Times New Roman" w:cs="Times New Roman"/>
          <w:sz w:val="24"/>
          <w:szCs w:val="24"/>
        </w:rPr>
        <w:t>They allow</w:t>
      </w:r>
      <w:r w:rsidR="008E257F" w:rsidRPr="00922C73">
        <w:rPr>
          <w:rFonts w:ascii="Times New Roman" w:hAnsi="Times New Roman" w:cs="Times New Roman"/>
          <w:sz w:val="24"/>
          <w:szCs w:val="24"/>
        </w:rPr>
        <w:t xml:space="preserve"> some guidance in expensive treatments of a complex medical condition.</w:t>
      </w:r>
      <w:r w:rsidR="00FD6CB8" w:rsidRPr="00922C73">
        <w:rPr>
          <w:rFonts w:ascii="Times New Roman" w:hAnsi="Times New Roman" w:cs="Times New Roman"/>
          <w:sz w:val="24"/>
          <w:szCs w:val="24"/>
        </w:rPr>
        <w:t xml:space="preserve"> </w:t>
      </w:r>
    </w:p>
    <w:p w14:paraId="33A6AC76" w14:textId="77777777" w:rsidR="00406911" w:rsidRPr="00922C73" w:rsidRDefault="00406911" w:rsidP="00700BBF">
      <w:pPr>
        <w:shd w:val="clear" w:color="auto" w:fill="FFFFFF"/>
        <w:spacing w:after="0" w:line="480" w:lineRule="auto"/>
        <w:rPr>
          <w:rFonts w:ascii="Times New Roman" w:hAnsi="Times New Roman" w:cs="Times New Roman"/>
          <w:sz w:val="24"/>
          <w:szCs w:val="24"/>
        </w:rPr>
      </w:pPr>
    </w:p>
    <w:p w14:paraId="02803011" w14:textId="77777777" w:rsidR="003C47EB" w:rsidRPr="00922C73" w:rsidRDefault="003C47EB" w:rsidP="00700BBF">
      <w:pPr>
        <w:shd w:val="clear" w:color="auto" w:fill="FFFFFF"/>
        <w:spacing w:after="0" w:line="480" w:lineRule="auto"/>
        <w:rPr>
          <w:rFonts w:ascii="Times New Roman" w:hAnsi="Times New Roman" w:cs="Times New Roman"/>
          <w:sz w:val="24"/>
          <w:szCs w:val="24"/>
        </w:rPr>
      </w:pPr>
    </w:p>
    <w:p w14:paraId="3AEED81C" w14:textId="77777777" w:rsidR="00CE343F" w:rsidRPr="00922C73" w:rsidRDefault="003C47EB" w:rsidP="00CE343F">
      <w:pPr>
        <w:keepNext/>
        <w:spacing w:line="480" w:lineRule="auto"/>
      </w:pPr>
      <w:r w:rsidRPr="00922C73">
        <w:rPr>
          <w:noProof/>
        </w:rPr>
        <w:drawing>
          <wp:inline distT="0" distB="0" distL="0" distR="0" wp14:anchorId="50DEF270" wp14:editId="29F76F3B">
            <wp:extent cx="5343525" cy="4168393"/>
            <wp:effectExtent l="0" t="0" r="0" b="3810"/>
            <wp:docPr id="19" name="Picture 19"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799" t="3087" r="8099" b="7645"/>
                    <a:stretch/>
                  </pic:blipFill>
                  <pic:spPr bwMode="auto">
                    <a:xfrm>
                      <a:off x="0" y="0"/>
                      <a:ext cx="5347148" cy="4171219"/>
                    </a:xfrm>
                    <a:prstGeom prst="rect">
                      <a:avLst/>
                    </a:prstGeom>
                    <a:noFill/>
                    <a:ln>
                      <a:noFill/>
                    </a:ln>
                    <a:extLst>
                      <a:ext uri="{53640926-AAD7-44D8-BBD7-CCE9431645EC}">
                        <a14:shadowObscured xmlns:a14="http://schemas.microsoft.com/office/drawing/2010/main"/>
                      </a:ext>
                    </a:extLst>
                  </pic:spPr>
                </pic:pic>
              </a:graphicData>
            </a:graphic>
          </wp:inline>
        </w:drawing>
      </w:r>
    </w:p>
    <w:p w14:paraId="6910465F" w14:textId="562C8506" w:rsidR="00A6554B" w:rsidRPr="00922C73" w:rsidRDefault="00CE343F" w:rsidP="00C413E2">
      <w:pPr>
        <w:pStyle w:val="Caption"/>
        <w:spacing w:line="240" w:lineRule="auto"/>
        <w:rPr>
          <w:rFonts w:ascii="Times New Roman" w:hAnsi="Times New Roman" w:cs="Times New Roman"/>
          <w:sz w:val="24"/>
          <w:szCs w:val="24"/>
        </w:rPr>
      </w:pPr>
      <w:bookmarkStart w:id="50" w:name="_Toc139397307"/>
      <w:bookmarkStart w:id="51" w:name="_Toc151020652"/>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Diagrammatic representation of infliximab total anti-drug antibodies </w:t>
      </w:r>
      <w:r w:rsidR="00C413E2" w:rsidRPr="00922C73">
        <w:rPr>
          <w:rFonts w:ascii="Times New Roman" w:hAnsi="Times New Roman" w:cs="Times New Roman"/>
          <w:sz w:val="24"/>
          <w:szCs w:val="24"/>
        </w:rPr>
        <w:t xml:space="preserve">sandwich </w:t>
      </w:r>
      <w:r w:rsidRPr="00922C73">
        <w:rPr>
          <w:rFonts w:ascii="Times New Roman" w:hAnsi="Times New Roman" w:cs="Times New Roman"/>
          <w:sz w:val="24"/>
          <w:szCs w:val="24"/>
        </w:rPr>
        <w:t xml:space="preserve">ELISA </w:t>
      </w:r>
      <w:proofErr w:type="spellStart"/>
      <w:r w:rsidRPr="00922C73">
        <w:rPr>
          <w:rFonts w:ascii="Times New Roman" w:hAnsi="Times New Roman" w:cs="Times New Roman"/>
          <w:sz w:val="24"/>
          <w:szCs w:val="24"/>
        </w:rPr>
        <w:t>IDKmonitor</w:t>
      </w:r>
      <w:proofErr w:type="spellEnd"/>
      <w:r w:rsidRPr="00922C73">
        <w:rPr>
          <w:rFonts w:ascii="Times New Roman" w:hAnsi="Times New Roman" w:cs="Times New Roman"/>
          <w:sz w:val="24"/>
          <w:szCs w:val="24"/>
        </w:rPr>
        <w:t>, a commonly used commercial</w:t>
      </w:r>
      <w:r w:rsidR="00C413E2" w:rsidRPr="00922C73">
        <w:rPr>
          <w:rFonts w:ascii="Times New Roman" w:hAnsi="Times New Roman" w:cs="Times New Roman"/>
          <w:sz w:val="24"/>
          <w:szCs w:val="24"/>
        </w:rPr>
        <w:t xml:space="preserve"> </w:t>
      </w:r>
      <w:r w:rsidRPr="00922C73">
        <w:rPr>
          <w:rFonts w:ascii="Times New Roman" w:hAnsi="Times New Roman" w:cs="Times New Roman"/>
          <w:sz w:val="24"/>
          <w:szCs w:val="24"/>
        </w:rPr>
        <w:t>ELISA</w:t>
      </w:r>
      <w:r w:rsidR="00F16820" w:rsidRPr="00922C73">
        <w:rPr>
          <w:rFonts w:ascii="Times New Roman" w:hAnsi="Times New Roman" w:cs="Times New Roman"/>
          <w:sz w:val="24"/>
          <w:szCs w:val="24"/>
        </w:rPr>
        <w:t xml:space="preserve"> </w:t>
      </w:r>
      <w:r w:rsidR="00F16820" w:rsidRPr="00922C73">
        <w:rPr>
          <w:rFonts w:ascii="Times New Roman" w:hAnsi="Times New Roman" w:cs="Times New Roman"/>
          <w:b w:val="0"/>
          <w:bCs w:val="0"/>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00F16820" w:rsidRPr="00922C73">
        <w:rPr>
          <w:rFonts w:ascii="Times New Roman" w:hAnsi="Times New Roman" w:cs="Times New Roman"/>
          <w:b w:val="0"/>
          <w:bCs w:val="0"/>
          <w:sz w:val="24"/>
          <w:szCs w:val="24"/>
        </w:rPr>
        <w:fldChar w:fldCharType="separate"/>
      </w:r>
      <w:r w:rsidR="00A00D49" w:rsidRPr="00922C73">
        <w:rPr>
          <w:rFonts w:ascii="Times New Roman" w:hAnsi="Times New Roman" w:cs="Times New Roman"/>
          <w:b w:val="0"/>
          <w:noProof/>
          <w:sz w:val="24"/>
          <w:szCs w:val="24"/>
          <w:vertAlign w:val="superscript"/>
        </w:rPr>
        <w:t>117</w:t>
      </w:r>
      <w:r w:rsidR="00F16820" w:rsidRPr="00922C73">
        <w:rPr>
          <w:rFonts w:ascii="Times New Roman" w:hAnsi="Times New Roman" w:cs="Times New Roman"/>
          <w:b w:val="0"/>
          <w:bCs w:val="0"/>
          <w:sz w:val="24"/>
          <w:szCs w:val="24"/>
        </w:rPr>
        <w:fldChar w:fldCharType="end"/>
      </w:r>
      <w:r w:rsidR="00F16820" w:rsidRPr="00922C73">
        <w:rPr>
          <w:rFonts w:ascii="Times New Roman" w:hAnsi="Times New Roman" w:cs="Times New Roman"/>
          <w:sz w:val="24"/>
          <w:szCs w:val="24"/>
        </w:rPr>
        <w:t>.</w:t>
      </w:r>
      <w:bookmarkEnd w:id="50"/>
      <w:bookmarkEnd w:id="51"/>
    </w:p>
    <w:p w14:paraId="16283747" w14:textId="1839B6DE" w:rsidR="003C47EB" w:rsidRPr="00922C73" w:rsidRDefault="0043073F" w:rsidP="00C413E2">
      <w:pPr>
        <w:spacing w:line="240" w:lineRule="auto"/>
        <w:rPr>
          <w:rFonts w:ascii="Times New Roman" w:hAnsi="Times New Roman" w:cs="Times New Roman"/>
          <w:sz w:val="24"/>
          <w:szCs w:val="24"/>
        </w:rPr>
      </w:pPr>
      <w:r w:rsidRPr="00922C73">
        <w:rPr>
          <w:rFonts w:ascii="Times New Roman" w:hAnsi="Times New Roman" w:cs="Times New Roman"/>
          <w:sz w:val="24"/>
          <w:szCs w:val="24"/>
        </w:rPr>
        <w:t xml:space="preserve">This drug tolerant ELISA allows </w:t>
      </w:r>
      <w:r w:rsidR="003C47EB" w:rsidRPr="00922C73">
        <w:rPr>
          <w:rFonts w:ascii="Times New Roman" w:hAnsi="Times New Roman" w:cs="Times New Roman"/>
          <w:sz w:val="24"/>
          <w:szCs w:val="24"/>
        </w:rPr>
        <w:t xml:space="preserve">free </w:t>
      </w:r>
      <w:r w:rsidRPr="00922C73">
        <w:rPr>
          <w:rFonts w:ascii="Times New Roman" w:hAnsi="Times New Roman" w:cs="Times New Roman"/>
          <w:sz w:val="24"/>
          <w:szCs w:val="24"/>
        </w:rPr>
        <w:t>ATI to</w:t>
      </w:r>
      <w:r w:rsidR="003C47EB" w:rsidRPr="00922C73">
        <w:rPr>
          <w:rFonts w:ascii="Times New Roman" w:hAnsi="Times New Roman" w:cs="Times New Roman"/>
          <w:sz w:val="24"/>
          <w:szCs w:val="24"/>
        </w:rPr>
        <w:t xml:space="preserve"> bind to labelled infliximab: peroxidase conjugate infliximab and biotinylated infliximab</w:t>
      </w:r>
      <w:r w:rsidRPr="00922C73">
        <w:rPr>
          <w:rFonts w:ascii="Times New Roman" w:hAnsi="Times New Roman" w:cs="Times New Roman"/>
          <w:sz w:val="24"/>
          <w:szCs w:val="24"/>
        </w:rPr>
        <w:t>.</w:t>
      </w:r>
      <w:r w:rsidR="003C47EB"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The immune complex </w:t>
      </w:r>
      <w:r w:rsidR="003C47EB" w:rsidRPr="00922C73">
        <w:rPr>
          <w:rFonts w:ascii="Times New Roman" w:hAnsi="Times New Roman" w:cs="Times New Roman"/>
          <w:sz w:val="24"/>
          <w:szCs w:val="24"/>
        </w:rPr>
        <w:t>binds via biotin to the streptavidin coated microtiter plate and is detected via the peroxidase conju</w:t>
      </w:r>
      <w:r w:rsidR="003C47EB" w:rsidRPr="00922C73">
        <w:rPr>
          <w:rFonts w:ascii="Times New Roman" w:hAnsi="Times New Roman" w:cs="Times New Roman"/>
          <w:sz w:val="24"/>
          <w:szCs w:val="24"/>
        </w:rPr>
        <w:softHyphen/>
        <w:t>gate which leads to a colour change when TMB substrate is added.</w:t>
      </w:r>
    </w:p>
    <w:p w14:paraId="7D02DE97" w14:textId="77777777" w:rsidR="00C413E2" w:rsidRPr="00922C73" w:rsidRDefault="00C413E2" w:rsidP="00C413E2">
      <w:pPr>
        <w:spacing w:line="240" w:lineRule="auto"/>
        <w:rPr>
          <w:rFonts w:ascii="Times New Roman" w:hAnsi="Times New Roman" w:cs="Times New Roman"/>
          <w:sz w:val="24"/>
          <w:szCs w:val="24"/>
        </w:rPr>
      </w:pPr>
    </w:p>
    <w:p w14:paraId="37DDC73F" w14:textId="77777777" w:rsidR="00C413E2" w:rsidRPr="00922C73" w:rsidRDefault="00C413E2" w:rsidP="00C413E2">
      <w:pPr>
        <w:spacing w:line="240" w:lineRule="auto"/>
        <w:rPr>
          <w:rFonts w:ascii="Times New Roman" w:hAnsi="Times New Roman" w:cs="Times New Roman"/>
          <w:sz w:val="24"/>
          <w:szCs w:val="24"/>
        </w:rPr>
      </w:pPr>
    </w:p>
    <w:p w14:paraId="7CD7A6EF" w14:textId="21B9AC23" w:rsidR="00C941BD" w:rsidRPr="00922C73" w:rsidRDefault="00C941BD" w:rsidP="00C413E2">
      <w:pPr>
        <w:spacing w:line="240" w:lineRule="auto"/>
        <w:rPr>
          <w:rFonts w:ascii="Times New Roman" w:hAnsi="Times New Roman" w:cs="Times New Roman"/>
          <w:sz w:val="24"/>
          <w:szCs w:val="24"/>
        </w:rPr>
      </w:pPr>
    </w:p>
    <w:p w14:paraId="3360B8E5" w14:textId="46891885" w:rsidR="00013833" w:rsidRPr="00922C73" w:rsidRDefault="004631AE" w:rsidP="002D7BEB">
      <w:pPr>
        <w:pStyle w:val="Heading3"/>
        <w:spacing w:line="480" w:lineRule="auto"/>
        <w:rPr>
          <w:rFonts w:ascii="Times New Roman" w:hAnsi="Times New Roman" w:cs="Times New Roman"/>
          <w:b/>
          <w:bCs/>
        </w:rPr>
      </w:pPr>
      <w:bookmarkStart w:id="52" w:name="_Toc151020464"/>
      <w:r w:rsidRPr="00922C73">
        <w:rPr>
          <w:rFonts w:ascii="Times New Roman" w:hAnsi="Times New Roman" w:cs="Times New Roman"/>
          <w:b/>
          <w:bCs/>
        </w:rPr>
        <w:lastRenderedPageBreak/>
        <w:t>1.</w:t>
      </w:r>
      <w:r w:rsidR="00F64D9D" w:rsidRPr="00922C73">
        <w:rPr>
          <w:rFonts w:ascii="Times New Roman" w:hAnsi="Times New Roman" w:cs="Times New Roman"/>
          <w:b/>
          <w:bCs/>
        </w:rPr>
        <w:t>3</w:t>
      </w:r>
      <w:r w:rsidR="002D7BEB" w:rsidRPr="00922C73">
        <w:rPr>
          <w:rFonts w:ascii="Times New Roman" w:hAnsi="Times New Roman" w:cs="Times New Roman"/>
          <w:b/>
          <w:bCs/>
        </w:rPr>
        <w:t xml:space="preserve">.2 </w:t>
      </w:r>
      <w:r w:rsidR="00BE1DE3" w:rsidRPr="00922C73">
        <w:rPr>
          <w:rFonts w:ascii="Times New Roman" w:hAnsi="Times New Roman" w:cs="Times New Roman"/>
          <w:b/>
          <w:bCs/>
        </w:rPr>
        <w:t xml:space="preserve">Development of </w:t>
      </w:r>
      <w:r w:rsidR="00F64D9D" w:rsidRPr="00922C73">
        <w:rPr>
          <w:rFonts w:ascii="Times New Roman" w:hAnsi="Times New Roman" w:cs="Times New Roman"/>
          <w:b/>
          <w:bCs/>
        </w:rPr>
        <w:t>ATI</w:t>
      </w:r>
      <w:bookmarkEnd w:id="52"/>
    </w:p>
    <w:p w14:paraId="3F758392" w14:textId="269A6261" w:rsidR="00013833" w:rsidRPr="00922C73" w:rsidRDefault="007963F8" w:rsidP="00700BBF">
      <w:pPr>
        <w:spacing w:line="480" w:lineRule="auto"/>
        <w:rPr>
          <w:rFonts w:ascii="Segoe UI" w:hAnsi="Segoe UI" w:cs="Segoe UI"/>
          <w:shd w:val="clear" w:color="auto" w:fill="FFFFFF"/>
        </w:rPr>
      </w:pPr>
      <w:r w:rsidRPr="00922C73">
        <w:rPr>
          <w:rFonts w:ascii="Times New Roman" w:hAnsi="Times New Roman" w:cs="Times New Roman"/>
          <w:sz w:val="24"/>
          <w:szCs w:val="24"/>
        </w:rPr>
        <w:t>Expression of c</w:t>
      </w:r>
      <w:r w:rsidR="00882958" w:rsidRPr="00922C73">
        <w:rPr>
          <w:rFonts w:ascii="Times New Roman" w:hAnsi="Times New Roman" w:cs="Times New Roman"/>
          <w:sz w:val="24"/>
          <w:szCs w:val="24"/>
        </w:rPr>
        <w:t>erta</w:t>
      </w:r>
      <w:r w:rsidR="00B87D8F" w:rsidRPr="00922C73">
        <w:rPr>
          <w:rFonts w:ascii="Times New Roman" w:hAnsi="Times New Roman" w:cs="Times New Roman"/>
          <w:sz w:val="24"/>
          <w:szCs w:val="24"/>
        </w:rPr>
        <w:t xml:space="preserve">in </w:t>
      </w:r>
      <w:r w:rsidRPr="00922C73">
        <w:rPr>
          <w:rFonts w:ascii="Times New Roman" w:hAnsi="Times New Roman" w:cs="Times New Roman"/>
          <w:sz w:val="24"/>
          <w:szCs w:val="24"/>
        </w:rPr>
        <w:t xml:space="preserve">HLA </w:t>
      </w:r>
      <w:r w:rsidR="00D3694F" w:rsidRPr="00922C73">
        <w:rPr>
          <w:rFonts w:ascii="Times New Roman" w:hAnsi="Times New Roman" w:cs="Times New Roman"/>
          <w:sz w:val="24"/>
          <w:szCs w:val="24"/>
        </w:rPr>
        <w:t>alleles</w:t>
      </w:r>
      <w:r w:rsidRPr="00922C73">
        <w:rPr>
          <w:rFonts w:ascii="Times New Roman" w:hAnsi="Times New Roman" w:cs="Times New Roman"/>
          <w:sz w:val="24"/>
          <w:szCs w:val="24"/>
        </w:rPr>
        <w:t xml:space="preserve"> </w:t>
      </w:r>
      <w:r w:rsidR="000B5AA1" w:rsidRPr="00922C73">
        <w:rPr>
          <w:rFonts w:ascii="Times New Roman" w:hAnsi="Times New Roman" w:cs="Times New Roman"/>
          <w:sz w:val="24"/>
          <w:szCs w:val="24"/>
        </w:rPr>
        <w:t>are associated with</w:t>
      </w:r>
      <w:r w:rsidR="00882958" w:rsidRPr="00922C73">
        <w:rPr>
          <w:rFonts w:ascii="Times New Roman" w:hAnsi="Times New Roman" w:cs="Times New Roman"/>
          <w:sz w:val="24"/>
          <w:szCs w:val="24"/>
        </w:rPr>
        <w:t xml:space="preserve"> the dev</w:t>
      </w:r>
      <w:r w:rsidR="000B5AA1" w:rsidRPr="00922C73">
        <w:rPr>
          <w:rFonts w:ascii="Times New Roman" w:hAnsi="Times New Roman" w:cs="Times New Roman"/>
          <w:sz w:val="24"/>
          <w:szCs w:val="24"/>
        </w:rPr>
        <w:t>elopment of</w:t>
      </w:r>
      <w:r w:rsidR="00B87D8F" w:rsidRPr="00922C73">
        <w:rPr>
          <w:rFonts w:ascii="Times New Roman" w:hAnsi="Times New Roman" w:cs="Times New Roman"/>
          <w:sz w:val="24"/>
          <w:szCs w:val="24"/>
        </w:rPr>
        <w:t xml:space="preserve"> immunogenicity to biotherapeutics</w:t>
      </w:r>
      <w:r w:rsidR="00641B78" w:rsidRPr="00922C73">
        <w:rPr>
          <w:rFonts w:ascii="Times New Roman" w:hAnsi="Times New Roman" w:cs="Times New Roman"/>
          <w:sz w:val="24"/>
          <w:szCs w:val="24"/>
        </w:rPr>
        <w:t xml:space="preserve">. </w:t>
      </w:r>
      <w:r w:rsidR="00D3694F" w:rsidRPr="00922C73">
        <w:rPr>
          <w:rFonts w:ascii="Times New Roman" w:hAnsi="Times New Roman" w:cs="Times New Roman"/>
          <w:sz w:val="24"/>
          <w:szCs w:val="24"/>
        </w:rPr>
        <w:t xml:space="preserve">76 </w:t>
      </w:r>
      <w:r w:rsidR="00641B78" w:rsidRPr="00922C73">
        <w:rPr>
          <w:rFonts w:ascii="Times New Roman" w:hAnsi="Times New Roman" w:cs="Times New Roman"/>
          <w:sz w:val="24"/>
          <w:szCs w:val="24"/>
        </w:rPr>
        <w:t xml:space="preserve">ATI positive IBD patients </w:t>
      </w:r>
      <w:r w:rsidRPr="00922C73">
        <w:rPr>
          <w:rFonts w:ascii="Times New Roman" w:hAnsi="Times New Roman" w:cs="Times New Roman"/>
          <w:sz w:val="24"/>
          <w:szCs w:val="24"/>
        </w:rPr>
        <w:t xml:space="preserve">were shown to </w:t>
      </w:r>
      <w:r w:rsidR="00641B78" w:rsidRPr="00922C73">
        <w:rPr>
          <w:rFonts w:ascii="Times New Roman" w:hAnsi="Times New Roman" w:cs="Times New Roman"/>
          <w:sz w:val="24"/>
          <w:szCs w:val="24"/>
        </w:rPr>
        <w:t xml:space="preserve">express </w:t>
      </w:r>
      <w:bookmarkStart w:id="53" w:name="_Hlk513458338"/>
      <w:r w:rsidR="00E00889" w:rsidRPr="00922C73">
        <w:rPr>
          <w:rFonts w:ascii="Times New Roman" w:hAnsi="Times New Roman" w:cs="Times New Roman"/>
          <w:sz w:val="24"/>
          <w:szCs w:val="24"/>
        </w:rPr>
        <w:t xml:space="preserve">HLA </w:t>
      </w:r>
      <w:r w:rsidR="00E00889" w:rsidRPr="00922C73">
        <w:rPr>
          <w:rFonts w:ascii="Times New Roman" w:eastAsia="Times New Roman" w:hAnsi="Times New Roman" w:cs="Times New Roman"/>
          <w:sz w:val="24"/>
          <w:szCs w:val="24"/>
          <w:lang w:eastAsia="en-GB"/>
        </w:rPr>
        <w:t>DRB1*03</w:t>
      </w:r>
      <w:bookmarkEnd w:id="53"/>
      <w:r w:rsidR="00882958" w:rsidRPr="00922C73">
        <w:rPr>
          <w:rFonts w:ascii="Times New Roman" w:eastAsia="Times New Roman" w:hAnsi="Times New Roman" w:cs="Times New Roman"/>
          <w:sz w:val="24"/>
          <w:szCs w:val="24"/>
          <w:lang w:eastAsia="en-GB"/>
        </w:rPr>
        <w:t xml:space="preserve"> </w:t>
      </w:r>
      <w:r w:rsidR="00E00889" w:rsidRPr="00922C73">
        <w:rPr>
          <w:rFonts w:ascii="Times New Roman" w:eastAsia="Times New Roman" w:hAnsi="Times New Roman" w:cs="Times New Roman"/>
          <w:sz w:val="24"/>
          <w:szCs w:val="24"/>
          <w:lang w:eastAsia="en-GB"/>
        </w:rPr>
        <w:t xml:space="preserve">significantly more than </w:t>
      </w:r>
      <w:r w:rsidR="00D3694F" w:rsidRPr="00922C73">
        <w:rPr>
          <w:rFonts w:ascii="Times New Roman" w:eastAsia="Times New Roman" w:hAnsi="Times New Roman" w:cs="Times New Roman"/>
          <w:sz w:val="24"/>
          <w:szCs w:val="24"/>
          <w:lang w:eastAsia="en-GB"/>
        </w:rPr>
        <w:t xml:space="preserve">116 </w:t>
      </w:r>
      <w:r w:rsidR="00013833" w:rsidRPr="00922C73">
        <w:rPr>
          <w:rFonts w:ascii="Times New Roman" w:eastAsia="Times New Roman" w:hAnsi="Times New Roman" w:cs="Times New Roman"/>
          <w:sz w:val="24"/>
          <w:szCs w:val="24"/>
          <w:lang w:eastAsia="en-GB"/>
        </w:rPr>
        <w:t>controls</w:t>
      </w:r>
      <w:r w:rsidR="00882958" w:rsidRPr="00922C73">
        <w:rPr>
          <w:rFonts w:ascii="Times New Roman" w:eastAsia="Times New Roman" w:hAnsi="Times New Roman" w:cs="Times New Roman"/>
          <w:sz w:val="24"/>
          <w:szCs w:val="24"/>
          <w:lang w:eastAsia="en-GB"/>
        </w:rPr>
        <w:t xml:space="preserve"> (13% compared to 4%; p=0.002)</w:t>
      </w:r>
      <w:r w:rsidRPr="00922C73">
        <w:rPr>
          <w:rFonts w:ascii="Times New Roman" w:eastAsia="Times New Roman" w:hAnsi="Times New Roman" w:cs="Times New Roman"/>
          <w:sz w:val="24"/>
          <w:szCs w:val="24"/>
          <w:lang w:eastAsia="en-GB"/>
        </w:rPr>
        <w:t xml:space="preserve"> independent of disease type, use of a loading dose or concomitant immunosuppression</w:t>
      </w:r>
      <w:r w:rsidR="00882958" w:rsidRPr="00922C73">
        <w:rPr>
          <w:rFonts w:ascii="Times New Roman" w:eastAsia="Times New Roman" w:hAnsi="Times New Roman" w:cs="Times New Roman"/>
          <w:sz w:val="24"/>
          <w:szCs w:val="24"/>
          <w:lang w:eastAsia="en-GB"/>
        </w:rPr>
        <w:t xml:space="preserve"> </w:t>
      </w:r>
      <w:r w:rsidR="00882958"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{"citationItems":[{"id":"ITEM-1","itemData":{"DOI":"10.1016/S0016-5085(15)32375-1","ISSN":"00165085","abstract":"Background Loss of response is one of the biggest obstacles of maintenance treatment with infliximab (IFX) in patients with inflammatory bowel diseases (IBD). One of the factors driving loss of response, is the formation of antibodies to infliximab (ATI). Little is known about host factors that determine immune responses to IFX but genetic factors may play a crucial role. Methods We hypothesized that the formation of ATI is associated with specific HLA class II alleles. We retrospectively identified 76 IBD patients (44 CD, 32 UC) who developed ATI (=cases) during maintenance therapy and matched them with 116 IBD controls (64 CD, 52 UC). Controls required at least two years of maintenance therapy with at least six IFX trough level (TL) measurements and never detectable ATI. ATI and TL were measured with an in-house-developed and clinically validated ELISA. HLA-DRB1 allele groups were typed using PCR with sequence specific primers (Prometheus Laboratories Inc.). Patient and therapy factors and the number of allele carriers for the different DRB1 alleles were compared between cases and controls. Stepwise logistic regression was performed to identify independent predictors of ATI formation. Results At IFX start, a loading dose (at weeks 0-2-6) and a higher albumin level were protective for ATI formation (P&lt;0.05, Chi² and Mann Whitney test). When considering the total number of DRB1 alleles, we found that 13% of the alleles in cases were DRB1*03 positive compared to 4% in the control group (P=0.02 (adjusted for multiple testing with FDR); OR=3.7, 95% CI 1.6-8.7). This association was independent of disease type, use of a loading dose or concomitant immunomodulator use (P&lt;0.01; Cochran Mantel Haenszel). In a multiple logistic regression model, the presence of DRB1*03, absence of a loading dose or IFX monotherapy were independent significant predictors of ATI formation with OR (95%CI) of 6.7 (2.3-19.5), 2.9 (1.4-6.3) and 2.02 (1.0-4.2) respectively. Conclusion We demonstrate that ATI formation is influenced by the HLA-DRB1 locus in patients with IBD. This locus has already been associated with formation of antibodies to interferon beta therapy in multiple sclerosis and the DRB1*03 allele with formation of anti-Ro/La antibodies in lupus. Our results therefore further implicate a causal role for this allele group in immunogenicity. We also demonstrated that low serum albumin and absence of a loading dose are involved in ATI formation. Low albumin has previously …","author":[{"dropping-particle":"","family":"Billiet","given":"Thomas","non-dropping-particle":"","parse-names":false,"suffix":""},{"dropping-particle":"Vande","family":"Casteele","given":"Niels","non-dropping-particle":"","parse-names":false,"suffix":""},{"dropping-particle":"","family":"Stappen","given":"Thomas","non-dropping-particle":"Van","parse-names":false,"suffix":""},{"dropping-particle":"","family":"Cleynen","given":"Isabelle","non-dropping-particle":"","parse-names":false,"suffix":""},{"dropping-particle":"","family":"Ballet","given":"Vera","non-dropping-particle":"","parse-names":false,"suffix":""},{"dropping-particle":"","family":"Claes","given":"Karolien","non-dropping-particle":"","parse-names":false,"suffix":""},{"dropping-particle":"","family":"Princen","given":"Fred","non-dropping-particle":"","parse-names":false,"suffix":""},{"dropping-particle":"","family":"Singh","given":"Sharat","non-dropping-particle":"","parse-names":false,"suffix":""},{"dropping-particle":"","family":"Gils","given":"Ann","non-dropping-particle":"","parse-names":false,"suffix":""},{"dropping-particle":"","family":"Ferrante","given":"Marc","non-dropping-particle":"","parse-names":false,"suffix":""},{"dropping-particle":"","family":"Assche","given":"Gert A.","non-dropping-particle":"Van","parse-names":false,"suffix":""},{"dropping-particle":"","family":"Vermeire","given":"Severine","non-dropping-particle":"","parse-names":false,"suffix":""}],"container-title":"Gastroenterology","id":"ITEM-1","issue":"4","issued":{"date-parts":[["2015","4"]]},"page":"S-700-S-701","title":"Mo1745 The Development of Antibodies to Infliximab in Inflammatory Bowel Disease Is Influenced by HLA-DRB1","type":"article-journal","volume":"148"},"uris":["http://www.mendeley.com/documents/?uuid=80f71729-ab31-460a-9d77-10d65e9953ab","http://www.mendeley.com/documents/?uuid=02465dbd-c67c-4a0a-8a06-da808b8a419c"]}],"mendeley":{"formattedCitation":"&lt;sup&gt;127&lt;/sup&gt;","plainTextFormattedCitation":"127","previouslyFormattedCitation":"&lt;sup&gt;127&lt;/sup&gt;"},"properties":{"noteIndex":0},"schema":"https://github.com/citation-style-language/schema/raw/master/csl-citation.json"}</w:instrText>
      </w:r>
      <w:r w:rsidR="00882958"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127</w:t>
      </w:r>
      <w:r w:rsidR="00882958" w:rsidRPr="00922C73">
        <w:rPr>
          <w:rFonts w:ascii="Times New Roman" w:eastAsia="Times New Roman" w:hAnsi="Times New Roman" w:cs="Times New Roman"/>
          <w:sz w:val="24"/>
          <w:szCs w:val="24"/>
          <w:lang w:eastAsia="en-GB"/>
        </w:rPr>
        <w:fldChar w:fldCharType="end"/>
      </w:r>
      <w:r w:rsidR="00013833" w:rsidRPr="00922C73">
        <w:rPr>
          <w:rFonts w:ascii="Times New Roman" w:eastAsia="Times New Roman" w:hAnsi="Times New Roman" w:cs="Times New Roman"/>
          <w:sz w:val="24"/>
          <w:szCs w:val="24"/>
          <w:lang w:eastAsia="en-GB"/>
        </w:rPr>
        <w:t>.</w:t>
      </w:r>
      <w:r w:rsidR="00013833" w:rsidRPr="00922C73">
        <w:t xml:space="preserve"> </w:t>
      </w:r>
      <w:r w:rsidR="00013833" w:rsidRPr="00922C73">
        <w:rPr>
          <w:rFonts w:ascii="Times New Roman" w:eastAsia="Times New Roman" w:hAnsi="Times New Roman" w:cs="Times New Roman"/>
          <w:sz w:val="24"/>
          <w:szCs w:val="24"/>
          <w:lang w:eastAsia="en-GB"/>
        </w:rPr>
        <w:t xml:space="preserve">HLA DRB1*03 is also associated with antibodies to interferon beta therapy in multiple sclerosis and </w:t>
      </w:r>
      <w:r w:rsidR="00CF2E9A" w:rsidRPr="00922C73">
        <w:rPr>
          <w:rFonts w:ascii="Times New Roman" w:eastAsia="Times New Roman" w:hAnsi="Times New Roman" w:cs="Times New Roman"/>
          <w:sz w:val="24"/>
          <w:szCs w:val="24"/>
          <w:lang w:eastAsia="en-GB"/>
        </w:rPr>
        <w:t>the development of</w:t>
      </w:r>
      <w:r w:rsidR="00013833" w:rsidRPr="00922C73">
        <w:rPr>
          <w:rFonts w:ascii="Times New Roman" w:eastAsia="Times New Roman" w:hAnsi="Times New Roman" w:cs="Times New Roman"/>
          <w:sz w:val="24"/>
          <w:szCs w:val="24"/>
          <w:lang w:eastAsia="en-GB"/>
        </w:rPr>
        <w:t xml:space="preserve"> systemic lupus erythematosus </w:t>
      </w:r>
      <w:r w:rsidR="00013833"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{"citationItems":[{"id":"ITEM-1","itemData":{"DOI":"10.1016/S0016-5085(15)32375-1","ISSN":"00165085","abstract":"Background Loss of response is one of the biggest obstacles of maintenance treatment with infliximab (IFX) in patients with inflammatory bowel diseases (IBD). One of the factors driving loss of response, is the formation of antibodies to infliximab (ATI). Little is known about host factors that determine immune responses to IFX but genetic factors may play a crucial role. Methods We hypothesized that the formation of ATI is associated with specific HLA class II alleles. We retrospectively identified 76 IBD patients (44 CD, 32 UC) who developed ATI (=cases) during maintenance therapy and matched them with 116 IBD controls (64 CD, 52 UC). Controls required at least two years of maintenance therapy with at least six IFX trough level (TL) measurements and never detectable ATI. ATI and TL were measured with an in-house-developed and clinically validated ELISA. HLA-DRB1 allele groups were typed using PCR with sequence specific primers (Prometheus Laboratories Inc.). Patient and therapy factors and the number of allele carriers for the different DRB1 alleles were compared between cases and controls. Stepwise logistic regression was performed to identify independent predictors of ATI formation. Results At IFX start, a loading dose (at weeks 0-2-6) and a higher albumin level were protective for ATI formation (P&lt;0.05, Chi² and Mann Whitney test). When considering the total number of DRB1 alleles, we found that 13% of the alleles in cases were DRB1*03 positive compared to 4% in the control group (P=0.02 (adjusted for multiple testing with FDR); OR=3.7, 95% CI 1.6-8.7). This association was independent of disease type, use of a loading dose or concomitant immunomodulator use (P&lt;0.01; Cochran Mantel Haenszel). In a multiple logistic regression model, the presence of DRB1*03, absence of a loading dose or IFX monotherapy were independent significant predictors of ATI formation with OR (95%CI) of 6.7 (2.3-19.5), 2.9 (1.4-6.3) and 2.02 (1.0-4.2) respectively. Conclusion We demonstrate that ATI formation is influenced by the HLA-DRB1 locus in patients with IBD. This locus has already been associated with formation of antibodies to interferon beta therapy in multiple sclerosis and the DRB1*03 allele with formation of anti-Ro/La antibodies in lupus. Our results therefore further implicate a causal role for this allele group in immunogenicity. We also demonstrated that low serum albumin and absence of a loading dose are involved in ATI formation. Low albumin has previously …","author":[{"dropping-particle":"","family":"Billiet","given":"Thomas","non-dropping-particle":"","parse-names":false,"suffix":""},{"dropping-particle":"Vande","family":"Casteele","given":"Niels","non-dropping-particle":"","parse-names":false,"suffix":""},{"dropping-particle":"","family":"Stappen","given":"Thomas","non-dropping-particle":"Van","parse-names":false,"suffix":""},{"dropping-particle":"","family":"Cleynen","given":"Isabelle","non-dropping-particle":"","parse-names":false,"suffix":""},{"dropping-particle":"","family":"Ballet","given":"Vera","non-dropping-particle":"","parse-names":false,"suffix":""},{"dropping-particle":"","family":"Claes","given":"Karolien","non-dropping-particle":"","parse-names":false,"suffix":""},{"dropping-particle":"","family":"Princen","given":"Fred","non-dropping-particle":"","parse-names":false,"suffix":""},{"dropping-particle":"","family":"Singh","given":"Sharat","non-dropping-particle":"","parse-names":false,"suffix":""},{"dropping-particle":"","family":"Gils","given":"Ann","non-dropping-particle":"","parse-names":false,"suffix":""},{"dropping-particle":"","family":"Ferrante","given":"Marc","non-dropping-particle":"","parse-names":false,"suffix":""},{"dropping-particle":"","family":"Assche","given":"Gert A.","non-dropping-particle":"Van","parse-names":false,"suffix":""},{"dropping-particle":"","family":"Vermeire","given":"Severine","non-dropping-particle":"","parse-names":false,"suffix":""}],"container-title":"Gastroenterology","id":"ITEM-1","issue":"4","issued":{"date-parts":[["2015","4"]]},"page":"S-700-S-701","title":"Mo1745 The Development of Antibodies to Infliximab in Inflammatory Bowel Disease Is Influenced by HLA-DRB1","type":"article-journal","volume":"148"},"uris":["http://www.mendeley.com/documents/?uuid=02465dbd-c67c-4a0a-8a06-da808b8a419c"]}],"mendeley":{"formattedCitation":"&lt;sup&gt;127&lt;/sup&gt;","plainTextFormattedCitation":"127","previouslyFormattedCitation":"&lt;sup&gt;127&lt;/sup&gt;"},"properties":{"noteIndex":0},"schema":"https://github.com/citation-style-language/schema/raw/master/csl-citation.json"}</w:instrText>
      </w:r>
      <w:r w:rsidR="00013833"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127</w:t>
      </w:r>
      <w:r w:rsidR="00013833" w:rsidRPr="00922C73">
        <w:rPr>
          <w:rFonts w:ascii="Times New Roman" w:eastAsia="Times New Roman" w:hAnsi="Times New Roman" w:cs="Times New Roman"/>
          <w:sz w:val="24"/>
          <w:szCs w:val="24"/>
          <w:lang w:eastAsia="en-GB"/>
        </w:rPr>
        <w:fldChar w:fldCharType="end"/>
      </w:r>
      <w:r w:rsidR="00CF2E9A" w:rsidRPr="00922C73">
        <w:rPr>
          <w:rFonts w:ascii="Times New Roman" w:eastAsia="Times New Roman" w:hAnsi="Times New Roman" w:cs="Times New Roman"/>
          <w:sz w:val="24"/>
          <w:szCs w:val="24"/>
          <w:lang w:eastAsia="en-GB"/>
        </w:rPr>
        <w:t xml:space="preserve"> indicating its importance in autoimmunity and immunogenicity to medications</w:t>
      </w:r>
      <w:r w:rsidR="00013833" w:rsidRPr="00922C73">
        <w:rPr>
          <w:rFonts w:ascii="Times New Roman" w:eastAsia="Times New Roman" w:hAnsi="Times New Roman" w:cs="Times New Roman"/>
          <w:sz w:val="24"/>
          <w:szCs w:val="24"/>
          <w:lang w:eastAsia="en-GB"/>
        </w:rPr>
        <w:t xml:space="preserve">. </w:t>
      </w:r>
      <w:r w:rsidRPr="00922C73">
        <w:rPr>
          <w:rFonts w:ascii="Times New Roman" w:hAnsi="Times New Roman" w:cs="Times New Roman"/>
          <w:sz w:val="24"/>
          <w:szCs w:val="24"/>
          <w:shd w:val="clear" w:color="auto" w:fill="FFFFFF"/>
        </w:rPr>
        <w:t xml:space="preserve">A prospective study in over 1000 CD patients identified </w:t>
      </w:r>
      <w:r w:rsidR="0047105A" w:rsidRPr="00922C73">
        <w:rPr>
          <w:rFonts w:ascii="Times New Roman" w:hAnsi="Times New Roman" w:cs="Times New Roman"/>
          <w:sz w:val="24"/>
          <w:szCs w:val="24"/>
          <w:shd w:val="clear" w:color="auto" w:fill="FFFFFF"/>
        </w:rPr>
        <w:t xml:space="preserve">a different </w:t>
      </w:r>
      <w:r w:rsidRPr="00922C73">
        <w:rPr>
          <w:rFonts w:ascii="Times New Roman" w:hAnsi="Times New Roman" w:cs="Times New Roman"/>
          <w:sz w:val="24"/>
          <w:szCs w:val="24"/>
          <w:shd w:val="clear" w:color="auto" w:fill="FFFFFF"/>
        </w:rPr>
        <w:t>HLA</w:t>
      </w:r>
      <w:r w:rsidR="0047105A" w:rsidRPr="00922C73">
        <w:rPr>
          <w:rFonts w:ascii="Times New Roman" w:hAnsi="Times New Roman" w:cs="Times New Roman"/>
          <w:sz w:val="24"/>
          <w:szCs w:val="24"/>
          <w:shd w:val="clear" w:color="auto" w:fill="FFFFFF"/>
        </w:rPr>
        <w:t xml:space="preserve"> allele, HLA</w:t>
      </w:r>
      <w:r w:rsidRPr="00922C73">
        <w:rPr>
          <w:rFonts w:ascii="Times New Roman" w:hAnsi="Times New Roman" w:cs="Times New Roman"/>
          <w:sz w:val="24"/>
          <w:szCs w:val="24"/>
          <w:shd w:val="clear" w:color="auto" w:fill="FFFFFF"/>
        </w:rPr>
        <w:t xml:space="preserve">-DQA1*05 </w:t>
      </w:r>
      <w:r w:rsidR="0047105A" w:rsidRPr="00922C73">
        <w:rPr>
          <w:rFonts w:ascii="Times New Roman" w:hAnsi="Times New Roman" w:cs="Times New Roman"/>
          <w:sz w:val="24"/>
          <w:szCs w:val="24"/>
          <w:shd w:val="clear" w:color="auto" w:fill="FFFFFF"/>
        </w:rPr>
        <w:t>with an</w:t>
      </w:r>
      <w:r w:rsidR="00013833" w:rsidRPr="00922C73">
        <w:rPr>
          <w:rFonts w:ascii="Times New Roman" w:hAnsi="Times New Roman" w:cs="Times New Roman"/>
          <w:sz w:val="24"/>
          <w:szCs w:val="24"/>
          <w:shd w:val="clear" w:color="auto" w:fill="FFFFFF"/>
        </w:rPr>
        <w:t xml:space="preserve"> </w:t>
      </w:r>
      <w:r w:rsidRPr="00922C73">
        <w:rPr>
          <w:rFonts w:ascii="Times New Roman" w:hAnsi="Times New Roman" w:cs="Times New Roman"/>
          <w:sz w:val="24"/>
          <w:szCs w:val="24"/>
          <w:shd w:val="clear" w:color="auto" w:fill="FFFFFF"/>
        </w:rPr>
        <w:t>increased risk of developing antibodies t</w:t>
      </w:r>
      <w:r w:rsidR="005949B8" w:rsidRPr="00922C73">
        <w:rPr>
          <w:rFonts w:ascii="Times New Roman" w:hAnsi="Times New Roman" w:cs="Times New Roman"/>
          <w:sz w:val="24"/>
          <w:szCs w:val="24"/>
          <w:shd w:val="clear" w:color="auto" w:fill="FFFFFF"/>
        </w:rPr>
        <w:t>o both infliximab and adalimumab</w:t>
      </w:r>
      <w:r w:rsidR="00196ED7" w:rsidRPr="00922C73">
        <w:rPr>
          <w:rFonts w:ascii="Times New Roman" w:hAnsi="Times New Roman" w:cs="Times New Roman"/>
          <w:sz w:val="24"/>
          <w:szCs w:val="24"/>
          <w:shd w:val="clear" w:color="auto" w:fill="FFFFFF"/>
        </w:rPr>
        <w:t xml:space="preserve"> </w:t>
      </w:r>
      <w:r w:rsidR="00196ED7"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10.1053/j.gastro.2019.09.041","ISSN":"00165085","author":[{"dropping-particle":"","family":"Sazonovs","given":"Aleksejs","non-dropping-particle":"","parse-names":false,"suffix":""},{"dropping-particle":"","family":"Kennedy","given":"Nicholas A.","non-dropping-particle":"","parse-names":false,"suffix":""},{"dropping-particle":"","family":"Moutsianas","given":"Loukas","non-dropping-particle":"","parse-names":false,"suffix":""},{"dropping-particle":"","family":"Heap","given":"Graham A.","non-dropping-particle":"","parse-names":false,"suffix":""},{"dropping-particle":"","family":"Rice","given":"Daniel L.","non-dropping-particle":"","parse-names":false,"suffix":""},{"dropping-particle":"","family":"Reppell","given":"Mark","non-dropping-particle":"","parse-names":false,"suffix":""},{"dropping-particle":"","family":"Bewshea","given":"Claire M.","non-dropping-particle":"","parse-names":false,"suffix":""},{"dropping-particle":"","family":"Chanchlani","given":"Neil","non-dropping-particle":"","parse-names":false,"suffix":""},{"dropping-particle":"","family":"Walker","given":"Gareth J.","non-dropping-particle":"","parse-names":false,"suffix":""},{"dropping-particle":"","family":"Perry","given":"Mandy H.","non-dropping-particle":"","parse-names":false,"suffix":""},{"dropping-particle":"","family":"McDonald","given":"Timothy J.","non-dropping-particle":"","parse-names":false,"suffix":""},{"dropping-particle":"","family":"Lees","given":"Charlie W.","non-dropping-particle":"","parse-names":false,"suffix":""},{"dropping-particle":"","family":"Cummings","given":"J.R. Fraser","non-dropping-particle":"","parse-names":false,"suffix":""},{"dropping-particle":"","family":"Parkes","given":"Miles","non-dropping-particle":"","parse-names":false,"suffix":""},{"dropping-particle":"","family":"Mansfield","given":"John C.","non-dropping-particle":"","parse-names":false,"suffix":""},{"dropping-particle":"","family":"Irving","given":"Peter M.","non-dropping-particle":"","parse-names":false,"suffix":""},{"dropping-particle":"","family":"Barrett","given":"Jeffrey C.","non-dropping-particle":"","parse-names":false,"suffix":""},{"dropping-particle":"","family":"McGovern","given":"Dermot","non-dropping-particle":"","parse-names":false,"suffix":""},{"dropping-particle":"","family":"Goodhand","given":"James R.","non-dropping-particle":"","parse-names":false,"suffix":""},{"dropping-particle":"","family":"Anderson","given":"Carl A.","non-dropping-particle":"","parse-names":false,"suffix":""},{"dropping-particle":"","family":"Ahmad","given":"Tariq","non-dropping-particle":"","parse-names":false,"suffix":""},{"dropping-particle":"","family":"Patel","given":"Vinod","non-dropping-particle":"","parse-names":false,"suffix":""},{"dropping-particle":"","family":"Mazhar","given":"Zia","non-dropping-particle":"","parse-names":false,"suffix":""},{"dropping-particle":"","family":"Saich","given":"Rebecca","non-dropping-particle":"","parse-names":false,"suffix":""},{"dropping-particle":"","family":"Colleypriest","given":"Ben","non-dropping-particle":"","parse-names":false,"suffix":""},{"dropping-particle":"","family":"Tham","given":"Tony C","non-dropping-particle":"","parse-names":false,"suffix":""},{"dropping-particle":"","family":"Iqbal","given":"Tariq H","non-dropping-particle":"","parse-names":false,"suffix":""},{"dropping-particle":"","family":"Kaushik","given":"Vishal","non-dropping-particle":"","parse-names":false,"suffix":""},{"dropping-particle":"","family":"Murugesan","given":"Senthil","non-dropping-particle":"","parse-names":false,"suffix":""},{"dropping-particle":"","family":"Singh","given":"Salil","non-dropping-particle":"","parse-names":false,"suffix":""},{"dropping-particle":"","family":"Weaver","given":"Sean","non-dropping-particle":"","parse-names":false,"suffix":""},{"dropping-particle":"","family":"Preston","given":"Cathryn","non-dropping-particle":"","parse-names":false,"suffix":""},{"dropping-particle":"","family":"Butt","given":"Assad","non-dropping-particle":"","parse-names":false,"suffix":""},{"dropping-particle":"","family":"Smith","given":"Melissa","non-dropping-particle":"","parse-names":false,"suffix":""},{"dropping-particle":"","family":"Basude","given":"Dharamveer","non-dropping-particle":"","parse-names":false,"suffix":""},{"dropping-particle":"","family":"Beale","given":"Amanda","non-dropping-particle":"","parse-names":false,"suffix":""},{"dropping-particle":"","family":"Langlands","given":"Sarah","non-dropping-particle":"","parse-names":false,"suffix":""},{"dropping-particle":"","family":"Direkze","given":"Natalie","non-dropping-particle":"","parse-names":false,"suffix":""},{"dropping-particle":"","family":"Parkes","given":"Miles","non-dropping-particle":"","parse-names":false,"suffix":""},{"dropping-particle":"","family":"Torrente","given":"Franco","non-dropping-particle":"","parse-names":false,"suffix":""},{"dropping-particle":"","family":"La Revella Negro","given":"Juan","non-dropping-particle":"De","parse-names":false,"suffix":""},{"dropping-particle":"","family":"Ewen MacDonald","given":"Chris","non-dropping-particle":"","parse-names":false,"suffix":""},{"dropping-particle":"","family":"Evans","given":"Stephen M","non-dropping-particle":"","parse-names":false,"suffix":""},{"dropping-particle":"","family":"Gunasekera","given":"Anton V J","non-dropping-particle":"","parse-names":false,"suffix":""},{"dropping-particle":"","family":"Thakur","given":"Alka","non-dropping-particle":"","parse-names":false,"suffix":""},{"dropping-particle":"","family":"Elphick","given":"David","non-dropping-particle":"","parse-names":false,"suffix":""},{"dropping-particle":"","family":"Shenoy","given":"Achuth","non-dropping-particle":"","parse-names":false,"suffix":""},{"dropping-particle":"","family":"Nwokolo","given":"Chuka U","non-dropping-particle":"","parse-names":false,"suffix":""},{"dropping-particle":"","family":"Dhar","given":"Anjan","non-dropping-particle":"","parse-names":false,"suffix":""},{"dropping-particle":"","family":"Cole","given":"Andrew T","non-dropping-particle":"","parse-names":false,"suffix":""},{"dropping-particle":"","family":"Agrawal","given":"Anurag","non-dropping-particle":"","parse-names":false,"suffix":""},{"dropping-particle":"","family":"Bridger","given":"Stephen","non-dropping-particle":"","parse-names":false,"suffix":""},{"dropping-particle":"","family":"Doherty","given":"Julie","non-dropping-particle":"","parse-names":false,"suffix":""},{"dropping-particle":"","family":"Cooper","given":"Sheldon C","non-dropping-particle":"","parse-names":false,"suffix":""},{"dropping-particle":"","family":"Silva","given":"Shanika","non-dropping-particle":"de","parse-names":false,"suffix":""},{"dropping-particle":"","family":"Mowat","given":"Craig","non-dropping-particle":"","parse-names":false,"suffix":""},{"dropping-particle":"","family":"Mayhead","given":"Phillip","non-dropping-particle":"","parse-names":false,"suffix":""},{"dropping-particle":"","family":"Lees","given":"Charlie","non-dropping-particle":"","parse-names":false,"suffix":""},{"dropping-particle":"","family":"Jones","given":"Gareth","non-dropping-particle":"","parse-names":false,"suffix":""},{"dropping-particle":"","family":"Ahmad","given":"Tariq","non-dropping-particle":"","parse-names":false,"suffix":""},{"dropping-particle":"","family":"Hart","given":"James W","non-dropping-particle":"","parse-names":false,"suffix":""},{"dropping-particle":"","family":"Gaya","given":"Daniel R","non-dropping-particle":"","parse-names":false,"suffix":""},{"dropping-particle":"","family":"Russell","given":"Richard K","non-dropping-particle":"","parse-names":false,"suffix":""},{"dropping-particle":"","family":"Gervais","given":"Lisa","non-dropping-particle":"","parse-names":false,"suffix":""},{"dropping-particle":"","family":"Dunckley","given":"Paul","non-dropping-particle":"","parse-names":false,"suffix":""},{"dropping-particle":"","family":"Mahmood","given":"Tariq","non-dropping-particle":"","parse-names":false,"suffix":""},{"dropping-particle":"","family":"Banim","given":"Paul J R","non-dropping-particle":"","parse-names":false,"suffix":""},{"dropping-particle":"","family":"Sonwalkar","given":"Sunil","non-dropping-particle":"","parse-names":false,"suffix":""},{"dropping-particle":"","family":"Ghosh","given":"Deb","non-dropping-particle":"","parse-names":false,"suffix":""},{"dropping-particle":"","family":"Phillips","given":"Rosemary H","non-dropping-particle":"","parse-names":false,"suffix":""},{"dropping-particle":"","family":"Azaz","given":"Amer","non-dropping-particle":"","parse-names":false,"suffix":""},{"dropping-particle":"","family":"Sebastian","given":"Shaji","non-dropping-particle":"","parse-names":false,"suffix":""},{"dropping-particle":"","family":"Shenderey","given":"Richard","non-dropping-particle":"","parse-names":false,"suffix":""},{"dropping-particle":"","family":"Armstrong","given":"Lawrence","non-dropping-particle":"","parse-names":false,"suffix":""},{"dropping-particle":"","family":"Bell","given":"Claire","non-dropping-particle":"","parse-names":false,"suffix":""},{"dropping-particle":"","family":"Hariraj","given":"Radhakrishnan","non-dropping-particle":"","parse-names":false,"suffix":""},{"dropping-particle":"","family":"Matthews","given":"Helen","non-dropping-particle":"","parse-names":false,"suffix":""},{"dropping-particle":"","family":"Jafferbhoy","given":"Hasnain","non-dropping-particle":"","parse-names":false,"suffix":""},{"dropping-particle":"","family":"Selinger","given":"Christian P","non-dropping-particle":"","parse-names":false,"suffix":""},{"dropping-particle":"","family":"Zamvar","given":"Veena","non-dropping-particle":"","parse-names":false,"suffix":""},{"dropping-particle":"","family":"Caestecker","given":"John S","non-dropping-particle":"De","parse-names":false,"suffix":""},{"dropping-particle":"","family":"Willmott","given":"Anne","non-dropping-particle":"","parse-names":false,"suffix":""},{"dropping-particle":"","family":"Miller","given":"Richard","non-dropping-particle":"","parse-names":false,"suffix":""},{"dropping-particle":"","family":"Sathish Babu","given":"Palani","non-dropping-particle":"","parse-names":false,"suffix":""},{"dropping-particle":"","family":"Tzivinikos","given":"Christos","non-dropping-particle":"","parse-names":false,"suffix":""},{"dropping-particle":"","family":"Bloom","given":"Stuart L","non-dropping-particle":"","parse-names":false,"suffix":""},{"dropping-particle":"","family":"Chung-Faye","given":"Guy","non-dropping-particle":"","parse-names":false,"suffix":""},{"dropping-particle":"","family":"Croft","given":"Nicholas M","non-dropping-particle":"","parse-names":false,"suffix":""},{"dropping-particle":"","family":"Fell","given":"John ME","non-dropping-particle":"","parse-names":false,"suffix":""},{"dropping-particle":"","family":"Harbord","given":"Marcus","non-dropping-particle":"","parse-names":false,"suffix":""},{"dropping-particle":"","family":"Hart","given":"Ailsa","non-dropping-particle":"","parse-names":false,"suffix":""},{"dropping-particle":"","family":"Hope","given":"Ben","non-dropping-particle":"","parse-names":false,"suffix":""},{"dropping-particle":"","family":"Irving","given":"Peter M","non-dropping-particle":"","parse-names":false,"suffix":""},{"dropping-particle":"","family":"Lindsay","given":"James O","non-dropping-particle":"","parse-names":false,"suffix":""},{"dropping-particle":"","family":"Mawdsley","given":"Joel E","non-dropping-particle":"","parse-names":false,"suffix":""},{"dropping-particle":"","family":"McNair","given":"Alistair","non-dropping-particle":"","parse-names":false,"suffix":""},{"dropping-particle":"","family":"Monahan","given":"Kevin J","non-dropping-particle":"","parse-names":false,"suffix":""},{"dropping-particle":"","family":"Murray","given":"Charles D","non-dropping-particle":"","parse-names":false,"suffix":""},{"dropping-particle":"","family":"Orchard","given":"Timothy","non-dropping-particle":"","parse-names":false,"suffix":""},{"dropping-particle":"","family":"Paul","given":"Thankam","non-dropping-particle":"","parse-names":false,"suffix":""},{"dropping-particle":"","family":"Pollok","given":"Richard","non-dropping-particle":"","parse-names":false,"suffix":""},{"dropping-particle":"","family":"Shah","given":"Neil","non-dropping-particle":"","parse-names":false,"suffix":""},{"dropping-particle":"","family":"Bouri","given":"Sonia","non-dropping-particle":"","parse-names":false,"suffix":""},{"dropping-particle":"","family":"Johnson","given":"Matt W","non-dropping-particle":"","parse-names":false,"suffix":""},{"dropping-particle":"","family":"Modi","given":"Anita","non-dropping-particle":"","parse-names":false,"suffix":""},{"dropping-particle":"","family":"Dawa Kabiru","given":"Kasamu","non-dropping-particle":"","parse-names":false,"suffix":""},{"dropping-particle":"","family":"Baburajan","given":"B K","non-dropping-particle":"","parse-names":false,"suffix":""},{"dropping-particle":"","family":"Bhaduri","given":"Bim","non-dropping-particle":"","parse-names":false,"suffix":""},{"dropping-particle":"","family":"Adebayo Fagbemi","given":"Andrew","non-dropping-particle":"","parse-names":false,"suffix":""},{"dropping-particle":"","family":"Levison","given":"Scott","non-dropping-particle":"","parse-names":false,"suffix":""},{"dropping-particle":"","family":"Limdi","given":"Jimmy K","non-dropping-particle":"","parse-names":false,"suffix":""},{"dropping-particle":"","family":"Watts","given":"Gill","non-dropping-particle":"","parse-names":false,"suffix":""},{"dropping-particle":"","family":"Foley","given":"Stephen","non-dropping-particle":"","parse-names":false,"suffix":""},{"dropping-particle":"","family":"Ramadas","given":"Arvind","non-dropping-particle":"","parse-names":false,"suffix":""},{"dropping-particle":"","family":"MacFaul","given":"George","non-dropping-particle":"","parse-names":false,"suffix":""},{"dropping-particle":"","family":"Mansfield","given":"John","non-dropping-particle":"","parse-names":false,"suffix":""},{"dropping-particle":"","family":"Grellier","given":"Leonie","non-dropping-particle":"","parse-names":false,"suffix":""},{"dropping-particle":"","family":"Morris","given":"Mary-Anne","non-dropping-particle":"","parse-names":false,"suffix":""},{"dropping-particle":"","family":"Tremelling","given":"Mark","non-dropping-particle":"","parse-names":false,"suffix":""},{"dropping-particle":"","family":"Hawkey","given":"Chris","non-dropping-particle":"","parse-names":false,"suffix":""},{"dropping-particle":"","family":"Kirkham","given":"Sian","non-dropping-particle":"","parse-names":false,"suffix":""},{"dropping-particle":"","family":"Charlton","given":"Charles PJ","non-dropping-particle":"","parse-names":false,"suffix":""},{"dropping-particle":"","family":"Rodrigues","given":"Astor","non-dropping-particle":"","parse-names":false,"suffix":""},{"dropping-particle":"","family":"Simmons","given":"Alison","non-dropping-particle":"","parse-names":false,"suffix":""},{"dropping-particle":"","family":"Lewis","given":"Stephen J","non-dropping-particle":"","parse-names":false,"suffix":""},{"dropping-particle":"","family":"Snook","given":"Jonathon","non-dropping-particle":"","parse-names":false,"suffix":""},{"dropping-particle":"","family":"Tighe","given":"Mark","non-dropping-particle":"","parse-names":false,"suffix":""},{"dropping-particle":"","family":"Goggin","given":"Patrick M","non-dropping-particle":"","parse-names":false,"suffix":""},{"dropping-particle":"","family":"Silva","given":"Aminda N","non-dropping-particle":"De","parse-names":false,"suffix":""},{"dropping-particle":"","family":"Lal","given":"Simon","non-dropping-particle":"","parse-names":false,"suffix":""},{"dropping-particle":"","family":"Smith","given":"Mark S","non-dropping-particle":"","parse-names":false,"suffix":""},{"dropping-particle":"","family":"Panter","given":"Simon","non-dropping-particle":"","parse-names":false,"suffix":""},{"dropping-particle":"","family":"Cummings","given":"Fraser","non-dropping-particle":"","parse-names":false,"suffix":""},{"dropping-particle":"","family":"Dharmisari","given":"Suranga","non-dropping-particle":"","parse-names":false,"suffix":""},{"dropping-particle":"","family":"Carter","given":"Martyn","non-dropping-particle":"","parse-names":false,"suffix":""},{"dropping-particle":"","family":"Watts","given":"David","non-dropping-particle":"","parse-names":false,"suffix":""},{"dropping-particle":"","family":"Mahmood","given":"Zahid","non-dropping-particle":"","parse-names":false,"suffix":""},{"dropping-particle":"","family":"McLain","given":"Bruce","non-dropping-particle":"","parse-names":false,"suffix":""},{"dropping-particle":"","family":"Sen","given":"Sandip","non-dropping-particle":"","parse-names":false,"suffix":""},{"dropping-particle":"","family":"Pigott","given":"Anna J","non-dropping-particle":"","parse-names":false,"suffix":""},{"dropping-particle":"","family":"Hobday","given":"David","non-dropping-particle":"","parse-names":false,"suffix":""},{"dropping-particle":"","family":"Wesley","given":"Emma","non-dropping-particle":"","parse-names":false,"suffix":""},{"dropping-particle":"","family":"Johnston","given":"Richard","non-dropping-particle":"","parse-names":false,"suffix":""},{"dropping-particle":"","family":"Edwards","given":"Cathryn","non-dropping-particle":"","parse-names":false,"suffix":""},{"dropping-particle":"","family":"Beckly","given":"John","non-dropping-particle":"","parse-names":false,"suffix":""},{"dropping-particle":"","family":"Vani","given":"Deven","non-dropping-particle":"","parse-names":false,"suffix":""},{"dropping-particle":"","family":"Ramakrishnan","given":"Subramaniam","non-dropping-particle":"","parse-names":false,"suffix":""},{"dropping-particle":"","family":"Chaudhary","given":"Rakesh","non-dropping-particle":"","parse-names":false,"suffix":""},{"dropping-particle":"","family":"Trudgill","given":"Nigel J","non-dropping-particle":"","parse-names":false,"suffix":""},{"dropping-particle":"","family":"Cooney","given":"Rachel","non-dropping-particle":"","parse-names":false,"suffix":""},{"dropping-particle":"","family":"Bell","given":"Andy","non-dropping-particle":"","parse-names":false,"suffix":""},{"dropping-particle":"","family":"Prasad","given":"Neeraj","non-dropping-particle":"","parse-names":false,"suffix":""},{"dropping-particle":"","family":"Gordon","given":"John N","non-dropping-particle":"","parse-names":false,"suffix":""},{"dropping-particle":"","family":"Brookes","given":"Matthew J","non-dropping-particle":"","parse-names":false,"suffix":""},{"dropping-particle":"","family":"Li","given":"Andy","non-dropping-particle":"","parse-names":false,"suffix":""},{"dropping-particle":"","family":"Gore","given":"Stephen","non-dropping-particle":"","parse-names":false,"suffix":""}],"container-title":"Gastroenterology","id":"ITEM-1","issue":"1","issued":{"date-parts":[["2020","1"]]},"page":"189-199","title":"HLA-DQA1*05 Carriage Associated With Development of Anti-Drug Antibodies to Infliximab and Adalimumab in Patients With Crohn’s Disease","type":"article-journal","volume":"158"},"uris":["http://www.mendeley.com/documents/?uuid=9145785c-7dc1-4e72-9763-2cb891217472"]}],"mendeley":{"formattedCitation":"&lt;sup&gt;128&lt;/sup&gt;","plainTextFormattedCitation":"128","previouslyFormattedCitation":"&lt;sup&gt;128&lt;/sup&gt;"},"properties":{"noteIndex":0},"schema":"https://github.com/citation-style-language/schema/raw/master/csl-citation.json"}</w:instrText>
      </w:r>
      <w:r w:rsidR="00196ED7"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128</w:t>
      </w:r>
      <w:r w:rsidR="00196ED7" w:rsidRPr="00922C73">
        <w:rPr>
          <w:rFonts w:ascii="Times New Roman" w:hAnsi="Times New Roman" w:cs="Times New Roman"/>
          <w:sz w:val="24"/>
          <w:szCs w:val="24"/>
          <w:shd w:val="clear" w:color="auto" w:fill="FFFFFF"/>
        </w:rPr>
        <w:fldChar w:fldCharType="end"/>
      </w:r>
      <w:r w:rsidR="0047105A" w:rsidRPr="00922C73">
        <w:rPr>
          <w:rFonts w:ascii="Times New Roman" w:hAnsi="Times New Roman" w:cs="Times New Roman"/>
          <w:sz w:val="24"/>
          <w:szCs w:val="24"/>
          <w:shd w:val="clear" w:color="auto" w:fill="FFFFFF"/>
        </w:rPr>
        <w:t xml:space="preserve">. </w:t>
      </w:r>
      <w:r w:rsidR="00CF3C0A" w:rsidRPr="00922C73">
        <w:rPr>
          <w:rFonts w:ascii="Times New Roman" w:hAnsi="Times New Roman" w:cs="Times New Roman"/>
          <w:sz w:val="24"/>
          <w:szCs w:val="24"/>
          <w:shd w:val="clear" w:color="auto" w:fill="FFFFFF"/>
        </w:rPr>
        <w:t>Risk of immunogenicity was higher for infliximab compared to adalimumab and in those receiving monotherapy (no concomitant immunomodulators) with the highest incidence of</w:t>
      </w:r>
      <w:r w:rsidR="00013833" w:rsidRPr="00922C73">
        <w:rPr>
          <w:rFonts w:ascii="Times New Roman" w:hAnsi="Times New Roman" w:cs="Times New Roman"/>
          <w:sz w:val="24"/>
          <w:szCs w:val="24"/>
          <w:shd w:val="clear" w:color="auto" w:fill="FFFFFF"/>
        </w:rPr>
        <w:t xml:space="preserve"> 91% at 1 year for those receiving infliximab monotherapy </w:t>
      </w:r>
      <w:r w:rsidR="00013833"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10.1053/j.gastro.2019.09.041","ISSN":"00165085","author":[{"dropping-particle":"","family":"Sazonovs","given":"Aleksejs","non-dropping-particle":"","parse-names":false,"suffix":""},{"dropping-particle":"","family":"Kennedy","given":"Nicholas A.","non-dropping-particle":"","parse-names":false,"suffix":""},{"dropping-particle":"","family":"Moutsianas","given":"Loukas","non-dropping-particle":"","parse-names":false,"suffix":""},{"dropping-particle":"","family":"Heap","given":"Graham A.","non-dropping-particle":"","parse-names":false,"suffix":""},{"dropping-particle":"","family":"Rice","given":"Daniel L.","non-dropping-particle":"","parse-names":false,"suffix":""},{"dropping-particle":"","family":"Reppell","given":"Mark","non-dropping-particle":"","parse-names":false,"suffix":""},{"dropping-particle":"","family":"Bewshea","given":"Claire M.","non-dropping-particle":"","parse-names":false,"suffix":""},{"dropping-particle":"","family":"Chanchlani","given":"Neil","non-dropping-particle":"","parse-names":false,"suffix":""},{"dropping-particle":"","family":"Walker","given":"Gareth J.","non-dropping-particle":"","parse-names":false,"suffix":""},{"dropping-particle":"","family":"Perry","given":"Mandy H.","non-dropping-particle":"","parse-names":false,"suffix":""},{"dropping-particle":"","family":"McDonald","given":"Timothy J.","non-dropping-particle":"","parse-names":false,"suffix":""},{"dropping-particle":"","family":"Lees","given":"Charlie W.","non-dropping-particle":"","parse-names":false,"suffix":""},{"dropping-particle":"","family":"Cummings","given":"J.R. Fraser","non-dropping-particle":"","parse-names":false,"suffix":""},{"dropping-particle":"","family":"Parkes","given":"Miles","non-dropping-particle":"","parse-names":false,"suffix":""},{"dropping-particle":"","family":"Mansfield","given":"John C.","non-dropping-particle":"","parse-names":false,"suffix":""},{"dropping-particle":"","family":"Irving","given":"Peter M.","non-dropping-particle":"","parse-names":false,"suffix":""},{"dropping-particle":"","family":"Barrett","given":"Jeffrey C.","non-dropping-particle":"","parse-names":false,"suffix":""},{"dropping-particle":"","family":"McGovern","given":"Dermot","non-dropping-particle":"","parse-names":false,"suffix":""},{"dropping-particle":"","family":"Goodhand","given":"James R.","non-dropping-particle":"","parse-names":false,"suffix":""},{"dropping-particle":"","family":"Anderson","given":"Carl A.","non-dropping-particle":"","parse-names":false,"suffix":""},{"dropping-particle":"","family":"Ahmad","given":"Tariq","non-dropping-particle":"","parse-names":false,"suffix":""},{"dropping-particle":"","family":"Patel","given":"Vinod","non-dropping-particle":"","parse-names":false,"suffix":""},{"dropping-particle":"","family":"Mazhar","given":"Zia","non-dropping-particle":"","parse-names":false,"suffix":""},{"dropping-particle":"","family":"Saich","given":"Rebecca","non-dropping-particle":"","parse-names":false,"suffix":""},{"dropping-particle":"","family":"Colleypriest","given":"Ben","non-dropping-particle":"","parse-names":false,"suffix":""},{"dropping-particle":"","family":"Tham","given":"Tony C","non-dropping-particle":"","parse-names":false,"suffix":""},{"dropping-particle":"","family":"Iqbal","given":"Tariq H","non-dropping-particle":"","parse-names":false,"suffix":""},{"dropping-particle":"","family":"Kaushik","given":"Vishal","non-dropping-particle":"","parse-names":false,"suffix":""},{"dropping-particle":"","family":"Murugesan","given":"Senthil","non-dropping-particle":"","parse-names":false,"suffix":""},{"dropping-particle":"","family":"Singh","given":"Salil","non-dropping-particle":"","parse-names":false,"suffix":""},{"dropping-particle":"","family":"Weaver","given":"Sean","non-dropping-particle":"","parse-names":false,"suffix":""},{"dropping-particle":"","family":"Preston","given":"Cathryn","non-dropping-particle":"","parse-names":false,"suffix":""},{"dropping-particle":"","family":"Butt","given":"Assad","non-dropping-particle":"","parse-names":false,"suffix":""},{"dropping-particle":"","family":"Smith","given":"Melissa","non-dropping-particle":"","parse-names":false,"suffix":""},{"dropping-particle":"","family":"Basude","given":"Dharamveer","non-dropping-particle":"","parse-names":false,"suffix":""},{"dropping-particle":"","family":"Beale","given":"Amanda","non-dropping-particle":"","parse-names":false,"suffix":""},{"dropping-particle":"","family":"Langlands","given":"Sarah","non-dropping-particle":"","parse-names":false,"suffix":""},{"dropping-particle":"","family":"Direkze","given":"Natalie","non-dropping-particle":"","parse-names":false,"suffix":""},{"dropping-particle":"","family":"Parkes","given":"Miles","non-dropping-particle":"","parse-names":false,"suffix":""},{"dropping-particle":"","family":"Torrente","given":"Franco","non-dropping-particle":"","parse-names":false,"suffix":""},{"dropping-particle":"","family":"La Revella Negro","given":"Juan","non-dropping-particle":"De","parse-names":false,"suffix":""},{"dropping-particle":"","family":"Ewen MacDonald","given":"Chris","non-dropping-particle":"","parse-names":false,"suffix":""},{"dropping-particle":"","family":"Evans","given":"Stephen M","non-dropping-particle":"","parse-names":false,"suffix":""},{"dropping-particle":"","family":"Gunasekera","given":"Anton V J","non-dropping-particle":"","parse-names":false,"suffix":""},{"dropping-particle":"","family":"Thakur","given":"Alka","non-dropping-particle":"","parse-names":false,"suffix":""},{"dropping-particle":"","family":"Elphick","given":"David","non-dropping-particle":"","parse-names":false,"suffix":""},{"dropping-particle":"","family":"Shenoy","given":"Achuth","non-dropping-particle":"","parse-names":false,"suffix":""},{"dropping-particle":"","family":"Nwokolo","given":"Chuka U","non-dropping-particle":"","parse-names":false,"suffix":""},{"dropping-particle":"","family":"Dhar","given":"Anjan","non-dropping-particle":"","parse-names":false,"suffix":""},{"dropping-particle":"","family":"Cole","given":"Andrew T","non-dropping-particle":"","parse-names":false,"suffix":""},{"dropping-particle":"","family":"Agrawal","given":"Anurag","non-dropping-particle":"","parse-names":false,"suffix":""},{"dropping-particle":"","family":"Bridger","given":"Stephen","non-dropping-particle":"","parse-names":false,"suffix":""},{"dropping-particle":"","family":"Doherty","given":"Julie","non-dropping-particle":"","parse-names":false,"suffix":""},{"dropping-particle":"","family":"Cooper","given":"Sheldon C","non-dropping-particle":"","parse-names":false,"suffix":""},{"dropping-particle":"","family":"Silva","given":"Shanika","non-dropping-particle":"de","parse-names":false,"suffix":""},{"dropping-particle":"","family":"Mowat","given":"Craig","non-dropping-particle":"","parse-names":false,"suffix":""},{"dropping-particle":"","family":"Mayhead","given":"Phillip","non-dropping-particle":"","parse-names":false,"suffix":""},{"dropping-particle":"","family":"Lees","given":"Charlie","non-dropping-particle":"","parse-names":false,"suffix":""},{"dropping-particle":"","family":"Jones","given":"Gareth","non-dropping-particle":"","parse-names":false,"suffix":""},{"dropping-particle":"","family":"Ahmad","given":"Tariq","non-dropping-particle":"","parse-names":false,"suffix":""},{"dropping-particle":"","family":"Hart","given":"James W","non-dropping-particle":"","parse-names":false,"suffix":""},{"dropping-particle":"","family":"Gaya","given":"Daniel R","non-dropping-particle":"","parse-names":false,"suffix":""},{"dropping-particle":"","family":"Russell","given":"Richard K","non-dropping-particle":"","parse-names":false,"suffix":""},{"dropping-particle":"","family":"Gervais","given":"Lisa","non-dropping-particle":"","parse-names":false,"suffix":""},{"dropping-particle":"","family":"Dunckley","given":"Paul","non-dropping-particle":"","parse-names":false,"suffix":""},{"dropping-particle":"","family":"Mahmood","given":"Tariq","non-dropping-particle":"","parse-names":false,"suffix":""},{"dropping-particle":"","family":"Banim","given":"Paul J R","non-dropping-particle":"","parse-names":false,"suffix":""},{"dropping-particle":"","family":"Sonwalkar","given":"Sunil","non-dropping-particle":"","parse-names":false,"suffix":""},{"dropping-particle":"","family":"Ghosh","given":"Deb","non-dropping-particle":"","parse-names":false,"suffix":""},{"dropping-particle":"","family":"Phillips","given":"Rosemary H","non-dropping-particle":"","parse-names":false,"suffix":""},{"dropping-particle":"","family":"Azaz","given":"Amer","non-dropping-particle":"","parse-names":false,"suffix":""},{"dropping-particle":"","family":"Sebastian","given":"Shaji","non-dropping-particle":"","parse-names":false,"suffix":""},{"dropping-particle":"","family":"Shenderey","given":"Richard","non-dropping-particle":"","parse-names":false,"suffix":""},{"dropping-particle":"","family":"Armstrong","given":"Lawrence","non-dropping-particle":"","parse-names":false,"suffix":""},{"dropping-particle":"","family":"Bell","given":"Claire","non-dropping-particle":"","parse-names":false,"suffix":""},{"dropping-particle":"","family":"Hariraj","given":"Radhakrishnan","non-dropping-particle":"","parse-names":false,"suffix":""},{"dropping-particle":"","family":"Matthews","given":"Helen","non-dropping-particle":"","parse-names":false,"suffix":""},{"dropping-particle":"","family":"Jafferbhoy","given":"Hasnain","non-dropping-particle":"","parse-names":false,"suffix":""},{"dropping-particle":"","family":"Selinger","given":"Christian P","non-dropping-particle":"","parse-names":false,"suffix":""},{"dropping-particle":"","family":"Zamvar","given":"Veena","non-dropping-particle":"","parse-names":false,"suffix":""},{"dropping-particle":"","family":"Caestecker","given":"John S","non-dropping-particle":"De","parse-names":false,"suffix":""},{"dropping-particle":"","family":"Willmott","given":"Anne","non-dropping-particle":"","parse-names":false,"suffix":""},{"dropping-particle":"","family":"Miller","given":"Richard","non-dropping-particle":"","parse-names":false,"suffix":""},{"dropping-particle":"","family":"Sathish Babu","given":"Palani","non-dropping-particle":"","parse-names":false,"suffix":""},{"dropping-particle":"","family":"Tzivinikos","given":"Christos","non-dropping-particle":"","parse-names":false,"suffix":""},{"dropping-particle":"","family":"Bloom","given":"Stuart L","non-dropping-particle":"","parse-names":false,"suffix":""},{"dropping-particle":"","family":"Chung-Faye","given":"Guy","non-dropping-particle":"","parse-names":false,"suffix":""},{"dropping-particle":"","family":"Croft","given":"Nicholas M","non-dropping-particle":"","parse-names":false,"suffix":""},{"dropping-particle":"","family":"Fell","given":"John ME","non-dropping-particle":"","parse-names":false,"suffix":""},{"dropping-particle":"","family":"Harbord","given":"Marcus","non-dropping-particle":"","parse-names":false,"suffix":""},{"dropping-particle":"","family":"Hart","given":"Ailsa","non-dropping-particle":"","parse-names":false,"suffix":""},{"dropping-particle":"","family":"Hope","given":"Ben","non-dropping-particle":"","parse-names":false,"suffix":""},{"dropping-particle":"","family":"Irving","given":"Peter M","non-dropping-particle":"","parse-names":false,"suffix":""},{"dropping-particle":"","family":"Lindsay","given":"James O","non-dropping-particle":"","parse-names":false,"suffix":""},{"dropping-particle":"","family":"Mawdsley","given":"Joel E","non-dropping-particle":"","parse-names":false,"suffix":""},{"dropping-particle":"","family":"McNair","given":"Alistair","non-dropping-particle":"","parse-names":false,"suffix":""},{"dropping-particle":"","family":"Monahan","given":"Kevin J","non-dropping-particle":"","parse-names":false,"suffix":""},{"dropping-particle":"","family":"Murray","given":"Charles D","non-dropping-particle":"","parse-names":false,"suffix":""},{"dropping-particle":"","family":"Orchard","given":"Timothy","non-dropping-particle":"","parse-names":false,"suffix":""},{"dropping-particle":"","family":"Paul","given":"Thankam","non-dropping-particle":"","parse-names":false,"suffix":""},{"dropping-particle":"","family":"Pollok","given":"Richard","non-dropping-particle":"","parse-names":false,"suffix":""},{"dropping-particle":"","family":"Shah","given":"Neil","non-dropping-particle":"","parse-names":false,"suffix":""},{"dropping-particle":"","family":"Bouri","given":"Sonia","non-dropping-particle":"","parse-names":false,"suffix":""},{"dropping-particle":"","family":"Johnson","given":"Matt W","non-dropping-particle":"","parse-names":false,"suffix":""},{"dropping-particle":"","family":"Modi","given":"Anita","non-dropping-particle":"","parse-names":false,"suffix":""},{"dropping-particle":"","family":"Dawa Kabiru","given":"Kasamu","non-dropping-particle":"","parse-names":false,"suffix":""},{"dropping-particle":"","family":"Baburajan","given":"B K","non-dropping-particle":"","parse-names":false,"suffix":""},{"dropping-particle":"","family":"Bhaduri","given":"Bim","non-dropping-particle":"","parse-names":false,"suffix":""},{"dropping-particle":"","family":"Adebayo Fagbemi","given":"Andrew","non-dropping-particle":"","parse-names":false,"suffix":""},{"dropping-particle":"","family":"Levison","given":"Scott","non-dropping-particle":"","parse-names":false,"suffix":""},{"dropping-particle":"","family":"Limdi","given":"Jimmy K","non-dropping-particle":"","parse-names":false,"suffix":""},{"dropping-particle":"","family":"Watts","given":"Gill","non-dropping-particle":"","parse-names":false,"suffix":""},{"dropping-particle":"","family":"Foley","given":"Stephen","non-dropping-particle":"","parse-names":false,"suffix":""},{"dropping-particle":"","family":"Ramadas","given":"Arvind","non-dropping-particle":"","parse-names":false,"suffix":""},{"dropping-particle":"","family":"MacFaul","given":"George","non-dropping-particle":"","parse-names":false,"suffix":""},{"dropping-particle":"","family":"Mansfield","given":"John","non-dropping-particle":"","parse-names":false,"suffix":""},{"dropping-particle":"","family":"Grellier","given":"Leonie","non-dropping-particle":"","parse-names":false,"suffix":""},{"dropping-particle":"","family":"Morris","given":"Mary-Anne","non-dropping-particle":"","parse-names":false,"suffix":""},{"dropping-particle":"","family":"Tremelling","given":"Mark","non-dropping-particle":"","parse-names":false,"suffix":""},{"dropping-particle":"","family":"Hawkey","given":"Chris","non-dropping-particle":"","parse-names":false,"suffix":""},{"dropping-particle":"","family":"Kirkham","given":"Sian","non-dropping-particle":"","parse-names":false,"suffix":""},{"dropping-particle":"","family":"Charlton","given":"Charles PJ","non-dropping-particle":"","parse-names":false,"suffix":""},{"dropping-particle":"","family":"Rodrigues","given":"Astor","non-dropping-particle":"","parse-names":false,"suffix":""},{"dropping-particle":"","family":"Simmons","given":"Alison","non-dropping-particle":"","parse-names":false,"suffix":""},{"dropping-particle":"","family":"Lewis","given":"Stephen J","non-dropping-particle":"","parse-names":false,"suffix":""},{"dropping-particle":"","family":"Snook","given":"Jonathon","non-dropping-particle":"","parse-names":false,"suffix":""},{"dropping-particle":"","family":"Tighe","given":"Mark","non-dropping-particle":"","parse-names":false,"suffix":""},{"dropping-particle":"","family":"Goggin","given":"Patrick M","non-dropping-particle":"","parse-names":false,"suffix":""},{"dropping-particle":"","family":"Silva","given":"Aminda N","non-dropping-particle":"De","parse-names":false,"suffix":""},{"dropping-particle":"","family":"Lal","given":"Simon","non-dropping-particle":"","parse-names":false,"suffix":""},{"dropping-particle":"","family":"Smith","given":"Mark S","non-dropping-particle":"","parse-names":false,"suffix":""},{"dropping-particle":"","family":"Panter","given":"Simon","non-dropping-particle":"","parse-names":false,"suffix":""},{"dropping-particle":"","family":"Cummings","given":"Fraser","non-dropping-particle":"","parse-names":false,"suffix":""},{"dropping-particle":"","family":"Dharmisari","given":"Suranga","non-dropping-particle":"","parse-names":false,"suffix":""},{"dropping-particle":"","family":"Carter","given":"Martyn","non-dropping-particle":"","parse-names":false,"suffix":""},{"dropping-particle":"","family":"Watts","given":"David","non-dropping-particle":"","parse-names":false,"suffix":""},{"dropping-particle":"","family":"Mahmood","given":"Zahid","non-dropping-particle":"","parse-names":false,"suffix":""},{"dropping-particle":"","family":"McLain","given":"Bruce","non-dropping-particle":"","parse-names":false,"suffix":""},{"dropping-particle":"","family":"Sen","given":"Sandip","non-dropping-particle":"","parse-names":false,"suffix":""},{"dropping-particle":"","family":"Pigott","given":"Anna J","non-dropping-particle":"","parse-names":false,"suffix":""},{"dropping-particle":"","family":"Hobday","given":"David","non-dropping-particle":"","parse-names":false,"suffix":""},{"dropping-particle":"","family":"Wesley","given":"Emma","non-dropping-particle":"","parse-names":false,"suffix":""},{"dropping-particle":"","family":"Johnston","given":"Richard","non-dropping-particle":"","parse-names":false,"suffix":""},{"dropping-particle":"","family":"Edwards","given":"Cathryn","non-dropping-particle":"","parse-names":false,"suffix":""},{"dropping-particle":"","family":"Beckly","given":"John","non-dropping-particle":"","parse-names":false,"suffix":""},{"dropping-particle":"","family":"Vani","given":"Deven","non-dropping-particle":"","parse-names":false,"suffix":""},{"dropping-particle":"","family":"Ramakrishnan","given":"Subramaniam","non-dropping-particle":"","parse-names":false,"suffix":""},{"dropping-particle":"","family":"Chaudhary","given":"Rakesh","non-dropping-particle":"","parse-names":false,"suffix":""},{"dropping-particle":"","family":"Trudgill","given":"Nigel J","non-dropping-particle":"","parse-names":false,"suffix":""},{"dropping-particle":"","family":"Cooney","given":"Rachel","non-dropping-particle":"","parse-names":false,"suffix":""},{"dropping-particle":"","family":"Bell","given":"Andy","non-dropping-particle":"","parse-names":false,"suffix":""},{"dropping-particle":"","family":"Prasad","given":"Neeraj","non-dropping-particle":"","parse-names":false,"suffix":""},{"dropping-particle":"","family":"Gordon","given":"John N","non-dropping-particle":"","parse-names":false,"suffix":""},{"dropping-particle":"","family":"Brookes","given":"Matthew J","non-dropping-particle":"","parse-names":false,"suffix":""},{"dropping-particle":"","family":"Li","given":"Andy","non-dropping-particle":"","parse-names":false,"suffix":""},{"dropping-particle":"","family":"Gore","given":"Stephen","non-dropping-particle":"","parse-names":false,"suffix":""}],"container-title":"Gastroenterology","id":"ITEM-1","issue":"1","issued":{"date-parts":[["2020","1"]]},"page":"189-199","title":"HLA-DQA1*05 Carriage Associated With Development of Anti-Drug Antibodies to Infliximab and Adalimumab in Patients With Crohn’s Disease","type":"article-journal","volume":"158"},"uris":["http://www.mendeley.com/documents/?uuid=9145785c-7dc1-4e72-9763-2cb891217472"]}],"mendeley":{"formattedCitation":"&lt;sup&gt;128&lt;/sup&gt;","plainTextFormattedCitation":"128","previouslyFormattedCitation":"&lt;sup&gt;128&lt;/sup&gt;"},"properties":{"noteIndex":0},"schema":"https://github.com/citation-style-language/schema/raw/master/csl-citation.json"}</w:instrText>
      </w:r>
      <w:r w:rsidR="00013833"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128</w:t>
      </w:r>
      <w:r w:rsidR="00013833" w:rsidRPr="00922C73">
        <w:rPr>
          <w:rFonts w:ascii="Times New Roman" w:hAnsi="Times New Roman" w:cs="Times New Roman"/>
          <w:sz w:val="24"/>
          <w:szCs w:val="24"/>
          <w:shd w:val="clear" w:color="auto" w:fill="FFFFFF"/>
        </w:rPr>
        <w:fldChar w:fldCharType="end"/>
      </w:r>
      <w:r w:rsidR="009070CD" w:rsidRPr="00922C73">
        <w:rPr>
          <w:rFonts w:ascii="Times New Roman" w:hAnsi="Times New Roman" w:cs="Times New Roman"/>
          <w:sz w:val="24"/>
          <w:szCs w:val="24"/>
          <w:shd w:val="clear" w:color="auto" w:fill="FFFFFF"/>
        </w:rPr>
        <w:t>.</w:t>
      </w:r>
      <w:r w:rsidR="00013833" w:rsidRPr="00922C73">
        <w:rPr>
          <w:rFonts w:ascii="Segoe UI" w:hAnsi="Segoe UI" w:cs="Segoe UI"/>
          <w:shd w:val="clear" w:color="auto" w:fill="FFFFFF"/>
        </w:rPr>
        <w:t xml:space="preserve"> </w:t>
      </w:r>
    </w:p>
    <w:p w14:paraId="122C10FC" w14:textId="77777777" w:rsidR="005B6FA5" w:rsidRPr="00922C73" w:rsidRDefault="005B6FA5" w:rsidP="00700BBF">
      <w:pPr>
        <w:spacing w:line="480" w:lineRule="auto"/>
        <w:rPr>
          <w:rFonts w:ascii="Times New Roman" w:hAnsi="Times New Roman" w:cs="Times New Roman"/>
          <w:sz w:val="24"/>
          <w:szCs w:val="24"/>
        </w:rPr>
      </w:pPr>
    </w:p>
    <w:p w14:paraId="501B7965" w14:textId="2A8D5D72" w:rsidR="005B6FA5" w:rsidRPr="00922C73" w:rsidRDefault="005B6FA5" w:rsidP="00700BBF">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Concomitant immunosuppression with thiopurines and methotrexate </w:t>
      </w:r>
      <w:r w:rsidR="009768DB" w:rsidRPr="00922C73">
        <w:rPr>
          <w:rFonts w:ascii="Times New Roman" w:hAnsi="Times New Roman" w:cs="Times New Roman"/>
          <w:sz w:val="24"/>
          <w:szCs w:val="24"/>
        </w:rPr>
        <w:t xml:space="preserve">appears to </w:t>
      </w:r>
      <w:r w:rsidRPr="00922C73">
        <w:rPr>
          <w:rFonts w:ascii="Times New Roman" w:hAnsi="Times New Roman" w:cs="Times New Roman"/>
          <w:sz w:val="24"/>
          <w:szCs w:val="24"/>
        </w:rPr>
        <w:t xml:space="preserve">significantly reduces the formation of ATI in both CD and UC patients, 0.9-43% vs 14.6-75%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{"citationItems":[{"id":"ITEM-1","itemData":{"DOI":"10.1056/NEJMoa0904492","ISBN":"1533-4406 (Electronic)\\r0028-4793 (Linking)","ISSN":"0028-4793","PMID":"20393175","abstract":"Background The comparative efficacy and safety of infliximab and azathioprine therapy alone or in combination for Crohn's disease are unknown. Methods In this randomized, double-blind trial, we evaluated the efficacy of infliximab monotherapy, azathioprine monotherapy, and the two drugs combined in 508 adults with moderate-to-severe Crohn's disease who had not undergone previous immunosuppressive or biologic therapy. Patients were randomly assigned to receive an intravenous infusion of 5 mg of infliximab per kilogram of body weight at weeks 0, 2, and 6 and then every 8 weeks plus daily oral placebo capsules; 2.5 mg of oral azathioprine per kilogram daily plus a placebo infusion on the standard schedule; or combination therapy with the two drugs. Patients received study medication through week 30 and could continue in a blinded study extension through week 50. Results Of the 169 patients receiving combination therapy, 96 (56.8%) were in corticosteroid-free clinical remission at week 26 (the primary end poi...","author":[{"dropping-particle":"","family":"Colombel","given":"Jean Frédéric","non-dropping-particle":"","parse-names":false,"suffix":""},{"dropping-particle":"","family":"Sandborn","given":"William J.","non-dropping-particle":"","parse-names":false,"suffix":""},{"dropping-particle":"","family":"Reinisch","given":"Walter","non-dropping-particle":"","parse-names":false,"suffix":""},{"dropping-particle":"","family":"Mantzaris","given":"Gerassimos J.","non-dropping-particle":"","parse-names":false,"suffix":""},{"dropping-particle":"","family":"Kornbluth","given":"Asher","non-dropping-particle":"","parse-names":false,"suffix":""},{"dropping-particle":"","family":"Rachmilewitz","given":"Daniel","non-dropping-particle":"","parse-names":false,"suffix":""},{"dropping-particle":"","family":"Lichtiger","given":"Simon","non-dropping-particle":"","parse-names":false,"suffix":""},{"dropping-particle":"","family":"D'Haens","given":"Geert","non-dropping-particle":"","parse-names":false,"suffix":""},{"dropping-particle":"","family":"Diamond","given":"Robert H.","non-dropping-particle":"","parse-names":false,"suffix":""},{"dropping-particle":"","family":"Broussard","given":"Delma L.","non-dropping-particle":"","parse-names":false,"suffix":""},{"dropping-particle":"","family":"Tang","given":"Kezhen L.","non-dropping-particle":"","parse-names":false,"suffix":""},{"dropping-particle":"","family":"Woude","given":"C. Janneke","non-dropping-particle":"van der","parse-names":false,"suffix":""},{"dropping-particle":"","family":"Rutgeerts","given":"Paul","non-dropping-particle":"","parse-names":false,"suffix":""}],"container-title":"New England Journal of Medicine","id":"ITEM-1","issue":"15","issued":{"date-parts":[["2010","4"]]},"page":"1383-1395","title":"Infliximab, Azathioprine, or Combination Therapy for Crohn's Disease","type":"article-journal","volume":"362"},"uris":["http://www.mendeley.com/documents/?uuid=b0b1d2bf-4094-4648-90a4-99dc803e4c27","http://www.mendeley.com/documents/?uuid=3eaec040-a7f8-45a2-a814-68bdccb02869","http://www.mendeley.com/documents/?uuid=b81572e4-8b83-4637-bbf0-1227bdcd2cb4"]},{"id":"ITEM-2","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-2","issue":"8","issued":{"date-parts":[["2014","8"]]},"page":"1258-1264","title":"The temporal evolution of antidrug antibodies in patients with inflammatory bowel disease treated with infliximab","type":"article-journal","volume":"63"},"uris":["http://www.mendeley.com/documents/?uuid=22938eaa-88d8-44e4-a3f4-676386a86637","http://www.mendeley.com/documents/?uuid=002a1638-74ae-4bb5-b24e-0614c8af15d9","http://www.mendeley.com/documents/?uuid=5245c11b-6335-41bc-8ed2-f700ac2cb263"]},{"id":"ITEM-3","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Medicine","id":"ITEM-3","issue":"7","issued":{"date-parts":[["2003","2","13"]]},"page":"601-608","title":"Influence of Immunogenicity on the Long-Term Efficacy of Infliximab in Crohn's Disease","type":"article-journal","volume":"348"},"uris":["http://www.mendeley.com/documents/?uuid=a7f617eb-fb32-4b78-b0e6-6fa31fb61500","http://www.mendeley.com/documents/?uuid=72121be2-7798-491e-9859-363ec1226430","http://www.mendeley.com/documents/?uuid=413c22be-a34e-4623-b99e-e17f8f159bc6","http://www.mendeley.com/documents/?uuid=232e597f-56a0-4248-aee5-cc8c27c22166","http://www.mendeley.com/documents/?uuid=a14a6cfc-c8a5-4262-9ff9-f6aa63a9811c"]},{"id":"ITEM-4","itemData":{"DOI":"10.1053/j.gastro.2013.11.024","ISBN":"00165085","ISSN":"00165085","PMID":"24269926","abstract":"Background &amp; Aims Methotrexate and infliximab are effective therapies for Crohn's disease (CD). In the combination of maintenance methotrexate- infliximab trial, we evaluated the potential superiority of combination therapy over infliximab alone. Methods In a 50-week, double-blind, placebo-controlled trial, we compared methotrexate and infliximab with infliximab alone in 126 patients with CD who had initiated prednisone induction therapy (15-40 mg/day) within the preceding 6 weeks. Patients were assigned randomly to groups given methotrexate at an initial weekly dose of 10 mg, escalating to 25 mg/week (n = 63), or placebo (n = 63). Both groups received infliximab (5 mg/kg of body weight) at weeks 1, 3, 7, and 14, and every 8 weeks thereafter. Prednisone was tapered, beginning at week 1, and discontinued no later than week 14. The primary outcome was time to treatment failure, defined as a lack of prednisone-free remission (CD Activity Index, &lt;150) at week 14 or failure to maintain remission through week 50. Results Patients' baseline characteristics were similar between groups. By week 50, the actuarial rate of treatment failure was 30.6% in the combination therapy group compared with 29.8% in the infliximab monotherapy group (P =.63; hazard ratio, 1.16; 95% confidence interval, 0.62-2.17). Prespecified subgroup analyses failed to show a benefit in patients with short disease duration or an increased level of C-reactive protein. No clinically meaningful differences were observed in secondary outcomes. Combination therapy was well tolerated. Conclusions The combination of infliximab and methotrexate, although safe, was no more effective than infliximab alone in patients with CD receiving treatment with prednisone. ClincialTrials.gov number, NCT00132899. © 2014 by the AGA Institute.","author":[{"dropping-particle":"","family":"Feagan","given":"Brian G.","non-dropping-particle":"","parse-names":false,"suffix":""},{"dropping-particle":"","family":"McDonald","given":"John W.D.","non-dropping-particle":"","parse-names":false,"suffix":""},{"dropping-particle":"","family":"Panaccione","given":"Remo","non-dropping-particle":"","parse-names":false,"suffix":""},{"dropping-particle":"","family":"Enns","given":"Robert A.","non-dropping-particle":"","parse-names":false,"suffix":""},{"dropping-particle":"","family":"Bernstein","given":"Charles N.","non-dropping-particle":"","parse-names":false,"suffix":""},{"dropping-particle":"","family":"Ponich","given":"Terry P.","non-dropping-particle":"","parse-names":false,"suffix":""},{"dropping-particle":"","family":"Bourdages","given":"Raymond","non-dropping-particle":"","parse-names":false,"suffix":""},{"dropping-particle":"","family":"MacIntosh","given":"Donald G.","non-dropping-particle":"","parse-names":false,"suffix":""},{"dropping-particle":"","family":"Dallaire","given":"Chrystian","non-dropping-particle":"","parse-names":false,"suffix":""},{"dropping-particle":"","family":"Cohen","given":"Albert","non-dropping-particle":"","parse-names":false,"suffix":""},{"dropping-particle":"","family":"Fedorak","given":"Richard N.","non-dropping-particle":"","parse-names":false,"suffix":""},{"dropping-particle":"","family":"Paré","given":"Pierre","non-dropping-particle":"","parse-names":false,"suffix":""},{"dropping-particle":"","family":"Bitton","given":"Alain","non-dropping-particle":"","parse-names":false,"suffix":""},{"dropping-particle":"","family":"Saibil","given":"Fred","non-dropping-particle":"","parse-names":false,"suffix":""},{"dropping-particle":"","family":"Anderson","given":"Frank","non-dropping-particle":"","parse-names":false,"suffix":""},{"dropping-particle":"","family":"Donner","given":"Allan","non-dropping-particle":"","parse-names":false,"suffix":""},{"dropping-particle":"","family":"Wong","given":"Cindy J.","non-dropping-particle":"","parse-names":false,"suffix":""},{"dropping-particle":"","family":"Zou","given":"Guangyong","non-dropping-particle":"","parse-names":false,"suffix":""},{"dropping-particle":"","family":"Vandervoort","given":"Margaret K.","non-dropping-particle":"","parse-names":false,"suffix":""},{"dropping-particle":"","family":"Hopkins","given":"Marybeth","non-dropping-particle":"","parse-names":false,"suffix":""},{"dropping-particle":"","family":"Greenberg","given":"Gordon R.","non-dropping-particle":"","parse-names":false,"suffix":""}],"container-title":"Gastroenterology","id":"ITEM-4","issue":"3","issued":{"date-parts":[["2014","3"]]},"page":"681-688.e1","publisher":"Elsevier, Inc","title":"Methotrexate in Combination With Infliximab Is No More Effective Than Infliximab Alone in Patients With Crohn's Disease","type":"article-journal","volume":"146"},"uris":["http://www.mendeley.com/documents/?uuid=51a28eb3-b2d9-4cd4-9b79-3dde7e5b5c81","http://www.mendeley.com/documents/?uuid=e53e30ac-87ae-4fc7-aee9-04e8d1923689","http://www.mendeley.com/documents/?uuid=05f635fa-ee41-4cc7-873b-dcee1a17c4f0","http://www.mendeley.com/documents/?uuid=de90beaa-5fdd-4bb1-91f4-2e442743108e","http://www.mendeley.com/documents/?uuid=523a6a13-325a-402c-b63c-4dd6734d9405"]},{"id":"ITEM-5","itemData":{"DOI":"10.1053/j.gastro.2013.10.052","ISBN":"0016-5085 (ISSNLinking)","ISSN":"00165085","PMID":"24512909","abstract":"Background &amp; Aims The comparative efficacy and safety of infliximab and azathioprine therapy alone or in combination for ulcerative colitis (UC) have not been evaluated previously. Methods This randomized, double-blind trial evaluated the efficacy and safety of 16 weeks of treatment with infliximab monotherapy, azathioprine monotherapy, or the 2 drugs combined in tumor necrosis factor-?? antagonist-naive adults with moderate to severe UC. Patients were assigned randomly to receive intravenous infusions of infliximab 5 mg/kg at weeks 0, 2, 6, and 14 plus daily oral placebo capsules; oral azathioprine 2.5 mg/kg daily plus placebo infusions on the infliximab schedule; or combination therapy with the 2 drugs. Corticosteroid-free clinical remission (primary end point, week 16) was evaluated at weeks 8 and 16. The study was terminated before the enrollment target was reached. Results A total of 239 patients were included in efficacy analyses. Baseline characteristics were similar between treatment groups. Corticosteroid-free remission at week 16 was achieved by 39.7% (31 of 78) of patients receiving infliximab/azathioprine, compared with 22.1% (17 of 77) receiving infliximab alone (P =.017) and 23.7% (18 of 76) receiving azathioprine alone (P =.032). Mucosal healing at week 16 occurred in 62.8% (49 of 78) of patients receiving infliximab/azathioprine, compared with 54.6% (42 of 77) receiving infliximab (P =.295) and 36.8% (28 of 76) receiving azathioprine (P =.001). Serious infections occurred in 2 patients (1 patient receiving infliximab, and 1 patient receiving azathioprine). Conclusions Anti-tumor necrosis factor-??-naive patients with moderate to severe UC treated with infliximab plus azathioprine were more likely to achieve corticosteroid-free remission at 16 weeks than those receiving either monotherapy. Combination therapy led to significantly better mucosal healing than azathioprine monotherapy. ClinicalTrials.gov number, NCT00537316. ?? 2014 by the AGA Institute.","author":[{"dropping-particle":"","family":"Panaccione","given":"Remo","non-dropping-particle":"","parse-names":false,"suffix":""},{"dropping-particle":"","family":"Ghosh","given":"Subrata","non-dropping-particle":"","parse-names":false,"suffix":""},{"dropping-particle":"","family":"Middleton","given":"Stephen","non-dropping-particle":"","parse-names":false,"suffix":""},{"dropping-particle":"","family":"Márquez","given":"Juan R.","non-dropping-particle":"","parse-names":false,"suffix":""},{"dropping-particle":"","family":"Scott","given":"Boyd B.","non-dropping-particle":"","parse-names":false,"suffix":""},{"dropping-particle":"","family":"Flint","given":"Laurence","non-dropping-particle":"","parse-names":false,"suffix":""},{"dropping-particle":"","family":"Hoogstraten","given":"Hubert J.F.","non-dropping-particle":"van","parse-names":false,"suffix":""},{"dropping-particle":"","family":"Chen","given":"Annie C.","non-dropping-particle":"","parse-names":false,"suffix":""},{"dropping-particle":"","family":"Zheng","given":"Hanzhe","non-dropping-particle":"","parse-names":false,"suffix":""},{"dropping-particle":"","family":"Danese","given":"Silvio","non-dropping-particle":"","parse-names":false,"suffix":""},{"dropping-particle":"","family":"Rutgeerts","given":"Paul","non-dropping-particle":"","parse-names":false,"suffix":""}],"container-title":"Gastroenterology","id":"ITEM-5","issue":"2","issued":{"date-parts":[["2014","2"]]},"page":"392-400.e3","publisher":"Elsevier, Inc","title":"Combination Therapy With Infliximab and Azathioprine Is Superior to Monotherapy With Either Agent in Ulcerative Colitis","type":"article-journal","volume":"146"},"uris":["http://www.mendeley.com/documents/?uuid=6489a91f-c1ba-452a-bc79-75c9eaab612f","http://www.mendeley.com/documents/?uuid=87109f7b-3768-4489-a57b-54f7c3742e95","http://www.mendeley.com/documents/?uuid=7d3ff8db-85cb-44ce-8726-309b3f16ca12","http://www.mendeley.com/documents/?uuid=ccb5064a-d849-4dfb-8a67-cfed2d2844cf","http://www.mendeley.com/documents/?uuid=0666fc42-f5ee-4d79-bafd-0b0ab5042348"]}],"mendeley":{"formattedCitation":"&lt;sup&gt;54,66,118,129,130&lt;/sup&gt;","plainTextFormattedCitation":"54,66,118,129,130","previouslyFormattedCitation":"&lt;sup&gt;54,66,118,129,130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54,66,118,129,130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p>
    <w:p w14:paraId="349E9C3F" w14:textId="77777777" w:rsidR="00CF3C0A" w:rsidRPr="00922C73" w:rsidRDefault="00CF3C0A" w:rsidP="00700BBF">
      <w:pPr>
        <w:spacing w:line="480" w:lineRule="auto"/>
        <w:rPr>
          <w:rFonts w:ascii="Times New Roman" w:hAnsi="Times New Roman" w:cs="Times New Roman"/>
          <w:sz w:val="24"/>
          <w:szCs w:val="24"/>
        </w:rPr>
      </w:pPr>
    </w:p>
    <w:p w14:paraId="293F51D9" w14:textId="6B3431A4" w:rsidR="00150574" w:rsidRPr="00922C73" w:rsidRDefault="00150574" w:rsidP="00700BBF">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Comparisons between studies </w:t>
      </w:r>
      <w:r w:rsidR="00E00889" w:rsidRPr="00922C73">
        <w:rPr>
          <w:rFonts w:ascii="Times New Roman" w:hAnsi="Times New Roman" w:cs="Times New Roman"/>
          <w:sz w:val="24"/>
          <w:szCs w:val="24"/>
        </w:rPr>
        <w:t xml:space="preserve">also </w:t>
      </w:r>
      <w:r w:rsidR="004905DB" w:rsidRPr="00922C73">
        <w:rPr>
          <w:rFonts w:ascii="Times New Roman" w:hAnsi="Times New Roman" w:cs="Times New Roman"/>
          <w:sz w:val="24"/>
          <w:szCs w:val="24"/>
        </w:rPr>
        <w:t>suggested</w:t>
      </w:r>
      <w:r w:rsidRPr="00922C73">
        <w:rPr>
          <w:rFonts w:ascii="Times New Roman" w:hAnsi="Times New Roman" w:cs="Times New Roman"/>
          <w:sz w:val="24"/>
          <w:szCs w:val="24"/>
        </w:rPr>
        <w:t xml:space="preserve"> that i</w:t>
      </w:r>
      <w:r w:rsidR="00AD792F" w:rsidRPr="00922C73">
        <w:rPr>
          <w:rFonts w:ascii="Times New Roman" w:hAnsi="Times New Roman" w:cs="Times New Roman"/>
          <w:sz w:val="24"/>
          <w:szCs w:val="24"/>
        </w:rPr>
        <w:t>mmunogenicity may</w:t>
      </w:r>
      <w:r w:rsidR="007D6EA1" w:rsidRPr="00922C73">
        <w:rPr>
          <w:rFonts w:ascii="Times New Roman" w:hAnsi="Times New Roman" w:cs="Times New Roman"/>
          <w:sz w:val="24"/>
          <w:szCs w:val="24"/>
        </w:rPr>
        <w:t xml:space="preserve"> </w:t>
      </w:r>
      <w:r w:rsidR="004905DB" w:rsidRPr="00922C73">
        <w:rPr>
          <w:rFonts w:ascii="Times New Roman" w:hAnsi="Times New Roman" w:cs="Times New Roman"/>
          <w:sz w:val="24"/>
          <w:szCs w:val="24"/>
        </w:rPr>
        <w:t>differ between</w:t>
      </w:r>
      <w:r w:rsidR="007D6EA1" w:rsidRPr="00922C73">
        <w:rPr>
          <w:rFonts w:ascii="Times New Roman" w:hAnsi="Times New Roman" w:cs="Times New Roman"/>
          <w:sz w:val="24"/>
          <w:szCs w:val="24"/>
        </w:rPr>
        <w:t xml:space="preserve"> UC compared </w:t>
      </w:r>
      <w:r w:rsidR="00AD792F" w:rsidRPr="00922C73">
        <w:rPr>
          <w:rFonts w:ascii="Times New Roman" w:hAnsi="Times New Roman" w:cs="Times New Roman"/>
          <w:sz w:val="24"/>
          <w:szCs w:val="24"/>
        </w:rPr>
        <w:t xml:space="preserve">to CD as </w:t>
      </w:r>
      <w:r w:rsidR="00F5795E" w:rsidRPr="00922C73">
        <w:rPr>
          <w:rFonts w:ascii="Times New Roman" w:hAnsi="Times New Roman" w:cs="Times New Roman"/>
          <w:sz w:val="24"/>
          <w:szCs w:val="24"/>
        </w:rPr>
        <w:t>ATI occur</w:t>
      </w:r>
      <w:r w:rsidR="007D6EA1" w:rsidRPr="00922C73">
        <w:rPr>
          <w:rFonts w:ascii="Times New Roman" w:hAnsi="Times New Roman" w:cs="Times New Roman"/>
          <w:sz w:val="24"/>
          <w:szCs w:val="24"/>
        </w:rPr>
        <w:t>red</w:t>
      </w:r>
      <w:r w:rsidR="00F5795E" w:rsidRPr="00922C73">
        <w:rPr>
          <w:rFonts w:ascii="Times New Roman" w:hAnsi="Times New Roman" w:cs="Times New Roman"/>
          <w:sz w:val="24"/>
          <w:szCs w:val="24"/>
        </w:rPr>
        <w:t xml:space="preserve"> in 6-</w:t>
      </w:r>
      <w:r w:rsidR="00C714F2" w:rsidRPr="00922C73">
        <w:rPr>
          <w:rFonts w:ascii="Times New Roman" w:hAnsi="Times New Roman" w:cs="Times New Roman"/>
          <w:sz w:val="24"/>
          <w:szCs w:val="24"/>
        </w:rPr>
        <w:t>41%</w:t>
      </w:r>
      <w:r w:rsidR="00F5795E" w:rsidRPr="00922C73">
        <w:rPr>
          <w:rFonts w:ascii="Times New Roman" w:hAnsi="Times New Roman" w:cs="Times New Roman"/>
          <w:sz w:val="24"/>
          <w:szCs w:val="24"/>
        </w:rPr>
        <w:t xml:space="preserve"> of UC patients compared to</w:t>
      </w:r>
      <w:r w:rsidR="00C714F2" w:rsidRPr="00922C73">
        <w:rPr>
          <w:rFonts w:ascii="Times New Roman" w:hAnsi="Times New Roman" w:cs="Times New Roman"/>
          <w:sz w:val="24"/>
          <w:szCs w:val="24"/>
        </w:rPr>
        <w:t xml:space="preserve"> 6-20</w:t>
      </w:r>
      <w:r w:rsidR="00C35B6D" w:rsidRPr="00922C73">
        <w:rPr>
          <w:rFonts w:ascii="Times New Roman" w:hAnsi="Times New Roman" w:cs="Times New Roman"/>
          <w:sz w:val="24"/>
          <w:szCs w:val="24"/>
        </w:rPr>
        <w:t>%</w:t>
      </w:r>
      <w:r w:rsidR="00F5795E" w:rsidRPr="00922C73">
        <w:rPr>
          <w:rFonts w:ascii="Times New Roman" w:hAnsi="Times New Roman" w:cs="Times New Roman"/>
          <w:sz w:val="24"/>
          <w:szCs w:val="24"/>
        </w:rPr>
        <w:t xml:space="preserve"> of CD patients </w:t>
      </w:r>
      <w:r w:rsidR="00514C41"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{"citationItems":[{"id":"ITEM-1","itemData":{"DOI":"10.1136/gut.2009.183095","ISBN":"1468-3288 (Electronic)\\n0017-5749 (Linking)","ISSN":"0017-5749","PMID":"19651627","abstract":"BACKGROUND AND AIMS Antibodies to infliximab reduce serum infliximab with loss of clinical benefit, but undetectable trough serum concentrations of infliximab may occur without antibody formation. The relationship between trough serum infliximab and clinical outcomes was evaluated in acute ulcerative colitis. METHODS In a cohort of 115 patients with ulcerative colitis treated with three-dose induction followed by scheduled maintenance infliximab, rates of clinical remission, colectomy, antibodies to infliximab and trough serum infliximab were determined. RESULTS Rates of remission were 32% at week 10 and 37% at week 54. Colectomy occurred in 40% of patients, at a median of 5.3 (IQR 1.9-12.1) months. Detectable trough serum infliximab was present in 39% of patients and, among patients with undetectable infliximab, 41% were antibody positive and 20% were antibody negative. For antibody-positive and antibody-negative patients, rates of remission (18% vs 14%), endoscopic improvement (25% vs 35%) and colectomy (52% vs 59%) were not different. A detectable serum infliximab was associated with higher rates of remission (69% vs 15%; p&lt;0.001) and endoscopic improvement (76% vs 28%, p&lt;0.001). An undetectable serum infliximab predicted an increased risk for colectomy (55% vs 7%, OR 9.3; 95% CI 2.9 to 29.9; p&lt;0.001). Concurrent immunosuppression was not associated with clinical outcomes. CONCLUSIONS For patients with ulcerative colitis treated with infliximab, a detectable trough serum infliximab predicts clinical remission, endoscopic improvement and a lower risk for colectomy. An undetectable trough serum infliximab, irrespective of antibody status, is associated with less favourable outcomes.","author":[{"dropping-particle":"","family":"Seow","given":"C H","non-dropping-particle":"","parse-names":false,"suffix":""},{"dropping-particle":"","family":"Newman","given":"A","non-dropping-particle":"","parse-names":false,"suffix":""},{"dropping-particle":"","family":"Irwin","given":"S P","non-dropping-particle":"","parse-names":false,"suffix":""},{"dropping-particle":"","family":"Steinhart","given":"A H","non-dropping-particle":"","parse-names":false,"suffix":""},{"dropping-particle":"","family":"Silverberg","given":"M S","non-dropping-particle":"","parse-names":false,"suffix":""},{"dropping-particle":"","family":"Greenberg","given":"G R","non-dropping-particle":"","parse-names":false,"suffix":""}],"container-title":"Gut","id":"ITEM-1","issue":"01","issued":{"date-parts":[["2010","1"]]},"page":"49-54","title":"Trough serum infliximab: a predictive factor of clinical outcome for infliximab treatment in acute ulcerative colitis","type":"article-journal","volume":"59"},"uris":["http://www.mendeley.com/documents/?uuid=626bdf1e-2fe1-4438-a02b-839797b877e8","http://www.mendeley.com/documents/?uuid=df7d85ac-f1c8-4c86-bf19-dcc4cbcb253d","http://www.mendeley.com/documents/?uuid=b8ff4b5b-fcc7-4584-bca8-14dd611cf37c"]},{"id":"ITEM-2","itemData":{"DOI":"10.1053/j.gastro.2013.11.024","ISBN":"00165085","ISSN":"00165085","PMID":"24269926","abstract":"Background &amp; Aims Methotrexate and infliximab are effective therapies for Crohn's disease (CD). In the combination of maintenance methotrexate- infliximab trial, we evaluated the potential superiority of combination therapy over infliximab alone. Methods In a 50-week, double-blind, placebo-controlled trial, we compared methotrexate and infliximab with infliximab alone in 126 patients with CD who had initiated prednisone induction therapy (15-40 mg/day) within the preceding 6 weeks. Patients were assigned randomly to groups given methotrexate at an initial weekly dose of 10 mg, escalating to 25 mg/week (n = 63), or placebo (n = 63). Both groups received infliximab (5 mg/kg of body weight) at weeks 1, 3, 7, and 14, and every 8 weeks thereafter. Prednisone was tapered, beginning at week 1, and discontinued no later than week 14. The primary outcome was time to treatment failure, defined as a lack of prednisone-free remission (CD Activity Index, &lt;150) at week 14 or failure to maintain remission through week 50. Results Patients' baseline characteristics were similar between groups. By week 50, the actuarial rate of treatment failure was 30.6% in the combination therapy group compared with 29.8% in the infliximab monotherapy group (P =.63; hazard ratio, 1.16; 95% confidence interval, 0.62-2.17). Prespecified subgroup analyses failed to show a benefit in patients with short disease duration or an increased level of C-reactive protein. No clinically meaningful differences were observed in secondary outcomes. Combination therapy was well tolerated. Conclusions The combination of infliximab and methotrexate, although safe, was no more effective than infliximab alone in patients with CD receiving treatment with prednisone. ClincialTrials.gov number, NCT00132899. © 2014 by the AGA Institute.","author":[{"dropping-particle":"","family":"Feagan","given":"Brian G.","non-dropping-particle":"","parse-names":false,"suffix":""},{"dropping-particle":"","family":"McDonald","given":"John W.D.","non-dropping-particle":"","parse-names":false,"suffix":""},{"dropping-particle":"","family":"Panaccione","given":"Remo","non-dropping-particle":"","parse-names":false,"suffix":""},{"dropping-particle":"","family":"Enns","given":"Robert A.","non-dropping-particle":"","parse-names":false,"suffix":""},{"dropping-particle":"","family":"Bernstein","given":"Charles N.","non-dropping-particle":"","parse-names":false,"suffix":""},{"dropping-particle":"","family":"Ponich","given":"Terry P.","non-dropping-particle":"","parse-names":false,"suffix":""},{"dropping-particle":"","family":"Bourdages","given":"Raymond","non-dropping-particle":"","parse-names":false,"suffix":""},{"dropping-particle":"","family":"MacIntosh","given":"Donald G.","non-dropping-particle":"","parse-names":false,"suffix":""},{"dropping-particle":"","family":"Dallaire","given":"Chrystian","non-dropping-particle":"","parse-names":false,"suffix":""},{"dropping-particle":"","family":"Cohen","given":"Albert","non-dropping-particle":"","parse-names":false,"suffix":""},{"dropping-particle":"","family":"Fedorak","given":"Richard N.","non-dropping-particle":"","parse-names":false,"suffix":""},{"dropping-particle":"","family":"Paré","given":"Pierre","non-dropping-particle":"","parse-names":false,"suffix":""},{"dropping-particle":"","family":"Bitton","given":"Alain","non-dropping-particle":"","parse-names":false,"suffix":""},{"dropping-particle":"","family":"Saibil","given":"Fred","non-dropping-particle":"","parse-names":false,"suffix":""},{"dropping-particle":"","family":"Anderson","given":"Frank","non-dropping-particle":"","parse-names":false,"suffix":""},{"dropping-particle":"","family":"Donner","given":"Allan","non-dropping-particle":"","parse-names":false,"suffix":""},{"dropping-particle":"","family":"Wong","given":"Cindy J.","non-dropping-particle":"","parse-names":false,"suffix":""},{"dropping-particle":"","family":"Zou","given":"Guangyong","non-dropping-particle":"","parse-names":false,"suffix":""},{"dropping-particle":"","family":"Vandervoort","given":"Margaret K.","non-dropping-particle":"","parse-names":false,"suffix":""},{"dropping-particle":"","family":"Hopkins","given":"Marybeth","non-dropping-particle":"","parse-names":false,"suffix":""},{"dropping-particle":"","family":"Greenberg","given":"Gordon R.","non-dropping-particle":"","parse-names":false,"suffix":""}],"container-title":"Gastroenterology","id":"ITEM-2","issue":"3","issued":{"date-parts":[["2014","3"]]},"page":"681-688.e1","publisher":"Elsevier, Inc","title":"Methotrexate in Combination With Infliximab Is No More Effective Than Infliximab Alone in Patients With Crohn's Disease","type":"article-journal","volume":"146"},"uris":["http://www.mendeley.com/documents/?uuid=05f635fa-ee41-4cc7-873b-dcee1a17c4f0","http://www.mendeley.com/documents/?uuid=e53e30ac-87ae-4fc7-aee9-04e8d1923689","http://www.mendeley.com/documents/?uuid=51a28eb3-b2d9-4cd4-9b79-3dde7e5b5c81"]},{"id":"ITEM-3","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-3","issue":"9317","issued":{"date-parts":[["2002"]]},"page":"1541-1549","title":"Maintenance infliximab for Crohn's disease: The ACCENT I randomised trial","type":"article-journal","volume":"359"},"uris":["http://www.mendeley.com/documents/?uuid=629eb4eb-d397-4a69-89a0-06c26df17f32","http://www.mendeley.com/documents/?uuid=5483f861-6172-4b6e-b774-5668ec4ac2ff","http://www.mendeley.com/documents/?uuid=844b6336-4760-41c2-82e5-847a2013f86e"]},{"id":"ITEM-4","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Medicine","id":"ITEM-4","issue":"23","issued":{"date-parts":[["2005","12"]]},"page":"2462-2476","title":"Infliximab for Induction and Maintenance Therapy for Ulcerative Colitis","type":"article-journal","volume":"353"},"uris":["http://www.mendeley.com/documents/?uuid=adc04817-1669-4784-a3ae-7f5273bc984e","http://www.mendeley.com/documents/?uuid=08d02a08-fdd3-4eb9-b2ae-070a39d39fc5","http://www.mendeley.com/documents/?uuid=12ff60dc-3218-4c7f-941b-43511ca01a12","http://www.mendeley.com/documents/?uuid=d5f3989d-3666-44eb-a570-fabc44257655","http://www.mendeley.com/documents/?uuid=313a3fae-0d32-491e-8b5e-78c989e5492c"]}],"mendeley":{"formattedCitation":"&lt;sup&gt;27,53,130,131&lt;/sup&gt;","plainTextFormattedCitation":"27,53,130,131","previouslyFormattedCitation":"&lt;sup&gt;27,53,130,131&lt;/sup&gt;"},"properties":{"noteIndex":0},"schema":"https://github.com/citation-style-language/schema/raw/master/csl-citation.json"}</w:instrText>
      </w:r>
      <w:r w:rsidR="00514C41"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27,53,130,131</w:t>
      </w:r>
      <w:r w:rsidR="00514C41" w:rsidRPr="00922C73">
        <w:rPr>
          <w:rFonts w:ascii="Times New Roman" w:hAnsi="Times New Roman" w:cs="Times New Roman"/>
          <w:sz w:val="24"/>
          <w:szCs w:val="24"/>
        </w:rPr>
        <w:fldChar w:fldCharType="end"/>
      </w:r>
      <w:r w:rsidR="007D6EA1" w:rsidRPr="00922C73">
        <w:rPr>
          <w:rFonts w:ascii="Times New Roman" w:hAnsi="Times New Roman" w:cs="Times New Roman"/>
          <w:sz w:val="24"/>
          <w:szCs w:val="24"/>
        </w:rPr>
        <w:t xml:space="preserve"> </w:t>
      </w:r>
      <w:r w:rsidR="00234DA7" w:rsidRPr="00922C73">
        <w:rPr>
          <w:rFonts w:ascii="Times New Roman" w:hAnsi="Times New Roman" w:cs="Times New Roman"/>
          <w:sz w:val="24"/>
          <w:szCs w:val="24"/>
        </w:rPr>
        <w:t>but there are no direct comparison studies</w:t>
      </w:r>
      <w:r w:rsidR="00AD792F" w:rsidRPr="00922C73">
        <w:rPr>
          <w:rFonts w:ascii="Times New Roman" w:hAnsi="Times New Roman" w:cs="Times New Roman"/>
          <w:sz w:val="24"/>
          <w:szCs w:val="24"/>
        </w:rPr>
        <w:t>. Episodic</w:t>
      </w:r>
      <w:r w:rsidR="00514C41" w:rsidRPr="00922C73">
        <w:rPr>
          <w:rFonts w:ascii="Times New Roman" w:hAnsi="Times New Roman" w:cs="Times New Roman"/>
          <w:sz w:val="24"/>
          <w:szCs w:val="24"/>
        </w:rPr>
        <w:t xml:space="preserve"> therapy </w:t>
      </w:r>
      <w:r w:rsidR="007B184D" w:rsidRPr="00922C73">
        <w:rPr>
          <w:rFonts w:ascii="Times New Roman" w:hAnsi="Times New Roman" w:cs="Times New Roman"/>
          <w:sz w:val="24"/>
          <w:szCs w:val="24"/>
        </w:rPr>
        <w:t>appears to be</w:t>
      </w:r>
      <w:r w:rsidR="001B5A2F" w:rsidRPr="00922C73">
        <w:rPr>
          <w:rFonts w:ascii="Times New Roman" w:hAnsi="Times New Roman" w:cs="Times New Roman"/>
          <w:sz w:val="24"/>
          <w:szCs w:val="24"/>
        </w:rPr>
        <w:t xml:space="preserve"> associated with higher rate</w:t>
      </w:r>
      <w:r w:rsidR="007B184D" w:rsidRPr="00922C73">
        <w:rPr>
          <w:rFonts w:ascii="Times New Roman" w:hAnsi="Times New Roman" w:cs="Times New Roman"/>
          <w:sz w:val="24"/>
          <w:szCs w:val="24"/>
        </w:rPr>
        <w:t>s</w:t>
      </w:r>
      <w:r w:rsidR="001B5A2F" w:rsidRPr="00922C73">
        <w:rPr>
          <w:rFonts w:ascii="Times New Roman" w:hAnsi="Times New Roman" w:cs="Times New Roman"/>
          <w:sz w:val="24"/>
          <w:szCs w:val="24"/>
        </w:rPr>
        <w:t xml:space="preserve"> of immunogenicity</w:t>
      </w:r>
      <w:r w:rsidR="003C1D03" w:rsidRPr="00922C73">
        <w:rPr>
          <w:rFonts w:ascii="Times New Roman" w:hAnsi="Times New Roman" w:cs="Times New Roman"/>
          <w:sz w:val="24"/>
          <w:szCs w:val="24"/>
        </w:rPr>
        <w:t>. 125 CD patients, all on concomitant immunosuppressants were adminis</w:t>
      </w:r>
      <w:r w:rsidR="007B184D" w:rsidRPr="00922C73">
        <w:rPr>
          <w:rFonts w:ascii="Times New Roman" w:hAnsi="Times New Roman" w:cs="Times New Roman"/>
          <w:sz w:val="24"/>
          <w:szCs w:val="24"/>
        </w:rPr>
        <w:t>tered</w:t>
      </w:r>
      <w:r w:rsidR="003C1D03" w:rsidRPr="00922C73">
        <w:rPr>
          <w:rFonts w:ascii="Times New Roman" w:hAnsi="Times New Roman" w:cs="Times New Roman"/>
          <w:sz w:val="24"/>
          <w:szCs w:val="24"/>
        </w:rPr>
        <w:t xml:space="preserve"> </w:t>
      </w:r>
      <w:r w:rsidR="007B184D" w:rsidRPr="00922C73">
        <w:rPr>
          <w:rFonts w:ascii="Times New Roman" w:hAnsi="Times New Roman" w:cs="Times New Roman"/>
          <w:sz w:val="24"/>
          <w:szCs w:val="24"/>
        </w:rPr>
        <w:t xml:space="preserve">episodic </w:t>
      </w:r>
      <w:r w:rsidR="003C1D03" w:rsidRPr="00922C73">
        <w:rPr>
          <w:rFonts w:ascii="Times New Roman" w:hAnsi="Times New Roman" w:cs="Times New Roman"/>
          <w:sz w:val="24"/>
          <w:szCs w:val="24"/>
        </w:rPr>
        <w:t>infliximab infusions on loss of clinical response</w:t>
      </w:r>
      <w:r w:rsidR="007B184D" w:rsidRPr="00922C73">
        <w:rPr>
          <w:rFonts w:ascii="Times New Roman" w:hAnsi="Times New Roman" w:cs="Times New Roman"/>
          <w:sz w:val="24"/>
          <w:szCs w:val="24"/>
        </w:rPr>
        <w:t xml:space="preserve"> and ATI positivity was 61% after </w:t>
      </w:r>
      <w:r w:rsidR="00CF2E9A" w:rsidRPr="00922C73">
        <w:rPr>
          <w:rFonts w:ascii="Times New Roman" w:hAnsi="Times New Roman" w:cs="Times New Roman"/>
          <w:sz w:val="24"/>
          <w:szCs w:val="24"/>
        </w:rPr>
        <w:t xml:space="preserve">the </w:t>
      </w:r>
      <w:r w:rsidR="007B184D" w:rsidRPr="00922C73">
        <w:rPr>
          <w:rFonts w:ascii="Times New Roman" w:hAnsi="Times New Roman" w:cs="Times New Roman"/>
          <w:sz w:val="24"/>
          <w:szCs w:val="24"/>
        </w:rPr>
        <w:t>fifth infusion</w:t>
      </w:r>
      <w:r w:rsidR="001D6234" w:rsidRPr="00922C73">
        <w:rPr>
          <w:rFonts w:ascii="Times New Roman" w:hAnsi="Times New Roman" w:cs="Times New Roman"/>
          <w:sz w:val="24"/>
          <w:szCs w:val="24"/>
        </w:rPr>
        <w:t xml:space="preserve"> </w:t>
      </w:r>
      <w:r w:rsidR="001D6234"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Medicine","id":"ITEM-1","issue":"7","issued":{"date-parts":[["2003","2","13"]]},"page":"601-608","title":"Influence of Immunogenicity on the Long-Term Efficacy of Infliximab in Crohn's Disease","type":"article-journal","volume":"348"},"uris":["http://www.mendeley.com/documents/?uuid=a7f617eb-fb32-4b78-b0e6-6fa31fb61500"]}],"mendeley":{"formattedCitation":"&lt;sup&gt;118&lt;/sup&gt;","plainTextFormattedCitation":"118","previouslyFormattedCitation":"&lt;sup&gt;118&lt;/sup&gt;"},"properties":{"noteIndex":0},"schema":"https://github.com/citation-style-language/schema/raw/master/csl-citation.json"}</w:instrText>
      </w:r>
      <w:r w:rsidR="001D6234"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118</w:t>
      </w:r>
      <w:r w:rsidR="001D6234" w:rsidRPr="00922C73">
        <w:rPr>
          <w:rFonts w:ascii="Times New Roman" w:hAnsi="Times New Roman" w:cs="Times New Roman"/>
          <w:sz w:val="24"/>
          <w:szCs w:val="24"/>
        </w:rPr>
        <w:fldChar w:fldCharType="end"/>
      </w:r>
      <w:r w:rsidR="003C1D03" w:rsidRPr="00922C73">
        <w:rPr>
          <w:rFonts w:ascii="Times New Roman" w:hAnsi="Times New Roman" w:cs="Times New Roman"/>
          <w:sz w:val="24"/>
          <w:szCs w:val="24"/>
        </w:rPr>
        <w:t xml:space="preserve">. </w:t>
      </w:r>
      <w:r w:rsidR="00234DA7" w:rsidRPr="00922C73">
        <w:rPr>
          <w:rFonts w:ascii="Times New Roman" w:hAnsi="Times New Roman" w:cs="Times New Roman"/>
          <w:sz w:val="24"/>
          <w:szCs w:val="24"/>
        </w:rPr>
        <w:t xml:space="preserve"> </w:t>
      </w:r>
      <w:r w:rsidR="007B184D" w:rsidRPr="00922C73">
        <w:rPr>
          <w:rFonts w:ascii="Times New Roman" w:hAnsi="Times New Roman" w:cs="Times New Roman"/>
          <w:sz w:val="24"/>
          <w:szCs w:val="24"/>
        </w:rPr>
        <w:t>Another study in CD over</w:t>
      </w:r>
      <w:r w:rsidR="003C69D4" w:rsidRPr="00922C73">
        <w:rPr>
          <w:rFonts w:ascii="Times New Roman" w:hAnsi="Times New Roman" w:cs="Times New Roman"/>
          <w:sz w:val="24"/>
          <w:szCs w:val="24"/>
        </w:rPr>
        <w:t xml:space="preserve"> </w:t>
      </w:r>
      <w:r w:rsidR="002065A4" w:rsidRPr="00922C73">
        <w:rPr>
          <w:rFonts w:ascii="Times New Roman" w:hAnsi="Times New Roman" w:cs="Times New Roman"/>
          <w:sz w:val="24"/>
          <w:szCs w:val="24"/>
        </w:rPr>
        <w:t>72</w:t>
      </w:r>
      <w:r w:rsidR="007B184D" w:rsidRPr="00922C73">
        <w:rPr>
          <w:rFonts w:ascii="Times New Roman" w:hAnsi="Times New Roman" w:cs="Times New Roman"/>
          <w:sz w:val="24"/>
          <w:szCs w:val="24"/>
        </w:rPr>
        <w:t xml:space="preserve"> </w:t>
      </w:r>
      <w:r w:rsidR="002065A4" w:rsidRPr="00922C73">
        <w:rPr>
          <w:rFonts w:ascii="Times New Roman" w:hAnsi="Times New Roman" w:cs="Times New Roman"/>
          <w:sz w:val="24"/>
          <w:szCs w:val="24"/>
        </w:rPr>
        <w:t>week</w:t>
      </w:r>
      <w:r w:rsidR="007B184D" w:rsidRPr="00922C73">
        <w:rPr>
          <w:rFonts w:ascii="Times New Roman" w:hAnsi="Times New Roman" w:cs="Times New Roman"/>
          <w:sz w:val="24"/>
          <w:szCs w:val="24"/>
        </w:rPr>
        <w:t>s</w:t>
      </w:r>
      <w:r w:rsidR="003C69D4" w:rsidRPr="00922C73">
        <w:rPr>
          <w:rFonts w:ascii="Times New Roman" w:hAnsi="Times New Roman" w:cs="Times New Roman"/>
          <w:sz w:val="24"/>
          <w:szCs w:val="24"/>
        </w:rPr>
        <w:t xml:space="preserve"> showed that 30% of th</w:t>
      </w:r>
      <w:r w:rsidR="002065A4" w:rsidRPr="00922C73">
        <w:rPr>
          <w:rFonts w:ascii="Times New Roman" w:hAnsi="Times New Roman" w:cs="Times New Roman"/>
          <w:sz w:val="24"/>
          <w:szCs w:val="24"/>
        </w:rPr>
        <w:t>ose</w:t>
      </w:r>
      <w:r w:rsidR="003C69D4" w:rsidRPr="00922C73">
        <w:rPr>
          <w:rFonts w:ascii="Times New Roman" w:hAnsi="Times New Roman" w:cs="Times New Roman"/>
          <w:sz w:val="24"/>
          <w:szCs w:val="24"/>
        </w:rPr>
        <w:t xml:space="preserve"> that received infliximab infusions on loss of response </w:t>
      </w:r>
      <w:r w:rsidR="001B5A2F" w:rsidRPr="00922C73">
        <w:rPr>
          <w:rFonts w:ascii="Times New Roman" w:hAnsi="Times New Roman" w:cs="Times New Roman"/>
          <w:sz w:val="24"/>
          <w:szCs w:val="24"/>
        </w:rPr>
        <w:t>had ATI</w:t>
      </w:r>
      <w:r w:rsidR="003C69D4" w:rsidRPr="00922C73">
        <w:rPr>
          <w:rFonts w:ascii="Times New Roman" w:hAnsi="Times New Roman" w:cs="Times New Roman"/>
          <w:sz w:val="24"/>
          <w:szCs w:val="24"/>
        </w:rPr>
        <w:t xml:space="preserve"> compared to 8% in those receiving regular </w:t>
      </w:r>
      <w:r w:rsidR="003C69D4" w:rsidRPr="00922C73">
        <w:rPr>
          <w:rFonts w:ascii="Times New Roman" w:hAnsi="Times New Roman" w:cs="Times New Roman"/>
          <w:sz w:val="24"/>
          <w:szCs w:val="24"/>
          <w:shd w:val="clear" w:color="auto" w:fill="FFFFFF"/>
        </w:rPr>
        <w:t>infliximab</w:t>
      </w:r>
      <w:r w:rsidR="002065A4" w:rsidRPr="00922C73">
        <w:rPr>
          <w:rFonts w:ascii="Times New Roman" w:hAnsi="Times New Roman" w:cs="Times New Roman"/>
          <w:sz w:val="24"/>
          <w:szCs w:val="24"/>
          <w:shd w:val="clear" w:color="auto" w:fill="FFFFFF"/>
        </w:rPr>
        <w:t xml:space="preserve"> </w:t>
      </w:r>
      <w:r w:rsidR="003C69D4" w:rsidRPr="00922C73">
        <w:rPr>
          <w:rFonts w:ascii="Times New Roman" w:hAnsi="Times New Roman" w:cs="Times New Roman"/>
          <w:sz w:val="24"/>
          <w:szCs w:val="24"/>
          <w:shd w:val="clear" w:color="auto" w:fill="FFFFFF"/>
        </w:rPr>
        <w:t>(</w:t>
      </w:r>
      <w:r w:rsidR="003C69D4" w:rsidRPr="00922C73">
        <w:rPr>
          <w:rFonts w:ascii="Times New Roman" w:hAnsi="Times New Roman" w:cs="Times New Roman"/>
          <w:i/>
          <w:iCs/>
          <w:sz w:val="24"/>
          <w:szCs w:val="24"/>
          <w:shd w:val="clear" w:color="auto" w:fill="FFFFFF"/>
        </w:rPr>
        <w:t>P</w:t>
      </w:r>
      <w:r w:rsidR="003C69D4" w:rsidRPr="00922C73">
        <w:rPr>
          <w:rFonts w:ascii="Times New Roman" w:hAnsi="Times New Roman" w:cs="Times New Roman"/>
          <w:sz w:val="24"/>
          <w:szCs w:val="24"/>
          <w:shd w:val="clear" w:color="auto" w:fill="FFFFFF"/>
        </w:rPr>
        <w:t xml:space="preserve"> &lt; 0.0001), with the episodic group having higher rates of </w:t>
      </w:r>
      <w:r w:rsidR="003C69D4" w:rsidRPr="00922C73">
        <w:rPr>
          <w:rFonts w:ascii="Times New Roman" w:hAnsi="Times New Roman" w:cs="Times New Roman"/>
          <w:sz w:val="24"/>
          <w:szCs w:val="24"/>
          <w:shd w:val="clear" w:color="auto" w:fill="FFFFFF"/>
        </w:rPr>
        <w:lastRenderedPageBreak/>
        <w:t>concomitant immunosuppression</w:t>
      </w:r>
      <w:r w:rsidR="002065A4" w:rsidRPr="00922C73">
        <w:rPr>
          <w:rFonts w:ascii="Times New Roman" w:hAnsi="Times New Roman" w:cs="Times New Roman"/>
          <w:sz w:val="24"/>
          <w:szCs w:val="24"/>
          <w:shd w:val="clear" w:color="auto" w:fill="FFFFFF"/>
        </w:rPr>
        <w:t xml:space="preserve"> </w:t>
      </w:r>
      <w:r w:rsidR="002065A4"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{"citationItems":[{"id":"ITEM-1","itemData":{"DOI":"10.1016/S1542-3565(04)00238-1","ISBN":"1542-3565 1542-3565 (ISSNLinking)","ISSN":"15423565","PMID":"15224278","abstract":"Background &amp; Aims: The effect of different treatment regimens on antibody responses to infliximab and their clinical significance was examined by using data from ACCENT I. Methods: Patients with Crohn's disease (n = 573) received 5 mg/kg infliximab (week 0) and then were randomly assigned to blinded infusions at weeks 2 and 6 and every 8 weeks until week 46 of placebo (group I), 5 mg/kg infliximab (group II), or 5 mg/kg infliximab at weeks 2 and 6, followed by 10 mg/kg thereafter (group III). At week 14 or later, patients losing response could cross over to episodic infliximab treatment increased by 5 mg/kg. Samples for antibody determination were collected before the first infusion and at weeks 14, 22, 54, 62, 72, and, if applicable, before and after crossover. Results: Through week 72, antibodies to infliximab were detected in 30%, 10%, and 7% of groups I, II, and III, respectively (P &lt; 0.0001). Patients receiving immunomodulators had a lower incidence of antibodies compared with patients receiving infliximab alone (10% and 18%, respectively; P = 0.02). Antibodies were associated with a 12% absolute increase in infusion reactions but no increase in serious infusion reactions or serum sickness - like reactions. In the overall population, similar proportions of antibody-positive and antibody-negative patients achieved clinical response (64% and 62%, respectively; P = NS) or clinical remission (41% and 39%, respectively; P = NS) at week 54. Notably, 86% of patients responded to retreatment, and 63% were in clinical response at week 54; however, fewer antibody-positive group I patients attained clinical remission (31%) compared with those who were antibody negative (37%) or antibody inconclusive (54%) (P = NS). Conclusions: Reduced antibody formation and greater clinical benefit were observed with an induction regimen followed by maintenance treatment compared with a single dose followed by episodic retreatment in Crohn's disease patients treated with infliximab.","author":[{"dropping-particle":"","family":"Hanauer","given":"Stephen B.","non-dropping-particle":"","parse-names":false,"suffix":""},{"dropping-particle":"","family":"Wagner","given":"Carrie L.","non-dropping-particle":"","parse-names":false,"suffix":""},{"dropping-particle":"","family":"Bala","given":"Mohan","non-dropping-particle":"","parse-names":false,"suffix":""},{"dropping-particle":"","family":"Mayer","given":"Lloyd","non-dropping-particle":"","parse-names":false,"suffix":""},{"dropping-particle":"","family":"Travers","given":"Suzanne","non-dropping-particle":"","parse-names":false,"suffix":""},{"dropping-particle":"","family":"Diamond","given":"Robert H.","non-dropping-particle":"","parse-names":false,"suffix":""},{"dropping-particle":"","family":"Olson","given":"Allan","non-dropping-particle":"","parse-names":false,"suffix":""},{"dropping-particle":"","family":"Bao","given":"Warren","non-dropping-particle":"","parse-names":false,"suffix":""},{"dropping-particle":"","family":"Rutgeerts","given":"Paul","non-dropping-particle":"","parse-names":false,"suffix":""}],"container-title":"Clinical Gastroenterology and Hepatology","id":"ITEM-1","issue":"7","issued":{"date-parts":[["2004","7"]]},"page":"542-553","title":"Incidence and importance of antibody responses to infliximab after maintenance or episodic treatment in Crohn’s disease","type":"article-journal","volume":"2"},"uris":["http://www.mendeley.com/documents/?uuid=99ec09d0-137a-4961-a36b-c4366eaa2577"]}],"mendeley":{"formattedCitation":"&lt;sup&gt;132&lt;/sup&gt;","plainTextFormattedCitation":"132","previouslyFormattedCitation":"&lt;sup&gt;132&lt;/sup&gt;"},"properties":{"noteIndex":0},"schema":"https://github.com/citation-style-language/schema/raw/master/csl-citation.json"}</w:instrText>
      </w:r>
      <w:r w:rsidR="002065A4"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132</w:t>
      </w:r>
      <w:r w:rsidR="002065A4" w:rsidRPr="00922C73">
        <w:rPr>
          <w:rFonts w:ascii="Times New Roman" w:hAnsi="Times New Roman" w:cs="Times New Roman"/>
          <w:sz w:val="24"/>
          <w:szCs w:val="24"/>
          <w:shd w:val="clear" w:color="auto" w:fill="FFFFFF"/>
        </w:rPr>
        <w:fldChar w:fldCharType="end"/>
      </w:r>
      <w:r w:rsidR="00056D99" w:rsidRPr="00922C73">
        <w:rPr>
          <w:rFonts w:ascii="Times New Roman" w:hAnsi="Times New Roman" w:cs="Times New Roman"/>
          <w:sz w:val="24"/>
          <w:szCs w:val="24"/>
          <w:shd w:val="clear" w:color="auto" w:fill="FFFFFF"/>
        </w:rPr>
        <w:t>.</w:t>
      </w:r>
      <w:r w:rsidR="0024476A" w:rsidRPr="00922C73">
        <w:rPr>
          <w:rFonts w:ascii="Times New Roman" w:hAnsi="Times New Roman" w:cs="Times New Roman"/>
          <w:sz w:val="24"/>
          <w:szCs w:val="24"/>
        </w:rPr>
        <w:t xml:space="preserve"> </w:t>
      </w:r>
      <w:r w:rsidR="0053355D" w:rsidRPr="00922C73">
        <w:rPr>
          <w:rFonts w:ascii="Times New Roman" w:hAnsi="Times New Roman" w:cs="Times New Roman"/>
          <w:sz w:val="24"/>
          <w:szCs w:val="24"/>
        </w:rPr>
        <w:t>However</w:t>
      </w:r>
      <w:r w:rsidR="00196ED7" w:rsidRPr="00922C73">
        <w:rPr>
          <w:rFonts w:ascii="Times New Roman" w:hAnsi="Times New Roman" w:cs="Times New Roman"/>
          <w:sz w:val="24"/>
          <w:szCs w:val="24"/>
        </w:rPr>
        <w:t xml:space="preserve">, </w:t>
      </w:r>
      <w:r w:rsidR="0053355D" w:rsidRPr="00922C73">
        <w:rPr>
          <w:rFonts w:ascii="Times New Roman" w:hAnsi="Times New Roman" w:cs="Times New Roman"/>
          <w:sz w:val="24"/>
          <w:szCs w:val="24"/>
        </w:rPr>
        <w:t>a prospe</w:t>
      </w:r>
      <w:r w:rsidR="00DC514A" w:rsidRPr="00922C73">
        <w:rPr>
          <w:rFonts w:ascii="Times New Roman" w:hAnsi="Times New Roman" w:cs="Times New Roman"/>
          <w:sz w:val="24"/>
          <w:szCs w:val="24"/>
        </w:rPr>
        <w:t>ctive study of 125 IBD patients showed that the</w:t>
      </w:r>
      <w:r w:rsidR="0053355D" w:rsidRPr="00922C73">
        <w:rPr>
          <w:rFonts w:ascii="Times New Roman" w:hAnsi="Times New Roman" w:cs="Times New Roman"/>
          <w:sz w:val="24"/>
          <w:szCs w:val="24"/>
        </w:rPr>
        <w:t xml:space="preserve"> 14 patients </w:t>
      </w:r>
      <w:r w:rsidR="00AD792F" w:rsidRPr="00922C73">
        <w:rPr>
          <w:rFonts w:ascii="Times New Roman" w:hAnsi="Times New Roman" w:cs="Times New Roman"/>
          <w:sz w:val="24"/>
          <w:szCs w:val="24"/>
        </w:rPr>
        <w:t xml:space="preserve">who </w:t>
      </w:r>
      <w:r w:rsidR="0053355D" w:rsidRPr="00922C73">
        <w:rPr>
          <w:rFonts w:ascii="Times New Roman" w:hAnsi="Times New Roman" w:cs="Times New Roman"/>
          <w:sz w:val="24"/>
          <w:szCs w:val="24"/>
        </w:rPr>
        <w:t xml:space="preserve">had </w:t>
      </w:r>
      <w:r w:rsidR="00232DF2" w:rsidRPr="00922C73">
        <w:rPr>
          <w:rFonts w:ascii="Times New Roman" w:hAnsi="Times New Roman" w:cs="Times New Roman"/>
          <w:sz w:val="24"/>
          <w:szCs w:val="24"/>
        </w:rPr>
        <w:t xml:space="preserve">previously received infliximab </w:t>
      </w:r>
      <w:r w:rsidR="00DC514A" w:rsidRPr="00922C73">
        <w:rPr>
          <w:rFonts w:ascii="Times New Roman" w:hAnsi="Times New Roman" w:cs="Times New Roman"/>
          <w:sz w:val="24"/>
          <w:szCs w:val="24"/>
        </w:rPr>
        <w:t>did n</w:t>
      </w:r>
      <w:r w:rsidR="0053355D" w:rsidRPr="00922C73">
        <w:rPr>
          <w:rFonts w:ascii="Times New Roman" w:hAnsi="Times New Roman" w:cs="Times New Roman"/>
          <w:sz w:val="24"/>
          <w:szCs w:val="24"/>
        </w:rPr>
        <w:t>o</w:t>
      </w:r>
      <w:r w:rsidR="00DC514A" w:rsidRPr="00922C73">
        <w:rPr>
          <w:rFonts w:ascii="Times New Roman" w:hAnsi="Times New Roman" w:cs="Times New Roman"/>
          <w:sz w:val="24"/>
          <w:szCs w:val="24"/>
        </w:rPr>
        <w:t>t</w:t>
      </w:r>
      <w:r w:rsidR="0053355D" w:rsidRPr="00922C73">
        <w:rPr>
          <w:rFonts w:ascii="Times New Roman" w:hAnsi="Times New Roman" w:cs="Times New Roman"/>
          <w:sz w:val="24"/>
          <w:szCs w:val="24"/>
        </w:rPr>
        <w:t xml:space="preserve"> develop ATI more readily than those who had not been previously exposed to infliximab</w:t>
      </w:r>
      <w:r w:rsidR="00DC514A" w:rsidRPr="00922C73">
        <w:rPr>
          <w:rFonts w:ascii="Times New Roman" w:hAnsi="Times New Roman" w:cs="Times New Roman"/>
          <w:sz w:val="24"/>
          <w:szCs w:val="24"/>
        </w:rPr>
        <w:t xml:space="preserve"> </w:t>
      </w:r>
      <w:r w:rsidR="00DC514A"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-1","issue":"8","issued":{"date-parts":[["2014","8"]]},"page":"1258-1264","title":"The temporal evolution of antidrug antibodies in patients with inflammatory bowel disease treated with infliximab","type":"article-journal","volume":"63"},"uris":["http://www.mendeley.com/documents/?uuid=002a1638-74ae-4bb5-b24e-0614c8af15d9","http://www.mendeley.com/documents/?uuid=5245c11b-6335-41bc-8ed2-f700ac2cb263","http://www.mendeley.com/documents/?uuid=22938eaa-88d8-44e4-a3f4-676386a86637"]}],"mendeley":{"formattedCitation":"&lt;sup&gt;129&lt;/sup&gt;","plainTextFormattedCitation":"129","previouslyFormattedCitation":"&lt;sup&gt;129&lt;/sup&gt;"},"properties":{"noteIndex":0},"schema":"https://github.com/citation-style-language/schema/raw/master/csl-citation.json"}</w:instrText>
      </w:r>
      <w:r w:rsidR="00DC514A"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129</w:t>
      </w:r>
      <w:r w:rsidR="00DC514A" w:rsidRPr="00922C73">
        <w:rPr>
          <w:rFonts w:ascii="Times New Roman" w:hAnsi="Times New Roman" w:cs="Times New Roman"/>
          <w:sz w:val="24"/>
          <w:szCs w:val="24"/>
        </w:rPr>
        <w:fldChar w:fldCharType="end"/>
      </w:r>
      <w:r w:rsidR="00DC514A" w:rsidRPr="00922C73">
        <w:rPr>
          <w:rFonts w:ascii="Times New Roman" w:hAnsi="Times New Roman" w:cs="Times New Roman"/>
          <w:sz w:val="24"/>
          <w:szCs w:val="24"/>
        </w:rPr>
        <w:t xml:space="preserve">. </w:t>
      </w:r>
      <w:r w:rsidR="00EB60EE" w:rsidRPr="00922C73">
        <w:rPr>
          <w:rFonts w:ascii="Times New Roman" w:hAnsi="Times New Roman" w:cs="Times New Roman"/>
          <w:sz w:val="24"/>
          <w:szCs w:val="24"/>
        </w:rPr>
        <w:t xml:space="preserve">But the latter study is limited by the small numbers in the previous infliximab </w:t>
      </w:r>
      <w:r w:rsidR="00812F62" w:rsidRPr="00922C73">
        <w:rPr>
          <w:rFonts w:ascii="Times New Roman" w:hAnsi="Times New Roman" w:cs="Times New Roman"/>
          <w:sz w:val="24"/>
          <w:szCs w:val="24"/>
        </w:rPr>
        <w:t xml:space="preserve">therapy </w:t>
      </w:r>
      <w:r w:rsidR="00EB60EE" w:rsidRPr="00922C73">
        <w:rPr>
          <w:rFonts w:ascii="Times New Roman" w:hAnsi="Times New Roman" w:cs="Times New Roman"/>
          <w:sz w:val="24"/>
          <w:szCs w:val="24"/>
        </w:rPr>
        <w:t>group with no information on concomitant immunosuppressio</w:t>
      </w:r>
      <w:r w:rsidR="00812F62" w:rsidRPr="00922C73">
        <w:rPr>
          <w:rFonts w:ascii="Times New Roman" w:hAnsi="Times New Roman" w:cs="Times New Roman"/>
          <w:sz w:val="24"/>
          <w:szCs w:val="24"/>
        </w:rPr>
        <w:t>n, nor when or how long the previous infliximab treatment was.</w:t>
      </w:r>
      <w:r w:rsidR="00EB60EE" w:rsidRPr="00922C73">
        <w:rPr>
          <w:rFonts w:ascii="Times New Roman" w:hAnsi="Times New Roman" w:cs="Times New Roman"/>
          <w:sz w:val="24"/>
          <w:szCs w:val="24"/>
        </w:rPr>
        <w:t xml:space="preserve"> </w:t>
      </w:r>
      <w:r w:rsidR="00812F62" w:rsidRPr="00922C73">
        <w:rPr>
          <w:rFonts w:ascii="Times New Roman" w:hAnsi="Times New Roman" w:cs="Times New Roman"/>
          <w:sz w:val="24"/>
          <w:szCs w:val="24"/>
        </w:rPr>
        <w:t xml:space="preserve">Although some may categorise restarting infliximab in those who had received previous infliximab therapy as episodic treatment, this </w:t>
      </w:r>
      <w:r w:rsidR="001D6234" w:rsidRPr="00922C73">
        <w:rPr>
          <w:rFonts w:ascii="Times New Roman" w:hAnsi="Times New Roman" w:cs="Times New Roman"/>
          <w:sz w:val="24"/>
          <w:szCs w:val="24"/>
        </w:rPr>
        <w:t xml:space="preserve">is </w:t>
      </w:r>
      <w:r w:rsidR="00812F62" w:rsidRPr="00922C73">
        <w:rPr>
          <w:rFonts w:ascii="Times New Roman" w:hAnsi="Times New Roman" w:cs="Times New Roman"/>
          <w:sz w:val="24"/>
          <w:szCs w:val="24"/>
        </w:rPr>
        <w:t>very different to receiving multiple unscheduled infusions over a few year</w:t>
      </w:r>
      <w:r w:rsidR="001D6234" w:rsidRPr="00922C73">
        <w:rPr>
          <w:rFonts w:ascii="Times New Roman" w:hAnsi="Times New Roman" w:cs="Times New Roman"/>
          <w:sz w:val="24"/>
          <w:szCs w:val="24"/>
        </w:rPr>
        <w:t>s and this difference would be reflected in drug pharmacokinetics</w:t>
      </w:r>
      <w:r w:rsidR="00CF2E9A" w:rsidRPr="00922C73">
        <w:rPr>
          <w:rFonts w:ascii="Times New Roman" w:hAnsi="Times New Roman" w:cs="Times New Roman"/>
          <w:sz w:val="24"/>
          <w:szCs w:val="24"/>
        </w:rPr>
        <w:t>,</w:t>
      </w:r>
      <w:r w:rsidR="001D6234" w:rsidRPr="00922C73">
        <w:rPr>
          <w:rFonts w:ascii="Times New Roman" w:hAnsi="Times New Roman" w:cs="Times New Roman"/>
          <w:sz w:val="24"/>
          <w:szCs w:val="24"/>
        </w:rPr>
        <w:t xml:space="preserve"> and </w:t>
      </w:r>
      <w:r w:rsidR="00CF2E9A" w:rsidRPr="00922C73">
        <w:rPr>
          <w:rFonts w:ascii="Times New Roman" w:hAnsi="Times New Roman" w:cs="Times New Roman"/>
          <w:sz w:val="24"/>
          <w:szCs w:val="24"/>
        </w:rPr>
        <w:t xml:space="preserve">therefore, </w:t>
      </w:r>
      <w:r w:rsidR="001D6234" w:rsidRPr="00922C73">
        <w:rPr>
          <w:rFonts w:ascii="Times New Roman" w:hAnsi="Times New Roman" w:cs="Times New Roman"/>
          <w:sz w:val="24"/>
          <w:szCs w:val="24"/>
        </w:rPr>
        <w:t>immunogenicity. All three studies used drug sensitive assays, which means they may have underestimated the rates of ATI formation.</w:t>
      </w:r>
    </w:p>
    <w:p w14:paraId="44929441" w14:textId="77777777" w:rsidR="00150574" w:rsidRPr="00922C73" w:rsidRDefault="00150574" w:rsidP="00700BBF">
      <w:pPr>
        <w:autoSpaceDE w:val="0"/>
        <w:autoSpaceDN w:val="0"/>
        <w:adjustRightInd w:val="0"/>
        <w:spacing w:after="0" w:line="480" w:lineRule="auto"/>
        <w:rPr>
          <w:rFonts w:ascii="Times New Roman" w:hAnsi="Times New Roman" w:cs="Times New Roman"/>
          <w:sz w:val="24"/>
          <w:szCs w:val="24"/>
        </w:rPr>
      </w:pPr>
    </w:p>
    <w:p w14:paraId="36ADF7C9" w14:textId="67039190" w:rsidR="00D35D73" w:rsidRPr="00922C73" w:rsidRDefault="005B6FA5" w:rsidP="00F64D9D">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 xml:space="preserve">Comparisons between studies to assess risk-factors for </w:t>
      </w:r>
      <w:r w:rsidR="00BE0B7A" w:rsidRPr="00922C73">
        <w:rPr>
          <w:rFonts w:ascii="Times New Roman" w:hAnsi="Times New Roman" w:cs="Times New Roman"/>
          <w:sz w:val="24"/>
          <w:szCs w:val="24"/>
        </w:rPr>
        <w:t>ATI remain</w:t>
      </w:r>
      <w:r w:rsidRPr="00922C73">
        <w:rPr>
          <w:rFonts w:ascii="Times New Roman" w:hAnsi="Times New Roman" w:cs="Times New Roman"/>
          <w:sz w:val="24"/>
          <w:szCs w:val="24"/>
        </w:rPr>
        <w:t xml:space="preserve"> difficult as different assays are used. ATI are also measured at different points of time with positivity on any assessment often taken as a positive ATI status. This is relevant as ATI may be transient or develop at different time points of treatment. In the above mentioned prospective observational study of 125 IBD patients receiving scheduled therapy, infliximab and ATI levels were measured before each infusion and results indicated that 90% of ATI occurred within 12 months and 26% of patients developed transient antibodies</w:t>
      </w:r>
      <w:r w:rsidR="00AD792F" w:rsidRPr="00922C73">
        <w:rPr>
          <w:rFonts w:ascii="Times New Roman" w:hAnsi="Times New Roman" w:cs="Times New Roman"/>
          <w:sz w:val="24"/>
          <w:szCs w:val="24"/>
        </w:rPr>
        <w:t xml:space="preserve">: ATI that </w:t>
      </w:r>
      <w:r w:rsidR="00DC514A" w:rsidRPr="00922C73">
        <w:rPr>
          <w:rFonts w:ascii="Times New Roman" w:hAnsi="Times New Roman" w:cs="Times New Roman"/>
          <w:sz w:val="24"/>
          <w:szCs w:val="24"/>
        </w:rPr>
        <w:t>disappear</w:t>
      </w:r>
      <w:r w:rsidR="00AD792F" w:rsidRPr="00922C73">
        <w:rPr>
          <w:rFonts w:ascii="Times New Roman" w:hAnsi="Times New Roman" w:cs="Times New Roman"/>
          <w:sz w:val="24"/>
          <w:szCs w:val="24"/>
        </w:rPr>
        <w:t>ed within 2 consecutive infusions and</w:t>
      </w:r>
      <w:r w:rsidR="00DC514A" w:rsidRPr="00922C73">
        <w:rPr>
          <w:rFonts w:ascii="Times New Roman" w:hAnsi="Times New Roman" w:cs="Times New Roman"/>
          <w:sz w:val="24"/>
          <w:szCs w:val="24"/>
        </w:rPr>
        <w:t xml:space="preserve"> had little clinical impact</w:t>
      </w:r>
      <w:r w:rsidR="005D124A" w:rsidRPr="00922C73">
        <w:rPr>
          <w:rFonts w:ascii="Times New Roman" w:hAnsi="Times New Roman" w:cs="Times New Roman"/>
          <w:sz w:val="24"/>
          <w:szCs w:val="24"/>
        </w:rPr>
        <w:t xml:space="preserve"> </w:t>
      </w:r>
      <w:r w:rsidR="005D124A"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-1","issue":"8","issued":{"date-parts":[["2014","8"]]},"page":"1258-1264","title":"The temporal evolution of antidrug antibodies in patients with inflammatory bowel disease treated with infliximab","type":"article-journal","volume":"63"},"uris":["http://www.mendeley.com/documents/?uuid=22938eaa-88d8-44e4-a3f4-676386a86637","http://www.mendeley.com/documents/?uuid=002a1638-74ae-4bb5-b24e-0614c8af15d9","http://www.mendeley.com/documents/?uuid=5245c11b-6335-41bc-8ed2-f700ac2cb263"]}],"mendeley":{"formattedCitation":"&lt;sup&gt;129&lt;/sup&gt;","plainTextFormattedCitation":"129","previouslyFormattedCitation":"&lt;sup&gt;129&lt;/sup&gt;"},"properties":{"noteIndex":0},"schema":"https://github.com/citation-style-language/schema/raw/master/csl-citation.json"}</w:instrText>
      </w:r>
      <w:r w:rsidR="005D124A"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129</w:t>
      </w:r>
      <w:r w:rsidR="005D124A" w:rsidRPr="00922C73">
        <w:rPr>
          <w:rFonts w:ascii="Times New Roman" w:hAnsi="Times New Roman" w:cs="Times New Roman"/>
          <w:sz w:val="24"/>
          <w:szCs w:val="24"/>
        </w:rPr>
        <w:fldChar w:fldCharType="end"/>
      </w:r>
      <w:r w:rsidR="00DC514A" w:rsidRPr="00922C73">
        <w:rPr>
          <w:rFonts w:ascii="Times New Roman" w:hAnsi="Times New Roman" w:cs="Times New Roman"/>
          <w:sz w:val="24"/>
          <w:szCs w:val="24"/>
        </w:rPr>
        <w:t>. T</w:t>
      </w:r>
      <w:r w:rsidR="00E12CFF" w:rsidRPr="00922C73">
        <w:rPr>
          <w:rFonts w:ascii="Times New Roman" w:hAnsi="Times New Roman" w:cs="Times New Roman"/>
          <w:sz w:val="24"/>
          <w:szCs w:val="24"/>
        </w:rPr>
        <w:t>hese points t</w:t>
      </w:r>
      <w:r w:rsidR="00150574" w:rsidRPr="00922C73">
        <w:rPr>
          <w:rFonts w:ascii="Times New Roman" w:hAnsi="Times New Roman" w:cs="Times New Roman"/>
          <w:sz w:val="24"/>
          <w:szCs w:val="24"/>
        </w:rPr>
        <w:t xml:space="preserve">herefore </w:t>
      </w:r>
      <w:r w:rsidR="00E12CFF" w:rsidRPr="00922C73">
        <w:rPr>
          <w:rFonts w:ascii="Times New Roman" w:hAnsi="Times New Roman" w:cs="Times New Roman"/>
          <w:sz w:val="24"/>
          <w:szCs w:val="24"/>
        </w:rPr>
        <w:t>should be considered when assessing risk factors for clinically relevant immunogenicity.</w:t>
      </w:r>
    </w:p>
    <w:p w14:paraId="6F2789F6" w14:textId="77777777" w:rsidR="00F64D9D" w:rsidRPr="00922C73" w:rsidRDefault="00F64D9D" w:rsidP="000D6B12">
      <w:pPr>
        <w:autoSpaceDE w:val="0"/>
        <w:autoSpaceDN w:val="0"/>
        <w:adjustRightInd w:val="0"/>
        <w:spacing w:after="0" w:line="480" w:lineRule="auto"/>
        <w:rPr>
          <w:rFonts w:ascii="Times New Roman" w:hAnsi="Times New Roman" w:cs="Times New Roman"/>
          <w:sz w:val="24"/>
          <w:szCs w:val="24"/>
        </w:rPr>
      </w:pPr>
    </w:p>
    <w:p w14:paraId="23D619AF" w14:textId="296129CB" w:rsidR="005B6FA5" w:rsidRPr="00922C73" w:rsidRDefault="00F40B8F" w:rsidP="000D6B12">
      <w:pPr>
        <w:pStyle w:val="Heading3"/>
        <w:spacing w:line="480" w:lineRule="auto"/>
        <w:rPr>
          <w:rFonts w:ascii="Times New Roman" w:hAnsi="Times New Roman" w:cs="Times New Roman"/>
          <w:b/>
          <w:bCs/>
          <w:lang w:eastAsia="en-GB"/>
        </w:rPr>
      </w:pPr>
      <w:bookmarkStart w:id="54" w:name="_Toc151020465"/>
      <w:r w:rsidRPr="00922C73">
        <w:rPr>
          <w:rFonts w:ascii="Times New Roman" w:hAnsi="Times New Roman" w:cs="Times New Roman"/>
          <w:b/>
          <w:bCs/>
          <w:lang w:eastAsia="en-GB"/>
        </w:rPr>
        <w:t>1.</w:t>
      </w:r>
      <w:r w:rsidR="002D7BEB" w:rsidRPr="00922C73">
        <w:rPr>
          <w:rFonts w:ascii="Times New Roman" w:hAnsi="Times New Roman" w:cs="Times New Roman"/>
          <w:b/>
          <w:bCs/>
          <w:lang w:eastAsia="en-GB"/>
        </w:rPr>
        <w:t>3.</w:t>
      </w:r>
      <w:r w:rsidR="00F64D9D" w:rsidRPr="00922C73">
        <w:rPr>
          <w:rFonts w:ascii="Times New Roman" w:hAnsi="Times New Roman" w:cs="Times New Roman"/>
          <w:b/>
          <w:bCs/>
          <w:lang w:eastAsia="en-GB"/>
        </w:rPr>
        <w:t>3</w:t>
      </w:r>
      <w:r w:rsidR="002D7BEB" w:rsidRPr="00922C73">
        <w:rPr>
          <w:rFonts w:ascii="Times New Roman" w:hAnsi="Times New Roman" w:cs="Times New Roman"/>
          <w:b/>
          <w:bCs/>
          <w:lang w:eastAsia="en-GB"/>
        </w:rPr>
        <w:t xml:space="preserve"> </w:t>
      </w:r>
      <w:r w:rsidR="007F31D4" w:rsidRPr="00922C73">
        <w:rPr>
          <w:rFonts w:ascii="Times New Roman" w:hAnsi="Times New Roman" w:cs="Times New Roman"/>
          <w:b/>
          <w:bCs/>
          <w:lang w:eastAsia="en-GB"/>
        </w:rPr>
        <w:t>The association between ATI and</w:t>
      </w:r>
      <w:r w:rsidR="0063282D" w:rsidRPr="00922C73">
        <w:rPr>
          <w:rFonts w:ascii="Times New Roman" w:hAnsi="Times New Roman" w:cs="Times New Roman"/>
          <w:b/>
          <w:bCs/>
          <w:lang w:eastAsia="en-GB"/>
        </w:rPr>
        <w:t xml:space="preserve"> infliximab trough</w:t>
      </w:r>
      <w:r w:rsidR="00776133" w:rsidRPr="00922C73">
        <w:rPr>
          <w:rFonts w:ascii="Times New Roman" w:hAnsi="Times New Roman" w:cs="Times New Roman"/>
          <w:b/>
          <w:bCs/>
          <w:lang w:eastAsia="en-GB"/>
        </w:rPr>
        <w:t xml:space="preserve"> levels</w:t>
      </w:r>
      <w:bookmarkEnd w:id="54"/>
      <w:r w:rsidR="00390DB6" w:rsidRPr="00922C73">
        <w:rPr>
          <w:rFonts w:ascii="Times New Roman" w:hAnsi="Times New Roman" w:cs="Times New Roman"/>
          <w:b/>
          <w:bCs/>
          <w:lang w:eastAsia="en-GB"/>
        </w:rPr>
        <w:t xml:space="preserve"> </w:t>
      </w:r>
    </w:p>
    <w:p w14:paraId="7F4B00CC" w14:textId="081D49F2" w:rsidR="0045414B" w:rsidRPr="00922C73" w:rsidRDefault="0044191C" w:rsidP="00E774E2">
      <w:pPr>
        <w:autoSpaceDE w:val="0"/>
        <w:autoSpaceDN w:val="0"/>
        <w:adjustRightInd w:val="0"/>
        <w:spacing w:after="0" w:line="480" w:lineRule="auto"/>
        <w:jc w:val="left"/>
        <w:rPr>
          <w:rFonts w:ascii="Times New Roman" w:hAnsi="Times New Roman" w:cs="Times New Roman"/>
          <w:sz w:val="24"/>
          <w:szCs w:val="24"/>
        </w:rPr>
      </w:pPr>
      <w:r w:rsidRPr="00922C73">
        <w:rPr>
          <w:rFonts w:ascii="Times New Roman" w:hAnsi="Times New Roman" w:cs="Times New Roman"/>
          <w:sz w:val="24"/>
          <w:szCs w:val="24"/>
          <w:lang w:eastAsia="en-GB"/>
        </w:rPr>
        <w:t xml:space="preserve">Early studies suggested </w:t>
      </w:r>
      <w:r w:rsidR="002B7124" w:rsidRPr="00922C73">
        <w:rPr>
          <w:rFonts w:ascii="Times New Roman" w:hAnsi="Times New Roman" w:cs="Times New Roman"/>
          <w:sz w:val="24"/>
          <w:szCs w:val="24"/>
          <w:lang w:eastAsia="en-GB"/>
        </w:rPr>
        <w:t xml:space="preserve">that </w:t>
      </w:r>
      <w:r w:rsidRPr="00922C73">
        <w:rPr>
          <w:rFonts w:ascii="Times New Roman" w:hAnsi="Times New Roman" w:cs="Times New Roman"/>
          <w:sz w:val="24"/>
          <w:szCs w:val="24"/>
          <w:lang w:eastAsia="en-GB"/>
        </w:rPr>
        <w:t>infliximab</w:t>
      </w:r>
      <w:r w:rsidR="00ED3B9D" w:rsidRPr="00922C73">
        <w:rPr>
          <w:rFonts w:ascii="Times New Roman" w:hAnsi="Times New Roman" w:cs="Times New Roman"/>
          <w:sz w:val="24"/>
          <w:szCs w:val="24"/>
          <w:lang w:eastAsia="en-GB"/>
        </w:rPr>
        <w:t xml:space="preserve"> trough levels of</w:t>
      </w:r>
      <w:r w:rsidRPr="00922C73">
        <w:rPr>
          <w:rFonts w:ascii="Times New Roman" w:hAnsi="Times New Roman" w:cs="Times New Roman"/>
          <w:sz w:val="24"/>
          <w:szCs w:val="24"/>
          <w:lang w:eastAsia="en-GB"/>
        </w:rPr>
        <w:t xml:space="preserve"> &gt;</w:t>
      </w:r>
      <w:r w:rsidR="00ED3B9D" w:rsidRPr="00922C73">
        <w:rPr>
          <w:rFonts w:ascii="Times New Roman" w:hAnsi="Times New Roman" w:cs="Times New Roman"/>
          <w:sz w:val="24"/>
          <w:szCs w:val="24"/>
        </w:rPr>
        <w:t>3</w:t>
      </w:r>
      <w:r w:rsidRPr="00922C73">
        <w:rPr>
          <w:rFonts w:ascii="Times New Roman" w:hAnsi="Times New Roman" w:cs="Times New Roman"/>
          <w:sz w:val="24"/>
          <w:szCs w:val="24"/>
        </w:rPr>
        <w:t xml:space="preserve"> </w:t>
      </w:r>
      <w:r w:rsidR="00F83F97" w:rsidRPr="00922C73">
        <w:rPr>
          <w:rFonts w:ascii="Times New Roman" w:hAnsi="Times New Roman" w:cs="Times New Roman"/>
          <w:sz w:val="24"/>
          <w:szCs w:val="24"/>
        </w:rPr>
        <w:t xml:space="preserve">µg/mL </w:t>
      </w:r>
      <w:r w:rsidRPr="00922C73">
        <w:rPr>
          <w:rFonts w:ascii="Times New Roman" w:hAnsi="Times New Roman" w:cs="Times New Roman"/>
          <w:sz w:val="24"/>
          <w:szCs w:val="24"/>
        </w:rPr>
        <w:t xml:space="preserve">were associated with </w:t>
      </w:r>
      <w:r w:rsidR="00F83F97" w:rsidRPr="00922C73">
        <w:rPr>
          <w:rFonts w:ascii="Times New Roman" w:hAnsi="Times New Roman" w:cs="Times New Roman"/>
          <w:sz w:val="24"/>
          <w:szCs w:val="24"/>
        </w:rPr>
        <w:t>better clinical outcomes in IBD</w:t>
      </w:r>
      <w:r w:rsidR="00F0160F" w:rsidRPr="00922C73">
        <w:rPr>
          <w:rFonts w:ascii="Times New Roman" w:hAnsi="Times New Roman" w:cs="Times New Roman"/>
          <w:sz w:val="24"/>
          <w:szCs w:val="24"/>
        </w:rPr>
        <w:t>: clinical response, clinical remission and endoscopic improvement</w:t>
      </w:r>
      <w:r w:rsidR="00F83F97" w:rsidRPr="00922C73">
        <w:rPr>
          <w:rFonts w:ascii="Times New Roman" w:hAnsi="Times New Roman" w:cs="Times New Roman"/>
          <w:sz w:val="24"/>
          <w:szCs w:val="24"/>
        </w:rPr>
        <w:t xml:space="preserve"> </w:t>
      </w:r>
      <w:r w:rsidR="00F83F97" w:rsidRPr="00922C73">
        <w:rPr>
          <w:rFonts w:ascii="Times New Roman" w:hAnsi="Times New Roman" w:cs="Times New Roman"/>
          <w:sz w:val="24"/>
          <w:szCs w:val="24"/>
        </w:rPr>
        <w:lastRenderedPageBreak/>
        <w:fldChar w:fldCharType="begin" w:fldLock="1"/>
      </w:r>
      <w:r w:rsidR="00DD0F87" w:rsidRPr="00922C73">
        <w:rPr>
          <w:rFonts w:ascii="Times New Roman" w:hAnsi="Times New Roman" w:cs="Times New Roman"/>
          <w:sz w:val="24"/>
          <w:szCs w:val="24"/>
        </w:rPr>
        <w:instrText>ADDIN CSL_CITATION {"citationItems":[{"id":"ITEM-1","itemData":{"DOI":"10.1136/gutjnl-2012-304094","ISBN":"00175749","ISSN":"0017-5749","PMID":"24474383","abstract":"BACKGROUND: Serum infliximab trough levels correlate with efficacy; dose escalation is often beneficial in patients with Crohn's disease who stop responding to infliximab treatment.\\n\\nOBJECTIVE: To carry out a post hoc analysis of A Crohn's Disease Clinical Trial Evaluating Infliximab in a New Long-term Treatment Regimen I (ACCENT I) to evaluate the association between serum infliximab trough levels and C-reactive protein (CRP) after 14 weeks of induction treatment with durable sustained long-term response (Crohn's Disease Activity Index decrease ≥70 points and reduction ≥25% from baseline).\\n\\nDESIGN: ACCENT I was a multicentre, randomised, placebo-controlled study. Week 14 trough levels and CRP percentage decrease from baseline to week 14 were compared between patients with and without durable sustained response through week 54. Sensitivity and specificity were determined to predict durable sustained response. Receiver operating characteristic (ROC) curves identified optimal cut-off points; logistic regression determined ORs.\\n\\nRESULTS: After induction with 5 mg/kg infliximab, 25% (37/147) and 33% (47/144) of patients sustained week 14 response to infliximab 5 or 10 mg/kg, respectively, administered every 8 weeks without dose escalation, through week 54. Median week 14 trough levels of patients with and without durable sustained response to infliximab 5 mg/kg were 4.0 and 1.9 μg/mL, respectively (p=0.0331). Optimal predictors of durable sustained response to maintenance infliximab 5 mg/kg were week 14 trough level ≥3.5 µg/mL and ≥60% CRP decrease (ORs (95% CI), 3.5 (1.1 to 11.4) and 7.3 (1.4 to 36.7)), respectively, in patients with raised baseline CRP (&gt;8.0 mg/L); area under the ROC curve was 0.75 for both predictors. A ≥3.5 µg/mL week 14 infliximab serum level did not predict durable sustained response to 10 mg/kg maintenance infliximab.\\n\\nCONCLUSIONS: Patients with durable sustained response to maintenance infliximab 5 mg/kg had higher postinduction trough levels than patients without durable sustained response. Serum infliximab trough levels ≥3.5 µg/mL and ≥60% CRP decrease were significantly associated with durable sustained response.","author":[{"dropping-particle":"","family":"Cornillie","given":"Freddy","non-dropping-particle":"","parse-names":false,"suffix":""},{"dropping-particle":"","family":"Hanauer","given":"Stephen B","non-dropping-particle":"","parse-names":false,"suffix":""},{"dropping-particle":"","family":"Diamond","given":"Robert H","non-dropping-particle":"","parse-names":false,"suffix":""},{"dropping-particle":"","family":"Wang","given":"Jianping","non-dropping-particle":"","parse-names":false,"suffix":""},{"dropping-particle":"","family":"Tang","given":"Kezhen L","non-dropping-particle":"","parse-names":false,"suffix":""},{"dropping-particle":"","family":"Xu","given":"Zhenhua","non-dropping-particle":"","parse-names":false,"suffix":""},{"dropping-particle":"","family":"Rutgeerts","given":"Paul","non-dropping-particle":"","parse-names":false,"suffix":""},{"dropping-particle":"","family":"Vermeire","given":"Séverine","non-dropping-particle":"","parse-names":false,"suffix":""}],"container-title":"Gut","id":"ITEM-1","issue":"11","issued":{"date-parts":[["2014","11"]]},"page":"1721-1727","title":"Postinduction serum infliximab trough level and decrease of C-reactive protein level are associated with durable sustained response to infliximab: a retrospective analysis of the ACCENT I trial","type":"article-journal","volume":"63"},"uris":["http://www.mendeley.com/documents/?uuid=5bc1cc6e-31a5-41f4-8058-17b912329744"]},{"id":"ITEM-2","itemData":{"DOI":"10.1053/j.gastro.2014.08.035","ISSN":"00165085","author":[{"dropping-particle":"","family":"Adedokun","given":"Omoniyi J.","non-dropping-particle":"","parse-names":false,"suffix":""},{"dropping-particle":"","family":"Sandborn","given":"William J.","non-dropping-particle":"","parse-names":false,"suffix":""},{"dropping-particle":"","family":"Feagan","given":"Brian G.","non-dropping-particle":"","parse-names":false,"suffix":""},{"dropping-particle":"","family":"Rutgeerts","given":"Paul","non-dropping-particle":"","parse-names":false,"suffix":""},{"dropping-particle":"","family":"Xu","given":"Zhenhua","non-dropping-particle":"","parse-names":false,"suffix":""},{"dropping-particle":"","family":"Marano","given":"Colleen W.","non-dropping-particle":"","parse-names":false,"suffix":""},{"dropping-particle":"","family":"Johanns","given":"Jewel","non-dropping-particle":"","parse-names":false,"suffix":""},{"dropping-particle":"","family":"Zhou","given":"Honghui","non-dropping-particle":"","parse-names":false,"suffix":""},{"dropping-particle":"","family":"Davis","given":"Hugh M.","non-dropping-particle":"","parse-names":false,"suffix":""},{"dropping-particle":"","family":"Cornillie","given":"Freddy","non-dropping-particle":"","parse-names":false,"suffix":""},{"dropping-particle":"","family":"Reinisch","given":"Walter","non-dropping-particle":"","parse-names":false,"suffix":""}],"container-title":"Gastroenterology","id":"ITEM-2","issue":"6","issued":{"date-parts":[["2014","12"]]},"page":"1296-1307.e5","title":"Association Between Serum Concentration of Infliximab and Efficacy in Adult Patients With Ulcerative Colitis","type":"article-journal","volume":"147"},"uris":["http://www.mendeley.com/documents/?uuid=18ef83f4-6b06-46d8-b8e1-eb5b85f6c398"]},{"id":"ITEM-3","itemData":{"DOI":"10.1016/j.crohns.2012.10.019","ISSN":"18739946","author":[{"dropping-particle":"","family":"Bortlik","given":"Martin","non-dropping-particle":"","parse-names":false,"suffix":""},{"dropping-particle":"","family":"Duricova","given":"Dana","non-dropping-particle":"","parse-names":false,"suffix":""},{"dropping-particle":"","family":"Malickova","given":"Karin","non-dropping-particle":"","parse-names":false,"suffix":""},{"dropping-particle":"","family":"Machkova","given":"Nadezda","non-dropping-particle":"","parse-names":false,"suffix":""},{"dropping-particle":"","family":"Bouzkova","given":"Eva","non-dropping-particle":"","parse-names":false,"suffix":""},{"dropping-particle":"","family":"Hrdlicka","given":"Ludek","non-dropping-particle":"","parse-names":false,"suffix":""},{"dropping-particle":"","family":"Komarek","given":"Arnost","non-dropping-particle":"","parse-names":false,"suffix":""},{"dropping-particle":"","family":"Lukas","given":"Milan","non-dropping-particle":"","parse-names":false,"suffix":""}],"container-title":"Journal of Crohn's and Colitis","id":"ITEM-3","issue":"9","issued":{"date-parts":[["2013","10"]]},"page":"736-743","title":"Infliximab trough levels may predict sustained response to infliximab in patients with Crohn's disease","type":"article-journal","volume":"7"},"uris":["http://www.mendeley.com/documents/?uuid=ef9f6e62-05b8-4543-a69e-6b74a854a400"]},{"id":"ITEM-4","itemData":{"DOI":"10.1136/gut.2009.183095","ISBN":"1468-3288 (Electronic)\\n0017-5749 (Linking)","ISSN":"0017-5749","PMID":"19651627","abstract":"BACKGROUND AND AIMS Antibodies to infliximab reduce serum infliximab with loss of clinical benefit, but undetectable trough serum concentrations of infliximab may occur without antibody formation. The relationship between trough serum infliximab and clinical outcomes was evaluated in acute ulcerative colitis. METHODS In a cohort of 115 patients with ulcerative colitis treated with three-dose induction followed by scheduled maintenance infliximab, rates of clinical remission, colectomy, antibodies to infliximab and trough serum infliximab were determined. RESULTS Rates of remission were 32% at week 10 and 37% at week 54. Colectomy occurred in 40% of patients, at a median of 5.3 (IQR 1.9-12.1) months. Detectable trough serum infliximab was present in 39% of patients and, among patients with undetectable infliximab, 41% were antibody positive and 20% were antibody negative. For antibody-positive and antibody-negative patients, rates of remission (18% vs 14%), endoscopic improvement (25% vs 35%) and colectomy (52% vs 59%) were not different. A detectable serum infliximab was associated with higher rates of remission (69% vs 15%; p&lt;0.001) and endoscopic improvement (76% vs 28%, p&lt;0.001). An undetectable serum infliximab predicted an increased risk for colectomy (55% vs 7%, OR 9.3; 95% CI 2.9 to 29.9; p&lt;0.001). Concurrent immunosuppression was not associated with clinical outcomes. CONCLUSIONS For patients with ulcerative colitis treated with infliximab, a detectable trough serum infliximab predicts clinical remission, endoscopic improvement and a lower risk for colectomy. An undetectable trough serum infliximab, irrespective of antibody status, is associated with less favourable outcomes.","author":[{"dropping-particle":"","family":"Seow","given":"C H","non-dropping-particle":"","parse-names":false,"suffix":""},{"dropping-particle":"","family":"Newman","given":"A","non-dropping-particle":"","parse-names":false,"suffix":""},{"dropping-particle":"","family":"Irwin","given":"S P","non-dropping-particle":"","parse-names":false,"suffix":""},{"dropping-particle":"","family":"Steinhart","given":"A H","non-dropping-particle":"","parse-names":false,"suffix":""},{"dropping-particle":"","family":"Silverberg","given":"M S","non-dropping-particle":"","parse-names":false,"suffix":""},{"dropping-particle":"","family":"Greenberg","given":"G R","non-dropping-particle":"","parse-names":false,"suffix":""}],"container-title":"Gut","id":"ITEM-4","issue":"01","issued":{"date-parts":[["2010","1"]]},"page":"49-54","title":"Trough serum infliximab: a predictive factor of clinical outcome for infliximab treatment in acute ulcerative colitis","type":"article-journal","volume":"59"},"uris":["http://www.mendeley.com/documents/?uuid=b8ff4b5b-fcc7-4584-bca8-14dd611cf37c"]},{"id":"ITEM-5","itemData":{"DOI":"10.1136/gutjnl-2014-307883","ISBN":"0017-5749","ISSN":"0017-5749","PMID":"25336114","abstract":"OBJECTIVE Although low infliximab trough concentrations and antibodies to infliximab (ATI) are associated with poor outcomes in patients with Crohn's disease (CD), the clinical relevance of ATI in patients with adequate infliximab concentrations is uncertain. We evaluated this question using an assay sensitive for identification of ATI in the presence of infliximab. DESIGN In an observational study, 1487 trough serum samples from 483 patients with CD who participated in four clinical studies of maintenance infliximab therapy were analysed using a fluid phase mobility shift assay. Infliximab and ATI concentrations most discriminant for remission, defined as a C-reactive protein concentration of ≤ 5 mg/L, were determined by receiver operating characteristic curves. A multivariable regression model evaluated these factors as independent predictors of remission. RESULTS Based upon analysis of 1487 samples, 77.1% of patients had detectable and 22.9% had undetectable infliximab concentrations, of which 9.5% and 71.8%, respectively, were positive for ATI. An infliximab concentration of &gt; 2.79 μg/mL (area under the curve (AUC) = 0.681; 95% CI 0.632 to 0.731) and ATI concentration of &lt; 3.15 U/mL (AUC = 0.632; 95% CI 0.589 to 0.676) were associated with remission. Multivariable analysis showed that concentrations of both infliximab trough (OR 1.8; 95% CI 1.3 to 2.5; p &lt; 0.001) and ATI (OR 0.57; 95% CI 0.39 to 0.81; p = 0.002) were independent predictors of remission. CONCLUSIONS The development of ATI increases the probability of active disease even at low concentrations and in the presence of a therapeutic concentration of drug during infliximab maintenance therapy. Evaluation of strategies to prevent ATI formation, including therapeutic drug monitoring with selective infliximab dose intensification, is needed.","author":[{"dropping-particle":"","family":"Casteele","given":"Niels","non-dropping-particle":"Vande","parse-names":false,"suffix":""},{"dropping-particle":"","family":"Khanna","given":"Reena","non-dropping-particle":"","parse-names":false,"suffix":""},{"dropping-particle":"","family":"Levesque","given":"Barrett G","non-dropping-particle":"","parse-names":false,"suffix":""},{"dropping-particle":"","family":"Stitt","given":"Larry","non-dropping-particle":"","parse-names":false,"suffix":""},{"dropping-particle":"","family":"Zou","given":"G Y","non-dropping-particle":"","parse-names":false,"suffix":""},{"dropping-particle":"","family":"Singh","given":"Sharat","non-dropping-particle":"","parse-names":false,"suffix":""},{"dropping-particle":"","family":"Lockton","given":"Steve","non-dropping-particle":"","parse-names":false,"suffix":""},{"dropping-particle":"","family":"Hauenstein","given":"Scott","non-dropping-particle":"","parse-names":false,"suffix":""},{"dropping-particle":"","family":"Ohrmund","given":"Linda","non-dropping-particle":"","parse-names":false,"suffix":""},{"dropping-particle":"","family":"Greenberg","given":"Gordon R","non-dropping-particle":"","parse-names":false,"suffix":""},{"dropping-particle":"","family":"Rutgeerts","given":"Paul J","non-dropping-particle":"","parse-names":false,"suffix":""},{"dropping-particle":"","family":"Gils","given":"Ann","non-dropping-particle":"","parse-names":false,"suffix":""},{"dropping-particle":"","family":"Sandborn","given":"William J","non-dropping-particle":"","parse-names":false,"suffix":""},{"dropping-particle":"","family":"Vermeire","given":"Séverine","non-dropping-particle":"","parse-names":false,"suffix":""},{"dropping-particle":"","family":"Feagan","given":"Brian G","non-dropping-particle":"","parse-names":false,"suffix":""}],"container-title":"Gut","id":"ITEM-5","issue":"10","issued":{"date-parts":[["2015","10"]]},"page":"1539-1545","title":"The relationship between infliximab concentrations, antibodies to infliximab and disease activity in Crohn's disease","type":"article-journal","volume":"64"},"uris":["http://www.mendeley.com/documents/?uuid=779feb1c-0258-4bcc-8e22-c9ba0e7cad4b"]},{"id":"ITEM-6","itemData":{"DOI":"10.1016/S0140-6736(02)08512-4","ISBN":"0140-6736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-6","issue":"9317","issued":{"date-parts":[["2002"]]},"page":"1541-1549","title":"Maintenance infliximab for Crohn's disease: The ACCENT I randomised trial","type":"article-journal","volume":"359"},"uris":["http://www.mendeley.com/documents/?uuid=629eb4eb-d397-4a69-89a0-06c26df17f32"]}],"mendeley":{"formattedCitation":"&lt;sup&gt;53,119,121,131,133,134&lt;/sup&gt;","plainTextFormattedCitation":"53,119,121,131,133,134","previouslyFormattedCitation":"&lt;sup&gt;53,119,121,131,133,134&lt;/sup&gt;"},"properties":{"noteIndex":0},"schema":"https://github.com/citation-style-language/schema/raw/master/csl-citation.json"}</w:instrText>
      </w:r>
      <w:r w:rsidR="00F83F97"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53,119,121,131,133,134</w:t>
      </w:r>
      <w:r w:rsidR="00F83F97" w:rsidRPr="00922C73">
        <w:rPr>
          <w:rFonts w:ascii="Times New Roman" w:hAnsi="Times New Roman" w:cs="Times New Roman"/>
          <w:sz w:val="24"/>
          <w:szCs w:val="24"/>
        </w:rPr>
        <w:fldChar w:fldCharType="end"/>
      </w:r>
      <w:r w:rsidR="002B7124" w:rsidRPr="00922C73">
        <w:rPr>
          <w:rFonts w:ascii="Times New Roman" w:hAnsi="Times New Roman" w:cs="Times New Roman"/>
          <w:sz w:val="24"/>
          <w:szCs w:val="24"/>
        </w:rPr>
        <w:t>.</w:t>
      </w:r>
      <w:r w:rsidR="00EA4882" w:rsidRPr="00922C73">
        <w:rPr>
          <w:rFonts w:ascii="Times New Roman" w:hAnsi="Times New Roman" w:cs="Times New Roman"/>
          <w:sz w:val="24"/>
          <w:szCs w:val="24"/>
        </w:rPr>
        <w:t xml:space="preserve"> </w:t>
      </w:r>
      <w:r w:rsidR="002B7124" w:rsidRPr="00922C73">
        <w:rPr>
          <w:rFonts w:ascii="Times New Roman" w:hAnsi="Times New Roman" w:cs="Times New Roman"/>
          <w:sz w:val="24"/>
          <w:szCs w:val="24"/>
        </w:rPr>
        <w:t>A</w:t>
      </w:r>
      <w:r w:rsidR="00F83F97" w:rsidRPr="00922C73">
        <w:rPr>
          <w:rFonts w:ascii="Times New Roman" w:hAnsi="Times New Roman" w:cs="Times New Roman"/>
          <w:sz w:val="24"/>
          <w:szCs w:val="24"/>
        </w:rPr>
        <w:t xml:space="preserve"> target therapeutic window of 3</w:t>
      </w:r>
      <w:r w:rsidR="00ED3B9D" w:rsidRPr="00922C73">
        <w:rPr>
          <w:rFonts w:ascii="Times New Roman" w:hAnsi="Times New Roman" w:cs="Times New Roman"/>
          <w:sz w:val="24"/>
          <w:szCs w:val="24"/>
        </w:rPr>
        <w:t xml:space="preserve">–7 </w:t>
      </w:r>
      <w:proofErr w:type="spellStart"/>
      <w:r w:rsidR="00ED3B9D" w:rsidRPr="00922C73">
        <w:rPr>
          <w:rFonts w:ascii="Times New Roman" w:eastAsia="TimesNewRomanPSMT" w:hAnsi="Times New Roman" w:cs="Times New Roman"/>
          <w:sz w:val="24"/>
          <w:szCs w:val="24"/>
        </w:rPr>
        <w:t>μ</w:t>
      </w:r>
      <w:r w:rsidR="00ED3B9D" w:rsidRPr="00922C73">
        <w:rPr>
          <w:rFonts w:ascii="Times New Roman" w:hAnsi="Times New Roman" w:cs="Times New Roman"/>
          <w:sz w:val="24"/>
          <w:szCs w:val="24"/>
        </w:rPr>
        <w:t>g</w:t>
      </w:r>
      <w:proofErr w:type="spellEnd"/>
      <w:r w:rsidR="00ED3B9D" w:rsidRPr="00922C73">
        <w:rPr>
          <w:rFonts w:ascii="Times New Roman" w:hAnsi="Times New Roman" w:cs="Times New Roman"/>
          <w:sz w:val="24"/>
          <w:szCs w:val="24"/>
        </w:rPr>
        <w:t xml:space="preserve">/mL was </w:t>
      </w:r>
      <w:r w:rsidR="00ED573A" w:rsidRPr="00922C73">
        <w:rPr>
          <w:rFonts w:ascii="Times New Roman" w:hAnsi="Times New Roman" w:cs="Times New Roman"/>
          <w:sz w:val="24"/>
          <w:szCs w:val="24"/>
        </w:rPr>
        <w:t>suggested</w:t>
      </w:r>
      <w:r w:rsidR="00ED3B9D" w:rsidRPr="00922C73">
        <w:rPr>
          <w:rFonts w:ascii="Times New Roman" w:hAnsi="Times New Roman" w:cs="Times New Roman"/>
          <w:sz w:val="24"/>
          <w:szCs w:val="24"/>
        </w:rPr>
        <w:t xml:space="preserve"> </w:t>
      </w:r>
      <w:r w:rsidR="002B7124" w:rsidRPr="00922C73">
        <w:rPr>
          <w:rFonts w:ascii="Times New Roman" w:hAnsi="Times New Roman" w:cs="Times New Roman"/>
          <w:sz w:val="24"/>
          <w:szCs w:val="24"/>
        </w:rPr>
        <w:t xml:space="preserve">by the TAXIT study in </w:t>
      </w:r>
      <w:r w:rsidR="00ED3B9D" w:rsidRPr="00922C73">
        <w:rPr>
          <w:rFonts w:ascii="Times New Roman" w:hAnsi="Times New Roman" w:cs="Times New Roman"/>
          <w:sz w:val="24"/>
          <w:szCs w:val="24"/>
        </w:rPr>
        <w:t>2015</w:t>
      </w:r>
      <w:r w:rsidR="002B7124" w:rsidRPr="00922C73">
        <w:rPr>
          <w:rFonts w:ascii="Times New Roman" w:hAnsi="Times New Roman" w:cs="Times New Roman"/>
          <w:sz w:val="24"/>
          <w:szCs w:val="24"/>
        </w:rPr>
        <w:t>,</w:t>
      </w:r>
      <w:r w:rsidR="00ED3B9D" w:rsidRPr="00922C73">
        <w:rPr>
          <w:rFonts w:ascii="Times New Roman" w:hAnsi="Times New Roman" w:cs="Times New Roman"/>
          <w:sz w:val="24"/>
          <w:szCs w:val="24"/>
        </w:rPr>
        <w:t xml:space="preserve"> a randomised control trial</w:t>
      </w:r>
      <w:r w:rsidR="00ED573A" w:rsidRPr="00922C73">
        <w:rPr>
          <w:rFonts w:ascii="Times New Roman" w:hAnsi="Times New Roman" w:cs="Times New Roman"/>
          <w:sz w:val="24"/>
          <w:szCs w:val="24"/>
        </w:rPr>
        <w:t xml:space="preserve"> </w:t>
      </w:r>
      <w:r w:rsidR="00ED3B9D" w:rsidRPr="00922C73">
        <w:rPr>
          <w:rFonts w:ascii="Times New Roman" w:hAnsi="Times New Roman" w:cs="Times New Roman"/>
          <w:sz w:val="24"/>
          <w:szCs w:val="24"/>
        </w:rPr>
        <w:t>in over 200 IBD patients</w:t>
      </w:r>
      <w:r w:rsidR="00EA4882" w:rsidRPr="00922C73">
        <w:rPr>
          <w:rFonts w:ascii="Times New Roman" w:hAnsi="Times New Roman" w:cs="Times New Roman"/>
          <w:sz w:val="24"/>
          <w:szCs w:val="24"/>
        </w:rPr>
        <w:t xml:space="preserve"> </w:t>
      </w:r>
      <w:r w:rsidR="00EA488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mendeley":{"formattedCitation":"&lt;sup&gt;120&lt;/sup&gt;","plainTextFormattedCitation":"120","previouslyFormattedCitation":"&lt;sup&gt;120&lt;/sup&gt;"},"properties":{"noteIndex":0},"schema":"https://github.com/citation-style-language/schema/raw/master/csl-citation.json"}</w:instrText>
      </w:r>
      <w:r w:rsidR="00EA488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120</w:t>
      </w:r>
      <w:r w:rsidR="00EA4882" w:rsidRPr="00922C73">
        <w:rPr>
          <w:rFonts w:ascii="Times New Roman" w:hAnsi="Times New Roman" w:cs="Times New Roman"/>
          <w:sz w:val="24"/>
          <w:szCs w:val="24"/>
        </w:rPr>
        <w:fldChar w:fldCharType="end"/>
      </w:r>
      <w:r w:rsidR="00ED3B9D" w:rsidRPr="00922C73">
        <w:rPr>
          <w:rFonts w:ascii="Times New Roman" w:hAnsi="Times New Roman" w:cs="Times New Roman"/>
          <w:sz w:val="24"/>
          <w:szCs w:val="24"/>
        </w:rPr>
        <w:t xml:space="preserve">. </w:t>
      </w:r>
      <w:r w:rsidR="002B7124" w:rsidRPr="00922C73">
        <w:rPr>
          <w:rFonts w:ascii="Times New Roman" w:hAnsi="Times New Roman" w:cs="Times New Roman"/>
          <w:sz w:val="24"/>
          <w:szCs w:val="24"/>
        </w:rPr>
        <w:t xml:space="preserve"> </w:t>
      </w:r>
      <w:r w:rsidR="000D6B12" w:rsidRPr="00922C73">
        <w:rPr>
          <w:rFonts w:ascii="Times New Roman" w:hAnsi="Times New Roman" w:cs="Times New Roman"/>
          <w:sz w:val="24"/>
          <w:szCs w:val="24"/>
        </w:rPr>
        <w:t>P</w:t>
      </w:r>
      <w:r w:rsidR="00ED3B9D" w:rsidRPr="00922C73">
        <w:rPr>
          <w:rFonts w:ascii="Times New Roman" w:hAnsi="Times New Roman" w:cs="Times New Roman"/>
          <w:sz w:val="24"/>
          <w:szCs w:val="24"/>
        </w:rPr>
        <w:t>atients on maintenance</w:t>
      </w:r>
      <w:r w:rsidR="00ED573A" w:rsidRPr="00922C73">
        <w:rPr>
          <w:rFonts w:ascii="Times New Roman" w:hAnsi="Times New Roman" w:cs="Times New Roman"/>
          <w:sz w:val="24"/>
          <w:szCs w:val="24"/>
        </w:rPr>
        <w:t xml:space="preserve"> </w:t>
      </w:r>
      <w:r w:rsidR="00ED3B9D" w:rsidRPr="00922C73">
        <w:rPr>
          <w:rFonts w:ascii="Times New Roman" w:hAnsi="Times New Roman" w:cs="Times New Roman"/>
          <w:sz w:val="24"/>
          <w:szCs w:val="24"/>
        </w:rPr>
        <w:t xml:space="preserve">infliximab therapy </w:t>
      </w:r>
      <w:r w:rsidR="000D6B12" w:rsidRPr="00922C73">
        <w:rPr>
          <w:rFonts w:ascii="Times New Roman" w:hAnsi="Times New Roman" w:cs="Times New Roman"/>
          <w:sz w:val="24"/>
          <w:szCs w:val="24"/>
        </w:rPr>
        <w:t xml:space="preserve">were </w:t>
      </w:r>
      <w:r w:rsidR="000D59C5" w:rsidRPr="00922C73">
        <w:rPr>
          <w:rFonts w:ascii="Times New Roman" w:hAnsi="Times New Roman" w:cs="Times New Roman"/>
          <w:sz w:val="24"/>
          <w:szCs w:val="24"/>
        </w:rPr>
        <w:t>e</w:t>
      </w:r>
      <w:r w:rsidR="00ED3B9D" w:rsidRPr="00922C73">
        <w:rPr>
          <w:rFonts w:ascii="Times New Roman" w:hAnsi="Times New Roman" w:cs="Times New Roman"/>
          <w:sz w:val="24"/>
          <w:szCs w:val="24"/>
        </w:rPr>
        <w:t>valua</w:t>
      </w:r>
      <w:r w:rsidR="00EA4882" w:rsidRPr="00922C73">
        <w:rPr>
          <w:rFonts w:ascii="Times New Roman" w:hAnsi="Times New Roman" w:cs="Times New Roman"/>
          <w:sz w:val="24"/>
          <w:szCs w:val="24"/>
        </w:rPr>
        <w:t>te</w:t>
      </w:r>
      <w:r w:rsidR="00AD742B" w:rsidRPr="00922C73">
        <w:rPr>
          <w:rFonts w:ascii="Times New Roman" w:hAnsi="Times New Roman" w:cs="Times New Roman"/>
          <w:sz w:val="24"/>
          <w:szCs w:val="24"/>
        </w:rPr>
        <w:t>d</w:t>
      </w:r>
      <w:r w:rsidR="00EA4882" w:rsidRPr="00922C73">
        <w:rPr>
          <w:rFonts w:ascii="Times New Roman" w:hAnsi="Times New Roman" w:cs="Times New Roman"/>
          <w:sz w:val="24"/>
          <w:szCs w:val="24"/>
        </w:rPr>
        <w:t xml:space="preserve"> </w:t>
      </w:r>
      <w:r w:rsidR="000D59C5" w:rsidRPr="00922C73">
        <w:rPr>
          <w:rFonts w:ascii="Times New Roman" w:hAnsi="Times New Roman" w:cs="Times New Roman"/>
          <w:sz w:val="24"/>
          <w:szCs w:val="24"/>
        </w:rPr>
        <w:t xml:space="preserve">on </w:t>
      </w:r>
      <w:r w:rsidR="00EA4882" w:rsidRPr="00922C73">
        <w:rPr>
          <w:rFonts w:ascii="Times New Roman" w:hAnsi="Times New Roman" w:cs="Times New Roman"/>
          <w:sz w:val="24"/>
          <w:szCs w:val="24"/>
        </w:rPr>
        <w:t>whether</w:t>
      </w:r>
      <w:r w:rsidR="00F83F97" w:rsidRPr="00922C73">
        <w:rPr>
          <w:rFonts w:ascii="Times New Roman" w:hAnsi="Times New Roman" w:cs="Times New Roman"/>
          <w:sz w:val="24"/>
          <w:szCs w:val="24"/>
        </w:rPr>
        <w:t xml:space="preserve"> </w:t>
      </w:r>
      <w:r w:rsidR="00EA4882" w:rsidRPr="00922C73">
        <w:rPr>
          <w:rFonts w:ascii="Times New Roman" w:hAnsi="Times New Roman" w:cs="Times New Roman"/>
          <w:sz w:val="24"/>
          <w:szCs w:val="24"/>
        </w:rPr>
        <w:t>drug</w:t>
      </w:r>
      <w:r w:rsidR="00F83F97" w:rsidRPr="00922C73">
        <w:rPr>
          <w:rFonts w:ascii="Times New Roman" w:hAnsi="Times New Roman" w:cs="Times New Roman"/>
          <w:sz w:val="24"/>
          <w:szCs w:val="24"/>
        </w:rPr>
        <w:t xml:space="preserve"> concentration</w:t>
      </w:r>
      <w:r w:rsidR="000D6B12" w:rsidRPr="00922C73">
        <w:rPr>
          <w:rFonts w:ascii="Times New Roman" w:hAnsi="Times New Roman" w:cs="Times New Roman"/>
          <w:sz w:val="24"/>
          <w:szCs w:val="24"/>
        </w:rPr>
        <w:t xml:space="preserve"> guided</w:t>
      </w:r>
      <w:r w:rsidR="00F83F97" w:rsidRPr="00922C73">
        <w:rPr>
          <w:rFonts w:ascii="Times New Roman" w:hAnsi="Times New Roman" w:cs="Times New Roman"/>
          <w:sz w:val="24"/>
          <w:szCs w:val="24"/>
        </w:rPr>
        <w:t xml:space="preserve"> dosing </w:t>
      </w:r>
      <w:r w:rsidR="00F0160F" w:rsidRPr="00922C73">
        <w:rPr>
          <w:rFonts w:ascii="Times New Roman" w:hAnsi="Times New Roman" w:cs="Times New Roman"/>
          <w:sz w:val="24"/>
          <w:szCs w:val="24"/>
        </w:rPr>
        <w:t xml:space="preserve">based on </w:t>
      </w:r>
      <w:r w:rsidR="00DE1B3B" w:rsidRPr="00922C73">
        <w:rPr>
          <w:rFonts w:ascii="Times New Roman" w:hAnsi="Times New Roman" w:cs="Times New Roman"/>
          <w:sz w:val="24"/>
          <w:szCs w:val="24"/>
        </w:rPr>
        <w:t xml:space="preserve">TDM at each infusion </w:t>
      </w:r>
      <w:r w:rsidR="0025311D" w:rsidRPr="00922C73">
        <w:rPr>
          <w:rFonts w:ascii="Times New Roman" w:hAnsi="Times New Roman" w:cs="Times New Roman"/>
          <w:sz w:val="24"/>
          <w:szCs w:val="24"/>
        </w:rPr>
        <w:t>plus assessment</w:t>
      </w:r>
      <w:r w:rsidR="00DE1B3B" w:rsidRPr="00922C73">
        <w:rPr>
          <w:rFonts w:ascii="Times New Roman" w:hAnsi="Times New Roman" w:cs="Times New Roman"/>
          <w:sz w:val="24"/>
          <w:szCs w:val="24"/>
        </w:rPr>
        <w:t xml:space="preserve"> </w:t>
      </w:r>
      <w:r w:rsidR="0025311D" w:rsidRPr="00922C73">
        <w:rPr>
          <w:rFonts w:ascii="Times New Roman" w:hAnsi="Times New Roman" w:cs="Times New Roman"/>
          <w:sz w:val="24"/>
          <w:szCs w:val="24"/>
        </w:rPr>
        <w:t xml:space="preserve">of </w:t>
      </w:r>
      <w:r w:rsidR="00DE1B3B" w:rsidRPr="00922C73">
        <w:rPr>
          <w:rFonts w:ascii="Times New Roman" w:hAnsi="Times New Roman" w:cs="Times New Roman"/>
          <w:sz w:val="24"/>
          <w:szCs w:val="24"/>
        </w:rPr>
        <w:t xml:space="preserve">clinical features and CRP </w:t>
      </w:r>
      <w:r w:rsidR="00EA4882" w:rsidRPr="00922C73">
        <w:rPr>
          <w:rFonts w:ascii="Times New Roman" w:hAnsi="Times New Roman" w:cs="Times New Roman"/>
          <w:sz w:val="24"/>
          <w:szCs w:val="24"/>
        </w:rPr>
        <w:t>was</w:t>
      </w:r>
      <w:r w:rsidR="00F83F97" w:rsidRPr="00922C73">
        <w:rPr>
          <w:rFonts w:ascii="Times New Roman" w:hAnsi="Times New Roman" w:cs="Times New Roman"/>
          <w:sz w:val="24"/>
          <w:szCs w:val="24"/>
        </w:rPr>
        <w:t xml:space="preserve"> superior to clinically based</w:t>
      </w:r>
      <w:r w:rsidR="00EA4882" w:rsidRPr="00922C73">
        <w:rPr>
          <w:rFonts w:ascii="Times New Roman" w:hAnsi="Times New Roman" w:cs="Times New Roman"/>
          <w:sz w:val="24"/>
          <w:szCs w:val="24"/>
        </w:rPr>
        <w:t xml:space="preserve"> </w:t>
      </w:r>
      <w:r w:rsidR="00F83F97" w:rsidRPr="00922C73">
        <w:rPr>
          <w:rFonts w:ascii="Times New Roman" w:hAnsi="Times New Roman" w:cs="Times New Roman"/>
          <w:sz w:val="24"/>
          <w:szCs w:val="24"/>
        </w:rPr>
        <w:t xml:space="preserve">dosing </w:t>
      </w:r>
      <w:r w:rsidR="00AD742B" w:rsidRPr="00922C73">
        <w:rPr>
          <w:rFonts w:ascii="Times New Roman" w:hAnsi="Times New Roman" w:cs="Times New Roman"/>
          <w:sz w:val="24"/>
          <w:szCs w:val="24"/>
        </w:rPr>
        <w:t>using</w:t>
      </w:r>
      <w:r w:rsidR="0025311D" w:rsidRPr="00922C73">
        <w:rPr>
          <w:rFonts w:ascii="Times New Roman" w:hAnsi="Times New Roman" w:cs="Times New Roman"/>
          <w:sz w:val="24"/>
          <w:szCs w:val="24"/>
        </w:rPr>
        <w:t xml:space="preserve"> </w:t>
      </w:r>
      <w:r w:rsidR="00DE1B3B" w:rsidRPr="00922C73">
        <w:rPr>
          <w:rFonts w:ascii="Times New Roman" w:hAnsi="Times New Roman" w:cs="Times New Roman"/>
          <w:sz w:val="24"/>
          <w:szCs w:val="24"/>
        </w:rPr>
        <w:t>clinical features and CRP</w:t>
      </w:r>
      <w:r w:rsidR="00B40519" w:rsidRPr="00922C73">
        <w:rPr>
          <w:rFonts w:ascii="Times New Roman" w:hAnsi="Times New Roman" w:cs="Times New Roman"/>
          <w:sz w:val="24"/>
          <w:szCs w:val="24"/>
        </w:rPr>
        <w:t xml:space="preserve"> </w:t>
      </w:r>
      <w:r w:rsidR="00AD742B" w:rsidRPr="00922C73">
        <w:rPr>
          <w:rFonts w:ascii="Times New Roman" w:hAnsi="Times New Roman" w:cs="Times New Roman"/>
          <w:sz w:val="24"/>
          <w:szCs w:val="24"/>
        </w:rPr>
        <w:t>alone</w:t>
      </w:r>
      <w:r w:rsidR="00F0160F" w:rsidRPr="00922C73">
        <w:rPr>
          <w:rFonts w:ascii="Times New Roman" w:hAnsi="Times New Roman" w:cs="Times New Roman"/>
          <w:sz w:val="24"/>
          <w:szCs w:val="24"/>
        </w:rPr>
        <w:t>,</w:t>
      </w:r>
      <w:r w:rsidR="00DE1B3B" w:rsidRPr="00922C73">
        <w:rPr>
          <w:rFonts w:ascii="Times New Roman" w:hAnsi="Times New Roman" w:cs="Times New Roman"/>
          <w:sz w:val="24"/>
          <w:szCs w:val="24"/>
        </w:rPr>
        <w:t xml:space="preserve"> </w:t>
      </w:r>
      <w:r w:rsidR="00F83F97" w:rsidRPr="00922C73">
        <w:rPr>
          <w:rFonts w:ascii="Times New Roman" w:hAnsi="Times New Roman" w:cs="Times New Roman"/>
          <w:sz w:val="24"/>
          <w:szCs w:val="24"/>
        </w:rPr>
        <w:t xml:space="preserve">for maintaining remission in </w:t>
      </w:r>
      <w:r w:rsidR="00EA4882" w:rsidRPr="00922C73">
        <w:rPr>
          <w:rFonts w:ascii="Times New Roman" w:hAnsi="Times New Roman" w:cs="Times New Roman"/>
          <w:sz w:val="24"/>
          <w:szCs w:val="24"/>
        </w:rPr>
        <w:t>IBD</w:t>
      </w:r>
      <w:r w:rsidR="00F83F97" w:rsidRPr="00922C73">
        <w:rPr>
          <w:rFonts w:ascii="Times New Roman" w:hAnsi="Times New Roman" w:cs="Times New Roman"/>
          <w:sz w:val="24"/>
          <w:szCs w:val="24"/>
        </w:rPr>
        <w:t>.</w:t>
      </w:r>
      <w:r w:rsidR="00EA4882" w:rsidRPr="00922C73">
        <w:rPr>
          <w:rFonts w:ascii="Times New Roman" w:hAnsi="Times New Roman" w:cs="Times New Roman"/>
          <w:sz w:val="24"/>
          <w:szCs w:val="24"/>
        </w:rPr>
        <w:t xml:space="preserve"> The results </w:t>
      </w:r>
      <w:r w:rsidR="00AD742B" w:rsidRPr="00922C73">
        <w:rPr>
          <w:rFonts w:ascii="Times New Roman" w:hAnsi="Times New Roman" w:cs="Times New Roman"/>
          <w:sz w:val="24"/>
          <w:szCs w:val="24"/>
        </w:rPr>
        <w:t>indicated</w:t>
      </w:r>
      <w:r w:rsidR="00EA4882" w:rsidRPr="00922C73">
        <w:rPr>
          <w:rFonts w:ascii="Times New Roman" w:hAnsi="Times New Roman" w:cs="Times New Roman"/>
          <w:sz w:val="24"/>
          <w:szCs w:val="24"/>
        </w:rPr>
        <w:t xml:space="preserve"> that optimising infliximab to</w:t>
      </w:r>
      <w:bookmarkStart w:id="55" w:name="_Hlk92289398"/>
      <w:r w:rsidR="00ED3B9D" w:rsidRPr="00922C73">
        <w:rPr>
          <w:rFonts w:ascii="Times New Roman" w:hAnsi="Times New Roman" w:cs="Times New Roman"/>
          <w:sz w:val="24"/>
          <w:szCs w:val="24"/>
        </w:rPr>
        <w:t xml:space="preserve"> 3–7 </w:t>
      </w:r>
      <w:proofErr w:type="spellStart"/>
      <w:r w:rsidR="00ED3B9D" w:rsidRPr="00922C73">
        <w:rPr>
          <w:rFonts w:ascii="Times New Roman" w:eastAsia="TimesNewRomanPSMT" w:hAnsi="Times New Roman" w:cs="Times New Roman"/>
          <w:sz w:val="24"/>
          <w:szCs w:val="24"/>
        </w:rPr>
        <w:t>μ</w:t>
      </w:r>
      <w:r w:rsidR="00ED3B9D" w:rsidRPr="00922C73">
        <w:rPr>
          <w:rFonts w:ascii="Times New Roman" w:hAnsi="Times New Roman" w:cs="Times New Roman"/>
          <w:sz w:val="24"/>
          <w:szCs w:val="24"/>
        </w:rPr>
        <w:t>g</w:t>
      </w:r>
      <w:proofErr w:type="spellEnd"/>
      <w:r w:rsidR="00ED3B9D" w:rsidRPr="00922C73">
        <w:rPr>
          <w:rFonts w:ascii="Times New Roman" w:hAnsi="Times New Roman" w:cs="Times New Roman"/>
          <w:sz w:val="24"/>
          <w:szCs w:val="24"/>
        </w:rPr>
        <w:t>/m</w:t>
      </w:r>
      <w:bookmarkEnd w:id="55"/>
      <w:r w:rsidR="00EA4882" w:rsidRPr="00922C73">
        <w:rPr>
          <w:rFonts w:ascii="Times New Roman" w:hAnsi="Times New Roman" w:cs="Times New Roman"/>
          <w:sz w:val="24"/>
          <w:szCs w:val="24"/>
        </w:rPr>
        <w:t xml:space="preserve">L </w:t>
      </w:r>
      <w:r w:rsidR="000D6B12" w:rsidRPr="00922C73">
        <w:rPr>
          <w:rFonts w:ascii="Times New Roman" w:hAnsi="Times New Roman" w:cs="Times New Roman"/>
          <w:sz w:val="24"/>
          <w:szCs w:val="24"/>
        </w:rPr>
        <w:t>was</w:t>
      </w:r>
      <w:r w:rsidR="00EA4882" w:rsidRPr="00922C73">
        <w:rPr>
          <w:rFonts w:ascii="Times New Roman" w:hAnsi="Times New Roman" w:cs="Times New Roman"/>
          <w:sz w:val="24"/>
          <w:szCs w:val="24"/>
        </w:rPr>
        <w:t xml:space="preserve"> cost-effective as it was associated with </w:t>
      </w:r>
      <w:r w:rsidR="000D6B12" w:rsidRPr="00922C73">
        <w:rPr>
          <w:rFonts w:ascii="Times New Roman" w:hAnsi="Times New Roman" w:cs="Times New Roman"/>
          <w:sz w:val="24"/>
          <w:szCs w:val="24"/>
        </w:rPr>
        <w:t xml:space="preserve">increased </w:t>
      </w:r>
      <w:r w:rsidR="00EA4882" w:rsidRPr="00922C73">
        <w:rPr>
          <w:rFonts w:ascii="Times New Roman" w:hAnsi="Times New Roman" w:cs="Times New Roman"/>
          <w:sz w:val="24"/>
          <w:szCs w:val="24"/>
        </w:rPr>
        <w:t xml:space="preserve">remission </w:t>
      </w:r>
      <w:r w:rsidR="000D6B12" w:rsidRPr="00922C73">
        <w:rPr>
          <w:rFonts w:ascii="Times New Roman" w:hAnsi="Times New Roman" w:cs="Times New Roman"/>
          <w:sz w:val="24"/>
          <w:szCs w:val="24"/>
        </w:rPr>
        <w:t xml:space="preserve">rates </w:t>
      </w:r>
      <w:r w:rsidR="00EA4882" w:rsidRPr="00922C73">
        <w:rPr>
          <w:rFonts w:ascii="Times New Roman" w:hAnsi="Times New Roman" w:cs="Times New Roman"/>
          <w:sz w:val="24"/>
          <w:szCs w:val="24"/>
        </w:rPr>
        <w:t xml:space="preserve">in </w:t>
      </w:r>
      <w:r w:rsidR="000D6B12" w:rsidRPr="00922C73">
        <w:rPr>
          <w:rFonts w:ascii="Times New Roman" w:hAnsi="Times New Roman" w:cs="Times New Roman"/>
          <w:sz w:val="24"/>
          <w:szCs w:val="24"/>
        </w:rPr>
        <w:t xml:space="preserve">CD, and it </w:t>
      </w:r>
      <w:r w:rsidR="00EA4882" w:rsidRPr="00922C73">
        <w:rPr>
          <w:rFonts w:ascii="Times New Roman" w:hAnsi="Times New Roman" w:cs="Times New Roman"/>
          <w:sz w:val="24"/>
          <w:szCs w:val="24"/>
        </w:rPr>
        <w:t xml:space="preserve">allowed those with supratherapeutic </w:t>
      </w:r>
      <w:r w:rsidR="000D6B12" w:rsidRPr="00922C73">
        <w:rPr>
          <w:rFonts w:ascii="Times New Roman" w:hAnsi="Times New Roman" w:cs="Times New Roman"/>
          <w:sz w:val="24"/>
          <w:szCs w:val="24"/>
        </w:rPr>
        <w:t xml:space="preserve">drug </w:t>
      </w:r>
      <w:r w:rsidR="00EA4882" w:rsidRPr="00922C73">
        <w:rPr>
          <w:rFonts w:ascii="Times New Roman" w:hAnsi="Times New Roman" w:cs="Times New Roman"/>
          <w:sz w:val="24"/>
          <w:szCs w:val="24"/>
        </w:rPr>
        <w:t>levels to have their drug regime altered</w:t>
      </w:r>
      <w:r w:rsidR="000D6B12" w:rsidRPr="00922C73">
        <w:rPr>
          <w:rFonts w:ascii="Times New Roman" w:hAnsi="Times New Roman" w:cs="Times New Roman"/>
          <w:sz w:val="24"/>
          <w:szCs w:val="24"/>
        </w:rPr>
        <w:t xml:space="preserve"> </w:t>
      </w:r>
      <w:r w:rsidR="000D6B1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mendeley":{"formattedCitation":"&lt;sup&gt;120&lt;/sup&gt;","plainTextFormattedCitation":"120","previouslyFormattedCitation":"&lt;sup&gt;120&lt;/sup&gt;"},"properties":{"noteIndex":0},"schema":"https://github.com/citation-style-language/schema/raw/master/csl-citation.json"}</w:instrText>
      </w:r>
      <w:r w:rsidR="000D6B1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120</w:t>
      </w:r>
      <w:r w:rsidR="000D6B12" w:rsidRPr="00922C73">
        <w:rPr>
          <w:rFonts w:ascii="Times New Roman" w:hAnsi="Times New Roman" w:cs="Times New Roman"/>
          <w:sz w:val="24"/>
          <w:szCs w:val="24"/>
        </w:rPr>
        <w:fldChar w:fldCharType="end"/>
      </w:r>
      <w:r w:rsidR="00EA4882" w:rsidRPr="00922C73">
        <w:rPr>
          <w:rFonts w:ascii="Times New Roman" w:hAnsi="Times New Roman" w:cs="Times New Roman"/>
          <w:sz w:val="24"/>
          <w:szCs w:val="24"/>
        </w:rPr>
        <w:t xml:space="preserve">. </w:t>
      </w:r>
      <w:r w:rsidR="0045414B" w:rsidRPr="00922C73">
        <w:rPr>
          <w:rFonts w:ascii="Times New Roman" w:hAnsi="Times New Roman" w:cs="Times New Roman"/>
          <w:sz w:val="24"/>
          <w:szCs w:val="24"/>
        </w:rPr>
        <w:t xml:space="preserve">More recently, studies have suggested that therapeutic drug targets may vary for different clinical situations with higher levels for perianal disease </w:t>
      </w:r>
      <w:r w:rsidR="00AD742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ecco-jcc/jjz203.714","ISSN":"1873-9946","author":[{"dropping-particle":"","family":"GU","given":"B","non-dropping-particle":"","parse-names":false,"suffix":""},{"dropping-particle":"","family":"Venkatesh","given":"K","non-dropping-particle":"","parse-names":false,"suffix":""},{"dropping-particle":"","family":"Williams","given":"A J","non-dropping-particle":"","parse-names":false,"suffix":""},{"dropping-particle":"","family":"Ng","given":"W","non-dropping-particle":"","parse-names":false,"suffix":""},{"dropping-particle":"","family":"Corte","given":"C","non-dropping-particle":"","parse-names":false,"suffix":""},{"dropping-particle":"","family":"Ghaly","given":"S","non-dropping-particle":"","parse-names":false,"suffix":""},{"dropping-particle":"","family":"Xuan","given":"W","non-dropping-particle":"","parse-names":false,"suffix":""},{"dropping-particle":"","family":"Paramsothy","given":"S","non-dropping-particle":"","parse-names":false,"suffix":""},{"dropping-particle":"","family":"Connor","given":"S","non-dropping-particle":"","parse-names":false,"suffix":""}],"container-title":"Journal of Crohn's and Colitis","id":"ITEM-1","issue":"Supplement_1","issued":{"date-parts":[["2020","1","15"]]},"page":"S490-S491","title":"P586 Higher infliximab and adalimumab trough levels are associated with fistula healing in patients with fistulising perianal Crohn’s disease","type":"article-journal","volume":"14"},"uris":["http://www.mendeley.com/documents/?uuid=2a57aebf-0772-4bee-b9f9-f288e0ef429c"]},{"id":"ITEM-2","itemData":{"DOI":"10.1111/apt.13970","ISSN":"02692813","author":[{"dropping-particle":"","family":"Yarur","given":"A. J.","non-dropping-particle":"","parse-names":false,"suffix":""},{"dropping-particle":"","family":"Kanagala","given":"V.","non-dropping-particle":"","parse-names":false,"suffix":""},{"dropping-particle":"","family":"Stein","given":"D. J.","non-dropping-particle":"","parse-names":false,"suffix":""},{"dropping-particle":"","family":"Czul","given":"F.","non-dropping-particle":"","parse-names":false,"suffix":""},{"dropping-particle":"","family":"Quintero","given":"M. A.","non-dropping-particle":"","parse-names":false,"suffix":""},{"dropping-particle":"","family":"Agrawal","given":"D.","non-dropping-particle":"","parse-names":false,"suffix":""},{"dropping-particle":"","family":"Patel","given":"A.","non-dropping-particle":"","parse-names":false,"suffix":""},{"dropping-particle":"","family":"Best","given":"K.","non-dropping-particle":"","parse-names":false,"suffix":""},{"dropping-particle":"","family":"Fox","given":"C.","non-dropping-particle":"","parse-names":false,"suffix":""},{"dropping-particle":"","family":"Idstein","given":"K.","non-dropping-particle":"","parse-names":false,"suffix":""},{"dropping-particle":"","family":"Abreu","given":"M. T.","non-dropping-particle":"","parse-names":false,"suffix":""}],"container-title":"Alimentary Pharmacology &amp; Therapeutics","id":"ITEM-2","issue":"7","issued":{"date-parts":[["2017","4"]]},"page":"933-940","title":"Higher infliximab trough levels are associated with perianal fistula healing in patients with Crohn's disease","type":"article-journal","volume":"45"},"uris":["http://www.mendeley.com/documents/?uuid=b8b6c364-94d3-4277-9ae6-0d9cc7259493"]}],"mendeley":{"formattedCitation":"&lt;sup&gt;135,136&lt;/sup&gt;","plainTextFormattedCitation":"135,136","previouslyFormattedCitation":"&lt;sup&gt;135,136&lt;/sup&gt;"},"properties":{"noteIndex":0},"schema":"https://github.com/citation-style-language/schema/raw/master/csl-citation.json"}</w:instrText>
      </w:r>
      <w:r w:rsidR="00AD742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135,136</w:t>
      </w:r>
      <w:r w:rsidR="00AD742B" w:rsidRPr="00922C73">
        <w:rPr>
          <w:rFonts w:ascii="Times New Roman" w:hAnsi="Times New Roman" w:cs="Times New Roman"/>
          <w:sz w:val="24"/>
          <w:szCs w:val="24"/>
        </w:rPr>
        <w:fldChar w:fldCharType="end"/>
      </w:r>
      <w:r w:rsidR="00D42C26" w:rsidRPr="00922C73">
        <w:rPr>
          <w:rFonts w:ascii="Times New Roman" w:hAnsi="Times New Roman" w:cs="Times New Roman"/>
          <w:sz w:val="24"/>
          <w:szCs w:val="24"/>
        </w:rPr>
        <w:t xml:space="preserve"> . D</w:t>
      </w:r>
      <w:r w:rsidR="0045414B" w:rsidRPr="00922C73">
        <w:rPr>
          <w:rFonts w:ascii="Times New Roman" w:hAnsi="Times New Roman" w:cs="Times New Roman"/>
          <w:sz w:val="24"/>
          <w:szCs w:val="24"/>
        </w:rPr>
        <w:t xml:space="preserve">ebate </w:t>
      </w:r>
      <w:r w:rsidR="00D42C26" w:rsidRPr="00922C73">
        <w:rPr>
          <w:rFonts w:ascii="Times New Roman" w:hAnsi="Times New Roman" w:cs="Times New Roman"/>
          <w:sz w:val="24"/>
          <w:szCs w:val="24"/>
        </w:rPr>
        <w:t xml:space="preserve">also </w:t>
      </w:r>
      <w:r w:rsidR="0045414B" w:rsidRPr="00922C73">
        <w:rPr>
          <w:rFonts w:ascii="Times New Roman" w:hAnsi="Times New Roman" w:cs="Times New Roman"/>
          <w:sz w:val="24"/>
          <w:szCs w:val="24"/>
        </w:rPr>
        <w:t>remains whether TDM should be assessed reactively or proactively</w:t>
      </w:r>
      <w:r w:rsidR="00D42C26" w:rsidRPr="00922C73">
        <w:rPr>
          <w:rFonts w:ascii="Times New Roman" w:hAnsi="Times New Roman" w:cs="Times New Roman"/>
          <w:sz w:val="24"/>
          <w:szCs w:val="24"/>
        </w:rPr>
        <w:t>, but t</w:t>
      </w:r>
      <w:r w:rsidR="0045414B" w:rsidRPr="00922C73">
        <w:rPr>
          <w:rFonts w:ascii="Times New Roman" w:hAnsi="Times New Roman" w:cs="Times New Roman"/>
          <w:sz w:val="24"/>
          <w:szCs w:val="24"/>
        </w:rPr>
        <w:t>he importance of assessing trough drug levels and ATI during infliximab treatment has been recognised and is incorporated into national guidelines</w:t>
      </w:r>
      <w:r w:rsidR="00D42C26" w:rsidRPr="00922C73">
        <w:rPr>
          <w:rFonts w:ascii="Times New Roman" w:hAnsi="Times New Roman" w:cs="Times New Roman"/>
          <w:sz w:val="24"/>
          <w:szCs w:val="24"/>
        </w:rPr>
        <w:t xml:space="preserve"> </w:t>
      </w:r>
      <w:r w:rsidR="00D42C2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D42C2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D42C26" w:rsidRPr="00922C73">
        <w:rPr>
          <w:rFonts w:ascii="Times New Roman" w:hAnsi="Times New Roman" w:cs="Times New Roman"/>
          <w:sz w:val="24"/>
          <w:szCs w:val="24"/>
        </w:rPr>
        <w:fldChar w:fldCharType="end"/>
      </w:r>
      <w:r w:rsidR="0045414B" w:rsidRPr="00922C73">
        <w:rPr>
          <w:rFonts w:ascii="Times New Roman" w:hAnsi="Times New Roman" w:cs="Times New Roman"/>
          <w:sz w:val="24"/>
          <w:szCs w:val="24"/>
        </w:rPr>
        <w:t>.</w:t>
      </w:r>
    </w:p>
    <w:p w14:paraId="24354F69" w14:textId="1E0CF688" w:rsidR="00F0160F" w:rsidRPr="00922C73" w:rsidRDefault="00F0160F" w:rsidP="00E774E2">
      <w:pPr>
        <w:autoSpaceDE w:val="0"/>
        <w:autoSpaceDN w:val="0"/>
        <w:adjustRightInd w:val="0"/>
        <w:spacing w:after="0" w:line="480" w:lineRule="auto"/>
        <w:jc w:val="left"/>
        <w:rPr>
          <w:rFonts w:ascii="Times New Roman" w:hAnsi="Times New Roman" w:cs="Times New Roman"/>
          <w:kern w:val="24"/>
          <w:sz w:val="24"/>
          <w:szCs w:val="24"/>
          <w:lang w:eastAsia="en-GB"/>
        </w:rPr>
      </w:pPr>
    </w:p>
    <w:p w14:paraId="49D987E7" w14:textId="7191DFEB" w:rsidR="0025311D" w:rsidRPr="00922C73" w:rsidRDefault="005301B3" w:rsidP="0025311D">
      <w:pPr>
        <w:autoSpaceDE w:val="0"/>
        <w:autoSpaceDN w:val="0"/>
        <w:adjustRightInd w:val="0"/>
        <w:spacing w:after="0" w:line="480" w:lineRule="auto"/>
        <w:jc w:val="left"/>
        <w:rPr>
          <w:rFonts w:ascii="Times New Roman" w:hAnsi="Times New Roman" w:cs="Times New Roman"/>
          <w:sz w:val="24"/>
          <w:szCs w:val="24"/>
          <w:shd w:val="clear" w:color="auto" w:fill="FFFFFF"/>
        </w:rPr>
      </w:pPr>
      <w:r w:rsidRPr="00922C73">
        <w:rPr>
          <w:rFonts w:ascii="Times New Roman" w:eastAsia="Times New Roman" w:hAnsi="Times New Roman" w:cs="Times New Roman"/>
          <w:sz w:val="24"/>
          <w:szCs w:val="24"/>
          <w:lang w:eastAsia="en-GB"/>
        </w:rPr>
        <w:t xml:space="preserve">Previous studies have suggested </w:t>
      </w:r>
      <w:r w:rsidR="002052AA" w:rsidRPr="00922C73">
        <w:rPr>
          <w:rFonts w:ascii="Times New Roman" w:eastAsia="Times New Roman" w:hAnsi="Times New Roman" w:cs="Times New Roman"/>
          <w:sz w:val="24"/>
          <w:szCs w:val="24"/>
          <w:lang w:eastAsia="en-GB"/>
        </w:rPr>
        <w:t xml:space="preserve">ATI are associated with </w:t>
      </w:r>
      <w:r w:rsidR="00476DD3" w:rsidRPr="00922C73">
        <w:rPr>
          <w:rFonts w:ascii="Times New Roman" w:eastAsia="Times New Roman" w:hAnsi="Times New Roman" w:cs="Times New Roman"/>
          <w:sz w:val="24"/>
          <w:szCs w:val="24"/>
          <w:lang w:eastAsia="en-GB"/>
        </w:rPr>
        <w:t>lower</w:t>
      </w:r>
      <w:r w:rsidR="002052AA" w:rsidRPr="00922C73">
        <w:rPr>
          <w:rFonts w:ascii="Times New Roman" w:eastAsia="Times New Roman" w:hAnsi="Times New Roman" w:cs="Times New Roman"/>
          <w:sz w:val="24"/>
          <w:szCs w:val="24"/>
          <w:lang w:eastAsia="en-GB"/>
        </w:rPr>
        <w:t xml:space="preserve"> levels of infliximab</w:t>
      </w:r>
      <w:r w:rsidR="008B280E" w:rsidRPr="00922C73">
        <w:rPr>
          <w:rFonts w:ascii="Times New Roman" w:eastAsia="Times New Roman" w:hAnsi="Times New Roman" w:cs="Times New Roman"/>
          <w:sz w:val="24"/>
          <w:szCs w:val="24"/>
          <w:lang w:eastAsia="en-GB"/>
        </w:rPr>
        <w:t>.</w:t>
      </w:r>
      <w:r w:rsidR="00591678" w:rsidRPr="00922C73">
        <w:rPr>
          <w:rFonts w:ascii="Times New Roman" w:eastAsia="Times New Roman" w:hAnsi="Times New Roman" w:cs="Times New Roman"/>
          <w:sz w:val="24"/>
          <w:szCs w:val="24"/>
          <w:lang w:eastAsia="en-GB"/>
        </w:rPr>
        <w:t xml:space="preserve"> </w:t>
      </w:r>
      <w:r w:rsidR="008B280E" w:rsidRPr="00922C73">
        <w:rPr>
          <w:rFonts w:ascii="Times New Roman" w:eastAsia="Times New Roman" w:hAnsi="Times New Roman" w:cs="Times New Roman"/>
          <w:sz w:val="24"/>
          <w:szCs w:val="24"/>
          <w:lang w:eastAsia="en-GB"/>
        </w:rPr>
        <w:t xml:space="preserve">A prospective study in </w:t>
      </w:r>
      <w:r w:rsidRPr="00922C73">
        <w:rPr>
          <w:rFonts w:ascii="Times New Roman" w:eastAsia="Times New Roman" w:hAnsi="Times New Roman" w:cs="Times New Roman"/>
          <w:sz w:val="24"/>
          <w:szCs w:val="24"/>
          <w:lang w:eastAsia="en-GB"/>
        </w:rPr>
        <w:t xml:space="preserve">93 IBD patients </w:t>
      </w:r>
      <w:r w:rsidR="008B280E" w:rsidRPr="00922C73">
        <w:rPr>
          <w:rFonts w:ascii="Times New Roman" w:eastAsia="Times New Roman" w:hAnsi="Times New Roman" w:cs="Times New Roman"/>
          <w:sz w:val="24"/>
          <w:szCs w:val="24"/>
          <w:lang w:eastAsia="en-GB"/>
        </w:rPr>
        <w:t>suggested</w:t>
      </w:r>
      <w:r w:rsidRPr="00922C73">
        <w:rPr>
          <w:rFonts w:ascii="Times New Roman" w:eastAsia="Times New Roman" w:hAnsi="Times New Roman" w:cs="Times New Roman"/>
          <w:sz w:val="24"/>
          <w:szCs w:val="24"/>
          <w:lang w:eastAsia="en-GB"/>
        </w:rPr>
        <w:t xml:space="preserve"> that trough infliximab levels were </w:t>
      </w:r>
      <w:r w:rsidRPr="00922C73">
        <w:rPr>
          <w:rFonts w:ascii="Times New Roman" w:hAnsi="Times New Roman" w:cs="Times New Roman"/>
          <w:sz w:val="24"/>
          <w:szCs w:val="24"/>
          <w:shd w:val="clear" w:color="auto" w:fill="FFFFFF"/>
        </w:rPr>
        <w:t xml:space="preserve">significantly lower at week 22 in patients with positive ATI </w:t>
      </w:r>
      <w:r w:rsidR="00F60C3A" w:rsidRPr="00922C73">
        <w:rPr>
          <w:rFonts w:ascii="Times New Roman" w:hAnsi="Times New Roman" w:cs="Times New Roman"/>
          <w:sz w:val="24"/>
          <w:szCs w:val="24"/>
          <w:shd w:val="clear" w:color="auto" w:fill="FFFFFF"/>
        </w:rPr>
        <w:t>(</w:t>
      </w:r>
      <w:r w:rsidRPr="00922C73">
        <w:rPr>
          <w:rFonts w:ascii="Times New Roman" w:hAnsi="Times New Roman" w:cs="Times New Roman"/>
          <w:sz w:val="24"/>
          <w:szCs w:val="24"/>
          <w:shd w:val="clear" w:color="auto" w:fill="FFFFFF"/>
        </w:rPr>
        <w:t>0.05 µg/ml vs 4.24 µg/ml; </w:t>
      </w:r>
      <w:r w:rsidRPr="00922C73">
        <w:rPr>
          <w:rFonts w:ascii="Times New Roman" w:hAnsi="Times New Roman" w:cs="Times New Roman"/>
          <w:i/>
          <w:iCs/>
          <w:sz w:val="24"/>
          <w:szCs w:val="24"/>
          <w:bdr w:val="none" w:sz="0" w:space="0" w:color="auto" w:frame="1"/>
          <w:shd w:val="clear" w:color="auto" w:fill="FFFFFF"/>
        </w:rPr>
        <w:t>p</w:t>
      </w:r>
      <w:r w:rsidRPr="00922C73">
        <w:rPr>
          <w:rFonts w:ascii="Times New Roman" w:hAnsi="Times New Roman" w:cs="Times New Roman"/>
          <w:sz w:val="24"/>
          <w:szCs w:val="24"/>
          <w:shd w:val="clear" w:color="auto" w:fill="FFFFFF"/>
        </w:rPr>
        <w:t> &lt; 0.001</w:t>
      </w:r>
      <w:r w:rsidR="00F60C3A" w:rsidRPr="00922C73">
        <w:rPr>
          <w:rFonts w:ascii="Times New Roman" w:hAnsi="Times New Roman" w:cs="Times New Roman"/>
          <w:sz w:val="24"/>
          <w:szCs w:val="24"/>
          <w:shd w:val="clear" w:color="auto" w:fill="FFFFFF"/>
        </w:rPr>
        <w:t xml:space="preserve">) </w:t>
      </w:r>
      <w:r w:rsidR="00F60C3A"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ecco-jcc/jjv061","ISSN":"1873-9946","author":[{"dropping-particle":"","family":"Roblin","given":"X.","non-dropping-particle":"","parse-names":false,"suffix":""},{"dropping-particle":"","family":"Marotte","given":"H.","non-dropping-particle":"","parse-names":false,"suffix":""},{"dropping-particle":"","family":"Leclerc","given":"M.","non-dropping-particle":"","parse-names":false,"suffix":""},{"dropping-particle":"","family":"Tedesco","given":"E.","non-dropping-particle":"Del","parse-names":false,"suffix":""},{"dropping-particle":"","family":"Phelip","given":"J.M.","non-dropping-particle":"","parse-names":false,"suffix":""},{"dropping-particle":"","family":"Peyrin-Biroulet","given":"L.","non-dropping-particle":"","parse-names":false,"suffix":""},{"dropping-particle":"","family":"Paul","given":"S.","non-dropping-particle":"","parse-names":false,"suffix":""}],"container-title":"Journal of Crohn's and Colitis","id":"ITEM-1","issue":"7","issued":{"date-parts":[["2015","7"]]},"page":"525-531","title":"Combination of C-reactive Protein, Infliximab Trough Levels, and Stable but Not Transient Antibodies to Infliximab Are Associated With Loss of Response to Infliximab in Inflammatory Bowel Disease","type":"article-journal","volume":"9"},"uris":["http://www.mendeley.com/documents/?uuid=10aed7b3-8d15-4b96-a9fa-9861f42dcfa6"]}],"mendeley":{"formattedCitation":"&lt;sup&gt;137&lt;/sup&gt;","plainTextFormattedCitation":"137","previouslyFormattedCitation":"&lt;sup&gt;137&lt;/sup&gt;"},"properties":{"noteIndex":0},"schema":"https://github.com/citation-style-language/schema/raw/master/csl-citation.json"}</w:instrText>
      </w:r>
      <w:r w:rsidR="00F60C3A"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137</w:t>
      </w:r>
      <w:r w:rsidR="00F60C3A" w:rsidRPr="00922C73">
        <w:rPr>
          <w:rFonts w:ascii="Times New Roman" w:hAnsi="Times New Roman" w:cs="Times New Roman"/>
          <w:sz w:val="24"/>
          <w:szCs w:val="24"/>
          <w:shd w:val="clear" w:color="auto" w:fill="FFFFFF"/>
        </w:rPr>
        <w:fldChar w:fldCharType="end"/>
      </w:r>
      <w:r w:rsidR="004F42B8" w:rsidRPr="00922C73">
        <w:rPr>
          <w:rFonts w:ascii="Times New Roman" w:hAnsi="Times New Roman" w:cs="Times New Roman"/>
          <w:sz w:val="24"/>
          <w:szCs w:val="24"/>
          <w:shd w:val="clear" w:color="auto" w:fill="FFFFFF"/>
        </w:rPr>
        <w:t>.</w:t>
      </w:r>
      <w:r w:rsidR="008B280E" w:rsidRPr="00922C73">
        <w:rPr>
          <w:rFonts w:ascii="Times New Roman" w:hAnsi="Times New Roman" w:cs="Times New Roman"/>
          <w:sz w:val="24"/>
          <w:szCs w:val="24"/>
          <w:shd w:val="clear" w:color="auto" w:fill="FFFFFF"/>
        </w:rPr>
        <w:t xml:space="preserve"> </w:t>
      </w:r>
      <w:r w:rsidR="004F42B8" w:rsidRPr="00922C73">
        <w:rPr>
          <w:rFonts w:ascii="Times New Roman" w:hAnsi="Times New Roman" w:cs="Times New Roman"/>
          <w:sz w:val="24"/>
          <w:szCs w:val="24"/>
          <w:shd w:val="clear" w:color="auto" w:fill="FFFFFF"/>
        </w:rPr>
        <w:t>H</w:t>
      </w:r>
      <w:r w:rsidR="008B280E" w:rsidRPr="00922C73">
        <w:rPr>
          <w:rFonts w:ascii="Times New Roman" w:hAnsi="Times New Roman" w:cs="Times New Roman"/>
          <w:sz w:val="24"/>
          <w:szCs w:val="24"/>
          <w:shd w:val="clear" w:color="auto" w:fill="FFFFFF"/>
        </w:rPr>
        <w:t>owever</w:t>
      </w:r>
      <w:r w:rsidR="00B11882" w:rsidRPr="00922C73">
        <w:rPr>
          <w:rFonts w:ascii="Times New Roman" w:hAnsi="Times New Roman" w:cs="Times New Roman"/>
          <w:sz w:val="24"/>
          <w:szCs w:val="24"/>
          <w:shd w:val="clear" w:color="auto" w:fill="FFFFFF"/>
        </w:rPr>
        <w:t>, number of patients were limited as</w:t>
      </w:r>
      <w:r w:rsidRPr="00922C73">
        <w:rPr>
          <w:rFonts w:ascii="Times New Roman" w:hAnsi="Times New Roman" w:cs="Times New Roman"/>
          <w:sz w:val="24"/>
          <w:szCs w:val="24"/>
          <w:shd w:val="clear" w:color="auto" w:fill="FFFFFF"/>
        </w:rPr>
        <w:t xml:space="preserve"> </w:t>
      </w:r>
      <w:r w:rsidR="00F01D5C" w:rsidRPr="00922C73">
        <w:rPr>
          <w:rFonts w:ascii="Times New Roman" w:hAnsi="Times New Roman" w:cs="Times New Roman"/>
          <w:sz w:val="24"/>
          <w:szCs w:val="24"/>
          <w:shd w:val="clear" w:color="auto" w:fill="FFFFFF"/>
        </w:rPr>
        <w:t xml:space="preserve">only 9 patients </w:t>
      </w:r>
      <w:r w:rsidR="00B11882" w:rsidRPr="00922C73">
        <w:rPr>
          <w:rFonts w:ascii="Times New Roman" w:hAnsi="Times New Roman" w:cs="Times New Roman"/>
          <w:sz w:val="24"/>
          <w:szCs w:val="24"/>
          <w:shd w:val="clear" w:color="auto" w:fill="FFFFFF"/>
        </w:rPr>
        <w:t xml:space="preserve">had </w:t>
      </w:r>
      <w:r w:rsidR="00F01D5C" w:rsidRPr="00922C73">
        <w:rPr>
          <w:rFonts w:ascii="Times New Roman" w:hAnsi="Times New Roman" w:cs="Times New Roman"/>
          <w:sz w:val="24"/>
          <w:szCs w:val="24"/>
          <w:shd w:val="clear" w:color="auto" w:fill="FFFFFF"/>
        </w:rPr>
        <w:t>sustained positive A</w:t>
      </w:r>
      <w:r w:rsidR="00632838" w:rsidRPr="00922C73">
        <w:rPr>
          <w:rFonts w:ascii="Times New Roman" w:hAnsi="Times New Roman" w:cs="Times New Roman"/>
          <w:sz w:val="24"/>
          <w:szCs w:val="24"/>
          <w:shd w:val="clear" w:color="auto" w:fill="FFFFFF"/>
        </w:rPr>
        <w:t>TI</w:t>
      </w:r>
      <w:r w:rsidR="00B11882" w:rsidRPr="00922C73">
        <w:rPr>
          <w:rFonts w:ascii="Times New Roman" w:hAnsi="Times New Roman" w:cs="Times New Roman"/>
          <w:sz w:val="24"/>
          <w:szCs w:val="24"/>
          <w:shd w:val="clear" w:color="auto" w:fill="FFFFFF"/>
        </w:rPr>
        <w:t xml:space="preserve"> (ATI was consistently positive)</w:t>
      </w:r>
      <w:r w:rsidR="00632838" w:rsidRPr="00922C73">
        <w:rPr>
          <w:rFonts w:ascii="Times New Roman" w:hAnsi="Times New Roman" w:cs="Times New Roman"/>
          <w:sz w:val="24"/>
          <w:szCs w:val="24"/>
          <w:shd w:val="clear" w:color="auto" w:fill="FFFFFF"/>
        </w:rPr>
        <w:t>, likely due to the use of a</w:t>
      </w:r>
      <w:r w:rsidR="008B280E" w:rsidRPr="00922C73">
        <w:rPr>
          <w:rFonts w:ascii="Times New Roman" w:hAnsi="Times New Roman" w:cs="Times New Roman"/>
          <w:sz w:val="24"/>
          <w:szCs w:val="24"/>
          <w:shd w:val="clear" w:color="auto" w:fill="FFFFFF"/>
        </w:rPr>
        <w:t xml:space="preserve"> drug sensitive assay</w:t>
      </w:r>
      <w:r w:rsidR="00632838" w:rsidRPr="00922C73">
        <w:rPr>
          <w:rFonts w:ascii="Times New Roman" w:hAnsi="Times New Roman" w:cs="Times New Roman"/>
          <w:sz w:val="24"/>
          <w:szCs w:val="24"/>
          <w:shd w:val="clear" w:color="auto" w:fill="FFFFFF"/>
        </w:rPr>
        <w:t xml:space="preserve"> and </w:t>
      </w:r>
      <w:r w:rsidR="00D42C26" w:rsidRPr="00922C73">
        <w:rPr>
          <w:rFonts w:ascii="Times New Roman" w:hAnsi="Times New Roman" w:cs="Times New Roman"/>
          <w:sz w:val="24"/>
          <w:szCs w:val="24"/>
          <w:shd w:val="clear" w:color="auto" w:fill="FFFFFF"/>
        </w:rPr>
        <w:t>how often</w:t>
      </w:r>
      <w:r w:rsidR="00632838" w:rsidRPr="00922C73">
        <w:rPr>
          <w:rFonts w:ascii="Times New Roman" w:hAnsi="Times New Roman" w:cs="Times New Roman"/>
          <w:sz w:val="24"/>
          <w:szCs w:val="24"/>
          <w:shd w:val="clear" w:color="auto" w:fill="FFFFFF"/>
        </w:rPr>
        <w:t xml:space="preserve"> ATI were measured</w:t>
      </w:r>
      <w:r w:rsidR="00B11882" w:rsidRPr="00922C73">
        <w:rPr>
          <w:rFonts w:ascii="Times New Roman" w:hAnsi="Times New Roman" w:cs="Times New Roman"/>
          <w:sz w:val="24"/>
          <w:szCs w:val="24"/>
          <w:shd w:val="clear" w:color="auto" w:fill="FFFFFF"/>
        </w:rPr>
        <w:t xml:space="preserve"> in the study</w:t>
      </w:r>
      <w:r w:rsidR="008B280E" w:rsidRPr="00922C73">
        <w:rPr>
          <w:rFonts w:ascii="Times New Roman" w:hAnsi="Times New Roman" w:cs="Times New Roman"/>
          <w:sz w:val="24"/>
          <w:szCs w:val="24"/>
          <w:shd w:val="clear" w:color="auto" w:fill="FFFFFF"/>
        </w:rPr>
        <w:t>.</w:t>
      </w:r>
      <w:r w:rsidR="008B280E" w:rsidRPr="00922C73">
        <w:rPr>
          <w:rFonts w:ascii="Times New Roman" w:eastAsia="Times New Roman" w:hAnsi="Times New Roman" w:cs="Times New Roman"/>
          <w:sz w:val="24"/>
          <w:szCs w:val="24"/>
          <w:lang w:eastAsia="en-GB"/>
        </w:rPr>
        <w:t xml:space="preserve"> Another study in 100 UC patients found that </w:t>
      </w:r>
      <w:r w:rsidR="00AB72BD" w:rsidRPr="00922C73">
        <w:rPr>
          <w:rFonts w:ascii="Times New Roman" w:hAnsi="Times New Roman" w:cs="Times New Roman"/>
          <w:sz w:val="24"/>
          <w:szCs w:val="24"/>
          <w:shd w:val="clear" w:color="auto" w:fill="FFFFFF"/>
        </w:rPr>
        <w:t xml:space="preserve">undetectable </w:t>
      </w:r>
      <w:r w:rsidR="008B280E" w:rsidRPr="00922C73">
        <w:rPr>
          <w:rFonts w:ascii="Times New Roman" w:hAnsi="Times New Roman" w:cs="Times New Roman"/>
          <w:sz w:val="24"/>
          <w:szCs w:val="24"/>
          <w:shd w:val="clear" w:color="auto" w:fill="FFFFFF"/>
        </w:rPr>
        <w:t xml:space="preserve">levels of </w:t>
      </w:r>
      <w:r w:rsidR="00AB72BD" w:rsidRPr="00922C73">
        <w:rPr>
          <w:rFonts w:ascii="Times New Roman" w:hAnsi="Times New Roman" w:cs="Times New Roman"/>
          <w:sz w:val="24"/>
          <w:szCs w:val="24"/>
          <w:shd w:val="clear" w:color="auto" w:fill="FFFFFF"/>
        </w:rPr>
        <w:t xml:space="preserve">infliximab </w:t>
      </w:r>
      <w:r w:rsidR="008B280E" w:rsidRPr="00922C73">
        <w:rPr>
          <w:rFonts w:ascii="Times New Roman" w:hAnsi="Times New Roman" w:cs="Times New Roman"/>
          <w:sz w:val="24"/>
          <w:szCs w:val="24"/>
          <w:shd w:val="clear" w:color="auto" w:fill="FFFFFF"/>
        </w:rPr>
        <w:t xml:space="preserve">were </w:t>
      </w:r>
      <w:r w:rsidR="00632838" w:rsidRPr="00922C73">
        <w:rPr>
          <w:rFonts w:ascii="Times New Roman" w:hAnsi="Times New Roman" w:cs="Times New Roman"/>
          <w:sz w:val="24"/>
          <w:szCs w:val="24"/>
          <w:shd w:val="clear" w:color="auto" w:fill="FFFFFF"/>
        </w:rPr>
        <w:t>associated with</w:t>
      </w:r>
      <w:r w:rsidR="008B280E" w:rsidRPr="00922C73">
        <w:rPr>
          <w:rFonts w:ascii="Times New Roman" w:hAnsi="Times New Roman" w:cs="Times New Roman"/>
          <w:sz w:val="24"/>
          <w:szCs w:val="24"/>
          <w:shd w:val="clear" w:color="auto" w:fill="FFFFFF"/>
        </w:rPr>
        <w:t xml:space="preserve"> ATI </w:t>
      </w:r>
      <w:r w:rsidR="00632838" w:rsidRPr="00922C73">
        <w:rPr>
          <w:rFonts w:ascii="Times New Roman" w:hAnsi="Times New Roman" w:cs="Times New Roman"/>
          <w:sz w:val="24"/>
          <w:szCs w:val="24"/>
          <w:shd w:val="clear" w:color="auto" w:fill="FFFFFF"/>
        </w:rPr>
        <w:t>positivity</w:t>
      </w:r>
      <w:r w:rsidR="00926AAB" w:rsidRPr="00922C73">
        <w:rPr>
          <w:rFonts w:ascii="Times New Roman" w:hAnsi="Times New Roman" w:cs="Times New Roman"/>
          <w:sz w:val="24"/>
          <w:szCs w:val="24"/>
          <w:shd w:val="clear" w:color="auto" w:fill="FFFFFF"/>
        </w:rPr>
        <w:t>:</w:t>
      </w:r>
      <w:r w:rsidR="00171D5B" w:rsidRPr="00922C73">
        <w:rPr>
          <w:rFonts w:ascii="Times New Roman" w:hAnsi="Times New Roman" w:cs="Times New Roman"/>
          <w:sz w:val="24"/>
          <w:szCs w:val="24"/>
          <w:shd w:val="clear" w:color="auto" w:fill="FFFFFF"/>
        </w:rPr>
        <w:t xml:space="preserve"> 44/66 patients</w:t>
      </w:r>
      <w:r w:rsidR="00632838" w:rsidRPr="00922C73">
        <w:rPr>
          <w:rFonts w:ascii="Times New Roman" w:hAnsi="Times New Roman" w:cs="Times New Roman"/>
          <w:sz w:val="24"/>
          <w:szCs w:val="24"/>
          <w:shd w:val="clear" w:color="auto" w:fill="FFFFFF"/>
        </w:rPr>
        <w:t xml:space="preserve"> with undetectable levels</w:t>
      </w:r>
      <w:r w:rsidR="00171D5B" w:rsidRPr="00922C73">
        <w:rPr>
          <w:rFonts w:ascii="Times New Roman" w:hAnsi="Times New Roman" w:cs="Times New Roman"/>
          <w:sz w:val="24"/>
          <w:szCs w:val="24"/>
          <w:shd w:val="clear" w:color="auto" w:fill="FFFFFF"/>
        </w:rPr>
        <w:t xml:space="preserve"> were ATI positive</w:t>
      </w:r>
      <w:r w:rsidR="00F60C3A" w:rsidRPr="00922C73">
        <w:rPr>
          <w:rFonts w:ascii="Times New Roman" w:hAnsi="Times New Roman" w:cs="Times New Roman"/>
          <w:sz w:val="24"/>
          <w:szCs w:val="24"/>
          <w:shd w:val="clear" w:color="auto" w:fill="FFFFFF"/>
        </w:rPr>
        <w:t xml:space="preserve"> </w:t>
      </w:r>
      <w:r w:rsidR="00F60C3A"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{"citationItems":[{"id":"ITEM-1","itemData":{"DOI":"10.1136/gut.2009.183095","ISBN":"1468-3288 (Electronic)\\n0017-5749 (Linking)","ISSN":"0017-5749","PMID":"19651627","abstract":"BACKGROUND AND AIMS Antibodies to infliximab reduce serum infliximab with loss of clinical benefit, but undetectable trough serum concentrations of infliximab may occur without antibody formation. The relationship between trough serum infliximab and clinical outcomes was evaluated in acute ulcerative colitis. METHODS In a cohort of 115 patients with ulcerative colitis treated with three-dose induction followed by scheduled maintenance infliximab, rates of clinical remission, colectomy, antibodies to infliximab and trough serum infliximab were determined. RESULTS Rates of remission were 32% at week 10 and 37% at week 54. Colectomy occurred in 40% of patients, at a median of 5.3 (IQR 1.9-12.1) months. Detectable trough serum infliximab was present in 39% of patients and, among patients with undetectable infliximab, 41% were antibody positive and 20% were antibody negative. For antibody-positive and antibody-negative patients, rates of remission (18% vs 14%), endoscopic improvement (25% vs 35%) and colectomy (52% vs 59%) were not different. A detectable serum infliximab was associated with higher rates of remission (69% vs 15%; p&lt;0.001) and endoscopic improvement (76% vs 28%, p&lt;0.001). An undetectable serum infliximab predicted an increased risk for colectomy (55% vs 7%, OR 9.3; 95% CI 2.9 to 29.9; p&lt;0.001). Concurrent immunosuppression was not associated with clinical outcomes. CONCLUSIONS For patients with ulcerative colitis treated with infliximab, a detectable trough serum infliximab predicts clinical remission, endoscopic improvement and a lower risk for colectomy. An undetectable trough serum infliximab, irrespective of antibody status, is associated with less favourable outcomes.","author":[{"dropping-particle":"","family":"Seow","given":"C H","non-dropping-particle":"","parse-names":false,"suffix":""},{"dropping-particle":"","family":"Newman","given":"A","non-dropping-particle":"","parse-names":false,"suffix":""},{"dropping-particle":"","family":"Irwin","given":"S P","non-dropping-particle":"","parse-names":false,"suffix":""},{"dropping-particle":"","family":"Steinhart","given":"A H","non-dropping-particle":"","parse-names":false,"suffix":""},{"dropping-particle":"","family":"Silverberg","given":"M S","non-dropping-particle":"","parse-names":false,"suffix":""},{"dropping-particle":"","family":"Greenberg","given":"G R","non-dropping-particle":"","parse-names":false,"suffix":""}],"container-title":"Gut","id":"ITEM-1","issue":"01","issued":{"date-parts":[["2010","1"]]},"page":"49-54","title":"Trough serum infliximab: a predictive factor of clinical outcome for infliximab treatment in acute ulcerative colitis","type":"article-journal","volume":"59"},"uris":["http://www.mendeley.com/documents/?uuid=b8ff4b5b-fcc7-4584-bca8-14dd611cf37c"]}],"mendeley":{"formattedCitation":"&lt;sup&gt;131&lt;/sup&gt;","plainTextFormattedCitation":"131","previouslyFormattedCitation":"&lt;sup&gt;131&lt;/sup&gt;"},"properties":{"noteIndex":0},"schema":"https://github.com/citation-style-language/schema/raw/master/csl-citation.json"}</w:instrText>
      </w:r>
      <w:r w:rsidR="00F60C3A"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131</w:t>
      </w:r>
      <w:r w:rsidR="00F60C3A" w:rsidRPr="00922C73">
        <w:rPr>
          <w:rFonts w:ascii="Times New Roman" w:hAnsi="Times New Roman" w:cs="Times New Roman"/>
          <w:sz w:val="24"/>
          <w:szCs w:val="24"/>
          <w:shd w:val="clear" w:color="auto" w:fill="FFFFFF"/>
        </w:rPr>
        <w:fldChar w:fldCharType="end"/>
      </w:r>
      <w:r w:rsidR="00171D5B" w:rsidRPr="00922C73">
        <w:rPr>
          <w:rFonts w:ascii="Times New Roman" w:hAnsi="Times New Roman" w:cs="Times New Roman"/>
          <w:sz w:val="24"/>
          <w:szCs w:val="24"/>
          <w:shd w:val="clear" w:color="auto" w:fill="FFFFFF"/>
        </w:rPr>
        <w:t xml:space="preserve">. </w:t>
      </w:r>
      <w:r w:rsidR="00632838" w:rsidRPr="00922C73">
        <w:rPr>
          <w:rFonts w:ascii="Times New Roman" w:hAnsi="Times New Roman" w:cs="Times New Roman"/>
          <w:sz w:val="24"/>
          <w:szCs w:val="24"/>
          <w:shd w:val="clear" w:color="auto" w:fill="FFFFFF"/>
        </w:rPr>
        <w:t>However,</w:t>
      </w:r>
      <w:r w:rsidR="00AB72BD" w:rsidRPr="00922C73">
        <w:rPr>
          <w:rFonts w:ascii="Times New Roman" w:hAnsi="Times New Roman" w:cs="Times New Roman"/>
          <w:sz w:val="24"/>
          <w:szCs w:val="24"/>
          <w:shd w:val="clear" w:color="auto" w:fill="FFFFFF"/>
        </w:rPr>
        <w:t xml:space="preserve"> </w:t>
      </w:r>
      <w:r w:rsidR="00171D5B" w:rsidRPr="00922C73">
        <w:rPr>
          <w:rFonts w:ascii="Times New Roman" w:hAnsi="Times New Roman" w:cs="Times New Roman"/>
          <w:sz w:val="24"/>
          <w:szCs w:val="24"/>
          <w:shd w:val="clear" w:color="auto" w:fill="FFFFFF"/>
        </w:rPr>
        <w:t>42</w:t>
      </w:r>
      <w:r w:rsidR="00AB72BD" w:rsidRPr="00922C73">
        <w:rPr>
          <w:rFonts w:ascii="Times New Roman" w:hAnsi="Times New Roman" w:cs="Times New Roman"/>
          <w:sz w:val="24"/>
          <w:szCs w:val="24"/>
          <w:shd w:val="clear" w:color="auto" w:fill="FFFFFF"/>
        </w:rPr>
        <w:t xml:space="preserve"> </w:t>
      </w:r>
      <w:r w:rsidR="00171D5B" w:rsidRPr="00922C73">
        <w:rPr>
          <w:rFonts w:ascii="Times New Roman" w:hAnsi="Times New Roman" w:cs="Times New Roman"/>
          <w:sz w:val="24"/>
          <w:szCs w:val="24"/>
          <w:shd w:val="clear" w:color="auto" w:fill="FFFFFF"/>
        </w:rPr>
        <w:t>patients</w:t>
      </w:r>
      <w:r w:rsidR="00AB72BD" w:rsidRPr="00922C73">
        <w:rPr>
          <w:rFonts w:ascii="Times New Roman" w:hAnsi="Times New Roman" w:cs="Times New Roman"/>
          <w:sz w:val="24"/>
          <w:szCs w:val="24"/>
          <w:shd w:val="clear" w:color="auto" w:fill="FFFFFF"/>
        </w:rPr>
        <w:t xml:space="preserve"> </w:t>
      </w:r>
      <w:r w:rsidR="00DA06FE" w:rsidRPr="00922C73">
        <w:rPr>
          <w:rFonts w:ascii="Times New Roman" w:hAnsi="Times New Roman" w:cs="Times New Roman"/>
          <w:sz w:val="24"/>
          <w:szCs w:val="24"/>
          <w:shd w:val="clear" w:color="auto" w:fill="FFFFFF"/>
        </w:rPr>
        <w:t xml:space="preserve">with detectable </w:t>
      </w:r>
      <w:r w:rsidR="00AB72BD" w:rsidRPr="00922C73">
        <w:rPr>
          <w:rFonts w:ascii="Times New Roman" w:hAnsi="Times New Roman" w:cs="Times New Roman"/>
          <w:sz w:val="24"/>
          <w:szCs w:val="24"/>
          <w:shd w:val="clear" w:color="auto" w:fill="FFFFFF"/>
        </w:rPr>
        <w:t>infliximab</w:t>
      </w:r>
      <w:r w:rsidR="00D42C26" w:rsidRPr="00922C73">
        <w:rPr>
          <w:rFonts w:ascii="Times New Roman" w:hAnsi="Times New Roman" w:cs="Times New Roman"/>
          <w:sz w:val="24"/>
          <w:szCs w:val="24"/>
          <w:shd w:val="clear" w:color="auto" w:fill="FFFFFF"/>
        </w:rPr>
        <w:t xml:space="preserve"> levels</w:t>
      </w:r>
      <w:r w:rsidR="00FE68A5" w:rsidRPr="00922C73">
        <w:rPr>
          <w:rFonts w:ascii="Times New Roman" w:hAnsi="Times New Roman" w:cs="Times New Roman"/>
          <w:sz w:val="24"/>
          <w:szCs w:val="24"/>
          <w:shd w:val="clear" w:color="auto" w:fill="FFFFFF"/>
        </w:rPr>
        <w:t xml:space="preserve"> were antibody inconclusive due to the assay being drug sensitive limiting their conclusion</w:t>
      </w:r>
      <w:r w:rsidR="007542F1" w:rsidRPr="00922C73">
        <w:rPr>
          <w:rFonts w:ascii="Times New Roman" w:hAnsi="Times New Roman" w:cs="Times New Roman"/>
          <w:sz w:val="24"/>
          <w:szCs w:val="24"/>
          <w:shd w:val="clear" w:color="auto" w:fill="FFFFFF"/>
        </w:rPr>
        <w:t xml:space="preserve"> as those patients may also be antibody positive</w:t>
      </w:r>
      <w:r w:rsidR="00D42C26" w:rsidRPr="00922C73">
        <w:rPr>
          <w:rFonts w:ascii="Times New Roman" w:hAnsi="Times New Roman" w:cs="Times New Roman"/>
          <w:sz w:val="24"/>
          <w:szCs w:val="24"/>
          <w:shd w:val="clear" w:color="auto" w:fill="FFFFFF"/>
        </w:rPr>
        <w:t xml:space="preserve">. </w:t>
      </w:r>
      <w:r w:rsidR="009D41C6" w:rsidRPr="00922C73">
        <w:rPr>
          <w:rFonts w:ascii="Times New Roman" w:hAnsi="Times New Roman" w:cs="Times New Roman"/>
          <w:sz w:val="24"/>
          <w:szCs w:val="24"/>
          <w:shd w:val="clear" w:color="auto" w:fill="FFFFFF"/>
        </w:rPr>
        <w:t>More convincingly</w:t>
      </w:r>
      <w:r w:rsidR="003F46F3" w:rsidRPr="00922C73">
        <w:rPr>
          <w:rFonts w:ascii="Times New Roman" w:hAnsi="Times New Roman" w:cs="Times New Roman"/>
          <w:sz w:val="24"/>
          <w:szCs w:val="24"/>
          <w:shd w:val="clear" w:color="auto" w:fill="FFFFFF"/>
        </w:rPr>
        <w:t>,</w:t>
      </w:r>
      <w:r w:rsidR="009D41C6" w:rsidRPr="00922C73">
        <w:rPr>
          <w:rFonts w:ascii="Times New Roman" w:hAnsi="Times New Roman" w:cs="Times New Roman"/>
          <w:sz w:val="24"/>
          <w:szCs w:val="24"/>
          <w:shd w:val="clear" w:color="auto" w:fill="FFFFFF"/>
        </w:rPr>
        <w:t xml:space="preserve"> </w:t>
      </w:r>
      <w:r w:rsidR="003F46F3" w:rsidRPr="00922C73">
        <w:rPr>
          <w:rFonts w:ascii="Times New Roman" w:hAnsi="Times New Roman" w:cs="Times New Roman"/>
          <w:sz w:val="24"/>
          <w:szCs w:val="24"/>
          <w:shd w:val="clear" w:color="auto" w:fill="FFFFFF"/>
        </w:rPr>
        <w:t>a</w:t>
      </w:r>
      <w:r w:rsidR="004D6775" w:rsidRPr="00922C73">
        <w:rPr>
          <w:rFonts w:ascii="Times New Roman" w:hAnsi="Times New Roman" w:cs="Times New Roman"/>
          <w:sz w:val="24"/>
          <w:szCs w:val="24"/>
          <w:shd w:val="clear" w:color="auto" w:fill="FFFFFF"/>
        </w:rPr>
        <w:t xml:space="preserve"> large cohort study of over 300 </w:t>
      </w:r>
      <w:r w:rsidR="007F12BC" w:rsidRPr="00922C73">
        <w:rPr>
          <w:rFonts w:ascii="Times New Roman" w:hAnsi="Times New Roman" w:cs="Times New Roman"/>
          <w:sz w:val="24"/>
          <w:szCs w:val="24"/>
          <w:shd w:val="clear" w:color="auto" w:fill="FFFFFF"/>
        </w:rPr>
        <w:t xml:space="preserve">stable </w:t>
      </w:r>
      <w:r w:rsidR="004D6775" w:rsidRPr="00922C73">
        <w:rPr>
          <w:rFonts w:ascii="Times New Roman" w:hAnsi="Times New Roman" w:cs="Times New Roman"/>
          <w:sz w:val="24"/>
          <w:szCs w:val="24"/>
          <w:shd w:val="clear" w:color="auto" w:fill="FFFFFF"/>
        </w:rPr>
        <w:t xml:space="preserve">CD patients </w:t>
      </w:r>
      <w:r w:rsidR="007F12BC" w:rsidRPr="00922C73">
        <w:rPr>
          <w:rFonts w:ascii="Times New Roman" w:hAnsi="Times New Roman" w:cs="Times New Roman"/>
          <w:sz w:val="24"/>
          <w:szCs w:val="24"/>
          <w:shd w:val="clear" w:color="auto" w:fill="FFFFFF"/>
        </w:rPr>
        <w:t xml:space="preserve">who had received at least 5 </w:t>
      </w:r>
      <w:r w:rsidR="00DA06FE" w:rsidRPr="00922C73">
        <w:rPr>
          <w:rFonts w:ascii="Times New Roman" w:hAnsi="Times New Roman" w:cs="Times New Roman"/>
          <w:sz w:val="24"/>
          <w:szCs w:val="24"/>
          <w:shd w:val="clear" w:color="auto" w:fill="FFFFFF"/>
        </w:rPr>
        <w:t>consecutive</w:t>
      </w:r>
      <w:r w:rsidR="007F12BC" w:rsidRPr="00922C73">
        <w:rPr>
          <w:rFonts w:ascii="Times New Roman" w:hAnsi="Times New Roman" w:cs="Times New Roman"/>
          <w:sz w:val="24"/>
          <w:szCs w:val="24"/>
          <w:shd w:val="clear" w:color="auto" w:fill="FFFFFF"/>
        </w:rPr>
        <w:t xml:space="preserve"> infusions of infliximab found that ATI positive patients were less likely to have therapeutic infliximab </w:t>
      </w:r>
      <w:r w:rsidR="007F12BC" w:rsidRPr="00922C73">
        <w:rPr>
          <w:rFonts w:ascii="Times New Roman" w:hAnsi="Times New Roman" w:cs="Times New Roman"/>
          <w:sz w:val="24"/>
          <w:szCs w:val="24"/>
          <w:shd w:val="clear" w:color="auto" w:fill="FFFFFF"/>
        </w:rPr>
        <w:lastRenderedPageBreak/>
        <w:t>levels compared to those who were ATI negative</w:t>
      </w:r>
      <w:r w:rsidR="00DA06FE" w:rsidRPr="00922C73">
        <w:rPr>
          <w:rFonts w:ascii="Times New Roman" w:hAnsi="Times New Roman" w:cs="Times New Roman"/>
          <w:sz w:val="24"/>
          <w:szCs w:val="24"/>
          <w:shd w:val="clear" w:color="auto" w:fill="FFFFFF"/>
        </w:rPr>
        <w:t xml:space="preserve">: respectively </w:t>
      </w:r>
      <w:r w:rsidR="004D6775" w:rsidRPr="00922C73">
        <w:rPr>
          <w:rFonts w:ascii="Times New Roman" w:hAnsi="Times New Roman" w:cs="Times New Roman"/>
          <w:sz w:val="24"/>
          <w:szCs w:val="24"/>
          <w:shd w:val="clear" w:color="auto" w:fill="FFFFFF"/>
        </w:rPr>
        <w:t>17.5% vs. 77.3% at visit 1 and 13.8% vs. 75.6% at visit 3</w:t>
      </w:r>
      <w:r w:rsidR="007F12BC" w:rsidRPr="00922C73">
        <w:rPr>
          <w:rFonts w:ascii="Times New Roman" w:hAnsi="Times New Roman" w:cs="Times New Roman"/>
          <w:sz w:val="24"/>
          <w:szCs w:val="24"/>
          <w:shd w:val="clear" w:color="auto" w:fill="FFFFFF"/>
        </w:rPr>
        <w:t xml:space="preserve"> (8 weeks later)</w:t>
      </w:r>
      <w:r w:rsidR="004D6775" w:rsidRPr="00922C73">
        <w:rPr>
          <w:rFonts w:ascii="Times New Roman" w:hAnsi="Times New Roman" w:cs="Times New Roman"/>
          <w:sz w:val="24"/>
          <w:szCs w:val="24"/>
          <w:shd w:val="clear" w:color="auto" w:fill="FFFFFF"/>
        </w:rPr>
        <w:t>; </w:t>
      </w:r>
      <w:r w:rsidR="004D6775" w:rsidRPr="00922C73">
        <w:rPr>
          <w:rFonts w:ascii="Times New Roman" w:hAnsi="Times New Roman" w:cs="Times New Roman"/>
          <w:i/>
          <w:iCs/>
          <w:sz w:val="24"/>
          <w:szCs w:val="24"/>
          <w:shd w:val="clear" w:color="auto" w:fill="FFFFFF"/>
        </w:rPr>
        <w:t>P </w:t>
      </w:r>
      <w:r w:rsidR="004D6775" w:rsidRPr="00922C73">
        <w:rPr>
          <w:rFonts w:ascii="Times New Roman" w:hAnsi="Times New Roman" w:cs="Times New Roman"/>
          <w:sz w:val="24"/>
          <w:szCs w:val="24"/>
          <w:shd w:val="clear" w:color="auto" w:fill="FFFFFF"/>
        </w:rPr>
        <w:t>&lt;</w:t>
      </w:r>
      <w:r w:rsidR="004D6775" w:rsidRPr="00922C73">
        <w:rPr>
          <w:rFonts w:ascii="Times New Roman" w:hAnsi="Times New Roman" w:cs="Times New Roman"/>
          <w:i/>
          <w:iCs/>
          <w:sz w:val="24"/>
          <w:szCs w:val="24"/>
          <w:shd w:val="clear" w:color="auto" w:fill="FFFFFF"/>
        </w:rPr>
        <w:t> </w:t>
      </w:r>
      <w:r w:rsidR="004D6775" w:rsidRPr="00922C73">
        <w:rPr>
          <w:rFonts w:ascii="Times New Roman" w:hAnsi="Times New Roman" w:cs="Times New Roman"/>
          <w:sz w:val="24"/>
          <w:szCs w:val="24"/>
          <w:shd w:val="clear" w:color="auto" w:fill="FFFFFF"/>
        </w:rPr>
        <w:t>0.001 for both comparisons</w:t>
      </w:r>
      <w:r w:rsidR="00DA06FE" w:rsidRPr="00922C73">
        <w:rPr>
          <w:rFonts w:ascii="Times New Roman" w:hAnsi="Times New Roman" w:cs="Times New Roman"/>
          <w:sz w:val="24"/>
          <w:szCs w:val="24"/>
          <w:shd w:val="clear" w:color="auto" w:fill="FFFFFF"/>
        </w:rPr>
        <w:t xml:space="preserve"> </w:t>
      </w:r>
      <w:r w:rsidR="00DA06FE"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{"citationItems":[{"id":"ITEM-1","itemData":{"DOI":"10.1111/apt.12733","ISSN":"02692813","author":[{"dropping-particle":"","family":"Levesque","given":"B. G.","non-dropping-particle":"","parse-names":false,"suffix":""},{"dropping-particle":"","family":"Greenberg","given":"G. R.","non-dropping-particle":"","parse-names":false,"suffix":""},{"dropping-particle":"","family":"Zou","given":"G.","non-dropping-particle":"","parse-names":false,"suffix":""},{"dropping-particle":"","family":"Sandborn","given":"W. J.","non-dropping-particle":"","parse-names":false,"suffix":""},{"dropping-particle":"","family":"Singh","given":"S.","non-dropping-particle":"","parse-names":false,"suffix":""},{"dropping-particle":"","family":"Hauenstein","given":"S.","non-dropping-particle":"","parse-names":false,"suffix":""},{"dropping-particle":"","family":"Ohrmund","given":"L.","non-dropping-particle":"","parse-names":false,"suffix":""},{"dropping-particle":"","family":"Wong","given":"C. J.","non-dropping-particle":"","parse-names":false,"suffix":""},{"dropping-particle":"","family":"Stitt","given":"L. W.","non-dropping-particle":"","parse-names":false,"suffix":""},{"dropping-particle":"","family":"Shackelton","given":"L. M.","non-dropping-particle":"","parse-names":false,"suffix":""},{"dropping-particle":"","family":"King","given":"D.","non-dropping-particle":"","parse-names":false,"suffix":""},{"dropping-particle":"","family":"Lockton","given":"S.","non-dropping-particle":"","parse-names":false,"suffix":""},{"dropping-particle":"","family":"Ducharme","given":"J.","non-dropping-particle":"","parse-names":false,"suffix":""},{"dropping-particle":"","family":"Feagan","given":"B. G.","non-dropping-particle":"","parse-names":false,"suffix":""}],"container-title":"Alimentary Pharmacology &amp; Therapeutics","id":"ITEM-1","issue":"10","issued":{"date-parts":[["2014","5"]]},"page":"1126-1135","title":"A prospective cohort study to determine the relationship between serum infliximab concentration and efficacy in patients with luminal Crohn's disease","type":"article-journal","volume":"39"},"uris":["http://www.mendeley.com/documents/?uuid=85c896d9-4de8-4edc-98a9-7e86d67c70dc"]}],"mendeley":{"formattedCitation":"&lt;sup&gt;138&lt;/sup&gt;","plainTextFormattedCitation":"138","previouslyFormattedCitation":"&lt;sup&gt;138&lt;/sup&gt;"},"properties":{"noteIndex":0},"schema":"https://github.com/citation-style-language/schema/raw/master/csl-citation.json"}</w:instrText>
      </w:r>
      <w:r w:rsidR="00DA06FE"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138</w:t>
      </w:r>
      <w:r w:rsidR="00DA06FE" w:rsidRPr="00922C73">
        <w:rPr>
          <w:rFonts w:ascii="Times New Roman" w:hAnsi="Times New Roman" w:cs="Times New Roman"/>
          <w:sz w:val="24"/>
          <w:szCs w:val="24"/>
          <w:shd w:val="clear" w:color="auto" w:fill="FFFFFF"/>
        </w:rPr>
        <w:fldChar w:fldCharType="end"/>
      </w:r>
      <w:r w:rsidR="004D6775" w:rsidRPr="00922C73">
        <w:rPr>
          <w:rFonts w:ascii="Times New Roman" w:hAnsi="Times New Roman" w:cs="Times New Roman"/>
          <w:sz w:val="24"/>
          <w:szCs w:val="24"/>
          <w:shd w:val="clear" w:color="auto" w:fill="FFFFFF"/>
        </w:rPr>
        <w:t>.</w:t>
      </w:r>
      <w:r w:rsidR="007F12BC" w:rsidRPr="00922C73">
        <w:rPr>
          <w:rFonts w:ascii="Times New Roman" w:eastAsia="Times New Roman" w:hAnsi="Times New Roman" w:cs="Times New Roman"/>
          <w:sz w:val="24"/>
          <w:szCs w:val="24"/>
          <w:lang w:eastAsia="en-GB"/>
        </w:rPr>
        <w:t xml:space="preserve"> </w:t>
      </w:r>
      <w:r w:rsidR="007F12BC" w:rsidRPr="00922C73">
        <w:rPr>
          <w:rFonts w:ascii="Times New Roman" w:hAnsi="Times New Roman" w:cs="Times New Roman"/>
          <w:sz w:val="24"/>
          <w:szCs w:val="24"/>
          <w:shd w:val="clear" w:color="auto" w:fill="FFFFFF"/>
        </w:rPr>
        <w:t xml:space="preserve">Using a homogenous mobility shift assay with a pre-analytical acid dissociation </w:t>
      </w:r>
      <w:r w:rsidR="003B507C" w:rsidRPr="00922C73">
        <w:rPr>
          <w:rFonts w:ascii="Times New Roman" w:hAnsi="Times New Roman" w:cs="Times New Roman"/>
          <w:sz w:val="24"/>
          <w:szCs w:val="24"/>
          <w:shd w:val="clear" w:color="auto" w:fill="FFFFFF"/>
        </w:rPr>
        <w:t>to allow detection of ATI in the presence of infliximab,</w:t>
      </w:r>
      <w:r w:rsidR="007F12BC" w:rsidRPr="00922C73">
        <w:rPr>
          <w:rFonts w:ascii="Times New Roman" w:hAnsi="Times New Roman" w:cs="Times New Roman"/>
          <w:sz w:val="24"/>
          <w:szCs w:val="24"/>
          <w:shd w:val="clear" w:color="auto" w:fill="FFFFFF"/>
        </w:rPr>
        <w:t xml:space="preserve"> </w:t>
      </w:r>
      <w:r w:rsidR="003B507C" w:rsidRPr="00922C73">
        <w:rPr>
          <w:rFonts w:ascii="Times New Roman" w:hAnsi="Times New Roman" w:cs="Times New Roman"/>
          <w:sz w:val="24"/>
          <w:szCs w:val="24"/>
          <w:shd w:val="clear" w:color="auto" w:fill="FFFFFF"/>
        </w:rPr>
        <w:t>a</w:t>
      </w:r>
      <w:r w:rsidR="00171D5B" w:rsidRPr="00922C73">
        <w:rPr>
          <w:rFonts w:ascii="Times New Roman" w:hAnsi="Times New Roman" w:cs="Times New Roman"/>
          <w:sz w:val="24"/>
          <w:szCs w:val="24"/>
          <w:shd w:val="clear" w:color="auto" w:fill="FFFFFF"/>
        </w:rPr>
        <w:t xml:space="preserve">n observational study assessed </w:t>
      </w:r>
      <w:r w:rsidR="00476DD3" w:rsidRPr="00922C73">
        <w:rPr>
          <w:rFonts w:ascii="Times New Roman" w:hAnsi="Times New Roman" w:cs="Times New Roman"/>
          <w:sz w:val="24"/>
          <w:szCs w:val="24"/>
          <w:shd w:val="clear" w:color="auto" w:fill="FFFFFF"/>
        </w:rPr>
        <w:t xml:space="preserve">1487 trough serum samples from 483 CD </w:t>
      </w:r>
      <w:r w:rsidR="003B507C" w:rsidRPr="00922C73">
        <w:rPr>
          <w:rFonts w:ascii="Times New Roman" w:hAnsi="Times New Roman" w:cs="Times New Roman"/>
          <w:sz w:val="24"/>
          <w:szCs w:val="24"/>
          <w:shd w:val="clear" w:color="auto" w:fill="FFFFFF"/>
        </w:rPr>
        <w:t xml:space="preserve">patients on </w:t>
      </w:r>
      <w:r w:rsidR="00476DD3" w:rsidRPr="00922C73">
        <w:rPr>
          <w:rFonts w:ascii="Times New Roman" w:hAnsi="Times New Roman" w:cs="Times New Roman"/>
          <w:sz w:val="24"/>
          <w:szCs w:val="24"/>
          <w:shd w:val="clear" w:color="auto" w:fill="FFFFFF"/>
        </w:rPr>
        <w:t xml:space="preserve">maintenance </w:t>
      </w:r>
      <w:r w:rsidR="007F12BC" w:rsidRPr="00922C73">
        <w:rPr>
          <w:rFonts w:ascii="Times New Roman" w:hAnsi="Times New Roman" w:cs="Times New Roman"/>
          <w:sz w:val="24"/>
          <w:szCs w:val="24"/>
          <w:shd w:val="clear" w:color="auto" w:fill="FFFFFF"/>
        </w:rPr>
        <w:t>infliximab</w:t>
      </w:r>
      <w:r w:rsidR="00476DD3" w:rsidRPr="00922C73">
        <w:rPr>
          <w:rFonts w:ascii="Times New Roman" w:hAnsi="Times New Roman" w:cs="Times New Roman"/>
          <w:sz w:val="24"/>
          <w:szCs w:val="24"/>
          <w:shd w:val="clear" w:color="auto" w:fill="FFFFFF"/>
        </w:rPr>
        <w:t xml:space="preserve"> who had previously participated </w:t>
      </w:r>
      <w:r w:rsidR="003B507C" w:rsidRPr="00922C73">
        <w:rPr>
          <w:rFonts w:ascii="Times New Roman" w:hAnsi="Times New Roman" w:cs="Times New Roman"/>
          <w:sz w:val="24"/>
          <w:szCs w:val="24"/>
          <w:shd w:val="clear" w:color="auto" w:fill="FFFFFF"/>
        </w:rPr>
        <w:t xml:space="preserve">in </w:t>
      </w:r>
      <w:r w:rsidR="00C714FA" w:rsidRPr="00922C73">
        <w:rPr>
          <w:rFonts w:ascii="Times New Roman" w:hAnsi="Times New Roman" w:cs="Times New Roman"/>
          <w:sz w:val="24"/>
          <w:szCs w:val="24"/>
          <w:shd w:val="clear" w:color="auto" w:fill="FFFFFF"/>
        </w:rPr>
        <w:t xml:space="preserve">four previous studies. Samples that were positive for ATI had a significantly lower likelihood of having detectable </w:t>
      </w:r>
      <w:r w:rsidR="0091042E" w:rsidRPr="00922C73">
        <w:rPr>
          <w:rFonts w:ascii="Times New Roman" w:hAnsi="Times New Roman" w:cs="Times New Roman"/>
          <w:sz w:val="24"/>
          <w:szCs w:val="24"/>
          <w:shd w:val="clear" w:color="auto" w:fill="FFFFFF"/>
        </w:rPr>
        <w:t>infliximab</w:t>
      </w:r>
      <w:r w:rsidR="00C714FA" w:rsidRPr="00922C73">
        <w:rPr>
          <w:rFonts w:ascii="Times New Roman" w:hAnsi="Times New Roman" w:cs="Times New Roman"/>
          <w:sz w:val="24"/>
          <w:szCs w:val="24"/>
          <w:shd w:val="clear" w:color="auto" w:fill="FFFFFF"/>
        </w:rPr>
        <w:t xml:space="preserve"> compared with ATI-negative samples (OR 0.041; 95% CI 0.030</w:t>
      </w:r>
      <w:r w:rsidR="00244E0A" w:rsidRPr="00922C73">
        <w:rPr>
          <w:rFonts w:ascii="Times New Roman" w:hAnsi="Times New Roman" w:cs="Times New Roman"/>
          <w:sz w:val="24"/>
          <w:szCs w:val="24"/>
          <w:shd w:val="clear" w:color="auto" w:fill="FFFFFF"/>
        </w:rPr>
        <w:t>-</w:t>
      </w:r>
      <w:r w:rsidR="00C714FA" w:rsidRPr="00922C73">
        <w:rPr>
          <w:rFonts w:ascii="Times New Roman" w:hAnsi="Times New Roman" w:cs="Times New Roman"/>
          <w:sz w:val="24"/>
          <w:szCs w:val="24"/>
          <w:shd w:val="clear" w:color="auto" w:fill="FFFFFF"/>
        </w:rPr>
        <w:t>0.056; p&lt;0.001).</w:t>
      </w:r>
      <w:r w:rsidR="003B507C" w:rsidRPr="00922C73">
        <w:rPr>
          <w:rFonts w:ascii="Times New Roman" w:hAnsi="Times New Roman" w:cs="Times New Roman"/>
          <w:sz w:val="24"/>
          <w:szCs w:val="24"/>
          <w:shd w:val="clear" w:color="auto" w:fill="FFFFFF"/>
        </w:rPr>
        <w:t xml:space="preserve"> </w:t>
      </w:r>
      <w:r w:rsidR="00244E0A" w:rsidRPr="00922C73">
        <w:rPr>
          <w:rFonts w:ascii="Times New Roman" w:hAnsi="Times New Roman" w:cs="Times New Roman"/>
          <w:sz w:val="24"/>
          <w:szCs w:val="24"/>
          <w:shd w:val="clear" w:color="auto" w:fill="FFFFFF"/>
        </w:rPr>
        <w:t>T</w:t>
      </w:r>
      <w:r w:rsidR="003B507C" w:rsidRPr="00922C73">
        <w:rPr>
          <w:rFonts w:ascii="Times New Roman" w:hAnsi="Times New Roman" w:cs="Times New Roman"/>
          <w:sz w:val="24"/>
          <w:szCs w:val="24"/>
          <w:shd w:val="clear" w:color="auto" w:fill="FFFFFF"/>
        </w:rPr>
        <w:t xml:space="preserve">hese studies suggest </w:t>
      </w:r>
      <w:r w:rsidR="00244E0A" w:rsidRPr="00922C73">
        <w:rPr>
          <w:rFonts w:ascii="Times New Roman" w:hAnsi="Times New Roman" w:cs="Times New Roman"/>
          <w:sz w:val="24"/>
          <w:szCs w:val="24"/>
          <w:shd w:val="clear" w:color="auto" w:fill="FFFFFF"/>
        </w:rPr>
        <w:t>an</w:t>
      </w:r>
      <w:r w:rsidR="003B507C" w:rsidRPr="00922C73">
        <w:rPr>
          <w:rFonts w:ascii="Times New Roman" w:hAnsi="Times New Roman" w:cs="Times New Roman"/>
          <w:sz w:val="24"/>
          <w:szCs w:val="24"/>
          <w:shd w:val="clear" w:color="auto" w:fill="FFFFFF"/>
        </w:rPr>
        <w:t xml:space="preserve"> association between ATI and </w:t>
      </w:r>
      <w:r w:rsidR="00221CD5" w:rsidRPr="00922C73">
        <w:rPr>
          <w:rFonts w:ascii="Times New Roman" w:hAnsi="Times New Roman" w:cs="Times New Roman"/>
          <w:sz w:val="24"/>
          <w:szCs w:val="24"/>
          <w:shd w:val="clear" w:color="auto" w:fill="FFFFFF"/>
        </w:rPr>
        <w:t xml:space="preserve">low </w:t>
      </w:r>
      <w:r w:rsidR="003B507C" w:rsidRPr="00922C73">
        <w:rPr>
          <w:rFonts w:ascii="Times New Roman" w:hAnsi="Times New Roman" w:cs="Times New Roman"/>
          <w:sz w:val="24"/>
          <w:szCs w:val="24"/>
          <w:shd w:val="clear" w:color="auto" w:fill="FFFFFF"/>
        </w:rPr>
        <w:t>infliximab trough levels</w:t>
      </w:r>
      <w:r w:rsidR="00CE324E" w:rsidRPr="00922C73">
        <w:rPr>
          <w:rFonts w:ascii="Times New Roman" w:eastAsia="Times New Roman" w:hAnsi="Times New Roman" w:cs="Times New Roman"/>
          <w:sz w:val="24"/>
          <w:szCs w:val="24"/>
          <w:lang w:eastAsia="en-GB"/>
        </w:rPr>
        <w:t xml:space="preserve"> but are </w:t>
      </w:r>
      <w:r w:rsidR="003B507C" w:rsidRPr="00922C73">
        <w:rPr>
          <w:rFonts w:ascii="Times New Roman" w:eastAsia="Times New Roman" w:hAnsi="Times New Roman" w:cs="Times New Roman"/>
          <w:sz w:val="24"/>
          <w:szCs w:val="24"/>
          <w:lang w:eastAsia="en-GB"/>
        </w:rPr>
        <w:t>limited by the</w:t>
      </w:r>
      <w:r w:rsidR="00433590" w:rsidRPr="00922C73">
        <w:rPr>
          <w:rFonts w:ascii="Times New Roman" w:eastAsia="Times New Roman" w:hAnsi="Times New Roman" w:cs="Times New Roman"/>
          <w:sz w:val="24"/>
          <w:szCs w:val="24"/>
          <w:lang w:eastAsia="en-GB"/>
        </w:rPr>
        <w:t xml:space="preserve"> </w:t>
      </w:r>
      <w:r w:rsidR="003B507C" w:rsidRPr="00922C73">
        <w:rPr>
          <w:rFonts w:ascii="Times New Roman" w:eastAsia="Times New Roman" w:hAnsi="Times New Roman" w:cs="Times New Roman"/>
          <w:sz w:val="24"/>
          <w:szCs w:val="24"/>
          <w:lang w:eastAsia="en-GB"/>
        </w:rPr>
        <w:t>use of drug sensitive assays</w:t>
      </w:r>
      <w:r w:rsidR="00221CD5" w:rsidRPr="00922C73">
        <w:rPr>
          <w:rFonts w:ascii="Times New Roman" w:eastAsia="Times New Roman" w:hAnsi="Times New Roman" w:cs="Times New Roman"/>
          <w:sz w:val="24"/>
          <w:szCs w:val="24"/>
          <w:lang w:eastAsia="en-GB"/>
        </w:rPr>
        <w:t xml:space="preserve"> and timing of TDM</w:t>
      </w:r>
      <w:r w:rsidR="00433590" w:rsidRPr="00922C73">
        <w:rPr>
          <w:rFonts w:ascii="Times New Roman" w:eastAsia="Times New Roman" w:hAnsi="Times New Roman" w:cs="Times New Roman"/>
          <w:sz w:val="24"/>
          <w:szCs w:val="24"/>
          <w:lang w:eastAsia="en-GB"/>
        </w:rPr>
        <w:t xml:space="preserve"> (often performed just once or twice)</w:t>
      </w:r>
      <w:r w:rsidR="00221CD5" w:rsidRPr="00922C73">
        <w:rPr>
          <w:rFonts w:ascii="Times New Roman" w:eastAsia="Times New Roman" w:hAnsi="Times New Roman" w:cs="Times New Roman"/>
          <w:sz w:val="24"/>
          <w:szCs w:val="24"/>
          <w:lang w:eastAsia="en-GB"/>
        </w:rPr>
        <w:t>,</w:t>
      </w:r>
      <w:r w:rsidR="003B507C" w:rsidRPr="00922C73">
        <w:rPr>
          <w:rFonts w:ascii="Times New Roman" w:eastAsia="Times New Roman" w:hAnsi="Times New Roman" w:cs="Times New Roman"/>
          <w:sz w:val="24"/>
          <w:szCs w:val="24"/>
          <w:lang w:eastAsia="en-GB"/>
        </w:rPr>
        <w:t xml:space="preserve"> </w:t>
      </w:r>
      <w:r w:rsidR="00221CD5" w:rsidRPr="00922C73">
        <w:rPr>
          <w:rFonts w:ascii="Times New Roman" w:eastAsia="Times New Roman" w:hAnsi="Times New Roman" w:cs="Times New Roman"/>
          <w:sz w:val="24"/>
          <w:szCs w:val="24"/>
          <w:lang w:eastAsia="en-GB"/>
        </w:rPr>
        <w:t>both</w:t>
      </w:r>
      <w:r w:rsidR="003B507C" w:rsidRPr="00922C73">
        <w:rPr>
          <w:rFonts w:ascii="Times New Roman" w:eastAsia="Times New Roman" w:hAnsi="Times New Roman" w:cs="Times New Roman"/>
          <w:sz w:val="24"/>
          <w:szCs w:val="24"/>
          <w:lang w:eastAsia="en-GB"/>
        </w:rPr>
        <w:t xml:space="preserve"> underestimating the prevalence of ATI positive patients, and therefore making true correlation to infliximab trough levels difficult.</w:t>
      </w:r>
    </w:p>
    <w:p w14:paraId="0AC86D89" w14:textId="58747D2E" w:rsidR="006C6B7F" w:rsidRPr="00922C73" w:rsidRDefault="006C6B7F" w:rsidP="000D6B12">
      <w:pPr>
        <w:spacing w:line="480" w:lineRule="auto"/>
        <w:rPr>
          <w:rFonts w:ascii="Times New Roman" w:hAnsi="Times New Roman" w:cs="Times New Roman"/>
          <w:sz w:val="24"/>
          <w:szCs w:val="24"/>
        </w:rPr>
      </w:pPr>
    </w:p>
    <w:p w14:paraId="1E6D4AAB" w14:textId="7AEAB1C0" w:rsidR="005B6FA5" w:rsidRPr="00922C73" w:rsidRDefault="00F40B8F" w:rsidP="00F40B8F">
      <w:pPr>
        <w:pStyle w:val="Heading3"/>
        <w:spacing w:line="480" w:lineRule="auto"/>
        <w:rPr>
          <w:rFonts w:ascii="Times New Roman" w:hAnsi="Times New Roman" w:cs="Times New Roman"/>
          <w:b/>
          <w:bCs/>
        </w:rPr>
      </w:pPr>
      <w:bookmarkStart w:id="56" w:name="_Toc151020466"/>
      <w:r w:rsidRPr="00922C73">
        <w:rPr>
          <w:rFonts w:ascii="Times New Roman" w:hAnsi="Times New Roman" w:cs="Times New Roman"/>
          <w:b/>
          <w:bCs/>
        </w:rPr>
        <w:t>1.</w:t>
      </w:r>
      <w:r w:rsidR="002D7BEB" w:rsidRPr="00922C73">
        <w:rPr>
          <w:rFonts w:ascii="Times New Roman" w:hAnsi="Times New Roman" w:cs="Times New Roman"/>
          <w:b/>
          <w:bCs/>
        </w:rPr>
        <w:t>3.</w:t>
      </w:r>
      <w:r w:rsidR="00F64D9D" w:rsidRPr="00922C73">
        <w:rPr>
          <w:rFonts w:ascii="Times New Roman" w:hAnsi="Times New Roman" w:cs="Times New Roman"/>
          <w:b/>
          <w:bCs/>
        </w:rPr>
        <w:t>4</w:t>
      </w:r>
      <w:r w:rsidR="002D7BEB" w:rsidRPr="00922C73">
        <w:rPr>
          <w:rFonts w:ascii="Times New Roman" w:hAnsi="Times New Roman" w:cs="Times New Roman"/>
          <w:b/>
          <w:bCs/>
        </w:rPr>
        <w:t xml:space="preserve"> </w:t>
      </w:r>
      <w:r w:rsidR="007F31D4" w:rsidRPr="00922C73">
        <w:rPr>
          <w:rFonts w:ascii="Times New Roman" w:hAnsi="Times New Roman" w:cs="Times New Roman"/>
          <w:b/>
          <w:bCs/>
        </w:rPr>
        <w:t>The association between ATI and c</w:t>
      </w:r>
      <w:r w:rsidR="005B35BA" w:rsidRPr="00922C73">
        <w:rPr>
          <w:rFonts w:ascii="Times New Roman" w:hAnsi="Times New Roman" w:cs="Times New Roman"/>
          <w:b/>
          <w:bCs/>
        </w:rPr>
        <w:t>linical response</w:t>
      </w:r>
      <w:bookmarkEnd w:id="56"/>
      <w:r w:rsidR="005B35BA" w:rsidRPr="00922C73">
        <w:rPr>
          <w:rFonts w:ascii="Times New Roman" w:hAnsi="Times New Roman" w:cs="Times New Roman"/>
          <w:b/>
          <w:bCs/>
        </w:rPr>
        <w:t xml:space="preserve"> </w:t>
      </w:r>
      <w:r w:rsidR="00A273C1" w:rsidRPr="00922C73">
        <w:rPr>
          <w:rFonts w:ascii="Times New Roman" w:hAnsi="Times New Roman" w:cs="Times New Roman"/>
          <w:b/>
          <w:bCs/>
        </w:rPr>
        <w:t xml:space="preserve"> </w:t>
      </w:r>
    </w:p>
    <w:p w14:paraId="4D3A9422" w14:textId="4AEA5FDF" w:rsidR="00336524" w:rsidRPr="00922C73" w:rsidRDefault="00F763AE" w:rsidP="00700BBF">
      <w:pPr>
        <w:autoSpaceDE w:val="0"/>
        <w:autoSpaceDN w:val="0"/>
        <w:adjustRightInd w:val="0"/>
        <w:spacing w:after="0" w:line="480" w:lineRule="auto"/>
        <w:jc w:val="left"/>
        <w:rPr>
          <w:rFonts w:ascii="Times New Roman" w:hAnsi="Times New Roman" w:cs="Times New Roman"/>
          <w:kern w:val="24"/>
          <w:sz w:val="24"/>
          <w:szCs w:val="24"/>
          <w:lang w:eastAsia="en-GB"/>
        </w:rPr>
      </w:pPr>
      <w:r w:rsidRPr="00922C73">
        <w:rPr>
          <w:rFonts w:ascii="Times New Roman" w:hAnsi="Times New Roman" w:cs="Times New Roman"/>
          <w:kern w:val="24"/>
          <w:sz w:val="24"/>
          <w:szCs w:val="24"/>
          <w:lang w:eastAsia="en-GB"/>
        </w:rPr>
        <w:t xml:space="preserve">Different treatment targets exist </w:t>
      </w:r>
      <w:r w:rsidR="00B1602D" w:rsidRPr="00922C73">
        <w:rPr>
          <w:rFonts w:ascii="Times New Roman" w:hAnsi="Times New Roman" w:cs="Times New Roman"/>
          <w:kern w:val="24"/>
          <w:sz w:val="24"/>
          <w:szCs w:val="24"/>
          <w:lang w:eastAsia="en-GB"/>
        </w:rPr>
        <w:t>in IBD</w:t>
      </w:r>
      <w:r w:rsidR="00EC1020" w:rsidRPr="00922C73">
        <w:rPr>
          <w:rFonts w:ascii="Times New Roman" w:hAnsi="Times New Roman" w:cs="Times New Roman"/>
          <w:kern w:val="24"/>
          <w:sz w:val="24"/>
          <w:szCs w:val="24"/>
          <w:lang w:eastAsia="en-GB"/>
        </w:rPr>
        <w:t>.</w:t>
      </w:r>
      <w:r w:rsidR="00B1602D" w:rsidRPr="00922C73">
        <w:rPr>
          <w:rFonts w:ascii="Times New Roman" w:hAnsi="Times New Roman" w:cs="Times New Roman"/>
          <w:kern w:val="24"/>
          <w:sz w:val="24"/>
          <w:szCs w:val="24"/>
          <w:lang w:eastAsia="en-GB"/>
        </w:rPr>
        <w:t xml:space="preserve"> </w:t>
      </w:r>
      <w:r w:rsidR="00C31D45" w:rsidRPr="00922C73">
        <w:rPr>
          <w:rFonts w:ascii="Times New Roman" w:hAnsi="Times New Roman" w:cs="Times New Roman"/>
          <w:kern w:val="24"/>
          <w:sz w:val="24"/>
          <w:szCs w:val="24"/>
          <w:lang w:eastAsia="en-GB"/>
        </w:rPr>
        <w:t>C</w:t>
      </w:r>
      <w:r w:rsidR="00EC1020" w:rsidRPr="00922C73">
        <w:rPr>
          <w:rFonts w:ascii="Times New Roman" w:hAnsi="Times New Roman" w:cs="Times New Roman"/>
          <w:kern w:val="24"/>
          <w:sz w:val="24"/>
          <w:szCs w:val="24"/>
          <w:lang w:eastAsia="en-GB"/>
        </w:rPr>
        <w:t xml:space="preserve">linical </w:t>
      </w:r>
      <w:r w:rsidR="00C9718C" w:rsidRPr="00922C73">
        <w:rPr>
          <w:rFonts w:ascii="Times New Roman" w:hAnsi="Times New Roman" w:cs="Times New Roman"/>
          <w:kern w:val="24"/>
          <w:sz w:val="24"/>
          <w:szCs w:val="24"/>
          <w:lang w:eastAsia="en-GB"/>
        </w:rPr>
        <w:t>targets</w:t>
      </w:r>
      <w:r w:rsidR="00EC1020" w:rsidRPr="00922C73">
        <w:rPr>
          <w:rFonts w:ascii="Times New Roman" w:hAnsi="Times New Roman" w:cs="Times New Roman"/>
          <w:kern w:val="24"/>
          <w:sz w:val="24"/>
          <w:szCs w:val="24"/>
          <w:lang w:eastAsia="en-GB"/>
        </w:rPr>
        <w:t xml:space="preserve"> </w:t>
      </w:r>
      <w:r w:rsidR="00652B31" w:rsidRPr="00922C73">
        <w:rPr>
          <w:rFonts w:ascii="Times New Roman" w:hAnsi="Times New Roman" w:cs="Times New Roman"/>
          <w:kern w:val="24"/>
          <w:sz w:val="24"/>
          <w:szCs w:val="24"/>
          <w:lang w:eastAsia="en-GB"/>
        </w:rPr>
        <w:t>are</w:t>
      </w:r>
      <w:r w:rsidR="00C9718C" w:rsidRPr="00922C73">
        <w:rPr>
          <w:rFonts w:ascii="Times New Roman" w:hAnsi="Times New Roman" w:cs="Times New Roman"/>
          <w:kern w:val="24"/>
          <w:sz w:val="24"/>
          <w:szCs w:val="24"/>
          <w:lang w:eastAsia="en-GB"/>
        </w:rPr>
        <w:t xml:space="preserve"> often determined</w:t>
      </w:r>
      <w:r w:rsidR="00C31D45" w:rsidRPr="00922C73">
        <w:rPr>
          <w:rFonts w:ascii="Times New Roman" w:hAnsi="Times New Roman" w:cs="Times New Roman"/>
          <w:kern w:val="24"/>
          <w:sz w:val="24"/>
          <w:szCs w:val="24"/>
          <w:lang w:eastAsia="en-GB"/>
        </w:rPr>
        <w:t xml:space="preserve"> by </w:t>
      </w:r>
      <w:r w:rsidR="00DC38EA" w:rsidRPr="00922C73">
        <w:rPr>
          <w:rFonts w:ascii="Times New Roman" w:hAnsi="Times New Roman" w:cs="Times New Roman"/>
          <w:kern w:val="24"/>
          <w:sz w:val="24"/>
          <w:szCs w:val="24"/>
          <w:lang w:eastAsia="en-GB"/>
        </w:rPr>
        <w:t>clinician assessment or with the use of disease activity</w:t>
      </w:r>
      <w:r w:rsidR="00C31D45" w:rsidRPr="00922C73">
        <w:rPr>
          <w:rFonts w:ascii="Times New Roman" w:hAnsi="Times New Roman" w:cs="Times New Roman"/>
          <w:kern w:val="24"/>
          <w:sz w:val="24"/>
          <w:szCs w:val="24"/>
          <w:lang w:eastAsia="en-GB"/>
        </w:rPr>
        <w:t xml:space="preserve"> score</w:t>
      </w:r>
      <w:r w:rsidR="00DC38EA" w:rsidRPr="00922C73">
        <w:rPr>
          <w:rFonts w:ascii="Times New Roman" w:hAnsi="Times New Roman" w:cs="Times New Roman"/>
          <w:kern w:val="24"/>
          <w:sz w:val="24"/>
          <w:szCs w:val="24"/>
          <w:lang w:eastAsia="en-GB"/>
        </w:rPr>
        <w:t xml:space="preserve">s </w:t>
      </w:r>
      <w:r w:rsidR="00C9718C" w:rsidRPr="00922C73">
        <w:rPr>
          <w:rFonts w:ascii="Times New Roman" w:hAnsi="Times New Roman" w:cs="Times New Roman"/>
          <w:kern w:val="24"/>
          <w:sz w:val="24"/>
          <w:szCs w:val="24"/>
          <w:lang w:eastAsia="en-GB"/>
        </w:rPr>
        <w:t>of which</w:t>
      </w:r>
      <w:r w:rsidR="00156B2F" w:rsidRPr="00922C73">
        <w:rPr>
          <w:rFonts w:ascii="Times New Roman" w:hAnsi="Times New Roman" w:cs="Times New Roman"/>
          <w:kern w:val="24"/>
          <w:sz w:val="24"/>
          <w:szCs w:val="24"/>
          <w:lang w:eastAsia="en-GB"/>
        </w:rPr>
        <w:t>,</w:t>
      </w:r>
      <w:r w:rsidR="00C9718C" w:rsidRPr="00922C73">
        <w:rPr>
          <w:rFonts w:ascii="Times New Roman" w:hAnsi="Times New Roman" w:cs="Times New Roman"/>
          <w:kern w:val="24"/>
          <w:sz w:val="24"/>
          <w:szCs w:val="24"/>
          <w:lang w:eastAsia="en-GB"/>
        </w:rPr>
        <w:t xml:space="preserve"> m</w:t>
      </w:r>
      <w:r w:rsidR="008B5018" w:rsidRPr="00922C73">
        <w:rPr>
          <w:rFonts w:ascii="Times New Roman" w:hAnsi="Times New Roman" w:cs="Times New Roman"/>
          <w:kern w:val="24"/>
          <w:sz w:val="24"/>
          <w:szCs w:val="24"/>
          <w:lang w:eastAsia="en-GB"/>
        </w:rPr>
        <w:t xml:space="preserve">ultiple scoring systems </w:t>
      </w:r>
      <w:r w:rsidR="00C9718C" w:rsidRPr="00922C73">
        <w:rPr>
          <w:rFonts w:ascii="Times New Roman" w:hAnsi="Times New Roman" w:cs="Times New Roman"/>
          <w:kern w:val="24"/>
          <w:sz w:val="24"/>
          <w:szCs w:val="24"/>
          <w:lang w:eastAsia="en-GB"/>
        </w:rPr>
        <w:t>exist.</w:t>
      </w:r>
      <w:r w:rsidR="008B5018" w:rsidRPr="00922C73">
        <w:rPr>
          <w:rFonts w:ascii="Times New Roman" w:hAnsi="Times New Roman" w:cs="Times New Roman"/>
          <w:kern w:val="24"/>
          <w:sz w:val="24"/>
          <w:szCs w:val="24"/>
          <w:lang w:eastAsia="en-GB"/>
        </w:rPr>
        <w:t xml:space="preserve"> </w:t>
      </w:r>
      <w:r w:rsidR="00C9718C" w:rsidRPr="00922C73">
        <w:rPr>
          <w:rFonts w:ascii="Times New Roman" w:hAnsi="Times New Roman" w:cs="Times New Roman"/>
          <w:kern w:val="24"/>
          <w:sz w:val="24"/>
          <w:szCs w:val="24"/>
          <w:lang w:eastAsia="en-GB"/>
        </w:rPr>
        <w:t>C</w:t>
      </w:r>
      <w:r w:rsidR="008B5018" w:rsidRPr="00922C73">
        <w:rPr>
          <w:rFonts w:ascii="Times New Roman" w:hAnsi="Times New Roman" w:cs="Times New Roman"/>
          <w:kern w:val="24"/>
          <w:sz w:val="24"/>
          <w:szCs w:val="24"/>
          <w:lang w:eastAsia="en-GB"/>
        </w:rPr>
        <w:t>ommonly u</w:t>
      </w:r>
      <w:r w:rsidR="00176E3F" w:rsidRPr="00922C73">
        <w:rPr>
          <w:rFonts w:ascii="Times New Roman" w:hAnsi="Times New Roman" w:cs="Times New Roman"/>
          <w:kern w:val="24"/>
          <w:sz w:val="24"/>
          <w:szCs w:val="24"/>
          <w:lang w:eastAsia="en-GB"/>
        </w:rPr>
        <w:t>sed scor</w:t>
      </w:r>
      <w:r w:rsidR="00DC38EA" w:rsidRPr="00922C73">
        <w:rPr>
          <w:rFonts w:ascii="Times New Roman" w:hAnsi="Times New Roman" w:cs="Times New Roman"/>
          <w:kern w:val="24"/>
          <w:sz w:val="24"/>
          <w:szCs w:val="24"/>
          <w:lang w:eastAsia="en-GB"/>
        </w:rPr>
        <w:t>ing systems</w:t>
      </w:r>
      <w:r w:rsidR="00176E3F" w:rsidRPr="00922C73">
        <w:rPr>
          <w:rFonts w:ascii="Times New Roman" w:hAnsi="Times New Roman" w:cs="Times New Roman"/>
          <w:kern w:val="24"/>
          <w:sz w:val="24"/>
          <w:szCs w:val="24"/>
          <w:lang w:eastAsia="en-GB"/>
        </w:rPr>
        <w:t xml:space="preserve"> </w:t>
      </w:r>
      <w:r w:rsidR="008B5018" w:rsidRPr="00922C73">
        <w:rPr>
          <w:rFonts w:ascii="Times New Roman" w:hAnsi="Times New Roman" w:cs="Times New Roman"/>
          <w:kern w:val="24"/>
          <w:sz w:val="24"/>
          <w:szCs w:val="24"/>
          <w:lang w:eastAsia="en-GB"/>
        </w:rPr>
        <w:t>are the</w:t>
      </w:r>
      <w:r w:rsidR="00C31D45" w:rsidRPr="00922C73">
        <w:rPr>
          <w:rFonts w:ascii="Times New Roman" w:hAnsi="Times New Roman" w:cs="Times New Roman"/>
          <w:kern w:val="24"/>
          <w:sz w:val="24"/>
          <w:szCs w:val="24"/>
          <w:lang w:eastAsia="en-GB"/>
        </w:rPr>
        <w:t xml:space="preserve"> Harvey Bradshaw Index and Crohn’s </w:t>
      </w:r>
      <w:r w:rsidR="008B5018" w:rsidRPr="00922C73">
        <w:rPr>
          <w:rFonts w:ascii="Times New Roman" w:hAnsi="Times New Roman" w:cs="Times New Roman"/>
          <w:kern w:val="24"/>
          <w:sz w:val="24"/>
          <w:szCs w:val="24"/>
          <w:lang w:eastAsia="en-GB"/>
        </w:rPr>
        <w:t>D</w:t>
      </w:r>
      <w:r w:rsidR="00C31D45" w:rsidRPr="00922C73">
        <w:rPr>
          <w:rFonts w:ascii="Times New Roman" w:hAnsi="Times New Roman" w:cs="Times New Roman"/>
          <w:kern w:val="24"/>
          <w:sz w:val="24"/>
          <w:szCs w:val="24"/>
          <w:lang w:eastAsia="en-GB"/>
        </w:rPr>
        <w:t xml:space="preserve">isease </w:t>
      </w:r>
      <w:r w:rsidR="008B5018" w:rsidRPr="00922C73">
        <w:rPr>
          <w:rFonts w:ascii="Times New Roman" w:hAnsi="Times New Roman" w:cs="Times New Roman"/>
          <w:kern w:val="24"/>
          <w:sz w:val="24"/>
          <w:szCs w:val="24"/>
          <w:lang w:eastAsia="en-GB"/>
        </w:rPr>
        <w:t>A</w:t>
      </w:r>
      <w:r w:rsidR="00C31D45" w:rsidRPr="00922C73">
        <w:rPr>
          <w:rFonts w:ascii="Times New Roman" w:hAnsi="Times New Roman" w:cs="Times New Roman"/>
          <w:kern w:val="24"/>
          <w:sz w:val="24"/>
          <w:szCs w:val="24"/>
          <w:lang w:eastAsia="en-GB"/>
        </w:rPr>
        <w:t xml:space="preserve">ctivity </w:t>
      </w:r>
      <w:r w:rsidR="008B5018" w:rsidRPr="00922C73">
        <w:rPr>
          <w:rFonts w:ascii="Times New Roman" w:hAnsi="Times New Roman" w:cs="Times New Roman"/>
          <w:kern w:val="24"/>
          <w:sz w:val="24"/>
          <w:szCs w:val="24"/>
          <w:lang w:eastAsia="en-GB"/>
        </w:rPr>
        <w:t>I</w:t>
      </w:r>
      <w:r w:rsidR="00C31D45" w:rsidRPr="00922C73">
        <w:rPr>
          <w:rFonts w:ascii="Times New Roman" w:hAnsi="Times New Roman" w:cs="Times New Roman"/>
          <w:kern w:val="24"/>
          <w:sz w:val="24"/>
          <w:szCs w:val="24"/>
          <w:lang w:eastAsia="en-GB"/>
        </w:rPr>
        <w:t xml:space="preserve">ndex </w:t>
      </w:r>
      <w:r w:rsidR="008B5018" w:rsidRPr="00922C73">
        <w:rPr>
          <w:rFonts w:ascii="Times New Roman" w:hAnsi="Times New Roman" w:cs="Times New Roman"/>
          <w:kern w:val="24"/>
          <w:sz w:val="24"/>
          <w:szCs w:val="24"/>
          <w:lang w:eastAsia="en-GB"/>
        </w:rPr>
        <w:t>for</w:t>
      </w:r>
      <w:r w:rsidR="00173E54" w:rsidRPr="00922C73">
        <w:rPr>
          <w:rFonts w:ascii="Times New Roman" w:hAnsi="Times New Roman" w:cs="Times New Roman"/>
          <w:kern w:val="24"/>
          <w:sz w:val="24"/>
          <w:szCs w:val="24"/>
          <w:lang w:eastAsia="en-GB"/>
        </w:rPr>
        <w:t xml:space="preserve"> CD and Mayo score </w:t>
      </w:r>
      <w:r w:rsidR="00066378" w:rsidRPr="00922C73">
        <w:rPr>
          <w:rFonts w:ascii="Times New Roman" w:hAnsi="Times New Roman" w:cs="Times New Roman"/>
          <w:kern w:val="24"/>
          <w:sz w:val="24"/>
          <w:szCs w:val="24"/>
          <w:lang w:eastAsia="en-GB"/>
        </w:rPr>
        <w:t>and Simple Clinical Colitis Acti</w:t>
      </w:r>
      <w:r w:rsidR="008936A7" w:rsidRPr="00922C73">
        <w:rPr>
          <w:rFonts w:ascii="Times New Roman" w:hAnsi="Times New Roman" w:cs="Times New Roman"/>
          <w:kern w:val="24"/>
          <w:sz w:val="24"/>
          <w:szCs w:val="24"/>
          <w:lang w:eastAsia="en-GB"/>
        </w:rPr>
        <w:t>vit</w:t>
      </w:r>
      <w:r w:rsidR="00066378" w:rsidRPr="00922C73">
        <w:rPr>
          <w:rFonts w:ascii="Times New Roman" w:hAnsi="Times New Roman" w:cs="Times New Roman"/>
          <w:kern w:val="24"/>
          <w:sz w:val="24"/>
          <w:szCs w:val="24"/>
          <w:lang w:eastAsia="en-GB"/>
        </w:rPr>
        <w:t xml:space="preserve">y Index </w:t>
      </w:r>
      <w:r w:rsidR="008936A7" w:rsidRPr="00922C73">
        <w:rPr>
          <w:rFonts w:ascii="Times New Roman" w:hAnsi="Times New Roman" w:cs="Times New Roman"/>
          <w:kern w:val="24"/>
          <w:sz w:val="24"/>
          <w:szCs w:val="24"/>
          <w:lang w:eastAsia="en-GB"/>
        </w:rPr>
        <w:t>for UC</w:t>
      </w:r>
      <w:r w:rsidR="00827812" w:rsidRPr="00922C73">
        <w:rPr>
          <w:rFonts w:ascii="Times New Roman" w:hAnsi="Times New Roman" w:cs="Times New Roman"/>
          <w:kern w:val="24"/>
          <w:sz w:val="24"/>
          <w:szCs w:val="24"/>
          <w:lang w:eastAsia="en-GB"/>
        </w:rPr>
        <w:t xml:space="preserve"> </w:t>
      </w:r>
      <w:r w:rsidR="00D31647"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{"citationItems":[{"id":"ITEM-1","itemData":{"DOI":"10.1056/NEJM198712243172603","ISSN":"0028-4793","author":[{"dropping-particle":"","family":"Schroeder","given":"Kenneth W.","non-dropping-particle":"","parse-names":false,"suffix":""},{"dropping-particle":"","family":"Tremaine","given":"William J.","non-dropping-particle":"","parse-names":false,"suffix":""},{"dropping-particle":"","family":"Ilstrup","given":"Duane M.","non-dropping-particle":"","parse-names":false,"suffix":""}],"container-title":"New England Journal of Medicine","id":"ITEM-1","issue":"26","issued":{"date-parts":[["1987","12","24"]]},"page":"1625-1629","title":"Coated Oral 5-Aminosalicylic Acid Therapy for Mildly to Moderately Active Ulcerative Colitis","type":"article-journal","volume":"317"},"uris":["http://www.mendeley.com/documents/?uuid=bbfa0eab-24eb-4858-b4e5-da6c51842021"]},{"id":"ITEM-2","itemData":{"DOI":"10.1016/S0140-6736(80)92767-1","ISSN":"01406736","author":[{"dropping-particle":"","family":"Harvey","given":"R.F.","non-dropping-particle":"","parse-names":false,"suffix":""},{"dropping-particle":"","family":"Bradshaw","given":"J.M.","non-dropping-particle":"","parse-names":false,"suffix":""}],"container-title":"The Lancet","id":"ITEM-2","issue":"8167","issued":{"date-parts":[["1980","3"]]},"page":"514","title":"A SIMPLE INDEX OF CROHN'S-DISEASE ACTIVITY","type":"article-journal","volume":"315"},"uris":["http://www.mendeley.com/documents/?uuid=569fe278-541c-4a2d-8d41-8750f2a01427"]},{"id":"ITEM-3","itemData":{"DOI":"10.1136/gut.43.1.29","ISSN":"0017-5749","abstract":"Background —The appropriate medical treatment of patients with ulcerative colitis is determined largely by the severity of symptoms. Hospital assessment of the severity of disease activity includes investigation of laboratory indices and sigmoidoscopic assessment of mucosal inflammation.","author":[{"dropping-particle":"","family":"Walmsley","given":"R S","non-dropping-particle":"","parse-names":false,"suffix":""},{"dropping-particle":"","family":"Ayres","given":"R C S","non-dropping-particle":"","parse-names":false,"suffix":""},{"dropping-particle":"","family":"Pounder","given":"R E","non-dropping-particle":"","parse-names":false,"suffix":""},{"dropping-particle":"","family":"Allan","given":"R N","non-dropping-particle":"","parse-names":false,"suffix":""}],"container-title":"Gut","id":"ITEM-3","issue":"1","issued":{"date-parts":[["1998","7","1"]]},"page":"29-32","title":"A simple clinical colitis activity index","type":"article-journal","volume":"43"},"uris":["http://www.mendeley.com/documents/?uuid=416496f2-5586-4496-8d60-b2cceeafcc32"]},{"id":"ITEM-4","itemData":{"ISSN":"0016-5085","PMID":"1248701","abstract":"Needing a single index of degree of illness in Crohn's disease, the National Cooperative Crohn's Disease Study group collected data prospectively from 187 visits of 112 patients with Crohn's disease of the small bowel, colon, or both. Information on 18 predictor variables was gathered at each visit. In addition, the attending physician rated his over-all evaluation of how well the patient was doing and compared the patient's status with that at the previous visit. A multiple regression computer program was utilized to derive an equation for prediction of the physician's over-all ratings from a subset of the predictor variables fulfilling a combination of constraints. This equation, numerically simplified and utilizing eight selected variables, is the Crohn's Disease Activity Index. Index values of 150 and below are associated with quiescent disease; values above that indicate active disease, and values above 450 are seen with extremely severe disease.","author":[{"dropping-particle":"","family":"Best","given":"W R","non-dropping-particle":"","parse-names":false,"suffix":""},{"dropping-particle":"","family":"Becktel","given":"J M","non-dropping-particle":"","parse-names":false,"suffix":""},{"dropping-particle":"","family":"Singleton","given":"J W","non-dropping-particle":"","parse-names":false,"suffix":""},{"dropping-particle":"","family":"Kern","given":"F","non-dropping-particle":"","parse-names":false,"suffix":""}],"container-title":"Gastroenterology","id":"ITEM-4","issue":"3","issued":{"date-parts":[["1976","3"]]},"page":"439-44","title":"Development of a Crohn's disease activity index. National Cooperative Crohn's Disease Study.","type":"article-journal","volume":"70"},"uris":["http://www.mendeley.com/documents/?uuid=799fc4d8-cba9-4fb0-8ca3-bfebae15a40b"]}],"mendeley":{"formattedCitation":"&lt;sup&gt;139–142&lt;/sup&gt;","plainTextFormattedCitation":"139–142","previouslyFormattedCitation":"&lt;sup&gt;139–142&lt;/sup&gt;"},"properties":{"noteIndex":0},"schema":"https://github.com/citation-style-language/schema/raw/master/csl-citation.json"}</w:instrText>
      </w:r>
      <w:r w:rsidR="00D31647" w:rsidRPr="00922C73">
        <w:rPr>
          <w:rFonts w:ascii="Times New Roman" w:hAnsi="Times New Roman" w:cs="Times New Roman"/>
          <w:kern w:val="24"/>
          <w:sz w:val="24"/>
          <w:szCs w:val="24"/>
          <w:lang w:eastAsia="en-GB"/>
        </w:rPr>
        <w:fldChar w:fldCharType="separate"/>
      </w:r>
      <w:r w:rsidR="00A00D49" w:rsidRPr="00922C73">
        <w:rPr>
          <w:rFonts w:ascii="Times New Roman" w:hAnsi="Times New Roman" w:cs="Times New Roman"/>
          <w:noProof/>
          <w:kern w:val="24"/>
          <w:sz w:val="24"/>
          <w:szCs w:val="24"/>
          <w:vertAlign w:val="superscript"/>
          <w:lang w:eastAsia="en-GB"/>
        </w:rPr>
        <w:t>139–142</w:t>
      </w:r>
      <w:r w:rsidR="00D31647" w:rsidRPr="00922C73">
        <w:rPr>
          <w:rFonts w:ascii="Times New Roman" w:hAnsi="Times New Roman" w:cs="Times New Roman"/>
          <w:kern w:val="24"/>
          <w:sz w:val="24"/>
          <w:szCs w:val="24"/>
          <w:lang w:eastAsia="en-GB"/>
        </w:rPr>
        <w:fldChar w:fldCharType="end"/>
      </w:r>
      <w:r w:rsidR="008936A7" w:rsidRPr="00922C73">
        <w:rPr>
          <w:rFonts w:ascii="Times New Roman" w:hAnsi="Times New Roman" w:cs="Times New Roman"/>
          <w:kern w:val="24"/>
          <w:sz w:val="24"/>
          <w:szCs w:val="24"/>
          <w:lang w:eastAsia="en-GB"/>
        </w:rPr>
        <w:t xml:space="preserve">. Clinical response is usually </w:t>
      </w:r>
      <w:r w:rsidR="001A5B5E" w:rsidRPr="00922C73">
        <w:rPr>
          <w:rFonts w:ascii="Times New Roman" w:hAnsi="Times New Roman" w:cs="Times New Roman"/>
          <w:kern w:val="24"/>
          <w:sz w:val="24"/>
          <w:szCs w:val="24"/>
          <w:lang w:eastAsia="en-GB"/>
        </w:rPr>
        <w:t>accepted as</w:t>
      </w:r>
      <w:r w:rsidR="008936A7" w:rsidRPr="00922C73">
        <w:rPr>
          <w:rFonts w:ascii="Times New Roman" w:hAnsi="Times New Roman" w:cs="Times New Roman"/>
          <w:kern w:val="24"/>
          <w:sz w:val="24"/>
          <w:szCs w:val="24"/>
          <w:lang w:eastAsia="en-GB"/>
        </w:rPr>
        <w:t xml:space="preserve"> an improvement in </w:t>
      </w:r>
      <w:r w:rsidR="001A5B5E" w:rsidRPr="00922C73">
        <w:rPr>
          <w:rFonts w:ascii="Times New Roman" w:hAnsi="Times New Roman" w:cs="Times New Roman"/>
          <w:kern w:val="24"/>
          <w:sz w:val="24"/>
          <w:szCs w:val="24"/>
          <w:lang w:eastAsia="en-GB"/>
        </w:rPr>
        <w:t xml:space="preserve">symptoms or </w:t>
      </w:r>
      <w:r w:rsidR="00117FD3" w:rsidRPr="00922C73">
        <w:rPr>
          <w:rFonts w:ascii="Times New Roman" w:hAnsi="Times New Roman" w:cs="Times New Roman"/>
          <w:kern w:val="24"/>
          <w:sz w:val="24"/>
          <w:szCs w:val="24"/>
          <w:lang w:eastAsia="en-GB"/>
        </w:rPr>
        <w:t>a defined improvement for the specific</w:t>
      </w:r>
      <w:r w:rsidR="008936A7" w:rsidRPr="00922C73">
        <w:rPr>
          <w:rFonts w:ascii="Times New Roman" w:hAnsi="Times New Roman" w:cs="Times New Roman"/>
          <w:kern w:val="24"/>
          <w:sz w:val="24"/>
          <w:szCs w:val="24"/>
          <w:lang w:eastAsia="en-GB"/>
        </w:rPr>
        <w:t xml:space="preserve"> score</w:t>
      </w:r>
      <w:r w:rsidR="0051578C" w:rsidRPr="00922C73">
        <w:rPr>
          <w:rFonts w:ascii="Times New Roman" w:hAnsi="Times New Roman" w:cs="Times New Roman"/>
          <w:kern w:val="24"/>
          <w:sz w:val="24"/>
          <w:szCs w:val="24"/>
          <w:lang w:eastAsia="en-GB"/>
        </w:rPr>
        <w:t>. L</w:t>
      </w:r>
      <w:r w:rsidR="00793C08" w:rsidRPr="00922C73">
        <w:rPr>
          <w:rFonts w:ascii="Times New Roman" w:hAnsi="Times New Roman" w:cs="Times New Roman"/>
          <w:kern w:val="24"/>
          <w:sz w:val="24"/>
          <w:szCs w:val="24"/>
          <w:lang w:eastAsia="en-GB"/>
        </w:rPr>
        <w:t xml:space="preserve">oss of response would be an </w:t>
      </w:r>
      <w:r w:rsidR="00117FD3" w:rsidRPr="00922C73">
        <w:rPr>
          <w:rFonts w:ascii="Times New Roman" w:hAnsi="Times New Roman" w:cs="Times New Roman"/>
          <w:kern w:val="24"/>
          <w:sz w:val="24"/>
          <w:szCs w:val="24"/>
          <w:lang w:eastAsia="en-GB"/>
        </w:rPr>
        <w:t xml:space="preserve">increase in symptoms attributable to IBD </w:t>
      </w:r>
      <w:r w:rsidR="00503D55" w:rsidRPr="00922C73">
        <w:rPr>
          <w:rFonts w:ascii="Times New Roman" w:hAnsi="Times New Roman" w:cs="Times New Roman"/>
          <w:kern w:val="24"/>
          <w:sz w:val="24"/>
          <w:szCs w:val="24"/>
          <w:lang w:eastAsia="en-GB"/>
        </w:rPr>
        <w:t xml:space="preserve">+/- a defined </w:t>
      </w:r>
      <w:r w:rsidR="00793C08" w:rsidRPr="00922C73">
        <w:rPr>
          <w:rFonts w:ascii="Times New Roman" w:hAnsi="Times New Roman" w:cs="Times New Roman"/>
          <w:kern w:val="24"/>
          <w:sz w:val="24"/>
          <w:szCs w:val="24"/>
          <w:lang w:eastAsia="en-GB"/>
        </w:rPr>
        <w:t xml:space="preserve">increase </w:t>
      </w:r>
      <w:r w:rsidR="00503D55" w:rsidRPr="00922C73">
        <w:rPr>
          <w:rFonts w:ascii="Times New Roman" w:hAnsi="Times New Roman" w:cs="Times New Roman"/>
          <w:kern w:val="24"/>
          <w:sz w:val="24"/>
          <w:szCs w:val="24"/>
          <w:lang w:eastAsia="en-GB"/>
        </w:rPr>
        <w:t>for the specific score</w:t>
      </w:r>
      <w:r w:rsidR="007826E7" w:rsidRPr="00922C73">
        <w:rPr>
          <w:rFonts w:ascii="Times New Roman" w:hAnsi="Times New Roman" w:cs="Times New Roman"/>
          <w:kern w:val="24"/>
          <w:sz w:val="24"/>
          <w:szCs w:val="24"/>
          <w:lang w:eastAsia="en-GB"/>
        </w:rPr>
        <w:t>.</w:t>
      </w:r>
      <w:r w:rsidR="0051578C" w:rsidRPr="00922C73">
        <w:rPr>
          <w:rFonts w:ascii="Times New Roman" w:hAnsi="Times New Roman" w:cs="Times New Roman"/>
          <w:kern w:val="24"/>
          <w:sz w:val="24"/>
          <w:szCs w:val="24"/>
          <w:lang w:eastAsia="en-GB"/>
        </w:rPr>
        <w:t xml:space="preserve"> </w:t>
      </w:r>
      <w:r w:rsidR="00793C08" w:rsidRPr="00922C73">
        <w:rPr>
          <w:rFonts w:ascii="Times New Roman" w:hAnsi="Times New Roman" w:cs="Times New Roman"/>
          <w:kern w:val="24"/>
          <w:sz w:val="24"/>
          <w:szCs w:val="24"/>
          <w:lang w:eastAsia="en-GB"/>
        </w:rPr>
        <w:t>For clinical</w:t>
      </w:r>
      <w:r w:rsidR="008936A7" w:rsidRPr="00922C73">
        <w:rPr>
          <w:rFonts w:ascii="Times New Roman" w:hAnsi="Times New Roman" w:cs="Times New Roman"/>
          <w:kern w:val="24"/>
          <w:sz w:val="24"/>
          <w:szCs w:val="24"/>
          <w:lang w:eastAsia="en-GB"/>
        </w:rPr>
        <w:t xml:space="preserve"> remission</w:t>
      </w:r>
      <w:r w:rsidR="00793C08" w:rsidRPr="00922C73">
        <w:rPr>
          <w:rFonts w:ascii="Times New Roman" w:hAnsi="Times New Roman" w:cs="Times New Roman"/>
          <w:kern w:val="24"/>
          <w:sz w:val="24"/>
          <w:szCs w:val="24"/>
          <w:lang w:eastAsia="en-GB"/>
        </w:rPr>
        <w:t xml:space="preserve">, the score </w:t>
      </w:r>
      <w:r w:rsidR="00CC6269" w:rsidRPr="00922C73">
        <w:rPr>
          <w:rFonts w:ascii="Times New Roman" w:hAnsi="Times New Roman" w:cs="Times New Roman"/>
          <w:kern w:val="24"/>
          <w:sz w:val="24"/>
          <w:szCs w:val="24"/>
          <w:lang w:eastAsia="en-GB"/>
        </w:rPr>
        <w:t>must</w:t>
      </w:r>
      <w:r w:rsidR="00793C08" w:rsidRPr="00922C73">
        <w:rPr>
          <w:rFonts w:ascii="Times New Roman" w:hAnsi="Times New Roman" w:cs="Times New Roman"/>
          <w:kern w:val="24"/>
          <w:sz w:val="24"/>
          <w:szCs w:val="24"/>
          <w:lang w:eastAsia="en-GB"/>
        </w:rPr>
        <w:t xml:space="preserve"> be below a defined threshold and rising above this threshold would indicate loss of clinical remission. </w:t>
      </w:r>
      <w:r w:rsidR="00A912D5" w:rsidRPr="00922C73">
        <w:rPr>
          <w:rFonts w:ascii="Times New Roman" w:hAnsi="Times New Roman" w:cs="Times New Roman"/>
          <w:kern w:val="24"/>
          <w:sz w:val="24"/>
          <w:szCs w:val="24"/>
          <w:lang w:eastAsia="en-GB"/>
        </w:rPr>
        <w:t>The v</w:t>
      </w:r>
      <w:r w:rsidR="007714E2" w:rsidRPr="00922C73">
        <w:rPr>
          <w:rFonts w:ascii="Times New Roman" w:hAnsi="Times New Roman" w:cs="Times New Roman"/>
          <w:kern w:val="24"/>
          <w:sz w:val="24"/>
          <w:szCs w:val="24"/>
          <w:lang w:eastAsia="en-GB"/>
        </w:rPr>
        <w:t>ariety of scores</w:t>
      </w:r>
      <w:r w:rsidR="00DC38EA" w:rsidRPr="00922C73">
        <w:rPr>
          <w:rFonts w:ascii="Times New Roman" w:hAnsi="Times New Roman" w:cs="Times New Roman"/>
          <w:kern w:val="24"/>
          <w:sz w:val="24"/>
          <w:szCs w:val="24"/>
          <w:lang w:eastAsia="en-GB"/>
        </w:rPr>
        <w:t>,</w:t>
      </w:r>
      <w:r w:rsidR="007714E2" w:rsidRPr="00922C73">
        <w:rPr>
          <w:rFonts w:ascii="Times New Roman" w:hAnsi="Times New Roman" w:cs="Times New Roman"/>
          <w:kern w:val="24"/>
          <w:sz w:val="24"/>
          <w:szCs w:val="24"/>
          <w:lang w:eastAsia="en-GB"/>
        </w:rPr>
        <w:t xml:space="preserve"> differing </w:t>
      </w:r>
      <w:r w:rsidR="00A912D5" w:rsidRPr="00922C73">
        <w:rPr>
          <w:rFonts w:ascii="Times New Roman" w:hAnsi="Times New Roman" w:cs="Times New Roman"/>
          <w:kern w:val="24"/>
          <w:sz w:val="24"/>
          <w:szCs w:val="24"/>
          <w:lang w:eastAsia="en-GB"/>
        </w:rPr>
        <w:t xml:space="preserve">definitions of response and remission and </w:t>
      </w:r>
      <w:r w:rsidR="003F4776" w:rsidRPr="00922C73">
        <w:rPr>
          <w:rFonts w:ascii="Times New Roman" w:hAnsi="Times New Roman" w:cs="Times New Roman"/>
          <w:kern w:val="24"/>
          <w:sz w:val="24"/>
          <w:szCs w:val="24"/>
          <w:lang w:eastAsia="en-GB"/>
        </w:rPr>
        <w:t>dependence on an individual clinician’s assessment</w:t>
      </w:r>
      <w:r w:rsidR="00A912D5" w:rsidRPr="00922C73">
        <w:rPr>
          <w:rFonts w:ascii="Times New Roman" w:hAnsi="Times New Roman" w:cs="Times New Roman"/>
          <w:kern w:val="24"/>
          <w:sz w:val="24"/>
          <w:szCs w:val="24"/>
          <w:lang w:eastAsia="en-GB"/>
        </w:rPr>
        <w:t xml:space="preserve"> </w:t>
      </w:r>
      <w:r w:rsidR="007B594F" w:rsidRPr="00922C73">
        <w:rPr>
          <w:rFonts w:ascii="Times New Roman" w:hAnsi="Times New Roman" w:cs="Times New Roman"/>
          <w:kern w:val="24"/>
          <w:sz w:val="24"/>
          <w:szCs w:val="24"/>
          <w:lang w:eastAsia="en-GB"/>
        </w:rPr>
        <w:t xml:space="preserve">leads to </w:t>
      </w:r>
      <w:r w:rsidR="007714E2" w:rsidRPr="00922C73">
        <w:rPr>
          <w:rFonts w:ascii="Times New Roman" w:hAnsi="Times New Roman" w:cs="Times New Roman"/>
          <w:kern w:val="24"/>
          <w:sz w:val="24"/>
          <w:szCs w:val="24"/>
          <w:lang w:eastAsia="en-GB"/>
        </w:rPr>
        <w:t xml:space="preserve">heterogeneity </w:t>
      </w:r>
      <w:r w:rsidR="007B594F" w:rsidRPr="00922C73">
        <w:rPr>
          <w:rFonts w:ascii="Times New Roman" w:hAnsi="Times New Roman" w:cs="Times New Roman"/>
          <w:kern w:val="24"/>
          <w:sz w:val="24"/>
          <w:szCs w:val="24"/>
          <w:lang w:eastAsia="en-GB"/>
        </w:rPr>
        <w:t>and bias</w:t>
      </w:r>
      <w:r w:rsidR="005217BA" w:rsidRPr="00922C73">
        <w:rPr>
          <w:rFonts w:ascii="Times New Roman" w:hAnsi="Times New Roman" w:cs="Times New Roman"/>
          <w:kern w:val="24"/>
          <w:sz w:val="24"/>
          <w:szCs w:val="24"/>
          <w:lang w:eastAsia="en-GB"/>
        </w:rPr>
        <w:t xml:space="preserve">. </w:t>
      </w:r>
      <w:r w:rsidR="00D72AEC" w:rsidRPr="00922C73">
        <w:rPr>
          <w:rFonts w:ascii="Times New Roman" w:hAnsi="Times New Roman" w:cs="Times New Roman"/>
          <w:kern w:val="24"/>
          <w:sz w:val="24"/>
          <w:szCs w:val="24"/>
          <w:lang w:eastAsia="en-GB"/>
        </w:rPr>
        <w:t>Clinical targets have now often been s</w:t>
      </w:r>
      <w:r w:rsidR="00EC1020" w:rsidRPr="00922C73">
        <w:rPr>
          <w:rFonts w:ascii="Times New Roman" w:hAnsi="Times New Roman" w:cs="Times New Roman"/>
          <w:kern w:val="24"/>
          <w:sz w:val="24"/>
          <w:szCs w:val="24"/>
          <w:lang w:eastAsia="en-GB"/>
        </w:rPr>
        <w:t xml:space="preserve">urpassed in </w:t>
      </w:r>
      <w:r w:rsidR="00D72AEC" w:rsidRPr="00922C73">
        <w:rPr>
          <w:rFonts w:ascii="Times New Roman" w:hAnsi="Times New Roman" w:cs="Times New Roman"/>
          <w:kern w:val="24"/>
          <w:sz w:val="24"/>
          <w:szCs w:val="24"/>
          <w:lang w:eastAsia="en-GB"/>
        </w:rPr>
        <w:t>research</w:t>
      </w:r>
      <w:r w:rsidR="00EC1020" w:rsidRPr="00922C73">
        <w:rPr>
          <w:rFonts w:ascii="Times New Roman" w:hAnsi="Times New Roman" w:cs="Times New Roman"/>
          <w:kern w:val="24"/>
          <w:sz w:val="24"/>
          <w:szCs w:val="24"/>
          <w:lang w:eastAsia="en-GB"/>
        </w:rPr>
        <w:t xml:space="preserve"> by harder end points of endoscopic remission</w:t>
      </w:r>
      <w:r w:rsidR="00A912D5" w:rsidRPr="00922C73">
        <w:rPr>
          <w:rFonts w:ascii="Times New Roman" w:hAnsi="Times New Roman" w:cs="Times New Roman"/>
          <w:kern w:val="24"/>
          <w:sz w:val="24"/>
          <w:szCs w:val="24"/>
          <w:lang w:eastAsia="en-GB"/>
        </w:rPr>
        <w:t>, mucosal healing and</w:t>
      </w:r>
      <w:r w:rsidR="00EC1020" w:rsidRPr="00922C73">
        <w:rPr>
          <w:rFonts w:ascii="Times New Roman" w:hAnsi="Times New Roman" w:cs="Times New Roman"/>
          <w:kern w:val="24"/>
          <w:sz w:val="24"/>
          <w:szCs w:val="24"/>
          <w:lang w:eastAsia="en-GB"/>
        </w:rPr>
        <w:t xml:space="preserve"> histological remission</w:t>
      </w:r>
      <w:r w:rsidR="00A912D5" w:rsidRPr="00922C73">
        <w:rPr>
          <w:rFonts w:ascii="Times New Roman" w:hAnsi="Times New Roman" w:cs="Times New Roman"/>
          <w:kern w:val="24"/>
          <w:sz w:val="24"/>
          <w:szCs w:val="24"/>
          <w:lang w:eastAsia="en-GB"/>
        </w:rPr>
        <w:t>. However, even with these</w:t>
      </w:r>
      <w:r w:rsidR="00EC1020" w:rsidRPr="00922C73">
        <w:rPr>
          <w:rFonts w:ascii="Times New Roman" w:hAnsi="Times New Roman" w:cs="Times New Roman"/>
          <w:kern w:val="24"/>
          <w:sz w:val="24"/>
          <w:szCs w:val="24"/>
          <w:lang w:eastAsia="en-GB"/>
        </w:rPr>
        <w:t xml:space="preserve"> </w:t>
      </w:r>
      <w:r w:rsidR="00EC1020" w:rsidRPr="00922C73">
        <w:rPr>
          <w:rFonts w:ascii="Times New Roman" w:hAnsi="Times New Roman" w:cs="Times New Roman"/>
          <w:kern w:val="24"/>
          <w:sz w:val="24"/>
          <w:szCs w:val="24"/>
          <w:lang w:eastAsia="en-GB"/>
        </w:rPr>
        <w:lastRenderedPageBreak/>
        <w:t>latter targets</w:t>
      </w:r>
      <w:r w:rsidR="00D61960" w:rsidRPr="00922C73">
        <w:rPr>
          <w:rFonts w:ascii="Times New Roman" w:hAnsi="Times New Roman" w:cs="Times New Roman"/>
          <w:kern w:val="24"/>
          <w:sz w:val="24"/>
          <w:szCs w:val="24"/>
          <w:lang w:eastAsia="en-GB"/>
        </w:rPr>
        <w:t>,</w:t>
      </w:r>
      <w:r w:rsidR="00EC1020" w:rsidRPr="00922C73">
        <w:rPr>
          <w:rFonts w:ascii="Times New Roman" w:hAnsi="Times New Roman" w:cs="Times New Roman"/>
          <w:kern w:val="24"/>
          <w:sz w:val="24"/>
          <w:szCs w:val="24"/>
          <w:lang w:eastAsia="en-GB"/>
        </w:rPr>
        <w:t xml:space="preserve"> </w:t>
      </w:r>
      <w:r w:rsidR="00D61960" w:rsidRPr="00922C73">
        <w:rPr>
          <w:rFonts w:ascii="Times New Roman" w:hAnsi="Times New Roman" w:cs="Times New Roman"/>
          <w:kern w:val="24"/>
          <w:sz w:val="24"/>
          <w:szCs w:val="24"/>
          <w:lang w:eastAsia="en-GB"/>
        </w:rPr>
        <w:t xml:space="preserve">which </w:t>
      </w:r>
      <w:r w:rsidR="00336524" w:rsidRPr="00922C73">
        <w:rPr>
          <w:rFonts w:ascii="Times New Roman" w:hAnsi="Times New Roman" w:cs="Times New Roman"/>
          <w:kern w:val="24"/>
          <w:sz w:val="24"/>
          <w:szCs w:val="24"/>
          <w:lang w:eastAsia="en-GB"/>
        </w:rPr>
        <w:t>are</w:t>
      </w:r>
      <w:r w:rsidR="005217BA" w:rsidRPr="00922C73">
        <w:rPr>
          <w:rFonts w:ascii="Times New Roman" w:hAnsi="Times New Roman" w:cs="Times New Roman"/>
          <w:kern w:val="24"/>
          <w:sz w:val="24"/>
          <w:szCs w:val="24"/>
          <w:lang w:eastAsia="en-GB"/>
        </w:rPr>
        <w:t xml:space="preserve"> more objective</w:t>
      </w:r>
      <w:r w:rsidR="00D61960" w:rsidRPr="00922C73">
        <w:rPr>
          <w:rFonts w:ascii="Times New Roman" w:hAnsi="Times New Roman" w:cs="Times New Roman"/>
          <w:kern w:val="24"/>
          <w:sz w:val="24"/>
          <w:szCs w:val="24"/>
          <w:lang w:eastAsia="en-GB"/>
        </w:rPr>
        <w:t>, there continues to be lack of consensus regarding their</w:t>
      </w:r>
      <w:r w:rsidR="00990872" w:rsidRPr="00922C73">
        <w:rPr>
          <w:rFonts w:ascii="Times New Roman" w:hAnsi="Times New Roman" w:cs="Times New Roman"/>
          <w:kern w:val="24"/>
          <w:sz w:val="24"/>
          <w:szCs w:val="24"/>
          <w:lang w:eastAsia="en-GB"/>
        </w:rPr>
        <w:t xml:space="preserve"> </w:t>
      </w:r>
      <w:r w:rsidR="00D61960" w:rsidRPr="00922C73">
        <w:rPr>
          <w:rFonts w:ascii="Times New Roman" w:hAnsi="Times New Roman" w:cs="Times New Roman"/>
          <w:kern w:val="24"/>
          <w:sz w:val="24"/>
          <w:szCs w:val="24"/>
          <w:lang w:eastAsia="en-GB"/>
        </w:rPr>
        <w:t>definitions</w:t>
      </w:r>
      <w:r w:rsidR="00AE22EC" w:rsidRPr="00922C73">
        <w:rPr>
          <w:rFonts w:ascii="Times New Roman" w:hAnsi="Times New Roman" w:cs="Times New Roman"/>
          <w:kern w:val="24"/>
          <w:sz w:val="24"/>
          <w:szCs w:val="24"/>
          <w:lang w:eastAsia="en-GB"/>
        </w:rPr>
        <w:t xml:space="preserve"> </w:t>
      </w:r>
      <w:r w:rsidR="00AE22EC"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AE22EC" w:rsidRPr="00922C73">
        <w:rPr>
          <w:rFonts w:ascii="Times New Roman" w:hAnsi="Times New Roman" w:cs="Times New Roman"/>
          <w:kern w:val="24"/>
          <w:sz w:val="24"/>
          <w:szCs w:val="24"/>
          <w:lang w:eastAsia="en-GB"/>
        </w:rPr>
        <w:fldChar w:fldCharType="separate"/>
      </w:r>
      <w:r w:rsidR="00A00D49" w:rsidRPr="00922C73">
        <w:rPr>
          <w:rFonts w:ascii="Times New Roman" w:hAnsi="Times New Roman" w:cs="Times New Roman"/>
          <w:noProof/>
          <w:kern w:val="24"/>
          <w:sz w:val="24"/>
          <w:szCs w:val="24"/>
          <w:vertAlign w:val="superscript"/>
          <w:lang w:eastAsia="en-GB"/>
        </w:rPr>
        <w:t>17</w:t>
      </w:r>
      <w:r w:rsidR="00AE22EC" w:rsidRPr="00922C73">
        <w:rPr>
          <w:rFonts w:ascii="Times New Roman" w:hAnsi="Times New Roman" w:cs="Times New Roman"/>
          <w:kern w:val="24"/>
          <w:sz w:val="24"/>
          <w:szCs w:val="24"/>
          <w:lang w:eastAsia="en-GB"/>
        </w:rPr>
        <w:fldChar w:fldCharType="end"/>
      </w:r>
      <w:r w:rsidR="00D61960" w:rsidRPr="00922C73">
        <w:rPr>
          <w:rFonts w:ascii="Times New Roman" w:hAnsi="Times New Roman" w:cs="Times New Roman"/>
          <w:kern w:val="24"/>
          <w:sz w:val="24"/>
          <w:szCs w:val="24"/>
          <w:lang w:eastAsia="en-GB"/>
        </w:rPr>
        <w:t>. In addition,</w:t>
      </w:r>
      <w:r w:rsidR="005217BA" w:rsidRPr="00922C73">
        <w:rPr>
          <w:rFonts w:ascii="Times New Roman" w:hAnsi="Times New Roman" w:cs="Times New Roman"/>
          <w:kern w:val="24"/>
          <w:sz w:val="24"/>
          <w:szCs w:val="24"/>
          <w:lang w:eastAsia="en-GB"/>
        </w:rPr>
        <w:t xml:space="preserve"> </w:t>
      </w:r>
      <w:r w:rsidR="00D61960" w:rsidRPr="00922C73">
        <w:rPr>
          <w:rFonts w:ascii="Times New Roman" w:hAnsi="Times New Roman" w:cs="Times New Roman"/>
          <w:kern w:val="24"/>
          <w:sz w:val="24"/>
          <w:szCs w:val="24"/>
          <w:lang w:eastAsia="en-GB"/>
        </w:rPr>
        <w:t>these harder end points can be</w:t>
      </w:r>
      <w:r w:rsidR="00EC1020" w:rsidRPr="00922C73">
        <w:rPr>
          <w:rFonts w:ascii="Times New Roman" w:hAnsi="Times New Roman" w:cs="Times New Roman"/>
          <w:kern w:val="24"/>
          <w:sz w:val="24"/>
          <w:szCs w:val="24"/>
          <w:lang w:eastAsia="en-GB"/>
        </w:rPr>
        <w:t xml:space="preserve"> difficult to justify in </w:t>
      </w:r>
      <w:r w:rsidR="00B23E0C" w:rsidRPr="00922C73">
        <w:rPr>
          <w:rFonts w:ascii="Times New Roman" w:hAnsi="Times New Roman" w:cs="Times New Roman"/>
          <w:kern w:val="24"/>
          <w:sz w:val="24"/>
          <w:szCs w:val="24"/>
          <w:lang w:eastAsia="en-GB"/>
        </w:rPr>
        <w:t xml:space="preserve">terms of </w:t>
      </w:r>
      <w:r w:rsidR="00EC1020" w:rsidRPr="00922C73">
        <w:rPr>
          <w:rFonts w:ascii="Times New Roman" w:hAnsi="Times New Roman" w:cs="Times New Roman"/>
          <w:kern w:val="24"/>
          <w:sz w:val="24"/>
          <w:szCs w:val="24"/>
          <w:lang w:eastAsia="en-GB"/>
        </w:rPr>
        <w:t>routine clinical practice</w:t>
      </w:r>
      <w:r w:rsidR="00F01CE0" w:rsidRPr="00922C73">
        <w:rPr>
          <w:rFonts w:ascii="Times New Roman" w:hAnsi="Times New Roman" w:cs="Times New Roman"/>
          <w:kern w:val="24"/>
          <w:sz w:val="24"/>
          <w:szCs w:val="24"/>
          <w:lang w:eastAsia="en-GB"/>
        </w:rPr>
        <w:t xml:space="preserve"> due to cost-benefit but also patient </w:t>
      </w:r>
      <w:r w:rsidR="00A115B1" w:rsidRPr="00922C73">
        <w:rPr>
          <w:rFonts w:ascii="Times New Roman" w:hAnsi="Times New Roman" w:cs="Times New Roman"/>
          <w:kern w:val="24"/>
          <w:sz w:val="24"/>
          <w:szCs w:val="24"/>
          <w:lang w:eastAsia="en-GB"/>
        </w:rPr>
        <w:t>acceptance in terms of invasive procedures</w:t>
      </w:r>
      <w:r w:rsidR="005217BA" w:rsidRPr="00922C73">
        <w:rPr>
          <w:rFonts w:ascii="Times New Roman" w:hAnsi="Times New Roman" w:cs="Times New Roman"/>
          <w:kern w:val="24"/>
          <w:sz w:val="24"/>
          <w:szCs w:val="24"/>
          <w:lang w:eastAsia="en-GB"/>
        </w:rPr>
        <w:t xml:space="preserve">. </w:t>
      </w:r>
      <w:r w:rsidR="006B562D" w:rsidRPr="00922C73">
        <w:rPr>
          <w:rFonts w:ascii="Times New Roman" w:hAnsi="Times New Roman" w:cs="Times New Roman"/>
          <w:kern w:val="24"/>
          <w:sz w:val="24"/>
          <w:szCs w:val="24"/>
          <w:lang w:eastAsia="en-GB"/>
        </w:rPr>
        <w:t>C</w:t>
      </w:r>
      <w:r w:rsidR="008302B7" w:rsidRPr="00922C73">
        <w:rPr>
          <w:rFonts w:ascii="Times New Roman" w:hAnsi="Times New Roman" w:cs="Times New Roman"/>
          <w:kern w:val="24"/>
          <w:sz w:val="24"/>
          <w:szCs w:val="24"/>
          <w:lang w:eastAsia="en-GB"/>
        </w:rPr>
        <w:t>linical assessment</w:t>
      </w:r>
      <w:r w:rsidR="005217BA" w:rsidRPr="00922C73">
        <w:rPr>
          <w:rFonts w:ascii="Times New Roman" w:hAnsi="Times New Roman" w:cs="Times New Roman"/>
          <w:kern w:val="24"/>
          <w:sz w:val="24"/>
          <w:szCs w:val="24"/>
          <w:lang w:eastAsia="en-GB"/>
        </w:rPr>
        <w:t>, which despite its limitation</w:t>
      </w:r>
      <w:r w:rsidR="008A203D" w:rsidRPr="00922C73">
        <w:rPr>
          <w:rFonts w:ascii="Times New Roman" w:hAnsi="Times New Roman" w:cs="Times New Roman"/>
          <w:kern w:val="24"/>
          <w:sz w:val="24"/>
          <w:szCs w:val="24"/>
          <w:lang w:eastAsia="en-GB"/>
        </w:rPr>
        <w:t>s</w:t>
      </w:r>
      <w:r w:rsidR="00D61960" w:rsidRPr="00922C73">
        <w:rPr>
          <w:rFonts w:ascii="Times New Roman" w:hAnsi="Times New Roman" w:cs="Times New Roman"/>
          <w:kern w:val="24"/>
          <w:sz w:val="24"/>
          <w:szCs w:val="24"/>
          <w:lang w:eastAsia="en-GB"/>
        </w:rPr>
        <w:t xml:space="preserve"> </w:t>
      </w:r>
      <w:r w:rsidR="006B562D" w:rsidRPr="00922C73">
        <w:rPr>
          <w:rFonts w:ascii="Times New Roman" w:hAnsi="Times New Roman" w:cs="Times New Roman"/>
          <w:kern w:val="24"/>
          <w:sz w:val="24"/>
          <w:szCs w:val="24"/>
          <w:lang w:eastAsia="en-GB"/>
        </w:rPr>
        <w:t xml:space="preserve">remains pivotal </w:t>
      </w:r>
      <w:r w:rsidR="001A0897" w:rsidRPr="00922C73">
        <w:rPr>
          <w:rFonts w:ascii="Times New Roman" w:hAnsi="Times New Roman" w:cs="Times New Roman"/>
          <w:kern w:val="24"/>
          <w:sz w:val="24"/>
          <w:szCs w:val="24"/>
          <w:lang w:eastAsia="en-GB"/>
        </w:rPr>
        <w:t>with endoscopic and histological assessment as important adjuncts based on individualised care</w:t>
      </w:r>
      <w:r w:rsidR="00A115B1" w:rsidRPr="00922C73">
        <w:rPr>
          <w:rFonts w:ascii="Times New Roman" w:hAnsi="Times New Roman" w:cs="Times New Roman"/>
          <w:kern w:val="24"/>
          <w:sz w:val="24"/>
          <w:szCs w:val="24"/>
          <w:lang w:eastAsia="en-GB"/>
        </w:rPr>
        <w:t>.</w:t>
      </w:r>
      <w:r w:rsidR="00B23E0C" w:rsidRPr="00922C73">
        <w:rPr>
          <w:rFonts w:ascii="Times New Roman" w:hAnsi="Times New Roman" w:cs="Times New Roman"/>
          <w:kern w:val="24"/>
          <w:sz w:val="24"/>
          <w:szCs w:val="24"/>
          <w:lang w:eastAsia="en-GB"/>
        </w:rPr>
        <w:t xml:space="preserve"> </w:t>
      </w:r>
    </w:p>
    <w:p w14:paraId="6A6DD476" w14:textId="77777777" w:rsidR="00336524" w:rsidRPr="00922C73" w:rsidRDefault="00336524" w:rsidP="00700BBF">
      <w:pPr>
        <w:autoSpaceDE w:val="0"/>
        <w:autoSpaceDN w:val="0"/>
        <w:adjustRightInd w:val="0"/>
        <w:spacing w:after="0" w:line="480" w:lineRule="auto"/>
        <w:jc w:val="left"/>
        <w:rPr>
          <w:rFonts w:ascii="Times New Roman" w:hAnsi="Times New Roman" w:cs="Times New Roman"/>
          <w:kern w:val="24"/>
          <w:sz w:val="24"/>
          <w:szCs w:val="24"/>
          <w:lang w:eastAsia="en-GB"/>
        </w:rPr>
      </w:pPr>
    </w:p>
    <w:p w14:paraId="46D0AC1D" w14:textId="4C52643A" w:rsidR="001C0184" w:rsidRPr="00922C73" w:rsidRDefault="00745F07" w:rsidP="00700BBF">
      <w:pPr>
        <w:autoSpaceDE w:val="0"/>
        <w:autoSpaceDN w:val="0"/>
        <w:adjustRightInd w:val="0"/>
        <w:spacing w:after="0" w:line="480" w:lineRule="auto"/>
        <w:jc w:val="left"/>
        <w:rPr>
          <w:rFonts w:ascii="Times New Roman" w:hAnsi="Times New Roman" w:cs="Times New Roman"/>
          <w:sz w:val="24"/>
          <w:szCs w:val="24"/>
        </w:rPr>
      </w:pPr>
      <w:r w:rsidRPr="00922C73">
        <w:rPr>
          <w:rFonts w:ascii="Times New Roman" w:hAnsi="Times New Roman" w:cs="Times New Roman"/>
          <w:kern w:val="24"/>
          <w:sz w:val="24"/>
          <w:szCs w:val="24"/>
          <w:lang w:eastAsia="en-GB"/>
        </w:rPr>
        <w:t>Two</w:t>
      </w:r>
      <w:r w:rsidR="00651530" w:rsidRPr="00922C73">
        <w:rPr>
          <w:rFonts w:ascii="Times New Roman" w:hAnsi="Times New Roman" w:cs="Times New Roman"/>
          <w:kern w:val="24"/>
          <w:sz w:val="24"/>
          <w:szCs w:val="24"/>
          <w:lang w:eastAsia="en-GB"/>
        </w:rPr>
        <w:t xml:space="preserve"> meta-analyses have </w:t>
      </w:r>
      <w:r w:rsidR="00050C4E" w:rsidRPr="00922C73">
        <w:rPr>
          <w:rFonts w:ascii="Times New Roman" w:hAnsi="Times New Roman" w:cs="Times New Roman"/>
          <w:kern w:val="24"/>
          <w:sz w:val="24"/>
          <w:szCs w:val="24"/>
          <w:lang w:eastAsia="en-GB"/>
        </w:rPr>
        <w:t xml:space="preserve">assessed the </w:t>
      </w:r>
      <w:r w:rsidR="00651530" w:rsidRPr="00922C73">
        <w:rPr>
          <w:rFonts w:ascii="Times New Roman" w:hAnsi="Times New Roman" w:cs="Times New Roman"/>
          <w:kern w:val="24"/>
          <w:sz w:val="24"/>
          <w:szCs w:val="24"/>
          <w:lang w:eastAsia="en-GB"/>
        </w:rPr>
        <w:t xml:space="preserve">association between ATI and clinical </w:t>
      </w:r>
      <w:r w:rsidR="005B6FA5" w:rsidRPr="00922C73">
        <w:rPr>
          <w:rFonts w:ascii="Times New Roman" w:hAnsi="Times New Roman" w:cs="Times New Roman"/>
          <w:kern w:val="24"/>
          <w:sz w:val="24"/>
          <w:szCs w:val="24"/>
          <w:lang w:eastAsia="en-GB"/>
        </w:rPr>
        <w:t>outcomes</w:t>
      </w:r>
      <w:r w:rsidR="00651530" w:rsidRPr="00922C73">
        <w:rPr>
          <w:rFonts w:ascii="Times New Roman" w:hAnsi="Times New Roman" w:cs="Times New Roman"/>
          <w:kern w:val="24"/>
          <w:sz w:val="24"/>
          <w:szCs w:val="24"/>
          <w:lang w:eastAsia="en-GB"/>
        </w:rPr>
        <w:t>.</w:t>
      </w:r>
      <w:r w:rsidR="008725FE" w:rsidRPr="00922C73">
        <w:rPr>
          <w:rFonts w:ascii="Times New Roman" w:hAnsi="Times New Roman" w:cs="Times New Roman"/>
          <w:kern w:val="24"/>
          <w:sz w:val="24"/>
          <w:szCs w:val="24"/>
          <w:lang w:eastAsia="en-GB"/>
        </w:rPr>
        <w:t xml:space="preserve"> </w:t>
      </w:r>
      <w:r w:rsidR="00087BEC" w:rsidRPr="00922C73">
        <w:rPr>
          <w:rFonts w:ascii="Times New Roman" w:hAnsi="Times New Roman" w:cs="Times New Roman"/>
          <w:kern w:val="24"/>
          <w:sz w:val="24"/>
          <w:szCs w:val="24"/>
          <w:lang w:eastAsia="en-GB"/>
        </w:rPr>
        <w:t xml:space="preserve"> </w:t>
      </w:r>
      <w:r w:rsidR="00651530" w:rsidRPr="00922C73">
        <w:rPr>
          <w:rFonts w:ascii="Times New Roman" w:hAnsi="Times New Roman" w:cs="Times New Roman"/>
          <w:kern w:val="24"/>
          <w:sz w:val="24"/>
          <w:szCs w:val="24"/>
          <w:lang w:eastAsia="en-GB"/>
        </w:rPr>
        <w:t xml:space="preserve">The </w:t>
      </w:r>
      <w:r w:rsidR="0083218F" w:rsidRPr="00922C73">
        <w:rPr>
          <w:rFonts w:ascii="Times New Roman" w:hAnsi="Times New Roman" w:cs="Times New Roman"/>
          <w:sz w:val="24"/>
          <w:szCs w:val="24"/>
        </w:rPr>
        <w:t>earlier meta-analysis by Lee</w:t>
      </w:r>
      <w:r w:rsidR="00651530" w:rsidRPr="00922C73">
        <w:rPr>
          <w:rFonts w:ascii="Times New Roman" w:hAnsi="Times New Roman" w:cs="Times New Roman"/>
          <w:sz w:val="24"/>
          <w:szCs w:val="24"/>
        </w:rPr>
        <w:t xml:space="preserve"> et al concluded that although </w:t>
      </w:r>
      <w:r w:rsidR="00E41737" w:rsidRPr="00922C73">
        <w:rPr>
          <w:rFonts w:ascii="Times New Roman" w:hAnsi="Times New Roman" w:cs="Times New Roman"/>
          <w:sz w:val="24"/>
          <w:szCs w:val="24"/>
        </w:rPr>
        <w:t>patients with ATI</w:t>
      </w:r>
      <w:r w:rsidR="00651530" w:rsidRPr="00922C73">
        <w:rPr>
          <w:rFonts w:ascii="Times New Roman" w:hAnsi="Times New Roman" w:cs="Times New Roman"/>
          <w:sz w:val="24"/>
          <w:szCs w:val="24"/>
        </w:rPr>
        <w:t xml:space="preserve"> were less likely to be in clinical remission, this was not statistically significant </w:t>
      </w:r>
      <w:r w:rsidR="0065153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Hepatology","id":"ITEM-1","issue":"9","issued":{"date-parts":[["2012","9"]]},"page":"1078-1085","title":"Anti-infliximab antibodies in inflammatory bowel disease","type":"article-journal","volume":"24"},"uris":["http://www.mendeley.com/documents/?uuid=be88c796-5731-4d66-ae3c-69c77792e881","http://www.mendeley.com/documents/?uuid=92685e11-2667-4914-94b2-2cc20eb6804e","http://www.mendeley.com/documents/?uuid=616200d6-026f-4099-9c1e-544e53c02e78"]}],"mendeley":{"formattedCitation":"&lt;sup&gt;143&lt;/sup&gt;","plainTextFormattedCitation":"143","previouslyFormattedCitation":"&lt;sup&gt;143&lt;/sup&gt;"},"properties":{"noteIndex":0},"schema":"https://github.com/citation-style-language/schema/raw/master/csl-citation.json"}</w:instrText>
      </w:r>
      <w:r w:rsidR="0065153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143</w:t>
      </w:r>
      <w:r w:rsidR="00651530" w:rsidRPr="00922C73">
        <w:rPr>
          <w:rFonts w:ascii="Times New Roman" w:hAnsi="Times New Roman" w:cs="Times New Roman"/>
          <w:sz w:val="24"/>
          <w:szCs w:val="24"/>
        </w:rPr>
        <w:fldChar w:fldCharType="end"/>
      </w:r>
      <w:r w:rsidR="005B6FA5" w:rsidRPr="00922C73">
        <w:rPr>
          <w:rFonts w:ascii="Times New Roman" w:hAnsi="Times New Roman" w:cs="Times New Roman"/>
          <w:sz w:val="24"/>
          <w:szCs w:val="24"/>
        </w:rPr>
        <w:t>. In</w:t>
      </w:r>
      <w:r w:rsidR="00651530" w:rsidRPr="00922C73">
        <w:rPr>
          <w:rFonts w:ascii="Times New Roman" w:hAnsi="Times New Roman" w:cs="Times New Roman"/>
          <w:sz w:val="24"/>
          <w:szCs w:val="24"/>
        </w:rPr>
        <w:t xml:space="preserve"> the later meta-analysis by Nanda et al</w:t>
      </w:r>
      <w:r w:rsidR="00E41737" w:rsidRPr="00922C73">
        <w:rPr>
          <w:rFonts w:ascii="Times New Roman" w:hAnsi="Times New Roman" w:cs="Times New Roman"/>
          <w:sz w:val="24"/>
          <w:szCs w:val="24"/>
        </w:rPr>
        <w:t>,</w:t>
      </w:r>
      <w:r w:rsidR="00651530" w:rsidRPr="00922C73">
        <w:rPr>
          <w:rFonts w:ascii="Times New Roman" w:hAnsi="Times New Roman" w:cs="Times New Roman"/>
          <w:sz w:val="24"/>
          <w:szCs w:val="24"/>
        </w:rPr>
        <w:t xml:space="preserve"> </w:t>
      </w:r>
      <w:r w:rsidR="00A273C1" w:rsidRPr="00922C73">
        <w:rPr>
          <w:rFonts w:ascii="Times New Roman" w:hAnsi="Times New Roman" w:cs="Times New Roman"/>
          <w:kern w:val="24"/>
          <w:sz w:val="24"/>
          <w:szCs w:val="24"/>
          <w:lang w:eastAsia="en-GB"/>
        </w:rPr>
        <w:t>patients who were positive for AT</w:t>
      </w:r>
      <w:r w:rsidR="007D722E" w:rsidRPr="00922C73">
        <w:rPr>
          <w:rFonts w:ascii="Times New Roman" w:hAnsi="Times New Roman" w:cs="Times New Roman"/>
          <w:kern w:val="24"/>
          <w:sz w:val="24"/>
          <w:szCs w:val="24"/>
          <w:lang w:eastAsia="en-GB"/>
        </w:rPr>
        <w:t>I</w:t>
      </w:r>
      <w:r w:rsidR="00A273C1" w:rsidRPr="00922C73">
        <w:rPr>
          <w:rFonts w:ascii="Times New Roman" w:hAnsi="Times New Roman" w:cs="Times New Roman"/>
          <w:kern w:val="24"/>
          <w:sz w:val="24"/>
          <w:szCs w:val="24"/>
          <w:lang w:eastAsia="en-GB"/>
        </w:rPr>
        <w:t xml:space="preserve"> were 3.2 times more likely to lose response</w:t>
      </w:r>
      <w:r w:rsidR="00D73FE3" w:rsidRPr="00922C73">
        <w:rPr>
          <w:rFonts w:ascii="Times New Roman" w:hAnsi="Times New Roman" w:cs="Times New Roman"/>
          <w:sz w:val="24"/>
          <w:szCs w:val="24"/>
        </w:rPr>
        <w:t xml:space="preserve"> </w:t>
      </w:r>
      <w:r w:rsidR="007D722E" w:rsidRPr="00922C73">
        <w:rPr>
          <w:rFonts w:ascii="Times New Roman" w:hAnsi="Times New Roman" w:cs="Times New Roman"/>
          <w:sz w:val="24"/>
          <w:szCs w:val="24"/>
        </w:rPr>
        <w:t>than those without</w:t>
      </w:r>
      <w:r w:rsidR="00634FDE" w:rsidRPr="00922C73">
        <w:rPr>
          <w:rFonts w:ascii="Times New Roman" w:hAnsi="Times New Roman" w:cs="Times New Roman"/>
          <w:sz w:val="24"/>
          <w:szCs w:val="24"/>
        </w:rPr>
        <w:t xml:space="preserve"> ATI</w:t>
      </w:r>
      <w:r w:rsidR="007D722E" w:rsidRPr="00922C73">
        <w:rPr>
          <w:rFonts w:ascii="Times New Roman" w:hAnsi="Times New Roman" w:cs="Times New Roman"/>
          <w:sz w:val="24"/>
          <w:szCs w:val="24"/>
        </w:rPr>
        <w:t xml:space="preserve"> </w:t>
      </w:r>
      <w:r w:rsidR="00D73FE3" w:rsidRPr="00922C73">
        <w:rPr>
          <w:rFonts w:ascii="Times New Roman" w:hAnsi="Times New Roman" w:cs="Times New Roman"/>
          <w:sz w:val="24"/>
          <w:szCs w:val="24"/>
        </w:rPr>
        <w:t xml:space="preserve">(P </w:t>
      </w:r>
      <w:r w:rsidR="007D722E" w:rsidRPr="00922C73">
        <w:rPr>
          <w:rFonts w:ascii="Times New Roman" w:hAnsi="Times New Roman" w:cs="Times New Roman"/>
          <w:sz w:val="24"/>
          <w:szCs w:val="24"/>
        </w:rPr>
        <w:t>&lt; 0.0001)</w:t>
      </w:r>
      <w:r w:rsidR="00575908" w:rsidRPr="00922C73">
        <w:rPr>
          <w:rFonts w:ascii="Times New Roman" w:hAnsi="Times New Roman" w:cs="Times New Roman"/>
          <w:sz w:val="24"/>
          <w:szCs w:val="24"/>
        </w:rPr>
        <w:t xml:space="preserve"> </w:t>
      </w:r>
      <w:r w:rsidR="0057590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{"citationItems":[{"id":"ITEM-1","itemData":{"DOI":"10.1038/ajg.2012.363","ISBN":"0009-2665","ISSN":"0002-9270","PMID":"19772347","author":[{"dropping-particle":"","family":"Nanda","given":"Kavinderjit S","non-dropping-particle":"","parse-names":false,"suffix":""},{"dropping-particle":"","family":"Cheifetz","given":"Adam S","non-dropping-particle":"","parse-names":false,"suffix":""},{"dropping-particle":"","family":"Moss","given":"Alan C","non-dropping-particle":"","parse-names":false,"suffix":""}],"container-title":"The American Journal of Gastroenterology","id":"ITEM-1","issue":"1","issued":{"date-parts":[["2013","1"]]},"page":"40-47","title":"Impact of Antibodies to Infliximab on Clinical Outcomes and Serum Infliximab Levels in Patients With Inflammatory Bowel Disease (IBD): A Meta-Analysis","type":"article-journal","volume":"108"},"uris":["http://www.mendeley.com/documents/?uuid=be1ea99e-d041-4205-ad87-c0dc0dc35be6","http://www.mendeley.com/documents/?uuid=dfa9cfb3-a573-4d1c-abf6-0dfd8b0910bb","http://www.mendeley.com/documents/?uuid=97a419fd-5b25-4ab3-9989-8cd03a6c22b9"]}],"mendeley":{"formattedCitation":"&lt;sup&gt;144&lt;/sup&gt;","plainTextFormattedCitation":"144","previouslyFormattedCitation":"&lt;sup&gt;144&lt;/sup&gt;"},"properties":{"noteIndex":0},"schema":"https://github.com/citation-style-language/schema/raw/master/csl-citation.json"}</w:instrText>
      </w:r>
      <w:r w:rsidR="0057590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144</w:t>
      </w:r>
      <w:r w:rsidR="00575908" w:rsidRPr="00922C73">
        <w:rPr>
          <w:rFonts w:ascii="Times New Roman" w:hAnsi="Times New Roman" w:cs="Times New Roman"/>
          <w:sz w:val="24"/>
          <w:szCs w:val="24"/>
        </w:rPr>
        <w:fldChar w:fldCharType="end"/>
      </w:r>
      <w:r w:rsidR="00D73FE3" w:rsidRPr="00922C73">
        <w:rPr>
          <w:rFonts w:ascii="Times New Roman" w:hAnsi="Times New Roman" w:cs="Times New Roman"/>
          <w:sz w:val="24"/>
          <w:szCs w:val="24"/>
        </w:rPr>
        <w:t>.</w:t>
      </w:r>
      <w:r w:rsidR="00087BEC" w:rsidRPr="00922C73">
        <w:rPr>
          <w:rFonts w:ascii="Times New Roman" w:hAnsi="Times New Roman" w:cs="Times New Roman"/>
          <w:sz w:val="24"/>
          <w:szCs w:val="24"/>
        </w:rPr>
        <w:t xml:space="preserve"> However</w:t>
      </w:r>
      <w:r w:rsidR="00E41737" w:rsidRPr="00922C73">
        <w:rPr>
          <w:rFonts w:ascii="Times New Roman" w:hAnsi="Times New Roman" w:cs="Times New Roman"/>
          <w:sz w:val="24"/>
          <w:szCs w:val="24"/>
        </w:rPr>
        <w:t>,</w:t>
      </w:r>
      <w:r w:rsidR="00087BEC" w:rsidRPr="00922C73">
        <w:rPr>
          <w:rFonts w:ascii="Times New Roman" w:hAnsi="Times New Roman" w:cs="Times New Roman"/>
          <w:sz w:val="24"/>
          <w:szCs w:val="24"/>
        </w:rPr>
        <w:t xml:space="preserve"> on sub-group analysis </w:t>
      </w:r>
      <w:r w:rsidR="00651530" w:rsidRPr="00922C73">
        <w:rPr>
          <w:rFonts w:ascii="Times New Roman" w:hAnsi="Times New Roman" w:cs="Times New Roman"/>
          <w:sz w:val="24"/>
          <w:szCs w:val="24"/>
        </w:rPr>
        <w:t xml:space="preserve">of IBD sub-type, </w:t>
      </w:r>
      <w:r w:rsidR="00087BEC" w:rsidRPr="00922C73">
        <w:rPr>
          <w:rFonts w:ascii="Times New Roman" w:hAnsi="Times New Roman" w:cs="Times New Roman"/>
          <w:sz w:val="24"/>
          <w:szCs w:val="24"/>
        </w:rPr>
        <w:t>this</w:t>
      </w:r>
      <w:r w:rsidR="007D722E" w:rsidRPr="00922C73">
        <w:rPr>
          <w:rFonts w:ascii="Times New Roman" w:hAnsi="Times New Roman" w:cs="Times New Roman"/>
          <w:sz w:val="24"/>
          <w:szCs w:val="24"/>
        </w:rPr>
        <w:t xml:space="preserve"> </w:t>
      </w:r>
      <w:r w:rsidR="00087BEC" w:rsidRPr="00922C73">
        <w:rPr>
          <w:rFonts w:ascii="Times New Roman" w:hAnsi="Times New Roman" w:cs="Times New Roman"/>
          <w:sz w:val="24"/>
          <w:szCs w:val="24"/>
        </w:rPr>
        <w:t>significance was only maintained in CD patients and not for UC patients</w:t>
      </w:r>
      <w:r w:rsidR="00575908" w:rsidRPr="00922C73">
        <w:rPr>
          <w:rFonts w:ascii="Times New Roman" w:hAnsi="Times New Roman" w:cs="Times New Roman"/>
          <w:sz w:val="24"/>
          <w:szCs w:val="24"/>
        </w:rPr>
        <w:t xml:space="preserve"> </w:t>
      </w:r>
      <w:r w:rsidR="0057590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{"citationItems":[{"id":"ITEM-1","itemData":{"DOI":"10.1038/ajg.2012.363","ISBN":"0009-2665","ISSN":"0002-9270","PMID":"19772347","author":[{"dropping-particle":"","family":"Nanda","given":"Kavinderjit S","non-dropping-particle":"","parse-names":false,"suffix":""},{"dropping-particle":"","family":"Cheifetz","given":"Adam S","non-dropping-particle":"","parse-names":false,"suffix":""},{"dropping-particle":"","family":"Moss","given":"Alan C","non-dropping-particle":"","parse-names":false,"suffix":""}],"container-title":"The American Journal of Gastroenterology","id":"ITEM-1","issue":"1","issued":{"date-parts":[["2013","1"]]},"page":"40-47","title":"Impact of Antibodies to Infliximab on Clinical Outcomes and Serum Infliximab Levels in Patients With Inflammatory Bowel Disease (IBD): A Meta-Analysis","type":"article-journal","volume":"108"},"uris":["http://www.mendeley.com/documents/?uuid=97a419fd-5b25-4ab3-9989-8cd03a6c22b9","http://www.mendeley.com/documents/?uuid=be1ea99e-d041-4205-ad87-c0dc0dc35be6","http://www.mendeley.com/documents/?uuid=dfa9cfb3-a573-4d1c-abf6-0dfd8b0910bb"]}],"mendeley":{"formattedCitation":"&lt;sup&gt;144&lt;/sup&gt;","plainTextFormattedCitation":"144","previouslyFormattedCitation":"&lt;sup&gt;144&lt;/sup&gt;"},"properties":{"noteIndex":0},"schema":"https://github.com/citation-style-language/schema/raw/master/csl-citation.json"}</w:instrText>
      </w:r>
      <w:r w:rsidR="0057590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144</w:t>
      </w:r>
      <w:r w:rsidR="00575908" w:rsidRPr="00922C73">
        <w:rPr>
          <w:rFonts w:ascii="Times New Roman" w:hAnsi="Times New Roman" w:cs="Times New Roman"/>
          <w:sz w:val="24"/>
          <w:szCs w:val="24"/>
        </w:rPr>
        <w:fldChar w:fldCharType="end"/>
      </w:r>
      <w:r w:rsidR="00087BEC" w:rsidRPr="00922C73">
        <w:rPr>
          <w:rFonts w:ascii="Times New Roman" w:hAnsi="Times New Roman" w:cs="Times New Roman"/>
          <w:sz w:val="24"/>
          <w:szCs w:val="24"/>
        </w:rPr>
        <w:t xml:space="preserve">. </w:t>
      </w:r>
      <w:r w:rsidR="00651530" w:rsidRPr="00922C73">
        <w:rPr>
          <w:rFonts w:ascii="Times New Roman" w:hAnsi="Times New Roman" w:cs="Times New Roman"/>
          <w:sz w:val="24"/>
          <w:szCs w:val="24"/>
        </w:rPr>
        <w:t xml:space="preserve"> Both meta-analyses included a similar number of studies of which 6 were the same, though 4 studies included in the earlier meta-analysis was not included in the later one. </w:t>
      </w:r>
      <w:r w:rsidR="00C319B6" w:rsidRPr="00922C73">
        <w:rPr>
          <w:rFonts w:ascii="Times New Roman" w:hAnsi="Times New Roman" w:cs="Times New Roman"/>
          <w:sz w:val="24"/>
          <w:szCs w:val="24"/>
        </w:rPr>
        <w:t>The differing conclusions are likely to be affected by their</w:t>
      </w:r>
      <w:r w:rsidR="005B6FA5" w:rsidRPr="00922C73">
        <w:rPr>
          <w:rFonts w:ascii="Times New Roman" w:hAnsi="Times New Roman" w:cs="Times New Roman"/>
          <w:sz w:val="24"/>
          <w:szCs w:val="24"/>
        </w:rPr>
        <w:t xml:space="preserve"> clinical outcome of interest: clinical remission for Lee at </w:t>
      </w:r>
      <w:proofErr w:type="spellStart"/>
      <w:r w:rsidR="005B6FA5" w:rsidRPr="00922C73">
        <w:rPr>
          <w:rFonts w:ascii="Times New Roman" w:hAnsi="Times New Roman" w:cs="Times New Roman"/>
          <w:sz w:val="24"/>
          <w:szCs w:val="24"/>
        </w:rPr>
        <w:t>el</w:t>
      </w:r>
      <w:proofErr w:type="spellEnd"/>
      <w:r w:rsidR="005B6FA5" w:rsidRPr="00922C73">
        <w:rPr>
          <w:rFonts w:ascii="Times New Roman" w:hAnsi="Times New Roman" w:cs="Times New Roman"/>
          <w:sz w:val="24"/>
          <w:szCs w:val="24"/>
        </w:rPr>
        <w:t xml:space="preserve"> vs loss of response for Nanda et al. </w:t>
      </w:r>
      <w:r w:rsidR="00C319B6" w:rsidRPr="00922C73">
        <w:rPr>
          <w:rFonts w:ascii="Times New Roman" w:hAnsi="Times New Roman" w:cs="Times New Roman"/>
          <w:sz w:val="24"/>
          <w:szCs w:val="24"/>
        </w:rPr>
        <w:t>Neither analysis stringently defined their outcome in their methodology, likely to not limit study inclusion.</w:t>
      </w:r>
      <w:r w:rsidR="00AA6C57" w:rsidRPr="00922C73">
        <w:rPr>
          <w:rFonts w:ascii="Times New Roman" w:hAnsi="Times New Roman" w:cs="Times New Roman"/>
          <w:sz w:val="24"/>
          <w:szCs w:val="24"/>
        </w:rPr>
        <w:t xml:space="preserve"> </w:t>
      </w:r>
      <w:r w:rsidR="00087BEC" w:rsidRPr="00922C73">
        <w:rPr>
          <w:rFonts w:ascii="Times New Roman" w:hAnsi="Times New Roman" w:cs="Times New Roman"/>
          <w:sz w:val="24"/>
          <w:szCs w:val="24"/>
        </w:rPr>
        <w:t>H</w:t>
      </w:r>
      <w:r w:rsidR="007D722E" w:rsidRPr="00922C73">
        <w:rPr>
          <w:rFonts w:ascii="Times New Roman" w:hAnsi="Times New Roman" w:cs="Times New Roman"/>
          <w:sz w:val="24"/>
          <w:szCs w:val="24"/>
        </w:rPr>
        <w:t>e</w:t>
      </w:r>
      <w:r w:rsidR="00D73FE3" w:rsidRPr="00922C73">
        <w:rPr>
          <w:rFonts w:ascii="Times New Roman" w:hAnsi="Times New Roman" w:cs="Times New Roman"/>
          <w:sz w:val="24"/>
          <w:szCs w:val="24"/>
        </w:rPr>
        <w:t>terogenei</w:t>
      </w:r>
      <w:r w:rsidR="007D722E" w:rsidRPr="00922C73">
        <w:rPr>
          <w:rFonts w:ascii="Times New Roman" w:hAnsi="Times New Roman" w:cs="Times New Roman"/>
          <w:sz w:val="24"/>
          <w:szCs w:val="24"/>
        </w:rPr>
        <w:t>ty</w:t>
      </w:r>
      <w:r w:rsidR="00651530" w:rsidRPr="00922C73">
        <w:rPr>
          <w:rFonts w:ascii="Times New Roman" w:hAnsi="Times New Roman" w:cs="Times New Roman"/>
          <w:sz w:val="24"/>
          <w:szCs w:val="24"/>
        </w:rPr>
        <w:t xml:space="preserve"> </w:t>
      </w:r>
      <w:r w:rsidR="00087BEC" w:rsidRPr="00922C73">
        <w:rPr>
          <w:rFonts w:ascii="Times New Roman" w:hAnsi="Times New Roman" w:cs="Times New Roman"/>
          <w:sz w:val="24"/>
          <w:szCs w:val="24"/>
        </w:rPr>
        <w:t>exist</w:t>
      </w:r>
      <w:r w:rsidR="00E41737" w:rsidRPr="00922C73">
        <w:rPr>
          <w:rFonts w:ascii="Times New Roman" w:hAnsi="Times New Roman" w:cs="Times New Roman"/>
          <w:sz w:val="24"/>
          <w:szCs w:val="24"/>
        </w:rPr>
        <w:t>ed</w:t>
      </w:r>
      <w:r w:rsidR="007D722E" w:rsidRPr="00922C73">
        <w:rPr>
          <w:rFonts w:ascii="Times New Roman" w:hAnsi="Times New Roman" w:cs="Times New Roman"/>
          <w:sz w:val="24"/>
          <w:szCs w:val="24"/>
        </w:rPr>
        <w:t xml:space="preserve"> </w:t>
      </w:r>
      <w:r w:rsidR="00E41737" w:rsidRPr="00922C73">
        <w:rPr>
          <w:rFonts w:ascii="Times New Roman" w:hAnsi="Times New Roman" w:cs="Times New Roman"/>
          <w:sz w:val="24"/>
          <w:szCs w:val="24"/>
        </w:rPr>
        <w:t>in</w:t>
      </w:r>
      <w:r w:rsidR="00D73FE3" w:rsidRPr="00922C73">
        <w:rPr>
          <w:rFonts w:ascii="Times New Roman" w:hAnsi="Times New Roman" w:cs="Times New Roman"/>
          <w:sz w:val="24"/>
          <w:szCs w:val="24"/>
        </w:rPr>
        <w:t xml:space="preserve"> </w:t>
      </w:r>
      <w:r w:rsidR="007D722E" w:rsidRPr="00922C73">
        <w:rPr>
          <w:rFonts w:ascii="Times New Roman" w:hAnsi="Times New Roman" w:cs="Times New Roman"/>
          <w:sz w:val="24"/>
          <w:szCs w:val="24"/>
        </w:rPr>
        <w:t>the studie</w:t>
      </w:r>
      <w:r w:rsidR="00087BEC" w:rsidRPr="00922C73">
        <w:rPr>
          <w:rFonts w:ascii="Times New Roman" w:hAnsi="Times New Roman" w:cs="Times New Roman"/>
          <w:sz w:val="24"/>
          <w:szCs w:val="24"/>
        </w:rPr>
        <w:t>s included</w:t>
      </w:r>
      <w:r w:rsidR="00E41737" w:rsidRPr="00922C73">
        <w:rPr>
          <w:rFonts w:ascii="Times New Roman" w:hAnsi="Times New Roman" w:cs="Times New Roman"/>
          <w:sz w:val="24"/>
          <w:szCs w:val="24"/>
        </w:rPr>
        <w:t xml:space="preserve"> in both analyses regarding</w:t>
      </w:r>
      <w:r w:rsidR="002E411C" w:rsidRPr="00922C73">
        <w:rPr>
          <w:rFonts w:ascii="Times New Roman" w:hAnsi="Times New Roman" w:cs="Times New Roman"/>
          <w:sz w:val="24"/>
          <w:szCs w:val="24"/>
        </w:rPr>
        <w:t xml:space="preserve"> assessme</w:t>
      </w:r>
      <w:r w:rsidR="004D0622" w:rsidRPr="00922C73">
        <w:rPr>
          <w:rFonts w:ascii="Times New Roman" w:hAnsi="Times New Roman" w:cs="Times New Roman"/>
          <w:sz w:val="24"/>
          <w:szCs w:val="24"/>
        </w:rPr>
        <w:t xml:space="preserve">nt of ATI </w:t>
      </w:r>
      <w:r w:rsidR="00D73FE3" w:rsidRPr="00922C73">
        <w:rPr>
          <w:rFonts w:ascii="Times New Roman" w:hAnsi="Times New Roman" w:cs="Times New Roman"/>
          <w:sz w:val="24"/>
          <w:szCs w:val="24"/>
        </w:rPr>
        <w:t xml:space="preserve">and </w:t>
      </w:r>
      <w:r w:rsidR="002E411C" w:rsidRPr="00922C73">
        <w:rPr>
          <w:rFonts w:ascii="Times New Roman" w:hAnsi="Times New Roman" w:cs="Times New Roman"/>
          <w:sz w:val="24"/>
          <w:szCs w:val="24"/>
        </w:rPr>
        <w:t>loss of response</w:t>
      </w:r>
      <w:r w:rsidR="00815B90" w:rsidRPr="00922C73">
        <w:rPr>
          <w:rFonts w:ascii="Times New Roman" w:hAnsi="Times New Roman" w:cs="Times New Roman"/>
          <w:sz w:val="24"/>
          <w:szCs w:val="24"/>
        </w:rPr>
        <w:t xml:space="preserve"> and remission</w:t>
      </w:r>
      <w:r w:rsidR="00E41737" w:rsidRPr="00922C73">
        <w:rPr>
          <w:rFonts w:ascii="Times New Roman" w:hAnsi="Times New Roman" w:cs="Times New Roman"/>
          <w:sz w:val="24"/>
          <w:szCs w:val="24"/>
        </w:rPr>
        <w:t xml:space="preserve">, with </w:t>
      </w:r>
      <w:r w:rsidR="00E547F9" w:rsidRPr="00922C73">
        <w:rPr>
          <w:rFonts w:ascii="Times New Roman" w:hAnsi="Times New Roman" w:cs="Times New Roman"/>
          <w:sz w:val="24"/>
          <w:szCs w:val="24"/>
        </w:rPr>
        <w:t>clinical assessment</w:t>
      </w:r>
      <w:r w:rsidR="007D722E" w:rsidRPr="00922C73">
        <w:rPr>
          <w:rFonts w:ascii="Times New Roman" w:hAnsi="Times New Roman" w:cs="Times New Roman"/>
          <w:sz w:val="24"/>
          <w:szCs w:val="24"/>
        </w:rPr>
        <w:t xml:space="preserve"> based on clinician assessment or </w:t>
      </w:r>
      <w:r w:rsidR="002E411C" w:rsidRPr="00922C73">
        <w:rPr>
          <w:rFonts w:ascii="Times New Roman" w:hAnsi="Times New Roman" w:cs="Times New Roman"/>
          <w:sz w:val="24"/>
          <w:szCs w:val="24"/>
        </w:rPr>
        <w:t xml:space="preserve">clinical </w:t>
      </w:r>
      <w:r w:rsidR="007D722E" w:rsidRPr="00922C73">
        <w:rPr>
          <w:rFonts w:ascii="Times New Roman" w:hAnsi="Times New Roman" w:cs="Times New Roman"/>
          <w:sz w:val="24"/>
          <w:szCs w:val="24"/>
        </w:rPr>
        <w:t>scores</w:t>
      </w:r>
      <w:r w:rsidR="00336524" w:rsidRPr="00922C73">
        <w:rPr>
          <w:rFonts w:ascii="Times New Roman" w:hAnsi="Times New Roman" w:cs="Times New Roman"/>
          <w:sz w:val="24"/>
          <w:szCs w:val="24"/>
        </w:rPr>
        <w:t>, which are</w:t>
      </w:r>
      <w:r w:rsidR="007D722E" w:rsidRPr="00922C73">
        <w:rPr>
          <w:rFonts w:ascii="Times New Roman" w:hAnsi="Times New Roman" w:cs="Times New Roman"/>
          <w:sz w:val="24"/>
          <w:szCs w:val="24"/>
        </w:rPr>
        <w:t xml:space="preserve"> susceptible to bias</w:t>
      </w:r>
      <w:r w:rsidR="00336524" w:rsidRPr="00922C73">
        <w:rPr>
          <w:rFonts w:ascii="Times New Roman" w:hAnsi="Times New Roman" w:cs="Times New Roman"/>
          <w:sz w:val="24"/>
          <w:szCs w:val="24"/>
        </w:rPr>
        <w:t xml:space="preserve"> and limitations discussed above, but also reflective of real life practice. </w:t>
      </w:r>
      <w:r w:rsidR="007D722E" w:rsidRPr="00922C73">
        <w:rPr>
          <w:rFonts w:ascii="Times New Roman" w:hAnsi="Times New Roman" w:cs="Times New Roman"/>
          <w:sz w:val="24"/>
          <w:szCs w:val="24"/>
        </w:rPr>
        <w:t xml:space="preserve"> </w:t>
      </w:r>
    </w:p>
    <w:p w14:paraId="59FE29BE" w14:textId="77777777" w:rsidR="009B20BB" w:rsidRPr="00922C73" w:rsidRDefault="009B20BB" w:rsidP="00700BBF">
      <w:pPr>
        <w:autoSpaceDE w:val="0"/>
        <w:autoSpaceDN w:val="0"/>
        <w:adjustRightInd w:val="0"/>
        <w:spacing w:after="0" w:line="480" w:lineRule="auto"/>
        <w:rPr>
          <w:rFonts w:ascii="Times New Roman" w:hAnsi="Times New Roman" w:cs="Times New Roman"/>
          <w:kern w:val="24"/>
          <w:sz w:val="24"/>
          <w:szCs w:val="24"/>
          <w:lang w:eastAsia="en-GB"/>
        </w:rPr>
      </w:pPr>
    </w:p>
    <w:p w14:paraId="75F9F473" w14:textId="4CE0D310" w:rsidR="00025B22" w:rsidRPr="00922C73" w:rsidRDefault="00025B22" w:rsidP="00700BBF">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kern w:val="24"/>
          <w:sz w:val="24"/>
          <w:szCs w:val="24"/>
          <w:lang w:eastAsia="en-GB"/>
        </w:rPr>
        <w:t xml:space="preserve">More recent </w:t>
      </w:r>
      <w:r w:rsidR="00E41737" w:rsidRPr="00922C73">
        <w:rPr>
          <w:rFonts w:ascii="Times New Roman" w:hAnsi="Times New Roman" w:cs="Times New Roman"/>
          <w:kern w:val="24"/>
          <w:sz w:val="24"/>
          <w:szCs w:val="24"/>
          <w:lang w:eastAsia="en-GB"/>
        </w:rPr>
        <w:t xml:space="preserve">observational </w:t>
      </w:r>
      <w:r w:rsidRPr="00922C73">
        <w:rPr>
          <w:rFonts w:ascii="Times New Roman" w:hAnsi="Times New Roman" w:cs="Times New Roman"/>
          <w:kern w:val="24"/>
          <w:sz w:val="24"/>
          <w:szCs w:val="24"/>
          <w:lang w:eastAsia="en-GB"/>
        </w:rPr>
        <w:t xml:space="preserve">studies not included in the meta-analysis have also assessed the impact of ATI on clinical outcomes and shown that lower levels of </w:t>
      </w:r>
      <w:r w:rsidR="004D0622" w:rsidRPr="00922C73">
        <w:rPr>
          <w:rFonts w:ascii="Times New Roman" w:hAnsi="Times New Roman" w:cs="Times New Roman"/>
          <w:sz w:val="24"/>
          <w:szCs w:val="24"/>
        </w:rPr>
        <w:t>ATI are</w:t>
      </w:r>
      <w:r w:rsidRPr="00922C73">
        <w:rPr>
          <w:rFonts w:ascii="Times New Roman" w:hAnsi="Times New Roman" w:cs="Times New Roman"/>
          <w:sz w:val="24"/>
          <w:szCs w:val="24"/>
        </w:rPr>
        <w:t xml:space="preserve"> an independent predictor of remission and t</w:t>
      </w:r>
      <w:r w:rsidR="005B6FA5" w:rsidRPr="00922C73">
        <w:rPr>
          <w:rFonts w:ascii="Times New Roman" w:hAnsi="Times New Roman" w:cs="Times New Roman"/>
          <w:sz w:val="24"/>
          <w:szCs w:val="24"/>
        </w:rPr>
        <w:t>hat th</w:t>
      </w:r>
      <w:r w:rsidRPr="00922C73">
        <w:rPr>
          <w:rFonts w:ascii="Times New Roman" w:hAnsi="Times New Roman" w:cs="Times New Roman"/>
          <w:sz w:val="24"/>
          <w:szCs w:val="24"/>
        </w:rPr>
        <w:t xml:space="preserve">e presence of sustained ATI is an independent predictor of loss of response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{"citationItems":[{"id":"ITEM-1","itemData":{"DOI":"10.1136/gutjnl-2014-307883","ISBN":"0017-5749","ISSN":"0017-5749","PMID":"25336114","abstract":"OBJECTIVE Although low infliximab trough concentrations and antibodies to infliximab (ATI) are associated with poor outcomes in patients with Crohn's disease (CD), the clinical relevance of ATI in patients with adequate infliximab concentrations is uncertain. We evaluated this question using an assay sensitive for identification of ATI in the presence of infliximab. DESIGN In an observational study, 1487 trough serum samples from 483 patients with CD who participated in four clinical studies of maintenance infliximab therapy were analysed using a fluid phase mobility shift assay. Infliximab and ATI concentrations most discriminant for remission, defined as a C-reactive protein concentration of ≤ 5 mg/L, were determined by receiver operating characteristic curves. A multivariable regression model evaluated these factors as independent predictors of remission. RESULTS Based upon analysis of 1487 samples, 77.1% of patients had detectable and 22.9% had undetectable infliximab concentrations, of which 9.5% and 71.8%, respectively, were positive for ATI. An infliximab concentration of &gt; 2.79 μg/mL (area under the curve (AUC) = 0.681; 95% CI 0.632 to 0.731) and ATI concentration of &lt; 3.15 U/mL (AUC = 0.632; 95% CI 0.589 to 0.676) were associated with remission. Multivariable analysis showed that concentrations of both infliximab trough (OR 1.8; 95% CI 1.3 to 2.5; p &lt; 0.001) and ATI (OR 0.57; 95% CI 0.39 to 0.81; p = 0.002) were independent predictors of remission. CONCLUSIONS The development of ATI increases the probability of active disease even at low concentrations and in the presence of a therapeutic concentration of drug during infliximab maintenance therapy. Evaluation of strategies to prevent ATI formation, including therapeutic drug monitoring with selective infliximab dose intensification, is needed.","author":[{"dropping-particle":"","family":"Casteele","given":"Niels","non-dropping-particle":"Vande","parse-names":false,"suffix":""},{"dropping-particle":"","family":"Khanna","given":"Reena","non-dropping-particle":"","parse-names":false,"suffix":""},{"dropping-particle":"","family":"Levesque","given":"Barrett G","non-dropping-particle":"","parse-names":false,"suffix":""},{"dropping-particle":"","family":"Stitt","given":"Larry","non-dropping-particle":"","parse-names":false,"suffix":""},{"dropping-particle":"","family":"Zou","given":"G Y","non-dropping-particle":"","parse-names":false,"suffix":""},{"dropping-particle":"","family":"Singh","given":"Sharat","non-dropping-particle":"","parse-names":false,"suffix":""},{"dropping-particle":"","family":"Lockton","given":"Steve","non-dropping-particle":"","parse-names":false,"suffix":""},{"dropping-particle":"","family":"Hauenstein","given":"Scott","non-dropping-particle":"","parse-names":false,"suffix":""},{"dropping-particle":"","family":"Ohrmund","given":"Linda","non-dropping-particle":"","parse-names":false,"suffix":""},{"dropping-particle":"","family":"Greenberg","given":"Gordon R","non-dropping-particle":"","parse-names":false,"suffix":""},{"dropping-particle":"","family":"Rutgeerts","given":"Paul J","non-dropping-particle":"","parse-names":false,"suffix":""},{"dropping-particle":"","family":"Gils","given":"Ann","non-dropping-particle":"","parse-names":false,"suffix":""},{"dropping-particle":"","family":"Sandborn","given":"William J","non-dropping-particle":"","parse-names":false,"suffix":""},{"dropping-particle":"","family":"Vermeire","given":"Séverine","non-dropping-particle":"","parse-names":false,"suffix":""},{"dropping-particle":"","family":"Feagan","given":"Brian G","non-dropping-particle":"","parse-names":false,"suffix":""}],"container-title":"Gut","id":"ITEM-1","issue":"10","issued":{"date-parts":[["2015","10"]]},"page":"1539-1545","title":"The relationship between infliximab concentrations, antibodies to infliximab and disease activity in Crohn's disease","type":"article-journal","volume":"64"},"uris":["http://www.mendeley.com/documents/?uuid=779feb1c-0258-4bcc-8e22-c9ba0e7cad4b","http://www.mendeley.com/documents/?uuid=3dac88bf-a464-420e-8f4e-bdfd5d921a93","http://www.mendeley.com/documents/?uuid=320e0966-9777-433f-aeff-26091f10b5e6"]},{"id":"ITEM-2","itemData":{"DOI":"10.1093/ecco-jcc/jjv061","ISSN":"1873-9946","author":[{"dropping-particle":"","family":"Roblin","given":"X.","non-dropping-particle":"","parse-names":false,"suffix":""},{"dropping-particle":"","family":"Marotte","given":"H.","non-dropping-particle":"","parse-names":false,"suffix":""},{"dropping-particle":"","family":"Leclerc","given":"M.","non-dropping-particle":"","parse-names":false,"suffix":""},{"dropping-particle":"","family":"Tedesco","given":"E.","non-dropping-particle":"Del","parse-names":false,"suffix":""},{"dropping-particle":"","family":"Phelip","given":"J.M.","non-dropping-particle":"","parse-names":false,"suffix":""},{"dropping-particle":"","family":"Peyrin-Biroulet","given":"L.","non-dropping-particle":"","parse-names":false,"suffix":""},{"dropping-particle":"","family":"Paul","given":"S.","non-dropping-particle":"","parse-names":false,"suffix":""}],"container-title":"Journal of Crohn's and Colitis","id":"ITEM-2","issue":"7","issued":{"date-parts":[["2015","7"]]},"page":"525-531","title":"Combination of C-reactive Protein, Infliximab Trough Levels, and Stable but Not Transient Antibodies to Infliximab Are Associated With Loss of Response to Infliximab in Inflammatory Bowel Disease","type":"article-journal","volume":"9"},"uris":["http://www.mendeley.com/documents/?uuid=10aed7b3-8d15-4b96-a9fa-9861f42dcfa6"]}],"mendeley":{"formattedCitation":"&lt;sup&gt;121,137&lt;/sup&gt;","plainTextFormattedCitation":"121,137","previouslyFormattedCitation":"&lt;sup&gt;121,137&lt;/sup&gt;"},"properties":{"noteIndex":0},"schema":"https://github.com/citation-style-language/schema/raw/master/csl-citation.json"}</w:instrText>
      </w:r>
      <w:r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121,137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with time to loss of response significantly longer in patients with no </w:t>
      </w:r>
      <w:r w:rsidRPr="00922C73">
        <w:rPr>
          <w:rFonts w:ascii="Times New Roman" w:hAnsi="Times New Roman" w:cs="Times New Roman"/>
          <w:sz w:val="24"/>
          <w:szCs w:val="24"/>
        </w:rPr>
        <w:lastRenderedPageBreak/>
        <w:t xml:space="preserve">ATI compared to those with </w:t>
      </w:r>
      <w:r w:rsidR="00401309" w:rsidRPr="00922C73">
        <w:rPr>
          <w:rFonts w:ascii="Times New Roman" w:hAnsi="Times New Roman" w:cs="Times New Roman"/>
          <w:sz w:val="24"/>
          <w:szCs w:val="24"/>
        </w:rPr>
        <w:t xml:space="preserve">low or high </w:t>
      </w:r>
      <w:r w:rsidRPr="00922C73">
        <w:rPr>
          <w:rFonts w:ascii="Times New Roman" w:hAnsi="Times New Roman" w:cs="Times New Roman"/>
          <w:sz w:val="24"/>
          <w:szCs w:val="24"/>
        </w:rPr>
        <w:t xml:space="preserve">antibodies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-1","issue":"8","issued":{"date-parts":[["2014","8"]]},"page":"1258-1264","title":"The temporal evolution of antidrug antibodies in patients with inflammatory bowel disease treated with infliximab","type":"article-journal","volume":"63"},"uris":["http://www.mendeley.com/documents/?uuid=22938eaa-88d8-44e4-a3f4-676386a86637","http://www.mendeley.com/documents/?uuid=002a1638-74ae-4bb5-b24e-0614c8af15d9","http://www.mendeley.com/documents/?uuid=5245c11b-6335-41bc-8ed2-f700ac2cb263"]}],"mendeley":{"formattedCitation":"&lt;sup&gt;129&lt;/sup&gt;","plainTextFormattedCitation":"129","previouslyFormattedCitation":"&lt;sup&gt;129&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129</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These </w:t>
      </w:r>
      <w:r w:rsidR="005B6FA5" w:rsidRPr="00922C73">
        <w:rPr>
          <w:rFonts w:ascii="Times New Roman" w:hAnsi="Times New Roman" w:cs="Times New Roman"/>
          <w:sz w:val="24"/>
          <w:szCs w:val="24"/>
        </w:rPr>
        <w:t xml:space="preserve">later </w:t>
      </w:r>
      <w:r w:rsidRPr="00922C73">
        <w:rPr>
          <w:rFonts w:ascii="Times New Roman" w:hAnsi="Times New Roman" w:cs="Times New Roman"/>
          <w:sz w:val="24"/>
          <w:szCs w:val="24"/>
        </w:rPr>
        <w:t>studies used drug tolerant assay</w:t>
      </w:r>
      <w:r w:rsidR="005B6FA5" w:rsidRPr="00922C73">
        <w:rPr>
          <w:rFonts w:ascii="Times New Roman" w:hAnsi="Times New Roman" w:cs="Times New Roman"/>
          <w:sz w:val="24"/>
          <w:szCs w:val="24"/>
        </w:rPr>
        <w:t>s</w:t>
      </w:r>
      <w:r w:rsidRPr="00922C73">
        <w:rPr>
          <w:rFonts w:ascii="Times New Roman" w:hAnsi="Times New Roman" w:cs="Times New Roman"/>
          <w:sz w:val="24"/>
          <w:szCs w:val="24"/>
        </w:rPr>
        <w:t xml:space="preserve">. </w:t>
      </w:r>
    </w:p>
    <w:p w14:paraId="74FDA674" w14:textId="77777777" w:rsidR="001710D1" w:rsidRPr="00922C73" w:rsidRDefault="001710D1" w:rsidP="00700BBF">
      <w:pPr>
        <w:autoSpaceDE w:val="0"/>
        <w:autoSpaceDN w:val="0"/>
        <w:adjustRightInd w:val="0"/>
        <w:spacing w:after="0" w:line="480" w:lineRule="auto"/>
        <w:rPr>
          <w:rFonts w:ascii="Times New Roman" w:hAnsi="Times New Roman" w:cs="Times New Roman"/>
          <w:sz w:val="24"/>
          <w:szCs w:val="24"/>
        </w:rPr>
      </w:pPr>
    </w:p>
    <w:p w14:paraId="1B4924B4" w14:textId="00A2626E" w:rsidR="005B6FA5" w:rsidRPr="00922C73" w:rsidRDefault="00F40B8F" w:rsidP="002D7BEB">
      <w:pPr>
        <w:pStyle w:val="Heading3"/>
        <w:spacing w:line="480" w:lineRule="auto"/>
        <w:rPr>
          <w:rFonts w:ascii="Times New Roman" w:hAnsi="Times New Roman" w:cs="Times New Roman"/>
          <w:b/>
          <w:bCs/>
          <w:lang w:eastAsia="en-GB"/>
        </w:rPr>
      </w:pPr>
      <w:bookmarkStart w:id="57" w:name="_Hlk135660573"/>
      <w:bookmarkStart w:id="58" w:name="_Toc151020467"/>
      <w:r w:rsidRPr="00922C73">
        <w:rPr>
          <w:rFonts w:ascii="Times New Roman" w:hAnsi="Times New Roman" w:cs="Times New Roman"/>
          <w:b/>
          <w:bCs/>
          <w:lang w:eastAsia="en-GB"/>
        </w:rPr>
        <w:t>1.</w:t>
      </w:r>
      <w:r w:rsidR="002D7BEB" w:rsidRPr="00922C73">
        <w:rPr>
          <w:rFonts w:ascii="Times New Roman" w:hAnsi="Times New Roman" w:cs="Times New Roman"/>
          <w:b/>
          <w:bCs/>
          <w:lang w:eastAsia="en-GB"/>
        </w:rPr>
        <w:t>3.</w:t>
      </w:r>
      <w:r w:rsidR="00F64D9D" w:rsidRPr="00922C73">
        <w:rPr>
          <w:rFonts w:ascii="Times New Roman" w:hAnsi="Times New Roman" w:cs="Times New Roman"/>
          <w:b/>
          <w:bCs/>
          <w:lang w:eastAsia="en-GB"/>
        </w:rPr>
        <w:t>5</w:t>
      </w:r>
      <w:r w:rsidR="002D7BEB" w:rsidRPr="00922C73">
        <w:rPr>
          <w:rFonts w:ascii="Times New Roman" w:hAnsi="Times New Roman" w:cs="Times New Roman"/>
          <w:b/>
          <w:bCs/>
          <w:lang w:eastAsia="en-GB"/>
        </w:rPr>
        <w:t xml:space="preserve"> </w:t>
      </w:r>
      <w:bookmarkEnd w:id="57"/>
      <w:r w:rsidR="00DD34E9" w:rsidRPr="00922C73">
        <w:rPr>
          <w:rFonts w:ascii="Times New Roman" w:hAnsi="Times New Roman" w:cs="Times New Roman"/>
          <w:b/>
          <w:bCs/>
          <w:lang w:eastAsia="en-GB"/>
        </w:rPr>
        <w:t>The association between ATI and i</w:t>
      </w:r>
      <w:r w:rsidR="005D124A" w:rsidRPr="00922C73">
        <w:rPr>
          <w:rFonts w:ascii="Times New Roman" w:hAnsi="Times New Roman" w:cs="Times New Roman"/>
          <w:b/>
          <w:bCs/>
          <w:lang w:eastAsia="en-GB"/>
        </w:rPr>
        <w:t>nfusion reaction</w:t>
      </w:r>
      <w:r w:rsidR="005B35BA" w:rsidRPr="00922C73">
        <w:rPr>
          <w:rFonts w:ascii="Times New Roman" w:hAnsi="Times New Roman" w:cs="Times New Roman"/>
          <w:b/>
          <w:bCs/>
          <w:lang w:eastAsia="en-GB"/>
        </w:rPr>
        <w:t>s</w:t>
      </w:r>
      <w:bookmarkEnd w:id="58"/>
    </w:p>
    <w:p w14:paraId="45D56CA4" w14:textId="11F037F3" w:rsidR="008E1445" w:rsidRPr="00922C73" w:rsidRDefault="007F7253" w:rsidP="008A7A7B">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hAnsi="Times New Roman" w:cs="Times New Roman"/>
          <w:kern w:val="24"/>
          <w:sz w:val="24"/>
          <w:szCs w:val="24"/>
        </w:rPr>
        <w:t xml:space="preserve">Infusion reactions can be </w:t>
      </w:r>
      <w:r w:rsidR="00D83F3B" w:rsidRPr="00922C73">
        <w:rPr>
          <w:rFonts w:ascii="Times New Roman" w:hAnsi="Times New Roman" w:cs="Times New Roman"/>
          <w:kern w:val="24"/>
          <w:sz w:val="24"/>
          <w:szCs w:val="24"/>
        </w:rPr>
        <w:t xml:space="preserve">defined as </w:t>
      </w:r>
      <w:r w:rsidR="00430884" w:rsidRPr="00922C73">
        <w:rPr>
          <w:rFonts w:ascii="Times New Roman" w:hAnsi="Times New Roman" w:cs="Times New Roman"/>
          <w:kern w:val="24"/>
          <w:sz w:val="24"/>
          <w:szCs w:val="24"/>
        </w:rPr>
        <w:t xml:space="preserve">1) </w:t>
      </w:r>
      <w:r w:rsidR="00D83F3B" w:rsidRPr="00922C73">
        <w:rPr>
          <w:rFonts w:ascii="Times New Roman" w:hAnsi="Times New Roman" w:cs="Times New Roman"/>
          <w:kern w:val="24"/>
          <w:sz w:val="24"/>
          <w:szCs w:val="24"/>
        </w:rPr>
        <w:t>acute</w:t>
      </w:r>
      <w:r w:rsidR="00430884" w:rsidRPr="00922C73">
        <w:rPr>
          <w:rFonts w:ascii="Times New Roman" w:hAnsi="Times New Roman" w:cs="Times New Roman"/>
          <w:kern w:val="24"/>
          <w:sz w:val="24"/>
          <w:szCs w:val="24"/>
        </w:rPr>
        <w:t xml:space="preserve"> or </w:t>
      </w:r>
      <w:r w:rsidR="00D83F3B" w:rsidRPr="00922C73">
        <w:rPr>
          <w:rFonts w:ascii="Times New Roman" w:hAnsi="Times New Roman" w:cs="Times New Roman"/>
          <w:kern w:val="24"/>
          <w:sz w:val="24"/>
          <w:szCs w:val="24"/>
        </w:rPr>
        <w:t>immediate</w:t>
      </w:r>
      <w:r w:rsidR="00D66674" w:rsidRPr="00922C73">
        <w:rPr>
          <w:rFonts w:ascii="Times New Roman" w:hAnsi="Times New Roman" w:cs="Times New Roman"/>
          <w:kern w:val="24"/>
          <w:sz w:val="24"/>
          <w:szCs w:val="24"/>
        </w:rPr>
        <w:t xml:space="preserve">, </w:t>
      </w:r>
      <w:r w:rsidR="00D83F3B" w:rsidRPr="00922C73">
        <w:rPr>
          <w:rFonts w:ascii="Times New Roman" w:hAnsi="Times New Roman" w:cs="Times New Roman"/>
          <w:kern w:val="24"/>
          <w:sz w:val="24"/>
          <w:szCs w:val="24"/>
        </w:rPr>
        <w:t>occurring</w:t>
      </w:r>
      <w:r w:rsidRPr="00922C73">
        <w:rPr>
          <w:rFonts w:ascii="Times New Roman" w:hAnsi="Times New Roman" w:cs="Times New Roman"/>
          <w:kern w:val="24"/>
          <w:sz w:val="24"/>
          <w:szCs w:val="24"/>
        </w:rPr>
        <w:t xml:space="preserve"> during the infusion or within 1-2 hours of completion or </w:t>
      </w:r>
      <w:r w:rsidR="00430884" w:rsidRPr="00922C73">
        <w:rPr>
          <w:rFonts w:ascii="Times New Roman" w:hAnsi="Times New Roman" w:cs="Times New Roman"/>
          <w:kern w:val="24"/>
          <w:sz w:val="24"/>
          <w:szCs w:val="24"/>
        </w:rPr>
        <w:t xml:space="preserve">2) </w:t>
      </w:r>
      <w:r w:rsidRPr="00922C73">
        <w:rPr>
          <w:rFonts w:ascii="Times New Roman" w:hAnsi="Times New Roman" w:cs="Times New Roman"/>
          <w:kern w:val="24"/>
          <w:sz w:val="24"/>
          <w:szCs w:val="24"/>
        </w:rPr>
        <w:t>delayed</w:t>
      </w:r>
      <w:r w:rsidR="00430884" w:rsidRPr="00922C73">
        <w:rPr>
          <w:rFonts w:ascii="Times New Roman" w:hAnsi="Times New Roman" w:cs="Times New Roman"/>
          <w:kern w:val="24"/>
          <w:sz w:val="24"/>
          <w:szCs w:val="24"/>
        </w:rPr>
        <w:t xml:space="preserve"> or </w:t>
      </w:r>
      <w:r w:rsidRPr="00922C73">
        <w:rPr>
          <w:rFonts w:ascii="Times New Roman" w:hAnsi="Times New Roman" w:cs="Times New Roman"/>
          <w:kern w:val="24"/>
          <w:sz w:val="24"/>
          <w:szCs w:val="24"/>
          <w:lang w:eastAsia="en-GB"/>
        </w:rPr>
        <w:t>l</w:t>
      </w:r>
      <w:r w:rsidR="00D83F3B" w:rsidRPr="00922C73">
        <w:rPr>
          <w:rFonts w:ascii="Times New Roman" w:hAnsi="Times New Roman" w:cs="Times New Roman"/>
          <w:kern w:val="24"/>
          <w:sz w:val="24"/>
          <w:szCs w:val="24"/>
        </w:rPr>
        <w:t>ate</w:t>
      </w:r>
      <w:r w:rsidR="00D66674" w:rsidRPr="00922C73">
        <w:rPr>
          <w:rFonts w:ascii="Times New Roman" w:hAnsi="Times New Roman" w:cs="Times New Roman"/>
          <w:kern w:val="24"/>
          <w:sz w:val="24"/>
          <w:szCs w:val="24"/>
        </w:rPr>
        <w:t xml:space="preserve">, </w:t>
      </w:r>
      <w:r w:rsidR="00D83F3B" w:rsidRPr="00922C73">
        <w:rPr>
          <w:rFonts w:ascii="Times New Roman" w:hAnsi="Times New Roman" w:cs="Times New Roman"/>
          <w:kern w:val="24"/>
          <w:sz w:val="24"/>
          <w:szCs w:val="24"/>
          <w:lang w:eastAsia="en-GB"/>
        </w:rPr>
        <w:t>occurring</w:t>
      </w:r>
      <w:r w:rsidRPr="00922C73">
        <w:rPr>
          <w:rFonts w:ascii="Times New Roman" w:hAnsi="Times New Roman" w:cs="Times New Roman"/>
          <w:kern w:val="24"/>
          <w:sz w:val="24"/>
          <w:szCs w:val="24"/>
          <w:lang w:eastAsia="en-GB"/>
        </w:rPr>
        <w:t xml:space="preserve"> more than 24 hours post infusion</w:t>
      </w:r>
      <w:r w:rsidR="00D66674" w:rsidRPr="00922C73">
        <w:rPr>
          <w:rFonts w:ascii="Times New Roman" w:hAnsi="Times New Roman" w:cs="Times New Roman"/>
          <w:kern w:val="24"/>
          <w:sz w:val="24"/>
          <w:szCs w:val="24"/>
        </w:rPr>
        <w:t xml:space="preserve"> reported. Acute reactions are more common than delayed reactions, </w:t>
      </w:r>
      <w:bookmarkStart w:id="59" w:name="_Hlk87602690"/>
      <w:r w:rsidR="00D66674" w:rsidRPr="00922C73">
        <w:rPr>
          <w:rFonts w:ascii="Times New Roman" w:hAnsi="Times New Roman" w:cs="Times New Roman"/>
          <w:kern w:val="24"/>
          <w:sz w:val="24"/>
          <w:szCs w:val="24"/>
        </w:rPr>
        <w:t xml:space="preserve">5-23% compared to 1-3% in a systematic review </w:t>
      </w:r>
      <w:bookmarkEnd w:id="59"/>
      <w:r w:rsidR="00D83F3B"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868e8fa9-215d-4b93-88f6-15f905da3e01","http://www.mendeley.com/documents/?uuid=554ce6e6-8554-4609-b15a-4a78cdec0033","http://www.mendeley.com/documents/?uuid=46980e5d-a324-4be5-9921-6f1fc2ff65dd"]}],"mendeley":{"formattedCitation":"&lt;sup&gt;78&lt;/sup&gt;","plainTextFormattedCitation":"78","previouslyFormattedCitation":"&lt;sup&gt;78&lt;/sup&gt;"},"properties":{"noteIndex":0},"schema":"https://github.com/citation-style-language/schema/raw/master/csl-citation.json"}</w:instrText>
      </w:r>
      <w:r w:rsidR="00D83F3B" w:rsidRPr="00922C73">
        <w:rPr>
          <w:rFonts w:ascii="Times New Roman" w:hAnsi="Times New Roman" w:cs="Times New Roman"/>
          <w:kern w:val="24"/>
          <w:sz w:val="24"/>
          <w:szCs w:val="24"/>
          <w:lang w:eastAsia="en-GB"/>
        </w:rPr>
        <w:fldChar w:fldCharType="separate"/>
      </w:r>
      <w:r w:rsidR="00A00D49" w:rsidRPr="00922C73">
        <w:rPr>
          <w:rFonts w:ascii="Times New Roman" w:hAnsi="Times New Roman" w:cs="Times New Roman"/>
          <w:noProof/>
          <w:kern w:val="24"/>
          <w:sz w:val="24"/>
          <w:szCs w:val="24"/>
          <w:vertAlign w:val="superscript"/>
          <w:lang w:eastAsia="en-GB"/>
        </w:rPr>
        <w:t>78</w:t>
      </w:r>
      <w:r w:rsidR="00D83F3B" w:rsidRPr="00922C73">
        <w:rPr>
          <w:rFonts w:ascii="Times New Roman" w:hAnsi="Times New Roman" w:cs="Times New Roman"/>
          <w:kern w:val="24"/>
          <w:sz w:val="24"/>
          <w:szCs w:val="24"/>
          <w:lang w:eastAsia="en-GB"/>
        </w:rPr>
        <w:fldChar w:fldCharType="end"/>
      </w:r>
      <w:r w:rsidRPr="00922C73">
        <w:rPr>
          <w:rFonts w:ascii="Times New Roman" w:hAnsi="Times New Roman" w:cs="Times New Roman"/>
          <w:kern w:val="24"/>
          <w:sz w:val="24"/>
          <w:szCs w:val="24"/>
          <w:lang w:eastAsia="en-GB"/>
        </w:rPr>
        <w:t>.</w:t>
      </w:r>
      <w:r w:rsidR="00E85708" w:rsidRPr="00922C73">
        <w:rPr>
          <w:rFonts w:ascii="Times New Roman" w:hAnsi="Times New Roman" w:cs="Times New Roman"/>
          <w:kern w:val="24"/>
          <w:sz w:val="24"/>
          <w:szCs w:val="24"/>
          <w:lang w:eastAsia="en-GB"/>
        </w:rPr>
        <w:t xml:space="preserve"> R</w:t>
      </w:r>
      <w:r w:rsidR="002E0D7A" w:rsidRPr="00922C73">
        <w:rPr>
          <w:rFonts w:ascii="Times New Roman" w:hAnsi="Times New Roman" w:cs="Times New Roman"/>
          <w:kern w:val="24"/>
          <w:sz w:val="24"/>
          <w:szCs w:val="24"/>
          <w:lang w:eastAsia="en-GB"/>
        </w:rPr>
        <w:t>eported symptoms with an acute infusion reaction include rash,</w:t>
      </w:r>
      <w:r w:rsidR="002E0D7A" w:rsidRPr="00922C73">
        <w:rPr>
          <w:rFonts w:ascii="Times New Roman" w:eastAsia="SabonLTStd-Roman" w:hAnsi="Times New Roman" w:cs="Times New Roman"/>
          <w:sz w:val="24"/>
          <w:szCs w:val="24"/>
        </w:rPr>
        <w:t xml:space="preserve"> pruritus</w:t>
      </w:r>
      <w:r w:rsidR="009B618B" w:rsidRPr="00922C73">
        <w:rPr>
          <w:rFonts w:ascii="Times New Roman" w:eastAsia="SabonLTStd-Roman" w:hAnsi="Times New Roman" w:cs="Times New Roman"/>
          <w:sz w:val="24"/>
          <w:szCs w:val="24"/>
        </w:rPr>
        <w:t>, wheezing,</w:t>
      </w:r>
      <w:r w:rsidR="002E0D7A" w:rsidRPr="00922C73">
        <w:rPr>
          <w:rFonts w:ascii="Times New Roman" w:eastAsia="SabonLTStd-Roman" w:hAnsi="Times New Roman" w:cs="Times New Roman"/>
          <w:sz w:val="24"/>
          <w:szCs w:val="24"/>
        </w:rPr>
        <w:t xml:space="preserve"> flushing, </w:t>
      </w:r>
      <w:r w:rsidR="009B618B" w:rsidRPr="00922C73">
        <w:rPr>
          <w:rFonts w:ascii="Times New Roman" w:eastAsia="SabonLTStd-Roman" w:hAnsi="Times New Roman" w:cs="Times New Roman"/>
          <w:sz w:val="24"/>
          <w:szCs w:val="24"/>
        </w:rPr>
        <w:t>shortness of breath</w:t>
      </w:r>
      <w:r w:rsidR="002E0D7A" w:rsidRPr="00922C73">
        <w:rPr>
          <w:rFonts w:ascii="Times New Roman" w:eastAsia="SabonLTStd-Roman" w:hAnsi="Times New Roman" w:cs="Times New Roman"/>
          <w:sz w:val="24"/>
          <w:szCs w:val="24"/>
        </w:rPr>
        <w:t>, chest discomfor</w:t>
      </w:r>
      <w:r w:rsidR="009B618B" w:rsidRPr="00922C73">
        <w:rPr>
          <w:rFonts w:ascii="Times New Roman" w:eastAsia="SabonLTStd-Roman" w:hAnsi="Times New Roman" w:cs="Times New Roman"/>
          <w:sz w:val="24"/>
          <w:szCs w:val="24"/>
        </w:rPr>
        <w:t>t,</w:t>
      </w:r>
      <w:r w:rsidR="002E0D7A" w:rsidRPr="00922C73">
        <w:rPr>
          <w:rFonts w:ascii="Times New Roman" w:eastAsia="SabonLTStd-Roman" w:hAnsi="Times New Roman" w:cs="Times New Roman"/>
          <w:sz w:val="24"/>
          <w:szCs w:val="24"/>
        </w:rPr>
        <w:t xml:space="preserve"> hypertension, myalgia, nausea, urticaria</w:t>
      </w:r>
      <w:r w:rsidR="00E85708" w:rsidRPr="00922C73">
        <w:rPr>
          <w:rFonts w:ascii="Times New Roman" w:eastAsia="SabonLTStd-Roman" w:hAnsi="Times New Roman" w:cs="Times New Roman"/>
          <w:sz w:val="24"/>
          <w:szCs w:val="24"/>
        </w:rPr>
        <w:t xml:space="preserve">, </w:t>
      </w:r>
      <w:r w:rsidR="002E0D7A" w:rsidRPr="00922C73">
        <w:rPr>
          <w:rFonts w:ascii="Times New Roman" w:eastAsia="SabonLTStd-Roman" w:hAnsi="Times New Roman" w:cs="Times New Roman"/>
          <w:sz w:val="24"/>
          <w:szCs w:val="24"/>
        </w:rPr>
        <w:t>headache</w:t>
      </w:r>
      <w:r w:rsidR="00E85708" w:rsidRPr="00922C73">
        <w:rPr>
          <w:rFonts w:ascii="Times New Roman" w:eastAsia="SabonLTStd-Roman" w:hAnsi="Times New Roman" w:cs="Times New Roman"/>
          <w:sz w:val="24"/>
          <w:szCs w:val="24"/>
        </w:rPr>
        <w:t xml:space="preserve"> and </w:t>
      </w:r>
      <w:r w:rsidR="002E0D7A" w:rsidRPr="00922C73">
        <w:rPr>
          <w:rFonts w:ascii="Times New Roman" w:hAnsi="Times New Roman" w:cs="Times New Roman"/>
          <w:sz w:val="24"/>
          <w:szCs w:val="24"/>
        </w:rPr>
        <w:t>anaphylaxis</w:t>
      </w:r>
      <w:r w:rsidR="00CF63BC" w:rsidRPr="00922C73">
        <w:rPr>
          <w:rFonts w:ascii="Times New Roman" w:hAnsi="Times New Roman" w:cs="Times New Roman"/>
          <w:sz w:val="24"/>
          <w:szCs w:val="24"/>
        </w:rPr>
        <w:t xml:space="preserve"> </w:t>
      </w:r>
      <w:r w:rsidR="00CF63B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Review","type":"article-journal","volume":"9"},"uris":["http://www.mendeley.com/documents/?uuid=46980e5d-a324-4be5-9921-6f1fc2ff65dd"]},{"id":"ITEM-2","itemData":{"DOI":"10.1097/01.MIB.0000436951.80898.6d","ISSN":"1078-0998","abstract":"OBJECTIVES: Antibodies to infliximab (ATIs) have been associated with a risk of infusion reactions in some studies of patients with inflammatory bowel disease. However, many factors, such as immunomodulators and dosing schedule, may influence this association. The aim of this article was to provide a pooled estimate of the risk of infusion reactions according to patients' ATI status and analyze the relationship of immunomodulators to this risk. DESIGN: Public databases were searched for eligible studies. Quality assessment was undertaken for all studies using Grading of Recommendations Assessment, Development and Evaluation criteria. Raw data from studies meeting inclusion criteria were pooled for meta-analysis of effect estimates. Sensitivity analysis was performed for all outcomes. Funnel plot was performed to assess for publication bias. RESULTS: Eight studies met the inclusion criteria, with a pooled total of 1351 subjects. Seven of the 8 studies had a high risk of bias in at least 1 quality domain. The cumulative data indicated that there was a higher risk ratio (RR) of any acute infusion reaction (RR 2.4; 95% confidence interval [CI] 1.5-3.8, P &lt; 0.001) and severe infusion reactions (RR 5.8, 95% CI 1.7-19, P = 0.004) in patients with ATIs when compared with patients without ATIs. The RR of delayed hypersensitivity reactions was not significantly different between ATI+ and ATI- patients (RR 2.8, 95% CI 0.2-33, P = 0.4). Patients prescribed immunomodulators during maintenance infliximab therapy had a reduction in their risk for ATI development (RR 0.6, 95% CI 0.4-0.9, P = 0.02) and infusion reactions (RR 0.6, 95% CI 0.4-0.8, P &lt; 0.001). CONCLUSIONS: The presence of ATIs is associated with a significantly higher risk of acute infusion reactions, but not delayed hypersensitivity reactions, in patients with inflammatory bowel disease. Concomitant immunomodulators reduce this risk.","author":[{"dropping-particle":"","family":"O’Meara","given":"Sorcha","non-dropping-particle":"","parse-names":false,"suffix":""},{"dropping-particle":"","family":"Nanda","given":"Kavinderjit S","non-dropping-particle":"","parse-names":false,"suffix":""},{"dropping-particle":"","family":"Moss","given":"Alan C","non-dropping-particle":"","parse-names":false,"suffix":""}],"container-title":"Inflammatory Bowel Diseases","id":"ITEM-2","issue":"1","issued":{"date-parts":[["2014","1"]]},"page":"1-6","title":"Antibodies to Infliximab and Risk of Infusion Reactions in Patients With Inflammatory Bowel Disease","type":"article-journal","volume":"20"},"uris":["http://www.mendeley.com/documents/?uuid=ecb4d0db-9c90-475a-8f0a-7e1dab7d7bb2"]}],"mendeley":{"formattedCitation":"&lt;sup&gt;78,145&lt;/sup&gt;","plainTextFormattedCitation":"78,145","previouslyFormattedCitation":"&lt;sup&gt;78,145&lt;/sup&gt;"},"properties":{"noteIndex":0},"schema":"https://github.com/citation-style-language/schema/raw/master/csl-citation.json"}</w:instrText>
      </w:r>
      <w:r w:rsidR="00CF63B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78,145</w:t>
      </w:r>
      <w:r w:rsidR="00CF63BC" w:rsidRPr="00922C73">
        <w:rPr>
          <w:rFonts w:ascii="Times New Roman" w:hAnsi="Times New Roman" w:cs="Times New Roman"/>
          <w:sz w:val="24"/>
          <w:szCs w:val="24"/>
        </w:rPr>
        <w:fldChar w:fldCharType="end"/>
      </w:r>
      <w:r w:rsidR="002E0D7A" w:rsidRPr="00922C73">
        <w:rPr>
          <w:rFonts w:ascii="Times New Roman" w:hAnsi="Times New Roman" w:cs="Times New Roman"/>
          <w:sz w:val="24"/>
          <w:szCs w:val="24"/>
        </w:rPr>
        <w:t>.</w:t>
      </w:r>
      <w:r w:rsidR="00955C52" w:rsidRPr="00922C73">
        <w:rPr>
          <w:rFonts w:ascii="Times New Roman" w:hAnsi="Times New Roman" w:cs="Times New Roman"/>
          <w:sz w:val="24"/>
          <w:szCs w:val="24"/>
        </w:rPr>
        <w:t xml:space="preserve"> Delayed reactions are often reported 1-3 weeks after the infusion and </w:t>
      </w:r>
      <w:r w:rsidR="00B66F03" w:rsidRPr="00922C73">
        <w:rPr>
          <w:rFonts w:ascii="Times New Roman" w:eastAsia="SabonLTStd-Roman" w:hAnsi="Times New Roman" w:cs="Times New Roman"/>
          <w:sz w:val="24"/>
          <w:szCs w:val="24"/>
        </w:rPr>
        <w:t>i</w:t>
      </w:r>
      <w:r w:rsidR="00E85708" w:rsidRPr="00922C73">
        <w:rPr>
          <w:rFonts w:ascii="Times New Roman" w:eastAsia="SabonLTStd-Roman" w:hAnsi="Times New Roman" w:cs="Times New Roman"/>
          <w:sz w:val="24"/>
          <w:szCs w:val="24"/>
        </w:rPr>
        <w:t>nclude rash, fever, malaise, polyarthralgia and jaw pain</w:t>
      </w:r>
      <w:r w:rsidR="00CA3533" w:rsidRPr="00922C73">
        <w:rPr>
          <w:rFonts w:ascii="Times New Roman" w:eastAsia="SabonLTStd-Roman" w:hAnsi="Times New Roman" w:cs="Times New Roman"/>
          <w:sz w:val="24"/>
          <w:szCs w:val="24"/>
        </w:rPr>
        <w:t xml:space="preserve"> </w:t>
      </w:r>
      <w:r w:rsidR="00CA3533" w:rsidRPr="00922C73">
        <w:rPr>
          <w:rFonts w:ascii="Times New Roman" w:eastAsia="SabonLTStd-Roman" w:hAnsi="Times New Roman" w:cs="Times New Roman"/>
          <w:sz w:val="24"/>
          <w:szCs w:val="24"/>
        </w:rPr>
        <w:fldChar w:fldCharType="begin" w:fldLock="1"/>
      </w:r>
      <w:r w:rsidR="00DD0F87" w:rsidRPr="00922C73">
        <w:rPr>
          <w:rFonts w:ascii="Times New Roman" w:eastAsia="SabonLTStd-Roman" w:hAnsi="Times New Roman" w:cs="Times New Roman"/>
          <w:sz w:val="24"/>
          <w:szCs w:val="24"/>
        </w:rPr>
        <w:instrText>ADDIN CSL_CITATION {"citationItems":[{"id":"ITEM-1","itemData":{"DOI":"10.1097/01.MIB.0000436951.80898.6d","ISSN":"1078-0998","abstract":"OBJECTIVES: Antibodies to infliximab (ATIs) have been associated with a risk of infusion reactions in some studies of patients with inflammatory bowel disease. However, many factors, such as immunomodulators and dosing schedule, may influence this association. The aim of this article was to provide a pooled estimate of the risk of infusion reactions according to patients' ATI status and analyze the relationship of immunomodulators to this risk. DESIGN: Public databases were searched for eligible studies. Quality assessment was undertaken for all studies using Grading of Recommendations Assessment, Development and Evaluation criteria. Raw data from studies meeting inclusion criteria were pooled for meta-analysis of effect estimates. Sensitivity analysis was performed for all outcomes. Funnel plot was performed to assess for publication bias. RESULTS: Eight studies met the inclusion criteria, with a pooled total of 1351 subjects. Seven of the 8 studies had a high risk of bias in at least 1 quality domain. The cumulative data indicated that there was a higher risk ratio (RR) of any acute infusion reaction (RR 2.4; 95% confidence interval [CI] 1.5-3.8, P &lt; 0.001) and severe infusion reactions (RR 5.8, 95% CI 1.7-19, P = 0.004) in patients with ATIs when compared with patients without ATIs. The RR of delayed hypersensitivity reactions was not significantly different between ATI+ and ATI- patients (RR 2.8, 95% CI 0.2-33, P = 0.4). Patients prescribed immunomodulators during maintenance infliximab therapy had a reduction in their risk for ATI development (RR 0.6, 95% CI 0.4-0.9, P = 0.02) and infusion reactions (RR 0.6, 95% CI 0.4-0.8, P &lt; 0.001). CONCLUSIONS: The presence of ATIs is associated with a significantly higher risk of acute infusion reactions, but not delayed hypersensitivity reactions, in patients with inflammatory bowel disease. Concomitant immunomodulators reduce this risk.","author":[{"dropping-particle":"","family":"O’Meara","given":"Sorcha","non-dropping-particle":"","parse-names":false,"suffix":""},{"dropping-particle":"","family":"Nanda","given":"Kavinderjit S","non-dropping-particle":"","parse-names":false,"suffix":""},{"dropping-particle":"","family":"Moss","given":"Alan C","non-dropping-particle":"","parse-names":false,"suffix":""}],"container-title":"Inflammatory Bowel Diseases","id":"ITEM-1","issue":"1","issued":{"date-parts":[["2014","1"]]},"page":"1-6","title":"Antibodies to Infliximab and Risk of Infusion Reactions in Patients With Inflammatory Bowel Disease","type":"article-journal","volume":"20"},"uris":["http://www.mendeley.com/documents/?uuid=ecb4d0db-9c90-475a-8f0a-7e1dab7d7bb2"]},{"id":"ITEM-2","itemData":{"DOI":"10.1093/ecco-jcc/jjv096","ISBN":"1876-4479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Colitis","id":"ITEM-2","issue":"9","issued":{"date-parts":[["2015","9"]]},"page":"806-815","title":"Infliximab-Related Infusion Reactions: Systematic Review","type":"article-journal","volume":"9"},"uris":["http://www.mendeley.com/documents/?uuid=46980e5d-a324-4be5-9921-6f1fc2ff65dd"]}],"mendeley":{"formattedCitation":"&lt;sup&gt;78,145&lt;/sup&gt;","plainTextFormattedCitation":"78,145","previouslyFormattedCitation":"&lt;sup&gt;78,145&lt;/sup&gt;"},"properties":{"noteIndex":0},"schema":"https://github.com/citation-style-language/schema/raw/master/csl-citation.json"}</w:instrText>
      </w:r>
      <w:r w:rsidR="00CA3533" w:rsidRPr="00922C73">
        <w:rPr>
          <w:rFonts w:ascii="Times New Roman" w:eastAsia="SabonLTStd-Roman" w:hAnsi="Times New Roman" w:cs="Times New Roman"/>
          <w:sz w:val="24"/>
          <w:szCs w:val="24"/>
        </w:rPr>
        <w:fldChar w:fldCharType="separate"/>
      </w:r>
      <w:r w:rsidR="00A00D49" w:rsidRPr="00922C73">
        <w:rPr>
          <w:rFonts w:ascii="Times New Roman" w:eastAsia="SabonLTStd-Roman" w:hAnsi="Times New Roman" w:cs="Times New Roman"/>
          <w:noProof/>
          <w:sz w:val="24"/>
          <w:szCs w:val="24"/>
          <w:vertAlign w:val="superscript"/>
        </w:rPr>
        <w:t>78,145</w:t>
      </w:r>
      <w:r w:rsidR="00CA3533" w:rsidRPr="00922C73">
        <w:rPr>
          <w:rFonts w:ascii="Times New Roman" w:eastAsia="SabonLTStd-Roman" w:hAnsi="Times New Roman" w:cs="Times New Roman"/>
          <w:sz w:val="24"/>
          <w:szCs w:val="24"/>
        </w:rPr>
        <w:fldChar w:fldCharType="end"/>
      </w:r>
      <w:r w:rsidR="008A7A7B" w:rsidRPr="00922C73">
        <w:rPr>
          <w:rFonts w:ascii="Times New Roman" w:hAnsi="Times New Roman" w:cs="Times New Roman"/>
          <w:kern w:val="24"/>
          <w:sz w:val="24"/>
          <w:szCs w:val="24"/>
          <w:lang w:eastAsia="en-GB"/>
        </w:rPr>
        <w:t xml:space="preserve">. </w:t>
      </w:r>
      <w:r w:rsidRPr="00922C73">
        <w:rPr>
          <w:rFonts w:ascii="Times New Roman" w:hAnsi="Times New Roman" w:cs="Times New Roman"/>
          <w:kern w:val="24"/>
          <w:sz w:val="24"/>
          <w:szCs w:val="24"/>
          <w:lang w:eastAsia="en-GB"/>
        </w:rPr>
        <w:t xml:space="preserve">The risk of infusion reactions appears to be increased with episodic regimens, administration of infliximab after a prolonged drug-free interval, </w:t>
      </w:r>
      <w:r w:rsidR="00784029" w:rsidRPr="00922C73">
        <w:rPr>
          <w:rFonts w:ascii="Times New Roman" w:hAnsi="Times New Roman" w:cs="Times New Roman"/>
          <w:kern w:val="24"/>
          <w:sz w:val="24"/>
          <w:szCs w:val="24"/>
          <w:lang w:eastAsia="en-GB"/>
        </w:rPr>
        <w:t>and in those with</w:t>
      </w:r>
      <w:r w:rsidRPr="00922C73">
        <w:rPr>
          <w:rFonts w:ascii="Times New Roman" w:hAnsi="Times New Roman" w:cs="Times New Roman"/>
          <w:kern w:val="24"/>
          <w:sz w:val="24"/>
          <w:szCs w:val="24"/>
          <w:lang w:eastAsia="en-GB"/>
        </w:rPr>
        <w:t xml:space="preserve"> high ATI titres </w:t>
      </w:r>
      <w:r w:rsidR="00D66674" w:rsidRPr="00922C73">
        <w:rPr>
          <w:rFonts w:ascii="Times New Roman" w:hAnsi="Times New Roman" w:cs="Times New Roman"/>
          <w:kern w:val="24"/>
          <w:sz w:val="24"/>
          <w:szCs w:val="24"/>
          <w:lang w:eastAsia="en-GB"/>
        </w:rPr>
        <w:t>and</w:t>
      </w:r>
      <w:r w:rsidRPr="00922C73">
        <w:rPr>
          <w:rFonts w:ascii="Times New Roman" w:hAnsi="Times New Roman" w:cs="Times New Roman"/>
          <w:kern w:val="24"/>
          <w:sz w:val="24"/>
          <w:szCs w:val="24"/>
          <w:lang w:eastAsia="en-GB"/>
        </w:rPr>
        <w:t xml:space="preserve"> reduced in those </w:t>
      </w:r>
      <w:r w:rsidR="00784029" w:rsidRPr="00922C73">
        <w:rPr>
          <w:rFonts w:ascii="Times New Roman" w:hAnsi="Times New Roman" w:cs="Times New Roman"/>
          <w:kern w:val="24"/>
          <w:sz w:val="24"/>
          <w:szCs w:val="24"/>
          <w:lang w:eastAsia="en-GB"/>
        </w:rPr>
        <w:t>receiving</w:t>
      </w:r>
      <w:r w:rsidRPr="00922C73">
        <w:rPr>
          <w:rFonts w:ascii="Times New Roman" w:hAnsi="Times New Roman" w:cs="Times New Roman"/>
          <w:kern w:val="24"/>
          <w:sz w:val="24"/>
          <w:szCs w:val="24"/>
          <w:lang w:eastAsia="en-GB"/>
        </w:rPr>
        <w:t xml:space="preserve"> concomitant immunosuppression</w:t>
      </w:r>
      <w:r w:rsidR="00D83F3B" w:rsidRPr="00922C73">
        <w:rPr>
          <w:rFonts w:ascii="Times New Roman" w:hAnsi="Times New Roman" w:cs="Times New Roman"/>
          <w:kern w:val="24"/>
          <w:sz w:val="24"/>
          <w:szCs w:val="24"/>
          <w:lang w:eastAsia="en-GB"/>
        </w:rPr>
        <w:t xml:space="preserve"> </w:t>
      </w:r>
      <w:r w:rsidR="00D83F3B"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{"citationItems":[{"id":"ITEM-1","itemData":{"DOI":"10.1097/01.MIB.0000436951.80898.6d","ISSN":"1078-0998","abstract":"OBJECTIVES: Antibodies to infliximab (ATIs) have been associated with a risk of infusion reactions in some studies of patients with inflammatory bowel disease. However, many factors, such as immunomodulators and dosing schedule, may influence this association. The aim of this article was to provide a pooled estimate of the risk of infusion reactions according to patients' ATI status and analyze the relationship of immunomodulators to this risk. DESIGN: Public databases were searched for eligible studies. Quality assessment was undertaken for all studies using Grading of Recommendations Assessment, Development and Evaluation criteria. Raw data from studies meeting inclusion criteria were pooled for meta-analysis of effect estimates. Sensitivity analysis was performed for all outcomes. Funnel plot was performed to assess for publication bias. RESULTS: Eight studies met the inclusion criteria, with a pooled total of 1351 subjects. Seven of the 8 studies had a high risk of bias in at least 1 quality domain. The cumulative data indicated that there was a higher risk ratio (RR) of any acute infusion reaction (RR 2.4; 95% confidence interval [CI] 1.5-3.8, P &lt; 0.001) and severe infusion reactions (RR 5.8, 95% CI 1.7-19, P = 0.004) in patients with ATIs when compared with patients without ATIs. The RR of delayed hypersensitivity reactions was not significantly different between ATI+ and ATI- patients (RR 2.8, 95% CI 0.2-33, P = 0.4). Patients prescribed immunomodulators during maintenance infliximab therapy had a reduction in their risk for ATI development (RR 0.6, 95% CI 0.4-0.9, P = 0.02) and infusion reactions (RR 0.6, 95% CI 0.4-0.8, P &lt; 0.001). CONCLUSIONS: The presence of ATIs is associated with a significantly higher risk of acute infusion reactions, but not delayed hypersensitivity reactions, in patients with inflammatory bowel disease. Concomitant immunomodulators reduce this risk.","author":[{"dropping-particle":"","family":"O’Meara","given":"Sorcha","non-dropping-particle":"","parse-names":false,"suffix":""},{"dropping-particle":"","family":"Nanda","given":"Kavinderjit S","non-dropping-particle":"","parse-names":false,"suffix":""},{"dropping-particle":"","family":"Moss","given":"Alan C","non-dropping-particle":"","parse-names":false,"suffix":""}],"container-title":"Inflammatory Bowel Diseases","id":"ITEM-1","issue":"1","issued":{"date-parts":[["2014","1"]]},"page":"1-6","title":"Antibodies to Infliximab and Risk of Infusion Reactions in Patients With Inflammatory Bowel Disease","type":"article-journal","volume":"20"},"uris":["http://www.mendeley.com/documents/?uuid=60a882bf-855d-40f0-a3d8-848b995aa4f3","http://www.mendeley.com/documents/?uuid=2a5c6998-1ffe-40aa-9b41-33a00e63f9ce","http://www.mendeley.com/documents/?uuid=ecb4d0db-9c90-475a-8f0a-7e1dab7d7bb2"]},{"id":"ITEM-2","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Colitis","id":"ITEM-2","issue":"9","issued":{"date-parts":[["2015","9"]]},"page":"806-815","title":"Infliximab-Related Infusion Reactions: Systematic Review","type":"article-journal","volume":"9"},"uris":["http://www.mendeley.com/documents/?uuid=46980e5d-a324-4be5-9921-6f1fc2ff65dd","http://www.mendeley.com/documents/?uuid=868e8fa9-215d-4b93-88f6-15f905da3e01","http://www.mendeley.com/documents/?uuid=554ce6e6-8554-4609-b15a-4a78cdec0033"]}],"mendeley":{"formattedCitation":"&lt;sup&gt;78,145&lt;/sup&gt;","plainTextFormattedCitation":"78,145","previouslyFormattedCitation":"&lt;sup&gt;78,145&lt;/sup&gt;"},"properties":{"noteIndex":0},"schema":"https://github.com/citation-style-language/schema/raw/master/csl-citation.json"}</w:instrText>
      </w:r>
      <w:r w:rsidR="00D83F3B" w:rsidRPr="00922C73">
        <w:rPr>
          <w:rFonts w:ascii="Times New Roman" w:hAnsi="Times New Roman" w:cs="Times New Roman"/>
          <w:kern w:val="24"/>
          <w:sz w:val="24"/>
          <w:szCs w:val="24"/>
          <w:vertAlign w:val="superscript"/>
          <w:lang w:eastAsia="en-GB"/>
        </w:rPr>
        <w:fldChar w:fldCharType="separate"/>
      </w:r>
      <w:r w:rsidR="00A00D49" w:rsidRPr="00922C73">
        <w:rPr>
          <w:rFonts w:ascii="Times New Roman" w:hAnsi="Times New Roman" w:cs="Times New Roman"/>
          <w:noProof/>
          <w:kern w:val="24"/>
          <w:sz w:val="24"/>
          <w:szCs w:val="24"/>
          <w:vertAlign w:val="superscript"/>
          <w:lang w:eastAsia="en-GB"/>
        </w:rPr>
        <w:t>78,145</w:t>
      </w:r>
      <w:r w:rsidR="00D83F3B" w:rsidRPr="00922C73">
        <w:rPr>
          <w:rFonts w:ascii="Times New Roman" w:hAnsi="Times New Roman" w:cs="Times New Roman"/>
          <w:kern w:val="24"/>
          <w:sz w:val="24"/>
          <w:szCs w:val="24"/>
          <w:lang w:eastAsia="en-GB"/>
        </w:rPr>
        <w:fldChar w:fldCharType="end"/>
      </w:r>
      <w:r w:rsidR="008E1445" w:rsidRPr="00922C73">
        <w:rPr>
          <w:rFonts w:ascii="Times New Roman" w:hAnsi="Times New Roman" w:cs="Times New Roman"/>
          <w:kern w:val="24"/>
          <w:sz w:val="24"/>
          <w:szCs w:val="24"/>
          <w:lang w:eastAsia="en-GB"/>
        </w:rPr>
        <w:t xml:space="preserve">. </w:t>
      </w:r>
    </w:p>
    <w:p w14:paraId="62F48461" w14:textId="77777777" w:rsidR="008E1445" w:rsidRPr="00922C73" w:rsidRDefault="008E1445" w:rsidP="008A7A7B">
      <w:pPr>
        <w:autoSpaceDE w:val="0"/>
        <w:autoSpaceDN w:val="0"/>
        <w:adjustRightInd w:val="0"/>
        <w:spacing w:after="0" w:line="480" w:lineRule="auto"/>
        <w:rPr>
          <w:rFonts w:ascii="Times New Roman" w:hAnsi="Times New Roman" w:cs="Times New Roman"/>
          <w:kern w:val="24"/>
          <w:sz w:val="24"/>
          <w:szCs w:val="24"/>
          <w:lang w:eastAsia="en-GB"/>
        </w:rPr>
      </w:pPr>
    </w:p>
    <w:p w14:paraId="27B5A18D" w14:textId="07417D86" w:rsidR="008E1445" w:rsidRPr="00922C73" w:rsidRDefault="00396F6A" w:rsidP="008A7A7B">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kern w:val="24"/>
          <w:sz w:val="24"/>
          <w:szCs w:val="24"/>
          <w:lang w:eastAsia="en-GB"/>
        </w:rPr>
        <w:t>Meta-analyse</w:t>
      </w:r>
      <w:r w:rsidR="007F7253" w:rsidRPr="00922C73">
        <w:rPr>
          <w:rFonts w:ascii="Times New Roman" w:hAnsi="Times New Roman" w:cs="Times New Roman"/>
          <w:kern w:val="24"/>
          <w:sz w:val="24"/>
          <w:szCs w:val="24"/>
          <w:lang w:eastAsia="en-GB"/>
        </w:rPr>
        <w:t xml:space="preserve">s </w:t>
      </w:r>
      <w:r w:rsidRPr="00922C73">
        <w:rPr>
          <w:rFonts w:ascii="Times New Roman" w:hAnsi="Times New Roman" w:cs="Times New Roman"/>
          <w:kern w:val="24"/>
          <w:sz w:val="24"/>
          <w:szCs w:val="24"/>
          <w:lang w:eastAsia="en-GB"/>
        </w:rPr>
        <w:t>have shown that IBD patients with</w:t>
      </w:r>
      <w:r w:rsidR="007F7253" w:rsidRPr="00922C73">
        <w:rPr>
          <w:rFonts w:ascii="Times New Roman" w:hAnsi="Times New Roman" w:cs="Times New Roman"/>
          <w:kern w:val="24"/>
          <w:sz w:val="24"/>
          <w:szCs w:val="24"/>
          <w:lang w:eastAsia="en-GB"/>
        </w:rPr>
        <w:t xml:space="preserve"> ATI have a significantly </w:t>
      </w:r>
      <w:r w:rsidR="007F7253" w:rsidRPr="00922C73">
        <w:rPr>
          <w:rFonts w:ascii="Times New Roman" w:hAnsi="Times New Roman" w:cs="Times New Roman"/>
          <w:sz w:val="24"/>
          <w:szCs w:val="24"/>
          <w:shd w:val="clear" w:color="auto" w:fill="FFFFFF"/>
        </w:rPr>
        <w:t xml:space="preserve">higher risk of </w:t>
      </w:r>
      <w:r w:rsidRPr="00922C73">
        <w:rPr>
          <w:rFonts w:ascii="Times New Roman" w:hAnsi="Times New Roman" w:cs="Times New Roman"/>
          <w:sz w:val="24"/>
          <w:szCs w:val="24"/>
          <w:shd w:val="clear" w:color="auto" w:fill="FFFFFF"/>
        </w:rPr>
        <w:t xml:space="preserve">infusion reactions </w:t>
      </w:r>
      <w:r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Hepatology","id":"ITEM-1","issue":"9","issued":{"date-parts":[["2012","9"]]},"page":"1078-1085","title":"Anti-infliximab antibodies in inflammatory bowel disease","type":"article-journal","volume":"24"},"uris":["http://www.mendeley.com/documents/?uuid=be88c796-5731-4d66-ae3c-69c77792e881","http://www.mendeley.com/documents/?uuid=616200d6-026f-4099-9c1e-544e53c02e78","http://www.mendeley.com/documents/?uuid=92685e11-2667-4914-94b2-2cc20eb6804e"]},{"id":"ITEM-2","itemData":{"DOI":"10.1097/01.MIB.0000436951.80898.6d","ISSN":"1078-0998","abstract":"OBJECTIVES: Antibodies to infliximab (ATIs) have been associated with a risk of infusion reactions in some studies of patients with inflammatory bowel disease. However, many factors, such as immunomodulators and dosing schedule, may influence this association. The aim of this article was to provide a pooled estimate of the risk of infusion reactions according to patients' ATI status and analyze the relationship of immunomodulators to this risk. DESIGN: Public databases were searched for eligible studies. Quality assessment was undertaken for all studies using Grading of Recommendations Assessment, Development and Evaluation criteria. Raw data from studies meeting inclusion criteria were pooled for meta-analysis of effect estimates. Sensitivity analysis was performed for all outcomes. Funnel plot was performed to assess for publication bias. RESULTS: Eight studies met the inclusion criteria, with a pooled total of 1351 subjects. Seven of the 8 studies had a high risk of bias in at least 1 quality domain. The cumulative data indicated that there was a higher risk ratio (RR) of any acute infusion reaction (RR 2.4; 95% confidence interval [CI] 1.5-3.8, P &lt; 0.001) and severe infusion reactions (RR 5.8, 95% CI 1.7-19, P = 0.004) in patients with ATIs when compared with patients without ATIs. The RR of delayed hypersensitivity reactions was not significantly different between ATI+ and ATI- patients (RR 2.8, 95% CI 0.2-33, P = 0.4). Patients prescribed immunomodulators during maintenance infliximab therapy had a reduction in their risk for ATI development (RR 0.6, 95% CI 0.4-0.9, P = 0.02) and infusion reactions (RR 0.6, 95% CI 0.4-0.8, P &lt; 0.001). CONCLUSIONS: The presence of ATIs is associated with a significantly higher risk of acute infusion reactions, but not delayed hypersensitivity reactions, in patients with inflammatory bowel disease. Concomitant immunomodulators reduce this risk.","author":[{"dropping-particle":"","family":"O’Meara","given":"Sorcha","non-dropping-particle":"","parse-names":false,"suffix":""},{"dropping-particle":"","family":"Nanda","given":"Kavinderjit S","non-dropping-particle":"","parse-names":false,"suffix":""},{"dropping-particle":"","family":"Moss","given":"Alan C","non-dropping-particle":"","parse-names":false,"suffix":""}],"container-title":"Inflammatory Bowel Diseases","id":"ITEM-2","issue":"1","issued":{"date-parts":[["2014","1"]]},"page":"1-6","title":"Antibodies to Infliximab and Risk of Infusion Reactions in Patients With Inflammatory Bowel Disease","type":"article-journal","volume":"20"},"uris":["http://www.mendeley.com/documents/?uuid=ecb4d0db-9c90-475a-8f0a-7e1dab7d7bb2","http://www.mendeley.com/documents/?uuid=2a5c6998-1ffe-40aa-9b41-33a00e63f9ce","http://www.mendeley.com/documents/?uuid=60a882bf-855d-40f0-a3d8-848b995aa4f3","http://www.mendeley.com/documents/?uuid=07294c0a-4f5f-4d85-be7d-736bcb43e1ac","http://www.mendeley.com/documents/?uuid=6f9cfc23-087b-4f68-b0e2-cb37dc1519a3"]}],"mendeley":{"formattedCitation":"&lt;sup&gt;143,145&lt;/sup&gt;","plainTextFormattedCitation":"143,145","previouslyFormattedCitation":"&lt;sup&gt;143,145&lt;/sup&gt;"},"properties":{"noteIndex":0},"schema":"https://github.com/citation-style-language/schema/raw/master/csl-citation.json"}</w:instrText>
      </w:r>
      <w:r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143,145</w:t>
      </w:r>
      <w:r w:rsidRPr="00922C73">
        <w:rPr>
          <w:rFonts w:ascii="Times New Roman" w:hAnsi="Times New Roman" w:cs="Times New Roman"/>
          <w:sz w:val="24"/>
          <w:szCs w:val="24"/>
          <w:shd w:val="clear" w:color="auto" w:fill="FFFFFF"/>
        </w:rPr>
        <w:fldChar w:fldCharType="end"/>
      </w:r>
      <w:r w:rsidRPr="00922C73">
        <w:rPr>
          <w:rFonts w:ascii="Times New Roman" w:hAnsi="Times New Roman" w:cs="Times New Roman"/>
          <w:sz w:val="24"/>
          <w:szCs w:val="24"/>
          <w:shd w:val="clear" w:color="auto" w:fill="FFFFFF"/>
        </w:rPr>
        <w:t xml:space="preserve"> though this may be limited to </w:t>
      </w:r>
      <w:r w:rsidR="007F7253" w:rsidRPr="00922C73">
        <w:rPr>
          <w:rFonts w:ascii="Times New Roman" w:hAnsi="Times New Roman" w:cs="Times New Roman"/>
          <w:sz w:val="24"/>
          <w:szCs w:val="24"/>
          <w:shd w:val="clear" w:color="auto" w:fill="FFFFFF"/>
        </w:rPr>
        <w:t>acute</w:t>
      </w:r>
      <w:r w:rsidR="007F7253" w:rsidRPr="00922C73">
        <w:rPr>
          <w:rStyle w:val="Heading3Char"/>
          <w:rFonts w:ascii="Times New Roman" w:hAnsi="Times New Roman" w:cs="Times New Roman"/>
          <w:shd w:val="clear" w:color="auto" w:fill="FFFFFF"/>
        </w:rPr>
        <w:t> </w:t>
      </w:r>
      <w:r w:rsidR="00784029" w:rsidRPr="00922C73">
        <w:rPr>
          <w:rStyle w:val="Heading3Char"/>
          <w:rFonts w:ascii="Times New Roman" w:hAnsi="Times New Roman" w:cs="Times New Roman"/>
          <w:shd w:val="clear" w:color="auto" w:fill="FFFFFF"/>
        </w:rPr>
        <w:t>(more than 2 fold</w:t>
      </w:r>
      <w:r w:rsidR="003352D4" w:rsidRPr="00922C73">
        <w:rPr>
          <w:rStyle w:val="Heading3Char"/>
          <w:rFonts w:ascii="Times New Roman" w:hAnsi="Times New Roman" w:cs="Times New Roman"/>
          <w:shd w:val="clear" w:color="auto" w:fill="FFFFFF"/>
        </w:rPr>
        <w:t xml:space="preserve"> increased risk</w:t>
      </w:r>
      <w:r w:rsidR="007F7253" w:rsidRPr="00922C73">
        <w:rPr>
          <w:rStyle w:val="Heading3Char"/>
          <w:rFonts w:ascii="Times New Roman" w:hAnsi="Times New Roman" w:cs="Times New Roman"/>
          <w:shd w:val="clear" w:color="auto" w:fill="FFFFFF"/>
        </w:rPr>
        <w:t xml:space="preserve">) </w:t>
      </w:r>
      <w:r w:rsidR="007F7253" w:rsidRPr="00922C73">
        <w:rPr>
          <w:rFonts w:ascii="Times New Roman" w:hAnsi="Times New Roman" w:cs="Times New Roman"/>
          <w:sz w:val="24"/>
          <w:szCs w:val="24"/>
          <w:shd w:val="clear" w:color="auto" w:fill="FFFFFF"/>
        </w:rPr>
        <w:t>and severe</w:t>
      </w:r>
      <w:r w:rsidR="007F7253" w:rsidRPr="00922C73">
        <w:rPr>
          <w:rStyle w:val="Heading3Char"/>
          <w:rFonts w:ascii="Times New Roman" w:hAnsi="Times New Roman" w:cs="Times New Roman"/>
          <w:shd w:val="clear" w:color="auto" w:fill="FFFFFF"/>
        </w:rPr>
        <w:t> </w:t>
      </w:r>
      <w:r w:rsidR="007F7253" w:rsidRPr="00922C73">
        <w:rPr>
          <w:rStyle w:val="category"/>
          <w:rFonts w:ascii="Times New Roman" w:hAnsi="Times New Roman" w:cs="Times New Roman"/>
          <w:sz w:val="24"/>
          <w:szCs w:val="24"/>
          <w:shd w:val="clear" w:color="auto" w:fill="FFFFFF"/>
        </w:rPr>
        <w:t>infusion reactions</w:t>
      </w:r>
      <w:r w:rsidR="007F7253" w:rsidRPr="00922C73">
        <w:rPr>
          <w:rStyle w:val="Heading3Char"/>
          <w:rFonts w:ascii="Times New Roman" w:hAnsi="Times New Roman" w:cs="Times New Roman"/>
          <w:shd w:val="clear" w:color="auto" w:fill="FFFFFF"/>
        </w:rPr>
        <w:t> </w:t>
      </w:r>
      <w:r w:rsidR="00784029" w:rsidRPr="00922C73">
        <w:rPr>
          <w:rFonts w:ascii="Times New Roman" w:hAnsi="Times New Roman" w:cs="Times New Roman"/>
          <w:sz w:val="24"/>
          <w:szCs w:val="24"/>
          <w:shd w:val="clear" w:color="auto" w:fill="FFFFFF"/>
        </w:rPr>
        <w:t>(nearly 6 fold</w:t>
      </w:r>
      <w:r w:rsidR="003352D4" w:rsidRPr="00922C73">
        <w:rPr>
          <w:rFonts w:ascii="Times New Roman" w:hAnsi="Times New Roman" w:cs="Times New Roman"/>
          <w:sz w:val="24"/>
          <w:szCs w:val="24"/>
          <w:shd w:val="clear" w:color="auto" w:fill="FFFFFF"/>
        </w:rPr>
        <w:t xml:space="preserve"> increased risk</w:t>
      </w:r>
      <w:r w:rsidRPr="00922C73">
        <w:rPr>
          <w:rFonts w:ascii="Times New Roman" w:hAnsi="Times New Roman" w:cs="Times New Roman"/>
          <w:sz w:val="24"/>
          <w:szCs w:val="24"/>
          <w:shd w:val="clear" w:color="auto" w:fill="FFFFFF"/>
        </w:rPr>
        <w:t>) compared to</w:t>
      </w:r>
      <w:r w:rsidR="007F7253" w:rsidRPr="00922C73">
        <w:rPr>
          <w:rFonts w:ascii="Times New Roman" w:hAnsi="Times New Roman" w:cs="Times New Roman"/>
          <w:sz w:val="24"/>
          <w:szCs w:val="24"/>
          <w:shd w:val="clear" w:color="auto" w:fill="FFFFFF"/>
        </w:rPr>
        <w:t xml:space="preserve"> delayed </w:t>
      </w:r>
      <w:r w:rsidR="00CA7838" w:rsidRPr="00922C73">
        <w:rPr>
          <w:rFonts w:ascii="Times New Roman" w:hAnsi="Times New Roman" w:cs="Times New Roman"/>
          <w:sz w:val="24"/>
          <w:szCs w:val="24"/>
          <w:shd w:val="clear" w:color="auto" w:fill="FFFFFF"/>
        </w:rPr>
        <w:t xml:space="preserve">infusion </w:t>
      </w:r>
      <w:r w:rsidR="007F7253" w:rsidRPr="00922C73">
        <w:rPr>
          <w:rFonts w:ascii="Times New Roman" w:hAnsi="Times New Roman" w:cs="Times New Roman"/>
          <w:sz w:val="24"/>
          <w:szCs w:val="24"/>
          <w:shd w:val="clear" w:color="auto" w:fill="FFFFFF"/>
        </w:rPr>
        <w:t>reactions</w:t>
      </w:r>
      <w:r w:rsidR="00D83F3B" w:rsidRPr="00922C73">
        <w:rPr>
          <w:rFonts w:ascii="Times New Roman" w:hAnsi="Times New Roman" w:cs="Times New Roman"/>
          <w:sz w:val="24"/>
          <w:szCs w:val="24"/>
          <w:shd w:val="clear" w:color="auto" w:fill="FFFFFF"/>
        </w:rPr>
        <w:t xml:space="preserve"> </w:t>
      </w:r>
      <w:r w:rsidR="00D83F3B"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{"citationItems":[{"id":"ITEM-1","itemData":{"DOI":"10.1097/01.MIB.0000436951.80898.6d","ISSN":"1078-0998","abstract":"OBJECTIVES: Antibodies to infliximab (ATIs) have been associated with a risk of infusion reactions in some studies of patients with inflammatory bowel disease. However, many factors, such as immunomodulators and dosing schedule, may influence this association. The aim of this article was to provide a pooled estimate of the risk of infusion reactions according to patients' ATI status and analyze the relationship of immunomodulators to this risk. DESIGN: Public databases were searched for eligible studies. Quality assessment was undertaken for all studies using Grading of Recommendations Assessment, Development and Evaluation criteria. Raw data from studies meeting inclusion criteria were pooled for meta-analysis of effect estimates. Sensitivity analysis was performed for all outcomes. Funnel plot was performed to assess for publication bias. RESULTS: Eight studies met the inclusion criteria, with a pooled total of 1351 subjects. Seven of the 8 studies had a high risk of bias in at least 1 quality domain. The cumulative data indicated that there was a higher risk ratio (RR) of any acute infusion reaction (RR 2.4; 95% confidence interval [CI] 1.5-3.8, P &lt; 0.001) and severe infusion reactions (RR 5.8, 95% CI 1.7-19, P = 0.004) in patients with ATIs when compared with patients without ATIs. The RR of delayed hypersensitivity reactions was not significantly different between ATI+ and ATI- patients (RR 2.8, 95% CI 0.2-33, P = 0.4). Patients prescribed immunomodulators during maintenance infliximab therapy had a reduction in their risk for ATI development (RR 0.6, 95% CI 0.4-0.9, P = 0.02) and infusion reactions (RR 0.6, 95% CI 0.4-0.8, P &lt; 0.001). CONCLUSIONS: The presence of ATIs is associated with a significantly higher risk of acute infusion reactions, but not delayed hypersensitivity reactions, in patients with inflammatory bowel disease. Concomitant immunomodulators reduce this risk.","author":[{"dropping-particle":"","family":"O’Meara","given":"Sorcha","non-dropping-particle":"","parse-names":false,"suffix":""},{"dropping-particle":"","family":"Nanda","given":"Kavinderjit S","non-dropping-particle":"","parse-names":false,"suffix":""},{"dropping-particle":"","family":"Moss","given":"Alan C","non-dropping-particle":"","parse-names":false,"suffix":""}],"container-title":"Inflammatory Bowel Diseases","id":"ITEM-1","issue":"1","issued":{"date-parts":[["2014","1"]]},"page":"1-6","title":"Antibodies to Infliximab and Risk of Infusion Reactions in Patients With Inflammatory Bowel Disease","type":"article-journal","volume":"20"},"uris":["http://www.mendeley.com/documents/?uuid=ecb4d0db-9c90-475a-8f0a-7e1dab7d7bb2","http://www.mendeley.com/documents/?uuid=2a5c6998-1ffe-40aa-9b41-33a00e63f9ce","http://www.mendeley.com/documents/?uuid=60a882bf-855d-40f0-a3d8-848b995aa4f3"]}],"mendeley":{"formattedCitation":"&lt;sup&gt;145&lt;/sup&gt;","plainTextFormattedCitation":"145","previouslyFormattedCitation":"&lt;sup&gt;145&lt;/sup&gt;"},"properties":{"noteIndex":0},"schema":"https://github.com/citation-style-language/schema/raw/master/csl-citation.json"}</w:instrText>
      </w:r>
      <w:r w:rsidR="00D83F3B"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145</w:t>
      </w:r>
      <w:r w:rsidR="00D83F3B" w:rsidRPr="00922C73">
        <w:rPr>
          <w:rFonts w:ascii="Times New Roman" w:hAnsi="Times New Roman" w:cs="Times New Roman"/>
          <w:sz w:val="24"/>
          <w:szCs w:val="24"/>
          <w:shd w:val="clear" w:color="auto" w:fill="FFFFFF"/>
        </w:rPr>
        <w:fldChar w:fldCharType="end"/>
      </w:r>
      <w:r w:rsidR="00CA7838" w:rsidRPr="00922C73">
        <w:rPr>
          <w:rFonts w:ascii="Times New Roman" w:hAnsi="Times New Roman" w:cs="Times New Roman"/>
          <w:sz w:val="24"/>
          <w:szCs w:val="24"/>
          <w:shd w:val="clear" w:color="auto" w:fill="FFFFFF"/>
        </w:rPr>
        <w:t xml:space="preserve">. </w:t>
      </w:r>
    </w:p>
    <w:p w14:paraId="3A58279D" w14:textId="77777777" w:rsidR="008E1445" w:rsidRPr="00922C73" w:rsidRDefault="008E1445" w:rsidP="00700BBF">
      <w:pPr>
        <w:autoSpaceDE w:val="0"/>
        <w:autoSpaceDN w:val="0"/>
        <w:adjustRightInd w:val="0"/>
        <w:spacing w:after="0" w:line="480" w:lineRule="auto"/>
        <w:rPr>
          <w:rFonts w:ascii="Times New Roman" w:hAnsi="Times New Roman" w:cs="Times New Roman"/>
          <w:sz w:val="24"/>
          <w:szCs w:val="24"/>
          <w:shd w:val="clear" w:color="auto" w:fill="FFFFFF"/>
        </w:rPr>
      </w:pPr>
    </w:p>
    <w:p w14:paraId="6F8EFC1B" w14:textId="59B9A329" w:rsidR="00B23B46" w:rsidRPr="00922C73" w:rsidRDefault="00F46B16" w:rsidP="00700BBF">
      <w:pPr>
        <w:autoSpaceDE w:val="0"/>
        <w:autoSpaceDN w:val="0"/>
        <w:adjustRightInd w:val="0"/>
        <w:spacing w:after="0" w:line="480" w:lineRule="auto"/>
        <w:rPr>
          <w:rFonts w:ascii="Times New Roman" w:hAnsi="Times New Roman" w:cs="Times New Roman"/>
          <w:sz w:val="24"/>
          <w:szCs w:val="24"/>
        </w:rPr>
      </w:pPr>
      <w:bookmarkStart w:id="60" w:name="_Hlk111451751"/>
      <w:r w:rsidRPr="00922C73">
        <w:rPr>
          <w:rFonts w:ascii="Times New Roman" w:hAnsi="Times New Roman" w:cs="Times New Roman"/>
          <w:sz w:val="24"/>
          <w:szCs w:val="24"/>
          <w:shd w:val="clear" w:color="auto" w:fill="FFFFFF"/>
        </w:rPr>
        <w:t xml:space="preserve">Different aetiologies have been suggested for immediate infusion reactions including complement activation </w:t>
      </w:r>
      <w:r w:rsidR="004226BD" w:rsidRPr="00922C73">
        <w:rPr>
          <w:rFonts w:ascii="Times New Roman" w:hAnsi="Times New Roman" w:cs="Times New Roman"/>
          <w:sz w:val="24"/>
          <w:szCs w:val="24"/>
          <w:shd w:val="clear" w:color="auto" w:fill="FFFFFF"/>
        </w:rPr>
        <w:t>from infliximab</w:t>
      </w:r>
      <w:r w:rsidR="00004E0A" w:rsidRPr="00922C73">
        <w:rPr>
          <w:rFonts w:ascii="Times New Roman" w:hAnsi="Times New Roman" w:cs="Times New Roman"/>
          <w:sz w:val="24"/>
          <w:szCs w:val="24"/>
          <w:shd w:val="clear" w:color="auto" w:fill="FFFFFF"/>
        </w:rPr>
        <w:t xml:space="preserve">-ATI complexes and </w:t>
      </w:r>
      <w:proofErr w:type="spellStart"/>
      <w:r w:rsidRPr="00922C73">
        <w:rPr>
          <w:rFonts w:ascii="Times New Roman" w:hAnsi="Times New Roman" w:cs="Times New Roman"/>
          <w:sz w:val="24"/>
          <w:szCs w:val="24"/>
          <w:shd w:val="clear" w:color="auto" w:fill="FFFFFF"/>
        </w:rPr>
        <w:t>IgE</w:t>
      </w:r>
      <w:proofErr w:type="spellEnd"/>
      <w:r w:rsidRPr="00922C73">
        <w:rPr>
          <w:rFonts w:ascii="Times New Roman" w:hAnsi="Times New Roman" w:cs="Times New Roman"/>
          <w:sz w:val="24"/>
          <w:szCs w:val="24"/>
          <w:shd w:val="clear" w:color="auto" w:fill="FFFFFF"/>
        </w:rPr>
        <w:t xml:space="preserve"> mediated</w:t>
      </w:r>
      <w:r w:rsidR="008E1445" w:rsidRPr="00922C73">
        <w:rPr>
          <w:rFonts w:ascii="Times New Roman" w:hAnsi="Times New Roman" w:cs="Times New Roman"/>
          <w:sz w:val="24"/>
          <w:szCs w:val="24"/>
          <w:shd w:val="clear" w:color="auto" w:fill="FFFFFF"/>
        </w:rPr>
        <w:t xml:space="preserve"> </w:t>
      </w:r>
      <w:r w:rsidR="00D66674" w:rsidRPr="00922C73">
        <w:rPr>
          <w:rFonts w:ascii="Times New Roman" w:hAnsi="Times New Roman" w:cs="Times New Roman"/>
          <w:sz w:val="24"/>
          <w:szCs w:val="24"/>
          <w:shd w:val="clear" w:color="auto" w:fill="FFFFFF"/>
        </w:rPr>
        <w:t>reactions</w:t>
      </w:r>
      <w:r w:rsidR="008E1445"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http://www.mendeley.com/documents/?uuid=868e8fa9-215d-4b93-88f6-15f905da3e01","http://www.mendeley.com/documents/?uuid=554ce6e6-8554-4609-b15a-4a78cdec0033"]}],"mendeley":{"formattedCitation":"&lt;sup&gt;78&lt;/sup&gt;","plainTextFormattedCitation":"78","previouslyFormattedCitation":"&lt;sup&gt;78&lt;/sup&gt;"},"properties":{"noteIndex":0},"schema":"https://github.com/citation-style-language/schema/raw/master/csl-citation.json"}</w:instrText>
      </w:r>
      <w:r w:rsidR="008E1445"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78</w:t>
      </w:r>
      <w:r w:rsidR="008E1445" w:rsidRPr="00922C73">
        <w:rPr>
          <w:rFonts w:ascii="Times New Roman" w:hAnsi="Times New Roman" w:cs="Times New Roman"/>
          <w:sz w:val="24"/>
          <w:szCs w:val="24"/>
          <w:shd w:val="clear" w:color="auto" w:fill="FFFFFF"/>
        </w:rPr>
        <w:fldChar w:fldCharType="end"/>
      </w:r>
      <w:r w:rsidRPr="00922C73">
        <w:rPr>
          <w:rFonts w:ascii="Times New Roman" w:hAnsi="Times New Roman" w:cs="Times New Roman"/>
          <w:sz w:val="24"/>
          <w:szCs w:val="24"/>
          <w:shd w:val="clear" w:color="auto" w:fill="FFFFFF"/>
        </w:rPr>
        <w:t xml:space="preserve">. </w:t>
      </w:r>
      <w:r w:rsidR="00CA7838" w:rsidRPr="00922C73">
        <w:rPr>
          <w:rFonts w:ascii="Times New Roman" w:hAnsi="Times New Roman" w:cs="Times New Roman"/>
          <w:sz w:val="24"/>
          <w:szCs w:val="24"/>
          <w:shd w:val="clear" w:color="auto" w:fill="FFFFFF"/>
        </w:rPr>
        <w:t xml:space="preserve">Delayed reactions </w:t>
      </w:r>
      <w:r w:rsidR="00D66674" w:rsidRPr="00922C73">
        <w:rPr>
          <w:rFonts w:ascii="Times New Roman" w:hAnsi="Times New Roman" w:cs="Times New Roman"/>
          <w:sz w:val="24"/>
          <w:szCs w:val="24"/>
          <w:shd w:val="clear" w:color="auto" w:fill="FFFFFF"/>
        </w:rPr>
        <w:t xml:space="preserve">may </w:t>
      </w:r>
      <w:r w:rsidR="00CA7838" w:rsidRPr="00922C73">
        <w:rPr>
          <w:rFonts w:ascii="Times New Roman" w:hAnsi="Times New Roman" w:cs="Times New Roman"/>
          <w:sz w:val="24"/>
          <w:szCs w:val="24"/>
          <w:shd w:val="clear" w:color="auto" w:fill="FFFFFF"/>
        </w:rPr>
        <w:t>occur</w:t>
      </w:r>
      <w:r w:rsidR="004E6406" w:rsidRPr="00922C73">
        <w:rPr>
          <w:rFonts w:ascii="Times New Roman" w:hAnsi="Times New Roman" w:cs="Times New Roman"/>
          <w:sz w:val="24"/>
          <w:szCs w:val="24"/>
          <w:shd w:val="clear" w:color="auto" w:fill="FFFFFF"/>
        </w:rPr>
        <w:t xml:space="preserve"> from</w:t>
      </w:r>
      <w:r w:rsidR="007F7253" w:rsidRPr="00922C73">
        <w:rPr>
          <w:rStyle w:val="Heading3Char"/>
          <w:rFonts w:ascii="Times New Roman" w:hAnsi="Times New Roman" w:cs="Times New Roman"/>
          <w:shd w:val="clear" w:color="auto" w:fill="FFFFFF"/>
        </w:rPr>
        <w:t xml:space="preserve"> </w:t>
      </w:r>
      <w:r w:rsidR="00CA7838" w:rsidRPr="00922C73">
        <w:rPr>
          <w:rFonts w:ascii="Times New Roman" w:hAnsi="Times New Roman" w:cs="Times New Roman"/>
          <w:kern w:val="24"/>
          <w:sz w:val="24"/>
          <w:szCs w:val="24"/>
          <w:lang w:eastAsia="en-GB"/>
        </w:rPr>
        <w:t xml:space="preserve">deposition of ATI-infliximab complexes in organs, joints and blood vessels </w:t>
      </w:r>
      <w:r w:rsidR="004E6406" w:rsidRPr="00922C73">
        <w:rPr>
          <w:rFonts w:ascii="Times New Roman" w:hAnsi="Times New Roman" w:cs="Times New Roman"/>
          <w:kern w:val="24"/>
          <w:sz w:val="24"/>
          <w:szCs w:val="24"/>
          <w:lang w:eastAsia="en-GB"/>
        </w:rPr>
        <w:t>generating</w:t>
      </w:r>
      <w:r w:rsidR="00CA7838" w:rsidRPr="00922C73">
        <w:rPr>
          <w:rFonts w:ascii="Times New Roman" w:hAnsi="Times New Roman" w:cs="Times New Roman"/>
          <w:kern w:val="24"/>
          <w:sz w:val="24"/>
          <w:szCs w:val="24"/>
          <w:lang w:eastAsia="en-GB"/>
        </w:rPr>
        <w:t xml:space="preserve"> local</w:t>
      </w:r>
      <w:r w:rsidR="007F7253" w:rsidRPr="00922C73">
        <w:rPr>
          <w:rFonts w:ascii="Times New Roman" w:hAnsi="Times New Roman" w:cs="Times New Roman"/>
          <w:kern w:val="24"/>
          <w:sz w:val="24"/>
          <w:szCs w:val="24"/>
          <w:lang w:eastAsia="en-GB"/>
        </w:rPr>
        <w:t xml:space="preserve"> and </w:t>
      </w:r>
      <w:r w:rsidR="004E6406" w:rsidRPr="00922C73">
        <w:rPr>
          <w:rFonts w:ascii="Times New Roman" w:hAnsi="Times New Roman" w:cs="Times New Roman"/>
          <w:kern w:val="24"/>
          <w:sz w:val="24"/>
          <w:szCs w:val="24"/>
          <w:lang w:eastAsia="en-GB"/>
        </w:rPr>
        <w:t>systemic inflammatory responses</w:t>
      </w:r>
      <w:r w:rsidR="00B85827" w:rsidRPr="00922C73">
        <w:rPr>
          <w:rFonts w:ascii="Times New Roman" w:hAnsi="Times New Roman" w:cs="Times New Roman"/>
          <w:kern w:val="24"/>
          <w:sz w:val="24"/>
          <w:szCs w:val="24"/>
          <w:lang w:eastAsia="en-GB"/>
        </w:rPr>
        <w:t xml:space="preserve"> </w:t>
      </w:r>
      <w:r w:rsidR="00B85827"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http://www.mendeley.com/documents/?uuid=868e8fa9-215d-4b93-88f6-15f905da3e01","http://www.mendeley.com/documents/?uuid=554ce6e6-8554-4609-b15a-4a78cdec0033"]}],"mendeley":{"formattedCitation":"&lt;sup&gt;78&lt;/sup&gt;","plainTextFormattedCitation":"78","previouslyFormattedCitation":"&lt;sup&gt;78&lt;/sup&gt;"},"properties":{"noteIndex":0},"schema":"https://github.com/citation-style-language/schema/raw/master/csl-citation.json"}</w:instrText>
      </w:r>
      <w:r w:rsidR="00B85827" w:rsidRPr="00922C73">
        <w:rPr>
          <w:rFonts w:ascii="Times New Roman" w:hAnsi="Times New Roman" w:cs="Times New Roman"/>
          <w:kern w:val="24"/>
          <w:sz w:val="24"/>
          <w:szCs w:val="24"/>
          <w:lang w:eastAsia="en-GB"/>
        </w:rPr>
        <w:fldChar w:fldCharType="separate"/>
      </w:r>
      <w:r w:rsidR="00A00D49" w:rsidRPr="00922C73">
        <w:rPr>
          <w:rFonts w:ascii="Times New Roman" w:hAnsi="Times New Roman" w:cs="Times New Roman"/>
          <w:noProof/>
          <w:kern w:val="24"/>
          <w:sz w:val="24"/>
          <w:szCs w:val="24"/>
          <w:vertAlign w:val="superscript"/>
          <w:lang w:eastAsia="en-GB"/>
        </w:rPr>
        <w:t>78</w:t>
      </w:r>
      <w:r w:rsidR="00B85827" w:rsidRPr="00922C73">
        <w:rPr>
          <w:rFonts w:ascii="Times New Roman" w:hAnsi="Times New Roman" w:cs="Times New Roman"/>
          <w:kern w:val="24"/>
          <w:sz w:val="24"/>
          <w:szCs w:val="24"/>
          <w:lang w:eastAsia="en-GB"/>
        </w:rPr>
        <w:fldChar w:fldCharType="end"/>
      </w:r>
      <w:r w:rsidR="00A631BE" w:rsidRPr="00922C73">
        <w:rPr>
          <w:rFonts w:ascii="Times New Roman" w:hAnsi="Times New Roman" w:cs="Times New Roman"/>
          <w:kern w:val="24"/>
          <w:sz w:val="24"/>
          <w:szCs w:val="24"/>
          <w:lang w:eastAsia="en-GB"/>
        </w:rPr>
        <w:t xml:space="preserve">. </w:t>
      </w:r>
      <w:r w:rsidR="00A631BE" w:rsidRPr="00922C73">
        <w:rPr>
          <w:rFonts w:ascii="Times New Roman" w:hAnsi="Times New Roman" w:cs="Times New Roman"/>
          <w:sz w:val="24"/>
          <w:szCs w:val="24"/>
        </w:rPr>
        <w:t>ATI positivit</w:t>
      </w:r>
      <w:r w:rsidR="00D66674" w:rsidRPr="00922C73">
        <w:rPr>
          <w:rFonts w:ascii="Times New Roman" w:hAnsi="Times New Roman" w:cs="Times New Roman"/>
          <w:sz w:val="24"/>
          <w:szCs w:val="24"/>
        </w:rPr>
        <w:t>y may not be</w:t>
      </w:r>
      <w:r w:rsidR="00A631BE" w:rsidRPr="00922C73">
        <w:rPr>
          <w:rFonts w:ascii="Times New Roman" w:hAnsi="Times New Roman" w:cs="Times New Roman"/>
          <w:sz w:val="24"/>
          <w:szCs w:val="24"/>
        </w:rPr>
        <w:t xml:space="preserve"> predictive for delayed infusion reaction, </w:t>
      </w:r>
      <w:r w:rsidR="00D66674" w:rsidRPr="00922C73">
        <w:rPr>
          <w:rFonts w:ascii="Times New Roman" w:hAnsi="Times New Roman" w:cs="Times New Roman"/>
          <w:sz w:val="24"/>
          <w:szCs w:val="24"/>
        </w:rPr>
        <w:t>as additional factors such</w:t>
      </w:r>
      <w:r w:rsidR="00A631BE" w:rsidRPr="00922C73">
        <w:rPr>
          <w:rFonts w:ascii="Times New Roman" w:hAnsi="Times New Roman" w:cs="Times New Roman"/>
          <w:sz w:val="24"/>
          <w:szCs w:val="24"/>
        </w:rPr>
        <w:t xml:space="preserve"> as the size of the </w:t>
      </w:r>
      <w:r w:rsidR="00D66674" w:rsidRPr="00922C73">
        <w:rPr>
          <w:rFonts w:ascii="Times New Roman" w:hAnsi="Times New Roman" w:cs="Times New Roman"/>
          <w:sz w:val="24"/>
          <w:szCs w:val="24"/>
        </w:rPr>
        <w:t xml:space="preserve">immune </w:t>
      </w:r>
      <w:r w:rsidR="00A631BE" w:rsidRPr="00922C73">
        <w:rPr>
          <w:rFonts w:ascii="Times New Roman" w:hAnsi="Times New Roman" w:cs="Times New Roman"/>
          <w:sz w:val="24"/>
          <w:szCs w:val="24"/>
        </w:rPr>
        <w:lastRenderedPageBreak/>
        <w:t xml:space="preserve">complexes </w:t>
      </w:r>
      <w:r w:rsidR="00D66674" w:rsidRPr="00922C73">
        <w:rPr>
          <w:rFonts w:ascii="Times New Roman" w:hAnsi="Times New Roman" w:cs="Times New Roman"/>
          <w:sz w:val="24"/>
          <w:szCs w:val="24"/>
        </w:rPr>
        <w:t>may be important</w:t>
      </w:r>
      <w:r w:rsidR="00A631BE" w:rsidRPr="00922C73">
        <w:rPr>
          <w:rFonts w:ascii="Times New Roman" w:hAnsi="Times New Roman" w:cs="Times New Roman"/>
          <w:sz w:val="24"/>
          <w:szCs w:val="24"/>
        </w:rPr>
        <w:t>.</w:t>
      </w:r>
      <w:r w:rsidR="00572139" w:rsidRPr="00922C73">
        <w:rPr>
          <w:rFonts w:ascii="Times New Roman" w:hAnsi="Times New Roman" w:cs="Times New Roman"/>
          <w:sz w:val="24"/>
          <w:szCs w:val="24"/>
        </w:rPr>
        <w:t xml:space="preserve"> S</w:t>
      </w:r>
      <w:r w:rsidR="00784029" w:rsidRPr="00922C73">
        <w:rPr>
          <w:rFonts w:ascii="Times New Roman" w:hAnsi="Times New Roman" w:cs="Times New Roman"/>
          <w:sz w:val="24"/>
          <w:szCs w:val="24"/>
          <w:shd w:val="clear" w:color="auto" w:fill="FFFFFF"/>
        </w:rPr>
        <w:t>mall</w:t>
      </w:r>
      <w:r w:rsidR="00A42370" w:rsidRPr="00922C73">
        <w:rPr>
          <w:rFonts w:ascii="Times New Roman" w:hAnsi="Times New Roman" w:cs="Times New Roman"/>
          <w:sz w:val="24"/>
          <w:szCs w:val="24"/>
          <w:shd w:val="clear" w:color="auto" w:fill="FFFFFF"/>
        </w:rPr>
        <w:t xml:space="preserve"> </w:t>
      </w:r>
      <w:r w:rsidR="00A631BE" w:rsidRPr="00922C73">
        <w:rPr>
          <w:rFonts w:ascii="Times New Roman" w:hAnsi="Times New Roman" w:cs="Times New Roman"/>
          <w:sz w:val="24"/>
          <w:szCs w:val="24"/>
          <w:shd w:val="clear" w:color="auto" w:fill="FFFFFF"/>
        </w:rPr>
        <w:t xml:space="preserve">infliximab-ATI </w:t>
      </w:r>
      <w:r w:rsidR="00A42370" w:rsidRPr="00922C73">
        <w:rPr>
          <w:rFonts w:ascii="Times New Roman" w:hAnsi="Times New Roman" w:cs="Times New Roman"/>
          <w:sz w:val="24"/>
          <w:szCs w:val="24"/>
          <w:shd w:val="clear" w:color="auto" w:fill="FFFFFF"/>
        </w:rPr>
        <w:t>complexes</w:t>
      </w:r>
      <w:r w:rsidR="004E6406" w:rsidRPr="00922C73">
        <w:rPr>
          <w:rFonts w:ascii="Times New Roman" w:hAnsi="Times New Roman" w:cs="Times New Roman"/>
          <w:sz w:val="24"/>
          <w:szCs w:val="24"/>
          <w:shd w:val="clear" w:color="auto" w:fill="FFFFFF"/>
        </w:rPr>
        <w:t xml:space="preserve"> may</w:t>
      </w:r>
      <w:r w:rsidR="00A42370" w:rsidRPr="00922C73">
        <w:rPr>
          <w:rFonts w:ascii="Times New Roman" w:hAnsi="Times New Roman" w:cs="Times New Roman"/>
          <w:sz w:val="24"/>
          <w:szCs w:val="24"/>
          <w:shd w:val="clear" w:color="auto" w:fill="FFFFFF"/>
        </w:rPr>
        <w:t xml:space="preserve"> remain </w:t>
      </w:r>
      <w:r w:rsidR="00396F6A" w:rsidRPr="00922C73">
        <w:rPr>
          <w:rFonts w:ascii="Times New Roman" w:hAnsi="Times New Roman" w:cs="Times New Roman"/>
          <w:sz w:val="24"/>
          <w:szCs w:val="24"/>
          <w:shd w:val="clear" w:color="auto" w:fill="FFFFFF"/>
        </w:rPr>
        <w:t xml:space="preserve">in </w:t>
      </w:r>
      <w:r w:rsidR="00A42370" w:rsidRPr="00922C73">
        <w:rPr>
          <w:rFonts w:ascii="Times New Roman" w:hAnsi="Times New Roman" w:cs="Times New Roman"/>
          <w:sz w:val="24"/>
          <w:szCs w:val="24"/>
          <w:shd w:val="clear" w:color="auto" w:fill="FFFFFF"/>
        </w:rPr>
        <w:t>circula</w:t>
      </w:r>
      <w:r w:rsidR="00C46A1D" w:rsidRPr="00922C73">
        <w:rPr>
          <w:rFonts w:ascii="Times New Roman" w:hAnsi="Times New Roman" w:cs="Times New Roman"/>
          <w:sz w:val="24"/>
          <w:szCs w:val="24"/>
          <w:shd w:val="clear" w:color="auto" w:fill="FFFFFF"/>
        </w:rPr>
        <w:t>ti</w:t>
      </w:r>
      <w:r w:rsidR="00396F6A" w:rsidRPr="00922C73">
        <w:rPr>
          <w:rFonts w:ascii="Times New Roman" w:hAnsi="Times New Roman" w:cs="Times New Roman"/>
          <w:sz w:val="24"/>
          <w:szCs w:val="24"/>
          <w:shd w:val="clear" w:color="auto" w:fill="FFFFFF"/>
        </w:rPr>
        <w:t>on</w:t>
      </w:r>
      <w:r w:rsidR="00C46A1D" w:rsidRPr="00922C73">
        <w:rPr>
          <w:rFonts w:ascii="Times New Roman" w:hAnsi="Times New Roman" w:cs="Times New Roman"/>
          <w:sz w:val="24"/>
          <w:szCs w:val="24"/>
          <w:shd w:val="clear" w:color="auto" w:fill="FFFFFF"/>
        </w:rPr>
        <w:t xml:space="preserve"> and not trigger inflammation and</w:t>
      </w:r>
      <w:r w:rsidR="00A42370" w:rsidRPr="00922C73">
        <w:rPr>
          <w:rFonts w:ascii="Times New Roman" w:hAnsi="Times New Roman" w:cs="Times New Roman"/>
          <w:sz w:val="24"/>
          <w:szCs w:val="24"/>
          <w:shd w:val="clear" w:color="auto" w:fill="FFFFFF"/>
        </w:rPr>
        <w:t xml:space="preserve"> large complexes</w:t>
      </w:r>
      <w:r w:rsidR="00784029" w:rsidRPr="00922C73">
        <w:rPr>
          <w:rFonts w:ascii="Times New Roman" w:hAnsi="Times New Roman" w:cs="Times New Roman"/>
          <w:sz w:val="24"/>
          <w:szCs w:val="24"/>
          <w:shd w:val="clear" w:color="auto" w:fill="FFFFFF"/>
        </w:rPr>
        <w:t xml:space="preserve"> </w:t>
      </w:r>
      <w:r w:rsidR="00B85827" w:rsidRPr="00922C73">
        <w:rPr>
          <w:rFonts w:ascii="Times New Roman" w:hAnsi="Times New Roman" w:cs="Times New Roman"/>
          <w:sz w:val="24"/>
          <w:szCs w:val="24"/>
          <w:shd w:val="clear" w:color="auto" w:fill="FFFFFF"/>
        </w:rPr>
        <w:t xml:space="preserve">more </w:t>
      </w:r>
      <w:r w:rsidR="00A42370" w:rsidRPr="00922C73">
        <w:rPr>
          <w:rFonts w:ascii="Times New Roman" w:hAnsi="Times New Roman" w:cs="Times New Roman"/>
          <w:sz w:val="24"/>
          <w:szCs w:val="24"/>
          <w:shd w:val="clear" w:color="auto" w:fill="FFFFFF"/>
        </w:rPr>
        <w:t>r</w:t>
      </w:r>
      <w:r w:rsidR="00784029" w:rsidRPr="00922C73">
        <w:rPr>
          <w:rFonts w:ascii="Times New Roman" w:hAnsi="Times New Roman" w:cs="Times New Roman"/>
          <w:sz w:val="24"/>
          <w:szCs w:val="24"/>
        </w:rPr>
        <w:t>eadily</w:t>
      </w:r>
      <w:r w:rsidR="00A42370" w:rsidRPr="00922C73">
        <w:rPr>
          <w:rFonts w:ascii="Times New Roman" w:hAnsi="Times New Roman" w:cs="Times New Roman"/>
          <w:sz w:val="24"/>
          <w:szCs w:val="24"/>
        </w:rPr>
        <w:t xml:space="preserve"> cleared</w:t>
      </w:r>
      <w:r w:rsidR="00396F6A" w:rsidRPr="00922C73">
        <w:rPr>
          <w:rFonts w:ascii="Times New Roman" w:hAnsi="Times New Roman" w:cs="Times New Roman"/>
          <w:sz w:val="24"/>
          <w:szCs w:val="24"/>
        </w:rPr>
        <w:t>,</w:t>
      </w:r>
      <w:r w:rsidR="00A42370" w:rsidRPr="00922C73">
        <w:rPr>
          <w:rFonts w:ascii="Times New Roman" w:hAnsi="Times New Roman" w:cs="Times New Roman"/>
          <w:sz w:val="24"/>
          <w:szCs w:val="24"/>
        </w:rPr>
        <w:t xml:space="preserve"> </w:t>
      </w:r>
      <w:r w:rsidR="00396F6A" w:rsidRPr="00922C73">
        <w:rPr>
          <w:rFonts w:ascii="Times New Roman" w:hAnsi="Times New Roman" w:cs="Times New Roman"/>
          <w:sz w:val="24"/>
          <w:szCs w:val="24"/>
        </w:rPr>
        <w:t>whereas</w:t>
      </w:r>
      <w:r w:rsidR="00A42370" w:rsidRPr="00922C73">
        <w:rPr>
          <w:rFonts w:ascii="Times New Roman" w:hAnsi="Times New Roman" w:cs="Times New Roman"/>
          <w:sz w:val="24"/>
          <w:szCs w:val="24"/>
        </w:rPr>
        <w:t xml:space="preserve"> </w:t>
      </w:r>
      <w:r w:rsidR="00784029" w:rsidRPr="00922C73">
        <w:rPr>
          <w:rFonts w:ascii="Times New Roman" w:hAnsi="Times New Roman" w:cs="Times New Roman"/>
          <w:sz w:val="24"/>
          <w:szCs w:val="24"/>
        </w:rPr>
        <w:t>intermediate</w:t>
      </w:r>
      <w:r w:rsidR="007F7253" w:rsidRPr="00922C73">
        <w:rPr>
          <w:rFonts w:ascii="Times New Roman" w:hAnsi="Times New Roman" w:cs="Times New Roman"/>
          <w:sz w:val="24"/>
          <w:szCs w:val="24"/>
        </w:rPr>
        <w:t>-sized complexes</w:t>
      </w:r>
      <w:r w:rsidR="00C46A1D" w:rsidRPr="00922C73">
        <w:rPr>
          <w:rFonts w:ascii="Times New Roman" w:hAnsi="Times New Roman" w:cs="Times New Roman"/>
          <w:sz w:val="24"/>
          <w:szCs w:val="24"/>
        </w:rPr>
        <w:t xml:space="preserve"> </w:t>
      </w:r>
      <w:r w:rsidR="00D66674" w:rsidRPr="00922C73">
        <w:rPr>
          <w:rFonts w:ascii="Times New Roman" w:hAnsi="Times New Roman" w:cs="Times New Roman"/>
          <w:sz w:val="24"/>
          <w:szCs w:val="24"/>
        </w:rPr>
        <w:t>could</w:t>
      </w:r>
      <w:r w:rsidR="00784029" w:rsidRPr="00922C73">
        <w:rPr>
          <w:rFonts w:ascii="Times New Roman" w:hAnsi="Times New Roman" w:cs="Times New Roman"/>
          <w:sz w:val="24"/>
          <w:szCs w:val="24"/>
        </w:rPr>
        <w:t xml:space="preserve"> lead to deposition </w:t>
      </w:r>
      <w:r w:rsidR="007F7253" w:rsidRPr="00922C73">
        <w:rPr>
          <w:rFonts w:ascii="Times New Roman" w:hAnsi="Times New Roman" w:cs="Times New Roman"/>
          <w:sz w:val="24"/>
          <w:szCs w:val="24"/>
        </w:rPr>
        <w:t>a</w:t>
      </w:r>
      <w:r w:rsidR="00784029" w:rsidRPr="00922C73">
        <w:rPr>
          <w:rFonts w:ascii="Times New Roman" w:hAnsi="Times New Roman" w:cs="Times New Roman"/>
          <w:sz w:val="24"/>
          <w:szCs w:val="24"/>
        </w:rPr>
        <w:t>nd complement</w:t>
      </w:r>
      <w:r w:rsidR="00A42370" w:rsidRPr="00922C73">
        <w:rPr>
          <w:rFonts w:ascii="Times New Roman" w:hAnsi="Times New Roman" w:cs="Times New Roman"/>
          <w:sz w:val="24"/>
          <w:szCs w:val="24"/>
        </w:rPr>
        <w:t xml:space="preserve"> </w:t>
      </w:r>
      <w:r w:rsidR="00D66674" w:rsidRPr="00922C73">
        <w:rPr>
          <w:rFonts w:ascii="Times New Roman" w:hAnsi="Times New Roman" w:cs="Times New Roman"/>
          <w:sz w:val="24"/>
          <w:szCs w:val="24"/>
        </w:rPr>
        <w:t>activation</w:t>
      </w:r>
      <w:r w:rsidR="00985A94" w:rsidRPr="00922C73">
        <w:rPr>
          <w:rFonts w:ascii="Times New Roman" w:hAnsi="Times New Roman" w:cs="Times New Roman"/>
          <w:sz w:val="24"/>
          <w:szCs w:val="24"/>
        </w:rPr>
        <w:t xml:space="preserve"> </w:t>
      </w:r>
      <w:r w:rsidR="00A4237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http://www.mendeley.com/documents/?uuid=868e8fa9-215d-4b93-88f6-15f905da3e01","http://www.mendeley.com/documents/?uuid=554ce6e6-8554-4609-b15a-4a78cdec0033"]}],"mendeley":{"formattedCitation":"&lt;sup&gt;78&lt;/sup&gt;","plainTextFormattedCitation":"78","previouslyFormattedCitation":"&lt;sup&gt;78&lt;/sup&gt;"},"properties":{"noteIndex":0},"schema":"https://github.com/citation-style-language/schema/raw/master/csl-citation.json"}</w:instrText>
      </w:r>
      <w:r w:rsidR="00A4237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78</w:t>
      </w:r>
      <w:r w:rsidR="00A42370" w:rsidRPr="00922C73">
        <w:rPr>
          <w:rFonts w:ascii="Times New Roman" w:hAnsi="Times New Roman" w:cs="Times New Roman"/>
          <w:sz w:val="24"/>
          <w:szCs w:val="24"/>
        </w:rPr>
        <w:fldChar w:fldCharType="end"/>
      </w:r>
      <w:r w:rsidR="00784029" w:rsidRPr="00922C73">
        <w:rPr>
          <w:rFonts w:ascii="Times New Roman" w:hAnsi="Times New Roman" w:cs="Times New Roman"/>
          <w:sz w:val="24"/>
          <w:szCs w:val="24"/>
        </w:rPr>
        <w:t>.</w:t>
      </w:r>
      <w:r w:rsidR="00A42370" w:rsidRPr="00922C73">
        <w:rPr>
          <w:rFonts w:ascii="Times New Roman" w:hAnsi="Times New Roman" w:cs="Times New Roman"/>
          <w:sz w:val="24"/>
          <w:szCs w:val="24"/>
        </w:rPr>
        <w:t xml:space="preserve"> </w:t>
      </w:r>
    </w:p>
    <w:p w14:paraId="309DADC9" w14:textId="77777777" w:rsidR="0046318C" w:rsidRPr="00922C73" w:rsidRDefault="0046318C" w:rsidP="00700BBF">
      <w:pPr>
        <w:pStyle w:val="Heading2"/>
        <w:spacing w:line="480" w:lineRule="auto"/>
        <w:rPr>
          <w:rFonts w:ascii="Times New Roman" w:hAnsi="Times New Roman" w:cs="Times New Roman"/>
          <w:sz w:val="24"/>
          <w:szCs w:val="24"/>
        </w:rPr>
      </w:pPr>
    </w:p>
    <w:p w14:paraId="100BACCE" w14:textId="4B98A7B2" w:rsidR="002C7D93" w:rsidRPr="00922C73" w:rsidRDefault="00F40B8F" w:rsidP="00700BBF">
      <w:pPr>
        <w:pStyle w:val="Heading2"/>
        <w:spacing w:line="480" w:lineRule="auto"/>
        <w:rPr>
          <w:rFonts w:ascii="Times New Roman" w:hAnsi="Times New Roman" w:cs="Times New Roman"/>
          <w:sz w:val="24"/>
          <w:szCs w:val="24"/>
        </w:rPr>
      </w:pPr>
      <w:bookmarkStart w:id="61" w:name="_Toc151020468"/>
      <w:bookmarkEnd w:id="60"/>
      <w:r w:rsidRPr="00922C73">
        <w:rPr>
          <w:rFonts w:ascii="Times New Roman" w:hAnsi="Times New Roman" w:cs="Times New Roman"/>
          <w:sz w:val="24"/>
          <w:szCs w:val="24"/>
        </w:rPr>
        <w:t>1.</w:t>
      </w:r>
      <w:r w:rsidR="002D7BEB" w:rsidRPr="00922C73">
        <w:rPr>
          <w:rFonts w:ascii="Times New Roman" w:hAnsi="Times New Roman" w:cs="Times New Roman"/>
          <w:sz w:val="24"/>
          <w:szCs w:val="24"/>
        </w:rPr>
        <w:t xml:space="preserve">4 </w:t>
      </w:r>
      <w:r w:rsidR="00102332" w:rsidRPr="00922C73">
        <w:rPr>
          <w:rFonts w:ascii="Times New Roman" w:hAnsi="Times New Roman" w:cs="Times New Roman"/>
          <w:sz w:val="24"/>
          <w:szCs w:val="24"/>
        </w:rPr>
        <w:t>Characterisation of ATI</w:t>
      </w:r>
      <w:bookmarkEnd w:id="61"/>
    </w:p>
    <w:p w14:paraId="3D942410" w14:textId="7217246A" w:rsidR="007761CF" w:rsidRPr="00922C73" w:rsidRDefault="00F40B8F" w:rsidP="002D7BEB">
      <w:pPr>
        <w:pStyle w:val="Heading3"/>
        <w:spacing w:line="480" w:lineRule="auto"/>
        <w:rPr>
          <w:rFonts w:ascii="Times New Roman" w:hAnsi="Times New Roman" w:cs="Times New Roman"/>
          <w:b/>
          <w:bCs/>
        </w:rPr>
      </w:pPr>
      <w:bookmarkStart w:id="62" w:name="_Toc151020469"/>
      <w:r w:rsidRPr="00922C73">
        <w:rPr>
          <w:rFonts w:ascii="Times New Roman" w:hAnsi="Times New Roman" w:cs="Times New Roman"/>
          <w:b/>
          <w:bCs/>
        </w:rPr>
        <w:t>1.</w:t>
      </w:r>
      <w:r w:rsidR="002D7BEB" w:rsidRPr="00922C73">
        <w:rPr>
          <w:rFonts w:ascii="Times New Roman" w:hAnsi="Times New Roman" w:cs="Times New Roman"/>
          <w:b/>
          <w:bCs/>
        </w:rPr>
        <w:t xml:space="preserve">4.1 </w:t>
      </w:r>
      <w:r w:rsidR="00383F53" w:rsidRPr="00922C73">
        <w:rPr>
          <w:rFonts w:ascii="Times New Roman" w:hAnsi="Times New Roman" w:cs="Times New Roman"/>
          <w:b/>
          <w:bCs/>
        </w:rPr>
        <w:t>Neutralising and non-neutralising</w:t>
      </w:r>
      <w:r w:rsidR="0011362D" w:rsidRPr="00922C73">
        <w:rPr>
          <w:rFonts w:ascii="Times New Roman" w:hAnsi="Times New Roman" w:cs="Times New Roman"/>
          <w:b/>
          <w:bCs/>
        </w:rPr>
        <w:t xml:space="preserve"> </w:t>
      </w:r>
      <w:r w:rsidR="00D35D73" w:rsidRPr="00922C73">
        <w:rPr>
          <w:rFonts w:ascii="Times New Roman" w:hAnsi="Times New Roman" w:cs="Times New Roman"/>
          <w:b/>
          <w:bCs/>
        </w:rPr>
        <w:t>ATI</w:t>
      </w:r>
      <w:bookmarkEnd w:id="62"/>
    </w:p>
    <w:p w14:paraId="1A6F27E0" w14:textId="4C36BC0B" w:rsidR="006F16E9" w:rsidRPr="00922C73" w:rsidRDefault="006E08BF" w:rsidP="00700BBF">
      <w:pPr>
        <w:autoSpaceDE w:val="0"/>
        <w:autoSpaceDN w:val="0"/>
        <w:adjustRightInd w:val="0"/>
        <w:spacing w:after="0"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rPr>
        <w:t>Using a competition ELISA</w:t>
      </w:r>
      <w:r w:rsidR="006F63A4" w:rsidRPr="00922C73">
        <w:rPr>
          <w:rFonts w:ascii="Times New Roman" w:hAnsi="Times New Roman" w:cs="Times New Roman"/>
          <w:sz w:val="24"/>
          <w:szCs w:val="24"/>
        </w:rPr>
        <w:t xml:space="preserve">, </w:t>
      </w:r>
      <w:r w:rsidR="00F579BC" w:rsidRPr="00922C73">
        <w:rPr>
          <w:rFonts w:ascii="Times New Roman" w:hAnsi="Times New Roman" w:cs="Times New Roman"/>
          <w:sz w:val="24"/>
          <w:szCs w:val="24"/>
        </w:rPr>
        <w:t xml:space="preserve">a study in juvenile arthritis patients </w:t>
      </w:r>
      <w:r w:rsidR="009A7A22" w:rsidRPr="00922C73">
        <w:rPr>
          <w:rFonts w:ascii="Times New Roman" w:hAnsi="Times New Roman" w:cs="Times New Roman"/>
          <w:sz w:val="24"/>
          <w:szCs w:val="24"/>
        </w:rPr>
        <w:t xml:space="preserve">showed </w:t>
      </w:r>
      <w:r w:rsidR="007761CF" w:rsidRPr="00922C73">
        <w:rPr>
          <w:rFonts w:ascii="Times New Roman" w:hAnsi="Times New Roman" w:cs="Times New Roman"/>
          <w:sz w:val="24"/>
          <w:szCs w:val="24"/>
        </w:rPr>
        <w:t xml:space="preserve">ATI positive </w:t>
      </w:r>
      <w:r w:rsidR="009A7A22" w:rsidRPr="00922C73">
        <w:rPr>
          <w:rFonts w:ascii="Times New Roman" w:hAnsi="Times New Roman" w:cs="Times New Roman"/>
          <w:sz w:val="24"/>
          <w:szCs w:val="24"/>
        </w:rPr>
        <w:t>serum</w:t>
      </w:r>
      <w:r w:rsidR="006F63A4" w:rsidRPr="00922C73">
        <w:rPr>
          <w:rFonts w:ascii="Times New Roman" w:hAnsi="Times New Roman" w:cs="Times New Roman"/>
          <w:sz w:val="24"/>
          <w:szCs w:val="24"/>
        </w:rPr>
        <w:t xml:space="preserve"> from 9 patients</w:t>
      </w:r>
      <w:r w:rsidR="007761CF" w:rsidRPr="00922C73">
        <w:rPr>
          <w:rFonts w:ascii="Times New Roman" w:hAnsi="Times New Roman" w:cs="Times New Roman"/>
          <w:sz w:val="24"/>
          <w:szCs w:val="24"/>
        </w:rPr>
        <w:t xml:space="preserve"> </w:t>
      </w:r>
      <w:r w:rsidR="006F63A4" w:rsidRPr="00922C73">
        <w:rPr>
          <w:rFonts w:ascii="Times New Roman" w:hAnsi="Times New Roman" w:cs="Times New Roman"/>
          <w:sz w:val="24"/>
          <w:szCs w:val="24"/>
        </w:rPr>
        <w:t>prevented binding of</w:t>
      </w:r>
      <w:r w:rsidR="006F16E9" w:rsidRPr="00922C73">
        <w:rPr>
          <w:rFonts w:ascii="Times New Roman" w:hAnsi="Times New Roman" w:cs="Times New Roman"/>
          <w:sz w:val="24"/>
          <w:szCs w:val="24"/>
        </w:rPr>
        <w:t xml:space="preserve"> an</w:t>
      </w:r>
      <w:r w:rsidR="006F63A4" w:rsidRPr="00922C73">
        <w:rPr>
          <w:rFonts w:ascii="Times New Roman" w:hAnsi="Times New Roman" w:cs="Times New Roman"/>
          <w:sz w:val="24"/>
          <w:szCs w:val="24"/>
        </w:rPr>
        <w:t xml:space="preserve"> infliximab </w:t>
      </w:r>
      <w:r w:rsidR="007761CF" w:rsidRPr="00922C73">
        <w:rPr>
          <w:rFonts w:ascii="Times New Roman" w:hAnsi="Times New Roman" w:cs="Times New Roman"/>
          <w:sz w:val="24"/>
          <w:szCs w:val="24"/>
        </w:rPr>
        <w:t>F</w:t>
      </w:r>
      <w:r w:rsidR="006F16E9" w:rsidRPr="00922C73">
        <w:rPr>
          <w:rFonts w:ascii="Times New Roman" w:hAnsi="Times New Roman" w:cs="Times New Roman"/>
          <w:sz w:val="24"/>
          <w:szCs w:val="24"/>
        </w:rPr>
        <w:t xml:space="preserve">ab fragment </w:t>
      </w:r>
      <w:r w:rsidR="006F63A4" w:rsidRPr="00922C73">
        <w:rPr>
          <w:rFonts w:ascii="Times New Roman" w:hAnsi="Times New Roman" w:cs="Times New Roman"/>
          <w:sz w:val="24"/>
          <w:szCs w:val="24"/>
        </w:rPr>
        <w:t>to immobilised TNF</w:t>
      </w:r>
      <w:r w:rsidR="00B9365F" w:rsidRPr="00922C73">
        <w:rPr>
          <w:rFonts w:ascii="Times New Roman" w:hAnsi="Times New Roman" w:cs="Times New Roman"/>
          <w:sz w:val="24"/>
          <w:szCs w:val="24"/>
        </w:rPr>
        <w:t>, indicating a neutralising effect</w:t>
      </w:r>
      <w:r w:rsidR="00F579BC" w:rsidRPr="00922C73">
        <w:rPr>
          <w:rFonts w:ascii="Times New Roman" w:hAnsi="Times New Roman" w:cs="Times New Roman"/>
          <w:sz w:val="24"/>
          <w:szCs w:val="24"/>
        </w:rPr>
        <w:t xml:space="preserve"> </w:t>
      </w:r>
      <w:r w:rsidR="00F579B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http://www.mendeley.com/documents/?uuid=0511c79a-96bd-40a2-af29-f049a3a21845","http://www.mendeley.com/documents/?uuid=f7db2305-5109-4d29-ac76-cd4b6a0a4d77"]}],"mendeley":{"formattedCitation":"&lt;sup&gt;146&lt;/sup&gt;","plainTextFormattedCitation":"146","previouslyFormattedCitation":"&lt;sup&gt;146&lt;/sup&gt;"},"properties":{"noteIndex":0},"schema":"https://github.com/citation-style-language/schema/raw/master/csl-citation.json"}</w:instrText>
      </w:r>
      <w:r w:rsidR="00F579BC"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146</w:t>
      </w:r>
      <w:r w:rsidR="00F579BC" w:rsidRPr="00922C73">
        <w:rPr>
          <w:rFonts w:ascii="Times New Roman" w:hAnsi="Times New Roman" w:cs="Times New Roman"/>
          <w:sz w:val="24"/>
          <w:szCs w:val="24"/>
        </w:rPr>
        <w:fldChar w:fldCharType="end"/>
      </w:r>
      <w:r w:rsidR="006F63A4" w:rsidRPr="00922C73">
        <w:rPr>
          <w:rFonts w:ascii="Times New Roman" w:hAnsi="Times New Roman" w:cs="Times New Roman"/>
          <w:sz w:val="24"/>
          <w:szCs w:val="24"/>
        </w:rPr>
        <w:t>.</w:t>
      </w:r>
      <w:r w:rsidR="006F16E9" w:rsidRPr="00922C73">
        <w:rPr>
          <w:rFonts w:ascii="Times New Roman" w:hAnsi="Times New Roman" w:cs="Times New Roman"/>
          <w:sz w:val="24"/>
          <w:szCs w:val="24"/>
        </w:rPr>
        <w:t xml:space="preserve"> In the comparison groups of </w:t>
      </w:r>
      <w:r w:rsidR="007761CF" w:rsidRPr="00922C73">
        <w:rPr>
          <w:rFonts w:ascii="Times New Roman" w:hAnsi="Times New Roman" w:cs="Times New Roman"/>
          <w:sz w:val="24"/>
          <w:szCs w:val="24"/>
        </w:rPr>
        <w:t xml:space="preserve">serum from </w:t>
      </w:r>
      <w:r w:rsidR="006F16E9" w:rsidRPr="00922C73">
        <w:rPr>
          <w:rFonts w:ascii="Times New Roman" w:hAnsi="Times New Roman" w:cs="Times New Roman"/>
          <w:sz w:val="24"/>
          <w:szCs w:val="24"/>
        </w:rPr>
        <w:t>patients with no ATI and a control group of healthy donors</w:t>
      </w:r>
      <w:r w:rsidR="006F63A4" w:rsidRPr="00922C73">
        <w:rPr>
          <w:rFonts w:ascii="Times New Roman" w:hAnsi="Times New Roman" w:cs="Times New Roman"/>
          <w:sz w:val="24"/>
          <w:szCs w:val="24"/>
        </w:rPr>
        <w:t xml:space="preserve"> </w:t>
      </w:r>
      <w:r w:rsidR="006F16E9" w:rsidRPr="00922C73">
        <w:rPr>
          <w:rFonts w:ascii="Times New Roman" w:hAnsi="Times New Roman" w:cs="Times New Roman"/>
          <w:sz w:val="24"/>
          <w:szCs w:val="24"/>
          <w:shd w:val="clear" w:color="auto" w:fill="FFFFFF"/>
        </w:rPr>
        <w:t xml:space="preserve">there was no inhibition of </w:t>
      </w:r>
      <w:r w:rsidR="006F63A4" w:rsidRPr="00922C73">
        <w:rPr>
          <w:rFonts w:ascii="Times New Roman" w:hAnsi="Times New Roman" w:cs="Times New Roman"/>
          <w:sz w:val="24"/>
          <w:szCs w:val="24"/>
          <w:shd w:val="clear" w:color="auto" w:fill="FFFFFF"/>
        </w:rPr>
        <w:t xml:space="preserve">infliximab </w:t>
      </w:r>
      <w:r w:rsidR="007761CF" w:rsidRPr="00922C73">
        <w:rPr>
          <w:rFonts w:ascii="Times New Roman" w:hAnsi="Times New Roman" w:cs="Times New Roman"/>
          <w:sz w:val="24"/>
          <w:szCs w:val="24"/>
          <w:shd w:val="clear" w:color="auto" w:fill="FFFFFF"/>
        </w:rPr>
        <w:t xml:space="preserve">Fab from </w:t>
      </w:r>
      <w:r w:rsidR="006F63A4" w:rsidRPr="00922C73">
        <w:rPr>
          <w:rFonts w:ascii="Times New Roman" w:hAnsi="Times New Roman" w:cs="Times New Roman"/>
          <w:sz w:val="24"/>
          <w:szCs w:val="24"/>
          <w:shd w:val="clear" w:color="auto" w:fill="FFFFFF"/>
        </w:rPr>
        <w:t>binding</w:t>
      </w:r>
      <w:r w:rsidR="006F16E9" w:rsidRPr="00922C73">
        <w:rPr>
          <w:rFonts w:ascii="Times New Roman" w:hAnsi="Times New Roman" w:cs="Times New Roman"/>
          <w:sz w:val="24"/>
          <w:szCs w:val="24"/>
          <w:shd w:val="clear" w:color="auto" w:fill="FFFFFF"/>
        </w:rPr>
        <w:t xml:space="preserve"> to the immobilised TNF</w:t>
      </w:r>
      <w:r w:rsidR="00F579BC" w:rsidRPr="00922C73">
        <w:rPr>
          <w:rFonts w:ascii="Times New Roman" w:hAnsi="Times New Roman" w:cs="Times New Roman"/>
          <w:sz w:val="24"/>
          <w:szCs w:val="24"/>
          <w:shd w:val="clear" w:color="auto" w:fill="FFFFFF"/>
        </w:rPr>
        <w:t xml:space="preserve"> </w:t>
      </w:r>
      <w:r w:rsidR="00F579BC"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http://www.mendeley.com/documents/?uuid=0511c79a-96bd-40a2-af29-f049a3a21845","http://www.mendeley.com/documents/?uuid=f7db2305-5109-4d29-ac76-cd4b6a0a4d77"]}],"mendeley":{"formattedCitation":"&lt;sup&gt;146&lt;/sup&gt;","plainTextFormattedCitation":"146","previouslyFormattedCitation":"&lt;sup&gt;146&lt;/sup&gt;"},"properties":{"noteIndex":0},"schema":"https://github.com/citation-style-language/schema/raw/master/csl-citation.json"}</w:instrText>
      </w:r>
      <w:r w:rsidR="00F579BC"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146</w:t>
      </w:r>
      <w:r w:rsidR="00F579BC" w:rsidRPr="00922C73">
        <w:rPr>
          <w:rFonts w:ascii="Times New Roman" w:hAnsi="Times New Roman" w:cs="Times New Roman"/>
          <w:sz w:val="24"/>
          <w:szCs w:val="24"/>
          <w:shd w:val="clear" w:color="auto" w:fill="FFFFFF"/>
        </w:rPr>
        <w:fldChar w:fldCharType="end"/>
      </w:r>
      <w:r w:rsidR="006F63A4" w:rsidRPr="00922C73">
        <w:rPr>
          <w:rFonts w:ascii="Times New Roman" w:hAnsi="Times New Roman" w:cs="Times New Roman"/>
          <w:sz w:val="24"/>
          <w:szCs w:val="24"/>
          <w:shd w:val="clear" w:color="auto" w:fill="FFFFFF"/>
        </w:rPr>
        <w:t xml:space="preserve">. </w:t>
      </w:r>
      <w:r w:rsidR="006F16E9" w:rsidRPr="00922C73">
        <w:rPr>
          <w:rFonts w:ascii="Times New Roman" w:hAnsi="Times New Roman" w:cs="Times New Roman"/>
          <w:sz w:val="24"/>
          <w:szCs w:val="24"/>
          <w:shd w:val="clear" w:color="auto" w:fill="FFFFFF"/>
        </w:rPr>
        <w:t xml:space="preserve">Although this study suggests the presence of </w:t>
      </w:r>
      <w:r w:rsidR="00F579BC" w:rsidRPr="00922C73">
        <w:rPr>
          <w:rFonts w:ascii="Times New Roman" w:hAnsi="Times New Roman" w:cs="Times New Roman"/>
          <w:sz w:val="24"/>
          <w:szCs w:val="24"/>
          <w:shd w:val="clear" w:color="auto" w:fill="FFFFFF"/>
        </w:rPr>
        <w:t>neutralising antibodies, it did</w:t>
      </w:r>
      <w:r w:rsidR="006F16E9" w:rsidRPr="00922C73">
        <w:rPr>
          <w:rFonts w:ascii="Times New Roman" w:hAnsi="Times New Roman" w:cs="Times New Roman"/>
          <w:sz w:val="24"/>
          <w:szCs w:val="24"/>
          <w:shd w:val="clear" w:color="auto" w:fill="FFFFFF"/>
        </w:rPr>
        <w:t xml:space="preserve"> not exclude the prese</w:t>
      </w:r>
      <w:r w:rsidR="002E6F0E" w:rsidRPr="00922C73">
        <w:rPr>
          <w:rFonts w:ascii="Times New Roman" w:hAnsi="Times New Roman" w:cs="Times New Roman"/>
          <w:sz w:val="24"/>
          <w:szCs w:val="24"/>
          <w:shd w:val="clear" w:color="auto" w:fill="FFFFFF"/>
        </w:rPr>
        <w:t xml:space="preserve">nce of other types of ATI, which </w:t>
      </w:r>
      <w:r w:rsidR="008D0629" w:rsidRPr="00922C73">
        <w:rPr>
          <w:rFonts w:ascii="Times New Roman" w:hAnsi="Times New Roman" w:cs="Times New Roman"/>
          <w:sz w:val="24"/>
          <w:szCs w:val="24"/>
          <w:shd w:val="clear" w:color="auto" w:fill="FFFFFF"/>
        </w:rPr>
        <w:t>w</w:t>
      </w:r>
      <w:r w:rsidR="002E6F0E" w:rsidRPr="00922C73">
        <w:rPr>
          <w:rFonts w:ascii="Times New Roman" w:hAnsi="Times New Roman" w:cs="Times New Roman"/>
          <w:sz w:val="24"/>
          <w:szCs w:val="24"/>
          <w:shd w:val="clear" w:color="auto" w:fill="FFFFFF"/>
        </w:rPr>
        <w:t>ould bind simultaneously with the n</w:t>
      </w:r>
      <w:r w:rsidR="00B85827" w:rsidRPr="00922C73">
        <w:rPr>
          <w:rFonts w:ascii="Times New Roman" w:hAnsi="Times New Roman" w:cs="Times New Roman"/>
          <w:sz w:val="24"/>
          <w:szCs w:val="24"/>
          <w:shd w:val="clear" w:color="auto" w:fill="FFFFFF"/>
        </w:rPr>
        <w:t xml:space="preserve">eutralising </w:t>
      </w:r>
      <w:r w:rsidR="007761CF" w:rsidRPr="00922C73">
        <w:rPr>
          <w:rFonts w:ascii="Times New Roman" w:hAnsi="Times New Roman" w:cs="Times New Roman"/>
          <w:sz w:val="24"/>
          <w:szCs w:val="24"/>
          <w:shd w:val="clear" w:color="auto" w:fill="FFFFFF"/>
        </w:rPr>
        <w:t>antibodies</w:t>
      </w:r>
      <w:r w:rsidR="002E6F0E" w:rsidRPr="00922C73">
        <w:rPr>
          <w:rFonts w:ascii="Times New Roman" w:hAnsi="Times New Roman" w:cs="Times New Roman"/>
          <w:sz w:val="24"/>
          <w:szCs w:val="24"/>
          <w:shd w:val="clear" w:color="auto" w:fill="FFFFFF"/>
        </w:rPr>
        <w:t xml:space="preserve">. </w:t>
      </w:r>
    </w:p>
    <w:p w14:paraId="79F76DC0" w14:textId="77777777" w:rsidR="008D0629" w:rsidRPr="00922C73" w:rsidRDefault="008D0629" w:rsidP="00700BBF">
      <w:pPr>
        <w:autoSpaceDE w:val="0"/>
        <w:autoSpaceDN w:val="0"/>
        <w:adjustRightInd w:val="0"/>
        <w:spacing w:after="0" w:line="480" w:lineRule="auto"/>
        <w:rPr>
          <w:rFonts w:ascii="Times New Roman" w:hAnsi="Times New Roman" w:cs="Times New Roman"/>
          <w:sz w:val="24"/>
          <w:szCs w:val="24"/>
          <w:shd w:val="clear" w:color="auto" w:fill="FFFFFF"/>
        </w:rPr>
      </w:pPr>
    </w:p>
    <w:p w14:paraId="7C5BBA53" w14:textId="73027856" w:rsidR="00AD5224" w:rsidRPr="00922C73" w:rsidRDefault="00B85827" w:rsidP="00700BBF">
      <w:pPr>
        <w:spacing w:before="200" w:line="480" w:lineRule="auto"/>
        <w:rPr>
          <w:rFonts w:ascii="Times New Roman" w:hAnsi="Times New Roman" w:cs="Times New Roman"/>
          <w:sz w:val="24"/>
          <w:szCs w:val="24"/>
        </w:rPr>
      </w:pPr>
      <w:bookmarkStart w:id="63" w:name="_Hlk87431551"/>
      <w:r w:rsidRPr="00922C73">
        <w:rPr>
          <w:rFonts w:ascii="Times New Roman" w:hAnsi="Times New Roman" w:cs="Times New Roman"/>
          <w:sz w:val="24"/>
          <w:szCs w:val="24"/>
        </w:rPr>
        <w:t>Van Schie et al used</w:t>
      </w:r>
      <w:r w:rsidR="00F579BC" w:rsidRPr="00922C73">
        <w:rPr>
          <w:rFonts w:ascii="Times New Roman" w:hAnsi="Times New Roman" w:cs="Times New Roman"/>
          <w:sz w:val="24"/>
          <w:szCs w:val="24"/>
        </w:rPr>
        <w:t xml:space="preserve"> a different</w:t>
      </w:r>
      <w:r w:rsidR="00DD0D93" w:rsidRPr="00922C73">
        <w:rPr>
          <w:rFonts w:ascii="Times New Roman" w:hAnsi="Times New Roman" w:cs="Times New Roman"/>
          <w:sz w:val="24"/>
          <w:szCs w:val="24"/>
        </w:rPr>
        <w:t xml:space="preserve"> </w:t>
      </w:r>
      <w:r w:rsidR="007209B6" w:rsidRPr="00922C73">
        <w:rPr>
          <w:rFonts w:ascii="Times New Roman" w:hAnsi="Times New Roman" w:cs="Times New Roman"/>
          <w:sz w:val="24"/>
          <w:szCs w:val="24"/>
        </w:rPr>
        <w:t>TNF competition assay</w:t>
      </w:r>
      <w:r w:rsidR="00DD0D93"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in which </w:t>
      </w:r>
      <w:r w:rsidR="003C1F75" w:rsidRPr="00922C73">
        <w:rPr>
          <w:rFonts w:ascii="Times New Roman" w:hAnsi="Times New Roman" w:cs="Times New Roman"/>
          <w:sz w:val="24"/>
          <w:szCs w:val="24"/>
        </w:rPr>
        <w:t>ADA</w:t>
      </w:r>
      <w:r w:rsidR="009A7A22" w:rsidRPr="00922C73">
        <w:rPr>
          <w:rFonts w:ascii="Times New Roman" w:hAnsi="Times New Roman" w:cs="Times New Roman"/>
          <w:sz w:val="24"/>
          <w:szCs w:val="24"/>
        </w:rPr>
        <w:t xml:space="preserve"> </w:t>
      </w:r>
      <w:r w:rsidR="003C1F75" w:rsidRPr="00922C73">
        <w:rPr>
          <w:rFonts w:ascii="Times New Roman" w:hAnsi="Times New Roman" w:cs="Times New Roman"/>
          <w:sz w:val="24"/>
          <w:szCs w:val="24"/>
        </w:rPr>
        <w:t>we</w:t>
      </w:r>
      <w:r w:rsidR="009A7A22" w:rsidRPr="00922C73">
        <w:rPr>
          <w:rFonts w:ascii="Times New Roman" w:hAnsi="Times New Roman" w:cs="Times New Roman"/>
          <w:sz w:val="24"/>
          <w:szCs w:val="24"/>
        </w:rPr>
        <w:t xml:space="preserve">re bound by protein A </w:t>
      </w:r>
      <w:r w:rsidR="003C1F75" w:rsidRPr="00922C73">
        <w:rPr>
          <w:rFonts w:ascii="Times New Roman" w:hAnsi="Times New Roman" w:cs="Times New Roman"/>
          <w:sz w:val="24"/>
          <w:szCs w:val="24"/>
        </w:rPr>
        <w:t>Sepharose and a</w:t>
      </w:r>
      <w:r w:rsidR="00573A1F" w:rsidRPr="00922C73">
        <w:rPr>
          <w:rFonts w:ascii="Times New Roman" w:hAnsi="Times New Roman" w:cs="Times New Roman"/>
          <w:sz w:val="24"/>
          <w:szCs w:val="24"/>
        </w:rPr>
        <w:t xml:space="preserve"> signal </w:t>
      </w:r>
      <w:r w:rsidR="003C1F75" w:rsidRPr="00922C73">
        <w:rPr>
          <w:rFonts w:ascii="Times New Roman" w:hAnsi="Times New Roman" w:cs="Times New Roman"/>
          <w:sz w:val="24"/>
          <w:szCs w:val="24"/>
        </w:rPr>
        <w:t xml:space="preserve">was generated </w:t>
      </w:r>
      <w:r w:rsidR="00573A1F" w:rsidRPr="00922C73">
        <w:rPr>
          <w:rFonts w:ascii="Times New Roman" w:hAnsi="Times New Roman" w:cs="Times New Roman"/>
          <w:sz w:val="24"/>
          <w:szCs w:val="24"/>
        </w:rPr>
        <w:t xml:space="preserve">on </w:t>
      </w:r>
      <w:r w:rsidR="003C1F75" w:rsidRPr="00922C73">
        <w:rPr>
          <w:rFonts w:ascii="Times New Roman" w:hAnsi="Times New Roman" w:cs="Times New Roman"/>
          <w:sz w:val="24"/>
          <w:szCs w:val="24"/>
        </w:rPr>
        <w:t xml:space="preserve">binding of </w:t>
      </w:r>
      <w:r w:rsidR="00573A1F" w:rsidRPr="00922C73">
        <w:rPr>
          <w:rFonts w:ascii="Times New Roman" w:hAnsi="Times New Roman" w:cs="Times New Roman"/>
          <w:sz w:val="24"/>
          <w:szCs w:val="24"/>
        </w:rPr>
        <w:t>radiolabelled drug Fab fragment</w:t>
      </w:r>
      <w:r w:rsidR="00755CD0" w:rsidRPr="00922C73">
        <w:rPr>
          <w:rFonts w:ascii="Times New Roman" w:hAnsi="Times New Roman" w:cs="Times New Roman"/>
          <w:sz w:val="24"/>
          <w:szCs w:val="24"/>
        </w:rPr>
        <w:t>s</w:t>
      </w:r>
      <w:r w:rsidR="0011362D" w:rsidRPr="00922C73">
        <w:rPr>
          <w:rFonts w:ascii="Times New Roman" w:hAnsi="Times New Roman" w:cs="Times New Roman"/>
          <w:sz w:val="24"/>
          <w:szCs w:val="24"/>
        </w:rPr>
        <w:t xml:space="preserve"> </w:t>
      </w:r>
      <w:r w:rsidR="0011362D"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Diseases","id":"ITEM-1","issue":"1","issued":{"date-parts":[["2015","1"]]},"page":"311-314","title":"The antibody response against human and chimeric anti-TNF therapeutic antibodies primarily targets the TNF binding region","type":"article-journal","volume":"74"},"uris":["http://www.mendeley.com/documents/?uuid=c5c9c2d8-4bea-431e-974f-09a2aa2b2007"]}],"mendeley":{"formattedCitation":"&lt;sup&gt;33&lt;/sup&gt;","plainTextFormattedCitation":"33","previouslyFormattedCitation":"&lt;sup&gt;33&lt;/sup&gt;"},"properties":{"noteIndex":0},"schema":"https://github.com/citation-style-language/schema/raw/master/csl-citation.json"}</w:instrText>
      </w:r>
      <w:r w:rsidR="0011362D"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33</w:t>
      </w:r>
      <w:r w:rsidR="0011362D"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003C1F75" w:rsidRPr="00922C73">
        <w:rPr>
          <w:rFonts w:ascii="Times New Roman" w:hAnsi="Times New Roman" w:cs="Times New Roman"/>
          <w:sz w:val="24"/>
          <w:szCs w:val="24"/>
        </w:rPr>
        <w:t>U</w:t>
      </w:r>
      <w:r w:rsidR="00573A1F" w:rsidRPr="00922C73">
        <w:rPr>
          <w:rFonts w:ascii="Times New Roman" w:hAnsi="Times New Roman" w:cs="Times New Roman"/>
          <w:sz w:val="24"/>
          <w:szCs w:val="24"/>
        </w:rPr>
        <w:t>sing s</w:t>
      </w:r>
      <w:r w:rsidR="005A7481" w:rsidRPr="00922C73">
        <w:rPr>
          <w:rFonts w:ascii="Times New Roman" w:hAnsi="Times New Roman" w:cs="Times New Roman"/>
          <w:sz w:val="24"/>
          <w:szCs w:val="24"/>
        </w:rPr>
        <w:t>era p</w:t>
      </w:r>
      <w:r w:rsidR="00312AD5" w:rsidRPr="00922C73">
        <w:rPr>
          <w:rFonts w:ascii="Times New Roman" w:hAnsi="Times New Roman" w:cs="Times New Roman"/>
          <w:sz w:val="24"/>
          <w:szCs w:val="24"/>
        </w:rPr>
        <w:t xml:space="preserve">ositive for </w:t>
      </w:r>
      <w:r w:rsidR="003C1F75" w:rsidRPr="00922C73">
        <w:rPr>
          <w:rFonts w:ascii="Times New Roman" w:hAnsi="Times New Roman" w:cs="Times New Roman"/>
          <w:sz w:val="24"/>
          <w:szCs w:val="24"/>
        </w:rPr>
        <w:t>ADA</w:t>
      </w:r>
      <w:r w:rsidR="005A7481" w:rsidRPr="00922C73">
        <w:rPr>
          <w:rFonts w:ascii="Times New Roman" w:hAnsi="Times New Roman" w:cs="Times New Roman"/>
          <w:sz w:val="24"/>
          <w:szCs w:val="24"/>
        </w:rPr>
        <w:t xml:space="preserve"> </w:t>
      </w:r>
      <w:r w:rsidR="00573A1F" w:rsidRPr="00922C73">
        <w:rPr>
          <w:rFonts w:ascii="Times New Roman" w:hAnsi="Times New Roman" w:cs="Times New Roman"/>
          <w:sz w:val="24"/>
          <w:szCs w:val="24"/>
        </w:rPr>
        <w:t>to</w:t>
      </w:r>
      <w:r w:rsidR="003C1F75" w:rsidRPr="00922C73">
        <w:rPr>
          <w:rFonts w:ascii="Times New Roman" w:hAnsi="Times New Roman" w:cs="Times New Roman"/>
          <w:sz w:val="24"/>
          <w:szCs w:val="24"/>
        </w:rPr>
        <w:t xml:space="preserve"> different</w:t>
      </w:r>
      <w:r w:rsidR="00573A1F" w:rsidRPr="00922C73">
        <w:rPr>
          <w:rFonts w:ascii="Times New Roman" w:hAnsi="Times New Roman" w:cs="Times New Roman"/>
          <w:sz w:val="24"/>
          <w:szCs w:val="24"/>
        </w:rPr>
        <w:t xml:space="preserve"> TNFα antagonists</w:t>
      </w:r>
      <w:r w:rsidR="003C1F75" w:rsidRPr="00922C73">
        <w:rPr>
          <w:rFonts w:ascii="Times New Roman" w:hAnsi="Times New Roman" w:cs="Times New Roman"/>
          <w:sz w:val="24"/>
          <w:szCs w:val="24"/>
        </w:rPr>
        <w:t>, increasing amounts of TNFα were added to assess competitive inhibition</w:t>
      </w:r>
      <w:r w:rsidR="000A640C" w:rsidRPr="00922C73">
        <w:rPr>
          <w:rFonts w:ascii="Times New Roman" w:hAnsi="Times New Roman" w:cs="Times New Roman"/>
          <w:sz w:val="24"/>
          <w:szCs w:val="24"/>
        </w:rPr>
        <w:t xml:space="preserve">. </w:t>
      </w:r>
      <w:bookmarkEnd w:id="63"/>
      <w:r w:rsidR="000A640C" w:rsidRPr="00922C73">
        <w:rPr>
          <w:rFonts w:ascii="Times New Roman" w:hAnsi="Times New Roman" w:cs="Times New Roman"/>
          <w:sz w:val="24"/>
          <w:szCs w:val="24"/>
        </w:rPr>
        <w:t xml:space="preserve">In </w:t>
      </w:r>
      <w:r w:rsidR="005A7481" w:rsidRPr="00922C73">
        <w:rPr>
          <w:rFonts w:ascii="Times New Roman" w:hAnsi="Times New Roman" w:cs="Times New Roman"/>
          <w:sz w:val="24"/>
          <w:szCs w:val="24"/>
        </w:rPr>
        <w:t xml:space="preserve">the </w:t>
      </w:r>
      <w:r w:rsidR="002E6F0E" w:rsidRPr="00922C73">
        <w:rPr>
          <w:rFonts w:ascii="Times New Roman" w:hAnsi="Times New Roman" w:cs="Times New Roman"/>
          <w:sz w:val="24"/>
          <w:szCs w:val="24"/>
        </w:rPr>
        <w:t>humanised TNFα antagonists</w:t>
      </w:r>
      <w:r w:rsidR="00573A1F" w:rsidRPr="00922C73">
        <w:rPr>
          <w:rFonts w:ascii="Times New Roman" w:hAnsi="Times New Roman" w:cs="Times New Roman"/>
          <w:sz w:val="24"/>
          <w:szCs w:val="24"/>
        </w:rPr>
        <w:t>: adalimumab, golimumab and certolizumab</w:t>
      </w:r>
      <w:r w:rsidR="002E6F0E" w:rsidRPr="00922C73">
        <w:rPr>
          <w:rFonts w:ascii="Times New Roman" w:hAnsi="Times New Roman" w:cs="Times New Roman"/>
          <w:sz w:val="24"/>
          <w:szCs w:val="24"/>
        </w:rPr>
        <w:t>,</w:t>
      </w:r>
      <w:r w:rsidR="00312AD5" w:rsidRPr="00922C73">
        <w:rPr>
          <w:rFonts w:ascii="Times New Roman" w:hAnsi="Times New Roman" w:cs="Times New Roman"/>
          <w:sz w:val="24"/>
          <w:szCs w:val="24"/>
        </w:rPr>
        <w:t xml:space="preserve"> &gt;97% of the ADA</w:t>
      </w:r>
      <w:r w:rsidR="002E6F0E" w:rsidRPr="00922C73">
        <w:rPr>
          <w:rFonts w:ascii="Times New Roman" w:hAnsi="Times New Roman" w:cs="Times New Roman"/>
          <w:sz w:val="24"/>
          <w:szCs w:val="24"/>
        </w:rPr>
        <w:t xml:space="preserve"> response was neutralising</w:t>
      </w:r>
      <w:r w:rsidR="00755CD0" w:rsidRPr="00922C73">
        <w:rPr>
          <w:rFonts w:ascii="Times New Roman" w:hAnsi="Times New Roman" w:cs="Times New Roman"/>
          <w:sz w:val="24"/>
          <w:szCs w:val="24"/>
        </w:rPr>
        <w:t xml:space="preserve"> and binding between ADA and the drug was suppressed on addition of TNFα </w:t>
      </w:r>
      <w:r w:rsidR="00755CD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Diseases","id":"ITEM-1","issue":"1","issued":{"date-parts":[["2015","1"]]},"page":"311-314","title":"The antibody response against human and chimeric anti-TNF therapeutic antibodies primarily targets the TNF binding region","type":"article-journal","volume":"74"},"uris":["http://www.mendeley.com/documents/?uuid=c5c9c2d8-4bea-431e-974f-09a2aa2b2007"]}],"mendeley":{"formattedCitation":"&lt;sup&gt;33&lt;/sup&gt;","plainTextFormattedCitation":"33","previouslyFormattedCitation":"&lt;sup&gt;33&lt;/sup&gt;"},"properties":{"noteIndex":0},"schema":"https://github.com/citation-style-language/schema/raw/master/csl-citation.json"}</w:instrText>
      </w:r>
      <w:r w:rsidR="00755CD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33</w:t>
      </w:r>
      <w:r w:rsidR="00755CD0" w:rsidRPr="00922C73">
        <w:rPr>
          <w:rFonts w:ascii="Times New Roman" w:hAnsi="Times New Roman" w:cs="Times New Roman"/>
          <w:sz w:val="24"/>
          <w:szCs w:val="24"/>
        </w:rPr>
        <w:fldChar w:fldCharType="end"/>
      </w:r>
      <w:r w:rsidR="00755CD0" w:rsidRPr="00922C73">
        <w:rPr>
          <w:rFonts w:ascii="Times New Roman" w:hAnsi="Times New Roman" w:cs="Times New Roman"/>
          <w:sz w:val="24"/>
          <w:szCs w:val="24"/>
        </w:rPr>
        <w:t>.</w:t>
      </w:r>
      <w:r w:rsidR="002E6F0E" w:rsidRPr="00922C73">
        <w:rPr>
          <w:rFonts w:ascii="Times New Roman" w:hAnsi="Times New Roman" w:cs="Times New Roman"/>
          <w:sz w:val="24"/>
          <w:szCs w:val="24"/>
        </w:rPr>
        <w:t xml:space="preserve"> </w:t>
      </w:r>
      <w:bookmarkStart w:id="64" w:name="_Hlk87431317"/>
      <w:r w:rsidR="002E6F0E" w:rsidRPr="00922C73">
        <w:rPr>
          <w:rFonts w:ascii="Times New Roman" w:hAnsi="Times New Roman" w:cs="Times New Roman"/>
          <w:sz w:val="24"/>
          <w:szCs w:val="24"/>
        </w:rPr>
        <w:t>F</w:t>
      </w:r>
      <w:r w:rsidR="000A640C" w:rsidRPr="00922C73">
        <w:rPr>
          <w:rFonts w:ascii="Times New Roman" w:hAnsi="Times New Roman" w:cs="Times New Roman"/>
          <w:sz w:val="24"/>
          <w:szCs w:val="24"/>
        </w:rPr>
        <w:t>or infliximab</w:t>
      </w:r>
      <w:r w:rsidR="00755CD0" w:rsidRPr="00922C73">
        <w:rPr>
          <w:rFonts w:ascii="Times New Roman" w:hAnsi="Times New Roman" w:cs="Times New Roman"/>
          <w:sz w:val="24"/>
          <w:szCs w:val="24"/>
        </w:rPr>
        <w:t>,</w:t>
      </w:r>
      <w:r w:rsidR="000A640C" w:rsidRPr="00922C73">
        <w:rPr>
          <w:rFonts w:ascii="Times New Roman" w:hAnsi="Times New Roman" w:cs="Times New Roman"/>
          <w:sz w:val="24"/>
          <w:szCs w:val="24"/>
        </w:rPr>
        <w:t xml:space="preserve"> two </w:t>
      </w:r>
      <w:r w:rsidR="00642C73" w:rsidRPr="00922C73">
        <w:rPr>
          <w:rFonts w:ascii="Times New Roman" w:hAnsi="Times New Roman" w:cs="Times New Roman"/>
          <w:sz w:val="24"/>
          <w:szCs w:val="24"/>
        </w:rPr>
        <w:t>distinct</w:t>
      </w:r>
      <w:r w:rsidR="000A640C" w:rsidRPr="00922C73">
        <w:rPr>
          <w:rFonts w:ascii="Times New Roman" w:hAnsi="Times New Roman" w:cs="Times New Roman"/>
          <w:sz w:val="24"/>
          <w:szCs w:val="24"/>
        </w:rPr>
        <w:t xml:space="preserve"> </w:t>
      </w:r>
      <w:r w:rsidR="00755CD0" w:rsidRPr="00922C73">
        <w:rPr>
          <w:rFonts w:ascii="Times New Roman" w:hAnsi="Times New Roman" w:cs="Times New Roman"/>
          <w:sz w:val="24"/>
          <w:szCs w:val="24"/>
        </w:rPr>
        <w:t>A</w:t>
      </w:r>
      <w:r w:rsidR="00383F53" w:rsidRPr="00922C73">
        <w:rPr>
          <w:rFonts w:ascii="Times New Roman" w:hAnsi="Times New Roman" w:cs="Times New Roman"/>
          <w:sz w:val="24"/>
          <w:szCs w:val="24"/>
        </w:rPr>
        <w:t>DA</w:t>
      </w:r>
      <w:r w:rsidR="00755CD0" w:rsidRPr="00922C73">
        <w:rPr>
          <w:rFonts w:ascii="Times New Roman" w:hAnsi="Times New Roman" w:cs="Times New Roman"/>
          <w:sz w:val="24"/>
          <w:szCs w:val="24"/>
        </w:rPr>
        <w:t xml:space="preserve"> </w:t>
      </w:r>
      <w:r w:rsidR="000A640C" w:rsidRPr="00922C73">
        <w:rPr>
          <w:rFonts w:ascii="Times New Roman" w:hAnsi="Times New Roman" w:cs="Times New Roman"/>
          <w:sz w:val="24"/>
          <w:szCs w:val="24"/>
        </w:rPr>
        <w:t>phenotypes were suggeste</w:t>
      </w:r>
      <w:r w:rsidR="002A2EE3" w:rsidRPr="00922C73">
        <w:rPr>
          <w:rFonts w:ascii="Times New Roman" w:hAnsi="Times New Roman" w:cs="Times New Roman"/>
          <w:sz w:val="24"/>
          <w:szCs w:val="24"/>
        </w:rPr>
        <w:t>d as b</w:t>
      </w:r>
      <w:r w:rsidR="005A7481" w:rsidRPr="00922C73">
        <w:rPr>
          <w:rFonts w:ascii="Times New Roman" w:hAnsi="Times New Roman" w:cs="Times New Roman"/>
          <w:sz w:val="24"/>
          <w:szCs w:val="24"/>
        </w:rPr>
        <w:t>inding in</w:t>
      </w:r>
      <w:r w:rsidR="000A640C" w:rsidRPr="00922C73">
        <w:rPr>
          <w:rFonts w:ascii="Times New Roman" w:hAnsi="Times New Roman" w:cs="Times New Roman"/>
          <w:sz w:val="24"/>
          <w:szCs w:val="24"/>
        </w:rPr>
        <w:t xml:space="preserve"> </w:t>
      </w:r>
      <w:r w:rsidR="005A7481" w:rsidRPr="00922C73">
        <w:rPr>
          <w:rFonts w:ascii="Times New Roman" w:hAnsi="Times New Roman" w:cs="Times New Roman"/>
          <w:sz w:val="24"/>
          <w:szCs w:val="24"/>
        </w:rPr>
        <w:t>2/3 of sera was</w:t>
      </w:r>
      <w:r w:rsidR="000A640C" w:rsidRPr="00922C73">
        <w:rPr>
          <w:rFonts w:ascii="Times New Roman" w:hAnsi="Times New Roman" w:cs="Times New Roman"/>
          <w:sz w:val="24"/>
          <w:szCs w:val="24"/>
        </w:rPr>
        <w:t xml:space="preserve"> fully suppressed with an increase in TNFα conce</w:t>
      </w:r>
      <w:r w:rsidR="005A7481" w:rsidRPr="00922C73">
        <w:rPr>
          <w:rFonts w:ascii="Times New Roman" w:hAnsi="Times New Roman" w:cs="Times New Roman"/>
          <w:sz w:val="24"/>
          <w:szCs w:val="24"/>
        </w:rPr>
        <w:t>n</w:t>
      </w:r>
      <w:r w:rsidR="00A631BE" w:rsidRPr="00922C73">
        <w:rPr>
          <w:rFonts w:ascii="Times New Roman" w:hAnsi="Times New Roman" w:cs="Times New Roman"/>
          <w:sz w:val="24"/>
          <w:szCs w:val="24"/>
        </w:rPr>
        <w:t>tration</w:t>
      </w:r>
      <w:r w:rsidR="002A2EE3" w:rsidRPr="00922C73">
        <w:rPr>
          <w:rFonts w:ascii="Times New Roman" w:hAnsi="Times New Roman" w:cs="Times New Roman"/>
          <w:sz w:val="24"/>
          <w:szCs w:val="24"/>
        </w:rPr>
        <w:t>.</w:t>
      </w:r>
      <w:r w:rsidR="00A631BE" w:rsidRPr="00922C73">
        <w:rPr>
          <w:rFonts w:ascii="Times New Roman" w:hAnsi="Times New Roman" w:cs="Times New Roman"/>
          <w:sz w:val="24"/>
          <w:szCs w:val="24"/>
        </w:rPr>
        <w:t xml:space="preserve"> </w:t>
      </w:r>
      <w:r w:rsidR="002A2EE3" w:rsidRPr="00922C73">
        <w:rPr>
          <w:rFonts w:ascii="Times New Roman" w:hAnsi="Times New Roman" w:cs="Times New Roman"/>
          <w:sz w:val="24"/>
          <w:szCs w:val="24"/>
        </w:rPr>
        <w:t>However,</w:t>
      </w:r>
      <w:r w:rsidR="00755CD0" w:rsidRPr="00922C73">
        <w:rPr>
          <w:rFonts w:ascii="Times New Roman" w:hAnsi="Times New Roman" w:cs="Times New Roman"/>
          <w:sz w:val="24"/>
          <w:szCs w:val="24"/>
        </w:rPr>
        <w:t xml:space="preserve"> in a</w:t>
      </w:r>
      <w:r w:rsidR="005A7481" w:rsidRPr="00922C73">
        <w:rPr>
          <w:rFonts w:ascii="Times New Roman" w:hAnsi="Times New Roman" w:cs="Times New Roman"/>
          <w:sz w:val="24"/>
          <w:szCs w:val="24"/>
        </w:rPr>
        <w:t xml:space="preserve"> 1/3</w:t>
      </w:r>
      <w:r w:rsidR="00755CD0" w:rsidRPr="00922C73">
        <w:rPr>
          <w:rFonts w:ascii="Times New Roman" w:hAnsi="Times New Roman" w:cs="Times New Roman"/>
          <w:sz w:val="24"/>
          <w:szCs w:val="24"/>
        </w:rPr>
        <w:t>,</w:t>
      </w:r>
      <w:r w:rsidR="00A631BE" w:rsidRPr="00922C73">
        <w:rPr>
          <w:rFonts w:ascii="Times New Roman" w:hAnsi="Times New Roman" w:cs="Times New Roman"/>
          <w:sz w:val="24"/>
          <w:szCs w:val="24"/>
        </w:rPr>
        <w:t xml:space="preserve"> ATI</w:t>
      </w:r>
      <w:r w:rsidR="005A7481" w:rsidRPr="00922C73">
        <w:rPr>
          <w:rFonts w:ascii="Times New Roman" w:hAnsi="Times New Roman" w:cs="Times New Roman"/>
          <w:sz w:val="24"/>
          <w:szCs w:val="24"/>
        </w:rPr>
        <w:t xml:space="preserve"> continued to bind</w:t>
      </w:r>
      <w:r w:rsidR="000A640C" w:rsidRPr="00922C73">
        <w:rPr>
          <w:rFonts w:ascii="Times New Roman" w:hAnsi="Times New Roman" w:cs="Times New Roman"/>
          <w:sz w:val="24"/>
          <w:szCs w:val="24"/>
        </w:rPr>
        <w:t xml:space="preserve"> to infliximab even at the highest concentration of TNFα</w:t>
      </w:r>
      <w:r w:rsidR="005A7481" w:rsidRPr="00922C73">
        <w:rPr>
          <w:rFonts w:ascii="Times New Roman" w:hAnsi="Times New Roman" w:cs="Times New Roman"/>
          <w:sz w:val="24"/>
          <w:szCs w:val="24"/>
        </w:rPr>
        <w:t>, suggesting simultaneo</w:t>
      </w:r>
      <w:r w:rsidR="004E6406" w:rsidRPr="00922C73">
        <w:rPr>
          <w:rFonts w:ascii="Times New Roman" w:hAnsi="Times New Roman" w:cs="Times New Roman"/>
          <w:sz w:val="24"/>
          <w:szCs w:val="24"/>
        </w:rPr>
        <w:t>us binding of infliximab to TNF</w:t>
      </w:r>
      <w:r w:rsidR="005A7481" w:rsidRPr="00922C73">
        <w:rPr>
          <w:rFonts w:ascii="Times New Roman" w:hAnsi="Times New Roman" w:cs="Times New Roman"/>
          <w:sz w:val="24"/>
          <w:szCs w:val="24"/>
        </w:rPr>
        <w:t>α and ATI</w:t>
      </w:r>
      <w:r w:rsidR="004E4AA0" w:rsidRPr="00922C73">
        <w:rPr>
          <w:rFonts w:ascii="Times New Roman" w:hAnsi="Times New Roman" w:cs="Times New Roman"/>
          <w:sz w:val="24"/>
          <w:szCs w:val="24"/>
        </w:rPr>
        <w:t xml:space="preserve"> </w:t>
      </w:r>
      <w:r w:rsidR="004E4AA0"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Diseases","id":"ITEM-1","issue":"1","issued":{"date-parts":[["2015","1"]]},"page":"311-314","title":"The antibody response against human and chimeric anti-TNF therapeutic antibodies primarily targets the TNF binding region","type":"article-journal","volume":"74"},"uris":["http://www.mendeley.com/documents/?uuid=c5c9c2d8-4bea-431e-974f-09a2aa2b2007","http://www.mendeley.com/documents/?uuid=88348dd5-67d7-400b-8df7-14291c4d8a58","http://www.mendeley.com/documents/?uuid=31c8ce99-274e-43ab-85bc-166af6d15cb9"]}],"mendeley":{"formattedCitation":"&lt;sup&gt;33&lt;/sup&gt;","plainTextFormattedCitation":"33","previouslyFormattedCitation":"&lt;sup&gt;33&lt;/sup&gt;"},"properties":{"noteIndex":0},"schema":"https://github.com/citation-style-language/schema/raw/master/csl-citation.json"}</w:instrText>
      </w:r>
      <w:r w:rsidR="004E4AA0"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33</w:t>
      </w:r>
      <w:r w:rsidR="004E4AA0" w:rsidRPr="00922C73">
        <w:rPr>
          <w:rFonts w:ascii="Times New Roman" w:hAnsi="Times New Roman" w:cs="Times New Roman"/>
          <w:sz w:val="24"/>
          <w:szCs w:val="24"/>
        </w:rPr>
        <w:fldChar w:fldCharType="end"/>
      </w:r>
      <w:r w:rsidR="005A7481" w:rsidRPr="00922C73">
        <w:rPr>
          <w:rFonts w:ascii="Times New Roman" w:hAnsi="Times New Roman" w:cs="Times New Roman"/>
          <w:sz w:val="24"/>
          <w:szCs w:val="24"/>
        </w:rPr>
        <w:t xml:space="preserve">. Modification of the competition assay with use of </w:t>
      </w:r>
      <w:r w:rsidR="00DD0D93" w:rsidRPr="00922C73">
        <w:rPr>
          <w:rFonts w:ascii="Times New Roman" w:hAnsi="Times New Roman" w:cs="Times New Roman"/>
          <w:sz w:val="24"/>
          <w:szCs w:val="24"/>
        </w:rPr>
        <w:t>polyclonal mouse I</w:t>
      </w:r>
      <w:r w:rsidR="005A7481" w:rsidRPr="00922C73">
        <w:rPr>
          <w:rFonts w:ascii="Times New Roman" w:hAnsi="Times New Roman" w:cs="Times New Roman"/>
          <w:sz w:val="24"/>
          <w:szCs w:val="24"/>
        </w:rPr>
        <w:t>gG</w:t>
      </w:r>
      <w:r w:rsidR="00AD5224" w:rsidRPr="00922C73">
        <w:rPr>
          <w:rFonts w:ascii="Times New Roman" w:hAnsi="Times New Roman" w:cs="Times New Roman"/>
          <w:sz w:val="24"/>
          <w:szCs w:val="24"/>
        </w:rPr>
        <w:t xml:space="preserve">, which </w:t>
      </w:r>
      <w:r w:rsidR="00AD5224" w:rsidRPr="00922C73">
        <w:rPr>
          <w:rFonts w:ascii="Times New Roman" w:hAnsi="Times New Roman" w:cs="Times New Roman"/>
          <w:sz w:val="24"/>
          <w:szCs w:val="24"/>
        </w:rPr>
        <w:lastRenderedPageBreak/>
        <w:t>would target the murine component of infliximab,</w:t>
      </w:r>
      <w:r w:rsidR="005A7481" w:rsidRPr="00922C73">
        <w:rPr>
          <w:rFonts w:ascii="Times New Roman" w:hAnsi="Times New Roman" w:cs="Times New Roman"/>
          <w:sz w:val="24"/>
          <w:szCs w:val="24"/>
        </w:rPr>
        <w:t xml:space="preserve"> did not reduce binding of ATI to infliximab</w:t>
      </w:r>
      <w:r w:rsidR="002E6F0E" w:rsidRPr="00922C73">
        <w:rPr>
          <w:rFonts w:ascii="Times New Roman" w:hAnsi="Times New Roman" w:cs="Times New Roman"/>
          <w:sz w:val="24"/>
          <w:szCs w:val="24"/>
        </w:rPr>
        <w:t xml:space="preserve"> leading to the authors to conclu</w:t>
      </w:r>
      <w:r w:rsidR="002407A3" w:rsidRPr="00922C73">
        <w:rPr>
          <w:rFonts w:ascii="Times New Roman" w:hAnsi="Times New Roman" w:cs="Times New Roman"/>
          <w:sz w:val="24"/>
          <w:szCs w:val="24"/>
        </w:rPr>
        <w:t>de that the ADA</w:t>
      </w:r>
      <w:r w:rsidR="005A7481" w:rsidRPr="00922C73">
        <w:rPr>
          <w:rFonts w:ascii="Times New Roman" w:hAnsi="Times New Roman" w:cs="Times New Roman"/>
          <w:sz w:val="24"/>
          <w:szCs w:val="24"/>
        </w:rPr>
        <w:t xml:space="preserve"> may target humanised</w:t>
      </w:r>
      <w:r w:rsidR="00AD5224" w:rsidRPr="00922C73">
        <w:rPr>
          <w:rFonts w:ascii="Times New Roman" w:hAnsi="Times New Roman" w:cs="Times New Roman"/>
          <w:sz w:val="24"/>
          <w:szCs w:val="24"/>
        </w:rPr>
        <w:t xml:space="preserve"> epitopes unique to infliximab</w:t>
      </w:r>
      <w:r w:rsidR="00D35D73" w:rsidRPr="00922C73">
        <w:rPr>
          <w:rFonts w:ascii="Times New Roman" w:hAnsi="Times New Roman" w:cs="Times New Roman"/>
          <w:sz w:val="24"/>
          <w:szCs w:val="24"/>
        </w:rPr>
        <w:t xml:space="preserve"> </w:t>
      </w:r>
      <w:r w:rsidR="00D35D73"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Diseases","id":"ITEM-1","issue":"1","issued":{"date-parts":[["2015","1"]]},"page":"311-314","title":"The antibody response against human and chimeric anti-TNF therapeutic antibodies primarily targets the TNF binding region","type":"article-journal","volume":"74"},"uris":["http://www.mendeley.com/documents/?uuid=c5c9c2d8-4bea-431e-974f-09a2aa2b2007"]}],"mendeley":{"formattedCitation":"&lt;sup&gt;33&lt;/sup&gt;","plainTextFormattedCitation":"33","previouslyFormattedCitation":"&lt;sup&gt;33&lt;/sup&gt;"},"properties":{"noteIndex":0},"schema":"https://github.com/citation-style-language/schema/raw/master/csl-citation.json"}</w:instrText>
      </w:r>
      <w:r w:rsidR="00D35D73"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33</w:t>
      </w:r>
      <w:r w:rsidR="00D35D73" w:rsidRPr="00922C73">
        <w:rPr>
          <w:rFonts w:ascii="Times New Roman" w:hAnsi="Times New Roman" w:cs="Times New Roman"/>
          <w:sz w:val="24"/>
          <w:szCs w:val="24"/>
        </w:rPr>
        <w:fldChar w:fldCharType="end"/>
      </w:r>
      <w:r w:rsidR="00AD5224" w:rsidRPr="00922C73">
        <w:rPr>
          <w:rFonts w:ascii="Times New Roman" w:hAnsi="Times New Roman" w:cs="Times New Roman"/>
          <w:sz w:val="24"/>
          <w:szCs w:val="24"/>
        </w:rPr>
        <w:t>.</w:t>
      </w:r>
    </w:p>
    <w:bookmarkEnd w:id="64"/>
    <w:p w14:paraId="300246F4" w14:textId="77777777" w:rsidR="00D35D73" w:rsidRPr="00922C73" w:rsidRDefault="00D35D73" w:rsidP="00700BBF">
      <w:pPr>
        <w:spacing w:before="200" w:line="480" w:lineRule="auto"/>
        <w:rPr>
          <w:rFonts w:ascii="Times New Roman" w:hAnsi="Times New Roman" w:cs="Times New Roman"/>
          <w:sz w:val="24"/>
          <w:szCs w:val="24"/>
        </w:rPr>
      </w:pPr>
    </w:p>
    <w:p w14:paraId="373B28B5" w14:textId="55FADF83" w:rsidR="004E4AA0" w:rsidRPr="00922C73" w:rsidRDefault="00A631BE" w:rsidP="00700BBF">
      <w:pPr>
        <w:spacing w:line="480" w:lineRule="auto"/>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Despite small numbers of sera and no information on patients’ clinical outcomes t</w:t>
      </w:r>
      <w:r w:rsidR="008D0629" w:rsidRPr="00922C73">
        <w:rPr>
          <w:rFonts w:ascii="Times New Roman" w:hAnsi="Times New Roman" w:cs="Times New Roman"/>
          <w:sz w:val="24"/>
          <w:szCs w:val="24"/>
        </w:rPr>
        <w:t xml:space="preserve">hese studies suggest </w:t>
      </w:r>
      <w:r w:rsidRPr="00922C73">
        <w:rPr>
          <w:rFonts w:ascii="Times New Roman" w:hAnsi="Times New Roman" w:cs="Times New Roman"/>
          <w:sz w:val="24"/>
          <w:szCs w:val="24"/>
        </w:rPr>
        <w:t xml:space="preserve">that </w:t>
      </w:r>
      <w:r w:rsidR="00D35D73" w:rsidRPr="00922C73">
        <w:rPr>
          <w:rFonts w:ascii="Times New Roman" w:hAnsi="Times New Roman" w:cs="Times New Roman"/>
          <w:sz w:val="24"/>
          <w:szCs w:val="24"/>
        </w:rPr>
        <w:t xml:space="preserve">different types of </w:t>
      </w:r>
      <w:r w:rsidRPr="00922C73">
        <w:rPr>
          <w:rFonts w:ascii="Times New Roman" w:hAnsi="Times New Roman" w:cs="Times New Roman"/>
          <w:sz w:val="24"/>
          <w:szCs w:val="24"/>
        </w:rPr>
        <w:t xml:space="preserve">ATI </w:t>
      </w:r>
      <w:r w:rsidR="00D35D73" w:rsidRPr="00922C73">
        <w:rPr>
          <w:rFonts w:ascii="Times New Roman" w:hAnsi="Times New Roman" w:cs="Times New Roman"/>
          <w:sz w:val="24"/>
          <w:szCs w:val="24"/>
        </w:rPr>
        <w:t xml:space="preserve">exist and that they may </w:t>
      </w:r>
      <w:r w:rsidRPr="00922C73">
        <w:rPr>
          <w:rFonts w:ascii="Times New Roman" w:hAnsi="Times New Roman" w:cs="Times New Roman"/>
          <w:sz w:val="24"/>
          <w:szCs w:val="24"/>
        </w:rPr>
        <w:t xml:space="preserve">be neutralising and non-neutralising. </w:t>
      </w:r>
    </w:p>
    <w:p w14:paraId="1FE816D9" w14:textId="77777777" w:rsidR="00572791" w:rsidRPr="00922C73" w:rsidRDefault="00572791" w:rsidP="00700BBF">
      <w:pPr>
        <w:spacing w:line="480" w:lineRule="auto"/>
        <w:rPr>
          <w:rFonts w:ascii="Times New Roman" w:hAnsi="Times New Roman" w:cs="Times New Roman"/>
          <w:sz w:val="24"/>
          <w:szCs w:val="24"/>
        </w:rPr>
      </w:pPr>
    </w:p>
    <w:p w14:paraId="08E423DB" w14:textId="61D5043F" w:rsidR="00DB7A22" w:rsidRPr="00922C73" w:rsidRDefault="00F40B8F" w:rsidP="00700BBF">
      <w:pPr>
        <w:pStyle w:val="Heading3"/>
        <w:spacing w:line="480" w:lineRule="auto"/>
        <w:rPr>
          <w:rFonts w:ascii="Times New Roman" w:hAnsi="Times New Roman" w:cs="Times New Roman"/>
          <w:b/>
          <w:bCs/>
        </w:rPr>
      </w:pPr>
      <w:bookmarkStart w:id="65" w:name="_Toc151020470"/>
      <w:r w:rsidRPr="00922C73">
        <w:rPr>
          <w:rFonts w:ascii="Times New Roman" w:hAnsi="Times New Roman" w:cs="Times New Roman"/>
          <w:b/>
          <w:bCs/>
        </w:rPr>
        <w:t>1.</w:t>
      </w:r>
      <w:r w:rsidR="002D7BEB" w:rsidRPr="00922C73">
        <w:rPr>
          <w:rFonts w:ascii="Times New Roman" w:hAnsi="Times New Roman" w:cs="Times New Roman"/>
          <w:b/>
          <w:bCs/>
        </w:rPr>
        <w:t xml:space="preserve">4.2 </w:t>
      </w:r>
      <w:r w:rsidR="00DB7A22" w:rsidRPr="00922C73">
        <w:rPr>
          <w:rFonts w:ascii="Times New Roman" w:hAnsi="Times New Roman" w:cs="Times New Roman"/>
          <w:b/>
          <w:bCs/>
        </w:rPr>
        <w:t>Functional epitope mapping using phage display</w:t>
      </w:r>
      <w:bookmarkEnd w:id="65"/>
    </w:p>
    <w:p w14:paraId="5EC1092E" w14:textId="567E2155" w:rsidR="00D33197" w:rsidRPr="00922C73" w:rsidRDefault="00D33197" w:rsidP="00700BBF">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 xml:space="preserve">Epitopes can be mapped 1) </w:t>
      </w:r>
      <w:r w:rsidRPr="00922C73">
        <w:rPr>
          <w:rFonts w:ascii="Times New Roman" w:hAnsi="Times New Roman" w:cs="Times New Roman"/>
          <w:sz w:val="24"/>
          <w:szCs w:val="24"/>
          <w:u w:val="single"/>
        </w:rPr>
        <w:t>structurally</w:t>
      </w:r>
      <w:r w:rsidRPr="00922C73">
        <w:rPr>
          <w:rFonts w:ascii="Times New Roman" w:hAnsi="Times New Roman" w:cs="Times New Roman"/>
          <w:sz w:val="24"/>
          <w:szCs w:val="24"/>
        </w:rPr>
        <w:t xml:space="preserve">, which identifies </w:t>
      </w:r>
      <w:r w:rsidRPr="00922C73">
        <w:rPr>
          <w:rFonts w:ascii="Times New Roman" w:hAnsi="Times New Roman" w:cs="Times New Roman"/>
          <w:sz w:val="24"/>
          <w:szCs w:val="24"/>
          <w:u w:val="single"/>
        </w:rPr>
        <w:t>all amino acids in contact</w:t>
      </w:r>
      <w:r w:rsidRPr="00922C73">
        <w:rPr>
          <w:rFonts w:ascii="Times New Roman" w:hAnsi="Times New Roman" w:cs="Times New Roman"/>
          <w:sz w:val="24"/>
          <w:szCs w:val="24"/>
        </w:rPr>
        <w:t xml:space="preserve"> with the paratope but with no information regarding regions involved in the binding interaction, or 2) </w:t>
      </w:r>
      <w:r w:rsidRPr="00922C73">
        <w:rPr>
          <w:rFonts w:ascii="Times New Roman" w:hAnsi="Times New Roman" w:cs="Times New Roman"/>
          <w:sz w:val="24"/>
          <w:szCs w:val="24"/>
          <w:u w:val="single"/>
        </w:rPr>
        <w:t>functionally</w:t>
      </w:r>
      <w:r w:rsidRPr="00922C73">
        <w:rPr>
          <w:rFonts w:ascii="Times New Roman" w:hAnsi="Times New Roman" w:cs="Times New Roman"/>
          <w:sz w:val="24"/>
          <w:szCs w:val="24"/>
        </w:rPr>
        <w:t xml:space="preserve">, the identification of </w:t>
      </w:r>
      <w:r w:rsidRPr="00922C73">
        <w:rPr>
          <w:rFonts w:ascii="Times New Roman" w:hAnsi="Times New Roman" w:cs="Times New Roman"/>
          <w:sz w:val="24"/>
          <w:szCs w:val="24"/>
          <w:u w:val="single"/>
        </w:rPr>
        <w:t>amino acids which are involved in the binding interaction</w:t>
      </w:r>
      <w:r w:rsidRPr="00922C73">
        <w:rPr>
          <w:rFonts w:ascii="Times New Roman" w:hAnsi="Times New Roman" w:cs="Times New Roman"/>
          <w:sz w:val="24"/>
          <w:szCs w:val="24"/>
        </w:rPr>
        <w:t xml:space="preserve"> to the paratope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{"citationItems":[{"id":"ITEM-1","itemData":{"DOI":"10.1016/0167-5699(89)90140-0","ISSN":"01675699","PMID":"2478146","abstract":"Structural and functional approaches to the study of protein antigenicity lead to two different perceptions of the nature of protein epitopes. The structural approach concentrates on the purely spatial arrangements of atoms found in the antigen-antibody complex and shows that at least 15 amino acid residues may be implicated in each epitope. The functional approach, which introduces the additional dimension of time, takes the form of cross-reactive binding measurements and leads to the view that a smaller number of residues are implicated in each epitope. Furthermore, as functional binding assays are irretrievably operational in character, different types of epitopes are identified by the use of different probes. Three current controversies in the field of protein antigenicity are discussed here: the mechanism of antigen-antibody interaction, the suitability of peptides as synthetic vaccines and the value of prediction methods for locating epitopes in proteins.","author":[{"dropping-particle":"","family":"Regenmortel","given":"Marc H.V.","non-dropping-particle":"Van","parse-names":false,"suffix":""}],"container-title":"Immunology Today","id":"ITEM-1","issue":"8","issued":{"date-parts":[["1989","8"]]},"page":"266-272","title":"Structural and functional approaches to the study of protein antigenicity","type":"article-journal","volume":"10"},"uris":["http://www.mendeley.com/documents/?uuid=2f70b8c0-0754-488c-b5ae-f7ad015a1a9e","http://www.mendeley.com/documents/?uuid=fb4e7d5d-e74c-4406-b46b-421668a8cdbb","http://www.mendeley.com/documents/?uuid=e9eaf9a8-ebe2-4715-adf2-90f543bc862c"]},{"id":"ITEM-2","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Targets","id":"ITEM-2","issue":"1","issued":{"date-parts":[["2004","1"]]},"page":"1-15","title":"Epitope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105,147&lt;/sup&gt;","plainTextFormattedCitation":"105,147","previouslyFormattedCitation":"&lt;sup&gt;105,147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105,147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p>
    <w:p w14:paraId="00667903" w14:textId="77777777" w:rsidR="00D33197" w:rsidRPr="00922C73" w:rsidRDefault="00D33197" w:rsidP="00700BBF">
      <w:pPr>
        <w:spacing w:line="480" w:lineRule="auto"/>
        <w:rPr>
          <w:rFonts w:ascii="Times New Roman" w:hAnsi="Times New Roman" w:cs="Times New Roman"/>
          <w:sz w:val="24"/>
          <w:szCs w:val="24"/>
        </w:rPr>
      </w:pPr>
    </w:p>
    <w:p w14:paraId="42E0A7C9" w14:textId="0B0E3B72" w:rsidR="00DB7A22" w:rsidRPr="00922C73" w:rsidRDefault="00DB7A22" w:rsidP="00700BBF">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In 1985, George P Smith illustrated that a gene fragment of interest could be fused to gene encoding for a viral coat protein of the filamentous bacteriophage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{"citationItems":[{"id":"ITEM-1","itemData":{"DOI":"10.1126/science.4001944","ISBN":"0036-8075 (Print)\\n0036-8075","ISSN":"0036-8075","PMID":"4001944","abstract":"Foreign DNA fragments can be inserted into filamentous phage gene III to create a fusion protein with the foreign sequence in the middle. The fusion protein is incorporated into the virion, which retains infectivity and displays the foreign amino acids in immunologically accessible form. These \"fusion phage\" can be enriched more than 1000-fold over ordinary phage by affinity for antibody directed against the foreign sequence. Fusion phage may provide a simple way of cloning a gene when an antibody against the product of that gene is available.","author":[{"dropping-particle":"","family":"Smith","given":"G.","non-dropping-particle":"","parse-names":false,"suffix":""}],"container-title":"Science","id":"ITEM-1","issue":"4705","issued":{"date-parts":[["1985","6"]]},"page":"1315-1317","title":"Filamentous fusion phage: novel expression vectors that display cloned antigens on the virion surface","type":"article-journal","volume":"228"},"uris":["http://www.mendeley.com/documents/?uuid=62b9b6cd-0746-4bf8-adf2-84e1c8c475ef","http://www.mendeley.com/documents/?uuid=f4a596c9-5a21-41a2-ae5b-fe5b7d80d1c0"]}],"mendeley":{"formattedCitation":"&lt;sup&gt;148&lt;/sup&gt;","plainTextFormattedCitation":"148","previouslyFormattedCitation":"&lt;sup&gt;148&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148</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This new method allowed genotype and phenotype to be linked, as the phage contained the DNA fragment on the inside and displayed the peptide of interest on the outside. </w:t>
      </w:r>
    </w:p>
    <w:p w14:paraId="04F184D5" w14:textId="77777777" w:rsidR="00E42A7B" w:rsidRPr="00922C73" w:rsidRDefault="00E42A7B" w:rsidP="00700BBF">
      <w:pPr>
        <w:spacing w:line="480" w:lineRule="auto"/>
        <w:rPr>
          <w:rFonts w:ascii="Times New Roman" w:hAnsi="Times New Roman" w:cs="Times New Roman"/>
          <w:sz w:val="24"/>
          <w:szCs w:val="24"/>
        </w:rPr>
      </w:pPr>
    </w:p>
    <w:p w14:paraId="6730E20E" w14:textId="5EFF5876" w:rsidR="00D21980" w:rsidRPr="00922C73" w:rsidRDefault="00E42A7B" w:rsidP="00700BBF">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Bacteriophage</w:t>
      </w:r>
    </w:p>
    <w:p w14:paraId="63D03FBB" w14:textId="61F7ED24" w:rsidR="00487F6C" w:rsidRPr="00922C73" w:rsidRDefault="00DB7A22" w:rsidP="00700BBF">
      <w:pPr>
        <w:spacing w:line="480" w:lineRule="auto"/>
        <w:rPr>
          <w:rFonts w:ascii="Times New Roman" w:eastAsia="Times New Roman" w:hAnsi="Times New Roman" w:cs="Times New Roman"/>
          <w:sz w:val="24"/>
          <w:szCs w:val="24"/>
          <w:lang w:val="en-US" w:eastAsia="en-GB"/>
        </w:rPr>
      </w:pPr>
      <w:bookmarkStart w:id="66" w:name="_Hlk99962091"/>
      <w:r w:rsidRPr="00922C73">
        <w:rPr>
          <w:rFonts w:ascii="Times New Roman" w:hAnsi="Times New Roman" w:cs="Times New Roman"/>
          <w:sz w:val="24"/>
          <w:szCs w:val="24"/>
        </w:rPr>
        <w:t xml:space="preserve">Bacteriophages </w:t>
      </w:r>
      <w:r w:rsidR="00133832" w:rsidRPr="00922C73">
        <w:rPr>
          <w:rFonts w:ascii="Times New Roman" w:hAnsi="Times New Roman" w:cs="Times New Roman"/>
          <w:sz w:val="24"/>
          <w:szCs w:val="24"/>
        </w:rPr>
        <w:t xml:space="preserve">or </w:t>
      </w:r>
      <w:proofErr w:type="spellStart"/>
      <w:r w:rsidR="00133832" w:rsidRPr="00922C73">
        <w:rPr>
          <w:rFonts w:ascii="Times New Roman" w:hAnsi="Times New Roman" w:cs="Times New Roman"/>
          <w:sz w:val="24"/>
          <w:szCs w:val="24"/>
        </w:rPr>
        <w:t>phages</w:t>
      </w:r>
      <w:proofErr w:type="spellEnd"/>
      <w:r w:rsidR="00133832"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are viruses that infects and replicate within bacteria. The filamentous phage (Figure </w:t>
      </w:r>
      <w:r w:rsidR="009F580B" w:rsidRPr="00922C73">
        <w:rPr>
          <w:rFonts w:ascii="Times New Roman" w:hAnsi="Times New Roman" w:cs="Times New Roman"/>
          <w:sz w:val="24"/>
          <w:szCs w:val="24"/>
        </w:rPr>
        <w:t>8</w:t>
      </w:r>
      <w:r w:rsidRPr="00922C73">
        <w:rPr>
          <w:rFonts w:ascii="Times New Roman" w:hAnsi="Times New Roman" w:cs="Times New Roman"/>
          <w:sz w:val="24"/>
          <w:szCs w:val="24"/>
        </w:rPr>
        <w:t xml:space="preserve">) infects gram negative bacteria and replicates without host cell lysis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ISSN":"0146-0749","PMID":"3540571","author":[{"dropping-particle":"","family":"Rasched","given":"Ihab","non-dropping-particle":"","parse-names":false,"suffix":""},{"dropping-particle":"","family":"Oberer","given":"Erika","non-dropping-particle":"","parse-names":false,"suffix":""}],"container-title":"Microbiological reviews","id":"ITEM-1","issue":"4","issued":{"date-parts":[["1986","12"]]},"page":"401-27","title":"Ff coliphages: structural and functional relationships.","type":"article-journal","volume":"50"},"uris":["http://www.mendeley.com/documents/?uuid=2c638d58-dda7-46e8-a436-6760abc57ea4","http://www.mendeley.com/documents/?uuid=d309cf78-b566-4564-8c6e-81d011f1da19"]}],"mendeley":{"formattedCitation":"&lt;sup&gt;149&lt;/sup&gt;","plainTextFormattedCitation":"149","previouslyFormattedCitation":"&lt;sup&gt;149&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149</w:t>
      </w:r>
      <w:r w:rsidRPr="00922C73">
        <w:rPr>
          <w:rFonts w:ascii="Times New Roman" w:hAnsi="Times New Roman" w:cs="Times New Roman"/>
          <w:sz w:val="24"/>
          <w:szCs w:val="24"/>
        </w:rPr>
        <w:fldChar w:fldCharType="end"/>
      </w:r>
      <w:bookmarkStart w:id="67" w:name="_Hlk65664348"/>
      <w:r w:rsidRPr="00922C73">
        <w:rPr>
          <w:rFonts w:ascii="Times New Roman" w:hAnsi="Times New Roman" w:cs="Times New Roman"/>
          <w:sz w:val="24"/>
          <w:szCs w:val="24"/>
        </w:rPr>
        <w:t xml:space="preserve">. </w:t>
      </w:r>
      <w:bookmarkEnd w:id="67"/>
      <w:r w:rsidRPr="00922C73">
        <w:rPr>
          <w:rFonts w:ascii="Times New Roman" w:hAnsi="Times New Roman" w:cs="Times New Roman"/>
          <w:sz w:val="24"/>
          <w:szCs w:val="24"/>
        </w:rPr>
        <w:t xml:space="preserve">Due to its flexible genome, which allows </w:t>
      </w:r>
      <w:r w:rsidRPr="00922C73">
        <w:rPr>
          <w:rFonts w:ascii="Times New Roman" w:eastAsia="Times New Roman" w:hAnsi="Times New Roman" w:cs="Times New Roman"/>
          <w:sz w:val="24"/>
          <w:szCs w:val="24"/>
          <w:lang w:val="en-US" w:eastAsia="en-GB"/>
        </w:rPr>
        <w:t xml:space="preserve">large inserts of DNA sequences, its stability in high temperatures and acidity, it is a commonly used vector for phage display. </w:t>
      </w:r>
    </w:p>
    <w:p w14:paraId="54AEE143" w14:textId="77777777" w:rsidR="00F41A4E" w:rsidRPr="00922C73" w:rsidRDefault="00F41A4E" w:rsidP="00F41A4E">
      <w:pPr>
        <w:spacing w:line="480" w:lineRule="auto"/>
        <w:rPr>
          <w:rFonts w:ascii="Times New Roman" w:hAnsi="Times New Roman" w:cs="Times New Roman"/>
          <w:sz w:val="24"/>
          <w:szCs w:val="24"/>
        </w:rPr>
      </w:pPr>
    </w:p>
    <w:p w14:paraId="54049963" w14:textId="77777777" w:rsidR="00F41A4E" w:rsidRPr="00922C73" w:rsidRDefault="00F41A4E" w:rsidP="00F41A4E">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Phage and phagemid display libraries</w:t>
      </w:r>
    </w:p>
    <w:p w14:paraId="4F7D40D5" w14:textId="373BA47E" w:rsidR="00F41A4E" w:rsidRPr="00922C73" w:rsidRDefault="0079565F" w:rsidP="00F41A4E">
      <w:pPr>
        <w:spacing w:line="480" w:lineRule="auto"/>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 xml:space="preserve">Both phage and phagemid are used as vectors for phage display technology. The phagemid is </w:t>
      </w:r>
      <w:r w:rsidRPr="00922C73">
        <w:rPr>
          <w:rFonts w:ascii="Times New Roman" w:hAnsi="Times New Roman" w:cs="Times New Roman"/>
          <w:sz w:val="24"/>
          <w:szCs w:val="24"/>
          <w:shd w:val="clear" w:color="auto" w:fill="FFFFFF"/>
        </w:rPr>
        <w:t xml:space="preserve">a plasmid with a filamentous phage and plasmid </w:t>
      </w:r>
      <w:r w:rsidRPr="00922C73">
        <w:rPr>
          <w:rFonts w:ascii="Times New Roman" w:hAnsi="Times New Roman" w:cs="Times New Roman"/>
          <w:sz w:val="24"/>
          <w:szCs w:val="24"/>
        </w:rPr>
        <w:t xml:space="preserve">origin of replication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{"citationItems":[{"id":"ITEM-1","itemData":{"DOI":"10.1016/j.jmb.2012.01.038","ISBN":"1089-8638 (Electronic)\\n0022-2836 (Linking)","ISSN":"00222836","PMID":"22310045","abstract":"Phagemids are filamentous-phage-derived vectors containing the replication origin of a plasmid. Phagemids usually encode no or only one kind of coat proteins. Other structural and functional proteins necessary to accomplish the life cycle of phagemid are provided by the helper phage. In addition, other elements such as molecular tags and selective markers are introduced into the phagemids to facilitate the subsequent operations, such as gene manipulation and protein purification. This review summarizes the elements of the phagemids and their corresponding functions. Finally, the possible trends and future direction to improve the characteristics of the phagemids are highlighted. © 2012 Elsevier Ltd.","author":[{"dropping-particle":"","family":"Qi","given":"Huan","non-dropping-particle":"","parse-names":false,"suffix":""},{"dropping-particle":"","family":"Lu","given":"Haiqin","non-dropping-particle":"","parse-names":false,"suffix":""},{"dropping-particle":"","family":"Qiu","given":"Hua-Ji","non-dropping-particle":"","parse-names":false,"suffix":""},{"dropping-particle":"","family":"Petrenko","given":"Valery","non-dropping-particle":"","parse-names":false,"suffix":""},{"dropping-particle":"","family":"Liu","given":"Aihua","non-dropping-particle":"","parse-names":false,"suffix":""}],"container-title":"Journal of Molecular Biology","id":"ITEM-1","issue":"3","issued":{"date-parts":[["2012","3"]]},"page":"129-143","publisher":"Elsevier Ltd","title":"Phagemid Vectors for Phage Display: Properties, Characteristics and Construction","type":"article-journal","volume":"417"},"uris":["http://www.mendeley.com/documents/?uuid=2b39cc38-6baa-444d-8db5-f78ce39b38a7","http://www.mendeley.com/documents/?uuid=d30899cd-6a4c-455a-b2a8-e96a2951b1ce"]}],"mendeley":{"formattedCitation":"&lt;sup&gt;150&lt;/sup&gt;","plainTextFormattedCitation":"150","previouslyFormattedCitation":"&lt;sup&gt;150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bookmarkStart w:id="68" w:name="_Hlk67129754"/>
      <w:r w:rsidRPr="00922C73">
        <w:rPr>
          <w:rFonts w:ascii="Times New Roman" w:hAnsi="Times New Roman" w:cs="Times New Roman"/>
          <w:sz w:val="24"/>
          <w:szCs w:val="24"/>
        </w:rPr>
        <w:t>Whereas</w:t>
      </w:r>
      <w:r w:rsidRPr="00922C73">
        <w:rPr>
          <w:rFonts w:ascii="Times New Roman" w:eastAsia="Times New Roman" w:hAnsi="Times New Roman" w:cs="Times New Roman"/>
          <w:sz w:val="24"/>
          <w:szCs w:val="24"/>
          <w:shd w:val="clear" w:color="auto" w:fill="FFFFFF"/>
          <w:lang w:eastAsia="en-GB"/>
        </w:rPr>
        <w:t xml:space="preserve"> </w:t>
      </w:r>
      <w:r w:rsidRPr="00922C73">
        <w:rPr>
          <w:rFonts w:ascii="Times New Roman" w:eastAsia="Times New Roman" w:hAnsi="Times New Roman" w:cs="Times New Roman"/>
          <w:sz w:val="24"/>
          <w:szCs w:val="24"/>
          <w:lang w:eastAsia="en-GB"/>
        </w:rPr>
        <w:t xml:space="preserve">phage is the complete virion and can infect and produce daughter virion particles, a phagemid is non-infectious. It requires transformation into the bacterial cell and co-infection with a helper phage for production of virion particles (Figure </w:t>
      </w:r>
      <w:r w:rsidR="009F580B" w:rsidRPr="00922C73">
        <w:rPr>
          <w:rFonts w:ascii="Times New Roman" w:eastAsia="Times New Roman" w:hAnsi="Times New Roman" w:cs="Times New Roman"/>
          <w:sz w:val="24"/>
          <w:szCs w:val="24"/>
          <w:lang w:eastAsia="en-GB"/>
        </w:rPr>
        <w:t>9</w:t>
      </w:r>
      <w:r w:rsidRPr="00922C73">
        <w:rPr>
          <w:rFonts w:ascii="Times New Roman" w:eastAsia="Times New Roman" w:hAnsi="Times New Roman" w:cs="Times New Roman"/>
          <w:sz w:val="24"/>
          <w:szCs w:val="24"/>
          <w:lang w:eastAsia="en-GB"/>
        </w:rPr>
        <w:t xml:space="preserve">). </w:t>
      </w:r>
      <w:bookmarkEnd w:id="68"/>
      <w:r w:rsidR="00F41A4E" w:rsidRPr="00922C73">
        <w:rPr>
          <w:rFonts w:ascii="Times New Roman" w:eastAsiaTheme="minorHAnsi" w:hAnsi="Times New Roman" w:cs="Times New Roman"/>
          <w:sz w:val="24"/>
          <w:szCs w:val="24"/>
        </w:rPr>
        <w:t xml:space="preserve">Other basic components of a phagemid vector are a gene for a phage coat protein so a gene fragment of interest can be fused to it, </w:t>
      </w:r>
      <w:r w:rsidR="00F41A4E" w:rsidRPr="00922C73">
        <w:rPr>
          <w:rFonts w:ascii="Times New Roman" w:hAnsi="Times New Roman" w:cs="Times New Roman"/>
          <w:sz w:val="24"/>
          <w:szCs w:val="24"/>
        </w:rPr>
        <w:t xml:space="preserve">selective markers </w:t>
      </w:r>
      <w:proofErr w:type="spellStart"/>
      <w:r w:rsidR="00F41A4E" w:rsidRPr="00922C73">
        <w:rPr>
          <w:rFonts w:ascii="Times New Roman" w:hAnsi="Times New Roman" w:cs="Times New Roman"/>
          <w:sz w:val="24"/>
          <w:szCs w:val="24"/>
        </w:rPr>
        <w:t>ie</w:t>
      </w:r>
      <w:proofErr w:type="spellEnd"/>
      <w:r w:rsidR="00F41A4E" w:rsidRPr="00922C73">
        <w:rPr>
          <w:rFonts w:ascii="Times New Roman" w:hAnsi="Times New Roman" w:cs="Times New Roman"/>
          <w:sz w:val="24"/>
          <w:szCs w:val="24"/>
        </w:rPr>
        <w:t xml:space="preserve"> antibiotic resistance genes, restriction enzyme sites, an intergenic region, promoter peptide affecting expression of the fused product, signal peptide</w:t>
      </w:r>
      <w:r w:rsidR="00F41A4E" w:rsidRPr="00922C73">
        <w:rPr>
          <w:rFonts w:ascii="Times New Roman" w:eastAsiaTheme="minorHAnsi" w:hAnsi="Times New Roman" w:cs="Times New Roman"/>
          <w:sz w:val="24"/>
          <w:szCs w:val="24"/>
        </w:rPr>
        <w:t xml:space="preserve"> and often molecular tags such as HIS and C-</w:t>
      </w:r>
      <w:proofErr w:type="spellStart"/>
      <w:r w:rsidR="00F41A4E" w:rsidRPr="00922C73">
        <w:rPr>
          <w:rFonts w:ascii="Times New Roman" w:eastAsiaTheme="minorHAnsi" w:hAnsi="Times New Roman" w:cs="Times New Roman"/>
          <w:sz w:val="24"/>
          <w:szCs w:val="24"/>
        </w:rPr>
        <w:t>myc</w:t>
      </w:r>
      <w:proofErr w:type="spellEnd"/>
      <w:r w:rsidR="00F41A4E" w:rsidRPr="00922C73">
        <w:rPr>
          <w:rFonts w:ascii="Times New Roman" w:eastAsiaTheme="minorHAnsi" w:hAnsi="Times New Roman" w:cs="Times New Roman"/>
          <w:sz w:val="24"/>
          <w:szCs w:val="24"/>
        </w:rPr>
        <w:t xml:space="preserve"> for selection and screening </w:t>
      </w:r>
      <w:r w:rsidR="00F41A4E"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{"citationItems":[{"id":"ITEM-1","itemData":{"DOI":"10.1016/j.jmb.2012.01.038","ISBN":"1089-8638 (Electronic)\\n0022-2836 (Linking)","ISSN":"00222836","PMID":"22310045","abstract":"Phagemids are filamentous-phage-derived vectors containing the replication origin of a plasmid. Phagemids usually encode no or only one kind of coat proteins. Other structural and functional proteins necessary to accomplish the life cycle of phagemid are provided by the helper phage. In addition, other elements such as molecular tags and selective markers are introduced into the phagemids to facilitate the subsequent operations, such as gene manipulation and protein purification. This review summarizes the elements of the phagemids and their corresponding functions. Finally, the possible trends and future direction to improve the characteristics of the phagemids are highlighted. © 2012 Elsevier Ltd.","author":[{"dropping-particle":"","family":"Qi","given":"Huan","non-dropping-particle":"","parse-names":false,"suffix":""},{"dropping-particle":"","family":"Lu","given":"Haiqin","non-dropping-particle":"","parse-names":false,"suffix":""},{"dropping-particle":"","family":"Qiu","given":"Hua-Ji","non-dropping-particle":"","parse-names":false,"suffix":""},{"dropping-particle":"","family":"Petrenko","given":"Valery","non-dropping-particle":"","parse-names":false,"suffix":""},{"dropping-particle":"","family":"Liu","given":"Aihua","non-dropping-particle":"","parse-names":false,"suffix":""}],"container-title":"Journal of Molecular Biology","id":"ITEM-1","issue":"3","issued":{"date-parts":[["2012","3"]]},"page":"129-143","publisher":"Elsevier Ltd","title":"Phagemid Vectors for Phage Display: Properties, Characteristics and Construction","type":"article-journal","volume":"417"},"uris":["http://www.mendeley.com/documents/?uuid=d30899cd-6a4c-455a-b2a8-e96a2951b1ce"]},{"id":"ITEM-2","itemData":{"DOI":"10.1016/S0022-2836(02)00561-2","ISBN":"0022-2836 (Print)\\r0022-2836 (Linking)","ISSN":"00222836","PMID":"12139932","abstract":"Non-immune (naïve) phage antibody libraries have become an important source of antibodies for reagent, diagnostic, and therapeutic use. To date, reported naïve libraries have been constructed in phagemid vectors as fusions to pIII, yielding primarily single copy (monovalent) display of antibody fragments. For this work, we subcloned the single chain Fv (scFv) gene repertoire from a naïve phagemid antibody library into a true phage vector to create a multivalently displayed scFv phage library. Compared to monovalently displayed scFv, multivalent phage display resulted in improved efficiency of display as well as antibody selection. A greater number of antibodies were obtained and at earlier rounds of selection. Such increased efficiency allows the screening for binding antibodies after a single round of selection, greatly facilitating automation. Expression levels of antigen-binding scFv were also higher than from the phagemid library. In contrast, the affinities of scFv from the phage library were lower than from the phagemid library. This could be overcome by utilizing the scFv in a multivalent format, by affinity maturation, or by converting the library to monovalent display after the first round of selection. © 2002 Elsevier Science Ltd. All rights reserved.","author":[{"dropping-particle":"","family":"O'Connell","given":"David","non-dropping-particle":"","parse-names":false,"suffix":""},{"dropping-particle":"","family":"Becerril","given":"Baltazar","non-dropping-particle":"","parse-names":false,"suffix":""},{"dropping-particle":"","family":"Roy-Burman","given":"Arup","non-dropping-particle":"","parse-names":false,"suffix":""},{"dropping-particle":"","family":"Daws","given":"Mike","non-dropping-particle":"","parse-names":false,"suffix":""},{"dropping-particle":"","family":"Marks","given":"James D.","non-dropping-particle":"","parse-names":false,"suffix":""}],"container-title":"Journal of Molecular Biology","id":"ITEM-2","issue":"1","issued":{"date-parts":[["2002","8"]]},"page":"49-56","title":"Phage versus Phagemid Libraries for Generation of Human Monoclonal Antibodies","type":"article-journal","volume":"321"},"uris":["http://www.mendeley.com/documents/?uuid=30e2c931-5614-4a28-8c12-8aa767cab0cb"]}],"mendeley":{"formattedCitation":"&lt;sup&gt;150,151&lt;/sup&gt;","plainTextFormattedCitation":"150,151","previouslyFormattedCitation":"&lt;sup&gt;150,151&lt;/sup&gt;"},"properties":{"noteIndex":0},"schema":"https://github.com/citation-style-language/schema/raw/master/csl-citation.json"}</w:instrText>
      </w:r>
      <w:r w:rsidR="00F41A4E"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150,151</w:t>
      </w:r>
      <w:r w:rsidR="00F41A4E" w:rsidRPr="00922C73">
        <w:rPr>
          <w:rFonts w:ascii="Times New Roman" w:eastAsiaTheme="minorHAnsi" w:hAnsi="Times New Roman" w:cs="Times New Roman"/>
          <w:sz w:val="24"/>
          <w:szCs w:val="24"/>
        </w:rPr>
        <w:fldChar w:fldCharType="end"/>
      </w:r>
      <w:r w:rsidR="00F41A4E" w:rsidRPr="00922C73">
        <w:rPr>
          <w:rFonts w:ascii="Times New Roman" w:eastAsiaTheme="minorHAnsi" w:hAnsi="Times New Roman" w:cs="Times New Roman"/>
          <w:sz w:val="24"/>
          <w:szCs w:val="24"/>
        </w:rPr>
        <w:t>.</w:t>
      </w:r>
      <w:r w:rsidR="00F41A4E" w:rsidRPr="00922C73">
        <w:rPr>
          <w:rFonts w:ascii="Times New Roman" w:eastAsia="Times New Roman" w:hAnsi="Times New Roman" w:cs="Times New Roman"/>
          <w:sz w:val="24"/>
          <w:szCs w:val="24"/>
          <w:lang w:eastAsia="en-GB"/>
        </w:rPr>
        <w:t xml:space="preserve"> Phagemids</w:t>
      </w:r>
      <w:r w:rsidR="00F41A4E" w:rsidRPr="00922C73">
        <w:rPr>
          <w:rFonts w:ascii="Times New Roman" w:hAnsi="Times New Roman" w:cs="Times New Roman"/>
          <w:sz w:val="24"/>
          <w:szCs w:val="24"/>
        </w:rPr>
        <w:t xml:space="preserve"> are more efficient in transformation- the insertion of foreign DNA into bacteria, they produce high diversity libraries </w:t>
      </w:r>
      <w:r w:rsidR="00F41A4E" w:rsidRPr="00922C73">
        <w:rPr>
          <w:rFonts w:ascii="Times New Roman" w:eastAsia="Times New Roman" w:hAnsi="Times New Roman" w:cs="Times New Roman"/>
          <w:sz w:val="24"/>
          <w:szCs w:val="24"/>
          <w:lang w:eastAsia="en-GB"/>
        </w:rPr>
        <w:t xml:space="preserve">with display of monovalent fusion products, eliminating avidity </w:t>
      </w:r>
      <w:r w:rsidR="00F41A4E"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{"citationItems":[{"id":"ITEM-1","itemData":{"DOI":"10.1016/j.jmb.2012.01.038","ISBN":"1089-8638 (Electronic)\\n0022-2836 (Linking)","ISSN":"00222836","PMID":"22310045","abstract":"Phagemids are filamentous-phage-derived vectors containing the replication origin of a plasmid. Phagemids usually encode no or only one kind of coat proteins. Other structural and functional proteins necessary to accomplish the life cycle of phagemid are provided by the helper phage. In addition, other elements such as molecular tags and selective markers are introduced into the phagemids to facilitate the subsequent operations, such as gene manipulation and protein purification. This review summarizes the elements of the phagemids and their corresponding functions. Finally, the possible trends and future direction to improve the characteristics of the phagemids are highlighted. © 2012 Elsevier Ltd.","author":[{"dropping-particle":"","family":"Qi","given":"Huan","non-dropping-particle":"","parse-names":false,"suffix":""},{"dropping-particle":"","family":"Lu","given":"Haiqin","non-dropping-particle":"","parse-names":false,"suffix":""},{"dropping-particle":"","family":"Qiu","given":"Hua-Ji","non-dropping-particle":"","parse-names":false,"suffix":""},{"dropping-particle":"","family":"Petrenko","given":"Valery","non-dropping-particle":"","parse-names":false,"suffix":""},{"dropping-particle":"","family":"Liu","given":"Aihua","non-dropping-particle":"","parse-names":false,"suffix":""}],"container-title":"Journal of Molecular Biology","id":"ITEM-1","issue":"3","issued":{"date-parts":[["2012","3"]]},"page":"129-143","publisher":"Elsevier Ltd","title":"Phagemid Vectors for Phage Display: Properties, Characteristics and Construction","type":"article-journal","volume":"417"},"uris":["http://www.mendeley.com/documents/?uuid=d30899cd-6a4c-455a-b2a8-e96a2951b1ce","http://www.mendeley.com/documents/?uuid=2b39cc38-6baa-444d-8db5-f78ce39b38a7"]},{"id":"ITEM-2","itemData":{"DOI":"10.1016/S0022-2836(02)00561-2","ISBN":"0022-2836 (Print)\\r0022-2836 (Linking)","ISSN":"00222836","PMID":"12139932","abstract":"Non-immune (naïve) phage antibody libraries have become an important source of antibodies for reagent, diagnostic, and therapeutic use. To date, reported naïve libraries have been constructed in phagemid vectors as fusions to pIII, yielding primarily single copy (monovalent) display of antibody fragments. For this work, we subcloned the single chain Fv (scFv) gene repertoire from a naïve phagemid antibody library into a true phage vector to create a multivalently displayed scFv phage library. Compared to monovalently displayed scFv, multivalent phage display resulted in improved efficiency of display as well as antibody selection. A greater number of antibodies were obtained and at earlier rounds of selection. Such increased efficiency allows the screening for binding antibodies after a single round of selection, greatly facilitating automation. Expression levels of antigen-binding scFv were also higher than from the phagemid library. In contrast, the affinities of scFv from the phage library were lower than from the phagemid library. This could be overcome by utilizing the scFv in a multivalent format, by affinity maturation, or by converting the library to monovalent display after the first round of selection. © 2002 Elsevier Science Ltd. All rights reserved.","author":[{"dropping-particle":"","family":"O'Connell","given":"David","non-dropping-particle":"","parse-names":false,"suffix":""},{"dropping-particle":"","family":"Becerril","given":"Baltazar","non-dropping-particle":"","parse-names":false,"suffix":""},{"dropping-particle":"","family":"Roy-Burman","given":"Arup","non-dropping-particle":"","parse-names":false,"suffix":""},{"dropping-particle":"","family":"Daws","given":"Mike","non-dropping-particle":"","parse-names":false,"suffix":""},{"dropping-particle":"","family":"Marks","given":"James D.","non-dropping-particle":"","parse-names":false,"suffix":""}],"container-title":"Journal of Molecular Biology","id":"ITEM-2","issue":"1","issued":{"date-parts":[["2002","8"]]},"page":"49-56","title":"Phage versus Phagemid Libraries for Generation of Human Monoclonal Antibodies","type":"article-journal","volume":"321"},"uris":["http://www.mendeley.com/documents/?uuid=30e2c931-5614-4a28-8c12-8aa767cab0cb","http://www.mendeley.com/documents/?uuid=1676c42f-ba48-4c9f-8993-9e46f59afec3","http://www.mendeley.com/documents/?uuid=3aef8a8a-6899-4426-80a9-741d748528b2"]}],"mendeley":{"formattedCitation":"&lt;sup&gt;150,151&lt;/sup&gt;","plainTextFormattedCitation":"150,151","previouslyFormattedCitation":"&lt;sup&gt;150,151&lt;/sup&gt;"},"properties":{"noteIndex":0},"schema":"https://github.com/citation-style-language/schema/raw/master/csl-citation.json"}</w:instrText>
      </w:r>
      <w:r w:rsidR="00F41A4E"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150,151</w:t>
      </w:r>
      <w:r w:rsidR="00F41A4E" w:rsidRPr="00922C73">
        <w:rPr>
          <w:rFonts w:ascii="Times New Roman" w:eastAsia="Times New Roman" w:hAnsi="Times New Roman" w:cs="Times New Roman"/>
          <w:sz w:val="24"/>
          <w:szCs w:val="24"/>
          <w:lang w:eastAsia="en-GB"/>
        </w:rPr>
        <w:fldChar w:fldCharType="end"/>
      </w:r>
      <w:r w:rsidR="00F41A4E" w:rsidRPr="00922C73">
        <w:rPr>
          <w:rFonts w:ascii="Times New Roman" w:eastAsia="Times New Roman" w:hAnsi="Times New Roman" w:cs="Times New Roman"/>
          <w:sz w:val="24"/>
          <w:szCs w:val="24"/>
          <w:lang w:eastAsia="en-GB"/>
        </w:rPr>
        <w:t>.</w:t>
      </w:r>
    </w:p>
    <w:p w14:paraId="132D0B5D" w14:textId="77777777" w:rsidR="00F41A4E" w:rsidRPr="00922C73" w:rsidRDefault="00F41A4E" w:rsidP="00F41A4E">
      <w:pPr>
        <w:spacing w:line="480" w:lineRule="auto"/>
        <w:rPr>
          <w:rFonts w:ascii="Times New Roman" w:eastAsia="Times New Roman" w:hAnsi="Times New Roman" w:cs="Times New Roman"/>
          <w:sz w:val="24"/>
          <w:szCs w:val="24"/>
          <w:lang w:eastAsia="en-GB"/>
        </w:rPr>
      </w:pPr>
    </w:p>
    <w:p w14:paraId="6ECF25E3" w14:textId="77777777" w:rsidR="00F41A4E" w:rsidRPr="00922C73" w:rsidRDefault="00F41A4E" w:rsidP="00F41A4E">
      <w:pPr>
        <w:spacing w:line="480" w:lineRule="auto"/>
        <w:rPr>
          <w:rFonts w:ascii="Times New Roman" w:hAnsi="Times New Roman" w:cs="Times New Roman"/>
          <w:kern w:val="24"/>
          <w:sz w:val="24"/>
          <w:szCs w:val="24"/>
        </w:rPr>
      </w:pPr>
    </w:p>
    <w:p w14:paraId="64F0555D" w14:textId="77777777" w:rsidR="00F371C5" w:rsidRPr="00922C73" w:rsidRDefault="00F371C5" w:rsidP="00700BBF">
      <w:pPr>
        <w:autoSpaceDE w:val="0"/>
        <w:autoSpaceDN w:val="0"/>
        <w:adjustRightInd w:val="0"/>
        <w:spacing w:after="0" w:line="480" w:lineRule="auto"/>
        <w:rPr>
          <w:rFonts w:ascii="Times New Roman" w:hAnsi="Times New Roman" w:cs="Times New Roman"/>
          <w:sz w:val="24"/>
          <w:szCs w:val="24"/>
        </w:rPr>
      </w:pPr>
    </w:p>
    <w:p w14:paraId="1A841A74" w14:textId="58F78EBC" w:rsidR="006C5BF0" w:rsidRPr="00922C73" w:rsidRDefault="006C5BF0" w:rsidP="00700BBF">
      <w:pPr>
        <w:autoSpaceDE w:val="0"/>
        <w:autoSpaceDN w:val="0"/>
        <w:adjustRightInd w:val="0"/>
        <w:spacing w:after="0" w:line="480" w:lineRule="auto"/>
        <w:rPr>
          <w:rFonts w:ascii="Times New Roman" w:hAnsi="Times New Roman" w:cs="Times New Roman"/>
          <w:sz w:val="24"/>
          <w:szCs w:val="24"/>
        </w:rPr>
      </w:pPr>
    </w:p>
    <w:p w14:paraId="2C2B9DC9" w14:textId="77777777" w:rsidR="006C5BF0" w:rsidRPr="00922C73" w:rsidRDefault="006C5BF0" w:rsidP="00700BBF">
      <w:pPr>
        <w:autoSpaceDE w:val="0"/>
        <w:autoSpaceDN w:val="0"/>
        <w:adjustRightInd w:val="0"/>
        <w:spacing w:after="0" w:line="480" w:lineRule="auto"/>
        <w:rPr>
          <w:rFonts w:ascii="Times New Roman" w:hAnsi="Times New Roman" w:cs="Times New Roman"/>
          <w:sz w:val="24"/>
          <w:szCs w:val="24"/>
        </w:rPr>
      </w:pPr>
    </w:p>
    <w:p w14:paraId="2F213A40" w14:textId="52763C0F" w:rsidR="00DB7A22" w:rsidRPr="00922C73" w:rsidRDefault="00906283" w:rsidP="00BD7C79">
      <w:pPr>
        <w:autoSpaceDE w:val="0"/>
        <w:autoSpaceDN w:val="0"/>
        <w:adjustRightInd w:val="0"/>
        <w:spacing w:after="0" w:line="240" w:lineRule="auto"/>
        <w:rPr>
          <w:rFonts w:ascii="Times New Roman" w:hAnsi="Times New Roman" w:cs="Times New Roman"/>
          <w:sz w:val="24"/>
          <w:szCs w:val="24"/>
        </w:rPr>
      </w:pPr>
      <w:r w:rsidRPr="00922C73">
        <w:rPr>
          <w:noProof/>
        </w:rPr>
        <w:lastRenderedPageBreak/>
        <mc:AlternateContent>
          <mc:Choice Requires="wps">
            <w:drawing>
              <wp:anchor distT="0" distB="0" distL="114300" distR="114300" simplePos="0" relativeHeight="251682816" behindDoc="0" locked="0" layoutInCell="1" allowOverlap="1" wp14:anchorId="5485352E" wp14:editId="1F907750">
                <wp:simplePos x="0" y="0"/>
                <wp:positionH relativeFrom="column">
                  <wp:posOffset>0</wp:posOffset>
                </wp:positionH>
                <wp:positionV relativeFrom="paragraph">
                  <wp:posOffset>3771900</wp:posOffset>
                </wp:positionV>
                <wp:extent cx="3604260" cy="635"/>
                <wp:effectExtent l="0" t="0" r="0" b="0"/>
                <wp:wrapSquare wrapText="bothSides"/>
                <wp:docPr id="1418225828" name="Text Box 1"/>
                <wp:cNvGraphicFramePr/>
                <a:graphic xmlns:a="http://schemas.openxmlformats.org/drawingml/2006/main">
                  <a:graphicData uri="http://schemas.microsoft.com/office/word/2010/wordprocessingShape">
                    <wps:wsp>
                      <wps:cNvSpPr txBox="1"/>
                      <wps:spPr>
                        <a:xfrm>
                          <a:off x="0" y="0"/>
                          <a:ext cx="3604260" cy="635"/>
                        </a:xfrm>
                        <a:prstGeom prst="rect">
                          <a:avLst/>
                        </a:prstGeom>
                        <a:solidFill>
                          <a:prstClr val="white"/>
                        </a:solidFill>
                        <a:ln>
                          <a:noFill/>
                        </a:ln>
                      </wps:spPr>
                      <wps:txbx>
                        <w:txbxContent>
                          <w:p w14:paraId="1A356592" w14:textId="77777777" w:rsidR="0025183A" w:rsidRDefault="0025183A" w:rsidP="00BD7C79">
                            <w:pPr>
                              <w:pStyle w:val="Caption"/>
                              <w:spacing w:line="240" w:lineRule="auto"/>
                              <w:rPr>
                                <w:rFonts w:ascii="Times New Roman" w:hAnsi="Times New Roman" w:cs="Times New Roman"/>
                                <w:sz w:val="24"/>
                                <w:szCs w:val="24"/>
                              </w:rPr>
                            </w:pPr>
                            <w:bookmarkStart w:id="69" w:name="_Toc139397308"/>
                          </w:p>
                          <w:p w14:paraId="2E83156D" w14:textId="28E4E2DB" w:rsidR="00906283" w:rsidRPr="00906283" w:rsidRDefault="00906283" w:rsidP="00BD7C79">
                            <w:pPr>
                              <w:pStyle w:val="Caption"/>
                              <w:spacing w:line="240" w:lineRule="auto"/>
                              <w:rPr>
                                <w:rFonts w:ascii="Times New Roman" w:hAnsi="Times New Roman" w:cs="Times New Roman"/>
                                <w:noProof/>
                                <w:color w:val="000000" w:themeColor="text1"/>
                                <w:sz w:val="24"/>
                                <w:szCs w:val="24"/>
                              </w:rPr>
                            </w:pPr>
                            <w:bookmarkStart w:id="70" w:name="_Toc151020653"/>
                            <w:r w:rsidRPr="00906283">
                              <w:rPr>
                                <w:rFonts w:ascii="Times New Roman" w:hAnsi="Times New Roman" w:cs="Times New Roman"/>
                                <w:sz w:val="24"/>
                                <w:szCs w:val="24"/>
                              </w:rPr>
                              <w:t xml:space="preserve">Figure </w:t>
                            </w:r>
                            <w:r w:rsidRPr="00906283">
                              <w:rPr>
                                <w:rFonts w:ascii="Times New Roman" w:hAnsi="Times New Roman" w:cs="Times New Roman"/>
                                <w:sz w:val="24"/>
                                <w:szCs w:val="24"/>
                              </w:rPr>
                              <w:fldChar w:fldCharType="begin"/>
                            </w:r>
                            <w:r w:rsidRPr="00906283">
                              <w:rPr>
                                <w:rFonts w:ascii="Times New Roman" w:hAnsi="Times New Roman" w:cs="Times New Roman"/>
                                <w:sz w:val="24"/>
                                <w:szCs w:val="24"/>
                              </w:rPr>
                              <w:instrText xml:space="preserve"> SEQ Figure \* ARABIC </w:instrText>
                            </w:r>
                            <w:r w:rsidRPr="00906283">
                              <w:rPr>
                                <w:rFonts w:ascii="Times New Roman" w:hAnsi="Times New Roman" w:cs="Times New Roman"/>
                                <w:sz w:val="24"/>
                                <w:szCs w:val="24"/>
                              </w:rPr>
                              <w:fldChar w:fldCharType="separate"/>
                            </w:r>
                            <w:r w:rsidR="00192EAE">
                              <w:rPr>
                                <w:rFonts w:ascii="Times New Roman" w:hAnsi="Times New Roman" w:cs="Times New Roman"/>
                                <w:noProof/>
                                <w:sz w:val="24"/>
                                <w:szCs w:val="24"/>
                              </w:rPr>
                              <w:t>8</w:t>
                            </w:r>
                            <w:r w:rsidRPr="00906283">
                              <w:rPr>
                                <w:rFonts w:ascii="Times New Roman" w:hAnsi="Times New Roman" w:cs="Times New Roman"/>
                                <w:sz w:val="24"/>
                                <w:szCs w:val="24"/>
                              </w:rPr>
                              <w:fldChar w:fldCharType="end"/>
                            </w:r>
                            <w:r w:rsidRPr="00906283">
                              <w:rPr>
                                <w:rFonts w:ascii="Times New Roman" w:hAnsi="Times New Roman" w:cs="Times New Roman"/>
                                <w:sz w:val="24"/>
                                <w:szCs w:val="24"/>
                              </w:rPr>
                              <w:t>. The filamentous bacteriophage.</w:t>
                            </w:r>
                            <w:bookmarkEnd w:id="69"/>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85352E" id="_x0000_s1028" type="#_x0000_t202" style="position:absolute;left:0;text-align:left;margin-left:0;margin-top:297pt;width:283.8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" stroked="f">
                <v:textbox style="mso-fit-shape-to-text:t" inset="0,0,0,0">
                  <w:txbxContent>
                    <w:p w14:paraId="1A356592" w14:textId="77777777" w:rsidR="0025183A" w:rsidRDefault="0025183A" w:rsidP="00BD7C79">
                      <w:pPr>
                        <w:pStyle w:val="Caption"/>
                        <w:spacing w:line="240" w:lineRule="auto"/>
                        <w:rPr>
                          <w:rFonts w:ascii="Times New Roman" w:hAnsi="Times New Roman" w:cs="Times New Roman"/>
                          <w:sz w:val="24"/>
                          <w:szCs w:val="24"/>
                        </w:rPr>
                      </w:pPr>
                      <w:bookmarkStart w:id="71" w:name="_Toc139397308"/>
                    </w:p>
                    <w:p w14:paraId="2E83156D" w14:textId="28E4E2DB" w:rsidR="00906283" w:rsidRPr="00906283" w:rsidRDefault="00906283" w:rsidP="00BD7C79">
                      <w:pPr>
                        <w:pStyle w:val="Caption"/>
                        <w:spacing w:line="240" w:lineRule="auto"/>
                        <w:rPr>
                          <w:rFonts w:ascii="Times New Roman" w:hAnsi="Times New Roman" w:cs="Times New Roman"/>
                          <w:noProof/>
                          <w:color w:val="000000" w:themeColor="text1"/>
                          <w:sz w:val="24"/>
                          <w:szCs w:val="24"/>
                        </w:rPr>
                      </w:pPr>
                      <w:bookmarkStart w:id="72" w:name="_Toc151020653"/>
                      <w:r w:rsidRPr="00906283">
                        <w:rPr>
                          <w:rFonts w:ascii="Times New Roman" w:hAnsi="Times New Roman" w:cs="Times New Roman"/>
                          <w:sz w:val="24"/>
                          <w:szCs w:val="24"/>
                        </w:rPr>
                        <w:t xml:space="preserve">Figure </w:t>
                      </w:r>
                      <w:r w:rsidRPr="00906283">
                        <w:rPr>
                          <w:rFonts w:ascii="Times New Roman" w:hAnsi="Times New Roman" w:cs="Times New Roman"/>
                          <w:sz w:val="24"/>
                          <w:szCs w:val="24"/>
                        </w:rPr>
                        <w:fldChar w:fldCharType="begin"/>
                      </w:r>
                      <w:r w:rsidRPr="00906283">
                        <w:rPr>
                          <w:rFonts w:ascii="Times New Roman" w:hAnsi="Times New Roman" w:cs="Times New Roman"/>
                          <w:sz w:val="24"/>
                          <w:szCs w:val="24"/>
                        </w:rPr>
                        <w:instrText xml:space="preserve"> SEQ Figure \* ARABIC </w:instrText>
                      </w:r>
                      <w:r w:rsidRPr="00906283">
                        <w:rPr>
                          <w:rFonts w:ascii="Times New Roman" w:hAnsi="Times New Roman" w:cs="Times New Roman"/>
                          <w:sz w:val="24"/>
                          <w:szCs w:val="24"/>
                        </w:rPr>
                        <w:fldChar w:fldCharType="separate"/>
                      </w:r>
                      <w:r w:rsidR="00192EAE">
                        <w:rPr>
                          <w:rFonts w:ascii="Times New Roman" w:hAnsi="Times New Roman" w:cs="Times New Roman"/>
                          <w:noProof/>
                          <w:sz w:val="24"/>
                          <w:szCs w:val="24"/>
                        </w:rPr>
                        <w:t>8</w:t>
                      </w:r>
                      <w:r w:rsidRPr="00906283">
                        <w:rPr>
                          <w:rFonts w:ascii="Times New Roman" w:hAnsi="Times New Roman" w:cs="Times New Roman"/>
                          <w:sz w:val="24"/>
                          <w:szCs w:val="24"/>
                        </w:rPr>
                        <w:fldChar w:fldCharType="end"/>
                      </w:r>
                      <w:r w:rsidRPr="00906283">
                        <w:rPr>
                          <w:rFonts w:ascii="Times New Roman" w:hAnsi="Times New Roman" w:cs="Times New Roman"/>
                          <w:sz w:val="24"/>
                          <w:szCs w:val="24"/>
                        </w:rPr>
                        <w:t>. The filamentous bacteriophage.</w:t>
                      </w:r>
                      <w:bookmarkEnd w:id="71"/>
                      <w:bookmarkEnd w:id="72"/>
                    </w:p>
                  </w:txbxContent>
                </v:textbox>
                <w10:wrap type="square"/>
              </v:shape>
            </w:pict>
          </mc:Fallback>
        </mc:AlternateContent>
      </w:r>
      <w:r w:rsidR="00DB7A22" w:rsidRPr="00922C73">
        <w:rPr>
          <w:rFonts w:ascii="Times New Roman" w:hAnsi="Times New Roman" w:cs="Times New Roman"/>
          <w:noProof/>
          <w:sz w:val="24"/>
          <w:szCs w:val="24"/>
        </w:rPr>
        <w:drawing>
          <wp:anchor distT="0" distB="0" distL="114300" distR="114300" simplePos="0" relativeHeight="251631616" behindDoc="0" locked="0" layoutInCell="1" allowOverlap="1" wp14:anchorId="5B032983" wp14:editId="69F2D2CE">
            <wp:simplePos x="0" y="0"/>
            <wp:positionH relativeFrom="margin">
              <wp:align>left</wp:align>
            </wp:positionH>
            <wp:positionV relativeFrom="paragraph">
              <wp:posOffset>9525</wp:posOffset>
            </wp:positionV>
            <wp:extent cx="3604260" cy="370522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7868" r="66430" b="20780"/>
                    <a:stretch/>
                  </pic:blipFill>
                  <pic:spPr bwMode="auto">
                    <a:xfrm>
                      <a:off x="0" y="0"/>
                      <a:ext cx="3604260" cy="3705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A22" w:rsidRPr="00922C73">
        <w:rPr>
          <w:rFonts w:ascii="Times New Roman" w:hAnsi="Times New Roman" w:cs="Times New Roman"/>
          <w:sz w:val="24"/>
          <w:szCs w:val="24"/>
        </w:rPr>
        <w:br w:type="textWrapping" w:clear="all"/>
        <w:t>Circular</w:t>
      </w:r>
      <w:r w:rsidR="00DB7A22" w:rsidRPr="00922C73">
        <w:rPr>
          <w:rFonts w:ascii="Times New Roman" w:hAnsi="Times New Roman" w:cs="Times New Roman"/>
          <w:sz w:val="24"/>
          <w:szCs w:val="24"/>
          <w:lang w:val="en-US"/>
        </w:rPr>
        <w:t xml:space="preserve"> genome of single stranded DNA is wrapped inside several thousand copies of a major coat </w:t>
      </w:r>
      <w:proofErr w:type="spellStart"/>
      <w:r w:rsidR="00DB7A22" w:rsidRPr="00922C73">
        <w:rPr>
          <w:rFonts w:ascii="Times New Roman" w:hAnsi="Times New Roman" w:cs="Times New Roman"/>
          <w:sz w:val="24"/>
          <w:szCs w:val="24"/>
          <w:lang w:val="en-US"/>
        </w:rPr>
        <w:t>pVIII</w:t>
      </w:r>
      <w:proofErr w:type="spellEnd"/>
      <w:r w:rsidR="00DB7A22" w:rsidRPr="00922C73">
        <w:rPr>
          <w:rFonts w:ascii="Times New Roman" w:hAnsi="Times New Roman" w:cs="Times New Roman"/>
          <w:sz w:val="24"/>
          <w:szCs w:val="24"/>
          <w:lang w:val="en-US"/>
        </w:rPr>
        <w:t xml:space="preserve">. </w:t>
      </w:r>
      <w:r w:rsidR="00DB7A22" w:rsidRPr="00922C73">
        <w:rPr>
          <w:rFonts w:ascii="Times New Roman" w:hAnsi="Times New Roman" w:cs="Times New Roman"/>
          <w:sz w:val="24"/>
          <w:szCs w:val="24"/>
        </w:rPr>
        <w:t>Phage genome encodes for 11 proteins: structural coat proteins (</w:t>
      </w:r>
      <w:proofErr w:type="spellStart"/>
      <w:r w:rsidR="00DB7A22" w:rsidRPr="00922C73">
        <w:rPr>
          <w:rFonts w:ascii="Times New Roman" w:hAnsi="Times New Roman" w:cs="Times New Roman"/>
          <w:sz w:val="24"/>
          <w:szCs w:val="24"/>
        </w:rPr>
        <w:t>pIII</w:t>
      </w:r>
      <w:proofErr w:type="spellEnd"/>
      <w:r w:rsidR="00DB7A22" w:rsidRPr="00922C73">
        <w:rPr>
          <w:rFonts w:ascii="Times New Roman" w:hAnsi="Times New Roman" w:cs="Times New Roman"/>
          <w:sz w:val="24"/>
          <w:szCs w:val="24"/>
        </w:rPr>
        <w:t xml:space="preserve">, </w:t>
      </w:r>
      <w:proofErr w:type="spellStart"/>
      <w:r w:rsidR="00DB7A22" w:rsidRPr="00922C73">
        <w:rPr>
          <w:rFonts w:ascii="Times New Roman" w:hAnsi="Times New Roman" w:cs="Times New Roman"/>
          <w:sz w:val="24"/>
          <w:szCs w:val="24"/>
        </w:rPr>
        <w:t>pVI</w:t>
      </w:r>
      <w:proofErr w:type="spellEnd"/>
      <w:r w:rsidR="00DB7A22" w:rsidRPr="00922C73">
        <w:rPr>
          <w:rFonts w:ascii="Times New Roman" w:hAnsi="Times New Roman" w:cs="Times New Roman"/>
          <w:sz w:val="24"/>
          <w:szCs w:val="24"/>
        </w:rPr>
        <w:t xml:space="preserve">, </w:t>
      </w:r>
      <w:proofErr w:type="spellStart"/>
      <w:r w:rsidR="00DB7A22" w:rsidRPr="00922C73">
        <w:rPr>
          <w:rFonts w:ascii="Times New Roman" w:hAnsi="Times New Roman" w:cs="Times New Roman"/>
          <w:sz w:val="24"/>
          <w:szCs w:val="24"/>
        </w:rPr>
        <w:t>pVII</w:t>
      </w:r>
      <w:proofErr w:type="spellEnd"/>
      <w:r w:rsidR="00DB7A22" w:rsidRPr="00922C73">
        <w:rPr>
          <w:rFonts w:ascii="Times New Roman" w:hAnsi="Times New Roman" w:cs="Times New Roman"/>
          <w:sz w:val="24"/>
          <w:szCs w:val="24"/>
        </w:rPr>
        <w:t xml:space="preserve">, </w:t>
      </w:r>
      <w:proofErr w:type="spellStart"/>
      <w:r w:rsidR="00DB7A22" w:rsidRPr="00922C73">
        <w:rPr>
          <w:rFonts w:ascii="Times New Roman" w:hAnsi="Times New Roman" w:cs="Times New Roman"/>
          <w:sz w:val="24"/>
          <w:szCs w:val="24"/>
        </w:rPr>
        <w:t>pVIII</w:t>
      </w:r>
      <w:proofErr w:type="spellEnd"/>
      <w:r w:rsidR="00DB7A22" w:rsidRPr="00922C73">
        <w:rPr>
          <w:rFonts w:ascii="Times New Roman" w:hAnsi="Times New Roman" w:cs="Times New Roman"/>
          <w:sz w:val="24"/>
          <w:szCs w:val="24"/>
        </w:rPr>
        <w:t xml:space="preserve"> and </w:t>
      </w:r>
      <w:proofErr w:type="spellStart"/>
      <w:r w:rsidR="00DB7A22" w:rsidRPr="00922C73">
        <w:rPr>
          <w:rFonts w:ascii="Times New Roman" w:hAnsi="Times New Roman" w:cs="Times New Roman"/>
          <w:sz w:val="24"/>
          <w:szCs w:val="24"/>
        </w:rPr>
        <w:t>pIX</w:t>
      </w:r>
      <w:proofErr w:type="spellEnd"/>
      <w:r w:rsidR="00DB7A22" w:rsidRPr="00922C73">
        <w:rPr>
          <w:rFonts w:ascii="Times New Roman" w:hAnsi="Times New Roman" w:cs="Times New Roman"/>
          <w:sz w:val="24"/>
          <w:szCs w:val="24"/>
        </w:rPr>
        <w:t>), assembly and export proteins (</w:t>
      </w:r>
      <w:proofErr w:type="spellStart"/>
      <w:r w:rsidR="00DB7A22" w:rsidRPr="00922C73">
        <w:rPr>
          <w:rFonts w:ascii="Times New Roman" w:hAnsi="Times New Roman" w:cs="Times New Roman"/>
          <w:sz w:val="24"/>
          <w:szCs w:val="24"/>
        </w:rPr>
        <w:t>pI</w:t>
      </w:r>
      <w:proofErr w:type="spellEnd"/>
      <w:r w:rsidR="00DB7A22" w:rsidRPr="00922C73">
        <w:rPr>
          <w:rFonts w:ascii="Times New Roman" w:hAnsi="Times New Roman" w:cs="Times New Roman"/>
          <w:sz w:val="24"/>
          <w:szCs w:val="24"/>
        </w:rPr>
        <w:t xml:space="preserve">, </w:t>
      </w:r>
      <w:proofErr w:type="spellStart"/>
      <w:r w:rsidR="00DB7A22" w:rsidRPr="00922C73">
        <w:rPr>
          <w:rFonts w:ascii="Times New Roman" w:hAnsi="Times New Roman" w:cs="Times New Roman"/>
          <w:sz w:val="24"/>
          <w:szCs w:val="24"/>
        </w:rPr>
        <w:t>pIV</w:t>
      </w:r>
      <w:proofErr w:type="spellEnd"/>
      <w:r w:rsidR="00DB7A22" w:rsidRPr="00922C73">
        <w:rPr>
          <w:rFonts w:ascii="Times New Roman" w:hAnsi="Times New Roman" w:cs="Times New Roman"/>
          <w:sz w:val="24"/>
          <w:szCs w:val="24"/>
        </w:rPr>
        <w:t xml:space="preserve"> and </w:t>
      </w:r>
      <w:proofErr w:type="spellStart"/>
      <w:r w:rsidR="00DB7A22" w:rsidRPr="00922C73">
        <w:rPr>
          <w:rFonts w:ascii="Times New Roman" w:hAnsi="Times New Roman" w:cs="Times New Roman"/>
          <w:sz w:val="24"/>
          <w:szCs w:val="24"/>
        </w:rPr>
        <w:t>pXI</w:t>
      </w:r>
      <w:proofErr w:type="spellEnd"/>
      <w:r w:rsidR="00DB7A22" w:rsidRPr="00922C73">
        <w:rPr>
          <w:rFonts w:ascii="Times New Roman" w:hAnsi="Times New Roman" w:cs="Times New Roman"/>
          <w:sz w:val="24"/>
          <w:szCs w:val="24"/>
        </w:rPr>
        <w:t>) and proteins for replication (</w:t>
      </w:r>
      <w:proofErr w:type="spellStart"/>
      <w:r w:rsidR="00DB7A22" w:rsidRPr="00922C73">
        <w:rPr>
          <w:rFonts w:ascii="Times New Roman" w:hAnsi="Times New Roman" w:cs="Times New Roman"/>
          <w:sz w:val="24"/>
          <w:szCs w:val="24"/>
        </w:rPr>
        <w:t>pII</w:t>
      </w:r>
      <w:proofErr w:type="spellEnd"/>
      <w:r w:rsidR="00DB7A22" w:rsidRPr="00922C73">
        <w:rPr>
          <w:rFonts w:ascii="Times New Roman" w:hAnsi="Times New Roman" w:cs="Times New Roman"/>
          <w:sz w:val="24"/>
          <w:szCs w:val="24"/>
        </w:rPr>
        <w:t xml:space="preserve">, </w:t>
      </w:r>
      <w:proofErr w:type="spellStart"/>
      <w:r w:rsidR="00DB7A22" w:rsidRPr="00922C73">
        <w:rPr>
          <w:rFonts w:ascii="Times New Roman" w:hAnsi="Times New Roman" w:cs="Times New Roman"/>
          <w:sz w:val="24"/>
          <w:szCs w:val="24"/>
        </w:rPr>
        <w:t>pV</w:t>
      </w:r>
      <w:proofErr w:type="spellEnd"/>
      <w:r w:rsidR="00DB7A22" w:rsidRPr="00922C73">
        <w:rPr>
          <w:rFonts w:ascii="Times New Roman" w:hAnsi="Times New Roman" w:cs="Times New Roman"/>
          <w:sz w:val="24"/>
          <w:szCs w:val="24"/>
        </w:rPr>
        <w:t xml:space="preserve"> and </w:t>
      </w:r>
      <w:proofErr w:type="spellStart"/>
      <w:r w:rsidR="00DB7A22" w:rsidRPr="00922C73">
        <w:rPr>
          <w:rFonts w:ascii="Times New Roman" w:hAnsi="Times New Roman" w:cs="Times New Roman"/>
          <w:sz w:val="24"/>
          <w:szCs w:val="24"/>
        </w:rPr>
        <w:t>pX</w:t>
      </w:r>
      <w:proofErr w:type="spellEnd"/>
      <w:r w:rsidR="00DB7A22" w:rsidRPr="00922C73">
        <w:rPr>
          <w:rFonts w:ascii="Times New Roman" w:hAnsi="Times New Roman" w:cs="Times New Roman"/>
          <w:sz w:val="24"/>
          <w:szCs w:val="24"/>
        </w:rPr>
        <w:t xml:space="preserve">) </w:t>
      </w:r>
      <w:r w:rsidR="00DB7A22" w:rsidRPr="00922C73">
        <w:rPr>
          <w:rFonts w:ascii="Times New Roman" w:hAnsi="Times New Roman" w:cs="Times New Roman"/>
          <w:sz w:val="24"/>
          <w:szCs w:val="24"/>
        </w:rPr>
        <w:fldChar w:fldCharType="begin" w:fldLock="1"/>
      </w:r>
      <w:r w:rsidR="00DD0F87" w:rsidRPr="00922C73">
        <w:instrText>ADDIN CSL_CITATION {"citationItems":[{"id":"ITEM-1","itemData":{"author":[{"dropping-particle":"","family":"Webster","given":"Robert","non-dropping-particle":"","parse-names":false,"suffix":""}],"container-title":"Phage Display of Peptides and Proteins: A Laboratory Manual.","editor":[{"dropping-particle":"","family":"Kay","given":"Brian K","non-dropping-particle":"","parse-names":false,"suffix":""},{"dropping-particle":"","family":"Winter","given":"Jill","non-dropping-particle":"","parse-names":false,"suffix":""},{"dropping-particle":"","family":"McCafferty","given":"John","non-dropping-particle":"","parse-names":false,"suffix":""}],"id":"ITEM-1","issued":{"date-parts":[["1996"]]},"page":"4-5","publisher":"Academic Press","title":"Biology of the filamentous bacteriophage","type":"chapter"},"uris":["http://www.mendeley.com/documents/?uuid=86978018-fa57-4cb3-bc47-91ab0d88cd1f","http://www.mendeley.com/documents/?uuid=05239ceb-11a0-4f86-a09a-3df0612cd050"]}],"mendeley":{"formattedCitation":"&lt;sup&gt;152&lt;/sup&gt;","plainTextFormattedCitation":"152","previouslyFormattedCitation":"&lt;sup&gt;152&lt;/sup&gt;"},"properties":{"noteIndex":0},"schema":"https://github.com/citation-style-language/schema/raw/master/csl-citation.json"}</w:instrText>
      </w:r>
      <w:r w:rsidR="00DB7A22" w:rsidRPr="00922C73">
        <w:rPr>
          <w:rFonts w:ascii="Times New Roman" w:hAnsi="Times New Roman" w:cs="Times New Roman"/>
          <w:sz w:val="24"/>
          <w:szCs w:val="24"/>
        </w:rPr>
        <w:fldChar w:fldCharType="separate"/>
      </w:r>
      <w:r w:rsidR="00A00D49" w:rsidRPr="00922C73">
        <w:rPr>
          <w:noProof/>
          <w:vertAlign w:val="superscript"/>
        </w:rPr>
        <w:t>152</w:t>
      </w:r>
      <w:r w:rsidR="00DB7A22" w:rsidRPr="00922C73">
        <w:rPr>
          <w:rFonts w:ascii="Times New Roman" w:hAnsi="Times New Roman" w:cs="Times New Roman"/>
          <w:sz w:val="24"/>
          <w:szCs w:val="24"/>
        </w:rPr>
        <w:fldChar w:fldCharType="end"/>
      </w:r>
      <w:r w:rsidR="00DB7A22" w:rsidRPr="00922C73">
        <w:rPr>
          <w:rFonts w:ascii="Times New Roman" w:hAnsi="Times New Roman" w:cs="Times New Roman"/>
          <w:sz w:val="24"/>
          <w:szCs w:val="24"/>
        </w:rPr>
        <w:t>.</w:t>
      </w:r>
      <w:r w:rsidR="00DB7A22" w:rsidRPr="00922C73">
        <w:rPr>
          <w:rFonts w:ascii="Times New Roman" w:hAnsi="Times New Roman" w:cs="Times New Roman"/>
          <w:sz w:val="24"/>
          <w:szCs w:val="24"/>
          <w:lang w:val="en-US"/>
        </w:rPr>
        <w:t xml:space="preserve"> There are 5 copies each of minor coat proteins: </w:t>
      </w:r>
      <w:proofErr w:type="spellStart"/>
      <w:r w:rsidR="00DB7A22" w:rsidRPr="00922C73">
        <w:rPr>
          <w:rFonts w:ascii="Times New Roman" w:hAnsi="Times New Roman" w:cs="Times New Roman"/>
          <w:sz w:val="24"/>
          <w:szCs w:val="24"/>
          <w:lang w:val="en-US"/>
        </w:rPr>
        <w:t>pIII</w:t>
      </w:r>
      <w:proofErr w:type="spellEnd"/>
      <w:r w:rsidR="00DB7A22" w:rsidRPr="00922C73">
        <w:rPr>
          <w:rFonts w:ascii="Times New Roman" w:hAnsi="Times New Roman" w:cs="Times New Roman"/>
          <w:sz w:val="24"/>
          <w:szCs w:val="24"/>
          <w:lang w:val="en-US"/>
        </w:rPr>
        <w:t xml:space="preserve">, </w:t>
      </w:r>
      <w:proofErr w:type="spellStart"/>
      <w:r w:rsidR="00DB7A22" w:rsidRPr="00922C73">
        <w:rPr>
          <w:rFonts w:ascii="Times New Roman" w:hAnsi="Times New Roman" w:cs="Times New Roman"/>
          <w:sz w:val="24"/>
          <w:szCs w:val="24"/>
          <w:lang w:val="en-US"/>
        </w:rPr>
        <w:t>pVI</w:t>
      </w:r>
      <w:proofErr w:type="spellEnd"/>
      <w:r w:rsidR="00DB7A22" w:rsidRPr="00922C73">
        <w:rPr>
          <w:rFonts w:ascii="Times New Roman" w:hAnsi="Times New Roman" w:cs="Times New Roman"/>
          <w:sz w:val="24"/>
          <w:szCs w:val="24"/>
          <w:lang w:val="en-US"/>
        </w:rPr>
        <w:t xml:space="preserve"> (at the head for cell binding), </w:t>
      </w:r>
      <w:proofErr w:type="spellStart"/>
      <w:r w:rsidR="00DB7A22" w:rsidRPr="00922C73">
        <w:rPr>
          <w:rFonts w:ascii="Times New Roman" w:hAnsi="Times New Roman" w:cs="Times New Roman"/>
          <w:sz w:val="24"/>
          <w:szCs w:val="24"/>
          <w:lang w:val="en-US"/>
        </w:rPr>
        <w:t>pVII</w:t>
      </w:r>
      <w:proofErr w:type="spellEnd"/>
      <w:r w:rsidR="00DB7A22" w:rsidRPr="00922C73">
        <w:rPr>
          <w:rFonts w:ascii="Times New Roman" w:hAnsi="Times New Roman" w:cs="Times New Roman"/>
          <w:sz w:val="24"/>
          <w:szCs w:val="24"/>
          <w:lang w:val="en-US"/>
        </w:rPr>
        <w:t xml:space="preserve"> and </w:t>
      </w:r>
      <w:proofErr w:type="spellStart"/>
      <w:r w:rsidR="00DB7A22" w:rsidRPr="00922C73">
        <w:rPr>
          <w:rFonts w:ascii="Times New Roman" w:hAnsi="Times New Roman" w:cs="Times New Roman"/>
          <w:sz w:val="24"/>
          <w:szCs w:val="24"/>
          <w:lang w:val="en-US"/>
        </w:rPr>
        <w:t>pIX</w:t>
      </w:r>
      <w:proofErr w:type="spellEnd"/>
      <w:r w:rsidR="00DB7A22" w:rsidRPr="00922C73">
        <w:rPr>
          <w:rFonts w:ascii="Times New Roman" w:hAnsi="Times New Roman" w:cs="Times New Roman"/>
          <w:sz w:val="24"/>
          <w:szCs w:val="24"/>
          <w:lang w:val="en-US"/>
        </w:rPr>
        <w:t xml:space="preserve"> (at the tail for </w:t>
      </w:r>
      <w:proofErr w:type="spellStart"/>
      <w:r w:rsidR="00DB7A22" w:rsidRPr="00922C73">
        <w:rPr>
          <w:rFonts w:ascii="Times New Roman" w:hAnsi="Times New Roman" w:cs="Times New Roman"/>
          <w:sz w:val="24"/>
          <w:szCs w:val="24"/>
          <w:lang w:val="en-US"/>
        </w:rPr>
        <w:t>phage</w:t>
      </w:r>
      <w:proofErr w:type="spellEnd"/>
      <w:r w:rsidR="00DB7A22" w:rsidRPr="00922C73">
        <w:rPr>
          <w:rFonts w:ascii="Times New Roman" w:hAnsi="Times New Roman" w:cs="Times New Roman"/>
          <w:sz w:val="24"/>
          <w:szCs w:val="24"/>
          <w:lang w:val="en-US"/>
        </w:rPr>
        <w:t xml:space="preserve"> assembly) </w:t>
      </w:r>
      <w:r w:rsidR="00DB7A22" w:rsidRPr="00922C73">
        <w:rPr>
          <w:rFonts w:ascii="Times New Roman" w:hAnsi="Times New Roman" w:cs="Times New Roman"/>
          <w:sz w:val="24"/>
          <w:szCs w:val="24"/>
          <w:lang w:val="en-US"/>
        </w:rPr>
        <w:fldChar w:fldCharType="begin" w:fldLock="1"/>
      </w:r>
      <w:r w:rsidR="00DD0F87" w:rsidRPr="00922C73">
        <w:rPr>
          <w:lang w:val="en-US"/>
        </w:rPr>
        <w:instrText>ADDIN CSL_CITATION {"citationItems":[{"id":"ITEM-1","itemData":{"ISSN":"0146-0749","PMID":"3540571","author":[{"dropping-particle":"","family":"Rasched","given":"Ihab","non-dropping-particle":"","parse-names":false,"suffix":""},{"dropping-particle":"","family":"Oberer","given":"Erika","non-dropping-particle":"","parse-names":false,"suffix":""}],"container-title":"Microbiological reviews","id":"ITEM-1","issue":"4","issued":{"date-parts":[["1986","12"]]},"page":"401-27","title":"Ff coliphages: structural and functional relationships.","type":"article-journal","volume":"50"},"uris":["http://www.mendeley.com/documents/?uuid=d309cf78-b566-4564-8c6e-81d011f1da19","http://www.mendeley.com/documents/?uuid=2c638d58-dda7-46e8-a436-6760abc57ea4"]}],"mendeley":{"formattedCitation":"&lt;sup&gt;149&lt;/sup&gt;","plainTextFormattedCitation":"149","previouslyFormattedCitation":"&lt;sup&gt;149&lt;/sup&gt;"},"properties":{"noteIndex":0},"schema":"https://github.com/citation-style-language/schema/raw/master/csl-citation.json"}</w:instrText>
      </w:r>
      <w:r w:rsidR="00DB7A22" w:rsidRPr="00922C73">
        <w:rPr>
          <w:rFonts w:ascii="Times New Roman" w:hAnsi="Times New Roman" w:cs="Times New Roman"/>
          <w:sz w:val="24"/>
          <w:szCs w:val="24"/>
          <w:lang w:val="en-US"/>
        </w:rPr>
        <w:fldChar w:fldCharType="separate"/>
      </w:r>
      <w:r w:rsidR="00A00D49" w:rsidRPr="00922C73">
        <w:rPr>
          <w:noProof/>
          <w:vertAlign w:val="superscript"/>
          <w:lang w:val="en-US"/>
        </w:rPr>
        <w:t>149</w:t>
      </w:r>
      <w:r w:rsidR="00DB7A22" w:rsidRPr="00922C73">
        <w:rPr>
          <w:rFonts w:ascii="Times New Roman" w:hAnsi="Times New Roman" w:cs="Times New Roman"/>
          <w:sz w:val="24"/>
          <w:szCs w:val="24"/>
          <w:lang w:val="en-US"/>
        </w:rPr>
        <w:fldChar w:fldCharType="end"/>
      </w:r>
      <w:r w:rsidR="00DB7A22" w:rsidRPr="00922C73">
        <w:rPr>
          <w:rFonts w:ascii="Times New Roman" w:hAnsi="Times New Roman" w:cs="Times New Roman"/>
          <w:sz w:val="24"/>
          <w:szCs w:val="24"/>
          <w:lang w:val="en-US"/>
        </w:rPr>
        <w:t>.</w:t>
      </w:r>
    </w:p>
    <w:p w14:paraId="28C46D70" w14:textId="77777777" w:rsidR="00DB7A22" w:rsidRPr="00922C73" w:rsidRDefault="00DB7A22" w:rsidP="00700BBF">
      <w:pPr>
        <w:autoSpaceDE w:val="0"/>
        <w:autoSpaceDN w:val="0"/>
        <w:adjustRightInd w:val="0"/>
        <w:spacing w:after="0" w:line="480" w:lineRule="auto"/>
        <w:rPr>
          <w:rFonts w:ascii="Times New Roman" w:hAnsi="Times New Roman" w:cs="Times New Roman"/>
          <w:sz w:val="24"/>
          <w:szCs w:val="24"/>
        </w:rPr>
      </w:pPr>
    </w:p>
    <w:p w14:paraId="12A72068" w14:textId="77777777" w:rsidR="00DB7A22" w:rsidRPr="00922C73" w:rsidRDefault="00DB7A22" w:rsidP="006C5BF0">
      <w:pPr>
        <w:rPr>
          <w:rFonts w:eastAsia="Times New Roman"/>
          <w:lang w:val="en-US" w:eastAsia="en-GB"/>
        </w:rPr>
      </w:pPr>
      <w:bookmarkStart w:id="73" w:name="_Toc522649212"/>
    </w:p>
    <w:bookmarkEnd w:id="73"/>
    <w:p w14:paraId="3092EA88" w14:textId="77777777" w:rsidR="00DB7A22" w:rsidRPr="00922C73" w:rsidRDefault="00DB7A22" w:rsidP="00700BBF">
      <w:pPr>
        <w:spacing w:line="480" w:lineRule="auto"/>
        <w:rPr>
          <w:rFonts w:ascii="Times New Roman" w:hAnsi="Times New Roman" w:cs="Times New Roman"/>
          <w:b/>
          <w:sz w:val="24"/>
          <w:szCs w:val="24"/>
        </w:rPr>
      </w:pPr>
    </w:p>
    <w:p w14:paraId="0F3C3874" w14:textId="009427B9" w:rsidR="00DB7A22" w:rsidRPr="00922C73" w:rsidRDefault="00DB7A22" w:rsidP="00700BBF">
      <w:pPr>
        <w:spacing w:line="480" w:lineRule="auto"/>
        <w:rPr>
          <w:rFonts w:ascii="Times New Roman" w:hAnsi="Times New Roman" w:cs="Times New Roman"/>
          <w:b/>
          <w:sz w:val="24"/>
          <w:szCs w:val="24"/>
        </w:rPr>
      </w:pPr>
    </w:p>
    <w:p w14:paraId="06BD5D1E" w14:textId="77777777" w:rsidR="00906283" w:rsidRPr="00922C73" w:rsidRDefault="00687E8F" w:rsidP="00906283">
      <w:pPr>
        <w:keepNext/>
        <w:spacing w:line="480" w:lineRule="auto"/>
      </w:pPr>
      <w:r w:rsidRPr="00922C73">
        <w:rPr>
          <w:noProof/>
        </w:rPr>
        <w:lastRenderedPageBreak/>
        <w:drawing>
          <wp:inline distT="0" distB="0" distL="0" distR="0" wp14:anchorId="1D2B3D5B" wp14:editId="50132554">
            <wp:extent cx="5185633" cy="3744000"/>
            <wp:effectExtent l="0" t="0" r="0" b="889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96DAC541-7B7A-43D3-8B79-37D633B846F1}">
                          <asvg:svgBlip xmlns:asvg="http://schemas.microsoft.com/office/drawing/2016/SVG/main" r:embed="rId29"/>
                        </a:ext>
                      </a:extLst>
                    </a:blip>
                    <a:srcRect l="32253" t="23075" r="17029" b="11825"/>
                    <a:stretch/>
                  </pic:blipFill>
                  <pic:spPr bwMode="auto">
                    <a:xfrm>
                      <a:off x="0" y="0"/>
                      <a:ext cx="5262415" cy="3799436"/>
                    </a:xfrm>
                    <a:prstGeom prst="rect">
                      <a:avLst/>
                    </a:prstGeom>
                    <a:ln>
                      <a:noFill/>
                    </a:ln>
                    <a:extLst>
                      <a:ext uri="{53640926-AAD7-44D8-BBD7-CCE9431645EC}">
                        <a14:shadowObscured xmlns:a14="http://schemas.microsoft.com/office/drawing/2010/main"/>
                      </a:ext>
                    </a:extLst>
                  </pic:spPr>
                </pic:pic>
              </a:graphicData>
            </a:graphic>
          </wp:inline>
        </w:drawing>
      </w:r>
    </w:p>
    <w:p w14:paraId="144E73D7" w14:textId="71F320D7" w:rsidR="00DB7A22" w:rsidRPr="00922C73" w:rsidRDefault="00906283" w:rsidP="0025183A">
      <w:pPr>
        <w:pStyle w:val="Caption"/>
        <w:spacing w:line="240" w:lineRule="auto"/>
        <w:rPr>
          <w:rFonts w:ascii="Times New Roman" w:hAnsi="Times New Roman" w:cs="Times New Roman"/>
          <w:b w:val="0"/>
          <w:sz w:val="24"/>
          <w:szCs w:val="24"/>
        </w:rPr>
      </w:pPr>
      <w:bookmarkStart w:id="74" w:name="_Toc139397309"/>
      <w:bookmarkStart w:id="75" w:name="_Toc151020654"/>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9</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Overview of phage and phagemid infection of bacterial cells.</w:t>
      </w:r>
      <w:bookmarkEnd w:id="74"/>
      <w:bookmarkEnd w:id="75"/>
    </w:p>
    <w:p w14:paraId="4E0C98DA" w14:textId="1546249C" w:rsidR="00DB7A22" w:rsidRPr="00922C73" w:rsidRDefault="00DB7A22" w:rsidP="0025183A">
      <w:pPr>
        <w:spacing w:line="240" w:lineRule="auto"/>
        <w:rPr>
          <w:rFonts w:ascii="Times New Roman" w:hAnsi="Times New Roman" w:cs="Times New Roman"/>
          <w:b/>
          <w:sz w:val="24"/>
          <w:szCs w:val="24"/>
        </w:rPr>
      </w:pPr>
      <w:r w:rsidRPr="00922C73">
        <w:rPr>
          <w:rFonts w:ascii="Times New Roman" w:hAnsi="Times New Roman" w:cs="Times New Roman"/>
          <w:bCs/>
          <w:sz w:val="24"/>
          <w:szCs w:val="24"/>
        </w:rPr>
        <w:t>P</w:t>
      </w:r>
      <w:r w:rsidRPr="00922C73">
        <w:rPr>
          <w:rFonts w:ascii="Times New Roman" w:eastAsia="Times New Roman" w:hAnsi="Times New Roman" w:cs="Times New Roman"/>
          <w:bCs/>
          <w:sz w:val="24"/>
          <w:szCs w:val="24"/>
          <w:lang w:eastAsia="en-GB"/>
        </w:rPr>
        <w:t>hage</w:t>
      </w:r>
      <w:r w:rsidRPr="00922C73">
        <w:rPr>
          <w:rFonts w:ascii="Times New Roman" w:eastAsia="Times New Roman" w:hAnsi="Times New Roman" w:cs="Times New Roman"/>
          <w:sz w:val="24"/>
          <w:szCs w:val="24"/>
          <w:lang w:eastAsia="en-GB"/>
        </w:rPr>
        <w:t>, the complete virion, can infect bacterial cells and</w:t>
      </w:r>
      <w:r w:rsidRPr="00922C73">
        <w:rPr>
          <w:rFonts w:ascii="Times New Roman" w:hAnsi="Times New Roman" w:cs="Times New Roman"/>
          <w:sz w:val="24"/>
          <w:szCs w:val="24"/>
        </w:rPr>
        <w:t xml:space="preserve"> use the host cytoplasm for replication and assembly of new virion particles. A</w:t>
      </w:r>
      <w:r w:rsidRPr="00922C73">
        <w:rPr>
          <w:rFonts w:ascii="Times New Roman" w:eastAsia="Times New Roman" w:hAnsi="Times New Roman" w:cs="Times New Roman"/>
          <w:sz w:val="24"/>
          <w:szCs w:val="24"/>
          <w:lang w:eastAsia="en-GB"/>
        </w:rPr>
        <w:t xml:space="preserve"> phagemid </w:t>
      </w:r>
      <w:r w:rsidR="004631AE" w:rsidRPr="00922C73">
        <w:rPr>
          <w:rFonts w:ascii="Times New Roman" w:eastAsia="Times New Roman" w:hAnsi="Times New Roman" w:cs="Times New Roman"/>
          <w:sz w:val="24"/>
          <w:szCs w:val="24"/>
          <w:lang w:eastAsia="en-GB"/>
        </w:rPr>
        <w:t xml:space="preserve">is a plasmid, which </w:t>
      </w:r>
      <w:r w:rsidRPr="00922C73">
        <w:rPr>
          <w:rFonts w:ascii="Times New Roman" w:eastAsia="Times New Roman" w:hAnsi="Times New Roman" w:cs="Times New Roman"/>
          <w:sz w:val="24"/>
          <w:szCs w:val="24"/>
          <w:lang w:eastAsia="en-GB"/>
        </w:rPr>
        <w:t xml:space="preserve">contains a gene for a phage coat protein e.g. </w:t>
      </w:r>
      <w:proofErr w:type="spellStart"/>
      <w:r w:rsidRPr="00922C73">
        <w:rPr>
          <w:rFonts w:ascii="Times New Roman" w:eastAsia="Times New Roman" w:hAnsi="Times New Roman" w:cs="Times New Roman"/>
          <w:sz w:val="24"/>
          <w:szCs w:val="24"/>
          <w:lang w:eastAsia="en-GB"/>
        </w:rPr>
        <w:t>pIII</w:t>
      </w:r>
      <w:proofErr w:type="spellEnd"/>
      <w:r w:rsidRPr="00922C73">
        <w:rPr>
          <w:rFonts w:ascii="Times New Roman" w:eastAsia="Times New Roman" w:hAnsi="Times New Roman" w:cs="Times New Roman"/>
          <w:sz w:val="24"/>
          <w:szCs w:val="24"/>
          <w:lang w:eastAsia="en-GB"/>
        </w:rPr>
        <w:t xml:space="preserve"> but it requires transformation into the bacterial cell and co-infection with a helper phage </w:t>
      </w:r>
      <w:r w:rsidR="004631AE" w:rsidRPr="00922C73">
        <w:rPr>
          <w:rFonts w:ascii="Times New Roman" w:eastAsia="Times New Roman" w:hAnsi="Times New Roman" w:cs="Times New Roman"/>
          <w:sz w:val="24"/>
          <w:szCs w:val="24"/>
          <w:lang w:eastAsia="en-GB"/>
        </w:rPr>
        <w:t>to supply</w:t>
      </w:r>
      <w:r w:rsidRPr="00922C73">
        <w:rPr>
          <w:rFonts w:ascii="Times New Roman" w:eastAsia="Times New Roman" w:hAnsi="Times New Roman" w:cs="Times New Roman"/>
          <w:sz w:val="24"/>
          <w:szCs w:val="24"/>
          <w:lang w:eastAsia="en-GB"/>
        </w:rPr>
        <w:t xml:space="preserve"> additional phage genes for production of virion particles.</w:t>
      </w:r>
    </w:p>
    <w:p w14:paraId="5450D084" w14:textId="77777777" w:rsidR="00DB7A22" w:rsidRPr="00922C73" w:rsidRDefault="00DB7A22" w:rsidP="0025183A">
      <w:pPr>
        <w:spacing w:line="240" w:lineRule="auto"/>
        <w:rPr>
          <w:rFonts w:ascii="Times New Roman" w:hAnsi="Times New Roman" w:cs="Times New Roman"/>
          <w:b/>
          <w:sz w:val="24"/>
          <w:szCs w:val="24"/>
        </w:rPr>
      </w:pPr>
    </w:p>
    <w:p w14:paraId="0BD51C27" w14:textId="77777777" w:rsidR="00F71F68" w:rsidRPr="00922C73" w:rsidRDefault="00F71F68" w:rsidP="00F71F68">
      <w:pPr>
        <w:autoSpaceDE w:val="0"/>
        <w:autoSpaceDN w:val="0"/>
        <w:adjustRightInd w:val="0"/>
        <w:spacing w:after="0" w:line="480" w:lineRule="auto"/>
        <w:rPr>
          <w:rFonts w:ascii="Times New Roman" w:hAnsi="Times New Roman" w:cs="Times New Roman"/>
          <w:sz w:val="24"/>
          <w:szCs w:val="24"/>
        </w:rPr>
      </w:pPr>
    </w:p>
    <w:p w14:paraId="3B5C3251" w14:textId="434659F8" w:rsidR="00DB7A22" w:rsidRPr="00922C73" w:rsidRDefault="00DB7A22" w:rsidP="00700BBF">
      <w:pPr>
        <w:autoSpaceDE w:val="0"/>
        <w:autoSpaceDN w:val="0"/>
        <w:adjustRightInd w:val="0"/>
        <w:spacing w:after="0" w:line="480" w:lineRule="auto"/>
        <w:rPr>
          <w:rFonts w:ascii="Times New Roman" w:hAnsi="Times New Roman" w:cs="Times New Roman"/>
          <w:sz w:val="24"/>
          <w:szCs w:val="24"/>
        </w:rPr>
      </w:pPr>
    </w:p>
    <w:p w14:paraId="7CF65ACD" w14:textId="12067744" w:rsidR="00D33197" w:rsidRPr="00922C73" w:rsidRDefault="00D33197" w:rsidP="00700BBF">
      <w:pPr>
        <w:autoSpaceDE w:val="0"/>
        <w:autoSpaceDN w:val="0"/>
        <w:adjustRightInd w:val="0"/>
        <w:spacing w:after="0" w:line="480" w:lineRule="auto"/>
        <w:rPr>
          <w:rFonts w:ascii="Times New Roman" w:hAnsi="Times New Roman" w:cs="Times New Roman"/>
          <w:sz w:val="24"/>
          <w:szCs w:val="24"/>
        </w:rPr>
      </w:pPr>
    </w:p>
    <w:p w14:paraId="1D1A2ADF" w14:textId="0FEB6536" w:rsidR="00D33197" w:rsidRPr="00922C73" w:rsidRDefault="00D33197" w:rsidP="00700BBF">
      <w:pPr>
        <w:autoSpaceDE w:val="0"/>
        <w:autoSpaceDN w:val="0"/>
        <w:adjustRightInd w:val="0"/>
        <w:spacing w:after="0" w:line="480" w:lineRule="auto"/>
        <w:rPr>
          <w:rFonts w:ascii="Times New Roman" w:hAnsi="Times New Roman" w:cs="Times New Roman"/>
          <w:sz w:val="24"/>
          <w:szCs w:val="24"/>
        </w:rPr>
      </w:pPr>
    </w:p>
    <w:p w14:paraId="1E94C66A" w14:textId="4C8C91B2" w:rsidR="00D33197" w:rsidRPr="00922C73" w:rsidRDefault="00D33197" w:rsidP="00700BBF">
      <w:pPr>
        <w:autoSpaceDE w:val="0"/>
        <w:autoSpaceDN w:val="0"/>
        <w:adjustRightInd w:val="0"/>
        <w:spacing w:after="0" w:line="480" w:lineRule="auto"/>
        <w:rPr>
          <w:rFonts w:ascii="Times New Roman" w:hAnsi="Times New Roman" w:cs="Times New Roman"/>
          <w:sz w:val="24"/>
          <w:szCs w:val="24"/>
        </w:rPr>
      </w:pPr>
    </w:p>
    <w:p w14:paraId="5A2285C2" w14:textId="77777777" w:rsidR="00687E8F" w:rsidRPr="00922C73" w:rsidRDefault="00687E8F" w:rsidP="00700BBF">
      <w:pPr>
        <w:autoSpaceDE w:val="0"/>
        <w:autoSpaceDN w:val="0"/>
        <w:adjustRightInd w:val="0"/>
        <w:spacing w:after="0" w:line="480" w:lineRule="auto"/>
        <w:rPr>
          <w:rFonts w:ascii="Times New Roman" w:hAnsi="Times New Roman" w:cs="Times New Roman"/>
          <w:sz w:val="24"/>
          <w:szCs w:val="24"/>
        </w:rPr>
      </w:pPr>
    </w:p>
    <w:p w14:paraId="3B1F9D73" w14:textId="77777777" w:rsidR="00147E13" w:rsidRPr="00922C73" w:rsidRDefault="00147E13" w:rsidP="00700BBF">
      <w:pPr>
        <w:autoSpaceDE w:val="0"/>
        <w:autoSpaceDN w:val="0"/>
        <w:adjustRightInd w:val="0"/>
        <w:spacing w:after="0" w:line="480" w:lineRule="auto"/>
        <w:rPr>
          <w:rFonts w:ascii="Times New Roman" w:hAnsi="Times New Roman" w:cs="Times New Roman"/>
          <w:sz w:val="24"/>
          <w:szCs w:val="24"/>
        </w:rPr>
      </w:pPr>
    </w:p>
    <w:p w14:paraId="05D4FC60" w14:textId="77777777" w:rsidR="0025183A" w:rsidRPr="00922C73" w:rsidRDefault="0025183A" w:rsidP="00700BBF">
      <w:pPr>
        <w:autoSpaceDE w:val="0"/>
        <w:autoSpaceDN w:val="0"/>
        <w:adjustRightInd w:val="0"/>
        <w:spacing w:after="0" w:line="480" w:lineRule="auto"/>
        <w:rPr>
          <w:rFonts w:ascii="Times New Roman" w:hAnsi="Times New Roman" w:cs="Times New Roman"/>
          <w:sz w:val="24"/>
          <w:szCs w:val="24"/>
        </w:rPr>
      </w:pPr>
    </w:p>
    <w:p w14:paraId="4DB4FCCD" w14:textId="77777777" w:rsidR="0025183A" w:rsidRPr="00922C73" w:rsidRDefault="0025183A" w:rsidP="00700BBF">
      <w:pPr>
        <w:autoSpaceDE w:val="0"/>
        <w:autoSpaceDN w:val="0"/>
        <w:adjustRightInd w:val="0"/>
        <w:spacing w:after="0" w:line="480" w:lineRule="auto"/>
        <w:rPr>
          <w:rFonts w:ascii="Times New Roman" w:hAnsi="Times New Roman" w:cs="Times New Roman"/>
          <w:sz w:val="24"/>
          <w:szCs w:val="24"/>
        </w:rPr>
      </w:pPr>
    </w:p>
    <w:p w14:paraId="16853753" w14:textId="77777777" w:rsidR="0025183A" w:rsidRPr="00922C73" w:rsidRDefault="0025183A" w:rsidP="00700BBF">
      <w:pPr>
        <w:autoSpaceDE w:val="0"/>
        <w:autoSpaceDN w:val="0"/>
        <w:adjustRightInd w:val="0"/>
        <w:spacing w:after="0" w:line="480" w:lineRule="auto"/>
        <w:rPr>
          <w:rFonts w:ascii="Times New Roman" w:hAnsi="Times New Roman" w:cs="Times New Roman"/>
          <w:sz w:val="24"/>
          <w:szCs w:val="24"/>
        </w:rPr>
      </w:pPr>
    </w:p>
    <w:p w14:paraId="5DD0C884" w14:textId="77777777" w:rsidR="0065142A" w:rsidRPr="00922C73" w:rsidRDefault="0065142A" w:rsidP="0065142A">
      <w:pPr>
        <w:spacing w:line="480" w:lineRule="auto"/>
        <w:rPr>
          <w:rFonts w:ascii="Times New Roman" w:eastAsia="Times New Roman" w:hAnsi="Times New Roman" w:cs="Times New Roman"/>
          <w:i/>
          <w:iCs/>
          <w:sz w:val="24"/>
          <w:szCs w:val="24"/>
          <w:lang w:eastAsia="en-GB"/>
        </w:rPr>
      </w:pPr>
      <w:bookmarkStart w:id="76" w:name="_Hlk150770885"/>
      <w:r w:rsidRPr="00922C73">
        <w:rPr>
          <w:rFonts w:ascii="Times New Roman" w:eastAsia="Times New Roman" w:hAnsi="Times New Roman" w:cs="Times New Roman"/>
          <w:i/>
          <w:iCs/>
          <w:sz w:val="24"/>
          <w:szCs w:val="24"/>
          <w:lang w:eastAsia="en-GB"/>
        </w:rPr>
        <w:lastRenderedPageBreak/>
        <w:t>Affinity selection of phage display libraries</w:t>
      </w:r>
    </w:p>
    <w:p w14:paraId="2DA95F13" w14:textId="0025ED10" w:rsidR="0065142A" w:rsidRPr="00922C73" w:rsidRDefault="0065142A" w:rsidP="0065142A">
      <w:pPr>
        <w:autoSpaceDE w:val="0"/>
        <w:autoSpaceDN w:val="0"/>
        <w:adjustRightInd w:val="0"/>
        <w:spacing w:after="0" w:line="480" w:lineRule="auto"/>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 xml:space="preserve">Phage display libraries often encompass millions of different phage variants. </w:t>
      </w:r>
      <w:r w:rsidRPr="00922C73">
        <w:rPr>
          <w:rFonts w:ascii="Times New Roman" w:eastAsia="Times New Roman" w:hAnsi="Times New Roman" w:cs="Times New Roman"/>
          <w:sz w:val="24"/>
          <w:szCs w:val="24"/>
          <w:lang w:eastAsia="en-GB"/>
        </w:rPr>
        <w:t xml:space="preserve">They allows screening with a known </w:t>
      </w:r>
      <w:r w:rsidR="002E719C" w:rsidRPr="00922C73">
        <w:rPr>
          <w:rFonts w:ascii="Times New Roman" w:eastAsia="Times New Roman" w:hAnsi="Times New Roman" w:cs="Times New Roman"/>
          <w:sz w:val="24"/>
          <w:szCs w:val="24"/>
          <w:lang w:eastAsia="en-GB"/>
        </w:rPr>
        <w:t>antigen or antibody</w:t>
      </w:r>
      <w:r w:rsidRPr="00922C73">
        <w:rPr>
          <w:rFonts w:ascii="Times New Roman" w:eastAsia="Times New Roman" w:hAnsi="Times New Roman" w:cs="Times New Roman"/>
          <w:sz w:val="24"/>
          <w:szCs w:val="24"/>
          <w:lang w:eastAsia="en-GB"/>
        </w:rPr>
        <w:t xml:space="preserve"> to identify biomarkers, select high affinity antibodies for production of monoclonal antibodies and </w:t>
      </w:r>
      <w:r w:rsidR="002E719C" w:rsidRPr="00922C73">
        <w:rPr>
          <w:rFonts w:ascii="Times New Roman" w:eastAsia="Times New Roman" w:hAnsi="Times New Roman" w:cs="Times New Roman"/>
          <w:sz w:val="24"/>
          <w:szCs w:val="24"/>
          <w:lang w:eastAsia="en-GB"/>
        </w:rPr>
        <w:t xml:space="preserve">for </w:t>
      </w:r>
      <w:r w:rsidRPr="00922C73">
        <w:rPr>
          <w:rFonts w:ascii="Times New Roman" w:eastAsia="Times New Roman" w:hAnsi="Times New Roman" w:cs="Times New Roman"/>
          <w:sz w:val="24"/>
          <w:szCs w:val="24"/>
          <w:lang w:eastAsia="en-GB"/>
        </w:rPr>
        <w:t>functional epitope mapping</w:t>
      </w:r>
      <w:r w:rsidRPr="00922C73">
        <w:rPr>
          <w:rFonts w:ascii="Times New Roman" w:eastAsia="Times New Roman" w:hAnsi="Times New Roman" w:cs="Times New Roman"/>
          <w:sz w:val="24"/>
          <w:szCs w:val="24"/>
          <w:lang w:eastAsia="en-GB"/>
        </w:rPr>
        <w:fldChar w:fldCharType="begin" w:fldLock="1"/>
      </w:r>
      <w:r w:rsidR="00DD0F87" w:rsidRPr="00922C73">
        <w:rPr>
          <w:rFonts w:ascii="Times New Roman" w:eastAsia="Times New Roman" w:hAnsi="Times New Roman" w:cs="Times New Roman"/>
          <w:sz w:val="24"/>
          <w:szCs w:val="24"/>
          <w:lang w:eastAsia="en-GB"/>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Diagnostics","type":"article-journal","volume":"5"},"uris":["http://www.mendeley.com/documents/?uuid=b07325a6-f039-4c14-8ec6-4e309f86e6c9"]},{"id":"ITEM-2","itemData":{"DOI":"10.4161/hv.21703","ISBN":"2164-554X (Electronic)","ISSN":"2164-5515","PMID":"22906939","abstract":"One of the most effective molecular diversity techniques is phage display. This technology is based on a direct linkage between phage phenotype and its encapsulated genotype, which leads to presentation of molecule libraries on the phage surface. Phage display is utilized in studying protein-ligand interactions, receptor binding sites and in improving or modifying the affinity of proteins for their binding partners. Generating monoclonal antibodies and improving their affinity, cloning antibodies from unstable hybridoma cells and identifying epitopes, mimotopes and functional or accessible sites from antigens are also important advantages of this technology. Techniques originating from phage display have been applied to transfusion medicine, neurological disorders, mapping vascular addresses and tissue homing of peptides. Phages have been applicable to immunization therapies, which may lead to development of new tools used for treating autoimmune and cancer diseases. This review describes the phage display technology and presents the recent advancements in therapeutic applications of phage display.","author":[{"dropping-particle":"","family":"Bazan","given":"Justyna","non-dropping-particle":"","parse-names":false,"suffix":""},{"dropping-particle":"","family":"Całkosiński","given":"Ireneusz","non-dropping-particle":"","parse-names":false,"suffix":""},{"dropping-particle":"","family":"Gamian","given":"Andrzej","non-dropping-particle":"","parse-names":false,"suffix":""}],"container-title":"Human Vaccines &amp; Immunotherapeutics","id":"ITEM-2","issue":"12","issued":{"date-parts":[["2012","12"]]},"page":"1817-1828","title":"Phage display—A powerful technique for immunotherapy","type":"article-journal","volume":"8"},"uris":["http://www.mendeley.com/documents/?uuid=f3c7e900-1b97-438f-9e71-f8badfdecf58"]},{"id":"ITEM-3","itemData":{"author":[{"dropping-particle":"","family":"Kay","given":"Brian K","non-dropping-particle":"","parse-names":false,"suffix":""},{"dropping-particle":"","family":"Hoess","given":"Ronald H","non-dropping-particle":"","parse-names":false,"suffix":""}],"container-title":"Phage Display of Peptides and Proteins: A Laboratory Manual.","id":"ITEM-3","issued":{"date-parts":[["0"]]},"page":"22-24","title":"Principle and applications of phage display.","type":"chapter"},"uris":["http://www.mendeley.com/documents/?uuid=f4c2a7a2-ed22-4cdb-aa2f-89148b04d9cf"]},{"id":"ITEM-4","itemData":{"DOI":"10.1128/microbiolspec.AID-0028-2014","ISBN":"doi:10.1128/microbiolspec.AID-0027-2014","ISSN":"2165-0497","PMID":"26104564","abstract":"The human hybridoma technique offers an important approach for isolation of human monoclonal antibodies. A diversity of approaches can be used with varying success. Recent technical advances in expanding the starting number of human antigen-specific B cells, improving fusion efficiency, and isolating new myeloma partners and new cell cloning methods have enabled the development of protocols that make the isolation of human monoclonal antibodies from blood samples feasible. Undoubtedly, additional innovations that could improve efficiency are possible.","author":[{"dropping-particle":"","family":"Sheehan","given":"Jared","non-dropping-particle":"","parse-names":false,"suffix":""},{"dropping-particle":"","family":"Marasco","given":"Wayne A.","non-dropping-particle":"","parse-names":false,"suffix":""}],"container-title":"Microbiology Spectrum","id":"ITEM-4","issue":"1","issued":{"date-parts":[["2015","2"]]},"page":"1-12","title":"Phage and Yeast Display","type":"article-journal","volume":"3"},"uris":["http://www.mendeley.com/documents/?uuid=85c2fe4d-6e69-46bf-896f-8f47c393e1f2"]}],"mendeley":{"formattedCitation":"&lt;sup&gt;105,153–155&lt;/sup&gt;","plainTextFormattedCitation":"105,153–155","previouslyFormattedCitation":"&lt;sup&gt;105,153–155&lt;/sup&gt;"},"properties":{"noteIndex":0},"schema":"https://github.com/citation-style-language/schema/raw/master/csl-citation.json"}</w:instrText>
      </w:r>
      <w:r w:rsidRPr="00922C73">
        <w:rPr>
          <w:rFonts w:ascii="Times New Roman" w:eastAsia="Times New Roman" w:hAnsi="Times New Roman" w:cs="Times New Roman"/>
          <w:sz w:val="24"/>
          <w:szCs w:val="24"/>
          <w:lang w:eastAsia="en-GB"/>
        </w:rPr>
        <w:fldChar w:fldCharType="separate"/>
      </w:r>
      <w:r w:rsidR="00A00D49" w:rsidRPr="00922C73">
        <w:rPr>
          <w:rFonts w:ascii="Times New Roman" w:eastAsia="Times New Roman" w:hAnsi="Times New Roman" w:cs="Times New Roman"/>
          <w:noProof/>
          <w:sz w:val="24"/>
          <w:szCs w:val="24"/>
          <w:vertAlign w:val="superscript"/>
          <w:lang w:eastAsia="en-GB"/>
        </w:rPr>
        <w:t>105,153–155</w:t>
      </w:r>
      <w:r w:rsidRPr="00922C73">
        <w:rPr>
          <w:rFonts w:ascii="Times New Roman" w:eastAsia="Times New Roman" w:hAnsi="Times New Roman" w:cs="Times New Roman"/>
          <w:sz w:val="24"/>
          <w:szCs w:val="24"/>
          <w:lang w:eastAsia="en-GB"/>
        </w:rPr>
        <w:fldChar w:fldCharType="end"/>
      </w:r>
      <w:r w:rsidRPr="00922C73">
        <w:rPr>
          <w:rFonts w:ascii="Times New Roman" w:eastAsia="Times New Roman" w:hAnsi="Times New Roman" w:cs="Times New Roman"/>
          <w:sz w:val="24"/>
          <w:szCs w:val="24"/>
          <w:lang w:eastAsia="en-GB"/>
        </w:rPr>
        <w:t xml:space="preserve">. </w:t>
      </w:r>
      <w:r w:rsidRPr="00922C73">
        <w:rPr>
          <w:rFonts w:ascii="Times New Roman" w:hAnsi="Times New Roman" w:cs="Times New Roman"/>
          <w:sz w:val="24"/>
          <w:szCs w:val="24"/>
        </w:rPr>
        <w:t>Affinity selection or biopanning involves incubation of the phage library with a known protein to allow binding of specific phage variants, washing to remove non-binding phage and elution to identify selected phage variants</w:t>
      </w:r>
      <w:r w:rsidR="005D64ED" w:rsidRPr="00922C73">
        <w:rPr>
          <w:rFonts w:ascii="Times New Roman" w:hAnsi="Times New Roman" w:cs="Times New Roman"/>
          <w:sz w:val="24"/>
          <w:szCs w:val="24"/>
        </w:rPr>
        <w:t xml:space="preserve"> (Figure </w:t>
      </w:r>
      <w:r w:rsidR="009F580B" w:rsidRPr="00922C73">
        <w:rPr>
          <w:rFonts w:ascii="Times New Roman" w:hAnsi="Times New Roman" w:cs="Times New Roman"/>
          <w:sz w:val="24"/>
          <w:szCs w:val="24"/>
        </w:rPr>
        <w:t>10</w:t>
      </w:r>
      <w:r w:rsidR="005D64ED"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DOI":"10.1016/j.imbio.2014.07.002","ISSN":"01712985","author":[{"dropping-particle":"","family":"Alves","given":"Patrícia Terra","non-dropping-particle":"","parse-names":false,"suffix":""},{"dropping-particle":"","family":"Fujimura","given":"Patrícia Tiemi","non-dropping-particle":"","parse-names":false,"suffix":""},{"dropping-particle":"","family":"Morais","given":"Léa Duarte da Silva","non-dropping-particle":"","parse-names":false,"suffix":""},{"dropping-particle":"","family":"Goulart","given":"Luiz Ricardo","non-dropping-particle":"","parse-names":false,"suffix":""}],"container-title":"Immunobiology","id":"ITEM-2","issue":"11","issued":{"date-parts":[["2014","11"]]},"page":"822-829","title":"Revisiting the CD14: Epitope mapping by Phage Display","type":"article-journal","volume":"219"},"uris":["http://www.mendeley.com/documents/?uuid=2894c482-a26a-4923-bb7b-15fa3ed32217"]},{"id":"ITEM-3","itemData":{"DOI":"10.1074/jbc.M702073200","ISSN":"00219258","author":[{"dropping-particle":"","family":"Kurup","given":"Sindhulakshmi","non-dropping-particle":"","parse-names":false,"suffix":""},{"dropping-particle":"","family":"Wijnhoven","given":"Tessa J.M.","non-dropping-particle":"","parse-names":false,"suffix":""},{"dropping-particle":"","family":"Jenniskens","given":"Guido J.","non-dropping-particle":"","parse-names":false,"suffix":""},{"dropping-particle":"","family":"Kimata","given":"Koji","non-dropping-particle":"","parse-names":false,"suffix":""},{"dropping-particle":"","family":"Habuchi","given":"Hiroko","non-dropping-particle":"","parse-names":false,"suffix":""},{"dropping-particle":"","family":"Li","given":"Jin-ping","non-dropping-particle":"","parse-names":false,"suffix":""},{"dropping-particle":"","family":"Lindahl","given":"Ulf","non-dropping-particle":"","parse-names":false,"suffix":""},{"dropping-particle":"","family":"Kuppevelt","given":"Toin H.","non-dropping-particle":"van","parse-names":false,"suffix":""},{"dropping-particle":"","family":"Spillmann","given":"Dorothe","non-dropping-particle":"","parse-names":false,"suffix":""}],"container-title":"Journal of Biological Chemistry","id":"ITEM-3","issue":"29","issued":{"date-parts":[["2007","7"]]},"page":"21032-21042","title":"Characterization of Anti-heparan Sulfate Phage Display Antibodies AO4B08 and HS4E4","type":"article-journal","volume":"282"},"uris":["http://www.mendeley.com/documents/?uuid=0c8e7b00-528a-4e7c-9df6-14d9d024cb61"]},{"id":"ITEM-4","itemData":{"author":[{"dropping-particle":"","family":"Kay","given":"Brian K","non-dropping-particle":"","parse-names":false,"suffix":""},{"dropping-particle":"","family":"Hoess","given":"Ronald H","non-dropping-particle":"","parse-names":false,"suffix":""}],"container-title":"Phage Display of Peptides and Proteins: A Laboratory Manual.","id":"ITEM-4","issued":{"date-parts":[["0"]]},"page":"22-24","title":"Principle and applications of phage display.","type":"chapter"},"uris":["http://www.mendeley.com/documents/?uuid=f4c2a7a2-ed22-4cdb-aa2f-89148b04d9cf"]}],"mendeley":{"formattedCitation":"&lt;sup&gt;105,154,156,157&lt;/sup&gt;","plainTextFormattedCitation":"105,154,156,157","previouslyFormattedCitation":"&lt;sup&gt;105,154,156,157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105,154,156,157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Repeated cycles of amplification (growth of the selected phage variants), re-selection and elution aim to reduce non-specific binding and enrich selection of desired clones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Diagnostics","type":"article-journal","volume":"5"},"uris":["http://www.mendeley.com/documents/?uuid=b07325a6-f039-4c14-8ec6-4e309f86e6c9"]},{"id":"ITEM-2","itemData":{"author":[{"dropping-particle":"","family":"Kay","given":"Brian K","non-dropping-particle":"","parse-names":false,"suffix":""},{"dropping-particle":"","family":"Hoess","given":"Ronald H","non-dropping-particle":"","parse-names":false,"suffix":""}],"container-title":"Phage Display of Peptides and Proteins: A Laboratory Manual.","id":"ITEM-2","issued":{"date-parts":[["0"]]},"page":"22-24","title":"Principle and applications of phage display.","type":"chapter"},"uris":["http://www.mendeley.com/documents/?uuid=f4c2a7a2-ed22-4cdb-aa2f-89148b04d9cf"]}],"mendeley":{"formattedCitation":"&lt;sup&gt;105,154&lt;/sup&gt;","plainTextFormattedCitation":"105,154","previouslyFormattedCitation":"&lt;sup&gt;105,154&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105,154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r w:rsidRPr="00922C73">
        <w:rPr>
          <w:rFonts w:ascii="Times New Roman" w:eastAsia="Times New Roman" w:hAnsi="Times New Roman" w:cs="Times New Roman"/>
          <w:sz w:val="24"/>
          <w:szCs w:val="24"/>
          <w:lang w:eastAsia="en-GB"/>
        </w:rPr>
        <w:t xml:space="preserve"> </w:t>
      </w:r>
    </w:p>
    <w:p w14:paraId="55B11DB0" w14:textId="77777777" w:rsidR="0065142A" w:rsidRPr="00922C73" w:rsidRDefault="0065142A" w:rsidP="0065142A">
      <w:pPr>
        <w:autoSpaceDE w:val="0"/>
        <w:autoSpaceDN w:val="0"/>
        <w:adjustRightInd w:val="0"/>
        <w:spacing w:after="0" w:line="480" w:lineRule="auto"/>
        <w:rPr>
          <w:rFonts w:ascii="Times New Roman" w:eastAsia="Times New Roman" w:hAnsi="Times New Roman" w:cs="Times New Roman"/>
          <w:sz w:val="24"/>
          <w:szCs w:val="24"/>
          <w:lang w:eastAsia="en-GB"/>
        </w:rPr>
      </w:pPr>
    </w:p>
    <w:p w14:paraId="06CCD536" w14:textId="72DFDF89" w:rsidR="0065142A" w:rsidRPr="00922C73" w:rsidRDefault="0065142A" w:rsidP="0065142A">
      <w:pPr>
        <w:autoSpaceDE w:val="0"/>
        <w:autoSpaceDN w:val="0"/>
        <w:adjustRightInd w:val="0"/>
        <w:spacing w:after="0" w:line="480" w:lineRule="auto"/>
        <w:rPr>
          <w:rFonts w:ascii="Times New Roman" w:eastAsia="Times New Roman" w:hAnsi="Times New Roman" w:cs="Times New Roman"/>
          <w:i/>
          <w:iCs/>
          <w:sz w:val="24"/>
          <w:szCs w:val="24"/>
          <w:lang w:eastAsia="en-GB"/>
        </w:rPr>
      </w:pPr>
      <w:r w:rsidRPr="00922C73">
        <w:rPr>
          <w:rFonts w:ascii="Times New Roman" w:eastAsia="Times New Roman" w:hAnsi="Times New Roman" w:cs="Times New Roman"/>
          <w:i/>
          <w:iCs/>
          <w:sz w:val="24"/>
          <w:szCs w:val="24"/>
          <w:lang w:eastAsia="en-GB"/>
        </w:rPr>
        <w:t xml:space="preserve">Random </w:t>
      </w:r>
      <w:r w:rsidR="003055FD" w:rsidRPr="00922C73">
        <w:rPr>
          <w:rFonts w:ascii="Times New Roman" w:eastAsia="Times New Roman" w:hAnsi="Times New Roman" w:cs="Times New Roman"/>
          <w:i/>
          <w:iCs/>
          <w:sz w:val="24"/>
          <w:szCs w:val="24"/>
          <w:lang w:eastAsia="en-GB"/>
        </w:rPr>
        <w:t xml:space="preserve">peptide </w:t>
      </w:r>
      <w:r w:rsidRPr="00922C73">
        <w:rPr>
          <w:rFonts w:ascii="Times New Roman" w:eastAsia="Times New Roman" w:hAnsi="Times New Roman" w:cs="Times New Roman"/>
          <w:i/>
          <w:iCs/>
          <w:sz w:val="24"/>
          <w:szCs w:val="24"/>
          <w:lang w:eastAsia="en-GB"/>
        </w:rPr>
        <w:t>and gene fragment libraries</w:t>
      </w:r>
    </w:p>
    <w:p w14:paraId="7B1C3E26" w14:textId="05C20661" w:rsidR="0065142A" w:rsidRPr="00922C73" w:rsidRDefault="0065142A" w:rsidP="0065142A">
      <w:pPr>
        <w:autoSpaceDE w:val="0"/>
        <w:autoSpaceDN w:val="0"/>
        <w:adjustRightInd w:val="0"/>
        <w:spacing w:after="0" w:line="480" w:lineRule="auto"/>
        <w:rPr>
          <w:rFonts w:ascii="Times New Roman" w:eastAsia="Times New Roman" w:hAnsi="Times New Roman" w:cs="Times New Roman"/>
          <w:sz w:val="24"/>
          <w:szCs w:val="24"/>
          <w:lang w:eastAsia="en-GB"/>
        </w:rPr>
      </w:pPr>
      <w:r w:rsidRPr="00922C73">
        <w:rPr>
          <w:rFonts w:ascii="Times New Roman" w:hAnsi="Times New Roman" w:cs="Times New Roman"/>
          <w:sz w:val="24"/>
          <w:szCs w:val="24"/>
        </w:rPr>
        <w:t>Phage display libraries can be considered in terms of random peptide libraries (RPL) and gene fragment libraries (GFL)</w:t>
      </w:r>
      <w:r w:rsidRPr="00922C73">
        <w:rPr>
          <w:rFonts w:ascii="Times New Roman" w:hAnsi="Times New Roman" w:cs="Times New Roman"/>
          <w:noProof/>
          <w:sz w:val="24"/>
          <w:szCs w:val="24"/>
          <w:vertAlign w:val="superscript"/>
        </w:rPr>
        <w:t xml:space="preserve"> 97,172</w:t>
      </w:r>
      <w:r w:rsidRPr="00922C73">
        <w:rPr>
          <w:rFonts w:ascii="Times New Roman" w:hAnsi="Times New Roman" w:cs="Times New Roman"/>
          <w:sz w:val="24"/>
          <w:szCs w:val="24"/>
        </w:rPr>
        <w:t xml:space="preserve">. </w:t>
      </w:r>
      <w:r w:rsidRPr="00922C73">
        <w:rPr>
          <w:rFonts w:ascii="Times New Roman" w:eastAsia="Times New Roman" w:hAnsi="Times New Roman" w:cs="Times New Roman"/>
          <w:sz w:val="24"/>
          <w:szCs w:val="24"/>
          <w:lang w:eastAsia="en-GB"/>
        </w:rPr>
        <w:t xml:space="preserve"> </w:t>
      </w:r>
      <w:r w:rsidRPr="00922C73">
        <w:rPr>
          <w:rFonts w:ascii="Times New Roman" w:hAnsi="Times New Roman" w:cs="Times New Roman"/>
          <w:sz w:val="24"/>
          <w:szCs w:val="24"/>
        </w:rPr>
        <w:t xml:space="preserve">RPL are large diverse libraries of unique random peptide sequences made from synthetic oligonucleotides. They can be used for identifying a wide range of protein-protein interactions including the identification of mimotopes - </w:t>
      </w:r>
      <w:r w:rsidRPr="00922C73">
        <w:rPr>
          <w:rFonts w:ascii="Times New Roman" w:eastAsia="MS PGothic" w:hAnsi="Times New Roman" w:cs="Times New Roman"/>
          <w:kern w:val="24"/>
          <w:sz w:val="24"/>
          <w:szCs w:val="24"/>
        </w:rPr>
        <w:t xml:space="preserve">peptide sequences that mimic conformational epitopes </w:t>
      </w:r>
      <w:r w:rsidRPr="00922C73">
        <w:rPr>
          <w:rFonts w:ascii="Times New Roman" w:eastAsia="MS PGothic" w:hAnsi="Times New Roman" w:cs="Times New Roman"/>
          <w:kern w:val="24"/>
          <w:sz w:val="24"/>
          <w:szCs w:val="24"/>
        </w:rPr>
        <w:fldChar w:fldCharType="begin" w:fldLock="1"/>
      </w:r>
      <w:r w:rsidR="00DD0F87" w:rsidRPr="00922C73">
        <w:rPr>
          <w:rFonts w:ascii="Times New Roman" w:eastAsia="MS PGothic" w:hAnsi="Times New Roman" w:cs="Times New Roman"/>
          <w:kern w:val="24"/>
          <w:sz w:val="24"/>
          <w:szCs w:val="24"/>
        </w:rPr>
        <w:instrText>ADDIN CSL_CITATION {"citationItems":[{"id":"ITEM-1","itemData":{"DOI":"10.4161/hv.21703","ISBN":"2164-554X (Electronic)","ISSN":"2164-5515","PMID":"22906939","abstract":"One of the most effective molecular diversity techniques is phage display. This technology is based on a direct linkage between phage phenotype and its encapsulated genotype, which leads to presentation of molecule libraries on the phage surface. Phage display is utilized in studying protein-ligand interactions, receptor binding sites and in improving or modifying the affinity of proteins for their binding partners. Generating monoclonal antibodies and improving their affinity, cloning antibodies from unstable hybridoma cells and identifying epitopes, mimotopes and functional or accessible sites from antigens are also important advantages of this technology. Techniques originating from phage display have been applied to transfusion medicine, neurological disorders, mapping vascular addresses and tissue homing of peptides. Phages have been applicable to immunization therapies, which may lead to development of new tools used for treating autoimmune and cancer diseases. This review describes the phage display technology and presents the recent advancements in therapeutic applications of phage display.","author":[{"dropping-particle":"","family":"Bazan","given":"Justyna","non-dropping-particle":"","parse-names":false,"suffix":""},{"dropping-particle":"","family":"Całkosiński","given":"Ireneusz","non-dropping-particle":"","parse-names":false,"suffix":""},{"dropping-particle":"","family":"Gamian","given":"Andrzej","non-dropping-particle":"","parse-names":false,"suffix":""}],"container-title":"Human Vaccines &amp; Immunotherapeutics","id":"ITEM-1","issue":"12","issued":{"date-parts":[["2012","12"]]},"page":"1817-1828","title":"Phage display—A powerful technique for immunotherapy","type":"article-journal","volume":"8"},"uris":["http://www.mendeley.com/documents/?uuid=f3c7e900-1b97-438f-9e71-f8badfdecf58"]},{"id":"ITEM-2","itemData":{"DOI":"10.1016/j.diagmicrobio.2016.11.012","ISSN":"18790070","PMID":"27939286","abstract":"Serological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Disease","id":"ITEM-2","issue":"3","issued":{"date-parts":[["2017"]]},"page":"219-225","publisher":"Elsevier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-3","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Targets","id":"ITEM-3","issue":"1","issued":{"date-parts":[["2004","1"]]},"page":"1-15","title":"Epitope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105,153,158&lt;/sup&gt;","plainTextFormattedCitation":"105,153,158","previouslyFormattedCitation":"&lt;sup&gt;105,153,158&lt;/sup&gt;"},"properties":{"noteIndex":0},"schema":"https://github.com/citation-style-language/schema/raw/master/csl-citation.json"}</w:instrText>
      </w:r>
      <w:r w:rsidRPr="00922C73">
        <w:rPr>
          <w:rFonts w:ascii="Times New Roman" w:eastAsia="MS PGothic" w:hAnsi="Times New Roman" w:cs="Times New Roman"/>
          <w:kern w:val="24"/>
          <w:sz w:val="24"/>
          <w:szCs w:val="24"/>
        </w:rPr>
        <w:fldChar w:fldCharType="separate"/>
      </w:r>
      <w:r w:rsidR="00A00D49" w:rsidRPr="00922C73">
        <w:rPr>
          <w:rFonts w:ascii="Times New Roman" w:eastAsia="MS PGothic" w:hAnsi="Times New Roman" w:cs="Times New Roman"/>
          <w:noProof/>
          <w:kern w:val="24"/>
          <w:sz w:val="24"/>
          <w:szCs w:val="24"/>
          <w:vertAlign w:val="superscript"/>
        </w:rPr>
        <w:t>105,153,158</w:t>
      </w:r>
      <w:r w:rsidRPr="00922C73">
        <w:rPr>
          <w:rFonts w:ascii="Times New Roman" w:eastAsia="MS PGothic" w:hAnsi="Times New Roman" w:cs="Times New Roman"/>
          <w:kern w:val="24"/>
          <w:sz w:val="24"/>
          <w:szCs w:val="24"/>
        </w:rPr>
        <w:fldChar w:fldCharType="end"/>
      </w:r>
      <w:r w:rsidRPr="00922C73">
        <w:rPr>
          <w:rFonts w:ascii="Times New Roman" w:eastAsia="MS PGothic" w:hAnsi="Times New Roman" w:cs="Times New Roman"/>
          <w:kern w:val="24"/>
          <w:sz w:val="24"/>
          <w:szCs w:val="24"/>
        </w:rPr>
        <w:t>.</w:t>
      </w:r>
      <w:r w:rsidRPr="00922C73">
        <w:rPr>
          <w:rFonts w:ascii="Times New Roman" w:hAnsi="Times New Roman" w:cs="Times New Roman"/>
          <w:sz w:val="24"/>
          <w:szCs w:val="24"/>
        </w:rPr>
        <w:t xml:space="preserve"> A GFL contain phage with different DNA fragments of an individual gene and therefore is much smaller but specific for a particular selection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{"citationItems":[{"id":"ITEM-1","itemData":{"author":[{"dropping-particle":"","family":"Kay","given":"Brian K","non-dropping-particle":"","parse-names":false,"suffix":""},{"dropping-particle":"","family":"Hoess","given":"Ronald H","non-dropping-particle":"","parse-names":false,"suffix":""}],"container-title":"Phage Display of Peptides and Proteins: A Laboratory Manual.","id":"ITEM-1","issued":{"date-parts":[["0"]]},"page":"22-24","title":"Principle and applications of phage display.","type":"chapter"},"uris":["http://www.mendeley.com/documents/?uuid=f4c2a7a2-ed22-4cdb-aa2f-89148b04d9cf"]},{"id":"ITEM-2","itemData":{"DOI":"10.2174/1389450043490668","ISBN":"1389-4501","ISSN":"13894501","PMID":"14738215","abstract":"Antigenic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Targets","id":"ITEM-2","issue":"1","issued":{"date-parts":[["2004","1"]]},"page":"1-15","title":"Epitope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105,154&lt;/sup&gt;","plainTextFormattedCitation":"105,154","previouslyFormattedCitation":"&lt;sup&gt;105,154&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105,154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p>
    <w:p w14:paraId="0589273A" w14:textId="77777777" w:rsidR="0065142A" w:rsidRPr="00922C73" w:rsidRDefault="0065142A" w:rsidP="0065142A">
      <w:pPr>
        <w:spacing w:line="480" w:lineRule="auto"/>
        <w:rPr>
          <w:rFonts w:ascii="Times New Roman" w:hAnsi="Times New Roman" w:cs="Times New Roman"/>
          <w:sz w:val="24"/>
          <w:szCs w:val="24"/>
        </w:rPr>
      </w:pPr>
    </w:p>
    <w:bookmarkEnd w:id="76"/>
    <w:p w14:paraId="1C55A626" w14:textId="77777777" w:rsidR="00687E8F" w:rsidRPr="00922C73" w:rsidRDefault="00687E8F" w:rsidP="00700BBF">
      <w:pPr>
        <w:spacing w:line="480" w:lineRule="auto"/>
        <w:rPr>
          <w:rFonts w:ascii="Times New Roman" w:hAnsi="Times New Roman" w:cs="Times New Roman"/>
          <w:sz w:val="24"/>
          <w:szCs w:val="24"/>
        </w:rPr>
      </w:pPr>
    </w:p>
    <w:p w14:paraId="047715F5" w14:textId="77777777" w:rsidR="00687E8F" w:rsidRPr="00922C73" w:rsidRDefault="00687E8F" w:rsidP="00700BBF">
      <w:pPr>
        <w:spacing w:line="480" w:lineRule="auto"/>
        <w:rPr>
          <w:rFonts w:ascii="Times New Roman" w:hAnsi="Times New Roman" w:cs="Times New Roman"/>
          <w:sz w:val="24"/>
          <w:szCs w:val="24"/>
        </w:rPr>
      </w:pPr>
    </w:p>
    <w:p w14:paraId="6CE98497" w14:textId="26B611FE" w:rsidR="004830C1" w:rsidRPr="00922C73" w:rsidRDefault="004830C1" w:rsidP="00700BBF">
      <w:pPr>
        <w:spacing w:line="480" w:lineRule="auto"/>
        <w:rPr>
          <w:rFonts w:ascii="Times New Roman" w:hAnsi="Times New Roman" w:cs="Times New Roman"/>
          <w:sz w:val="24"/>
          <w:szCs w:val="24"/>
        </w:rPr>
      </w:pPr>
    </w:p>
    <w:p w14:paraId="6728B25D" w14:textId="77777777" w:rsidR="00687E8F" w:rsidRPr="00922C73" w:rsidRDefault="00687E8F" w:rsidP="00700BBF">
      <w:pPr>
        <w:spacing w:line="480" w:lineRule="auto"/>
        <w:rPr>
          <w:rFonts w:ascii="Times New Roman" w:hAnsi="Times New Roman" w:cs="Times New Roman"/>
          <w:sz w:val="24"/>
          <w:szCs w:val="24"/>
        </w:rPr>
      </w:pPr>
    </w:p>
    <w:p w14:paraId="1BF61812" w14:textId="77777777" w:rsidR="00E61241" w:rsidRPr="00922C73" w:rsidRDefault="004F323E" w:rsidP="00E61241">
      <w:pPr>
        <w:keepNext/>
        <w:spacing w:line="480" w:lineRule="auto"/>
      </w:pPr>
      <w:r w:rsidRPr="00922C73">
        <w:rPr>
          <w:noProof/>
        </w:rPr>
        <w:lastRenderedPageBreak/>
        <w:drawing>
          <wp:inline distT="0" distB="0" distL="0" distR="0" wp14:anchorId="3C2E1411" wp14:editId="4DA977CB">
            <wp:extent cx="4276725" cy="5058098"/>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96DAC541-7B7A-43D3-8B79-37D633B846F1}">
                          <asvg:svgBlip xmlns:asvg="http://schemas.microsoft.com/office/drawing/2016/SVG/main" r:embed="rId31"/>
                        </a:ext>
                      </a:extLst>
                    </a:blip>
                    <a:srcRect l="3" r="52435"/>
                    <a:stretch/>
                  </pic:blipFill>
                  <pic:spPr bwMode="auto">
                    <a:xfrm>
                      <a:off x="0" y="0"/>
                      <a:ext cx="4322226" cy="5111912"/>
                    </a:xfrm>
                    <a:prstGeom prst="rect">
                      <a:avLst/>
                    </a:prstGeom>
                    <a:ln>
                      <a:noFill/>
                    </a:ln>
                    <a:extLst>
                      <a:ext uri="{53640926-AAD7-44D8-BBD7-CCE9431645EC}">
                        <a14:shadowObscured xmlns:a14="http://schemas.microsoft.com/office/drawing/2010/main"/>
                      </a:ext>
                    </a:extLst>
                  </pic:spPr>
                </pic:pic>
              </a:graphicData>
            </a:graphic>
          </wp:inline>
        </w:drawing>
      </w:r>
    </w:p>
    <w:p w14:paraId="2A03E0C1" w14:textId="6A3C800E" w:rsidR="00700BBF" w:rsidRPr="00922C73" w:rsidRDefault="00E61241" w:rsidP="00657B53">
      <w:pPr>
        <w:pStyle w:val="Caption"/>
        <w:spacing w:line="240" w:lineRule="auto"/>
        <w:rPr>
          <w:rFonts w:ascii="Times New Roman" w:hAnsi="Times New Roman" w:cs="Times New Roman"/>
          <w:noProof/>
          <w:sz w:val="24"/>
          <w:szCs w:val="24"/>
          <w:lang w:eastAsia="en-GB"/>
        </w:rPr>
      </w:pPr>
      <w:bookmarkStart w:id="77" w:name="_Toc139397310"/>
      <w:bookmarkStart w:id="78" w:name="_Toc151020655"/>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Diagrammatic representation of serological selection of a phage display library.</w:t>
      </w:r>
      <w:bookmarkEnd w:id="77"/>
      <w:bookmarkEnd w:id="78"/>
    </w:p>
    <w:p w14:paraId="345EC484" w14:textId="378C755E" w:rsidR="00F40B8F" w:rsidRPr="00922C73" w:rsidRDefault="00700BBF" w:rsidP="00657B53">
      <w:pPr>
        <w:spacing w:line="240" w:lineRule="auto"/>
        <w:rPr>
          <w:rFonts w:ascii="Times New Roman" w:hAnsi="Times New Roman" w:cs="Times New Roman"/>
          <w:iCs/>
          <w:sz w:val="24"/>
          <w:szCs w:val="24"/>
        </w:rPr>
      </w:pPr>
      <w:r w:rsidRPr="00922C73">
        <w:rPr>
          <w:rFonts w:ascii="Times New Roman" w:hAnsi="Times New Roman" w:cs="Times New Roman"/>
          <w:iCs/>
          <w:sz w:val="24"/>
          <w:szCs w:val="24"/>
        </w:rPr>
        <w:t xml:space="preserve">Incubation with a captured antigen/antibody allows binding of specific phage variants with displayed fusion products. Non-bound or non-specific binding phage are removed with multiple washes and bound phage are eluted. Cycles of amplification of bound phage variants, re-selection and elution are repeated </w:t>
      </w:r>
      <w:bookmarkEnd w:id="66"/>
      <w:r w:rsidRPr="00922C73">
        <w:rPr>
          <w:rFonts w:ascii="Times New Roman" w:hAnsi="Times New Roman" w:cs="Times New Roman"/>
          <w:iCs/>
          <w:sz w:val="24"/>
          <w:szCs w:val="24"/>
        </w:rPr>
        <w:t>2-3 times to reduce non-specific binding.</w:t>
      </w:r>
    </w:p>
    <w:p w14:paraId="0FA839DE" w14:textId="77777777" w:rsidR="00D76873" w:rsidRPr="00922C73" w:rsidRDefault="00D76873" w:rsidP="00657B53">
      <w:pPr>
        <w:spacing w:line="240" w:lineRule="auto"/>
        <w:rPr>
          <w:rFonts w:ascii="Times New Roman" w:hAnsi="Times New Roman" w:cs="Times New Roman"/>
          <w:iCs/>
          <w:sz w:val="24"/>
          <w:szCs w:val="24"/>
        </w:rPr>
      </w:pPr>
    </w:p>
    <w:p w14:paraId="00701214" w14:textId="77777777" w:rsidR="00E61241" w:rsidRPr="00922C73" w:rsidRDefault="00E61241" w:rsidP="00D76873">
      <w:pPr>
        <w:spacing w:line="480" w:lineRule="auto"/>
        <w:rPr>
          <w:rFonts w:ascii="Times New Roman" w:hAnsi="Times New Roman" w:cs="Times New Roman"/>
          <w:iCs/>
          <w:sz w:val="24"/>
          <w:szCs w:val="24"/>
        </w:rPr>
      </w:pPr>
    </w:p>
    <w:p w14:paraId="45523090" w14:textId="77777777" w:rsidR="00E61241" w:rsidRPr="00922C73" w:rsidRDefault="00E61241" w:rsidP="00D76873">
      <w:pPr>
        <w:spacing w:line="480" w:lineRule="auto"/>
        <w:rPr>
          <w:rFonts w:ascii="Times New Roman" w:hAnsi="Times New Roman" w:cs="Times New Roman"/>
          <w:iCs/>
          <w:sz w:val="24"/>
          <w:szCs w:val="24"/>
        </w:rPr>
      </w:pPr>
    </w:p>
    <w:p w14:paraId="1E8F4D3B" w14:textId="77777777" w:rsidR="00657B53" w:rsidRPr="00922C73" w:rsidRDefault="00657B53" w:rsidP="00D76873">
      <w:pPr>
        <w:spacing w:line="480" w:lineRule="auto"/>
        <w:rPr>
          <w:rFonts w:ascii="Times New Roman" w:hAnsi="Times New Roman" w:cs="Times New Roman"/>
          <w:iCs/>
          <w:sz w:val="24"/>
          <w:szCs w:val="24"/>
        </w:rPr>
      </w:pPr>
    </w:p>
    <w:p w14:paraId="28DCCD2A" w14:textId="001B5A2B" w:rsidR="002407A3" w:rsidRPr="00922C73" w:rsidRDefault="00F40B8F" w:rsidP="004631AE">
      <w:pPr>
        <w:pStyle w:val="Heading3"/>
        <w:spacing w:line="480" w:lineRule="auto"/>
        <w:rPr>
          <w:rFonts w:ascii="Times New Roman" w:hAnsi="Times New Roman" w:cs="Times New Roman"/>
          <w:b/>
          <w:bCs/>
        </w:rPr>
      </w:pPr>
      <w:bookmarkStart w:id="79" w:name="_Toc151020471"/>
      <w:r w:rsidRPr="00922C73">
        <w:rPr>
          <w:rFonts w:ascii="Times New Roman" w:hAnsi="Times New Roman" w:cs="Times New Roman"/>
          <w:b/>
          <w:bCs/>
        </w:rPr>
        <w:lastRenderedPageBreak/>
        <w:t>1.</w:t>
      </w:r>
      <w:r w:rsidR="004631AE" w:rsidRPr="00922C73">
        <w:rPr>
          <w:rFonts w:ascii="Times New Roman" w:hAnsi="Times New Roman" w:cs="Times New Roman"/>
          <w:b/>
          <w:bCs/>
        </w:rPr>
        <w:t xml:space="preserve">4.3 </w:t>
      </w:r>
      <w:r w:rsidR="00572791" w:rsidRPr="00922C73">
        <w:rPr>
          <w:rFonts w:ascii="Times New Roman" w:hAnsi="Times New Roman" w:cs="Times New Roman"/>
          <w:b/>
          <w:bCs/>
        </w:rPr>
        <w:t>B cell epitopes on infliximab</w:t>
      </w:r>
      <w:bookmarkEnd w:id="79"/>
    </w:p>
    <w:p w14:paraId="6A7D0CFE" w14:textId="0A869FCC" w:rsidR="0073361C" w:rsidRPr="00922C73" w:rsidRDefault="003740EA" w:rsidP="00700BBF">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An early</w:t>
      </w:r>
      <w:r w:rsidR="00D32B92" w:rsidRPr="00922C73">
        <w:rPr>
          <w:rFonts w:ascii="Times New Roman" w:hAnsi="Times New Roman" w:cs="Times New Roman"/>
          <w:sz w:val="24"/>
          <w:szCs w:val="24"/>
        </w:rPr>
        <w:t xml:space="preserve"> study was unable to select linear epitopes on infliximab</w:t>
      </w:r>
      <w:r w:rsidRPr="00922C73">
        <w:rPr>
          <w:rFonts w:ascii="Times New Roman" w:hAnsi="Times New Roman" w:cs="Times New Roman"/>
          <w:sz w:val="24"/>
          <w:szCs w:val="24"/>
        </w:rPr>
        <w:t xml:space="preserve"> </w:t>
      </w:r>
      <w:r w:rsidR="00642C73" w:rsidRPr="00922C73">
        <w:rPr>
          <w:rFonts w:ascii="Times New Roman" w:hAnsi="Times New Roman" w:cs="Times New Roman"/>
          <w:sz w:val="24"/>
          <w:szCs w:val="24"/>
        </w:rPr>
        <w:t>by using</w:t>
      </w:r>
      <w:r w:rsidR="00D32B92" w:rsidRPr="00922C73">
        <w:rPr>
          <w:rFonts w:ascii="Times New Roman" w:hAnsi="Times New Roman" w:cs="Times New Roman"/>
          <w:sz w:val="24"/>
          <w:szCs w:val="24"/>
        </w:rPr>
        <w:t xml:space="preserve"> pooled ATI</w:t>
      </w:r>
      <w:r w:rsidR="00C0495C" w:rsidRPr="00922C73">
        <w:rPr>
          <w:rFonts w:ascii="Times New Roman" w:hAnsi="Times New Roman" w:cs="Times New Roman"/>
          <w:sz w:val="24"/>
          <w:szCs w:val="24"/>
        </w:rPr>
        <w:t xml:space="preserve"> positive sera</w:t>
      </w:r>
      <w:r w:rsidR="00D32B92" w:rsidRPr="00922C73">
        <w:rPr>
          <w:rFonts w:ascii="Times New Roman" w:hAnsi="Times New Roman" w:cs="Times New Roman"/>
          <w:sz w:val="24"/>
          <w:szCs w:val="24"/>
        </w:rPr>
        <w:t xml:space="preserve"> from 9 </w:t>
      </w:r>
      <w:r w:rsidR="00642C73" w:rsidRPr="00922C73">
        <w:rPr>
          <w:rFonts w:ascii="Times New Roman" w:hAnsi="Times New Roman" w:cs="Times New Roman"/>
          <w:sz w:val="24"/>
          <w:szCs w:val="24"/>
        </w:rPr>
        <w:t>patients on 3 immunoassays using 15-mer peptides of</w:t>
      </w:r>
      <w:r w:rsidR="00D32B92" w:rsidRPr="00922C73">
        <w:rPr>
          <w:rFonts w:ascii="Times New Roman" w:hAnsi="Times New Roman" w:cs="Times New Roman"/>
          <w:sz w:val="24"/>
          <w:szCs w:val="24"/>
        </w:rPr>
        <w:t xml:space="preserve"> the variable regions of infliximab </w:t>
      </w:r>
      <w:r w:rsidR="00D32B9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http://www.mendeley.com/documents/?uuid=0511c79a-96bd-40a2-af29-f049a3a21845","http://www.mendeley.com/documents/?uuid=f7db2305-5109-4d29-ac76-cd4b6a0a4d77"]}],"mendeley":{"formattedCitation":"&lt;sup&gt;146&lt;/sup&gt;","plainTextFormattedCitation":"146","previouslyFormattedCitation":"&lt;sup&gt;146&lt;/sup&gt;"},"properties":{"noteIndex":0},"schema":"https://github.com/citation-style-language/schema/raw/master/csl-citation.json"}</w:instrText>
      </w:r>
      <w:r w:rsidR="00D32B92" w:rsidRPr="00922C73">
        <w:rPr>
          <w:rFonts w:ascii="Times New Roman" w:hAnsi="Times New Roman" w:cs="Times New Roman"/>
          <w:sz w:val="24"/>
          <w:szCs w:val="24"/>
          <w:vertAlign w:val="superscript"/>
        </w:rPr>
        <w:fldChar w:fldCharType="separate"/>
      </w:r>
      <w:r w:rsidR="00A00D49" w:rsidRPr="00922C73">
        <w:rPr>
          <w:rFonts w:ascii="Times New Roman" w:hAnsi="Times New Roman" w:cs="Times New Roman"/>
          <w:noProof/>
          <w:sz w:val="24"/>
          <w:szCs w:val="24"/>
          <w:vertAlign w:val="superscript"/>
        </w:rPr>
        <w:t>146</w:t>
      </w:r>
      <w:r w:rsidR="00D32B92" w:rsidRPr="00922C73">
        <w:rPr>
          <w:rFonts w:ascii="Times New Roman" w:hAnsi="Times New Roman" w:cs="Times New Roman"/>
          <w:sz w:val="24"/>
          <w:szCs w:val="24"/>
        </w:rPr>
        <w:fldChar w:fldCharType="end"/>
      </w:r>
      <w:r w:rsidR="00D32B92" w:rsidRPr="00922C73">
        <w:rPr>
          <w:rFonts w:ascii="Times New Roman" w:hAnsi="Times New Roman" w:cs="Times New Roman"/>
          <w:sz w:val="24"/>
          <w:szCs w:val="24"/>
        </w:rPr>
        <w:t xml:space="preserve">. However the pooled ATI did </w:t>
      </w:r>
      <w:r w:rsidR="00D32B92" w:rsidRPr="00922C73">
        <w:rPr>
          <w:rFonts w:ascii="Times New Roman" w:hAnsi="Times New Roman" w:cs="Times New Roman"/>
          <w:sz w:val="24"/>
          <w:szCs w:val="24"/>
          <w:shd w:val="clear" w:color="auto" w:fill="FFFFFF"/>
        </w:rPr>
        <w:t>demonstrate binding to immobilised native infliximab Fab fragment and to a much lesser extent the denatured form</w:t>
      </w:r>
      <w:r w:rsidR="008C5AF3" w:rsidRPr="00922C73">
        <w:rPr>
          <w:rFonts w:ascii="Times New Roman" w:hAnsi="Times New Roman" w:cs="Times New Roman"/>
          <w:sz w:val="24"/>
          <w:szCs w:val="24"/>
          <w:shd w:val="clear" w:color="auto" w:fill="FFFFFF"/>
        </w:rPr>
        <w:t xml:space="preserve"> indicating the epitopes may be conformational</w:t>
      </w:r>
      <w:r w:rsidR="00D32B92" w:rsidRPr="00922C73">
        <w:rPr>
          <w:rFonts w:ascii="Times New Roman" w:hAnsi="Times New Roman" w:cs="Times New Roman"/>
          <w:sz w:val="24"/>
          <w:szCs w:val="24"/>
          <w:shd w:val="clear" w:color="auto" w:fill="FFFFFF"/>
        </w:rPr>
        <w:t xml:space="preserve"> </w:t>
      </w:r>
      <w:r w:rsidR="00D32B92" w:rsidRPr="00922C73">
        <w:rPr>
          <w:rFonts w:ascii="Times New Roman" w:hAnsi="Times New Roman" w:cs="Times New Roman"/>
          <w:sz w:val="24"/>
          <w:szCs w:val="24"/>
          <w:shd w:val="clear" w:color="auto" w:fill="FFFFFF"/>
        </w:rPr>
        <w:fldChar w:fldCharType="begin" w:fldLock="1"/>
      </w:r>
      <w:r w:rsidR="00DD0F87" w:rsidRPr="00922C73">
        <w:rPr>
          <w:rFonts w:ascii="Times New Roman" w:hAnsi="Times New Roman" w:cs="Times New Roman"/>
          <w:sz w:val="24"/>
          <w:szCs w:val="24"/>
          <w:shd w:val="clear" w:color="auto" w:fill="FFFFFF"/>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http://www.mendeley.com/documents/?uuid=0511c79a-96bd-40a2-af29-f049a3a21845","http://www.mendeley.com/documents/?uuid=f7db2305-5109-4d29-ac76-cd4b6a0a4d77"]}],"mendeley":{"formattedCitation":"&lt;sup&gt;146&lt;/sup&gt;","plainTextFormattedCitation":"146","previouslyFormattedCitation":"&lt;sup&gt;146&lt;/sup&gt;"},"properties":{"noteIndex":0},"schema":"https://github.com/citation-style-language/schema/raw/master/csl-citation.json"}</w:instrText>
      </w:r>
      <w:r w:rsidR="00D32B92" w:rsidRPr="00922C73">
        <w:rPr>
          <w:rFonts w:ascii="Times New Roman" w:hAnsi="Times New Roman" w:cs="Times New Roman"/>
          <w:sz w:val="24"/>
          <w:szCs w:val="24"/>
          <w:shd w:val="clear" w:color="auto" w:fill="FFFFFF"/>
        </w:rPr>
        <w:fldChar w:fldCharType="separate"/>
      </w:r>
      <w:r w:rsidR="00A00D49" w:rsidRPr="00922C73">
        <w:rPr>
          <w:rFonts w:ascii="Times New Roman" w:hAnsi="Times New Roman" w:cs="Times New Roman"/>
          <w:noProof/>
          <w:sz w:val="24"/>
          <w:szCs w:val="24"/>
          <w:shd w:val="clear" w:color="auto" w:fill="FFFFFF"/>
          <w:vertAlign w:val="superscript"/>
        </w:rPr>
        <w:t>146</w:t>
      </w:r>
      <w:r w:rsidR="00D32B92" w:rsidRPr="00922C73">
        <w:rPr>
          <w:rFonts w:ascii="Times New Roman" w:hAnsi="Times New Roman" w:cs="Times New Roman"/>
          <w:sz w:val="24"/>
          <w:szCs w:val="24"/>
          <w:shd w:val="clear" w:color="auto" w:fill="FFFFFF"/>
        </w:rPr>
        <w:fldChar w:fldCharType="end"/>
      </w:r>
      <w:r w:rsidR="003347F5" w:rsidRPr="00922C73">
        <w:rPr>
          <w:rFonts w:ascii="Times New Roman" w:hAnsi="Times New Roman" w:cs="Times New Roman"/>
          <w:sz w:val="24"/>
          <w:szCs w:val="24"/>
          <w:shd w:val="clear" w:color="auto" w:fill="FFFFFF"/>
        </w:rPr>
        <w:t>.</w:t>
      </w:r>
      <w:r w:rsidR="00D32B92" w:rsidRPr="00922C73">
        <w:rPr>
          <w:rFonts w:ascii="Times New Roman" w:hAnsi="Times New Roman" w:cs="Times New Roman"/>
          <w:sz w:val="24"/>
          <w:szCs w:val="24"/>
          <w:shd w:val="clear" w:color="auto" w:fill="FFFFFF"/>
        </w:rPr>
        <w:t xml:space="preserve"> </w:t>
      </w:r>
      <w:r w:rsidR="00D32B92" w:rsidRPr="00922C73">
        <w:rPr>
          <w:rFonts w:ascii="Times New Roman" w:hAnsi="Times New Roman" w:cs="Times New Roman"/>
          <w:sz w:val="24"/>
          <w:szCs w:val="24"/>
        </w:rPr>
        <w:t>A</w:t>
      </w:r>
      <w:r w:rsidR="00423714" w:rsidRPr="00922C73">
        <w:rPr>
          <w:rFonts w:ascii="Times New Roman" w:hAnsi="Times New Roman" w:cs="Times New Roman"/>
          <w:sz w:val="24"/>
          <w:szCs w:val="24"/>
        </w:rPr>
        <w:t>nother</w:t>
      </w:r>
      <w:r w:rsidR="00D32B92" w:rsidRPr="00922C73">
        <w:rPr>
          <w:rFonts w:ascii="Times New Roman" w:hAnsi="Times New Roman" w:cs="Times New Roman"/>
          <w:sz w:val="24"/>
          <w:szCs w:val="24"/>
        </w:rPr>
        <w:t xml:space="preserve"> study was more successful in delineating </w:t>
      </w:r>
      <w:r w:rsidR="00B26825" w:rsidRPr="00922C73">
        <w:rPr>
          <w:rFonts w:ascii="Times New Roman" w:hAnsi="Times New Roman" w:cs="Times New Roman"/>
          <w:sz w:val="24"/>
          <w:szCs w:val="24"/>
        </w:rPr>
        <w:t xml:space="preserve">B cell </w:t>
      </w:r>
      <w:r w:rsidR="00934BBA" w:rsidRPr="00922C73">
        <w:rPr>
          <w:rFonts w:ascii="Times New Roman" w:hAnsi="Times New Roman" w:cs="Times New Roman"/>
          <w:sz w:val="24"/>
          <w:szCs w:val="24"/>
        </w:rPr>
        <w:t>epitopes on</w:t>
      </w:r>
      <w:r w:rsidR="00FA068E" w:rsidRPr="00922C73">
        <w:rPr>
          <w:rFonts w:ascii="Times New Roman" w:hAnsi="Times New Roman" w:cs="Times New Roman"/>
          <w:sz w:val="24"/>
          <w:szCs w:val="24"/>
        </w:rPr>
        <w:t xml:space="preserve"> infliximab</w:t>
      </w:r>
      <w:r w:rsidR="00D32B92" w:rsidRPr="00922C73">
        <w:rPr>
          <w:rFonts w:ascii="Times New Roman" w:hAnsi="Times New Roman" w:cs="Times New Roman"/>
          <w:sz w:val="24"/>
          <w:szCs w:val="24"/>
        </w:rPr>
        <w:t xml:space="preserve"> </w:t>
      </w:r>
      <w:r w:rsidR="0038707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0038707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159</w:t>
      </w:r>
      <w:r w:rsidR="0038707B" w:rsidRPr="00922C73">
        <w:rPr>
          <w:rFonts w:ascii="Times New Roman" w:hAnsi="Times New Roman" w:cs="Times New Roman"/>
          <w:sz w:val="24"/>
          <w:szCs w:val="24"/>
        </w:rPr>
        <w:fldChar w:fldCharType="end"/>
      </w:r>
      <w:r w:rsidR="0005463B" w:rsidRPr="00922C73">
        <w:rPr>
          <w:rFonts w:ascii="Times New Roman" w:hAnsi="Times New Roman" w:cs="Times New Roman"/>
          <w:sz w:val="24"/>
          <w:szCs w:val="24"/>
        </w:rPr>
        <w:t>. S</w:t>
      </w:r>
      <w:r w:rsidR="00FE54BC" w:rsidRPr="00922C73">
        <w:rPr>
          <w:rFonts w:ascii="Times New Roman" w:hAnsi="Times New Roman" w:cs="Times New Roman"/>
          <w:sz w:val="24"/>
          <w:szCs w:val="24"/>
        </w:rPr>
        <w:t xml:space="preserve">ix </w:t>
      </w:r>
      <w:r w:rsidR="00CD6A64" w:rsidRPr="00922C73">
        <w:rPr>
          <w:rFonts w:ascii="Times New Roman" w:hAnsi="Times New Roman" w:cs="Times New Roman"/>
          <w:sz w:val="24"/>
          <w:szCs w:val="24"/>
        </w:rPr>
        <w:t xml:space="preserve">linear </w:t>
      </w:r>
      <w:r w:rsidR="00673D7B" w:rsidRPr="00922C73">
        <w:rPr>
          <w:rFonts w:ascii="Times New Roman" w:hAnsi="Times New Roman" w:cs="Times New Roman"/>
          <w:sz w:val="24"/>
          <w:szCs w:val="24"/>
        </w:rPr>
        <w:t xml:space="preserve">epitopes </w:t>
      </w:r>
      <w:r w:rsidR="0005463B" w:rsidRPr="00922C73">
        <w:rPr>
          <w:rFonts w:ascii="Times New Roman" w:hAnsi="Times New Roman" w:cs="Times New Roman"/>
          <w:sz w:val="24"/>
          <w:szCs w:val="24"/>
        </w:rPr>
        <w:t xml:space="preserve">were </w:t>
      </w:r>
      <w:r w:rsidR="00934BBA" w:rsidRPr="00922C73">
        <w:rPr>
          <w:rFonts w:ascii="Times New Roman" w:hAnsi="Times New Roman" w:cs="Times New Roman"/>
          <w:sz w:val="24"/>
          <w:szCs w:val="24"/>
        </w:rPr>
        <w:t>identified by comparing the sera of 20 infliximab treated patients to 15 controls using a peptide microarray</w:t>
      </w:r>
      <w:r w:rsidR="00D32B92" w:rsidRPr="00922C73">
        <w:rPr>
          <w:rFonts w:ascii="Times New Roman" w:hAnsi="Times New Roman" w:cs="Times New Roman"/>
          <w:sz w:val="24"/>
          <w:szCs w:val="24"/>
        </w:rPr>
        <w:t xml:space="preserve"> </w:t>
      </w:r>
      <w:r w:rsidR="00934BBA"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00934BBA"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159</w:t>
      </w:r>
      <w:r w:rsidR="00934BBA"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00934BBA" w:rsidRPr="00922C73">
        <w:rPr>
          <w:rFonts w:ascii="Times New Roman" w:hAnsi="Times New Roman" w:cs="Times New Roman"/>
          <w:sz w:val="24"/>
          <w:szCs w:val="24"/>
        </w:rPr>
        <w:t xml:space="preserve"> </w:t>
      </w:r>
      <w:r w:rsidR="00B26825" w:rsidRPr="00922C73">
        <w:rPr>
          <w:rFonts w:ascii="Times New Roman" w:hAnsi="Times New Roman" w:cs="Times New Roman"/>
          <w:sz w:val="24"/>
          <w:szCs w:val="24"/>
        </w:rPr>
        <w:t>F</w:t>
      </w:r>
      <w:r w:rsidR="00FE54BC" w:rsidRPr="00922C73">
        <w:rPr>
          <w:rFonts w:ascii="Times New Roman" w:hAnsi="Times New Roman" w:cs="Times New Roman"/>
          <w:sz w:val="24"/>
          <w:szCs w:val="24"/>
        </w:rPr>
        <w:t xml:space="preserve">our </w:t>
      </w:r>
      <w:r w:rsidR="0094609A" w:rsidRPr="00922C73">
        <w:rPr>
          <w:rFonts w:ascii="Times New Roman" w:hAnsi="Times New Roman" w:cs="Times New Roman"/>
          <w:sz w:val="24"/>
          <w:szCs w:val="24"/>
        </w:rPr>
        <w:t xml:space="preserve">epitopes </w:t>
      </w:r>
      <w:r w:rsidR="00FE54BC" w:rsidRPr="00922C73">
        <w:rPr>
          <w:rFonts w:ascii="Times New Roman" w:hAnsi="Times New Roman" w:cs="Times New Roman"/>
          <w:sz w:val="24"/>
          <w:szCs w:val="24"/>
        </w:rPr>
        <w:t>were</w:t>
      </w:r>
      <w:r w:rsidR="0005463B" w:rsidRPr="00922C73">
        <w:rPr>
          <w:rFonts w:ascii="Times New Roman" w:hAnsi="Times New Roman" w:cs="Times New Roman"/>
          <w:sz w:val="24"/>
          <w:szCs w:val="24"/>
        </w:rPr>
        <w:t xml:space="preserve"> located in the </w:t>
      </w:r>
      <w:r w:rsidR="00673D7B" w:rsidRPr="00922C73">
        <w:rPr>
          <w:rFonts w:ascii="Times New Roman" w:hAnsi="Times New Roman" w:cs="Times New Roman"/>
          <w:sz w:val="24"/>
          <w:szCs w:val="24"/>
        </w:rPr>
        <w:t>v</w:t>
      </w:r>
      <w:r w:rsidR="00FE54BC" w:rsidRPr="00922C73">
        <w:rPr>
          <w:rFonts w:ascii="Times New Roman" w:hAnsi="Times New Roman" w:cs="Times New Roman"/>
          <w:sz w:val="24"/>
          <w:szCs w:val="24"/>
        </w:rPr>
        <w:t>ariable region</w:t>
      </w:r>
      <w:r w:rsidR="00C02A78" w:rsidRPr="00922C73">
        <w:rPr>
          <w:rFonts w:ascii="Times New Roman" w:hAnsi="Times New Roman" w:cs="Times New Roman"/>
          <w:sz w:val="24"/>
          <w:szCs w:val="24"/>
        </w:rPr>
        <w:t xml:space="preserve"> </w:t>
      </w:r>
      <w:r w:rsidR="00673D7B" w:rsidRPr="00922C73">
        <w:rPr>
          <w:rFonts w:ascii="Times New Roman" w:hAnsi="Times New Roman" w:cs="Times New Roman"/>
          <w:sz w:val="24"/>
          <w:szCs w:val="24"/>
        </w:rPr>
        <w:t>and two</w:t>
      </w:r>
      <w:r w:rsidR="00C02A78" w:rsidRPr="00922C73">
        <w:rPr>
          <w:rFonts w:ascii="Times New Roman" w:hAnsi="Times New Roman" w:cs="Times New Roman"/>
          <w:sz w:val="24"/>
          <w:szCs w:val="24"/>
        </w:rPr>
        <w:t xml:space="preserve"> </w:t>
      </w:r>
      <w:r w:rsidR="00AC7C7D" w:rsidRPr="00922C73">
        <w:rPr>
          <w:rFonts w:ascii="Times New Roman" w:hAnsi="Times New Roman" w:cs="Times New Roman"/>
          <w:sz w:val="24"/>
          <w:szCs w:val="24"/>
        </w:rPr>
        <w:t>were</w:t>
      </w:r>
      <w:r w:rsidR="00C02A78" w:rsidRPr="00922C73">
        <w:rPr>
          <w:rFonts w:ascii="Times New Roman" w:hAnsi="Times New Roman" w:cs="Times New Roman"/>
          <w:sz w:val="24"/>
          <w:szCs w:val="24"/>
        </w:rPr>
        <w:t xml:space="preserve"> in the constant region </w:t>
      </w:r>
      <w:r w:rsidR="00FE54BC"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00FE54BC"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159</w:t>
      </w:r>
      <w:r w:rsidR="00FE54BC" w:rsidRPr="00922C73">
        <w:rPr>
          <w:rFonts w:ascii="Times New Roman" w:hAnsi="Times New Roman" w:cs="Times New Roman"/>
          <w:sz w:val="24"/>
          <w:szCs w:val="24"/>
        </w:rPr>
        <w:fldChar w:fldCharType="end"/>
      </w:r>
      <w:r w:rsidR="00D12ABD" w:rsidRPr="00922C73">
        <w:rPr>
          <w:rFonts w:ascii="Times New Roman" w:hAnsi="Times New Roman" w:cs="Times New Roman"/>
          <w:sz w:val="24"/>
          <w:szCs w:val="24"/>
        </w:rPr>
        <w:t>.</w:t>
      </w:r>
      <w:r w:rsidR="0005463B" w:rsidRPr="00922C73">
        <w:rPr>
          <w:rFonts w:ascii="Times New Roman" w:hAnsi="Times New Roman" w:cs="Times New Roman"/>
          <w:sz w:val="24"/>
          <w:szCs w:val="24"/>
        </w:rPr>
        <w:t xml:space="preserve"> </w:t>
      </w:r>
      <w:r w:rsidR="00FE54BC" w:rsidRPr="00922C73">
        <w:rPr>
          <w:rFonts w:ascii="Times New Roman" w:hAnsi="Times New Roman" w:cs="Times New Roman"/>
          <w:sz w:val="24"/>
          <w:szCs w:val="24"/>
        </w:rPr>
        <w:t>Interestingly, in the infliximab treated group, d</w:t>
      </w:r>
      <w:r w:rsidR="0005463B" w:rsidRPr="00922C73">
        <w:rPr>
          <w:rFonts w:ascii="Times New Roman" w:hAnsi="Times New Roman" w:cs="Times New Roman"/>
          <w:sz w:val="24"/>
          <w:szCs w:val="24"/>
        </w:rPr>
        <w:t>ifferent p</w:t>
      </w:r>
      <w:r w:rsidR="00673D7B" w:rsidRPr="00922C73">
        <w:rPr>
          <w:rFonts w:ascii="Times New Roman" w:hAnsi="Times New Roman" w:cs="Times New Roman"/>
          <w:sz w:val="24"/>
          <w:szCs w:val="24"/>
        </w:rPr>
        <w:t>atient</w:t>
      </w:r>
      <w:r w:rsidR="0005463B" w:rsidRPr="00922C73">
        <w:rPr>
          <w:rFonts w:ascii="Times New Roman" w:hAnsi="Times New Roman" w:cs="Times New Roman"/>
          <w:sz w:val="24"/>
          <w:szCs w:val="24"/>
        </w:rPr>
        <w:t>s’</w:t>
      </w:r>
      <w:r w:rsidR="00673D7B" w:rsidRPr="00922C73">
        <w:rPr>
          <w:rFonts w:ascii="Times New Roman" w:hAnsi="Times New Roman" w:cs="Times New Roman"/>
          <w:sz w:val="24"/>
          <w:szCs w:val="24"/>
        </w:rPr>
        <w:t xml:space="preserve"> sera </w:t>
      </w:r>
      <w:r w:rsidR="0005463B" w:rsidRPr="00922C73">
        <w:rPr>
          <w:rFonts w:ascii="Times New Roman" w:hAnsi="Times New Roman" w:cs="Times New Roman"/>
          <w:sz w:val="24"/>
          <w:szCs w:val="24"/>
        </w:rPr>
        <w:t xml:space="preserve">varied in their ability to bind </w:t>
      </w:r>
      <w:r w:rsidR="003347F5" w:rsidRPr="00922C73">
        <w:rPr>
          <w:rFonts w:ascii="Times New Roman" w:hAnsi="Times New Roman" w:cs="Times New Roman"/>
          <w:sz w:val="24"/>
          <w:szCs w:val="24"/>
        </w:rPr>
        <w:t>to</w:t>
      </w:r>
      <w:r w:rsidR="00FE54BC" w:rsidRPr="00922C73">
        <w:rPr>
          <w:rFonts w:ascii="Times New Roman" w:hAnsi="Times New Roman" w:cs="Times New Roman"/>
          <w:sz w:val="24"/>
          <w:szCs w:val="24"/>
        </w:rPr>
        <w:t xml:space="preserve"> the different</w:t>
      </w:r>
      <w:r w:rsidR="00673D7B" w:rsidRPr="00922C73">
        <w:rPr>
          <w:rFonts w:ascii="Times New Roman" w:hAnsi="Times New Roman" w:cs="Times New Roman"/>
          <w:sz w:val="24"/>
          <w:szCs w:val="24"/>
        </w:rPr>
        <w:t xml:space="preserve"> epitope</w:t>
      </w:r>
      <w:r w:rsidR="00FE54BC" w:rsidRPr="00922C73">
        <w:rPr>
          <w:rFonts w:ascii="Times New Roman" w:hAnsi="Times New Roman" w:cs="Times New Roman"/>
          <w:sz w:val="24"/>
          <w:szCs w:val="24"/>
        </w:rPr>
        <w:t>s, indicating tha</w:t>
      </w:r>
      <w:r w:rsidR="0025158C" w:rsidRPr="00922C73">
        <w:rPr>
          <w:rFonts w:ascii="Times New Roman" w:hAnsi="Times New Roman" w:cs="Times New Roman"/>
          <w:sz w:val="24"/>
          <w:szCs w:val="24"/>
        </w:rPr>
        <w:t>t different A</w:t>
      </w:r>
      <w:r w:rsidR="00AC7C7D" w:rsidRPr="00922C73">
        <w:rPr>
          <w:rFonts w:ascii="Times New Roman" w:hAnsi="Times New Roman" w:cs="Times New Roman"/>
          <w:sz w:val="24"/>
          <w:szCs w:val="24"/>
        </w:rPr>
        <w:t>TI</w:t>
      </w:r>
      <w:r w:rsidR="00FE54BC" w:rsidRPr="00922C73">
        <w:rPr>
          <w:rFonts w:ascii="Times New Roman" w:hAnsi="Times New Roman" w:cs="Times New Roman"/>
          <w:sz w:val="24"/>
          <w:szCs w:val="24"/>
        </w:rPr>
        <w:t xml:space="preserve"> </w:t>
      </w:r>
      <w:r w:rsidR="00AC7C7D" w:rsidRPr="00922C73">
        <w:rPr>
          <w:rFonts w:ascii="Times New Roman" w:hAnsi="Times New Roman" w:cs="Times New Roman"/>
          <w:sz w:val="24"/>
          <w:szCs w:val="24"/>
        </w:rPr>
        <w:t>may exist</w:t>
      </w:r>
      <w:r w:rsidR="00FE54BC" w:rsidRPr="00922C73">
        <w:rPr>
          <w:rFonts w:ascii="Times New Roman" w:hAnsi="Times New Roman" w:cs="Times New Roman"/>
          <w:sz w:val="24"/>
          <w:szCs w:val="24"/>
        </w:rPr>
        <w:t xml:space="preserve"> in different patients. </w:t>
      </w:r>
    </w:p>
    <w:p w14:paraId="71DD0416" w14:textId="3DABAC6D" w:rsidR="0073361C" w:rsidRPr="00922C73" w:rsidRDefault="0073361C" w:rsidP="00700BBF">
      <w:pPr>
        <w:autoSpaceDE w:val="0"/>
        <w:autoSpaceDN w:val="0"/>
        <w:adjustRightInd w:val="0"/>
        <w:spacing w:after="0" w:line="480" w:lineRule="auto"/>
        <w:rPr>
          <w:rFonts w:ascii="Times New Roman" w:hAnsi="Times New Roman" w:cs="Times New Roman"/>
          <w:sz w:val="24"/>
          <w:szCs w:val="24"/>
        </w:rPr>
      </w:pPr>
    </w:p>
    <w:p w14:paraId="2BE4F094" w14:textId="6B25FD0C" w:rsidR="0073361C" w:rsidRPr="00922C73" w:rsidRDefault="0073361C" w:rsidP="00700BBF">
      <w:pPr>
        <w:spacing w:before="200" w:after="0" w:line="480" w:lineRule="auto"/>
        <w:rPr>
          <w:rFonts w:ascii="Times New Roman" w:hAnsi="Times New Roman" w:cs="Times New Roman"/>
          <w:sz w:val="24"/>
          <w:szCs w:val="24"/>
        </w:rPr>
      </w:pPr>
      <w:r w:rsidRPr="00922C73">
        <w:rPr>
          <w:rFonts w:ascii="Times New Roman" w:hAnsi="Times New Roman" w:cs="Times New Roman"/>
          <w:sz w:val="24"/>
          <w:szCs w:val="24"/>
        </w:rPr>
        <w:t>A more recent s</w:t>
      </w:r>
      <w:r w:rsidR="009D389A" w:rsidRPr="00922C73">
        <w:rPr>
          <w:rFonts w:ascii="Times New Roman" w:hAnsi="Times New Roman" w:cs="Times New Roman"/>
          <w:sz w:val="24"/>
          <w:szCs w:val="24"/>
        </w:rPr>
        <w:t>tudy used p</w:t>
      </w:r>
      <w:r w:rsidRPr="00922C73">
        <w:rPr>
          <w:rFonts w:ascii="Times New Roman" w:hAnsi="Times New Roman" w:cs="Times New Roman"/>
          <w:sz w:val="24"/>
          <w:szCs w:val="24"/>
        </w:rPr>
        <w:t xml:space="preserve">hage display </w:t>
      </w:r>
      <w:r w:rsidR="009D389A" w:rsidRPr="00922C73">
        <w:rPr>
          <w:rFonts w:ascii="Times New Roman" w:hAnsi="Times New Roman" w:cs="Times New Roman"/>
          <w:sz w:val="24"/>
          <w:szCs w:val="24"/>
        </w:rPr>
        <w:t xml:space="preserve">to compare epitopes selected using sera from IBD patients with antibodies to originator and biosimilar infliximab </w:t>
      </w:r>
      <w:r w:rsidR="009D389A" w:rsidRPr="00922C73">
        <w:rPr>
          <w:rFonts w:ascii="Times New Roman" w:hAnsi="Times New Roman" w:cs="Times New Roman"/>
          <w:sz w:val="24"/>
          <w:szCs w:val="24"/>
        </w:rPr>
        <w:fldChar w:fldCharType="begin" w:fldLock="1"/>
      </w:r>
      <w:r w:rsidR="00A00D49" w:rsidRPr="00922C73">
        <w:rPr>
          <w:rFonts w:ascii="Times New Roman" w:hAnsi="Times New Roman" w:cs="Times New Roman"/>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009D389A" w:rsidRPr="00922C73">
        <w:rPr>
          <w:rFonts w:ascii="Times New Roman" w:hAnsi="Times New Roman" w:cs="Times New Roman"/>
          <w:sz w:val="24"/>
          <w:szCs w:val="24"/>
        </w:rPr>
        <w:fldChar w:fldCharType="separate"/>
      </w:r>
      <w:r w:rsidR="00C80274" w:rsidRPr="00922C73">
        <w:rPr>
          <w:rFonts w:ascii="Times New Roman" w:hAnsi="Times New Roman" w:cs="Times New Roman"/>
          <w:noProof/>
          <w:sz w:val="24"/>
          <w:szCs w:val="24"/>
          <w:vertAlign w:val="superscript"/>
        </w:rPr>
        <w:t>160</w:t>
      </w:r>
      <w:r w:rsidR="009D389A" w:rsidRPr="00922C73">
        <w:rPr>
          <w:rFonts w:ascii="Times New Roman" w:hAnsi="Times New Roman" w:cs="Times New Roman"/>
          <w:sz w:val="24"/>
          <w:szCs w:val="24"/>
        </w:rPr>
        <w:fldChar w:fldCharType="end"/>
      </w:r>
      <w:r w:rsidR="009D389A" w:rsidRPr="00922C73">
        <w:rPr>
          <w:rFonts w:ascii="Times New Roman" w:hAnsi="Times New Roman" w:cs="Times New Roman"/>
          <w:sz w:val="24"/>
          <w:szCs w:val="24"/>
        </w:rPr>
        <w:t xml:space="preserve">. </w:t>
      </w:r>
      <w:r w:rsidR="00062C30" w:rsidRPr="00922C73">
        <w:rPr>
          <w:rFonts w:ascii="Times New Roman" w:hAnsi="Times New Roman" w:cs="Times New Roman"/>
          <w:kern w:val="24"/>
          <w:sz w:val="24"/>
          <w:szCs w:val="24"/>
        </w:rPr>
        <w:t>I</w:t>
      </w:r>
      <w:r w:rsidR="0078473E" w:rsidRPr="00922C73">
        <w:rPr>
          <w:rFonts w:ascii="Times New Roman" w:hAnsi="Times New Roman" w:cs="Times New Roman"/>
          <w:kern w:val="24"/>
          <w:sz w:val="24"/>
          <w:szCs w:val="24"/>
        </w:rPr>
        <w:t>ndividual sera from 14 CT-P13 and 10 Remicade treated patients with ATI</w:t>
      </w:r>
      <w:r w:rsidR="00062C30" w:rsidRPr="00922C73">
        <w:rPr>
          <w:rFonts w:ascii="Times New Roman" w:hAnsi="Times New Roman" w:cs="Times New Roman"/>
          <w:kern w:val="24"/>
          <w:sz w:val="24"/>
          <w:szCs w:val="24"/>
        </w:rPr>
        <w:t xml:space="preserve"> was used to select </w:t>
      </w:r>
      <w:r w:rsidR="005B18C6" w:rsidRPr="00922C73">
        <w:rPr>
          <w:rFonts w:ascii="Times New Roman" w:hAnsi="Times New Roman" w:cs="Times New Roman"/>
          <w:kern w:val="24"/>
          <w:sz w:val="24"/>
          <w:szCs w:val="24"/>
        </w:rPr>
        <w:t>a phage display library of</w:t>
      </w:r>
      <w:r w:rsidR="0078473E" w:rsidRPr="00922C73">
        <w:rPr>
          <w:rFonts w:ascii="Times New Roman" w:hAnsi="Times New Roman" w:cs="Times New Roman"/>
          <w:kern w:val="24"/>
          <w:sz w:val="24"/>
          <w:szCs w:val="24"/>
        </w:rPr>
        <w:t xml:space="preserve"> randomly generated infliximab full gene fragment</w:t>
      </w:r>
      <w:r w:rsidR="005B18C6" w:rsidRPr="00922C73">
        <w:rPr>
          <w:rFonts w:ascii="Times New Roman" w:hAnsi="Times New Roman" w:cs="Times New Roman"/>
          <w:kern w:val="24"/>
          <w:sz w:val="24"/>
          <w:szCs w:val="24"/>
        </w:rPr>
        <w:t>s</w:t>
      </w:r>
      <w:r w:rsidR="002B13D5" w:rsidRPr="00922C73">
        <w:rPr>
          <w:rFonts w:ascii="Times New Roman" w:hAnsi="Times New Roman" w:cs="Times New Roman"/>
          <w:kern w:val="24"/>
          <w:sz w:val="24"/>
          <w:szCs w:val="24"/>
        </w:rPr>
        <w:t xml:space="preserve"> </w:t>
      </w:r>
      <w:r w:rsidR="002B13D5" w:rsidRPr="00922C73">
        <w:rPr>
          <w:rFonts w:ascii="Times New Roman" w:hAnsi="Times New Roman" w:cs="Times New Roman"/>
          <w:kern w:val="24"/>
          <w:sz w:val="24"/>
          <w:szCs w:val="24"/>
        </w:rPr>
        <w:fldChar w:fldCharType="begin" w:fldLock="1"/>
      </w:r>
      <w:r w:rsidR="00A00D49" w:rsidRPr="00922C73">
        <w:rPr>
          <w:rFonts w:ascii="Times New Roman" w:hAnsi="Times New Roman" w:cs="Times New Roman"/>
          <w:kern w:val="24"/>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002B13D5" w:rsidRPr="00922C73">
        <w:rPr>
          <w:rFonts w:ascii="Times New Roman" w:hAnsi="Times New Roman" w:cs="Times New Roman"/>
          <w:kern w:val="24"/>
          <w:sz w:val="24"/>
          <w:szCs w:val="24"/>
        </w:rPr>
        <w:fldChar w:fldCharType="separate"/>
      </w:r>
      <w:r w:rsidR="00C80274" w:rsidRPr="00922C73">
        <w:rPr>
          <w:rFonts w:ascii="Times New Roman" w:hAnsi="Times New Roman" w:cs="Times New Roman"/>
          <w:noProof/>
          <w:kern w:val="24"/>
          <w:sz w:val="24"/>
          <w:szCs w:val="24"/>
          <w:vertAlign w:val="superscript"/>
        </w:rPr>
        <w:t>160</w:t>
      </w:r>
      <w:r w:rsidR="002B13D5" w:rsidRPr="00922C73">
        <w:rPr>
          <w:rFonts w:ascii="Times New Roman" w:hAnsi="Times New Roman" w:cs="Times New Roman"/>
          <w:kern w:val="24"/>
          <w:sz w:val="24"/>
          <w:szCs w:val="24"/>
        </w:rPr>
        <w:fldChar w:fldCharType="end"/>
      </w:r>
      <w:r w:rsidR="002B13D5" w:rsidRPr="00922C73">
        <w:rPr>
          <w:rFonts w:ascii="Times New Roman" w:hAnsi="Times New Roman" w:cs="Times New Roman"/>
          <w:kern w:val="24"/>
          <w:sz w:val="24"/>
          <w:szCs w:val="24"/>
        </w:rPr>
        <w:t>.</w:t>
      </w:r>
      <w:r w:rsidR="0078473E" w:rsidRPr="00922C73">
        <w:rPr>
          <w:rFonts w:ascii="Times New Roman" w:hAnsi="Times New Roman" w:cs="Times New Roman"/>
          <w:kern w:val="24"/>
          <w:sz w:val="24"/>
          <w:szCs w:val="24"/>
        </w:rPr>
        <w:t xml:space="preserve"> </w:t>
      </w:r>
      <w:r w:rsidR="000C15D4" w:rsidRPr="00922C73">
        <w:rPr>
          <w:rFonts w:ascii="Times New Roman" w:hAnsi="Times New Roman" w:cs="Times New Roman"/>
          <w:sz w:val="24"/>
          <w:szCs w:val="24"/>
        </w:rPr>
        <w:t xml:space="preserve">13 large antigenic regions, which altogether, spanned most of the infliximab protein sequence </w:t>
      </w:r>
      <w:r w:rsidR="005B18C6" w:rsidRPr="00922C73">
        <w:rPr>
          <w:rFonts w:ascii="Times New Roman" w:hAnsi="Times New Roman" w:cs="Times New Roman"/>
          <w:kern w:val="24"/>
          <w:sz w:val="24"/>
          <w:szCs w:val="24"/>
        </w:rPr>
        <w:t xml:space="preserve">were enriched: </w:t>
      </w:r>
      <w:r w:rsidR="0078473E" w:rsidRPr="00922C73">
        <w:rPr>
          <w:rFonts w:ascii="Times New Roman" w:hAnsi="Times New Roman" w:cs="Times New Roman"/>
          <w:kern w:val="24"/>
          <w:sz w:val="24"/>
          <w:szCs w:val="24"/>
        </w:rPr>
        <w:t xml:space="preserve">10 from the variable region and 3 from the constant region. </w:t>
      </w:r>
      <w:r w:rsidR="005B18C6" w:rsidRPr="00922C73">
        <w:rPr>
          <w:rFonts w:ascii="Times New Roman" w:hAnsi="Times New Roman" w:cs="Times New Roman"/>
          <w:kern w:val="24"/>
          <w:sz w:val="24"/>
          <w:szCs w:val="24"/>
        </w:rPr>
        <w:t>Using a phage ELISA, these consensus peptides were tested against further sera from CT-P13 and Remicade treated IBD patients with antibodies</w:t>
      </w:r>
      <w:r w:rsidR="00062C30" w:rsidRPr="00922C73">
        <w:rPr>
          <w:rFonts w:ascii="Times New Roman" w:hAnsi="Times New Roman" w:cs="Times New Roman"/>
          <w:kern w:val="24"/>
          <w:sz w:val="24"/>
          <w:szCs w:val="24"/>
        </w:rPr>
        <w:t>.</w:t>
      </w:r>
      <w:r w:rsidR="005B18C6" w:rsidRPr="00922C73">
        <w:rPr>
          <w:rFonts w:ascii="Times New Roman" w:hAnsi="Times New Roman" w:cs="Times New Roman"/>
          <w:kern w:val="24"/>
          <w:sz w:val="24"/>
          <w:szCs w:val="24"/>
        </w:rPr>
        <w:t xml:space="preserve"> </w:t>
      </w:r>
      <w:r w:rsidR="002B13D5" w:rsidRPr="00922C73">
        <w:rPr>
          <w:rFonts w:ascii="Times New Roman" w:hAnsi="Times New Roman" w:cs="Times New Roman"/>
          <w:kern w:val="24"/>
          <w:sz w:val="24"/>
          <w:szCs w:val="24"/>
        </w:rPr>
        <w:t>Not all sera bound to all epitopes but s</w:t>
      </w:r>
      <w:r w:rsidR="005B18C6" w:rsidRPr="00922C73">
        <w:rPr>
          <w:rFonts w:ascii="Times New Roman" w:hAnsi="Times New Roman" w:cs="Times New Roman"/>
          <w:kern w:val="24"/>
          <w:sz w:val="24"/>
          <w:szCs w:val="24"/>
        </w:rPr>
        <w:t>imilar rates of reactivity w</w:t>
      </w:r>
      <w:r w:rsidR="002B13D5" w:rsidRPr="00922C73">
        <w:rPr>
          <w:rFonts w:ascii="Times New Roman" w:hAnsi="Times New Roman" w:cs="Times New Roman"/>
          <w:kern w:val="24"/>
          <w:sz w:val="24"/>
          <w:szCs w:val="24"/>
        </w:rPr>
        <w:t>ere</w:t>
      </w:r>
      <w:r w:rsidR="005B18C6" w:rsidRPr="00922C73">
        <w:rPr>
          <w:rFonts w:ascii="Times New Roman" w:hAnsi="Times New Roman" w:cs="Times New Roman"/>
          <w:kern w:val="24"/>
          <w:sz w:val="24"/>
          <w:szCs w:val="24"/>
        </w:rPr>
        <w:t xml:space="preserve"> seen in the </w:t>
      </w:r>
      <w:r w:rsidR="00777A48" w:rsidRPr="00922C73">
        <w:rPr>
          <w:rFonts w:ascii="Times New Roman" w:hAnsi="Times New Roman" w:cs="Times New Roman"/>
          <w:kern w:val="24"/>
          <w:sz w:val="24"/>
          <w:szCs w:val="24"/>
        </w:rPr>
        <w:t>two</w:t>
      </w:r>
      <w:r w:rsidR="005B18C6" w:rsidRPr="00922C73">
        <w:rPr>
          <w:rFonts w:ascii="Times New Roman" w:hAnsi="Times New Roman" w:cs="Times New Roman"/>
          <w:kern w:val="24"/>
          <w:sz w:val="24"/>
          <w:szCs w:val="24"/>
        </w:rPr>
        <w:t xml:space="preserve"> treatment group</w:t>
      </w:r>
      <w:r w:rsidR="00062C30" w:rsidRPr="00922C73">
        <w:rPr>
          <w:rFonts w:ascii="Times New Roman" w:hAnsi="Times New Roman" w:cs="Times New Roman"/>
          <w:kern w:val="24"/>
          <w:sz w:val="24"/>
          <w:szCs w:val="24"/>
        </w:rPr>
        <w:t>s</w:t>
      </w:r>
      <w:r w:rsidR="005B18C6" w:rsidRPr="00922C73">
        <w:rPr>
          <w:rFonts w:ascii="Times New Roman" w:hAnsi="Times New Roman" w:cs="Times New Roman"/>
          <w:kern w:val="24"/>
          <w:sz w:val="24"/>
          <w:szCs w:val="24"/>
        </w:rPr>
        <w:t xml:space="preserve"> for ea</w:t>
      </w:r>
      <w:r w:rsidR="00062C30" w:rsidRPr="00922C73">
        <w:rPr>
          <w:rFonts w:ascii="Times New Roman" w:hAnsi="Times New Roman" w:cs="Times New Roman"/>
          <w:kern w:val="24"/>
          <w:sz w:val="24"/>
          <w:szCs w:val="24"/>
        </w:rPr>
        <w:t>ch</w:t>
      </w:r>
      <w:r w:rsidR="005B18C6" w:rsidRPr="00922C73">
        <w:rPr>
          <w:rFonts w:ascii="Times New Roman" w:hAnsi="Times New Roman" w:cs="Times New Roman"/>
          <w:kern w:val="24"/>
          <w:sz w:val="24"/>
          <w:szCs w:val="24"/>
        </w:rPr>
        <w:t xml:space="preserve"> peptide </w:t>
      </w:r>
      <w:r w:rsidR="00062C30" w:rsidRPr="00922C73">
        <w:rPr>
          <w:rFonts w:ascii="Times New Roman" w:hAnsi="Times New Roman" w:cs="Times New Roman"/>
          <w:kern w:val="24"/>
          <w:sz w:val="24"/>
          <w:szCs w:val="24"/>
        </w:rPr>
        <w:t>leading</w:t>
      </w:r>
      <w:r w:rsidR="005B18C6" w:rsidRPr="00922C73">
        <w:rPr>
          <w:rFonts w:ascii="Times New Roman" w:hAnsi="Times New Roman" w:cs="Times New Roman"/>
          <w:kern w:val="24"/>
          <w:sz w:val="24"/>
          <w:szCs w:val="24"/>
        </w:rPr>
        <w:t xml:space="preserve"> to the authors t</w:t>
      </w:r>
      <w:r w:rsidR="00062C30" w:rsidRPr="00922C73">
        <w:rPr>
          <w:rFonts w:ascii="Times New Roman" w:hAnsi="Times New Roman" w:cs="Times New Roman"/>
          <w:kern w:val="24"/>
          <w:sz w:val="24"/>
          <w:szCs w:val="24"/>
        </w:rPr>
        <w:t>o</w:t>
      </w:r>
      <w:r w:rsidR="005B18C6" w:rsidRPr="00922C73">
        <w:rPr>
          <w:rFonts w:ascii="Times New Roman" w:hAnsi="Times New Roman" w:cs="Times New Roman"/>
          <w:kern w:val="24"/>
          <w:sz w:val="24"/>
          <w:szCs w:val="24"/>
        </w:rPr>
        <w:t xml:space="preserve"> </w:t>
      </w:r>
      <w:r w:rsidR="00062C30" w:rsidRPr="00922C73">
        <w:rPr>
          <w:rFonts w:ascii="Times New Roman" w:hAnsi="Times New Roman" w:cs="Times New Roman"/>
          <w:kern w:val="24"/>
          <w:sz w:val="24"/>
          <w:szCs w:val="24"/>
        </w:rPr>
        <w:t xml:space="preserve">suggest that antibodies to originator and biosimilar infliximab are </w:t>
      </w:r>
      <w:r w:rsidR="006C5BF0" w:rsidRPr="00922C73">
        <w:rPr>
          <w:rFonts w:ascii="Times New Roman" w:hAnsi="Times New Roman" w:cs="Times New Roman"/>
          <w:kern w:val="24"/>
          <w:sz w:val="24"/>
          <w:szCs w:val="24"/>
        </w:rPr>
        <w:t>against</w:t>
      </w:r>
      <w:r w:rsidR="00062C30" w:rsidRPr="00922C73">
        <w:rPr>
          <w:rFonts w:ascii="Times New Roman" w:hAnsi="Times New Roman" w:cs="Times New Roman"/>
          <w:kern w:val="24"/>
          <w:sz w:val="24"/>
          <w:szCs w:val="24"/>
        </w:rPr>
        <w:t xml:space="preserve"> the same epitopes</w:t>
      </w:r>
      <w:r w:rsidR="002B13D5" w:rsidRPr="00922C73">
        <w:rPr>
          <w:rFonts w:ascii="Times New Roman" w:hAnsi="Times New Roman" w:cs="Times New Roman"/>
          <w:kern w:val="24"/>
          <w:sz w:val="24"/>
          <w:szCs w:val="24"/>
        </w:rPr>
        <w:t xml:space="preserve"> </w:t>
      </w:r>
      <w:r w:rsidR="002B13D5" w:rsidRPr="00922C73">
        <w:rPr>
          <w:rFonts w:ascii="Times New Roman" w:hAnsi="Times New Roman" w:cs="Times New Roman"/>
          <w:kern w:val="24"/>
          <w:sz w:val="24"/>
          <w:szCs w:val="24"/>
        </w:rPr>
        <w:fldChar w:fldCharType="begin" w:fldLock="1"/>
      </w:r>
      <w:r w:rsidR="00A00D49" w:rsidRPr="00922C73">
        <w:rPr>
          <w:rFonts w:ascii="Times New Roman" w:hAnsi="Times New Roman" w:cs="Times New Roman"/>
          <w:kern w:val="24"/>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002B13D5" w:rsidRPr="00922C73">
        <w:rPr>
          <w:rFonts w:ascii="Times New Roman" w:hAnsi="Times New Roman" w:cs="Times New Roman"/>
          <w:kern w:val="24"/>
          <w:sz w:val="24"/>
          <w:szCs w:val="24"/>
        </w:rPr>
        <w:fldChar w:fldCharType="separate"/>
      </w:r>
      <w:r w:rsidR="00C80274" w:rsidRPr="00922C73">
        <w:rPr>
          <w:rFonts w:ascii="Times New Roman" w:hAnsi="Times New Roman" w:cs="Times New Roman"/>
          <w:noProof/>
          <w:kern w:val="24"/>
          <w:sz w:val="24"/>
          <w:szCs w:val="24"/>
          <w:vertAlign w:val="superscript"/>
        </w:rPr>
        <w:t>160</w:t>
      </w:r>
      <w:r w:rsidR="002B13D5" w:rsidRPr="00922C73">
        <w:rPr>
          <w:rFonts w:ascii="Times New Roman" w:hAnsi="Times New Roman" w:cs="Times New Roman"/>
          <w:kern w:val="24"/>
          <w:sz w:val="24"/>
          <w:szCs w:val="24"/>
        </w:rPr>
        <w:fldChar w:fldCharType="end"/>
      </w:r>
      <w:r w:rsidR="00062C30" w:rsidRPr="00922C73">
        <w:rPr>
          <w:rFonts w:ascii="Times New Roman" w:hAnsi="Times New Roman" w:cs="Times New Roman"/>
          <w:kern w:val="24"/>
          <w:sz w:val="24"/>
          <w:szCs w:val="24"/>
        </w:rPr>
        <w:t xml:space="preserve">. </w:t>
      </w:r>
    </w:p>
    <w:p w14:paraId="226D2AEE" w14:textId="77777777" w:rsidR="00911896" w:rsidRPr="00922C73" w:rsidRDefault="00911896" w:rsidP="00700BBF">
      <w:pPr>
        <w:autoSpaceDE w:val="0"/>
        <w:autoSpaceDN w:val="0"/>
        <w:adjustRightInd w:val="0"/>
        <w:spacing w:after="0" w:line="480" w:lineRule="auto"/>
        <w:rPr>
          <w:rFonts w:ascii="Times New Roman" w:hAnsi="Times New Roman" w:cs="Times New Roman"/>
          <w:sz w:val="24"/>
          <w:szCs w:val="24"/>
        </w:rPr>
      </w:pPr>
    </w:p>
    <w:p w14:paraId="6A277B57" w14:textId="2DA92BEE" w:rsidR="000A4013" w:rsidRPr="00922C73" w:rsidRDefault="00911896" w:rsidP="00700BBF">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These studies offer new insight into immunogenicity to infliximab but are limited by the lack of associated clinical information, such as the clinical</w:t>
      </w:r>
      <w:r w:rsidR="00777A48" w:rsidRPr="00922C73">
        <w:rPr>
          <w:rFonts w:ascii="Times New Roman" w:hAnsi="Times New Roman" w:cs="Times New Roman"/>
          <w:sz w:val="24"/>
          <w:szCs w:val="24"/>
        </w:rPr>
        <w:t xml:space="preserve"> state</w:t>
      </w:r>
      <w:r w:rsidRPr="00922C73">
        <w:rPr>
          <w:rFonts w:ascii="Times New Roman" w:hAnsi="Times New Roman" w:cs="Times New Roman"/>
          <w:sz w:val="24"/>
          <w:szCs w:val="24"/>
        </w:rPr>
        <w:t xml:space="preserve"> of the patients involved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sera","type":"article-journal","volume":"13"},"uris":["http://www.mendeley.com/documents/?uuid=bcf394e7-6aed-4512-afae-c8849bb95e49"]},{"id":"ITEM-2","itemData":{"DOI":"10.1111/apt.14808","ISSN":"13652036","PMID":"29873091","abstract":"Aim: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Therapeutics","id":"ITEM-2","issue":"5","issued":{"date-parts":[["2018"]]},"page":"507-522","title":"Antigenic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159,160&lt;/sup&gt;","plainTextFormattedCitation":"159,160","previouslyFormattedCitation":"&lt;sup&gt;159,160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159,160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Pr="00922C73">
        <w:rPr>
          <w:rFonts w:ascii="Times New Roman" w:hAnsi="Times New Roman" w:cs="Times New Roman"/>
          <w:kern w:val="24"/>
          <w:sz w:val="24"/>
          <w:szCs w:val="24"/>
        </w:rPr>
        <w:t xml:space="preserve"> In </w:t>
      </w:r>
      <w:r w:rsidRPr="00922C73">
        <w:rPr>
          <w:rFonts w:ascii="Times New Roman" w:hAnsi="Times New Roman" w:cs="Times New Roman"/>
          <w:kern w:val="24"/>
          <w:sz w:val="24"/>
          <w:szCs w:val="24"/>
        </w:rPr>
        <w:lastRenderedPageBreak/>
        <w:t>the latter study, the selected peptides also almost span the entire infliximab sequence.</w:t>
      </w:r>
      <w:r w:rsidR="00D444D9" w:rsidRPr="00922C73">
        <w:rPr>
          <w:rFonts w:ascii="Times New Roman" w:hAnsi="Times New Roman" w:cs="Times New Roman"/>
          <w:sz w:val="24"/>
          <w:szCs w:val="24"/>
        </w:rPr>
        <w:t xml:space="preserve"> </w:t>
      </w:r>
      <w:r w:rsidRPr="00922C73">
        <w:rPr>
          <w:rFonts w:ascii="Times New Roman" w:hAnsi="Times New Roman" w:cs="Times New Roman"/>
          <w:kern w:val="24"/>
          <w:sz w:val="24"/>
          <w:szCs w:val="24"/>
        </w:rPr>
        <w:t>These factors limit</w:t>
      </w:r>
      <w:r w:rsidRPr="00922C73">
        <w:rPr>
          <w:rFonts w:ascii="Times New Roman" w:hAnsi="Times New Roman" w:cs="Times New Roman"/>
          <w:sz w:val="24"/>
          <w:szCs w:val="24"/>
        </w:rPr>
        <w:t xml:space="preserve"> the clinical significance of the epitopes identified</w:t>
      </w:r>
      <w:r w:rsidR="00E81476" w:rsidRPr="00922C73">
        <w:rPr>
          <w:rFonts w:ascii="Times New Roman" w:hAnsi="Times New Roman" w:cs="Times New Roman"/>
          <w:kern w:val="24"/>
          <w:sz w:val="24"/>
          <w:szCs w:val="24"/>
        </w:rPr>
        <w:t xml:space="preserve"> and </w:t>
      </w:r>
      <w:r w:rsidR="00D444D9" w:rsidRPr="00922C73">
        <w:rPr>
          <w:rFonts w:ascii="Times New Roman" w:hAnsi="Times New Roman" w:cs="Times New Roman"/>
          <w:sz w:val="24"/>
          <w:szCs w:val="24"/>
        </w:rPr>
        <w:t>distinct immunogenic areas are hard to define</w:t>
      </w:r>
      <w:r w:rsidR="00751057" w:rsidRPr="00922C73">
        <w:rPr>
          <w:rFonts w:ascii="Times New Roman" w:hAnsi="Times New Roman" w:cs="Times New Roman"/>
          <w:sz w:val="24"/>
          <w:szCs w:val="24"/>
        </w:rPr>
        <w:t>.</w:t>
      </w:r>
    </w:p>
    <w:p w14:paraId="10A0FE98" w14:textId="77777777" w:rsidR="000A4013" w:rsidRPr="00922C73" w:rsidRDefault="000A4013" w:rsidP="00700BBF">
      <w:pPr>
        <w:autoSpaceDE w:val="0"/>
        <w:autoSpaceDN w:val="0"/>
        <w:adjustRightInd w:val="0"/>
        <w:spacing w:after="0" w:line="480" w:lineRule="auto"/>
        <w:rPr>
          <w:rFonts w:ascii="Times New Roman" w:hAnsi="Times New Roman" w:cs="Times New Roman"/>
          <w:sz w:val="24"/>
          <w:szCs w:val="24"/>
        </w:rPr>
      </w:pPr>
    </w:p>
    <w:p w14:paraId="1A24D3E8" w14:textId="73711BD3" w:rsidR="003C1152" w:rsidRPr="00922C73" w:rsidRDefault="00911896" w:rsidP="007E5D6A">
      <w:pPr>
        <w:autoSpaceDE w:val="0"/>
        <w:autoSpaceDN w:val="0"/>
        <w:adjustRightInd w:val="0"/>
        <w:spacing w:after="0" w:line="480" w:lineRule="auto"/>
        <w:rPr>
          <w:rFonts w:ascii="Times New Roman" w:hAnsi="Times New Roman" w:cs="Times New Roman"/>
          <w:sz w:val="24"/>
          <w:szCs w:val="24"/>
        </w:rPr>
      </w:pPr>
      <w:r w:rsidRPr="00922C73">
        <w:rPr>
          <w:rFonts w:ascii="Times New Roman" w:hAnsi="Times New Roman" w:cs="Times New Roman"/>
          <w:sz w:val="24"/>
          <w:szCs w:val="24"/>
        </w:rPr>
        <w:t>The</w:t>
      </w:r>
      <w:r w:rsidR="00FE54BC" w:rsidRPr="00922C73">
        <w:rPr>
          <w:rFonts w:ascii="Times New Roman" w:hAnsi="Times New Roman" w:cs="Times New Roman"/>
          <w:sz w:val="24"/>
          <w:szCs w:val="24"/>
        </w:rPr>
        <w:t xml:space="preserve"> </w:t>
      </w:r>
      <w:r w:rsidR="0073361C" w:rsidRPr="00922C73">
        <w:rPr>
          <w:rFonts w:ascii="Times New Roman" w:hAnsi="Times New Roman" w:cs="Times New Roman"/>
          <w:sz w:val="24"/>
          <w:szCs w:val="24"/>
        </w:rPr>
        <w:t>finding</w:t>
      </w:r>
      <w:r w:rsidR="000200F9" w:rsidRPr="00922C73">
        <w:rPr>
          <w:rFonts w:ascii="Times New Roman" w:hAnsi="Times New Roman" w:cs="Times New Roman"/>
          <w:sz w:val="24"/>
          <w:szCs w:val="24"/>
        </w:rPr>
        <w:t xml:space="preserve"> of </w:t>
      </w:r>
      <w:r w:rsidR="00FE54BC" w:rsidRPr="00922C73">
        <w:rPr>
          <w:rFonts w:ascii="Times New Roman" w:hAnsi="Times New Roman" w:cs="Times New Roman"/>
          <w:sz w:val="24"/>
          <w:szCs w:val="24"/>
        </w:rPr>
        <w:t>different epitopes</w:t>
      </w:r>
      <w:r w:rsidR="00934BBA" w:rsidRPr="00922C73">
        <w:rPr>
          <w:rFonts w:ascii="Times New Roman" w:hAnsi="Times New Roman" w:cs="Times New Roman"/>
          <w:sz w:val="24"/>
          <w:szCs w:val="24"/>
        </w:rPr>
        <w:t xml:space="preserve"> </w:t>
      </w:r>
      <w:r w:rsidR="00B26825" w:rsidRPr="00922C73">
        <w:rPr>
          <w:rFonts w:ascii="Times New Roman" w:hAnsi="Times New Roman" w:cs="Times New Roman"/>
          <w:sz w:val="24"/>
          <w:szCs w:val="24"/>
        </w:rPr>
        <w:t>on infl</w:t>
      </w:r>
      <w:r w:rsidR="00113B21" w:rsidRPr="00922C73">
        <w:rPr>
          <w:rFonts w:ascii="Times New Roman" w:hAnsi="Times New Roman" w:cs="Times New Roman"/>
          <w:sz w:val="24"/>
          <w:szCs w:val="24"/>
        </w:rPr>
        <w:t xml:space="preserve">iximab </w:t>
      </w:r>
      <w:r w:rsidR="00B50612" w:rsidRPr="00922C73">
        <w:rPr>
          <w:rFonts w:ascii="Times New Roman" w:hAnsi="Times New Roman" w:cs="Times New Roman"/>
          <w:sz w:val="24"/>
          <w:szCs w:val="24"/>
        </w:rPr>
        <w:t>could</w:t>
      </w:r>
      <w:r w:rsidR="00C02A78" w:rsidRPr="00922C73">
        <w:rPr>
          <w:rFonts w:ascii="Times New Roman" w:hAnsi="Times New Roman" w:cs="Times New Roman"/>
          <w:sz w:val="24"/>
          <w:szCs w:val="24"/>
        </w:rPr>
        <w:t xml:space="preserve"> </w:t>
      </w:r>
      <w:r w:rsidR="000200F9" w:rsidRPr="00922C73">
        <w:rPr>
          <w:rFonts w:ascii="Times New Roman" w:hAnsi="Times New Roman" w:cs="Times New Roman"/>
          <w:sz w:val="24"/>
          <w:szCs w:val="24"/>
        </w:rPr>
        <w:t>support the hypothesis of</w:t>
      </w:r>
      <w:r w:rsidR="00B26825" w:rsidRPr="00922C73">
        <w:rPr>
          <w:rFonts w:ascii="Times New Roman" w:hAnsi="Times New Roman" w:cs="Times New Roman"/>
          <w:sz w:val="24"/>
          <w:szCs w:val="24"/>
        </w:rPr>
        <w:t xml:space="preserve"> </w:t>
      </w:r>
      <w:r w:rsidR="00934BBA" w:rsidRPr="00922C73">
        <w:rPr>
          <w:rFonts w:ascii="Times New Roman" w:hAnsi="Times New Roman" w:cs="Times New Roman"/>
          <w:sz w:val="24"/>
          <w:szCs w:val="24"/>
        </w:rPr>
        <w:t xml:space="preserve">different </w:t>
      </w:r>
      <w:r w:rsidR="00E605B8" w:rsidRPr="00922C73">
        <w:rPr>
          <w:rFonts w:ascii="Times New Roman" w:hAnsi="Times New Roman" w:cs="Times New Roman"/>
          <w:sz w:val="24"/>
          <w:szCs w:val="24"/>
        </w:rPr>
        <w:t xml:space="preserve">phenotypes of ATI. </w:t>
      </w:r>
      <w:r w:rsidR="005B3688" w:rsidRPr="00922C73">
        <w:rPr>
          <w:rFonts w:ascii="Times New Roman" w:hAnsi="Times New Roman" w:cs="Times New Roman"/>
          <w:sz w:val="24"/>
          <w:szCs w:val="24"/>
        </w:rPr>
        <w:t xml:space="preserve">Potentially any ATI </w:t>
      </w:r>
      <w:r w:rsidR="003055FD" w:rsidRPr="00922C73">
        <w:rPr>
          <w:rFonts w:ascii="Times New Roman" w:hAnsi="Times New Roman" w:cs="Times New Roman"/>
          <w:sz w:val="24"/>
          <w:szCs w:val="24"/>
        </w:rPr>
        <w:t>c</w:t>
      </w:r>
      <w:r w:rsidR="005B3688" w:rsidRPr="00922C73">
        <w:rPr>
          <w:rFonts w:ascii="Times New Roman" w:hAnsi="Times New Roman" w:cs="Times New Roman"/>
          <w:sz w:val="24"/>
          <w:szCs w:val="24"/>
        </w:rPr>
        <w:t xml:space="preserve">ould lead to immune complex formation, which may lead to reduce drug levels due to increased clearance of the immune complexes or immune complex deposition </w:t>
      </w:r>
      <w:r w:rsidR="005B3688"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mendeley":{"formattedCitation":"&lt;sup&gt;78&lt;/sup&gt;","plainTextFormattedCitation":"78","previouslyFormattedCitation":"&lt;sup&gt;78&lt;/sup&gt;"},"properties":{"noteIndex":0},"schema":"https://github.com/citation-style-language/schema/raw/master/csl-citation.json"}</w:instrText>
      </w:r>
      <w:r w:rsidR="005B3688"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78</w:t>
      </w:r>
      <w:r w:rsidR="005B3688" w:rsidRPr="00922C73">
        <w:rPr>
          <w:rFonts w:ascii="Times New Roman" w:hAnsi="Times New Roman" w:cs="Times New Roman"/>
          <w:sz w:val="24"/>
          <w:szCs w:val="24"/>
        </w:rPr>
        <w:fldChar w:fldCharType="end"/>
      </w:r>
      <w:r w:rsidR="005B3688" w:rsidRPr="00922C73">
        <w:rPr>
          <w:rFonts w:ascii="Times New Roman" w:hAnsi="Times New Roman" w:cs="Times New Roman"/>
          <w:sz w:val="24"/>
          <w:szCs w:val="24"/>
        </w:rPr>
        <w:t>. Immune complex deposition in organs, joints and blood vessels with complement activation and local and systemic inflammatory responses have been suggested in the pathogenesis of delayed infusion reaction</w:t>
      </w:r>
      <w:r w:rsidR="005B3688" w:rsidRPr="00922C73">
        <w:rPr>
          <w:rFonts w:ascii="Times New Roman" w:hAnsi="Times New Roman" w:cs="Times New Roman"/>
          <w:kern w:val="24"/>
          <w:sz w:val="24"/>
          <w:szCs w:val="24"/>
          <w:lang w:eastAsia="en-GB"/>
        </w:rPr>
        <w:t xml:space="preserve"> </w:t>
      </w:r>
      <w:r w:rsidR="005B3688" w:rsidRPr="00922C73">
        <w:rPr>
          <w:rFonts w:ascii="Times New Roman" w:hAnsi="Times New Roman" w:cs="Times New Roman"/>
          <w:kern w:val="24"/>
          <w:sz w:val="24"/>
          <w:szCs w:val="24"/>
          <w:lang w:eastAsia="en-GB"/>
        </w:rPr>
        <w:fldChar w:fldCharType="begin" w:fldLock="1"/>
      </w:r>
      <w:r w:rsidR="00DD0F87" w:rsidRPr="00922C73">
        <w:rPr>
          <w:rFonts w:ascii="Times New Roman" w:hAnsi="Times New Roman" w:cs="Times New Roman"/>
          <w:kern w:val="24"/>
          <w:sz w:val="24"/>
          <w:szCs w:val="24"/>
          <w:lang w:eastAsia="en-GB"/>
        </w:rPr>
        <w:instrText>ADDIN CSL_CITATION {"citationItems":[{"id":"ITEM-1","itemData":{"DOI":"10.1093/ecco-jcc/jjv096","ISBN":"1876-4479 (Electronic)\\r1873-9946 (Linking)","ISSN":"1873-9946","PMID":"26092578","abstract":"OBJECTIVE: Administration of infliximab is associated with a well-recognised risk of infusion reactions. Lack of a mechanism-based rationale for their prevention, and absence of adequate and well-controlled studies, has led to the use of diverse empirical administration protocols. The aim of this study is to perform a systematic review of the evidence behind the strategies for preventing infusion reactions to infliximab, and for controlling the reactions once they occur. METHODS: We conducted extensive search of electronic databases of MEDLINE [PubMed] for reports that communicate various aspects of infusion reactions to infliximab in IBD patients. RESULTS: We examined full texts of 105 potentially eligible articles. No randomised controlled trials that pre-defined infusion reaction as a primary outcome were found. Three RCTs evaluated infusion reactions as a secondary outcome; another four RCTs included infusion reactions in the safety evaluation analysis; and 62 additional studies focused on various aspects of mechanism/s, risk, primary and secondary preventive measures, and management algorithms. Seven studies were added by a manual search of reference lists of the relevant articles. A total of 76 original studies were included in quantitative analysis of the existing strategies. CONCLUSIONS: There is still paucity of systematic and controlled data on the risk, prevention, and management of infusion reactions to infliximab. We present working algorithms based on systematic and extensive review of the available data. More randomised controlled trials are needed in order to investigate the efficacy of the proposed preventive and management algorithms.","author":[{"dropping-particle":"","family":"Lichtenstein","given":"Lev","non-dropping-particle":"","parse-names":false,"suffix":""},{"dropping-particle":"","family":"Ron","given":"Yulia","non-dropping-particle":"","parse-names":false,"suffix":""},{"dropping-particle":"","family":"Kivity","given":"Shmuel","non-dropping-particle":"","parse-names":false,"suffix":""},{"dropping-particle":"","family":"Ben-Horin","given":"Shomron","non-dropping-particle":"","parse-names":false,"suffix":""},{"dropping-particle":"","family":"Israeli","given":"Eran","non-dropping-particle":"","parse-names":false,"suffix":""},{"dropping-particle":"","family":"Fraser","given":"Gerald M.","non-dropping-particle":"","parse-names":false,"suffix":""},{"dropping-particle":"","family":"Dotan","given":"Iris","non-dropping-particle":"","parse-names":false,"suffix":""},{"dropping-particle":"","family":"Chowers","given":"Yehuda","non-dropping-particle":"","parse-names":false,"suffix":""},{"dropping-particle":"","family":"Confino-Cohen","given":"Ronit","non-dropping-particle":"","parse-names":false,"suffix":""},{"dropping-particle":"","family":"Weiss","given":"Batia","non-dropping-particle":"","parse-names":false,"suffix":""}],"container-title":"Journal of Crohn's and Colitis","id":"ITEM-1","issue":"9","issued":{"date-parts":[["2015","9"]]},"page":"806-815","title":"Infliximab-Related Infusion Reactions: Systematic Review","type":"article-journal","volume":"9"},"uris":["http://www.mendeley.com/documents/?uuid=46980e5d-a324-4be5-9921-6f1fc2ff65dd","http://www.mendeley.com/documents/?uuid=868e8fa9-215d-4b93-88f6-15f905da3e01","http://www.mendeley.com/documents/?uuid=554ce6e6-8554-4609-b15a-4a78cdec0033"]}],"mendeley":{"formattedCitation":"&lt;sup&gt;78&lt;/sup&gt;","plainTextFormattedCitation":"78","previouslyFormattedCitation":"&lt;sup&gt;78&lt;/sup&gt;"},"properties":{"noteIndex":0},"schema":"https://github.com/citation-style-language/schema/raw/master/csl-citation.json"}</w:instrText>
      </w:r>
      <w:r w:rsidR="005B3688" w:rsidRPr="00922C73">
        <w:rPr>
          <w:rFonts w:ascii="Times New Roman" w:hAnsi="Times New Roman" w:cs="Times New Roman"/>
          <w:kern w:val="24"/>
          <w:sz w:val="24"/>
          <w:szCs w:val="24"/>
          <w:lang w:eastAsia="en-GB"/>
        </w:rPr>
        <w:fldChar w:fldCharType="separate"/>
      </w:r>
      <w:r w:rsidR="00A00D49" w:rsidRPr="00922C73">
        <w:rPr>
          <w:rFonts w:ascii="Times New Roman" w:hAnsi="Times New Roman" w:cs="Times New Roman"/>
          <w:noProof/>
          <w:kern w:val="24"/>
          <w:sz w:val="24"/>
          <w:szCs w:val="24"/>
          <w:vertAlign w:val="superscript"/>
          <w:lang w:eastAsia="en-GB"/>
        </w:rPr>
        <w:t>78</w:t>
      </w:r>
      <w:r w:rsidR="005B3688" w:rsidRPr="00922C73">
        <w:rPr>
          <w:rFonts w:ascii="Times New Roman" w:hAnsi="Times New Roman" w:cs="Times New Roman"/>
          <w:kern w:val="24"/>
          <w:sz w:val="24"/>
          <w:szCs w:val="24"/>
          <w:lang w:eastAsia="en-GB"/>
        </w:rPr>
        <w:fldChar w:fldCharType="end"/>
      </w:r>
      <w:r w:rsidR="00DC6CD8" w:rsidRPr="00922C73">
        <w:rPr>
          <w:rFonts w:ascii="Times New Roman" w:hAnsi="Times New Roman" w:cs="Times New Roman"/>
          <w:kern w:val="24"/>
          <w:sz w:val="24"/>
          <w:szCs w:val="24"/>
          <w:lang w:eastAsia="en-GB"/>
        </w:rPr>
        <w:t>.</w:t>
      </w:r>
      <w:r w:rsidR="00DC6CD8" w:rsidRPr="00922C73">
        <w:rPr>
          <w:rFonts w:ascii="Times New Roman" w:hAnsi="Times New Roman" w:cs="Times New Roman"/>
          <w:sz w:val="24"/>
          <w:szCs w:val="24"/>
        </w:rPr>
        <w:t xml:space="preserve"> A</w:t>
      </w:r>
      <w:r w:rsidR="00AC7C7D" w:rsidRPr="00922C73">
        <w:rPr>
          <w:rFonts w:ascii="Times New Roman" w:hAnsi="Times New Roman" w:cs="Times New Roman"/>
          <w:sz w:val="24"/>
          <w:szCs w:val="24"/>
        </w:rPr>
        <w:t>ntibodies</w:t>
      </w:r>
      <w:r w:rsidR="00E605B8" w:rsidRPr="00922C73">
        <w:rPr>
          <w:rFonts w:ascii="Times New Roman" w:hAnsi="Times New Roman" w:cs="Times New Roman"/>
          <w:sz w:val="24"/>
          <w:szCs w:val="24"/>
        </w:rPr>
        <w:t xml:space="preserve"> </w:t>
      </w:r>
      <w:r w:rsidR="00DC6CD8" w:rsidRPr="00922C73">
        <w:rPr>
          <w:rFonts w:ascii="Times New Roman" w:hAnsi="Times New Roman" w:cs="Times New Roman"/>
          <w:sz w:val="24"/>
          <w:szCs w:val="24"/>
        </w:rPr>
        <w:t xml:space="preserve">against </w:t>
      </w:r>
      <w:r w:rsidR="00FE54BC" w:rsidRPr="00922C73">
        <w:rPr>
          <w:rFonts w:ascii="Times New Roman" w:hAnsi="Times New Roman" w:cs="Times New Roman"/>
          <w:sz w:val="24"/>
          <w:szCs w:val="24"/>
        </w:rPr>
        <w:t xml:space="preserve">the </w:t>
      </w:r>
      <w:r w:rsidR="00751057" w:rsidRPr="00922C73">
        <w:rPr>
          <w:rFonts w:ascii="Times New Roman" w:hAnsi="Times New Roman" w:cs="Times New Roman"/>
          <w:sz w:val="24"/>
          <w:szCs w:val="24"/>
        </w:rPr>
        <w:t>CDR</w:t>
      </w:r>
      <w:r w:rsidR="00DC6CD8" w:rsidRPr="00922C73">
        <w:rPr>
          <w:rFonts w:ascii="Times New Roman" w:hAnsi="Times New Roman" w:cs="Times New Roman"/>
          <w:sz w:val="24"/>
          <w:szCs w:val="24"/>
        </w:rPr>
        <w:t>s</w:t>
      </w:r>
      <w:r w:rsidR="00FE54BC" w:rsidRPr="00922C73">
        <w:rPr>
          <w:rFonts w:ascii="Times New Roman" w:hAnsi="Times New Roman" w:cs="Times New Roman"/>
          <w:sz w:val="24"/>
          <w:szCs w:val="24"/>
        </w:rPr>
        <w:t xml:space="preserve"> </w:t>
      </w:r>
      <w:r w:rsidR="00934BBA" w:rsidRPr="00922C73">
        <w:rPr>
          <w:rFonts w:ascii="Times New Roman" w:hAnsi="Times New Roman" w:cs="Times New Roman"/>
          <w:sz w:val="24"/>
          <w:szCs w:val="24"/>
        </w:rPr>
        <w:t xml:space="preserve">of infliximab </w:t>
      </w:r>
      <w:r w:rsidR="00EA02FA" w:rsidRPr="00922C73">
        <w:rPr>
          <w:rFonts w:ascii="Times New Roman" w:hAnsi="Times New Roman" w:cs="Times New Roman"/>
          <w:sz w:val="24"/>
          <w:szCs w:val="24"/>
        </w:rPr>
        <w:t>could directly</w:t>
      </w:r>
      <w:r w:rsidR="00FE54BC" w:rsidRPr="00922C73">
        <w:rPr>
          <w:rFonts w:ascii="Times New Roman" w:hAnsi="Times New Roman" w:cs="Times New Roman"/>
          <w:sz w:val="24"/>
          <w:szCs w:val="24"/>
        </w:rPr>
        <w:t xml:space="preserve"> </w:t>
      </w:r>
      <w:r w:rsidR="00EA02FA" w:rsidRPr="00922C73">
        <w:rPr>
          <w:rFonts w:ascii="Times New Roman" w:hAnsi="Times New Roman" w:cs="Times New Roman"/>
          <w:sz w:val="24"/>
          <w:szCs w:val="24"/>
        </w:rPr>
        <w:t>prevent</w:t>
      </w:r>
      <w:r w:rsidR="00FE54BC" w:rsidRPr="00922C73">
        <w:rPr>
          <w:rFonts w:ascii="Times New Roman" w:hAnsi="Times New Roman" w:cs="Times New Roman"/>
          <w:sz w:val="24"/>
          <w:szCs w:val="24"/>
        </w:rPr>
        <w:t xml:space="preserve"> </w:t>
      </w:r>
      <w:r w:rsidR="00934BBA" w:rsidRPr="00922C73">
        <w:rPr>
          <w:rFonts w:ascii="Times New Roman" w:hAnsi="Times New Roman" w:cs="Times New Roman"/>
          <w:sz w:val="24"/>
          <w:szCs w:val="24"/>
        </w:rPr>
        <w:t xml:space="preserve">the drug from </w:t>
      </w:r>
      <w:r w:rsidR="00FE54BC" w:rsidRPr="00922C73">
        <w:rPr>
          <w:rFonts w:ascii="Times New Roman" w:hAnsi="Times New Roman" w:cs="Times New Roman"/>
          <w:sz w:val="24"/>
          <w:szCs w:val="24"/>
        </w:rPr>
        <w:t>bind</w:t>
      </w:r>
      <w:r w:rsidR="00934BBA" w:rsidRPr="00922C73">
        <w:rPr>
          <w:rFonts w:ascii="Times New Roman" w:hAnsi="Times New Roman" w:cs="Times New Roman"/>
          <w:sz w:val="24"/>
          <w:szCs w:val="24"/>
        </w:rPr>
        <w:t>ing to</w:t>
      </w:r>
      <w:r w:rsidR="00FE54BC" w:rsidRPr="00922C73">
        <w:rPr>
          <w:rFonts w:ascii="Times New Roman" w:hAnsi="Times New Roman" w:cs="Times New Roman"/>
          <w:sz w:val="24"/>
          <w:szCs w:val="24"/>
        </w:rPr>
        <w:t xml:space="preserve"> </w:t>
      </w:r>
      <w:r w:rsidR="00EA02FA" w:rsidRPr="00922C73">
        <w:rPr>
          <w:rFonts w:ascii="Times New Roman" w:hAnsi="Times New Roman" w:cs="Times New Roman"/>
          <w:sz w:val="24"/>
          <w:szCs w:val="24"/>
        </w:rPr>
        <w:t xml:space="preserve">soluble and transmembrane </w:t>
      </w:r>
      <w:r w:rsidR="00FE54BC" w:rsidRPr="00922C73">
        <w:rPr>
          <w:rFonts w:ascii="Times New Roman" w:hAnsi="Times New Roman" w:cs="Times New Roman"/>
          <w:sz w:val="24"/>
          <w:szCs w:val="24"/>
        </w:rPr>
        <w:t>TNFα</w:t>
      </w:r>
      <w:r w:rsidR="00C76BE7" w:rsidRPr="00922C73">
        <w:rPr>
          <w:rFonts w:ascii="Times New Roman" w:hAnsi="Times New Roman" w:cs="Times New Roman"/>
          <w:sz w:val="24"/>
          <w:szCs w:val="24"/>
        </w:rPr>
        <w:t xml:space="preserve"> and therefore prevent </w:t>
      </w:r>
      <w:r w:rsidR="006C2DDA" w:rsidRPr="00922C73">
        <w:rPr>
          <w:rFonts w:ascii="Times New Roman" w:hAnsi="Times New Roman" w:cs="Times New Roman"/>
          <w:sz w:val="24"/>
          <w:szCs w:val="24"/>
        </w:rPr>
        <w:t xml:space="preserve">the inhibition of </w:t>
      </w:r>
      <w:r w:rsidR="00C76BE7" w:rsidRPr="00922C73">
        <w:rPr>
          <w:rFonts w:ascii="Times New Roman" w:hAnsi="Times New Roman" w:cs="Times New Roman"/>
          <w:sz w:val="24"/>
          <w:szCs w:val="24"/>
        </w:rPr>
        <w:t>TNF receptor 1 and 2 mediated signalling pathways</w:t>
      </w:r>
      <w:r w:rsidR="00DC6CD8" w:rsidRPr="00922C73">
        <w:rPr>
          <w:rFonts w:ascii="Times New Roman" w:hAnsi="Times New Roman" w:cs="Times New Roman"/>
          <w:sz w:val="24"/>
          <w:szCs w:val="24"/>
        </w:rPr>
        <w:t>, leading to loss of response</w:t>
      </w:r>
      <w:r w:rsidR="0073361C" w:rsidRPr="00922C73">
        <w:rPr>
          <w:rFonts w:ascii="Times New Roman" w:hAnsi="Times New Roman" w:cs="Times New Roman"/>
          <w:sz w:val="24"/>
          <w:szCs w:val="24"/>
        </w:rPr>
        <w:t xml:space="preserve">. </w:t>
      </w:r>
      <w:r w:rsidR="002F7E1B" w:rsidRPr="00922C73">
        <w:rPr>
          <w:rFonts w:ascii="Times New Roman" w:hAnsi="Times New Roman" w:cs="Times New Roman"/>
          <w:sz w:val="24"/>
          <w:szCs w:val="24"/>
        </w:rPr>
        <w:t>A</w:t>
      </w:r>
      <w:r w:rsidR="0073361C" w:rsidRPr="00922C73">
        <w:rPr>
          <w:rFonts w:ascii="Times New Roman" w:hAnsi="Times New Roman" w:cs="Times New Roman"/>
          <w:sz w:val="24"/>
          <w:szCs w:val="24"/>
        </w:rPr>
        <w:t>ntibodies</w:t>
      </w:r>
      <w:r w:rsidR="00934BBA" w:rsidRPr="00922C73">
        <w:rPr>
          <w:rFonts w:ascii="Times New Roman" w:hAnsi="Times New Roman" w:cs="Times New Roman"/>
          <w:sz w:val="24"/>
          <w:szCs w:val="24"/>
        </w:rPr>
        <w:t xml:space="preserve"> </w:t>
      </w:r>
      <w:r w:rsidR="002F7E1B" w:rsidRPr="00922C73">
        <w:rPr>
          <w:rFonts w:ascii="Times New Roman" w:hAnsi="Times New Roman" w:cs="Times New Roman"/>
          <w:sz w:val="24"/>
          <w:szCs w:val="24"/>
        </w:rPr>
        <w:t>against</w:t>
      </w:r>
      <w:r w:rsidR="00934BBA" w:rsidRPr="00922C73">
        <w:rPr>
          <w:rFonts w:ascii="Times New Roman" w:hAnsi="Times New Roman" w:cs="Times New Roman"/>
          <w:sz w:val="24"/>
          <w:szCs w:val="24"/>
        </w:rPr>
        <w:t xml:space="preserve"> </w:t>
      </w:r>
      <w:r w:rsidR="00FE54BC" w:rsidRPr="00922C73">
        <w:rPr>
          <w:rFonts w:ascii="Times New Roman" w:hAnsi="Times New Roman" w:cs="Times New Roman"/>
          <w:sz w:val="24"/>
          <w:szCs w:val="24"/>
        </w:rPr>
        <w:t>epitop</w:t>
      </w:r>
      <w:r w:rsidR="0073361C" w:rsidRPr="00922C73">
        <w:rPr>
          <w:rFonts w:ascii="Times New Roman" w:hAnsi="Times New Roman" w:cs="Times New Roman"/>
          <w:sz w:val="24"/>
          <w:szCs w:val="24"/>
        </w:rPr>
        <w:t>es</w:t>
      </w:r>
      <w:r w:rsidR="00D12ABD" w:rsidRPr="00922C73">
        <w:rPr>
          <w:rFonts w:ascii="Times New Roman" w:hAnsi="Times New Roman" w:cs="Times New Roman"/>
          <w:sz w:val="24"/>
          <w:szCs w:val="24"/>
        </w:rPr>
        <w:t xml:space="preserve"> on the Fc fragment </w:t>
      </w:r>
      <w:r w:rsidR="002F7E1B" w:rsidRPr="00922C73">
        <w:rPr>
          <w:rFonts w:ascii="Times New Roman" w:hAnsi="Times New Roman" w:cs="Times New Roman"/>
          <w:sz w:val="24"/>
          <w:szCs w:val="24"/>
        </w:rPr>
        <w:t>of infliximab would affect</w:t>
      </w:r>
      <w:r w:rsidR="00F725BB" w:rsidRPr="00922C73">
        <w:rPr>
          <w:rFonts w:ascii="Times New Roman" w:hAnsi="Times New Roman" w:cs="Times New Roman"/>
          <w:sz w:val="24"/>
          <w:szCs w:val="24"/>
        </w:rPr>
        <w:t xml:space="preserve"> Fc mediated action</w:t>
      </w:r>
      <w:r w:rsidR="00CE79C4" w:rsidRPr="00922C73">
        <w:rPr>
          <w:rFonts w:ascii="Times New Roman" w:hAnsi="Times New Roman" w:cs="Times New Roman"/>
          <w:sz w:val="24"/>
          <w:szCs w:val="24"/>
        </w:rPr>
        <w:t>s</w:t>
      </w:r>
      <w:r w:rsidR="00F725BB" w:rsidRPr="00922C73">
        <w:rPr>
          <w:rFonts w:ascii="Times New Roman" w:hAnsi="Times New Roman" w:cs="Times New Roman"/>
          <w:sz w:val="24"/>
          <w:szCs w:val="24"/>
        </w:rPr>
        <w:t xml:space="preserve"> and its ability to </w:t>
      </w:r>
      <w:r w:rsidR="00D12ABD" w:rsidRPr="00922C73">
        <w:rPr>
          <w:rFonts w:ascii="Times New Roman" w:hAnsi="Times New Roman" w:cs="Times New Roman"/>
          <w:sz w:val="24"/>
          <w:szCs w:val="24"/>
        </w:rPr>
        <w:t>bind to the ne</w:t>
      </w:r>
      <w:r w:rsidR="00FE54BC" w:rsidRPr="00922C73">
        <w:rPr>
          <w:rFonts w:ascii="Times New Roman" w:hAnsi="Times New Roman" w:cs="Times New Roman"/>
          <w:sz w:val="24"/>
          <w:szCs w:val="24"/>
        </w:rPr>
        <w:t>onatal Fc receptor</w:t>
      </w:r>
      <w:r w:rsidR="00C02A78" w:rsidRPr="00922C73">
        <w:rPr>
          <w:rFonts w:ascii="Times New Roman" w:hAnsi="Times New Roman" w:cs="Times New Roman"/>
          <w:sz w:val="24"/>
          <w:szCs w:val="24"/>
        </w:rPr>
        <w:t xml:space="preserve"> (</w:t>
      </w:r>
      <w:proofErr w:type="spellStart"/>
      <w:r w:rsidR="00C02A78" w:rsidRPr="00922C73">
        <w:rPr>
          <w:rFonts w:ascii="Times New Roman" w:hAnsi="Times New Roman" w:cs="Times New Roman"/>
          <w:sz w:val="24"/>
          <w:szCs w:val="24"/>
        </w:rPr>
        <w:t>FcRn</w:t>
      </w:r>
      <w:proofErr w:type="spellEnd"/>
      <w:r w:rsidR="00C02A78" w:rsidRPr="00922C73">
        <w:rPr>
          <w:rFonts w:ascii="Times New Roman" w:hAnsi="Times New Roman" w:cs="Times New Roman"/>
          <w:sz w:val="24"/>
          <w:szCs w:val="24"/>
        </w:rPr>
        <w:t>)</w:t>
      </w:r>
      <w:r w:rsidR="00FE54BC" w:rsidRPr="00922C73">
        <w:rPr>
          <w:rFonts w:ascii="Times New Roman" w:hAnsi="Times New Roman" w:cs="Times New Roman"/>
          <w:sz w:val="24"/>
          <w:szCs w:val="24"/>
        </w:rPr>
        <w:t xml:space="preserve">. </w:t>
      </w:r>
      <w:bookmarkStart w:id="80" w:name="_Hlk139279052"/>
      <w:r w:rsidR="00FE54BC" w:rsidRPr="00922C73">
        <w:rPr>
          <w:rFonts w:ascii="Times New Roman" w:hAnsi="Times New Roman" w:cs="Times New Roman"/>
          <w:sz w:val="24"/>
          <w:szCs w:val="24"/>
        </w:rPr>
        <w:t xml:space="preserve">This receptor </w:t>
      </w:r>
      <w:r w:rsidR="00D12ABD" w:rsidRPr="00922C73">
        <w:rPr>
          <w:rFonts w:ascii="Times New Roman" w:hAnsi="Times New Roman" w:cs="Times New Roman"/>
          <w:sz w:val="24"/>
          <w:szCs w:val="24"/>
        </w:rPr>
        <w:t>binds to the Fc fragment of immunoglobulins and protects them from degradation, recirculating them back into the plas</w:t>
      </w:r>
      <w:r w:rsidR="0038707B" w:rsidRPr="00922C73">
        <w:rPr>
          <w:rFonts w:ascii="Times New Roman" w:hAnsi="Times New Roman" w:cs="Times New Roman"/>
          <w:sz w:val="24"/>
          <w:szCs w:val="24"/>
        </w:rPr>
        <w:t>ma</w:t>
      </w:r>
      <w:r w:rsidR="00A206DB" w:rsidRPr="00922C73">
        <w:rPr>
          <w:rFonts w:ascii="Times New Roman" w:hAnsi="Times New Roman" w:cs="Times New Roman"/>
          <w:sz w:val="24"/>
          <w:szCs w:val="24"/>
        </w:rPr>
        <w:t xml:space="preserve"> </w:t>
      </w:r>
      <w:r w:rsidR="00A206D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{"citationItems":[{"id":"ITEM-1","itemData":{"DOI":"10.1016/j.jaci.2009.09.046","ISBN":"1097-6825 (Electronic)\\n0091-6749 (Linking)","ISSN":"00916749","PMID":"20176268","abstract":"Immunoglobulins are heterodimeric proteins composed of two heavy (H) and two light (L) chains. They can be separated functionally into variable (V) domains that binds antigens and constant (C) domains that specify effector functions such as activation of complement or binding to Fc receptors. The variable domains are created by means of a complex series of gene rearrangement events, and can then be subjected to somatic hypermutation after exposure to antigen to allow affinity maturation. Each V domain can be split into three regions of sequence variability, termed the complementarity determining regions, or CDRs, and four regions of relatively constant sequence termed the framework regions, or FRs. The three CDRs of the H chain are paired with the three CDRs of the L chain to form the antigen binding site, as classically defined. There are five main classes of heavy chain C domains. Each class defines the IgM, IgG, IgA, IgD, and IgE isotypes. IgG can be split into four subclasses, IgG1, IgG2, IgG3, and IgG4, each with its own biologic properties; and IgA can similarly be split into IgA1 and IgA2. The constant domains of the H chain can be switched to allow altered effector function while maintaining antigen specificity.","author":[{"dropping-particle":"","family":"Schroeder","given":"Harry W.","non-dropping-particle":"","parse-names":false,"suffix":""},{"dropping-particle":"","family":"Cavacini","given":"Lisa","non-dropping-particle":"","parse-names":false,"suffix":""}],"container-title":"Journal of Allergy and Clinical Immunology","id":"ITEM-1","issue":"2","issued":{"date-parts":[["2010","2"]]},"page":"S41-S52","title":"Structure and function of immunoglobulins","type":"article-journal","volume":"125"},"uris":["http://www.mendeley.com/documents/?uuid=77788fc9-fc3d-4103-9123-8fcd06690a29","http://www.mendeley.com/documents/?uuid=a56c5ed6-0288-4cce-896b-2edbb1a44dbe","http://www.mendeley.com/documents/?uuid=dc2fab2b-17ea-4319-9e24-631c0febfbbe"]}],"mendeley":{"formattedCitation":"&lt;sup&gt;65&lt;/sup&gt;","plainTextFormattedCitation":"65","previouslyFormattedCitation":"&lt;sup&gt;65&lt;/sup&gt;"},"properties":{"noteIndex":0},"schema":"https://github.com/citation-style-language/schema/raw/master/csl-citation.json"}</w:instrText>
      </w:r>
      <w:r w:rsidR="00A206D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65</w:t>
      </w:r>
      <w:r w:rsidR="00A206DB" w:rsidRPr="00922C73">
        <w:rPr>
          <w:rFonts w:ascii="Times New Roman" w:hAnsi="Times New Roman" w:cs="Times New Roman"/>
          <w:sz w:val="24"/>
          <w:szCs w:val="24"/>
        </w:rPr>
        <w:fldChar w:fldCharType="end"/>
      </w:r>
      <w:r w:rsidR="00C02A78" w:rsidRPr="00922C73">
        <w:rPr>
          <w:rFonts w:ascii="Times New Roman" w:hAnsi="Times New Roman" w:cs="Times New Roman"/>
          <w:sz w:val="24"/>
          <w:szCs w:val="24"/>
        </w:rPr>
        <w:t xml:space="preserve">. </w:t>
      </w:r>
      <w:bookmarkEnd w:id="80"/>
      <w:r w:rsidR="00C02A78" w:rsidRPr="00922C73">
        <w:rPr>
          <w:rFonts w:ascii="Times New Roman" w:hAnsi="Times New Roman" w:cs="Times New Roman"/>
          <w:sz w:val="24"/>
          <w:szCs w:val="24"/>
        </w:rPr>
        <w:t xml:space="preserve">However, </w:t>
      </w:r>
      <w:r w:rsidR="0038707B" w:rsidRPr="00922C73">
        <w:rPr>
          <w:rFonts w:ascii="Times New Roman" w:hAnsi="Times New Roman" w:cs="Times New Roman"/>
          <w:sz w:val="24"/>
          <w:szCs w:val="24"/>
        </w:rPr>
        <w:t>if</w:t>
      </w:r>
      <w:r w:rsidR="00D12ABD" w:rsidRPr="00922C73">
        <w:rPr>
          <w:rFonts w:ascii="Times New Roman" w:hAnsi="Times New Roman" w:cs="Times New Roman"/>
          <w:sz w:val="24"/>
          <w:szCs w:val="24"/>
        </w:rPr>
        <w:t xml:space="preserve"> the Fc fragment is bound to by ATI, this </w:t>
      </w:r>
      <w:r w:rsidR="004756D1" w:rsidRPr="00922C73">
        <w:rPr>
          <w:rFonts w:ascii="Times New Roman" w:hAnsi="Times New Roman" w:cs="Times New Roman"/>
          <w:sz w:val="24"/>
          <w:szCs w:val="24"/>
        </w:rPr>
        <w:t>may prevent</w:t>
      </w:r>
      <w:r w:rsidR="0038707B" w:rsidRPr="00922C73">
        <w:rPr>
          <w:rFonts w:ascii="Times New Roman" w:hAnsi="Times New Roman" w:cs="Times New Roman"/>
          <w:sz w:val="24"/>
          <w:szCs w:val="24"/>
        </w:rPr>
        <w:t xml:space="preserve"> binding by the </w:t>
      </w:r>
      <w:proofErr w:type="spellStart"/>
      <w:r w:rsidR="0038707B" w:rsidRPr="00922C73">
        <w:rPr>
          <w:rFonts w:ascii="Times New Roman" w:hAnsi="Times New Roman" w:cs="Times New Roman"/>
          <w:sz w:val="24"/>
          <w:szCs w:val="24"/>
        </w:rPr>
        <w:t>FcRn</w:t>
      </w:r>
      <w:proofErr w:type="spellEnd"/>
      <w:r w:rsidR="0038707B" w:rsidRPr="00922C73">
        <w:rPr>
          <w:rFonts w:ascii="Times New Roman" w:hAnsi="Times New Roman" w:cs="Times New Roman"/>
          <w:sz w:val="24"/>
          <w:szCs w:val="24"/>
        </w:rPr>
        <w:t>, leading to increased clearance of infliximab</w:t>
      </w:r>
      <w:r w:rsidR="0073361C" w:rsidRPr="00922C73">
        <w:rPr>
          <w:rFonts w:ascii="Times New Roman" w:hAnsi="Times New Roman" w:cs="Times New Roman"/>
          <w:sz w:val="24"/>
          <w:szCs w:val="24"/>
        </w:rPr>
        <w:t xml:space="preserve"> and reduced drug levels</w:t>
      </w:r>
      <w:r w:rsidR="00D12ABD" w:rsidRPr="00922C73">
        <w:rPr>
          <w:rFonts w:ascii="Times New Roman" w:hAnsi="Times New Roman" w:cs="Times New Roman"/>
          <w:sz w:val="24"/>
          <w:szCs w:val="24"/>
        </w:rPr>
        <w:t>.</w:t>
      </w:r>
      <w:r w:rsidR="004756D1" w:rsidRPr="00922C73">
        <w:rPr>
          <w:rFonts w:ascii="Times New Roman" w:hAnsi="Times New Roman" w:cs="Times New Roman"/>
          <w:sz w:val="24"/>
          <w:szCs w:val="24"/>
        </w:rPr>
        <w:t xml:space="preserve"> </w:t>
      </w:r>
    </w:p>
    <w:p w14:paraId="2BCE1E1F" w14:textId="77777777" w:rsidR="003C1152" w:rsidRPr="00922C73" w:rsidRDefault="003C1152" w:rsidP="00EB6E09"/>
    <w:p w14:paraId="54848713" w14:textId="312FF1A1" w:rsidR="003C1152" w:rsidRPr="00922C73" w:rsidRDefault="003C1152" w:rsidP="00EB6E09">
      <w:pPr>
        <w:rPr>
          <w:sz w:val="24"/>
          <w:szCs w:val="24"/>
        </w:rPr>
      </w:pPr>
    </w:p>
    <w:p w14:paraId="17556B75" w14:textId="336E67A5" w:rsidR="003C1152" w:rsidRPr="00922C73" w:rsidRDefault="003C1152" w:rsidP="00EB6E09"/>
    <w:p w14:paraId="2D8AE60E" w14:textId="6F691297" w:rsidR="00B706A3" w:rsidRPr="00922C73" w:rsidRDefault="00B706A3" w:rsidP="00EB6E09"/>
    <w:p w14:paraId="2CFB2836" w14:textId="77777777" w:rsidR="00B706A3" w:rsidRPr="00922C73" w:rsidRDefault="00B706A3" w:rsidP="00EB6E09"/>
    <w:p w14:paraId="2A3EF280" w14:textId="4BE9F4D0" w:rsidR="003C1152" w:rsidRPr="00922C73" w:rsidRDefault="003C1152" w:rsidP="00EB6E09"/>
    <w:p w14:paraId="6961A102" w14:textId="616AB493" w:rsidR="003C1152" w:rsidRPr="00922C73" w:rsidRDefault="003C1152" w:rsidP="00EB6E09"/>
    <w:p w14:paraId="559E45FD" w14:textId="77777777" w:rsidR="003C1152" w:rsidRPr="00922C73" w:rsidRDefault="003C1152" w:rsidP="00EB6E09"/>
    <w:p w14:paraId="4961255E" w14:textId="77777777" w:rsidR="004830C1" w:rsidRPr="00922C73" w:rsidRDefault="004830C1" w:rsidP="003C1152"/>
    <w:p w14:paraId="29630B2A" w14:textId="77777777" w:rsidR="00EB6E09" w:rsidRPr="00922C73" w:rsidRDefault="00EB6E09" w:rsidP="003C1152"/>
    <w:p w14:paraId="2EC95FA9" w14:textId="3C13632C" w:rsidR="003C1152" w:rsidRPr="00922C73" w:rsidRDefault="0084756C" w:rsidP="0084756C">
      <w:pPr>
        <w:pStyle w:val="Heading2"/>
        <w:rPr>
          <w:rFonts w:ascii="Times New Roman" w:hAnsi="Times New Roman" w:cs="Times New Roman"/>
          <w:sz w:val="24"/>
          <w:szCs w:val="24"/>
        </w:rPr>
      </w:pPr>
      <w:bookmarkStart w:id="81" w:name="_Toc151020472"/>
      <w:r w:rsidRPr="00922C73">
        <w:rPr>
          <w:rFonts w:ascii="Times New Roman" w:hAnsi="Times New Roman" w:cs="Times New Roman"/>
          <w:sz w:val="24"/>
          <w:szCs w:val="24"/>
        </w:rPr>
        <w:lastRenderedPageBreak/>
        <w:t>1.5</w:t>
      </w:r>
      <w:r w:rsidR="00910889" w:rsidRPr="00922C73">
        <w:rPr>
          <w:rFonts w:ascii="Times New Roman" w:hAnsi="Times New Roman" w:cs="Times New Roman"/>
          <w:sz w:val="24"/>
          <w:szCs w:val="24"/>
        </w:rPr>
        <w:t xml:space="preserve">: </w:t>
      </w:r>
      <w:r w:rsidR="003C1152" w:rsidRPr="00922C73">
        <w:rPr>
          <w:rFonts w:ascii="Times New Roman" w:hAnsi="Times New Roman" w:cs="Times New Roman"/>
          <w:sz w:val="24"/>
          <w:szCs w:val="24"/>
        </w:rPr>
        <w:t>Aims</w:t>
      </w:r>
      <w:bookmarkEnd w:id="81"/>
      <w:r w:rsidR="003C1152" w:rsidRPr="00922C73">
        <w:rPr>
          <w:rFonts w:ascii="Times New Roman" w:hAnsi="Times New Roman" w:cs="Times New Roman"/>
          <w:sz w:val="24"/>
          <w:szCs w:val="24"/>
        </w:rPr>
        <w:t xml:space="preserve"> </w:t>
      </w:r>
      <w:bookmarkStart w:id="82" w:name="_Hlk80351502"/>
    </w:p>
    <w:p w14:paraId="1639D377" w14:textId="77777777" w:rsidR="003C1152" w:rsidRPr="00922C73" w:rsidRDefault="003C1152" w:rsidP="00142532">
      <w:pPr>
        <w:spacing w:line="480" w:lineRule="auto"/>
        <w:rPr>
          <w:rFonts w:ascii="Times New Roman" w:hAnsi="Times New Roman" w:cs="Times New Roman"/>
          <w:sz w:val="24"/>
          <w:szCs w:val="24"/>
        </w:rPr>
      </w:pPr>
    </w:p>
    <w:p w14:paraId="6DE87966" w14:textId="7A522B98" w:rsidR="009D01AA" w:rsidRPr="00922C73" w:rsidRDefault="003C1152" w:rsidP="00142532">
      <w:pPr>
        <w:spacing w:line="480" w:lineRule="auto"/>
      </w:pPr>
      <w:r w:rsidRPr="00922C73">
        <w:rPr>
          <w:rFonts w:ascii="Times New Roman" w:hAnsi="Times New Roman" w:cs="Times New Roman"/>
          <w:sz w:val="24"/>
          <w:szCs w:val="24"/>
        </w:rPr>
        <w:t xml:space="preserve">The overall aim of this PhD thesis is to understand </w:t>
      </w:r>
      <w:r w:rsidR="00985065" w:rsidRPr="00922C73">
        <w:rPr>
          <w:rFonts w:ascii="Times New Roman" w:hAnsi="Times New Roman" w:cs="Times New Roman"/>
          <w:sz w:val="24"/>
          <w:szCs w:val="24"/>
        </w:rPr>
        <w:t>antibody formation</w:t>
      </w:r>
      <w:r w:rsidRPr="00922C73">
        <w:rPr>
          <w:rFonts w:ascii="Times New Roman" w:hAnsi="Times New Roman" w:cs="Times New Roman"/>
          <w:sz w:val="24"/>
          <w:szCs w:val="24"/>
        </w:rPr>
        <w:t xml:space="preserve"> to infliximab on a clinical and immunological level. </w:t>
      </w:r>
      <w:r w:rsidR="009D01AA" w:rsidRPr="00922C73">
        <w:rPr>
          <w:rFonts w:ascii="Times New Roman" w:hAnsi="Times New Roman" w:cs="Times New Roman"/>
          <w:sz w:val="24"/>
          <w:szCs w:val="24"/>
        </w:rPr>
        <w:t xml:space="preserve">The </w:t>
      </w:r>
      <w:r w:rsidR="009F5711" w:rsidRPr="00922C73">
        <w:rPr>
          <w:rFonts w:ascii="Times New Roman" w:hAnsi="Times New Roman" w:cs="Times New Roman"/>
          <w:sz w:val="24"/>
          <w:szCs w:val="24"/>
        </w:rPr>
        <w:t xml:space="preserve">specific </w:t>
      </w:r>
      <w:r w:rsidR="009D01AA" w:rsidRPr="00922C73">
        <w:rPr>
          <w:rFonts w:ascii="Times New Roman" w:hAnsi="Times New Roman" w:cs="Times New Roman"/>
          <w:sz w:val="24"/>
          <w:szCs w:val="24"/>
        </w:rPr>
        <w:t>aims were to</w:t>
      </w:r>
      <w:r w:rsidR="009D01AA" w:rsidRPr="00922C73">
        <w:t>-</w:t>
      </w:r>
    </w:p>
    <w:p w14:paraId="0A86412F" w14:textId="77777777" w:rsidR="009D01AA" w:rsidRPr="00922C73" w:rsidRDefault="009D01AA" w:rsidP="00142532">
      <w:pPr>
        <w:numPr>
          <w:ilvl w:val="0"/>
          <w:numId w:val="1"/>
        </w:numPr>
        <w:spacing w:line="480" w:lineRule="auto"/>
        <w:rPr>
          <w:rFonts w:ascii="Times New Roman" w:hAnsi="Times New Roman" w:cs="Times New Roman"/>
          <w:sz w:val="24"/>
          <w:szCs w:val="24"/>
        </w:rPr>
      </w:pPr>
      <w:r w:rsidRPr="00922C73">
        <w:rPr>
          <w:rFonts w:ascii="Times New Roman" w:hAnsi="Times New Roman" w:cs="Times New Roman"/>
          <w:sz w:val="24"/>
          <w:szCs w:val="24"/>
        </w:rPr>
        <w:t>Assess immunogenicity to infliximab in patients with IBD using a drug tolerant assay.</w:t>
      </w:r>
    </w:p>
    <w:p w14:paraId="5B7F56C1" w14:textId="77777777" w:rsidR="009D01AA" w:rsidRPr="00922C73" w:rsidRDefault="009D01AA" w:rsidP="00142532">
      <w:pPr>
        <w:numPr>
          <w:ilvl w:val="0"/>
          <w:numId w:val="2"/>
        </w:num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Identify factors associated with the development of ATI. </w:t>
      </w:r>
    </w:p>
    <w:p w14:paraId="3F300A2C" w14:textId="77777777" w:rsidR="009D01AA" w:rsidRPr="00922C73" w:rsidRDefault="009D01AA" w:rsidP="00142532">
      <w:pPr>
        <w:numPr>
          <w:ilvl w:val="0"/>
          <w:numId w:val="2"/>
        </w:numPr>
        <w:spacing w:line="480" w:lineRule="auto"/>
        <w:rPr>
          <w:rFonts w:ascii="Times New Roman" w:hAnsi="Times New Roman" w:cs="Times New Roman"/>
          <w:sz w:val="24"/>
          <w:szCs w:val="24"/>
        </w:rPr>
      </w:pPr>
      <w:r w:rsidRPr="00922C73">
        <w:rPr>
          <w:rFonts w:ascii="Times New Roman" w:hAnsi="Times New Roman" w:cs="Times New Roman"/>
          <w:sz w:val="24"/>
          <w:szCs w:val="24"/>
        </w:rPr>
        <w:t>Assess the association between ATI and clinical outcomes.</w:t>
      </w:r>
    </w:p>
    <w:p w14:paraId="31030E94" w14:textId="77777777" w:rsidR="009D01AA" w:rsidRPr="00922C73" w:rsidRDefault="009D01AA" w:rsidP="00142532">
      <w:pPr>
        <w:numPr>
          <w:ilvl w:val="0"/>
          <w:numId w:val="2"/>
        </w:num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Assess the effect of infliximab dose escalation in IBD patients with ATI. </w:t>
      </w:r>
    </w:p>
    <w:p w14:paraId="06C48888" w14:textId="3FC57715" w:rsidR="009D01AA" w:rsidRPr="00922C73" w:rsidRDefault="009D01AA" w:rsidP="00142532">
      <w:pPr>
        <w:numPr>
          <w:ilvl w:val="0"/>
          <w:numId w:val="1"/>
        </w:numPr>
        <w:spacing w:line="480" w:lineRule="auto"/>
        <w:rPr>
          <w:rFonts w:ascii="Times New Roman" w:hAnsi="Times New Roman" w:cs="Times New Roman"/>
          <w:sz w:val="24"/>
          <w:szCs w:val="24"/>
        </w:rPr>
      </w:pPr>
      <w:r w:rsidRPr="00922C73">
        <w:rPr>
          <w:rFonts w:ascii="Times New Roman" w:hAnsi="Times New Roman" w:cs="Times New Roman"/>
          <w:sz w:val="24"/>
          <w:szCs w:val="24"/>
        </w:rPr>
        <w:t>Define linear and conformational B cell epitopes on infliximab with the use of phage display.</w:t>
      </w:r>
    </w:p>
    <w:p w14:paraId="641A8E69" w14:textId="3CB67F21" w:rsidR="0038630D" w:rsidRPr="00922C73" w:rsidRDefault="003C1152" w:rsidP="00142532">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Figure </w:t>
      </w:r>
      <w:r w:rsidR="006A5AF6" w:rsidRPr="00922C73">
        <w:rPr>
          <w:rFonts w:ascii="Times New Roman" w:hAnsi="Times New Roman" w:cs="Times New Roman"/>
          <w:sz w:val="24"/>
          <w:szCs w:val="24"/>
        </w:rPr>
        <w:t>1</w:t>
      </w:r>
      <w:r w:rsidR="00EB6E09" w:rsidRPr="00922C73">
        <w:rPr>
          <w:rFonts w:ascii="Times New Roman" w:hAnsi="Times New Roman" w:cs="Times New Roman"/>
          <w:sz w:val="24"/>
          <w:szCs w:val="24"/>
        </w:rPr>
        <w:t>1</w:t>
      </w:r>
      <w:r w:rsidRPr="00922C73">
        <w:rPr>
          <w:rFonts w:ascii="Times New Roman" w:hAnsi="Times New Roman" w:cs="Times New Roman"/>
          <w:sz w:val="24"/>
          <w:szCs w:val="24"/>
        </w:rPr>
        <w:t xml:space="preserve"> shows the workflow of this PhD thesis. </w:t>
      </w:r>
      <w:r w:rsidR="0038630D" w:rsidRPr="00922C73">
        <w:rPr>
          <w:rFonts w:ascii="Times New Roman" w:hAnsi="Times New Roman" w:cs="Times New Roman"/>
          <w:sz w:val="24"/>
          <w:szCs w:val="24"/>
        </w:rPr>
        <w:t xml:space="preserve">Initial clinical work focused on a retrospective review of 214 people with IBD </w:t>
      </w:r>
      <w:r w:rsidR="001743FA" w:rsidRPr="00922C73">
        <w:rPr>
          <w:rFonts w:ascii="Times New Roman" w:hAnsi="Times New Roman" w:cs="Times New Roman"/>
          <w:sz w:val="24"/>
          <w:szCs w:val="24"/>
        </w:rPr>
        <w:t xml:space="preserve">with </w:t>
      </w:r>
      <w:r w:rsidR="0038630D" w:rsidRPr="00922C73">
        <w:rPr>
          <w:rFonts w:ascii="Times New Roman" w:hAnsi="Times New Roman" w:cs="Times New Roman"/>
          <w:sz w:val="24"/>
          <w:szCs w:val="24"/>
        </w:rPr>
        <w:t>prospective follow-up of a cohort of patients who received dose escalation. From this work, patients with positive ATI were selected and consented to have sera stored</w:t>
      </w:r>
      <w:r w:rsidR="00E97AE9" w:rsidRPr="00922C73">
        <w:rPr>
          <w:rFonts w:ascii="Times New Roman" w:hAnsi="Times New Roman" w:cs="Times New Roman"/>
          <w:sz w:val="24"/>
          <w:szCs w:val="24"/>
        </w:rPr>
        <w:t xml:space="preserve">. Pooled sera from patients with </w:t>
      </w:r>
      <w:r w:rsidR="00433C77" w:rsidRPr="00922C73">
        <w:rPr>
          <w:rFonts w:ascii="Times New Roman" w:hAnsi="Times New Roman" w:cs="Times New Roman"/>
          <w:sz w:val="24"/>
          <w:szCs w:val="24"/>
        </w:rPr>
        <w:t xml:space="preserve">positive </w:t>
      </w:r>
      <w:r w:rsidR="001743FA" w:rsidRPr="00922C73">
        <w:rPr>
          <w:rFonts w:ascii="Times New Roman" w:hAnsi="Times New Roman" w:cs="Times New Roman"/>
          <w:sz w:val="24"/>
          <w:szCs w:val="24"/>
        </w:rPr>
        <w:t xml:space="preserve">ATI and </w:t>
      </w:r>
      <w:r w:rsidR="00E97AE9" w:rsidRPr="00922C73">
        <w:rPr>
          <w:rFonts w:ascii="Times New Roman" w:hAnsi="Times New Roman" w:cs="Times New Roman"/>
          <w:sz w:val="24"/>
          <w:szCs w:val="24"/>
        </w:rPr>
        <w:t xml:space="preserve">different clinical outcomes </w:t>
      </w:r>
      <w:r w:rsidR="001743FA" w:rsidRPr="00922C73">
        <w:rPr>
          <w:rFonts w:ascii="Times New Roman" w:hAnsi="Times New Roman" w:cs="Times New Roman"/>
          <w:sz w:val="24"/>
          <w:szCs w:val="24"/>
        </w:rPr>
        <w:t xml:space="preserve">was </w:t>
      </w:r>
      <w:r w:rsidR="00044627" w:rsidRPr="00922C73">
        <w:rPr>
          <w:rFonts w:ascii="Times New Roman" w:hAnsi="Times New Roman" w:cs="Times New Roman"/>
          <w:sz w:val="24"/>
          <w:szCs w:val="24"/>
        </w:rPr>
        <w:t>used</w:t>
      </w:r>
      <w:r w:rsidR="0038630D" w:rsidRPr="00922C73">
        <w:rPr>
          <w:rFonts w:ascii="Times New Roman" w:hAnsi="Times New Roman" w:cs="Times New Roman"/>
          <w:sz w:val="24"/>
          <w:szCs w:val="24"/>
        </w:rPr>
        <w:t xml:space="preserve"> for </w:t>
      </w:r>
      <w:r w:rsidR="00B923A3" w:rsidRPr="00922C73">
        <w:rPr>
          <w:rFonts w:ascii="Times New Roman" w:hAnsi="Times New Roman" w:cs="Times New Roman"/>
          <w:sz w:val="24"/>
          <w:szCs w:val="24"/>
        </w:rPr>
        <w:t xml:space="preserve">serological selection of two phage display libraries to identify </w:t>
      </w:r>
      <w:r w:rsidR="00044627" w:rsidRPr="00922C73">
        <w:rPr>
          <w:rFonts w:ascii="Times New Roman" w:hAnsi="Times New Roman" w:cs="Times New Roman"/>
          <w:sz w:val="24"/>
          <w:szCs w:val="24"/>
        </w:rPr>
        <w:t xml:space="preserve">linear and conformational </w:t>
      </w:r>
      <w:r w:rsidR="0038630D" w:rsidRPr="00922C73">
        <w:rPr>
          <w:rFonts w:ascii="Times New Roman" w:hAnsi="Times New Roman" w:cs="Times New Roman"/>
          <w:sz w:val="24"/>
          <w:szCs w:val="24"/>
        </w:rPr>
        <w:t>epitop</w:t>
      </w:r>
      <w:r w:rsidR="00B923A3" w:rsidRPr="00922C73">
        <w:rPr>
          <w:rFonts w:ascii="Times New Roman" w:hAnsi="Times New Roman" w:cs="Times New Roman"/>
          <w:sz w:val="24"/>
          <w:szCs w:val="24"/>
        </w:rPr>
        <w:t>es</w:t>
      </w:r>
      <w:r w:rsidR="0038630D" w:rsidRPr="00922C73">
        <w:rPr>
          <w:rFonts w:ascii="Times New Roman" w:hAnsi="Times New Roman" w:cs="Times New Roman"/>
          <w:sz w:val="24"/>
          <w:szCs w:val="24"/>
        </w:rPr>
        <w:t xml:space="preserve">.  </w:t>
      </w:r>
    </w:p>
    <w:p w14:paraId="6FD99CAA" w14:textId="77777777" w:rsidR="002A7029" w:rsidRPr="00922C73" w:rsidRDefault="002A7029" w:rsidP="00142532">
      <w:pPr>
        <w:spacing w:line="480" w:lineRule="auto"/>
        <w:rPr>
          <w:rFonts w:ascii="Times New Roman" w:hAnsi="Times New Roman" w:cs="Times New Roman"/>
          <w:sz w:val="24"/>
          <w:szCs w:val="24"/>
        </w:rPr>
      </w:pPr>
    </w:p>
    <w:p w14:paraId="7C58403D" w14:textId="64B5541D" w:rsidR="00E61241" w:rsidRPr="00922C73" w:rsidRDefault="00642B6D" w:rsidP="00E61241">
      <w:pPr>
        <w:keepNext/>
        <w:spacing w:line="480" w:lineRule="auto"/>
      </w:pPr>
      <w:r w:rsidRPr="00922C73">
        <w:rPr>
          <w:noProof/>
        </w:rPr>
        <w:lastRenderedPageBreak/>
        <w:drawing>
          <wp:inline distT="0" distB="0" distL="0" distR="0" wp14:anchorId="1B68B7BA" wp14:editId="34F64B85">
            <wp:extent cx="5581650" cy="4021472"/>
            <wp:effectExtent l="0" t="0" r="0" b="0"/>
            <wp:docPr id="318033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33674" name=""/>
                    <pic:cNvPicPr/>
                  </pic:nvPicPr>
                  <pic:blipFill rotWithShape="1">
                    <a:blip r:embed="rId32">
                      <a:extLst>
                        <a:ext uri="{96DAC541-7B7A-43D3-8B79-37D633B846F1}">
                          <asvg:svgBlip xmlns:asvg="http://schemas.microsoft.com/office/drawing/2016/SVG/main" r:embed="rId33"/>
                        </a:ext>
                      </a:extLst>
                    </a:blip>
                    <a:srcRect l="16050" t="3351" r="18083" b="8956"/>
                    <a:stretch/>
                  </pic:blipFill>
                  <pic:spPr bwMode="auto">
                    <a:xfrm>
                      <a:off x="0" y="0"/>
                      <a:ext cx="5642039" cy="4064981"/>
                    </a:xfrm>
                    <a:prstGeom prst="rect">
                      <a:avLst/>
                    </a:prstGeom>
                    <a:ln>
                      <a:noFill/>
                    </a:ln>
                    <a:extLst>
                      <a:ext uri="{53640926-AAD7-44D8-BBD7-CCE9431645EC}">
                        <a14:shadowObscured xmlns:a14="http://schemas.microsoft.com/office/drawing/2010/main"/>
                      </a:ext>
                    </a:extLst>
                  </pic:spPr>
                </pic:pic>
              </a:graphicData>
            </a:graphic>
          </wp:inline>
        </w:drawing>
      </w:r>
    </w:p>
    <w:p w14:paraId="6F43D4A9" w14:textId="10D502BB" w:rsidR="00044627" w:rsidRPr="00922C73" w:rsidRDefault="00E61241" w:rsidP="002A7029">
      <w:pPr>
        <w:pStyle w:val="Caption"/>
        <w:rPr>
          <w:rFonts w:ascii="Times New Roman" w:hAnsi="Times New Roman" w:cs="Times New Roman"/>
          <w:sz w:val="24"/>
          <w:szCs w:val="24"/>
        </w:rPr>
      </w:pPr>
      <w:bookmarkStart w:id="83" w:name="_Toc139397311"/>
      <w:bookmarkStart w:id="84" w:name="_Toc151020656"/>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11</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Workflow </w:t>
      </w:r>
      <w:r w:rsidR="006E56D3" w:rsidRPr="00922C73">
        <w:rPr>
          <w:rFonts w:ascii="Times New Roman" w:hAnsi="Times New Roman" w:cs="Times New Roman"/>
          <w:sz w:val="24"/>
          <w:szCs w:val="24"/>
        </w:rPr>
        <w:t>for</w:t>
      </w:r>
      <w:r w:rsidRPr="00922C73">
        <w:rPr>
          <w:rFonts w:ascii="Times New Roman" w:hAnsi="Times New Roman" w:cs="Times New Roman"/>
          <w:sz w:val="24"/>
          <w:szCs w:val="24"/>
        </w:rPr>
        <w:t xml:space="preserve"> </w:t>
      </w:r>
      <w:r w:rsidR="006E56D3" w:rsidRPr="00922C73">
        <w:rPr>
          <w:rFonts w:ascii="Times New Roman" w:hAnsi="Times New Roman" w:cs="Times New Roman"/>
          <w:sz w:val="24"/>
          <w:szCs w:val="24"/>
        </w:rPr>
        <w:t xml:space="preserve">the </w:t>
      </w:r>
      <w:r w:rsidRPr="00922C73">
        <w:rPr>
          <w:rFonts w:ascii="Times New Roman" w:hAnsi="Times New Roman" w:cs="Times New Roman"/>
          <w:sz w:val="24"/>
          <w:szCs w:val="24"/>
        </w:rPr>
        <w:t>PhD.</w:t>
      </w:r>
      <w:bookmarkEnd w:id="83"/>
      <w:bookmarkEnd w:id="84"/>
    </w:p>
    <w:p w14:paraId="3661ADEE" w14:textId="77777777" w:rsidR="00A61C66" w:rsidRPr="00922C73" w:rsidRDefault="00A61C66" w:rsidP="00992B8A">
      <w:pPr>
        <w:rPr>
          <w:rFonts w:ascii="Times New Roman" w:hAnsi="Times New Roman" w:cs="Times New Roman"/>
          <w:sz w:val="24"/>
          <w:szCs w:val="24"/>
        </w:rPr>
      </w:pPr>
    </w:p>
    <w:p w14:paraId="41B00C4F" w14:textId="77777777" w:rsidR="00E61241" w:rsidRPr="00922C73" w:rsidRDefault="00E61241" w:rsidP="00992B8A">
      <w:pPr>
        <w:rPr>
          <w:rFonts w:ascii="Times New Roman" w:hAnsi="Times New Roman" w:cs="Times New Roman"/>
          <w:sz w:val="24"/>
          <w:szCs w:val="24"/>
        </w:rPr>
      </w:pPr>
    </w:p>
    <w:p w14:paraId="0F5C3565" w14:textId="77777777" w:rsidR="009F5711" w:rsidRPr="00922C73" w:rsidRDefault="009F5711" w:rsidP="00992B8A">
      <w:pPr>
        <w:rPr>
          <w:rFonts w:ascii="Times New Roman" w:hAnsi="Times New Roman" w:cs="Times New Roman"/>
          <w:sz w:val="24"/>
          <w:szCs w:val="24"/>
        </w:rPr>
      </w:pPr>
    </w:p>
    <w:p w14:paraId="78FBF74F" w14:textId="77777777" w:rsidR="009F5711" w:rsidRPr="00922C73" w:rsidRDefault="009F5711" w:rsidP="00992B8A">
      <w:pPr>
        <w:rPr>
          <w:rFonts w:ascii="Times New Roman" w:hAnsi="Times New Roman" w:cs="Times New Roman"/>
          <w:sz w:val="24"/>
          <w:szCs w:val="24"/>
        </w:rPr>
      </w:pPr>
    </w:p>
    <w:p w14:paraId="0E8965FC" w14:textId="77777777" w:rsidR="009F5711" w:rsidRPr="00922C73" w:rsidRDefault="009F5711" w:rsidP="00992B8A">
      <w:pPr>
        <w:rPr>
          <w:rFonts w:ascii="Times New Roman" w:hAnsi="Times New Roman" w:cs="Times New Roman"/>
          <w:sz w:val="24"/>
          <w:szCs w:val="24"/>
        </w:rPr>
      </w:pPr>
    </w:p>
    <w:p w14:paraId="1DC6C65B" w14:textId="77777777" w:rsidR="009F5711" w:rsidRPr="00922C73" w:rsidRDefault="009F5711" w:rsidP="00992B8A">
      <w:pPr>
        <w:rPr>
          <w:rFonts w:ascii="Times New Roman" w:hAnsi="Times New Roman" w:cs="Times New Roman"/>
          <w:sz w:val="24"/>
          <w:szCs w:val="24"/>
        </w:rPr>
      </w:pPr>
    </w:p>
    <w:p w14:paraId="1F3DF7C5" w14:textId="77777777" w:rsidR="009F5711" w:rsidRPr="00922C73" w:rsidRDefault="009F5711" w:rsidP="00992B8A">
      <w:pPr>
        <w:rPr>
          <w:rFonts w:ascii="Times New Roman" w:hAnsi="Times New Roman" w:cs="Times New Roman"/>
          <w:sz w:val="24"/>
          <w:szCs w:val="24"/>
        </w:rPr>
      </w:pPr>
    </w:p>
    <w:p w14:paraId="1DEF45FB" w14:textId="77777777" w:rsidR="009F5711" w:rsidRPr="00922C73" w:rsidRDefault="009F5711" w:rsidP="00992B8A">
      <w:pPr>
        <w:rPr>
          <w:rFonts w:ascii="Times New Roman" w:hAnsi="Times New Roman" w:cs="Times New Roman"/>
          <w:sz w:val="24"/>
          <w:szCs w:val="24"/>
        </w:rPr>
      </w:pPr>
    </w:p>
    <w:p w14:paraId="718D523F" w14:textId="77777777" w:rsidR="009F5711" w:rsidRPr="00922C73" w:rsidRDefault="009F5711" w:rsidP="00992B8A">
      <w:pPr>
        <w:rPr>
          <w:rFonts w:ascii="Times New Roman" w:hAnsi="Times New Roman" w:cs="Times New Roman"/>
          <w:sz w:val="24"/>
          <w:szCs w:val="24"/>
        </w:rPr>
      </w:pPr>
    </w:p>
    <w:p w14:paraId="0300D453" w14:textId="16F5FE0B" w:rsidR="00DB58DD" w:rsidRPr="00922C73" w:rsidRDefault="00223E78" w:rsidP="00020303">
      <w:pPr>
        <w:pStyle w:val="Heading1"/>
        <w:spacing w:line="480" w:lineRule="auto"/>
        <w:jc w:val="left"/>
        <w:rPr>
          <w:rFonts w:ascii="Times New Roman" w:eastAsiaTheme="minorHAnsi" w:hAnsi="Times New Roman" w:cs="Times New Roman"/>
          <w:sz w:val="32"/>
          <w:szCs w:val="32"/>
          <w:u w:val="single"/>
        </w:rPr>
      </w:pPr>
      <w:bookmarkStart w:id="85" w:name="_Toc151020473"/>
      <w:bookmarkEnd w:id="82"/>
      <w:r w:rsidRPr="00922C73">
        <w:rPr>
          <w:rFonts w:ascii="Times New Roman" w:hAnsi="Times New Roman" w:cs="Times New Roman"/>
          <w:sz w:val="32"/>
          <w:szCs w:val="32"/>
          <w:u w:val="single"/>
        </w:rPr>
        <w:lastRenderedPageBreak/>
        <w:t xml:space="preserve">Chapter </w:t>
      </w:r>
      <w:r w:rsidR="009F5711" w:rsidRPr="00922C73">
        <w:rPr>
          <w:rFonts w:ascii="Times New Roman" w:hAnsi="Times New Roman" w:cs="Times New Roman"/>
          <w:sz w:val="32"/>
          <w:szCs w:val="32"/>
          <w:u w:val="single"/>
        </w:rPr>
        <w:t>2</w:t>
      </w:r>
      <w:r w:rsidR="00DB58DD" w:rsidRPr="00922C73">
        <w:rPr>
          <w:rFonts w:ascii="Times New Roman" w:hAnsi="Times New Roman" w:cs="Times New Roman"/>
          <w:sz w:val="32"/>
          <w:szCs w:val="32"/>
          <w:u w:val="single"/>
        </w:rPr>
        <w:t xml:space="preserve">: </w:t>
      </w:r>
      <w:r w:rsidR="00D20674" w:rsidRPr="00922C73">
        <w:rPr>
          <w:rFonts w:ascii="Times New Roman" w:hAnsi="Times New Roman" w:cs="Times New Roman"/>
          <w:sz w:val="32"/>
          <w:szCs w:val="32"/>
          <w:u w:val="single"/>
          <w:shd w:val="clear" w:color="auto" w:fill="FFFFFF"/>
        </w:rPr>
        <w:t>High prevalence of antibodies to infliximab and their relation to clinical outcomes in inflammatory bowel disease patients</w:t>
      </w:r>
      <w:bookmarkStart w:id="86" w:name="_Hlk77858314"/>
      <w:bookmarkEnd w:id="85"/>
    </w:p>
    <w:p w14:paraId="28C308F9" w14:textId="77777777" w:rsidR="006A5F1A" w:rsidRPr="00922C73" w:rsidRDefault="006A5F1A" w:rsidP="00020303">
      <w:pPr>
        <w:spacing w:after="0" w:line="480" w:lineRule="auto"/>
        <w:contextualSpacing/>
        <w:jc w:val="left"/>
        <w:rPr>
          <w:rFonts w:ascii="Times New Roman" w:hAnsi="Times New Roman" w:cs="Times New Roman"/>
          <w:sz w:val="24"/>
          <w:szCs w:val="24"/>
          <w:shd w:val="clear" w:color="auto" w:fill="FFFFFF"/>
        </w:rPr>
      </w:pPr>
    </w:p>
    <w:p w14:paraId="4CFF3B55" w14:textId="76940CFC" w:rsidR="006A5F1A" w:rsidRPr="00922C73" w:rsidRDefault="006A5F1A" w:rsidP="00020303">
      <w:pPr>
        <w:spacing w:after="0" w:line="480" w:lineRule="auto"/>
        <w:contextualSpacing/>
        <w:jc w:val="left"/>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This chapter has been published:</w:t>
      </w:r>
    </w:p>
    <w:bookmarkEnd w:id="86"/>
    <w:p w14:paraId="0A88EBE5" w14:textId="34F12713" w:rsidR="006A5F1A" w:rsidRPr="00922C73" w:rsidRDefault="006A5F1A" w:rsidP="00020303">
      <w:pPr>
        <w:spacing w:after="0" w:line="480" w:lineRule="auto"/>
        <w:contextualSpacing/>
        <w:jc w:val="left"/>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Tun, GSZ, Downey, R, Robinson, K, et al. High prevalence of antibodies to infliximab and their relation to clinical outcomes in inflammatory bowel disease patients. </w:t>
      </w:r>
      <w:proofErr w:type="spellStart"/>
      <w:r w:rsidRPr="00922C73">
        <w:rPr>
          <w:rFonts w:ascii="Times New Roman" w:hAnsi="Times New Roman" w:cs="Times New Roman"/>
          <w:i/>
          <w:iCs/>
          <w:sz w:val="24"/>
          <w:szCs w:val="24"/>
          <w:shd w:val="clear" w:color="auto" w:fill="FFFFFF"/>
        </w:rPr>
        <w:t>GastroHep</w:t>
      </w:r>
      <w:proofErr w:type="spellEnd"/>
      <w:r w:rsidRPr="00922C73">
        <w:rPr>
          <w:rFonts w:ascii="Times New Roman" w:hAnsi="Times New Roman" w:cs="Times New Roman"/>
          <w:sz w:val="24"/>
          <w:szCs w:val="24"/>
          <w:shd w:val="clear" w:color="auto" w:fill="FFFFFF"/>
        </w:rPr>
        <w:t>. </w:t>
      </w:r>
    </w:p>
    <w:p w14:paraId="127742B5" w14:textId="6DE0DF14" w:rsidR="00020303" w:rsidRPr="00922C73" w:rsidRDefault="006A5F1A" w:rsidP="00020303">
      <w:pPr>
        <w:spacing w:after="0" w:line="480" w:lineRule="auto"/>
        <w:contextualSpacing/>
        <w:jc w:val="left"/>
        <w:rPr>
          <w:rFonts w:ascii="Times New Roman" w:hAnsi="Times New Roman" w:cs="Times New Roman"/>
          <w:sz w:val="24"/>
          <w:szCs w:val="24"/>
        </w:rPr>
      </w:pPr>
      <w:r w:rsidRPr="00922C73">
        <w:rPr>
          <w:rFonts w:ascii="Times New Roman" w:hAnsi="Times New Roman" w:cs="Times New Roman"/>
          <w:sz w:val="24"/>
          <w:szCs w:val="24"/>
          <w:shd w:val="clear" w:color="auto" w:fill="FFFFFF"/>
        </w:rPr>
        <w:t>2019; 1: 214– 222. </w:t>
      </w:r>
      <w:hyperlink r:id="rId34" w:history="1">
        <w:r w:rsidRPr="00922C73">
          <w:rPr>
            <w:rFonts w:ascii="Times New Roman" w:hAnsi="Times New Roman" w:cs="Times New Roman"/>
            <w:sz w:val="24"/>
            <w:szCs w:val="24"/>
            <w:u w:val="single"/>
            <w:shd w:val="clear" w:color="auto" w:fill="FFFFFF"/>
          </w:rPr>
          <w:t>https://doi.org/10.1002/ygh2.363</w:t>
        </w:r>
      </w:hyperlink>
      <w:r w:rsidR="00710D17" w:rsidRPr="00922C73">
        <w:rPr>
          <w:rFonts w:ascii="Times New Roman" w:hAnsi="Times New Roman" w:cs="Times New Roman"/>
          <w:sz w:val="24"/>
          <w:szCs w:val="24"/>
          <w:u w:val="single"/>
          <w:shd w:val="clear" w:color="auto" w:fill="FFFFFF"/>
        </w:rPr>
        <w:t>.</w:t>
      </w:r>
    </w:p>
    <w:p w14:paraId="621E5BBB" w14:textId="77777777" w:rsidR="006A5F1A" w:rsidRPr="00922C73" w:rsidRDefault="006A5F1A" w:rsidP="00020303">
      <w:pPr>
        <w:spacing w:after="0" w:line="480" w:lineRule="auto"/>
        <w:contextualSpacing/>
        <w:jc w:val="left"/>
        <w:rPr>
          <w:rFonts w:ascii="Times New Roman" w:hAnsi="Times New Roman" w:cs="Times New Roman"/>
          <w:sz w:val="24"/>
          <w:szCs w:val="24"/>
        </w:rPr>
      </w:pPr>
    </w:p>
    <w:p w14:paraId="68F415ED" w14:textId="41EB0085" w:rsidR="00020303" w:rsidRPr="00922C73" w:rsidRDefault="00020303" w:rsidP="00B83118">
      <w:pPr>
        <w:pStyle w:val="Heading2"/>
        <w:numPr>
          <w:ilvl w:val="1"/>
          <w:numId w:val="42"/>
        </w:numPr>
        <w:spacing w:line="480" w:lineRule="auto"/>
        <w:rPr>
          <w:rFonts w:ascii="Times New Roman" w:hAnsi="Times New Roman" w:cs="Times New Roman"/>
          <w:sz w:val="24"/>
          <w:szCs w:val="24"/>
        </w:rPr>
      </w:pPr>
      <w:bookmarkStart w:id="87" w:name="_Toc151020474"/>
      <w:r w:rsidRPr="00922C73">
        <w:rPr>
          <w:rFonts w:ascii="Times New Roman" w:hAnsi="Times New Roman" w:cs="Times New Roman"/>
          <w:sz w:val="24"/>
          <w:szCs w:val="24"/>
        </w:rPr>
        <w:t>Introduction</w:t>
      </w:r>
      <w:bookmarkEnd w:id="87"/>
    </w:p>
    <w:p w14:paraId="61E427C8" w14:textId="3281A1D8" w:rsidR="00020303" w:rsidRPr="00922C73" w:rsidRDefault="00020303" w:rsidP="00020303">
      <w:pPr>
        <w:spacing w:after="0" w:line="480" w:lineRule="auto"/>
        <w:contextualSpacing/>
        <w:jc w:val="left"/>
        <w:rPr>
          <w:rFonts w:ascii="Times New Roman" w:hAnsi="Times New Roman" w:cs="Times New Roman"/>
          <w:sz w:val="24"/>
          <w:szCs w:val="24"/>
        </w:rPr>
      </w:pPr>
      <w:r w:rsidRPr="00922C73">
        <w:rPr>
          <w:rFonts w:ascii="Times New Roman" w:hAnsi="Times New Roman" w:cs="Times New Roman"/>
          <w:sz w:val="24"/>
          <w:szCs w:val="24"/>
        </w:rPr>
        <w:t>Infliximab, a chimeric, monoclonal IgG1 antibody to tumour necrosis factor‐α, is used to induce and maintain remission in inflammatory bowel disease. A target therapeutic window of 3‐7 mg/L has been suggested based on the association of response and remission with these levels</w:t>
      </w:r>
      <w:r w:rsidR="00CC6CDE" w:rsidRPr="00922C73">
        <w:rPr>
          <w:rFonts w:ascii="Times New Roman" w:hAnsi="Times New Roman" w:cs="Times New Roman"/>
          <w:sz w:val="24"/>
          <w:szCs w:val="24"/>
        </w:rPr>
        <w:t xml:space="preserve"> </w:t>
      </w:r>
      <w:r w:rsidR="00CC6CDE"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Disease","type":"article-journal","volume":"148"},"uris":["http://www.mendeley.com/documents/?uuid=fe4b8cc4-2ab7-4960-a991-09dacd224038"]},{"id":"ITEM-2","itemData":{"DOI":"10.1136/gutjnl-2012-304094","ISBN":"00175749","ISSN":"0017-5749","PMID":"24474383","abstract":"BACKGROUND: Serum infliximab trough levels correlate with efficacy; dose escalation is often beneficial in patients with Crohn's disease who stop responding to infliximab treatment.\\n\\nOBJECTIVE: To carry out a post hoc analysis of A Crohn's Disease Clinical Trial Evaluating Infliximab in a New Long-term Treatment Regimen I (ACCENT I) to evaluate the association between serum infliximab trough levels and C-reactive protein (CRP) after 14 weeks of induction treatment with durable sustained long-term response (Crohn's Disease Activity Index decrease ≥70 points and reduction ≥25% from baseline).\\n\\nDESIGN: ACCENT I was a multicentre, randomised, placebo-controlled study. Week 14 trough levels and CRP percentage decrease from baseline to week 14 were compared between patients with and without durable sustained response through week 54. Sensitivity and specificity were determined to predict durable sustained response. Receiver operating characteristic (ROC) curves identified optimal cut-off points; logistic regression determined ORs.\\n\\nRESULTS: After induction with 5 mg/kg infliximab, 25% (37/147) and 33% (47/144) of patients sustained week 14 response to infliximab 5 or 10 mg/kg, respectively, administered every 8 weeks without dose escalation, through week 54. Median week 14 trough levels of patients with and without durable sustained response to infliximab 5 mg/kg were 4.0 and 1.9 μg/mL, respectively (p=0.0331). Optimal predictors of durable sustained response to maintenance infliximab 5 mg/kg were week 14 trough level ≥3.5 µg/mL and ≥60% CRP decrease (ORs (95% CI), 3.5 (1.1 to 11.4) and 7.3 (1.4 to 36.7)), respectively, in patients with raised baseline CRP (&gt;8.0 mg/L); area under the ROC curve was 0.75 for both predictors. A ≥3.5 µg/mL week 14 infliximab serum level did not predict durable sustained response to 10 mg/kg maintenance infliximab.\\n\\nCONCLUSIONS: Patients with durable sustained response to maintenance infliximab 5 mg/kg had higher postinduction trough levels than patients without durable sustained response. Serum infliximab trough levels ≥3.5 µg/mL and ≥60% CRP decrease were significantly associated with durable sustained response.","author":[{"dropping-particle":"","family":"Cornillie","given":"Freddy","non-dropping-particle":"","parse-names":false,"suffix":""},{"dropping-particle":"","family":"Hanauer","given":"Stephen B","non-dropping-particle":"","parse-names":false,"suffix":""},{"dropping-particle":"","family":"Diamond","given":"Robert H","non-dropping-particle":"","parse-names":false,"suffix":""},{"dropping-particle":"","family":"Wang","given":"Jianping","non-dropping-particle":"","parse-names":false,"suffix":""},{"dropping-particle":"","family":"Tang","given":"Kezhen L","non-dropping-particle":"","parse-names":false,"suffix":""},{"dropping-particle":"","family":"Xu","given":"Zhenhua","non-dropping-particle":"","parse-names":false,"suffix":""},{"dropping-particle":"","family":"Rutgeerts","given":"Paul","non-dropping-particle":"","parse-names":false,"suffix":""},{"dropping-particle":"","family":"Vermeire","given":"Séverine","non-dropping-particle":"","parse-names":false,"suffix":""}],"container-title":"Gut","id":"ITEM-2","issue":"11","issued":{"date-parts":[["2014","11"]]},"page":"1721-1727","title":"Postinduction serum infliximab trough level and decrease of C-reactive protein level are associated with durable sustained response to infliximab: a retrospective analysis of the ACCENT I trial","type":"article-journal","volume":"63"},"uris":["http://www.mendeley.com/documents/?uuid=5bc1cc6e-31a5-41f4-8058-17b912329744"]}],"mendeley":{"formattedCitation":"&lt;sup&gt;119,120&lt;/sup&gt;","plainTextFormattedCitation":"119,120","previouslyFormattedCitation":"&lt;sup&gt;119,120&lt;/sup&gt;"},"properties":{"noteIndex":0},"schema":"https://github.com/citation-style-language/schema/raw/master/csl-citation.json"}</w:instrText>
      </w:r>
      <w:r w:rsidR="00CC6CDE"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119,120</w:t>
      </w:r>
      <w:r w:rsidR="00CC6CDE" w:rsidRPr="00922C73">
        <w:rPr>
          <w:rFonts w:ascii="Times New Roman" w:hAnsi="Times New Roman" w:cs="Times New Roman"/>
          <w:sz w:val="24"/>
          <w:szCs w:val="24"/>
        </w:rPr>
        <w:fldChar w:fldCharType="end"/>
      </w:r>
      <w:r w:rsidR="00CC6CDE" w:rsidRPr="00922C73">
        <w:rPr>
          <w:rFonts w:ascii="Times New Roman" w:hAnsi="Times New Roman" w:cs="Times New Roman"/>
          <w:sz w:val="24"/>
          <w:szCs w:val="24"/>
        </w:rPr>
        <w:t>.</w:t>
      </w:r>
    </w:p>
    <w:p w14:paraId="0820521C" w14:textId="77777777" w:rsidR="00CC6CDE" w:rsidRPr="00922C73" w:rsidRDefault="00CC6CDE" w:rsidP="00020303">
      <w:pPr>
        <w:spacing w:after="0" w:line="480" w:lineRule="auto"/>
        <w:contextualSpacing/>
        <w:jc w:val="left"/>
        <w:rPr>
          <w:rFonts w:ascii="Times New Roman" w:hAnsi="Times New Roman" w:cs="Times New Roman"/>
          <w:sz w:val="24"/>
          <w:szCs w:val="24"/>
        </w:rPr>
      </w:pPr>
    </w:p>
    <w:p w14:paraId="5B58611D" w14:textId="7C2F1423" w:rsidR="00020303" w:rsidRPr="00922C73" w:rsidRDefault="00020303" w:rsidP="002B2DB4">
      <w:pPr>
        <w:spacing w:after="0" w:line="480" w:lineRule="auto"/>
        <w:contextualSpacing/>
        <w:jc w:val="left"/>
        <w:rPr>
          <w:rFonts w:ascii="Times New Roman" w:hAnsi="Times New Roman" w:cs="Times New Roman"/>
          <w:sz w:val="24"/>
          <w:szCs w:val="24"/>
        </w:rPr>
      </w:pPr>
      <w:r w:rsidRPr="00922C73">
        <w:rPr>
          <w:rFonts w:ascii="Times New Roman" w:hAnsi="Times New Roman" w:cs="Times New Roman"/>
          <w:sz w:val="24"/>
          <w:szCs w:val="24"/>
        </w:rPr>
        <w:t>Antibodies to infliximab (ATI) can complicate treatment with infliximab and are associated with reduced drug levels, loss of response and infusion reactions though the association with the latter two outcomes is not consistent</w:t>
      </w:r>
      <w:r w:rsidR="00CC6CDE" w:rsidRPr="00922C73">
        <w:rPr>
          <w:rFonts w:ascii="Times New Roman" w:hAnsi="Times New Roman" w:cs="Times New Roman"/>
          <w:sz w:val="24"/>
          <w:szCs w:val="24"/>
        </w:rPr>
        <w:t xml:space="preserve"> </w:t>
      </w:r>
      <w:r w:rsidR="00CC6CDE"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{"citationItems":[{"id":"ITEM-1","itemData":{"DOI":"10.1136/gut.2009.183095","ISBN":"1468-3288 (Electronic)\\n0017-5749 (Linking)","ISSN":"0017-5749","PMID":"19651627","abstract":"BACKGROUND AND AIMS Antibodies to infliximab reduce serum infliximab with loss of clinical benefit, but undetectable trough serum concentrations of infliximab may occur without antibody formation. The relationship between trough serum infliximab and clinical outcomes was evaluated in acute ulcerative colitis. METHODS In a cohort of 115 patients with ulcerative colitis treated with three-dose induction followed by scheduled maintenance infliximab, rates of clinical remission, colectomy, antibodies to infliximab and trough serum infliximab were determined. RESULTS Rates of remission were 32% at week 10 and 37% at week 54. Colectomy occurred in 40% of patients, at a median of 5.3 (IQR 1.9-12.1) months. Detectable trough serum infliximab was present in 39% of patients and, among patients with undetectable infliximab, 41% were antibody positive and 20% were antibody negative. For antibody-positive and antibody-negative patients, rates of remission (18% vs 14%), endoscopic improvement (25% vs 35%) and colectomy (52% vs 59%) were not different. A detectable serum infliximab was associated with higher rates of remission (69% vs 15%; p&lt;0.001) and endoscopic improvement (76% vs 28%, p&lt;0.001). An undetectable serum infliximab predicted an increased risk for colectomy (55% vs 7%, OR 9.3; 95% CI 2.9 to 29.9; p&lt;0.001). Concurrent immunosuppression was not associated with clinical outcomes. CONCLUSIONS For patients with ulcerative colitis treated with infliximab, a detectable trough serum infliximab predicts clinical remission, endoscopic improvement and a lower risk for colectomy. An undetectable trough serum infliximab, irrespective of antibody status, is associated with less favourable outcomes.","author":[{"dropping-particle":"","family":"Seow","given":"C H","non-dropping-particle":"","parse-names":false,"suffix":""},{"dropping-particle":"","family":"Newman","given":"A","non-dropping-particle":"","parse-names":false,"suffix":""},{"dropping-particle":"","family":"Irwin","given":"S P","non-dropping-particle":"","parse-names":false,"suffix":""},{"dropping-particle":"","family":"Steinhart","given":"A H","non-dropping-particle":"","parse-names":false,"suffix":""},{"dropping-particle":"","family":"Silverberg","given":"M S","non-dropping-particle":"","parse-names":false,"suffix":""},{"dropping-particle":"","family":"Greenberg","given":"G R","non-dropping-particle":"","parse-names":false,"suffix":""}],"container-title":"Gut","id":"ITEM-1","issue":"01","issued":{"date-parts":[["2010","1"]]},"page":"49-54","title":"Trough serum infliximab: a predictive factor of clinical outcome for infliximab treatment in acute ulcerative colitis","type":"article-journal","volume":"59"},"uris":["http://www.mendeley.com/documents/?uuid=b8ff4b5b-fcc7-4584-bca8-14dd611cf37c"]},{"id":"ITEM-2","itemData":{"DOI":"10.1136/gutjnl-2014-307883","ISBN":"0017-5749","ISSN":"0017-5749","PMID":"25336114","abstract":"OBJECTIVE Although low infliximab trough concentrations and antibodies to infliximab (ATI) are associated with poor outcomes in patients with Crohn's disease (CD), the clinical relevance of ATI in patients with adequate infliximab concentrations is uncertain. We evaluated this question using an assay sensitive for identification of ATI in the presence of infliximab. DESIGN In an observational study, 1487 trough serum samples from 483 patients with CD who participated in four clinical studies of maintenance infliximab therapy were analysed using a fluid phase mobility shift assay. Infliximab and ATI concentrations most discriminant for remission, defined as a C-reactive protein concentration of ≤ 5 mg/L, were determined by receiver operating characteristic curves. A multivariable regression model evaluated these factors as independent predictors of remission. RESULTS Based upon analysis of 1487 samples, 77.1% of patients had detectable and 22.9% had undetectable infliximab concentrations, of which 9.5% and 71.8%, respectively, were positive for ATI. An infliximab concentration of &gt; 2.79 μg/mL (area under the curve (AUC) = 0.681; 95% CI 0.632 to 0.731) and ATI concentration of &lt; 3.15 U/mL (AUC = 0.632; 95% CI 0.589 to 0.676) were associated with remission. Multivariable analysis showed that concentrations of both infliximab trough (OR 1.8; 95% CI 1.3 to 2.5; p &lt; 0.001) and ATI (OR 0.57; 95% CI 0.39 to 0.81; p = 0.002) were independent predictors of remission. CONCLUSIONS The development of ATI increases the probability of active disease even at low concentrations and in the presence of a therapeutic concentration of drug during infliximab maintenance therapy. Evaluation of strategies to prevent ATI formation, including therapeutic drug monitoring with selective infliximab dose intensification, is needed.","author":[{"dropping-particle":"","family":"Casteele","given":"Niels","non-dropping-particle":"Vande","parse-names":false,"suffix":""},{"dropping-particle":"","family":"Khanna","given":"Reena","non-dropping-particle":"","parse-names":false,"suffix":""},{"dropping-particle":"","family":"Levesque","given":"Barrett G","non-dropping-particle":"","parse-names":false,"suffix":""},{"dropping-particle":"","family":"Stitt","given":"Larry","non-dropping-particle":"","parse-names":false,"suffix":""},{"dropping-particle":"","family":"Zou","given":"G Y","non-dropping-particle":"","parse-names":false,"suffix":""},{"dropping-particle":"","family":"Singh","given":"Sharat","non-dropping-particle":"","parse-names":false,"suffix":""},{"dropping-particle":"","family":"Lockton","given":"Steve","non-dropping-particle":"","parse-names":false,"suffix":""},{"dropping-particle":"","family":"Hauenstein","given":"Scott","non-dropping-particle":"","parse-names":false,"suffix":""},{"dropping-particle":"","family":"Ohrmund","given":"Linda","non-dropping-particle":"","parse-names":false,"suffix":""},{"dropping-particle":"","family":"Greenberg","given":"Gordon R","non-dropping-particle":"","parse-names":false,"suffix":""},{"dropping-particle":"","family":"Rutgeerts","given":"Paul J","non-dropping-particle":"","parse-names":false,"suffix":""},{"dropping-particle":"","family":"Gils","given":"Ann","non-dropping-particle":"","parse-names":false,"suffix":""},{"dropping-particle":"","family":"Sandborn","given":"William J","non-dropping-particle":"","parse-names":false,"suffix":""},{"dropping-particle":"","family":"Vermeire","given":"Séverine","non-dropping-particle":"","parse-names":false,"suffix":""},{"dropping-particle":"","family":"Feagan","given":"Brian G","non-dropping-particle":"","parse-names":false,"suffix":""}],"container-title":"Gut","id":"ITEM-2","issue":"10","issued":{"date-parts":[["2015","10"]]},"page":"1539-1545","title":"The relationship between infliximab concentrations, antibodies to infliximab and disease activity in Crohn's disease","type":"article-journal","volume":"64"},"uris":["http://www.mendeley.com/documents/?uuid=779feb1c-0258-4bcc-8e22-c9ba0e7cad4b"]},{"id":"ITEM-3","itemData":{"DOI":"10.1038/ajg.2012.363","ISBN":"0009-2665","ISSN":"0002-9270","PMID":"19772347","author":[{"dropping-particle":"","family":"Nanda","given":"Kavinderjit S","non-dropping-particle":"","parse-names":false,"suffix":""},{"dropping-particle":"","family":"Cheifetz","given":"Adam S","non-dropping-particle":"","parse-names":false,"suffix":""},{"dropping-particle":"","family":"Moss","given":"Alan C","non-dropping-particle":"","parse-names":false,"suffix":""}],"container-title":"The American Journal of Gastroenterology","id":"ITEM-3","issue":"1","issued":{"date-parts":[["2013","1"]]},"page":"40-47","title":"Impact of Antibodies to Infliximab on Clinical Outcomes and Serum Infliximab Levels in Patients With Inflammatory Bowel Disease (IBD): A Meta-Analysis","type":"article-journal","volume":"108"},"uris":["http://www.mendeley.com/documents/?uuid=97a419fd-5b25-4ab3-9989-8cd03a6c22b9"]},{"id":"ITEM-4","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Hepatology","id":"ITEM-4","issue":"9","issued":{"date-parts":[["2012","9"]]},"page":"1078-1085","title":"Anti-infliximab antibodies in inflammatory bowel disease","type":"article-journal","volume":"24"},"uris":["http://www.mendeley.com/documents/?uuid=be88c796-5731-4d66-ae3c-69c77792e881"]}],"mendeley":{"formattedCitation":"&lt;sup&gt;121,131,143,144&lt;/sup&gt;","plainTextFormattedCitation":"121,131,143,144","previouslyFormattedCitation":"&lt;sup&gt;121,131,143,144&lt;/sup&gt;"},"properties":{"noteIndex":0},"schema":"https://github.com/citation-style-language/schema/raw/master/csl-citation.json"}</w:instrText>
      </w:r>
      <w:r w:rsidR="00CC6CDE"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121,131,143,144</w:t>
      </w:r>
      <w:r w:rsidR="00CC6CDE" w:rsidRPr="00922C73">
        <w:rPr>
          <w:rFonts w:ascii="Times New Roman" w:hAnsi="Times New Roman" w:cs="Times New Roman"/>
          <w:sz w:val="24"/>
          <w:szCs w:val="24"/>
        </w:rPr>
        <w:fldChar w:fldCharType="end"/>
      </w:r>
      <w:r w:rsidR="00CC6CDE" w:rsidRPr="00922C73">
        <w:rPr>
          <w:rFonts w:ascii="Times New Roman" w:hAnsi="Times New Roman" w:cs="Times New Roman"/>
          <w:sz w:val="24"/>
          <w:szCs w:val="24"/>
        </w:rPr>
        <w:t>.</w:t>
      </w:r>
      <w:r w:rsidRPr="00922C73">
        <w:rPr>
          <w:rFonts w:ascii="Times New Roman" w:hAnsi="Times New Roman" w:cs="Times New Roman"/>
          <w:sz w:val="24"/>
          <w:szCs w:val="24"/>
        </w:rPr>
        <w:t xml:space="preserve"> There is also considerable variation in the reported prevalence of ATI—between 10% and 74%</w:t>
      </w:r>
      <w:r w:rsidR="00DA169B" w:rsidRPr="00922C73">
        <w:rPr>
          <w:rFonts w:ascii="Times New Roman" w:hAnsi="Times New Roman" w:cs="Times New Roman"/>
          <w:sz w:val="24"/>
          <w:szCs w:val="24"/>
        </w:rPr>
        <w:t xml:space="preserve"> </w:t>
      </w:r>
      <w:r w:rsidR="00DA169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Hepatology","id":"ITEM-1","issue":"9","issued":{"date-parts":[["2012","9"]]},"page":"1078-1085","title":"Anti-infliximab antibodies in inflammatory bowel disease","type":"article-journal","volume":"24"},"uris":["http://www.mendeley.com/documents/?uuid=be88c796-5731-4d66-ae3c-69c77792e881"]}],"mendeley":{"formattedCitation":"&lt;sup&gt;143&lt;/sup&gt;","plainTextFormattedCitation":"143","previouslyFormattedCitation":"&lt;sup&gt;143&lt;/sup&gt;"},"properties":{"noteIndex":0},"schema":"https://github.com/citation-style-language/schema/raw/master/csl-citation.json"}</w:instrText>
      </w:r>
      <w:r w:rsidR="00DA169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143</w:t>
      </w:r>
      <w:r w:rsidR="00DA169B" w:rsidRPr="00922C73">
        <w:rPr>
          <w:rFonts w:ascii="Times New Roman" w:hAnsi="Times New Roman" w:cs="Times New Roman"/>
          <w:sz w:val="24"/>
          <w:szCs w:val="24"/>
        </w:rPr>
        <w:fldChar w:fldCharType="end"/>
      </w:r>
      <w:r w:rsidRPr="00922C73">
        <w:rPr>
          <w:rFonts w:ascii="Times New Roman" w:hAnsi="Times New Roman" w:cs="Times New Roman"/>
          <w:sz w:val="24"/>
          <w:szCs w:val="24"/>
        </w:rPr>
        <w:t>. This may reflect the differing dosing regimens, different rates of concomitant immunosuppression, genetic predisposition, use of different assays and the timing of ATI measurement</w:t>
      </w:r>
      <w:r w:rsidR="00DA169B" w:rsidRPr="00922C73">
        <w:rPr>
          <w:rFonts w:ascii="Times New Roman" w:hAnsi="Times New Roman" w:cs="Times New Roman"/>
          <w:sz w:val="24"/>
          <w:szCs w:val="24"/>
        </w:rPr>
        <w:t xml:space="preserve"> </w:t>
      </w:r>
      <w:r w:rsidR="00DA169B"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{"citationItems":[{"id":"ITEM-1","itemData":{"DOI":"10.1136/gutjnl-2012-304094","ISBN":"00175749","ISSN":"0017-5749","PMID":"24474383","abstract":"BACKGROUND: Serum infliximab trough levels correlate with efficacy; dose escalation is often beneficial in patients with Crohn's disease who stop responding to infliximab treatment.\\n\\nOBJECTIVE: To carry out a post hoc analysis of A Crohn's Disease Clinical Trial Evaluating Infliximab in a New Long-term Treatment Regimen I (ACCENT I) to evaluate the association between serum infliximab trough levels and C-reactive protein (CRP) after 14 weeks of induction treatment with durable sustained long-term response (Crohn's Disease Activity Index decrease ≥70 points and reduction ≥25% from baseline).\\n\\nDESIGN: ACCENT I was a multicentre, randomised, placebo-controlled study. Week 14 trough levels and CRP percentage decrease from baseline to week 14 were compared between patients with and without durable sustained response through week 54. Sensitivity and specificity were determined to predict durable sustained response. Receiver operating characteristic (ROC) curves identified optimal cut-off points; logistic regression determined ORs.\\n\\nRESULTS: After induction with 5 mg/kg infliximab, 25% (37/147) and 33% (47/144) of patients sustained week 14 response to infliximab 5 or 10 mg/kg, respectively, administered every 8 weeks without dose escalation, through week 54. Median week 14 trough levels of patients with and without durable sustained response to infliximab 5 mg/kg were 4.0 and 1.9 μg/mL, respectively (p=0.0331). Optimal predictors of durable sustained response to maintenance infliximab 5 mg/kg were week 14 trough level ≥3.5 µg/mL and ≥60% CRP decrease (ORs (95% CI), 3.5 (1.1 to 11.4) and 7.3 (1.4 to 36.7)), respectively, in patients with raised baseline CRP (&gt;8.0 mg/L); area under the ROC curve was 0.75 for both predictors. A ≥3.5 µg/mL week 14 infliximab serum level did not predict durable sustained response to 10 mg/kg maintenance infliximab.\\n\\nCONCLUSIONS: Patients with durable sustained response to maintenance infliximab 5 mg/kg had higher postinduction trough levels than patients without durable sustained response. Serum infliximab trough levels ≥3.5 µg/mL and ≥60% CRP decrease were significantly associated with durable sustained response.","author":[{"dropping-particle":"","family":"Cornillie","given":"Freddy","non-dropping-particle":"","parse-names":false,"suffix":""},{"dropping-particle":"","family":"Hanauer","given":"Stephen B","non-dropping-particle":"","parse-names":false,"suffix":""},{"dropping-particle":"","family":"Diamond","given":"Robert H","non-dropping-particle":"","parse-names":false,"suffix":""},{"dropping-particle":"","family":"Wang","given":"Jianping","non-dropping-particle":"","parse-names":false,"suffix":""},{"dropping-particle":"","family":"Tang","given":"Kezhen L","non-dropping-particle":"","parse-names":false,"suffix":""},{"dropping-particle":"","family":"Xu","given":"Zhenhua","non-dropping-particle":"","parse-names":false,"suffix":""},{"dropping-particle":"","family":"Rutgeerts","given":"Paul","non-dropping-particle":"","parse-names":false,"suffix":""},{"dropping-particle":"","family":"Vermeire","given":"Séverine","non-dropping-particle":"","parse-names":false,"suffix":""}],"container-title":"Gut","id":"ITEM-1","issue":"11","issued":{"date-parts":[["2014","11"]]},"page":"1721-1727","title":"Postinduction serum infliximab trough level and decrease of C-reactive protein level are associated with durable sustained response to infliximab: a retrospective analysis of the ACCENT I trial","type":"article-journal","volume":"63"},"uris":["http://www.mendeley.com/documents/?uuid=5bc1cc6e-31a5-41f4-8058-17b912329744"]},{"id":"ITEM-2","itemData":{"DOI":"10.1053/j.gastro.2015.02.031","ISBN":"0016-5085","ISSN":"00165085","PMID":"25724455","abstract":"Background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-2","issue":"7","issued":{"date-parts":[["2015","6"]]},"page":"1320-1329.e3","title":"Trough Concentrations of Infliximab Guide Dosing for Patients With Inflammatory Bowel Disease","type":"article-journal","volume":"148"},"uris":["http://www.mendeley.com/documents/?uuid=fe4b8cc4-2ab7-4960-a991-09dacd224038"]},{"id":"ITEM-3","itemData":{"DOI":"10.1053/j.gastro.2019.09.041","ISSN":"00165085","author":[{"dropping-particle":"","family":"Sazonovs","given":"Aleksejs","non-dropping-particle":"","parse-names":false,"suffix":""},{"dropping-particle":"","family":"Kennedy","given":"Nicholas A.","non-dropping-particle":"","parse-names":false,"suffix":""},{"dropping-particle":"","family":"Moutsianas","given":"Loukas","non-dropping-particle":"","parse-names":false,"suffix":""},{"dropping-particle":"","family":"Heap","given":"Graham A.","non-dropping-particle":"","parse-names":false,"suffix":""},{"dropping-particle":"","family":"Rice","given":"Daniel L.","non-dropping-particle":"","parse-names":false,"suffix":""},{"dropping-particle":"","family":"Reppell","given":"Mark","non-dropping-particle":"","parse-names":false,"suffix":""},{"dropping-particle":"","family":"Bewshea","given":"Claire M.","non-dropping-particle":"","parse-names":false,"suffix":""},{"dropping-particle":"","family":"Chanchlani","given":"Neil","non-dropping-particle":"","parse-names":false,"suffix":""},{"dropping-particle":"","family":"Walker","given":"Gareth J.","non-dropping-particle":"","parse-names":false,"suffix":""},{"dropping-particle":"","family":"Perry","given":"Mandy H.","non-dropping-particle":"","parse-names":false,"suffix":""},{"dropping-particle":"","family":"McDonald","given":"Timothy J.","non-dropping-particle":"","parse-names":false,"suffix":""},{"dropping-particle":"","family":"Lees","given":"Charlie W.","non-dropping-particle":"","parse-names":false,"suffix":""},{"dropping-particle":"","family":"Cummings","given":"J.R. Fraser","non-dropping-particle":"","parse-names":false,"suffix":""},{"dropping-particle":"","family":"Parkes","given":"Miles","non-dropping-particle":"","parse-names":false,"suffix":""},{"dropping-particle":"","family":"Mansfield","given":"John C.","non-dropping-particle":"","parse-names":false,"suffix":""},{"dropping-particle":"","family":"Irving","given":"Peter M.","non-dropping-particle":"","parse-names":false,"suffix":""},{"dropping-particle":"","family":"Barrett","given":"Jeffrey C.","non-dropping-particle":"","parse-names":false,"suffix":""},{"dropping-particle":"","family":"McGovern","given":"Dermot","non-dropping-particle":"","parse-names":false,"suffix":""},{"dropping-particle":"","family":"Goodhand","given":"James R.","non-dropping-particle":"","parse-names":false,"suffix":""},{"dropping-particle":"","family":"Anderson","given":"Carl A.","non-dropping-particle":"","parse-names":false,"suffix":""},{"dropping-particle":"","family":"Ahmad","given":"Tariq","non-dropping-particle":"","parse-names":false,"suffix":""},{"dropping-particle":"","family":"Patel","given":"Vinod","non-dropping-particle":"","parse-names":false,"suffix":""},{"dropping-particle":"","family":"Mazhar","given":"Zia","non-dropping-particle":"","parse-names":false,"suffix":""},{"dropping-particle":"","family":"Saich","given":"Rebecca","non-dropping-particle":"","parse-names":false,"suffix":""},{"dropping-particle":"","family":"Colleypriest","given":"Ben","non-dropping-particle":"","parse-names":false,"suffix":""},{"dropping-particle":"","family":"Tham","given":"Tony C","non-dropping-particle":"","parse-names":false,"suffix":""},{"dropping-particle":"","family":"Iqbal","given":"Tariq H","non-dropping-particle":"","parse-names":false,"suffix":""},{"dropping-particle":"","family":"Kaushik","given":"Vishal","non-dropping-particle":"","parse-names":false,"suffix":""},{"dropping-particle":"","family":"Murugesan","given":"Senthil","non-dropping-particle":"","parse-names":false,"suffix":""},{"dropping-particle":"","family":"Singh","given":"Salil","non-dropping-particle":"","parse-names":false,"suffix":""},{"dropping-particle":"","family":"Weaver","given":"Sean","non-dropping-particle":"","parse-names":false,"suffix":""},{"dropping-particle":"","family":"Preston","given":"Cathryn","non-dropping-particle":"","parse-names":false,"suffix":""},{"dropping-particle":"","family":"Butt","given":"Assad","non-dropping-particle":"","parse-names":false,"suffix":""},{"dropping-particle":"","family":"Smith","given":"Melissa","non-dropping-particle":"","parse-names":false,"suffix":""},{"dropping-particle":"","family":"Basude","given":"Dharamveer","non-dropping-particle":"","parse-names":false,"suffix":""},{"dropping-particle":"","family":"Beale","given":"Amanda","non-dropping-particle":"","parse-names":false,"suffix":""},{"dropping-particle":"","family":"Langlands","given":"Sarah","non-dropping-particle":"","parse-names":false,"suffix":""},{"dropping-particle":"","family":"Direkze","given":"Natalie","non-dropping-particle":"","parse-names":false,"suffix":""},{"dropping-particle":"","family":"Parkes","given":"Miles","non-dropping-particle":"","parse-names":false,"suffix":""},{"dropping-particle":"","family":"Torrente","given":"Franco","non-dropping-particle":"","parse-names":false,"suffix":""},{"dropping-particle":"","family":"La Revella Negro","given":"Juan","non-dropping-particle":"De","parse-names":false,"suffix":""},{"dropping-particle":"","family":"Ewen MacDonald","given":"Chris","non-dropping-particle":"","parse-names":false,"suffix":""},{"dropping-particle":"","family":"Evans","given":"Stephen M","non-dropping-particle":"","parse-names":false,"suffix":""},{"dropping-particle":"","family":"Gunasekera","given":"Anton V J","non-dropping-particle":"","parse-names":false,"suffix":""},{"dropping-particle":"","family":"Thakur","given":"Alka","non-dropping-particle":"","parse-names":false,"suffix":""},{"dropping-particle":"","family":"Elphick","given":"David","non-dropping-particle":"","parse-names":false,"suffix":""},{"dropping-particle":"","family":"Shenoy","given":"Achuth","non-dropping-particle":"","parse-names":false,"suffix":""},{"dropping-particle":"","family":"Nwokolo","given":"Chuka U","non-dropping-particle":"","parse-names":false,"suffix":""},{"dropping-particle":"","family":"Dhar","given":"Anjan","non-dropping-particle":"","parse-names":false,"suffix":""},{"dropping-particle":"","family":"Cole","given":"Andrew T","non-dropping-particle":"","parse-names":false,"suffix":""},{"dropping-particle":"","family":"Agrawal","given":"Anurag","non-dropping-particle":"","parse-names":false,"suffix":""},{"dropping-particle":"","family":"Bridger","given":"Stephen","non-dropping-particle":"","parse-names":false,"suffix":""},{"dropping-particle":"","family":"Doherty","given":"Julie","non-dropping-particle":"","parse-names":false,"suffix":""},{"dropping-particle":"","family":"Cooper","given":"Sheldon C","non-dropping-particle":"","parse-names":false,"suffix":""},{"dropping-particle":"","family":"Silva","given":"Shanika","non-dropping-particle":"de","parse-names":false,"suffix":""},{"dropping-particle":"","family":"Mowat","given":"Craig","non-dropping-particle":"","parse-names":false,"suffix":""},{"dropping-particle":"","family":"Mayhead","given":"Phillip","non-dropping-particle":"","parse-names":false,"suffix":""},{"dropping-particle":"","family":"Lees","given":"Charlie","non-dropping-particle":"","parse-names":false,"suffix":""},{"dropping-particle":"","family":"Jones","given":"Gareth","non-dropping-particle":"","parse-names":false,"suffix":""},{"dropping-particle":"","family":"Ahmad","given":"Tariq","non-dropping-particle":"","parse-names":false,"suffix":""},{"dropping-particle":"","family":"Hart","given":"James W","non-dropping-particle":"","parse-names":false,"suffix":""},{"dropping-particle":"","family":"Gaya","given":"Daniel R","non-dropping-particle":"","parse-names":false,"suffix":""},{"dropping-particle":"","family":"Russell","given":"Richard K","non-dropping-particle":"","parse-names":false,"suffix":""},{"dropping-particle":"","family":"Gervais","given":"Lisa","non-dropping-particle":"","parse-names":false,"suffix":""},{"dropping-particle":"","family":"Dunckley","given":"Paul","non-dropping-particle":"","parse-names":false,"suffix":""},{"dropping-particle":"","family":"Mahmood","given":"Tariq","non-dropping-particle":"","parse-names":false,"suffix":""},{"dropping-particle":"","family":"Banim","given":"Paul J R","non-dropping-particle":"","parse-names":false,"suffix":""},{"dropping-particle":"","family":"Sonwalkar","given":"Sunil","non-dropping-particle":"","parse-names":false,"suffix":""},{"dropping-particle":"","family":"Ghosh","given":"Deb","non-dropping-particle":"","parse-names":false,"suffix":""},{"dropping-particle":"","family":"Phillips","given":"Rosemary H","non-dropping-particle":"","parse-names":false,"suffix":""},{"dropping-particle":"","family":"Azaz","given":"Amer","non-dropping-particle":"","parse-names":false,"suffix":""},{"dropping-particle":"","family":"Sebastian","given":"Shaji","non-dropping-particle":"","parse-names":false,"suffix":""},{"dropping-particle":"","family":"Shenderey","given":"Richard","non-dropping-particle":"","parse-names":false,"suffix":""},{"dropping-particle":"","family":"Armstrong","given":"Lawrence","non-dropping-particle":"","parse-names":false,"suffix":""},{"dropping-particle":"","family":"Bell","given":"Claire","non-dropping-particle":"","parse-names":false,"suffix":""},{"dropping-particle":"","family":"Hariraj","given":"Radhakrishnan","non-dropping-particle":"","parse-names":false,"suffix":""},{"dropping-particle":"","family":"Matthews","given":"Helen","non-dropping-particle":"","parse-names":false,"suffix":""},{"dropping-particle":"","family":"Jafferbhoy","given":"Hasnain","non-dropping-particle":"","parse-names":false,"suffix":""},{"dropping-particle":"","family":"Selinger","given":"Christian P","non-dropping-particle":"","parse-names":false,"suffix":""},{"dropping-particle":"","family":"Zamvar","given":"Veena","non-dropping-particle":"","parse-names":false,"suffix":""},{"dropping-particle":"","family":"Caestecker","given":"John S","non-dropping-particle":"De","parse-names":false,"suffix":""},{"dropping-particle":"","family":"Willmott","given":"Anne","non-dropping-particle":"","parse-names":false,"suffix":""},{"dropping-particle":"","family":"Miller","given":"Richard","non-dropping-particle":"","parse-names":false,"suffix":""},{"dropping-particle":"","family":"Sathish Babu","given":"Palani","non-dropping-particle":"","parse-names":false,"suffix":""},{"dropping-particle":"","family":"Tzivinikos","given":"Christos","non-dropping-particle":"","parse-names":false,"suffix":""},{"dropping-particle":"","family":"Bloom","given":"Stuart L","non-dropping-particle":"","parse-names":false,"suffix":""},{"dropping-particle":"","family":"Chung-Faye","given":"Guy","non-dropping-particle":"","parse-names":false,"suffix":""},{"dropping-particle":"","family":"Croft","given":"Nicholas M","non-dropping-particle":"","parse-names":false,"suffix":""},{"dropping-particle":"","family":"Fell","given":"John ME","non-dropping-particle":"","parse-names":false,"suffix":""},{"dropping-particle":"","family":"Harbord","given":"Marcus","non-dropping-particle":"","parse-names":false,"suffix":""},{"dropping-particle":"","family":"Hart","given":"Ailsa","non-dropping-particle":"","parse-names":false,"suffix":""},{"dropping-particle":"","family":"Hope","given":"Ben","non-dropping-particle":"","parse-names":false,"suffix":""},{"dropping-particle":"","family":"Irving","given":"Peter M","non-dropping-particle":"","parse-names":false,"suffix":""},{"dropping-particle":"","family":"Lindsay","given":"James O","non-dropping-particle":"","parse-names":false,"suffix":""},{"dropping-particle":"","family":"Mawdsley","given":"Joel E","non-dropping-particle":"","parse-names":false,"suffix":""},{"dropping-particle":"","family":"McNair","given":"Alistair","non-dropping-particle":"","parse-names":false,"suffix":""},{"dropping-particle":"","family":"Monahan","given":"Kevin J","non-dropping-particle":"","parse-names":false,"suffix":""},{"dropping-particle":"","family":"Murray","given":"Charles D","non-dropping-particle":"","parse-names":false,"suffix":""},{"dropping-particle":"","family":"Orchard","given":"Timothy","non-dropping-particle":"","parse-names":false,"suffix":""},{"dropping-particle":"","family":"Paul","given":"Thankam","non-dropping-particle":"","parse-names":false,"suffix":""},{"dropping-particle":"","family":"Pollok","given":"Richard","non-dropping-particle":"","parse-names":false,"suffix":""},{"dropping-particle":"","family":"Shah","given":"Neil","non-dropping-particle":"","parse-names":false,"suffix":""},{"dropping-particle":"","family":"Bouri","given":"Sonia","non-dropping-particle":"","parse-names":false,"suffix":""},{"dropping-particle":"","family":"Johnson","given":"Matt W","non-dropping-particle":"","parse-names":false,"suffix":""},{"dropping-particle":"","family":"Modi","given":"Anita","non-dropping-particle":"","parse-names":false,"suffix":""},{"dropping-particle":"","family":"Dawa Kabiru","given":"Kasamu","non-dropping-particle":"","parse-names":false,"suffix":""},{"dropping-particle":"","family":"Baburajan","given":"B K","non-dropping-particle":"","parse-names":false,"suffix":""},{"dropping-particle":"","family":"Bhaduri","given":"Bim","non-dropping-particle":"","parse-names":false,"suffix":""},{"dropping-particle":"","family":"Adebayo Fagbemi","given":"Andrew","non-dropping-particle":"","parse-names":false,"suffix":""},{"dropping-particle":"","family":"Levison","given":"Scott","non-dropping-particle":"","parse-names":false,"suffix":""},{"dropping-particle":"","family":"Limdi","given":"Jimmy K","non-dropping-particle":"","parse-names":false,"suffix":""},{"dropping-particle":"","family":"Watts","given":"Gill","non-dropping-particle":"","parse-names":false,"suffix":""},{"dropping-particle":"","family":"Foley","given":"Stephen","non-dropping-particle":"","parse-names":false,"suffix":""},{"dropping-particle":"","family":"Ramadas","given":"Arvind","non-dropping-particle":"","parse-names":false,"suffix":""},{"dropping-particle":"","family":"MacFaul","given":"George","non-dropping-particle":"","parse-names":false,"suffix":""},{"dropping-particle":"","family":"Mansfield","given":"John","non-dropping-particle":"","parse-names":false,"suffix":""},{"dropping-particle":"","family":"Grellier","given":"Leonie","non-dropping-particle":"","parse-names":false,"suffix":""},{"dropping-particle":"","family":"Morris","given":"Mary-Anne","non-dropping-particle":"","parse-names":false,"suffix":""},{"dropping-particle":"","family":"Tremelling","given":"Mark","non-dropping-particle":"","parse-names":false,"suffix":""},{"dropping-particle":"","family":"Hawkey","given":"Chris","non-dropping-particle":"","parse-names":false,"suffix":""},{"dropping-particle":"","family":"Kirkham","given":"Sian","non-dropping-particle":"","parse-names":false,"suffix":""},{"dropping-particle":"","family":"Charlton","given":"Charles PJ","non-dropping-particle":"","parse-names":false,"suffix":""},{"dropping-particle":"","family":"Rodrigues","given":"Astor","non-dropping-particle":"","parse-names":false,"suffix":""},{"dropping-particle":"","family":"Simmons","given":"Alison","non-dropping-particle":"","parse-names":false,"suffix":""},{"dropping-particle":"","family":"Lewis","given":"Stephen J","non-dropping-particle":"","parse-names":false,"suffix":""},{"dropping-particle":"","family":"Snook","given":"Jonathon","non-dropping-particle":"","parse-names":false,"suffix":""},{"dropping-particle":"","family":"Tighe","given":"Mark","non-dropping-particle":"","parse-names":false,"suffix":""},{"dropping-particle":"","family":"Goggin","given":"Patrick M","non-dropping-particle":"","parse-names":false,"suffix":""},{"dropping-particle":"","family":"Silva","given":"Aminda N","non-dropping-particle":"De","parse-names":false,"suffix":""},{"dropping-particle":"","family":"Lal","given":"Simon","non-dropping-particle":"","parse-names":false,"suffix":""},{"dropping-particle":"","family":"Smith","given":"Mark S","non-dropping-particle":"","parse-names":false,"suffix":""},{"dropping-particle":"","family":"Panter","given":"Simon","non-dropping-particle":"","parse-names":false,"suffix":""},{"dropping-particle":"","family":"Cummings","given":"Fraser","non-dropping-particle":"","parse-names":false,"suffix":""},{"dropping-particle":"","family":"Dharmisari","given":"Suranga","non-dropping-particle":"","parse-names":false,"suffix":""},{"dropping-particle":"","family":"Carter","given":"Martyn","non-dropping-particle":"","parse-names":false,"suffix":""},{"dropping-particle":"","family":"Watts","given":"David","non-dropping-particle":"","parse-names":false,"suffix":""},{"dropping-particle":"","family":"Mahmood","given":"Zahid","non-dropping-particle":"","parse-names":false,"suffix":""},{"dropping-particle":"","family":"McLain","given":"Bruce","non-dropping-particle":"","parse-names":false,"suffix":""},{"dropping-particle":"","family":"Sen","given":"Sandip","non-dropping-particle":"","parse-names":false,"suffix":""},{"dropping-particle":"","family":"Pigott","given":"Anna J","non-dropping-particle":"","parse-names":false,"suffix":""},{"dropping-particle":"","family":"Hobday","given":"David","non-dropping-particle":"","parse-names":false,"suffix":""},{"dropping-particle":"","family":"Wesley","given":"Emma","non-dropping-particle":"","parse-names":false,"suffix":""},{"dropping-particle":"","family":"Johnston","given":"Richard","non-dropping-particle":"","parse-names":false,"suffix":""},{"dropping-particle":"","family":"Edwards","given":"Cathryn","non-dropping-particle":"","parse-names":false,"suffix":""},{"dropping-particle":"","family":"Beckly","given":"John","non-dropping-particle":"","parse-names":false,"suffix":""},{"dropping-particle":"","family":"Vani","given":"Deven","non-dropping-particle":"","parse-names":false,"suffix":""},{"dropping-particle":"","family":"Ramakrishnan","given":"Subramaniam","non-dropping-particle":"","parse-names":false,"suffix":""},{"dropping-particle":"","family":"Chaudhary","given":"Rakesh","non-dropping-particle":"","parse-names":false,"suffix":""},{"dropping-particle":"","family":"Trudgill","given":"Nigel J","non-dropping-particle":"","parse-names":false,"suffix":""},{"dropping-particle":"","family":"Cooney","given":"Rachel","non-dropping-particle":"","parse-names":false,"suffix":""},{"dropping-particle":"","family":"Bell","given":"Andy","non-dropping-particle":"","parse-names":false,"suffix":""},{"dropping-particle":"","family":"Prasad","given":"Neeraj","non-dropping-particle":"","parse-names":false,"suffix":""},{"dropping-particle":"","family":"Gordon","given":"John N","non-dropping-particle":"","parse-names":false,"suffix":""},{"dropping-particle":"","family":"Brookes","given":"Matthew J","non-dropping-particle":"","parse-names":false,"suffix":""},{"dropping-particle":"","family":"Li","given":"Andy","non-dropping-particle":"","parse-names":false,"suffix":""},{"dropping-particle":"","family":"Gore","given":"Stephen","non-dropping-particle":"","parse-names":false,"suffix":""}],"container-title":"Gastroenterology","id":"ITEM-3","issue":"1","issued":{"date-parts":[["2020","1"]]},"page":"189-199","title":"HLA-DQA1*05 Carriage Associated With Development of Anti-Drug Antibodies to Infliximab and Adalimumab in Patients With Crohn’s Disease","type":"article-journal","volume":"158"},"uris":["http://www.mendeley.com/documents/?uuid=9145785c-7dc1-4e72-9763-2cb891217472"]},{"id":"ITEM-4","itemData":{"DOI":"10.1056/NEJMoa020888","ISBN":"1462-0332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Medicine","id":"ITEM-4","issue":"7","issued":{"date-parts":[["2003","2","13"]]},"page":"601-608","title":"Influence of Immunogenicity on the Long-Term Efficacy of Infliximab in Crohn's Disease","type":"article-journal","volume":"348"},"uris":["http://www.mendeley.com/documents/?uuid=a7f617eb-fb32-4b78-b0e6-6fa31fb61500"]},{"id":"ITEM-5","itemData":{"DOI":"10.1136/gutjnl-2013-305259","ISBN":"0017-5749","ISSN":"0017-5749","PMID":"24041539","abstract":"OBJECTIVE: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-5","issue":"8","issued":{"date-parts":[["2014","8"]]},"page":"1258-1264","title":"The temporal evolution of antidrug antibodies in patients with inflammatory bowel disease treated with infliximab","type":"article-journal","volume":"63"},"uris":["http://www.mendeley.com/documents/?uuid=22938eaa-88d8-44e4-a3f4-676386a86637"]}],"mendeley":{"formattedCitation":"&lt;sup&gt;118–120,128,129&lt;/sup&gt;","plainTextFormattedCitation":"118–120,128,129","previouslyFormattedCitation":"&lt;sup&gt;118–120,128,129&lt;/sup&gt;"},"properties":{"noteIndex":0},"schema":"https://github.com/citation-style-language/schema/raw/master/csl-citation.json"}</w:instrText>
      </w:r>
      <w:r w:rsidR="00DA169B"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118–120,128,129</w:t>
      </w:r>
      <w:r w:rsidR="00DA169B" w:rsidRPr="00922C73">
        <w:rPr>
          <w:rFonts w:ascii="Times New Roman" w:hAnsi="Times New Roman" w:cs="Times New Roman"/>
          <w:sz w:val="24"/>
          <w:szCs w:val="24"/>
        </w:rPr>
        <w:fldChar w:fldCharType="end"/>
      </w:r>
      <w:r w:rsidR="00DA169B" w:rsidRPr="00922C73">
        <w:rPr>
          <w:rFonts w:ascii="Times New Roman" w:hAnsi="Times New Roman" w:cs="Times New Roman"/>
          <w:sz w:val="24"/>
          <w:szCs w:val="24"/>
        </w:rPr>
        <w:t>.</w:t>
      </w:r>
      <w:r w:rsidRPr="00922C73">
        <w:rPr>
          <w:rFonts w:ascii="Times New Roman" w:hAnsi="Times New Roman" w:cs="Times New Roman"/>
          <w:sz w:val="24"/>
          <w:szCs w:val="24"/>
        </w:rPr>
        <w:t xml:space="preserve"> In addition, the threshold for </w:t>
      </w:r>
      <w:r w:rsidR="00AB6018" w:rsidRPr="00922C73">
        <w:rPr>
          <w:rFonts w:ascii="Times New Roman" w:hAnsi="Times New Roman" w:cs="Times New Roman"/>
          <w:sz w:val="24"/>
          <w:szCs w:val="24"/>
        </w:rPr>
        <w:t xml:space="preserve">ATI </w:t>
      </w:r>
      <w:r w:rsidRPr="00922C73">
        <w:rPr>
          <w:rFonts w:ascii="Times New Roman" w:hAnsi="Times New Roman" w:cs="Times New Roman"/>
          <w:sz w:val="24"/>
          <w:szCs w:val="24"/>
        </w:rPr>
        <w:t>positivity varies</w:t>
      </w:r>
      <w:r w:rsidR="000B6F0E" w:rsidRPr="00922C73">
        <w:rPr>
          <w:rFonts w:ascii="Times New Roman" w:hAnsi="Times New Roman" w:cs="Times New Roman"/>
          <w:sz w:val="24"/>
          <w:szCs w:val="24"/>
        </w:rPr>
        <w:t>. It</w:t>
      </w:r>
      <w:r w:rsidR="00055AFA" w:rsidRPr="00922C73">
        <w:rPr>
          <w:rFonts w:ascii="Times New Roman" w:hAnsi="Times New Roman" w:cs="Times New Roman"/>
          <w:sz w:val="24"/>
          <w:szCs w:val="24"/>
        </w:rPr>
        <w:t xml:space="preserve"> is determined by the assay used</w:t>
      </w:r>
      <w:r w:rsidRPr="00922C73">
        <w:rPr>
          <w:rFonts w:ascii="Times New Roman" w:hAnsi="Times New Roman" w:cs="Times New Roman"/>
          <w:sz w:val="24"/>
          <w:szCs w:val="24"/>
        </w:rPr>
        <w:t xml:space="preserve"> and may refer to </w:t>
      </w:r>
      <w:r w:rsidR="00055AFA" w:rsidRPr="00922C73">
        <w:rPr>
          <w:rFonts w:ascii="Times New Roman" w:hAnsi="Times New Roman" w:cs="Times New Roman"/>
          <w:sz w:val="24"/>
          <w:szCs w:val="24"/>
        </w:rPr>
        <w:t xml:space="preserve">the </w:t>
      </w:r>
      <w:r w:rsidR="00055AFA" w:rsidRPr="00922C73">
        <w:rPr>
          <w:rFonts w:ascii="Times New Roman" w:hAnsi="Times New Roman" w:cs="Times New Roman"/>
          <w:sz w:val="24"/>
          <w:szCs w:val="24"/>
        </w:rPr>
        <w:lastRenderedPageBreak/>
        <w:t xml:space="preserve">presence of </w:t>
      </w:r>
      <w:r w:rsidR="00AB6018" w:rsidRPr="00922C73">
        <w:rPr>
          <w:rFonts w:ascii="Times New Roman" w:hAnsi="Times New Roman" w:cs="Times New Roman"/>
          <w:sz w:val="24"/>
          <w:szCs w:val="24"/>
        </w:rPr>
        <w:t xml:space="preserve">ATI above a </w:t>
      </w:r>
      <w:r w:rsidR="00055AFA" w:rsidRPr="00922C73">
        <w:rPr>
          <w:rFonts w:ascii="Times New Roman" w:hAnsi="Times New Roman" w:cs="Times New Roman"/>
          <w:sz w:val="24"/>
          <w:szCs w:val="24"/>
        </w:rPr>
        <w:t xml:space="preserve">specified </w:t>
      </w:r>
      <w:r w:rsidR="00AB6018" w:rsidRPr="00922C73">
        <w:rPr>
          <w:rFonts w:ascii="Times New Roman" w:hAnsi="Times New Roman" w:cs="Times New Roman"/>
          <w:sz w:val="24"/>
          <w:szCs w:val="24"/>
        </w:rPr>
        <w:t xml:space="preserve">threshold </w:t>
      </w:r>
      <w:r w:rsidR="00055AFA" w:rsidRPr="00922C73">
        <w:rPr>
          <w:rFonts w:ascii="Times New Roman" w:hAnsi="Times New Roman" w:cs="Times New Roman"/>
          <w:sz w:val="24"/>
          <w:szCs w:val="24"/>
        </w:rPr>
        <w:t xml:space="preserve">or </w:t>
      </w:r>
      <w:r w:rsidRPr="00922C73">
        <w:rPr>
          <w:rFonts w:ascii="Times New Roman" w:hAnsi="Times New Roman" w:cs="Times New Roman"/>
          <w:sz w:val="24"/>
          <w:szCs w:val="24"/>
        </w:rPr>
        <w:t>the presence of any detectable ATI</w:t>
      </w:r>
      <w:r w:rsidR="00055AFA" w:rsidRPr="00922C73">
        <w:rPr>
          <w:rFonts w:ascii="Times New Roman" w:hAnsi="Times New Roman" w:cs="Times New Roman"/>
          <w:sz w:val="24"/>
          <w:szCs w:val="24"/>
        </w:rPr>
        <w:t xml:space="preserve"> </w:t>
      </w:r>
      <w:r w:rsidR="00055AFA"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-2016-313071","ISSN":"0017-5749","author":[{"dropping-particle":"","family":"Stappen","given":"Thomas","non-dropping-particle":"Van","parse-names":false,"suffix":""},{"dropping-particle":"","family":"Casteele","given":"Niels","non-dropping-particle":"Vande","parse-names":false,"suffix":""},{"dropping-particle":"","family":"Assche","given":"Gert","non-dropping-particle":"Van","parse-names":false,"suffix":""},{"dropping-particle":"","family":"Ferrante","given":"Marc","non-dropping-particle":"","parse-names":false,"suffix":""},{"dropping-particle":"","family":"Vermeire","given":"Séverine","non-dropping-particle":"","parse-names":false,"suffix":""},{"dropping-particle":"","family":"Gils","given":"Ann","non-dropping-particle":"","parse-names":false,"suffix":""}],"container-title":"Gut","id":"ITEM-1","issue":"5","issued":{"date-parts":[["2018","5"]]},"page":"818-826","title":"Clinical relevance of detecting anti-infliximab antibodies with a drug-tolerant assay: post hoc analysis of the TAXIT trial","type":"article-journal","volume":"67"},"uris":["http://www.mendeley.com/documents/?uuid=9ecabd84-b848-448d-b8ca-f726066e7974"]},{"id":"ITEM-2","itemData":{"DOI":"10.1111/apt.12030","ISBN":"1365-2036","ISSN":"02692813","PMID":"22928581","abstract":"BACKGROUND: Formation of antibodies to infliximab (ATI) inversely correlates with functional drug levels and clinical outcome. Comparison of drug levels and anti-drug antibody monitoring is hampered by lack of standardisation.\\n\\nAIM: To determine the correlation between three different assays for measuring infliximab and ATI.\\n\\nMETHODS: Serum samples and spiked controls (total 62) were evaluated in a blinded way in infliximab and ATI assays developed by Sanquin Amsterdam, Netherlands (A), Laboratory for Pharmaceutical Biology, KU Leuven, Belgium (B) and a commercially available kit from Biomedical Diagnostics (BMD), Paris, France (C) performed by the University Medical Center Groningen (UMCG), Netherlands.\\n\\nRESULTS: All infliximab assays showed a linear quantitative correlation (Pearson r = 0.91 for A vs. B, 0.83 for A vs. C and 0.73 for B vs. C). Assay C detected infliximab in 11 samples (18%) not detected by A and B, including samples containing only ATI. All ATI assays showed a good linear correlation (Pearson r = 0.95 for A vs. B, 0.99 for A vs. C and 0.97 for B vs. C). Assay A detected ATI in five samples with low ATI that were not detected by assays B and C. Assay B did not detect ATI in three patient samples with low ATI according to assays A and C.\\n\\nCONCLUSIONS: There is a good correlation of infliximab and antibodies to infliximab measurements between these assays. Nevertheless, the Biomedical Diagnostics kit detected false positive infliximab levels in 18% of the samples.","author":[{"dropping-particle":"","family":"Casteele","given":"N.","non-dropping-particle":"Vande","parse-names":false,"suffix":""},{"dropping-particle":"","family":"Buurman","given":"D. J.","non-dropping-particle":"","parse-names":false,"suffix":""},{"dropping-particle":"","family":"Sturkenboom","given":"M. G. G.","non-dropping-particle":"","parse-names":false,"suffix":""},{"dropping-particle":"","family":"Kleibeuker","given":"J. H.","non-dropping-particle":"","parse-names":false,"suffix":""},{"dropping-particle":"","family":"Vermeire","given":"S.","non-dropping-particle":"","parse-names":false,"suffix":""},{"dropping-particle":"","family":"Rispens","given":"T.","non-dropping-particle":"","parse-names":false,"suffix":""},{"dropping-particle":"","family":"Kleij","given":"D.","non-dropping-particle":"van der","parse-names":false,"suffix":""},{"dropping-particle":"","family":"Gils","given":"A.","non-dropping-particle":"","parse-names":false,"suffix":""},{"dropping-particle":"","family":"Dijkstra","given":"G.","non-dropping-particle":"","parse-names":false,"suffix":""}],"container-title":"Alimentary Pharmacology &amp; Therapeutics","id":"ITEM-2","issue":"8","issued":{"date-parts":[["2012","10"]]},"page":"765-771","title":"Detection of infliximab levels and anti-infliximab antibodies: a comparison of three different assays","type":"article-journal","volume":"36"},"uris":["http://www.mendeley.com/documents/?uuid=08fccd93-26f0-40be-a337-1255b9c30e3a"]},{"id":"ITEM-3","itemData":{"DOI":"10.1586/1744666X.2015.1090312","ISSN":"1744-666X","author":[{"dropping-particle":"","family":"Kim","given":"Ji Soo","non-dropping-particle":"","parse-names":false,"suffix":""},{"dropping-particle":"","family":"Kim","given":"Sung Hwan","non-dropping-particle":"","parse-names":false,"suffix":""},{"dropping-particle":"","family":"Kwon","given":"ByoungOh","non-dropping-particle":"","parse-names":false,"suffix":""},{"dropping-particle":"","family":"Hong","given":"SeungSuh","non-dropping-particle":"","parse-names":false,"suffix":""}],"container-title":"Expert Review of Clinical Immunology","id":"ITEM-3","issue":"sup1","issued":{"date-parts":[["2015","9","28"]]},"page":"33-41","title":"Comparison of immunogenicity test methods used in clinical studies of infliximab and its biosimilar (CT-P13)","type":"article-journal","volume":"11"},"uris":["http://www.mendeley.com/documents/?uuid=1d1cf2d3-06ec-4dc1-a335-5c94b2011a3d"]}],"mendeley":{"formattedCitation":"&lt;sup&gt;116,161,162&lt;/sup&gt;","plainTextFormattedCitation":"116,161,162","previouslyFormattedCitation":"&lt;sup&gt;116,161,162&lt;/sup&gt;"},"properties":{"noteIndex":0},"schema":"https://github.com/citation-style-language/schema/raw/master/csl-citation.json"}</w:instrText>
      </w:r>
      <w:r w:rsidR="00055AFA"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116,161,162</w:t>
      </w:r>
      <w:r w:rsidR="00055AFA" w:rsidRPr="00922C73">
        <w:rPr>
          <w:rFonts w:ascii="Times New Roman" w:hAnsi="Times New Roman" w:cs="Times New Roman"/>
          <w:sz w:val="24"/>
          <w:szCs w:val="24"/>
        </w:rPr>
        <w:fldChar w:fldCharType="end"/>
      </w:r>
      <w:r w:rsidR="00055AFA" w:rsidRPr="00922C73">
        <w:rPr>
          <w:rFonts w:ascii="Times New Roman" w:hAnsi="Times New Roman" w:cs="Times New Roman"/>
          <w:sz w:val="24"/>
          <w:szCs w:val="24"/>
        </w:rPr>
        <w:t xml:space="preserve">. </w:t>
      </w:r>
      <w:r w:rsidR="002F7611" w:rsidRPr="00922C73">
        <w:rPr>
          <w:rFonts w:ascii="Times New Roman" w:hAnsi="Times New Roman" w:cs="Times New Roman"/>
          <w:sz w:val="24"/>
          <w:szCs w:val="24"/>
        </w:rPr>
        <w:t>C</w:t>
      </w:r>
      <w:r w:rsidR="00055AFA" w:rsidRPr="00922C73">
        <w:rPr>
          <w:rFonts w:ascii="Times New Roman" w:hAnsi="Times New Roman" w:cs="Times New Roman"/>
          <w:sz w:val="24"/>
          <w:szCs w:val="24"/>
        </w:rPr>
        <w:t>larifying a</w:t>
      </w:r>
      <w:r w:rsidRPr="00922C73">
        <w:rPr>
          <w:rFonts w:ascii="Times New Roman" w:hAnsi="Times New Roman" w:cs="Times New Roman"/>
          <w:sz w:val="24"/>
          <w:szCs w:val="24"/>
        </w:rPr>
        <w:t xml:space="preserve"> clinically important threshold </w:t>
      </w:r>
      <w:r w:rsidR="00055AFA" w:rsidRPr="00922C73">
        <w:rPr>
          <w:rFonts w:ascii="Times New Roman" w:hAnsi="Times New Roman" w:cs="Times New Roman"/>
          <w:sz w:val="24"/>
          <w:szCs w:val="24"/>
        </w:rPr>
        <w:t>for</w:t>
      </w:r>
      <w:r w:rsidRPr="00922C73">
        <w:rPr>
          <w:rFonts w:ascii="Times New Roman" w:hAnsi="Times New Roman" w:cs="Times New Roman"/>
          <w:sz w:val="24"/>
          <w:szCs w:val="24"/>
        </w:rPr>
        <w:t xml:space="preserve"> positive ATI and the inconsistency of the association between ATI and clinical </w:t>
      </w:r>
      <w:r w:rsidR="00055AFA" w:rsidRPr="00922C73">
        <w:rPr>
          <w:rFonts w:ascii="Times New Roman" w:hAnsi="Times New Roman" w:cs="Times New Roman"/>
          <w:sz w:val="24"/>
          <w:szCs w:val="24"/>
        </w:rPr>
        <w:t>outcomes</w:t>
      </w:r>
      <w:r w:rsidRPr="00922C73">
        <w:rPr>
          <w:rFonts w:ascii="Times New Roman" w:hAnsi="Times New Roman" w:cs="Times New Roman"/>
          <w:sz w:val="24"/>
          <w:szCs w:val="24"/>
        </w:rPr>
        <w:t xml:space="preserve"> can create difficulties in the management of IBD patients with </w:t>
      </w:r>
      <w:r w:rsidR="002F7611" w:rsidRPr="00922C73">
        <w:rPr>
          <w:rFonts w:ascii="Times New Roman" w:hAnsi="Times New Roman" w:cs="Times New Roman"/>
          <w:sz w:val="24"/>
          <w:szCs w:val="24"/>
        </w:rPr>
        <w:t>ATI</w:t>
      </w:r>
      <w:r w:rsidRPr="00922C73">
        <w:rPr>
          <w:rFonts w:ascii="Times New Roman" w:hAnsi="Times New Roman" w:cs="Times New Roman"/>
          <w:sz w:val="24"/>
          <w:szCs w:val="24"/>
        </w:rPr>
        <w:t xml:space="preserve">. </w:t>
      </w:r>
    </w:p>
    <w:p w14:paraId="5659F571" w14:textId="77777777" w:rsidR="00020303" w:rsidRPr="00922C73" w:rsidRDefault="00020303" w:rsidP="002B2DB4">
      <w:pPr>
        <w:spacing w:after="0" w:line="480" w:lineRule="auto"/>
        <w:contextualSpacing/>
        <w:jc w:val="left"/>
        <w:rPr>
          <w:rFonts w:ascii="Times New Roman" w:hAnsi="Times New Roman" w:cs="Times New Roman"/>
          <w:sz w:val="24"/>
          <w:szCs w:val="24"/>
        </w:rPr>
      </w:pPr>
    </w:p>
    <w:p w14:paraId="2F3DDC0C" w14:textId="3FC7D1C1" w:rsidR="00DB58DD" w:rsidRPr="00922C73" w:rsidRDefault="00020303" w:rsidP="002B2DB4">
      <w:pPr>
        <w:spacing w:after="0" w:line="480" w:lineRule="auto"/>
        <w:contextualSpacing/>
        <w:jc w:val="left"/>
        <w:rPr>
          <w:rFonts w:ascii="Times New Roman" w:eastAsiaTheme="minorHAnsi" w:hAnsi="Times New Roman" w:cs="Times New Roman"/>
          <w:b/>
          <w:bCs/>
          <w:sz w:val="24"/>
          <w:szCs w:val="24"/>
          <w:u w:val="single"/>
        </w:rPr>
      </w:pPr>
      <w:r w:rsidRPr="00922C73">
        <w:rPr>
          <w:rFonts w:ascii="Times New Roman" w:hAnsi="Times New Roman" w:cs="Times New Roman"/>
          <w:b/>
          <w:bCs/>
          <w:sz w:val="24"/>
          <w:szCs w:val="24"/>
        </w:rPr>
        <w:t>This study aims to describe the risk factors for the development of ATI</w:t>
      </w:r>
      <w:r w:rsidR="00691FE6" w:rsidRPr="00922C73">
        <w:rPr>
          <w:rFonts w:ascii="Times New Roman" w:hAnsi="Times New Roman" w:cs="Times New Roman"/>
          <w:b/>
          <w:bCs/>
          <w:sz w:val="24"/>
          <w:szCs w:val="24"/>
        </w:rPr>
        <w:t>,</w:t>
      </w:r>
      <w:r w:rsidRPr="00922C73">
        <w:rPr>
          <w:rFonts w:ascii="Times New Roman" w:hAnsi="Times New Roman" w:cs="Times New Roman"/>
          <w:b/>
          <w:bCs/>
          <w:sz w:val="24"/>
          <w:szCs w:val="24"/>
        </w:rPr>
        <w:t xml:space="preserve"> their </w:t>
      </w:r>
      <w:r w:rsidR="0022509E" w:rsidRPr="00922C73">
        <w:rPr>
          <w:rFonts w:ascii="Times New Roman" w:hAnsi="Times New Roman" w:cs="Times New Roman"/>
          <w:b/>
          <w:bCs/>
          <w:sz w:val="24"/>
          <w:szCs w:val="24"/>
        </w:rPr>
        <w:t>clinical implications</w:t>
      </w:r>
      <w:r w:rsidRPr="00922C73">
        <w:rPr>
          <w:rFonts w:ascii="Times New Roman" w:hAnsi="Times New Roman" w:cs="Times New Roman"/>
          <w:b/>
          <w:bCs/>
          <w:sz w:val="24"/>
          <w:szCs w:val="24"/>
        </w:rPr>
        <w:t xml:space="preserve"> and to clarify the association between ATI and clinical remission using a drug‐tolerant assay</w:t>
      </w:r>
      <w:r w:rsidR="00691FE6" w:rsidRPr="00922C73">
        <w:rPr>
          <w:rFonts w:ascii="Times New Roman" w:hAnsi="Times New Roman" w:cs="Times New Roman"/>
          <w:b/>
          <w:bCs/>
          <w:sz w:val="24"/>
          <w:szCs w:val="24"/>
        </w:rPr>
        <w:t xml:space="preserve"> in a retrospective cohort of IBD patients at a large tertiary centre</w:t>
      </w:r>
      <w:r w:rsidR="0022509E" w:rsidRPr="00922C73">
        <w:rPr>
          <w:rFonts w:ascii="Times New Roman" w:hAnsi="Times New Roman" w:cs="Times New Roman"/>
          <w:b/>
          <w:bCs/>
          <w:sz w:val="24"/>
          <w:szCs w:val="24"/>
        </w:rPr>
        <w:t>.</w:t>
      </w:r>
    </w:p>
    <w:p w14:paraId="3AE48184" w14:textId="77777777" w:rsidR="00020303" w:rsidRPr="00922C73" w:rsidRDefault="00020303" w:rsidP="002B2DB4">
      <w:pPr>
        <w:spacing w:line="480" w:lineRule="auto"/>
        <w:rPr>
          <w:rFonts w:eastAsiaTheme="minorHAnsi"/>
        </w:rPr>
      </w:pPr>
    </w:p>
    <w:p w14:paraId="41F3C57A" w14:textId="52F07803" w:rsidR="00020303" w:rsidRPr="00922C73" w:rsidRDefault="002F7611" w:rsidP="002B2DB4">
      <w:pPr>
        <w:pStyle w:val="Heading2"/>
        <w:spacing w:line="480" w:lineRule="auto"/>
        <w:rPr>
          <w:rFonts w:ascii="Times New Roman" w:eastAsiaTheme="minorHAnsi" w:hAnsi="Times New Roman" w:cs="Times New Roman"/>
          <w:sz w:val="24"/>
          <w:szCs w:val="24"/>
        </w:rPr>
      </w:pPr>
      <w:bookmarkStart w:id="88" w:name="_Toc151020475"/>
      <w:r w:rsidRPr="00922C73">
        <w:rPr>
          <w:rFonts w:ascii="Times New Roman" w:eastAsiaTheme="minorHAnsi" w:hAnsi="Times New Roman" w:cs="Times New Roman"/>
          <w:sz w:val="24"/>
          <w:szCs w:val="24"/>
        </w:rPr>
        <w:t>2</w:t>
      </w:r>
      <w:r w:rsidR="00C27918" w:rsidRPr="00922C73">
        <w:rPr>
          <w:rFonts w:ascii="Times New Roman" w:eastAsiaTheme="minorHAnsi" w:hAnsi="Times New Roman" w:cs="Times New Roman"/>
          <w:sz w:val="24"/>
          <w:szCs w:val="24"/>
        </w:rPr>
        <w:t xml:space="preserve">.2 </w:t>
      </w:r>
      <w:r w:rsidR="00020303" w:rsidRPr="00922C73">
        <w:rPr>
          <w:rFonts w:ascii="Times New Roman" w:eastAsiaTheme="minorHAnsi" w:hAnsi="Times New Roman" w:cs="Times New Roman"/>
          <w:sz w:val="24"/>
          <w:szCs w:val="24"/>
        </w:rPr>
        <w:t>Materials and Methods</w:t>
      </w:r>
      <w:bookmarkEnd w:id="88"/>
    </w:p>
    <w:p w14:paraId="1616843A" w14:textId="1B6AC554" w:rsidR="00F8528A" w:rsidRPr="00922C73" w:rsidRDefault="002F7611" w:rsidP="002B2DB4">
      <w:pPr>
        <w:pStyle w:val="Heading3"/>
        <w:spacing w:line="480" w:lineRule="auto"/>
        <w:rPr>
          <w:rFonts w:ascii="Times New Roman" w:hAnsi="Times New Roman" w:cs="Times New Roman"/>
          <w:b/>
          <w:bCs/>
        </w:rPr>
      </w:pPr>
      <w:bookmarkStart w:id="89" w:name="_Toc151020476"/>
      <w:r w:rsidRPr="00922C73">
        <w:rPr>
          <w:rFonts w:ascii="Times New Roman" w:hAnsi="Times New Roman" w:cs="Times New Roman"/>
          <w:b/>
          <w:bCs/>
        </w:rPr>
        <w:t>2</w:t>
      </w:r>
      <w:r w:rsidR="00F8528A" w:rsidRPr="00922C73">
        <w:rPr>
          <w:rFonts w:ascii="Times New Roman" w:hAnsi="Times New Roman" w:cs="Times New Roman"/>
          <w:b/>
          <w:bCs/>
        </w:rPr>
        <w:t xml:space="preserve">.2.1 </w:t>
      </w:r>
      <w:r w:rsidR="002B2DB4" w:rsidRPr="00922C73">
        <w:rPr>
          <w:rFonts w:ascii="Times New Roman" w:hAnsi="Times New Roman" w:cs="Times New Roman"/>
          <w:b/>
          <w:bCs/>
        </w:rPr>
        <w:t>Patient population</w:t>
      </w:r>
      <w:bookmarkEnd w:id="89"/>
    </w:p>
    <w:p w14:paraId="17D06CE4" w14:textId="596E42F9" w:rsidR="00BA3087" w:rsidRPr="00922C73" w:rsidRDefault="00394678" w:rsidP="007B3BE6">
      <w:pPr>
        <w:autoSpaceDE w:val="0"/>
        <w:autoSpaceDN w:val="0"/>
        <w:adjustRightInd w:val="0"/>
        <w:spacing w:after="0" w:line="480" w:lineRule="auto"/>
        <w:jc w:val="left"/>
        <w:rPr>
          <w:rFonts w:ascii="Times New Roman" w:hAnsi="Times New Roman" w:cs="Times New Roman"/>
          <w:sz w:val="24"/>
          <w:szCs w:val="24"/>
        </w:rPr>
      </w:pPr>
      <w:bookmarkStart w:id="90" w:name="_Hlk111452644"/>
      <w:r w:rsidRPr="00922C73">
        <w:rPr>
          <w:rFonts w:ascii="Times New Roman" w:hAnsi="Times New Roman" w:cs="Times New Roman"/>
          <w:sz w:val="24"/>
          <w:szCs w:val="24"/>
        </w:rPr>
        <w:t>From May 2016, patients receiving infliximab for IBD of Sheffield Teaching Hospitals IBD service underwent</w:t>
      </w:r>
      <w:r w:rsidR="006A5AF6" w:rsidRPr="00922C73">
        <w:rPr>
          <w:rFonts w:ascii="Times New Roman" w:hAnsi="Times New Roman" w:cs="Times New Roman"/>
          <w:sz w:val="24"/>
          <w:szCs w:val="24"/>
        </w:rPr>
        <w:t xml:space="preserve"> </w:t>
      </w:r>
      <w:r w:rsidRPr="00922C73">
        <w:rPr>
          <w:rFonts w:ascii="Times New Roman" w:hAnsi="Times New Roman" w:cs="Times New Roman"/>
          <w:sz w:val="24"/>
          <w:szCs w:val="24"/>
        </w:rPr>
        <w:t>TDM comprising measurement of trough infliximab and ATI levels, prior to each infusion after the first.</w:t>
      </w:r>
      <w:r w:rsidR="007B3BE6"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Infliximab was administered during induction as 5 mg/kg at 0, 2 and 6 weeks and continued every 8 weeks at 5 mg/kg for maintenance therapy. </w:t>
      </w:r>
    </w:p>
    <w:p w14:paraId="68D3F29C" w14:textId="5E7A6062" w:rsidR="00394678" w:rsidRPr="00922C73" w:rsidRDefault="00394678" w:rsidP="00BA3087">
      <w:pPr>
        <w:autoSpaceDE w:val="0"/>
        <w:autoSpaceDN w:val="0"/>
        <w:adjustRightInd w:val="0"/>
        <w:spacing w:after="0" w:line="480" w:lineRule="auto"/>
        <w:jc w:val="left"/>
        <w:rPr>
          <w:rFonts w:ascii="Times New Roman" w:hAnsi="Times New Roman" w:cs="Times New Roman"/>
          <w:sz w:val="24"/>
          <w:szCs w:val="24"/>
        </w:rPr>
      </w:pPr>
      <w:r w:rsidRPr="00922C73">
        <w:rPr>
          <w:rFonts w:ascii="Times New Roman" w:hAnsi="Times New Roman" w:cs="Times New Roman"/>
          <w:sz w:val="24"/>
          <w:szCs w:val="24"/>
        </w:rPr>
        <w:t xml:space="preserve">Patients receive intravenous hydrocortisone 200 mg prior to each infliximab infusion. </w:t>
      </w:r>
    </w:p>
    <w:p w14:paraId="260F3705" w14:textId="1017F585" w:rsidR="00394678" w:rsidRPr="00922C73" w:rsidRDefault="00394678" w:rsidP="00394678">
      <w:pPr>
        <w:autoSpaceDE w:val="0"/>
        <w:autoSpaceDN w:val="0"/>
        <w:adjustRightInd w:val="0"/>
        <w:spacing w:after="0" w:line="480" w:lineRule="auto"/>
        <w:jc w:val="left"/>
        <w:rPr>
          <w:rFonts w:ascii="Times New Roman" w:hAnsi="Times New Roman" w:cs="Times New Roman"/>
          <w:sz w:val="24"/>
          <w:szCs w:val="24"/>
        </w:rPr>
      </w:pPr>
      <w:r w:rsidRPr="00922C73">
        <w:rPr>
          <w:rFonts w:ascii="Times New Roman" w:eastAsiaTheme="minorHAnsi" w:hAnsi="Times New Roman" w:cs="Times New Roman"/>
          <w:sz w:val="24"/>
          <w:szCs w:val="24"/>
        </w:rPr>
        <w:t>During this period, all patients receiving infliximab were transferred to the biosimilar, CT-P13 (</w:t>
      </w:r>
      <w:proofErr w:type="spellStart"/>
      <w:r w:rsidRPr="00922C73">
        <w:rPr>
          <w:rFonts w:ascii="Times New Roman" w:eastAsiaTheme="minorHAnsi" w:hAnsi="Times New Roman" w:cs="Times New Roman"/>
          <w:sz w:val="24"/>
          <w:szCs w:val="24"/>
        </w:rPr>
        <w:t>Remsima</w:t>
      </w:r>
      <w:proofErr w:type="spellEnd"/>
      <w:r w:rsidRPr="00922C73">
        <w:rPr>
          <w:rFonts w:ascii="Times New Roman" w:hAnsi="Times New Roman" w:cs="Times New Roman"/>
          <w:sz w:val="24"/>
          <w:szCs w:val="24"/>
          <w:shd w:val="clear" w:color="auto" w:fill="FFFFFF"/>
        </w:rPr>
        <w:t xml:space="preserve"> ®, </w:t>
      </w:r>
      <w:proofErr w:type="spellStart"/>
      <w:r w:rsidRPr="00922C73">
        <w:rPr>
          <w:rFonts w:ascii="Times New Roman" w:hAnsi="Times New Roman" w:cs="Times New Roman"/>
          <w:sz w:val="24"/>
          <w:szCs w:val="24"/>
          <w:shd w:val="clear" w:color="auto" w:fill="FFFFFF"/>
        </w:rPr>
        <w:t>Celltrion</w:t>
      </w:r>
      <w:proofErr w:type="spellEnd"/>
      <w:r w:rsidRPr="00922C73">
        <w:rPr>
          <w:rFonts w:ascii="Times New Roman" w:hAnsi="Times New Roman" w:cs="Times New Roman"/>
          <w:sz w:val="24"/>
          <w:szCs w:val="24"/>
          <w:shd w:val="clear" w:color="auto" w:fill="FFFFFF"/>
        </w:rPr>
        <w:t>, South Korea</w:t>
      </w:r>
      <w:r w:rsidRPr="00922C73">
        <w:rPr>
          <w:rFonts w:ascii="Times New Roman" w:eastAsiaTheme="minorHAnsi" w:hAnsi="Times New Roman" w:cs="Times New Roman"/>
          <w:sz w:val="24"/>
          <w:szCs w:val="24"/>
        </w:rPr>
        <w:t>), from the originator drug, Remicade</w:t>
      </w:r>
      <w:bookmarkStart w:id="91" w:name="_Hlk87438655"/>
      <w:r w:rsidR="008046BD" w:rsidRPr="00922C73">
        <w:rPr>
          <w:rFonts w:ascii="Times New Roman" w:eastAsiaTheme="minorHAnsi" w:hAnsi="Times New Roman" w:cs="Times New Roman"/>
          <w:sz w:val="24"/>
          <w:szCs w:val="24"/>
        </w:rPr>
        <w:t xml:space="preserve"> (Janssen Biotech In</w:t>
      </w:r>
      <w:r w:rsidR="00941EE1" w:rsidRPr="00922C73">
        <w:rPr>
          <w:rFonts w:ascii="Times New Roman" w:eastAsiaTheme="minorHAnsi" w:hAnsi="Times New Roman" w:cs="Times New Roman"/>
          <w:sz w:val="24"/>
          <w:szCs w:val="24"/>
        </w:rPr>
        <w:t>c, United States).</w:t>
      </w:r>
      <w:r w:rsidRPr="00922C73">
        <w:rPr>
          <w:rFonts w:ascii="Times New Roman" w:hAnsi="Times New Roman" w:cs="Times New Roman"/>
          <w:sz w:val="24"/>
          <w:szCs w:val="24"/>
        </w:rPr>
        <w:t xml:space="preserve"> </w:t>
      </w:r>
      <w:bookmarkEnd w:id="91"/>
    </w:p>
    <w:p w14:paraId="3951226E" w14:textId="77777777" w:rsidR="00D74E74" w:rsidRPr="00922C73" w:rsidRDefault="00D74E74" w:rsidP="00E730E9">
      <w:pPr>
        <w:autoSpaceDE w:val="0"/>
        <w:autoSpaceDN w:val="0"/>
        <w:adjustRightInd w:val="0"/>
        <w:spacing w:after="0" w:line="480" w:lineRule="auto"/>
        <w:jc w:val="left"/>
        <w:rPr>
          <w:rFonts w:ascii="Times New Roman" w:hAnsi="Times New Roman" w:cs="Times New Roman"/>
          <w:sz w:val="24"/>
          <w:szCs w:val="24"/>
        </w:rPr>
      </w:pPr>
    </w:p>
    <w:p w14:paraId="5663AB1B" w14:textId="0BFC373D" w:rsidR="00E52C71" w:rsidRPr="00922C73" w:rsidRDefault="002F7611" w:rsidP="00E730E9">
      <w:pPr>
        <w:pStyle w:val="Heading3"/>
        <w:spacing w:line="480" w:lineRule="auto"/>
        <w:rPr>
          <w:rFonts w:ascii="Times New Roman" w:hAnsi="Times New Roman" w:cs="Times New Roman"/>
          <w:b/>
          <w:bCs/>
        </w:rPr>
      </w:pPr>
      <w:bookmarkStart w:id="92" w:name="_Toc151020477"/>
      <w:r w:rsidRPr="00922C73">
        <w:rPr>
          <w:rFonts w:ascii="Times New Roman" w:hAnsi="Times New Roman" w:cs="Times New Roman"/>
          <w:b/>
          <w:bCs/>
        </w:rPr>
        <w:t>2</w:t>
      </w:r>
      <w:r w:rsidR="001F5E7D" w:rsidRPr="00922C73">
        <w:rPr>
          <w:rFonts w:ascii="Times New Roman" w:hAnsi="Times New Roman" w:cs="Times New Roman"/>
          <w:b/>
          <w:bCs/>
        </w:rPr>
        <w:t>.</w:t>
      </w:r>
      <w:r w:rsidR="00E52C71" w:rsidRPr="00922C73">
        <w:rPr>
          <w:rFonts w:ascii="Times New Roman" w:hAnsi="Times New Roman" w:cs="Times New Roman"/>
          <w:b/>
          <w:bCs/>
        </w:rPr>
        <w:t>2.</w:t>
      </w:r>
      <w:r w:rsidR="00D74E74" w:rsidRPr="00922C73">
        <w:rPr>
          <w:rFonts w:ascii="Times New Roman" w:hAnsi="Times New Roman" w:cs="Times New Roman"/>
          <w:b/>
          <w:bCs/>
        </w:rPr>
        <w:t>2</w:t>
      </w:r>
      <w:r w:rsidR="00E52C71" w:rsidRPr="00922C73">
        <w:rPr>
          <w:rFonts w:ascii="Times New Roman" w:hAnsi="Times New Roman" w:cs="Times New Roman"/>
          <w:b/>
          <w:bCs/>
        </w:rPr>
        <w:t xml:space="preserve"> Clinical assessment</w:t>
      </w:r>
      <w:bookmarkEnd w:id="92"/>
    </w:p>
    <w:p w14:paraId="48A80DDD" w14:textId="037A8959" w:rsidR="00E52C71" w:rsidRPr="00922C73" w:rsidRDefault="00E52C71" w:rsidP="00E730E9">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Clinical assessment using validated clinical scores: Harvey Bradshaw Index (HBI)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(80)92767-1","ISSN":"01406736","author":[{"dropping-particle":"","family":"Harvey","given":"R.F.","non-dropping-particle":"","parse-names":false,"suffix":""},{"dropping-particle":"","family":"Bradshaw","given":"J.M.","non-dropping-particle":"","parse-names":false,"suffix":""}],"container-title":"The Lancet","id":"ITEM-1","issue":"8167","issued":{"date-parts":[["1980","3"]]},"page":"514","title":"A SIMPLE INDEX OF CROHN'S-DISEASE ACTIVITY","type":"article-journal","volume":"315"},"uris":["http://www.mendeley.com/documents/?uuid=569fe278-541c-4a2d-8d41-8750f2a01427"]}],"mendeley":{"formattedCitation":"&lt;sup&gt;140&lt;/sup&gt;","plainTextFormattedCitation":"140","previouslyFormattedCitation":"&lt;sup&gt;140&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for Crohn's disease and Simple Colitis Activity Index (SCAI)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{"citationItems":[{"id":"ITEM-1","itemData":{"DOI":"10.1136/gut.43.1.29","ISSN":"0017-5749","abstract":"Background —The appropriate medical treatment of patients with ulcerative colitis is determined largely by the severity of symptoms. Hospital assessment of the severity of disease activity includes investigation of laboratory indices and sigmoidoscopic assessment of mucosal inflammation.","author":[{"dropping-particle":"","family":"Walmsley","given":"R S","non-dropping-particle":"","parse-names":false,"suffix":""},{"dropping-particle":"","family":"Ayres","given":"R C S","non-dropping-particle":"","parse-names":false,"suffix":""},{"dropping-particle":"","family":"Pounder","given":"R E","non-dropping-particle":"","parse-names":false,"suffix":""},{"dropping-particle":"","family":"Allan","given":"R N","non-dropping-particle":"","parse-names":false,"suffix":""}],"container-title":"Gut","id":"ITEM-1","issue":"1","issued":{"date-parts":[["1998","7","1"]]},"page":"29-32","title":"A simple clinical colitis activity index","type":"article-journal","volume":"43"},"uris":["http://www.mendeley.com/documents/?uuid=416496f2-5586-4496-8d60-b2cceeafcc32"]}],"mendeley":{"formattedCitation":"&lt;sup&gt;141&lt;/sup&gt;","plainTextFormattedCitation":"141","previouslyFormattedCitation":"&lt;sup&gt;141&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141</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for ulcerative colitis (UC) were documented at each infusion attendance. Additional patient contact including clinic review </w:t>
      </w:r>
      <w:r w:rsidR="008C3E8A" w:rsidRPr="00922C73">
        <w:rPr>
          <w:rFonts w:ascii="Times New Roman" w:hAnsi="Times New Roman" w:cs="Times New Roman"/>
          <w:sz w:val="24"/>
          <w:szCs w:val="24"/>
        </w:rPr>
        <w:lastRenderedPageBreak/>
        <w:t xml:space="preserve">from clinical records </w:t>
      </w:r>
      <w:r w:rsidRPr="00922C73">
        <w:rPr>
          <w:rFonts w:ascii="Times New Roman" w:hAnsi="Times New Roman" w:cs="Times New Roman"/>
          <w:sz w:val="24"/>
          <w:szCs w:val="24"/>
        </w:rPr>
        <w:t>w</w:t>
      </w:r>
      <w:r w:rsidR="008C3E8A" w:rsidRPr="00922C73">
        <w:rPr>
          <w:rFonts w:ascii="Times New Roman" w:hAnsi="Times New Roman" w:cs="Times New Roman"/>
          <w:sz w:val="24"/>
          <w:szCs w:val="24"/>
        </w:rPr>
        <w:t>ere</w:t>
      </w:r>
      <w:r w:rsidRPr="00922C73">
        <w:rPr>
          <w:rFonts w:ascii="Times New Roman" w:hAnsi="Times New Roman" w:cs="Times New Roman"/>
          <w:sz w:val="24"/>
          <w:szCs w:val="24"/>
        </w:rPr>
        <w:t xml:space="preserve"> also taken into consideration</w:t>
      </w:r>
      <w:r w:rsidR="00CC51A1" w:rsidRPr="00922C73">
        <w:rPr>
          <w:rFonts w:ascii="Times New Roman" w:hAnsi="Times New Roman" w:cs="Times New Roman"/>
          <w:sz w:val="24"/>
          <w:szCs w:val="24"/>
        </w:rPr>
        <w:t xml:space="preserve"> e.g. in assessing for clinical response or relapse</w:t>
      </w:r>
      <w:r w:rsidRPr="00922C73">
        <w:rPr>
          <w:rFonts w:ascii="Times New Roman" w:hAnsi="Times New Roman" w:cs="Times New Roman"/>
          <w:sz w:val="24"/>
          <w:szCs w:val="24"/>
        </w:rPr>
        <w:t xml:space="preserve">. Full blood count, urea and electrolytes, liver function tests, C‐reactive protein (CRP) and erythrocyte sedimentation rate (ESR) were measured at each infusion. </w:t>
      </w:r>
    </w:p>
    <w:p w14:paraId="7228B611" w14:textId="77777777" w:rsidR="00E52C71" w:rsidRPr="00922C73" w:rsidRDefault="00E52C71" w:rsidP="00E730E9">
      <w:pPr>
        <w:spacing w:line="480" w:lineRule="auto"/>
        <w:rPr>
          <w:rFonts w:ascii="Times New Roman" w:hAnsi="Times New Roman" w:cs="Times New Roman"/>
          <w:sz w:val="24"/>
          <w:szCs w:val="24"/>
        </w:rPr>
      </w:pPr>
    </w:p>
    <w:p w14:paraId="1EDDA1C4" w14:textId="77777777" w:rsidR="00E52C71" w:rsidRPr="00922C73" w:rsidRDefault="00E52C71" w:rsidP="00E730E9">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Remission was defined clinically and biochemically for CD as HBI ≤ 4 plus a C‐reactive protein ≤5 mg/L and defined clinically in UC as SCAI ≤ 4. Treatment failure was defined as ongoing or worsening of symptoms attributable to IBD, requiring alteration in treatment. Loss of clinical remission was defined in CD as HBI &gt; 4 and/or raised CRP and in UC as SCAI &gt; 4 or worsening of symptoms attributed to the IBD requiring an alteration in treatment. Patients with perianal disease were not included for ROC analysis of remission and loss of clinical remission as the clinical scores used are limited in their assessment of relapse of perianal disease. Patients were considered to have been exposed to immunosuppression if they had received thiopurines or methotrexate at any time during follow‐up. </w:t>
      </w:r>
    </w:p>
    <w:p w14:paraId="37938BC9" w14:textId="77777777" w:rsidR="00E52C71" w:rsidRPr="00922C73" w:rsidRDefault="00E52C71" w:rsidP="00E52C71">
      <w:pPr>
        <w:spacing w:line="480" w:lineRule="auto"/>
        <w:rPr>
          <w:rFonts w:ascii="Times New Roman" w:hAnsi="Times New Roman" w:cs="Times New Roman"/>
          <w:sz w:val="24"/>
          <w:szCs w:val="24"/>
        </w:rPr>
      </w:pPr>
    </w:p>
    <w:p w14:paraId="32665E9C" w14:textId="576F7F93" w:rsidR="00E52C71" w:rsidRPr="00922C73" w:rsidRDefault="002F7611" w:rsidP="00E116B5">
      <w:pPr>
        <w:pStyle w:val="Heading3"/>
        <w:spacing w:line="480" w:lineRule="auto"/>
        <w:rPr>
          <w:rFonts w:ascii="Times New Roman" w:hAnsi="Times New Roman" w:cs="Times New Roman"/>
          <w:b/>
          <w:bCs/>
        </w:rPr>
      </w:pPr>
      <w:bookmarkStart w:id="93" w:name="_Toc151020478"/>
      <w:r w:rsidRPr="00922C73">
        <w:rPr>
          <w:rFonts w:ascii="Times New Roman" w:hAnsi="Times New Roman" w:cs="Times New Roman"/>
          <w:b/>
          <w:bCs/>
        </w:rPr>
        <w:t>2</w:t>
      </w:r>
      <w:r w:rsidR="001F5E7D" w:rsidRPr="00922C73">
        <w:rPr>
          <w:rFonts w:ascii="Times New Roman" w:hAnsi="Times New Roman" w:cs="Times New Roman"/>
          <w:b/>
          <w:bCs/>
        </w:rPr>
        <w:t>.</w:t>
      </w:r>
      <w:r w:rsidR="00E52C71" w:rsidRPr="00922C73">
        <w:rPr>
          <w:rFonts w:ascii="Times New Roman" w:hAnsi="Times New Roman" w:cs="Times New Roman"/>
          <w:b/>
          <w:bCs/>
        </w:rPr>
        <w:t>2</w:t>
      </w:r>
      <w:r w:rsidR="00D74E74" w:rsidRPr="00922C73">
        <w:rPr>
          <w:rFonts w:ascii="Times New Roman" w:hAnsi="Times New Roman" w:cs="Times New Roman"/>
          <w:b/>
          <w:bCs/>
        </w:rPr>
        <w:t>.3</w:t>
      </w:r>
      <w:r w:rsidR="00E52C71" w:rsidRPr="00922C73">
        <w:rPr>
          <w:rFonts w:ascii="Times New Roman" w:hAnsi="Times New Roman" w:cs="Times New Roman"/>
          <w:b/>
          <w:bCs/>
        </w:rPr>
        <w:t xml:space="preserve"> Therapeutic drug monitoring (TDM)</w:t>
      </w:r>
      <w:bookmarkEnd w:id="93"/>
    </w:p>
    <w:p w14:paraId="34E6BF5B" w14:textId="7DC086FA" w:rsidR="00115D24" w:rsidRPr="00922C73" w:rsidRDefault="00EE0E67" w:rsidP="009B2F28">
      <w:pPr>
        <w:autoSpaceDE w:val="0"/>
        <w:autoSpaceDN w:val="0"/>
        <w:adjustRightInd w:val="0"/>
        <w:spacing w:after="0" w:line="480" w:lineRule="auto"/>
        <w:rPr>
          <w:rFonts w:ascii="Times New Roman" w:hAnsi="Times New Roman" w:cs="Times New Roman"/>
          <w:bCs/>
          <w:iCs/>
          <w:sz w:val="24"/>
          <w:szCs w:val="24"/>
        </w:rPr>
      </w:pPr>
      <w:bookmarkStart w:id="94" w:name="_Hlk139454866"/>
      <w:bookmarkStart w:id="95" w:name="_Hlk90304172"/>
      <w:r w:rsidRPr="00922C73">
        <w:rPr>
          <w:rFonts w:ascii="Times New Roman" w:hAnsi="Times New Roman" w:cs="Times New Roman"/>
          <w:bCs/>
          <w:iCs/>
          <w:sz w:val="24"/>
          <w:szCs w:val="24"/>
        </w:rPr>
        <w:t>At least 1 mL of w</w:t>
      </w:r>
      <w:r w:rsidR="00544A9C" w:rsidRPr="00922C73">
        <w:rPr>
          <w:rFonts w:ascii="Times New Roman" w:hAnsi="Times New Roman" w:cs="Times New Roman"/>
          <w:bCs/>
          <w:iCs/>
          <w:sz w:val="24"/>
          <w:szCs w:val="24"/>
        </w:rPr>
        <w:t xml:space="preserve">hole blood was obtained using venesection </w:t>
      </w:r>
      <w:r w:rsidRPr="00922C73">
        <w:rPr>
          <w:rFonts w:ascii="Times New Roman" w:hAnsi="Times New Roman" w:cs="Times New Roman"/>
          <w:bCs/>
          <w:iCs/>
          <w:sz w:val="24"/>
          <w:szCs w:val="24"/>
        </w:rPr>
        <w:t xml:space="preserve">in a serum separating tube. </w:t>
      </w:r>
      <w:r w:rsidR="00115D24" w:rsidRPr="00922C73">
        <w:rPr>
          <w:rFonts w:ascii="Times New Roman" w:hAnsi="Times New Roman" w:cs="Times New Roman"/>
          <w:bCs/>
          <w:iCs/>
          <w:sz w:val="24"/>
          <w:szCs w:val="24"/>
        </w:rPr>
        <w:t>Serum was separated following centrifugation.</w:t>
      </w:r>
      <w:r w:rsidR="00EC3D95" w:rsidRPr="00922C73">
        <w:rPr>
          <w:rFonts w:ascii="Times New Roman" w:hAnsi="Times New Roman" w:cs="Times New Roman"/>
          <w:bCs/>
          <w:iCs/>
          <w:sz w:val="24"/>
          <w:szCs w:val="24"/>
        </w:rPr>
        <w:t xml:space="preserve"> 35 µL of the serum was used for TDM.</w:t>
      </w:r>
    </w:p>
    <w:bookmarkEnd w:id="94"/>
    <w:p w14:paraId="43EA3451" w14:textId="77777777" w:rsidR="00115D24" w:rsidRPr="00922C73" w:rsidRDefault="00115D24" w:rsidP="009B2F28">
      <w:pPr>
        <w:autoSpaceDE w:val="0"/>
        <w:autoSpaceDN w:val="0"/>
        <w:adjustRightInd w:val="0"/>
        <w:spacing w:after="0" w:line="480" w:lineRule="auto"/>
        <w:rPr>
          <w:rFonts w:ascii="Times New Roman" w:hAnsi="Times New Roman" w:cs="Times New Roman"/>
          <w:bCs/>
          <w:iCs/>
          <w:sz w:val="24"/>
          <w:szCs w:val="24"/>
        </w:rPr>
      </w:pPr>
    </w:p>
    <w:p w14:paraId="31A92C3C" w14:textId="77777777" w:rsidR="00115D24" w:rsidRPr="00922C73" w:rsidRDefault="009B2F28" w:rsidP="00A66D4D">
      <w:pPr>
        <w:autoSpaceDE w:val="0"/>
        <w:autoSpaceDN w:val="0"/>
        <w:adjustRightInd w:val="0"/>
        <w:spacing w:after="0" w:line="480" w:lineRule="auto"/>
        <w:rPr>
          <w:rFonts w:ascii="Times New Roman" w:hAnsi="Times New Roman" w:cs="Times New Roman"/>
          <w:bCs/>
          <w:i/>
          <w:sz w:val="24"/>
          <w:szCs w:val="24"/>
        </w:rPr>
      </w:pPr>
      <w:r w:rsidRPr="00922C73">
        <w:rPr>
          <w:rFonts w:ascii="Times New Roman" w:hAnsi="Times New Roman" w:cs="Times New Roman"/>
          <w:bCs/>
          <w:i/>
          <w:sz w:val="24"/>
          <w:szCs w:val="24"/>
        </w:rPr>
        <w:t xml:space="preserve">Trough infliximab levels </w:t>
      </w:r>
    </w:p>
    <w:p w14:paraId="1478F3E1" w14:textId="5548EC6E" w:rsidR="009B2F28" w:rsidRPr="00922C73" w:rsidRDefault="003B3C55" w:rsidP="00A66D4D">
      <w:pPr>
        <w:pStyle w:val="Pa1"/>
        <w:spacing w:after="40" w:line="480" w:lineRule="auto"/>
        <w:jc w:val="both"/>
        <w:rPr>
          <w:rFonts w:ascii="Times New Roman" w:hAnsi="Times New Roman" w:cs="Times New Roman"/>
        </w:rPr>
      </w:pPr>
      <w:r w:rsidRPr="00922C73">
        <w:rPr>
          <w:rFonts w:ascii="Times New Roman" w:hAnsi="Times New Roman" w:cs="Times New Roman"/>
          <w:bCs/>
          <w:iCs/>
        </w:rPr>
        <w:t>Briefly,</w:t>
      </w:r>
      <w:r w:rsidR="009B2F28" w:rsidRPr="00922C73">
        <w:rPr>
          <w:rFonts w:ascii="Times New Roman" w:hAnsi="Times New Roman" w:cs="Times New Roman"/>
          <w:bCs/>
          <w:iCs/>
        </w:rPr>
        <w:t xml:space="preserve"> </w:t>
      </w:r>
      <w:proofErr w:type="spellStart"/>
      <w:r w:rsidR="009B2F28" w:rsidRPr="00922C73">
        <w:rPr>
          <w:rFonts w:ascii="Times New Roman" w:hAnsi="Times New Roman" w:cs="Times New Roman"/>
          <w:bCs/>
          <w:iCs/>
        </w:rPr>
        <w:t>IDK</w:t>
      </w:r>
      <w:r w:rsidR="009B2F28" w:rsidRPr="00922C73">
        <w:rPr>
          <w:rFonts w:ascii="Times New Roman" w:hAnsi="Times New Roman" w:cs="Times New Roman"/>
          <w:bCs/>
        </w:rPr>
        <w:t>monitor</w:t>
      </w:r>
      <w:proofErr w:type="spellEnd"/>
      <w:r w:rsidR="009B2F28" w:rsidRPr="00922C73">
        <w:rPr>
          <w:rFonts w:ascii="Times New Roman" w:hAnsi="Times New Roman" w:cs="Times New Roman"/>
        </w:rPr>
        <w:t xml:space="preserve">® </w:t>
      </w:r>
      <w:r w:rsidR="009B2F28" w:rsidRPr="00922C73">
        <w:rPr>
          <w:rFonts w:ascii="Times New Roman" w:hAnsi="Times New Roman" w:cs="Times New Roman"/>
          <w:bCs/>
        </w:rPr>
        <w:t xml:space="preserve">Infliximab drug level ELISA </w:t>
      </w:r>
      <w:r w:rsidR="009B2F28" w:rsidRPr="00922C73">
        <w:rPr>
          <w:rFonts w:ascii="Times New Roman" w:hAnsi="Times New Roman" w:cs="Times New Roman"/>
        </w:rPr>
        <w:t>(</w:t>
      </w:r>
      <w:proofErr w:type="spellStart"/>
      <w:r w:rsidR="009B2F28" w:rsidRPr="00922C73">
        <w:rPr>
          <w:rFonts w:ascii="Times New Roman" w:hAnsi="Times New Roman" w:cs="Times New Roman"/>
        </w:rPr>
        <w:t>Immundiagnostik</w:t>
      </w:r>
      <w:proofErr w:type="spellEnd"/>
      <w:r w:rsidR="009B2F28" w:rsidRPr="00922C73">
        <w:rPr>
          <w:rFonts w:ascii="Times New Roman" w:hAnsi="Times New Roman" w:cs="Times New Roman"/>
        </w:rPr>
        <w:t xml:space="preserve"> AG, </w:t>
      </w:r>
      <w:proofErr w:type="spellStart"/>
      <w:r w:rsidR="009B2F28" w:rsidRPr="00922C73">
        <w:rPr>
          <w:rFonts w:ascii="Times New Roman" w:hAnsi="Times New Roman" w:cs="Times New Roman"/>
        </w:rPr>
        <w:t>Bensheim</w:t>
      </w:r>
      <w:proofErr w:type="spellEnd"/>
      <w:r w:rsidR="009B2F28" w:rsidRPr="00922C73">
        <w:rPr>
          <w:rFonts w:ascii="Times New Roman" w:hAnsi="Times New Roman" w:cs="Times New Roman"/>
        </w:rPr>
        <w:t>, Germany)</w:t>
      </w:r>
      <w:r w:rsidR="00930453" w:rsidRPr="00922C73">
        <w:rPr>
          <w:rFonts w:ascii="Times New Roman" w:hAnsi="Times New Roman" w:cs="Times New Roman"/>
        </w:rPr>
        <w:t xml:space="preserve"> </w:t>
      </w:r>
      <w:r w:rsidRPr="00922C73">
        <w:rPr>
          <w:rFonts w:ascii="Times New Roman" w:hAnsi="Times New Roman" w:cs="Times New Roman"/>
        </w:rPr>
        <w:t xml:space="preserve">detects </w:t>
      </w:r>
      <w:r w:rsidR="00930453" w:rsidRPr="00922C73">
        <w:rPr>
          <w:rFonts w:ascii="Times New Roman" w:hAnsi="Times New Roman" w:cs="Times New Roman"/>
        </w:rPr>
        <w:t>free infliximab</w:t>
      </w:r>
      <w:r w:rsidRPr="00922C73">
        <w:rPr>
          <w:rFonts w:ascii="Times New Roman" w:hAnsi="Times New Roman" w:cs="Times New Roman"/>
        </w:rPr>
        <w:t xml:space="preserve"> using</w:t>
      </w:r>
      <w:r w:rsidR="004953C9" w:rsidRPr="00922C73">
        <w:rPr>
          <w:rFonts w:ascii="Times New Roman" w:hAnsi="Times New Roman" w:cs="Times New Roman"/>
        </w:rPr>
        <w:t xml:space="preserve"> a</w:t>
      </w:r>
      <w:r w:rsidR="00930453" w:rsidRPr="00922C73">
        <w:rPr>
          <w:rFonts w:ascii="Times New Roman" w:hAnsi="Times New Roman" w:cs="Times New Roman"/>
        </w:rPr>
        <w:t xml:space="preserve"> monoclonal anti-infliximab antibody</w:t>
      </w:r>
      <w:r w:rsidR="001A2E7D" w:rsidRPr="00922C73">
        <w:rPr>
          <w:rFonts w:ascii="Times New Roman" w:hAnsi="Times New Roman" w:cs="Times New Roman"/>
        </w:rPr>
        <w:t xml:space="preserve"> </w:t>
      </w:r>
      <w:r w:rsidR="00814338" w:rsidRPr="00922C73">
        <w:rPr>
          <w:rFonts w:ascii="Times New Roman" w:hAnsi="Times New Roman" w:cs="Times New Roman"/>
        </w:rPr>
        <w:fldChar w:fldCharType="begin" w:fldLock="1"/>
      </w:r>
      <w:r w:rsidR="00A00D49" w:rsidRPr="00922C73">
        <w:rPr>
          <w:rFonts w:ascii="Times New Roman" w:hAnsi="Times New Roman" w:cs="Times New Roman"/>
        </w:rPr>
        <w:instrText>ADDIN CSL_CITATION {"citationItems":[{"id":"ITEM-1","itemData":{"author":[{"dropping-particle":"","family":"Immunodiagnostik AG","given":"","non-dropping-particle":"","parse-names":false,"suffix":""}],"id":"ITEM-1","issued":{"date-parts":[["2015"]]},"title":"IDK monitor Infliximab drug level ELISA","type":"article-journal"},"uris":["http://www.mendeley.com/documents/?uuid=4c04fbea-8218-4faf-a482-f67ead1929cc"]}],"mendeley":{"formattedCitation":"&lt;sup&gt;163&lt;/sup&gt;","plainTextFormattedCitation":"163","previouslyFormattedCitation":"&lt;sup&gt;163&lt;/sup&gt;"},"properties":{"noteIndex":0},"schema":"https://github.com/citation-style-language/schema/raw/master/csl-citation.json"}</w:instrText>
      </w:r>
      <w:r w:rsidR="00814338" w:rsidRPr="00922C73">
        <w:rPr>
          <w:rFonts w:ascii="Times New Roman" w:hAnsi="Times New Roman" w:cs="Times New Roman"/>
        </w:rPr>
        <w:fldChar w:fldCharType="separate"/>
      </w:r>
      <w:r w:rsidR="00C80274" w:rsidRPr="00922C73">
        <w:rPr>
          <w:rFonts w:ascii="Times New Roman" w:hAnsi="Times New Roman" w:cs="Times New Roman"/>
          <w:noProof/>
          <w:vertAlign w:val="superscript"/>
        </w:rPr>
        <w:t>163</w:t>
      </w:r>
      <w:r w:rsidR="00814338" w:rsidRPr="00922C73">
        <w:rPr>
          <w:rFonts w:ascii="Times New Roman" w:hAnsi="Times New Roman" w:cs="Times New Roman"/>
        </w:rPr>
        <w:fldChar w:fldCharType="end"/>
      </w:r>
      <w:r w:rsidR="00930453" w:rsidRPr="00922C73">
        <w:rPr>
          <w:rFonts w:ascii="Times New Roman" w:hAnsi="Times New Roman" w:cs="Times New Roman"/>
        </w:rPr>
        <w:t xml:space="preserve">. </w:t>
      </w:r>
      <w:r w:rsidR="00427EE3" w:rsidRPr="00922C73">
        <w:rPr>
          <w:rFonts w:ascii="Times New Roman" w:hAnsi="Times New Roman" w:cs="Times New Roman"/>
        </w:rPr>
        <w:t>Further</w:t>
      </w:r>
      <w:r w:rsidR="00711161" w:rsidRPr="00922C73">
        <w:rPr>
          <w:rFonts w:ascii="Times New Roman" w:hAnsi="Times New Roman" w:cs="Times New Roman"/>
        </w:rPr>
        <w:t xml:space="preserve"> incubation</w:t>
      </w:r>
      <w:r w:rsidR="00930453" w:rsidRPr="00922C73">
        <w:rPr>
          <w:rFonts w:ascii="Times New Roman" w:hAnsi="Times New Roman" w:cs="Times New Roman"/>
        </w:rPr>
        <w:t xml:space="preserve"> </w:t>
      </w:r>
      <w:r w:rsidR="00711161" w:rsidRPr="00922C73">
        <w:rPr>
          <w:rFonts w:ascii="Times New Roman" w:hAnsi="Times New Roman" w:cs="Times New Roman"/>
        </w:rPr>
        <w:t xml:space="preserve">with </w:t>
      </w:r>
      <w:r w:rsidR="00930453" w:rsidRPr="00922C73">
        <w:rPr>
          <w:rFonts w:ascii="Times New Roman" w:hAnsi="Times New Roman" w:cs="Times New Roman"/>
        </w:rPr>
        <w:t>peroxidase-labe</w:t>
      </w:r>
      <w:r w:rsidR="00711161" w:rsidRPr="00922C73">
        <w:rPr>
          <w:rFonts w:ascii="Times New Roman" w:hAnsi="Times New Roman" w:cs="Times New Roman"/>
        </w:rPr>
        <w:t>l</w:t>
      </w:r>
      <w:r w:rsidR="00930453" w:rsidRPr="00922C73">
        <w:rPr>
          <w:rFonts w:ascii="Times New Roman" w:hAnsi="Times New Roman" w:cs="Times New Roman"/>
        </w:rPr>
        <w:t xml:space="preserve">led antibody </w:t>
      </w:r>
      <w:r w:rsidR="00C72249" w:rsidRPr="00922C73">
        <w:rPr>
          <w:rFonts w:ascii="Times New Roman" w:hAnsi="Times New Roman" w:cs="Times New Roman"/>
        </w:rPr>
        <w:t>with</w:t>
      </w:r>
      <w:r w:rsidR="00930453" w:rsidRPr="00922C73">
        <w:rPr>
          <w:rFonts w:ascii="Times New Roman" w:hAnsi="Times New Roman" w:cs="Times New Roman"/>
        </w:rPr>
        <w:t xml:space="preserve"> </w:t>
      </w:r>
      <w:r w:rsidR="00711161" w:rsidRPr="00922C73">
        <w:rPr>
          <w:rFonts w:ascii="Times New Roman" w:hAnsi="Times New Roman" w:cs="Times New Roman"/>
        </w:rPr>
        <w:t>te</w:t>
      </w:r>
      <w:r w:rsidR="00930453" w:rsidRPr="00922C73">
        <w:rPr>
          <w:rFonts w:ascii="Times New Roman" w:hAnsi="Times New Roman" w:cs="Times New Roman"/>
        </w:rPr>
        <w:softHyphen/>
        <w:t xml:space="preserve">tramethylbenzidine (TMB) </w:t>
      </w:r>
      <w:r w:rsidR="00FD033C" w:rsidRPr="00922C73">
        <w:rPr>
          <w:rFonts w:ascii="Times New Roman" w:hAnsi="Times New Roman" w:cs="Times New Roman"/>
        </w:rPr>
        <w:t xml:space="preserve">as a </w:t>
      </w:r>
      <w:r w:rsidR="00930453" w:rsidRPr="00922C73">
        <w:rPr>
          <w:rFonts w:ascii="Times New Roman" w:hAnsi="Times New Roman" w:cs="Times New Roman"/>
        </w:rPr>
        <w:t>substrate</w:t>
      </w:r>
      <w:r w:rsidR="00FD033C" w:rsidRPr="00922C73">
        <w:rPr>
          <w:rFonts w:ascii="Times New Roman" w:hAnsi="Times New Roman" w:cs="Times New Roman"/>
        </w:rPr>
        <w:t xml:space="preserve"> </w:t>
      </w:r>
      <w:r w:rsidR="00C72249" w:rsidRPr="00922C73">
        <w:rPr>
          <w:rFonts w:ascii="Times New Roman" w:hAnsi="Times New Roman" w:cs="Times New Roman"/>
        </w:rPr>
        <w:t>produce</w:t>
      </w:r>
      <w:r w:rsidR="00E57C8B" w:rsidRPr="00922C73">
        <w:rPr>
          <w:rFonts w:ascii="Times New Roman" w:hAnsi="Times New Roman" w:cs="Times New Roman"/>
        </w:rPr>
        <w:t>d</w:t>
      </w:r>
      <w:r w:rsidR="00FD033C" w:rsidRPr="00922C73">
        <w:rPr>
          <w:rFonts w:ascii="Times New Roman" w:hAnsi="Times New Roman" w:cs="Times New Roman"/>
        </w:rPr>
        <w:t xml:space="preserve"> colour change</w:t>
      </w:r>
      <w:r w:rsidR="00D701B6" w:rsidRPr="00922C73">
        <w:rPr>
          <w:rFonts w:ascii="Times New Roman" w:hAnsi="Times New Roman" w:cs="Times New Roman"/>
        </w:rPr>
        <w:t xml:space="preserve"> directly proportional to the concentration of free infliximab in the </w:t>
      </w:r>
      <w:r w:rsidR="00D701B6" w:rsidRPr="00922C73">
        <w:rPr>
          <w:rFonts w:ascii="Times New Roman" w:hAnsi="Times New Roman" w:cs="Times New Roman"/>
        </w:rPr>
        <w:lastRenderedPageBreak/>
        <w:t>sample</w:t>
      </w:r>
      <w:r w:rsidR="001358D3" w:rsidRPr="00922C73">
        <w:rPr>
          <w:rFonts w:ascii="Times New Roman" w:hAnsi="Times New Roman" w:cs="Times New Roman"/>
        </w:rPr>
        <w:t>.</w:t>
      </w:r>
      <w:r w:rsidR="00930453" w:rsidRPr="00922C73">
        <w:rPr>
          <w:rFonts w:ascii="Times New Roman" w:hAnsi="Times New Roman" w:cs="Times New Roman"/>
        </w:rPr>
        <w:t xml:space="preserve"> </w:t>
      </w:r>
      <w:r w:rsidR="009B2F28" w:rsidRPr="00922C73">
        <w:rPr>
          <w:rFonts w:ascii="Times New Roman" w:hAnsi="Times New Roman" w:cs="Times New Roman"/>
          <w:bCs/>
        </w:rPr>
        <w:t xml:space="preserve">Trough infliximab levels were defined as undetectable if &lt; 0.8 mg/L, subtherapeutic if 0.8-2.9 mg/L, therapeutic if 3-7 mg/L and supratherapeutic if &gt;7 mg/L </w:t>
      </w:r>
      <w:r w:rsidR="009B2F28" w:rsidRPr="00922C73">
        <w:rPr>
          <w:rFonts w:ascii="Times New Roman" w:hAnsi="Times New Roman" w:cs="Times New Roman"/>
          <w:bCs/>
        </w:rPr>
        <w:fldChar w:fldCharType="begin" w:fldLock="1"/>
      </w:r>
      <w:r w:rsidR="00DD0F87" w:rsidRPr="00922C73">
        <w:rPr>
          <w:rFonts w:ascii="Times New Roman" w:hAnsi="Times New Roman" w:cs="Times New Roman"/>
          <w:bCs/>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mendeley":{"formattedCitation":"&lt;sup&gt;120&lt;/sup&gt;","plainTextFormattedCitation":"120","previouslyFormattedCitation":"&lt;sup&gt;120&lt;/sup&gt;"},"properties":{"noteIndex":0},"schema":"https://github.com/citation-style-language/schema/raw/master/csl-citation.json"}</w:instrText>
      </w:r>
      <w:r w:rsidR="009B2F28" w:rsidRPr="00922C73">
        <w:rPr>
          <w:rFonts w:ascii="Times New Roman" w:hAnsi="Times New Roman" w:cs="Times New Roman"/>
          <w:bCs/>
        </w:rPr>
        <w:fldChar w:fldCharType="separate"/>
      </w:r>
      <w:r w:rsidR="00A00D49" w:rsidRPr="00922C73">
        <w:rPr>
          <w:rFonts w:ascii="Times New Roman" w:hAnsi="Times New Roman" w:cs="Times New Roman"/>
          <w:bCs/>
          <w:noProof/>
          <w:vertAlign w:val="superscript"/>
        </w:rPr>
        <w:t>120</w:t>
      </w:r>
      <w:r w:rsidR="009B2F28" w:rsidRPr="00922C73">
        <w:rPr>
          <w:rFonts w:ascii="Times New Roman" w:hAnsi="Times New Roman" w:cs="Times New Roman"/>
          <w:bCs/>
        </w:rPr>
        <w:fldChar w:fldCharType="end"/>
      </w:r>
      <w:r w:rsidR="009B2F28" w:rsidRPr="00922C73">
        <w:rPr>
          <w:rFonts w:ascii="Times New Roman" w:hAnsi="Times New Roman" w:cs="Times New Roman"/>
          <w:bCs/>
        </w:rPr>
        <w:t>.</w:t>
      </w:r>
    </w:p>
    <w:p w14:paraId="2BA1DED6" w14:textId="77777777" w:rsidR="009B2F28" w:rsidRPr="00922C73" w:rsidRDefault="009B2F28" w:rsidP="00A66D4D">
      <w:pPr>
        <w:autoSpaceDE w:val="0"/>
        <w:autoSpaceDN w:val="0"/>
        <w:adjustRightInd w:val="0"/>
        <w:spacing w:after="0" w:line="480" w:lineRule="auto"/>
        <w:rPr>
          <w:rFonts w:ascii="Times New Roman" w:hAnsi="Times New Roman" w:cs="Times New Roman"/>
          <w:bCs/>
          <w:sz w:val="24"/>
          <w:szCs w:val="24"/>
        </w:rPr>
      </w:pPr>
    </w:p>
    <w:p w14:paraId="60ECCB70" w14:textId="19241C85" w:rsidR="00D701B6" w:rsidRPr="00922C73" w:rsidRDefault="00D701B6" w:rsidP="00A66D4D">
      <w:pPr>
        <w:autoSpaceDE w:val="0"/>
        <w:autoSpaceDN w:val="0"/>
        <w:adjustRightInd w:val="0"/>
        <w:spacing w:after="0" w:line="480" w:lineRule="auto"/>
        <w:rPr>
          <w:rFonts w:ascii="Times New Roman" w:hAnsi="Times New Roman" w:cs="Times New Roman"/>
          <w:i/>
          <w:iCs/>
          <w:sz w:val="24"/>
          <w:szCs w:val="24"/>
        </w:rPr>
      </w:pPr>
      <w:r w:rsidRPr="00922C73">
        <w:rPr>
          <w:rFonts w:ascii="Times New Roman" w:hAnsi="Times New Roman" w:cs="Times New Roman"/>
          <w:i/>
          <w:iCs/>
          <w:sz w:val="24"/>
          <w:szCs w:val="24"/>
        </w:rPr>
        <w:t>A</w:t>
      </w:r>
      <w:r w:rsidR="004717B9" w:rsidRPr="00922C73">
        <w:rPr>
          <w:rFonts w:ascii="Times New Roman" w:hAnsi="Times New Roman" w:cs="Times New Roman"/>
          <w:i/>
          <w:iCs/>
          <w:sz w:val="24"/>
          <w:szCs w:val="24"/>
        </w:rPr>
        <w:t>ntibodies to infliximab</w:t>
      </w:r>
    </w:p>
    <w:p w14:paraId="1C48502E" w14:textId="74163653" w:rsidR="00E52C71" w:rsidRPr="00922C73" w:rsidRDefault="00E52C71" w:rsidP="00E52C71">
      <w:pPr>
        <w:autoSpaceDE w:val="0"/>
        <w:autoSpaceDN w:val="0"/>
        <w:adjustRightInd w:val="0"/>
        <w:spacing w:after="0" w:line="480" w:lineRule="auto"/>
        <w:rPr>
          <w:rFonts w:ascii="Times New Roman" w:eastAsia="MS PGothic" w:hAnsi="Times New Roman" w:cs="Times New Roman"/>
          <w:kern w:val="24"/>
          <w:sz w:val="24"/>
          <w:szCs w:val="24"/>
        </w:rPr>
      </w:pPr>
      <w:r w:rsidRPr="00922C73">
        <w:rPr>
          <w:rFonts w:ascii="Times New Roman" w:hAnsi="Times New Roman" w:cs="Times New Roman"/>
          <w:sz w:val="24"/>
          <w:szCs w:val="24"/>
        </w:rPr>
        <w:t xml:space="preserve">ATI was assessed using a drug tolerant assay, </w:t>
      </w:r>
      <w:proofErr w:type="spellStart"/>
      <w:r w:rsidRPr="00922C73">
        <w:rPr>
          <w:rFonts w:ascii="Times New Roman" w:hAnsi="Times New Roman" w:cs="Times New Roman"/>
          <w:bCs/>
          <w:iCs/>
          <w:sz w:val="24"/>
          <w:szCs w:val="24"/>
        </w:rPr>
        <w:t>IDK</w:t>
      </w:r>
      <w:r w:rsidRPr="00922C73">
        <w:rPr>
          <w:rFonts w:ascii="Times New Roman" w:hAnsi="Times New Roman" w:cs="Times New Roman"/>
          <w:bCs/>
          <w:sz w:val="24"/>
          <w:szCs w:val="24"/>
        </w:rPr>
        <w:t>monitor</w:t>
      </w:r>
      <w:proofErr w:type="spellEnd"/>
      <w:r w:rsidRPr="00922C73">
        <w:rPr>
          <w:rFonts w:ascii="Times New Roman" w:hAnsi="Times New Roman" w:cs="Times New Roman"/>
          <w:sz w:val="24"/>
          <w:szCs w:val="24"/>
        </w:rPr>
        <w:t xml:space="preserve">® </w:t>
      </w:r>
      <w:r w:rsidRPr="00922C73">
        <w:rPr>
          <w:rFonts w:ascii="Times New Roman" w:hAnsi="Times New Roman" w:cs="Times New Roman"/>
          <w:bCs/>
          <w:sz w:val="24"/>
          <w:szCs w:val="24"/>
        </w:rPr>
        <w:t xml:space="preserve">Infliximab total ADA </w:t>
      </w:r>
      <w:r w:rsidRPr="00922C73">
        <w:rPr>
          <w:rFonts w:ascii="Times New Roman" w:hAnsi="Times New Roman" w:cs="Times New Roman"/>
          <w:sz w:val="24"/>
          <w:szCs w:val="24"/>
        </w:rPr>
        <w:t>(</w:t>
      </w:r>
      <w:proofErr w:type="spellStart"/>
      <w:r w:rsidRPr="00922C73">
        <w:rPr>
          <w:rFonts w:ascii="Times New Roman" w:hAnsi="Times New Roman" w:cs="Times New Roman"/>
          <w:sz w:val="24"/>
          <w:szCs w:val="24"/>
        </w:rPr>
        <w:t>Immundiagnostik</w:t>
      </w:r>
      <w:proofErr w:type="spellEnd"/>
      <w:r w:rsidRPr="00922C73">
        <w:rPr>
          <w:rFonts w:ascii="Times New Roman" w:hAnsi="Times New Roman" w:cs="Times New Roman"/>
          <w:sz w:val="24"/>
          <w:szCs w:val="24"/>
        </w:rPr>
        <w:t xml:space="preserve"> AG, </w:t>
      </w:r>
      <w:proofErr w:type="spellStart"/>
      <w:r w:rsidRPr="00922C73">
        <w:rPr>
          <w:rFonts w:ascii="Times New Roman" w:hAnsi="Times New Roman" w:cs="Times New Roman"/>
          <w:sz w:val="24"/>
          <w:szCs w:val="24"/>
        </w:rPr>
        <w:t>Bensheim</w:t>
      </w:r>
      <w:proofErr w:type="spellEnd"/>
      <w:r w:rsidRPr="00922C73">
        <w:rPr>
          <w:rFonts w:ascii="Times New Roman" w:hAnsi="Times New Roman" w:cs="Times New Roman"/>
          <w:sz w:val="24"/>
          <w:szCs w:val="24"/>
        </w:rPr>
        <w:t xml:space="preserve">, Germany)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This total anti-drug antibody double bridging ELISA incorporates an immune complex dissociation step between ATI and Infliximab, allowing ATI to be assessed in the presence of the drug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bookmarkStart w:id="96" w:name="_Hlk92288573"/>
      <w:r w:rsidRPr="00922C73">
        <w:rPr>
          <w:rFonts w:ascii="Times New Roman" w:hAnsi="Times New Roman" w:cs="Times New Roman"/>
          <w:sz w:val="24"/>
          <w:szCs w:val="24"/>
        </w:rPr>
        <w:t xml:space="preserve">Following complex dissociation, the ATI are free to bind to labelled infliximab: peroxidase conjugate infliximab and biotinylated infliximab </w:t>
      </w:r>
      <w:r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117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This ATI-labelled infliximab complex binds via biotin to the streptavidin coated microtiter plate and is detected via the peroxidase conju</w:t>
      </w:r>
      <w:r w:rsidRPr="00922C73">
        <w:rPr>
          <w:rFonts w:ascii="Times New Roman" w:hAnsi="Times New Roman" w:cs="Times New Roman"/>
          <w:sz w:val="24"/>
          <w:szCs w:val="24"/>
        </w:rPr>
        <w:softHyphen/>
        <w:t>gate which leads to a colour change when TMB is added.</w:t>
      </w:r>
      <w:bookmarkEnd w:id="96"/>
      <w:r w:rsidRPr="00922C73">
        <w:rPr>
          <w:rFonts w:ascii="Times New Roman" w:hAnsi="Times New Roman" w:cs="Times New Roman"/>
          <w:sz w:val="24"/>
          <w:szCs w:val="24"/>
        </w:rPr>
        <w:t xml:space="preserve"> </w:t>
      </w:r>
      <w:r w:rsidRPr="00922C73">
        <w:rPr>
          <w:rFonts w:ascii="Times New Roman" w:eastAsiaTheme="minorHAnsi" w:hAnsi="Times New Roman" w:cs="Times New Roman"/>
          <w:sz w:val="24"/>
          <w:szCs w:val="24"/>
        </w:rPr>
        <w:t>Individual ATI readings were calculated</w:t>
      </w:r>
      <w:r w:rsidRPr="00922C73">
        <w:rPr>
          <w:rFonts w:ascii="Times New Roman" w:hAnsi="Times New Roman" w:cs="Times New Roman"/>
          <w:sz w:val="24"/>
          <w:szCs w:val="24"/>
          <w:bdr w:val="none" w:sz="0" w:space="0" w:color="auto" w:frame="1"/>
        </w:rPr>
        <w:t>:</w:t>
      </w:r>
      <w:r w:rsidRPr="00922C73">
        <w:rPr>
          <w:rFonts w:ascii="Times New Roman" w:hAnsi="Times New Roman" w:cs="Times New Roman"/>
          <w:sz w:val="24"/>
          <w:szCs w:val="24"/>
        </w:rPr>
        <w:t xml:space="preserve"> </w:t>
      </w:r>
      <w:r w:rsidRPr="00922C73">
        <w:rPr>
          <w:rFonts w:ascii="Times New Roman" w:hAnsi="Times New Roman" w:cs="Times New Roman"/>
          <w:sz w:val="24"/>
          <w:szCs w:val="24"/>
          <w:bdr w:val="none" w:sz="0" w:space="0" w:color="auto" w:frame="1"/>
        </w:rPr>
        <w:t>patient sample optical density X 10 / optical density of control (10 AU/mL)</w:t>
      </w:r>
      <w:r w:rsidRPr="00922C73">
        <w:rPr>
          <w:rFonts w:ascii="Times New Roman" w:hAnsi="Times New Roman" w:cs="Times New Roman"/>
          <w:sz w:val="24"/>
          <w:szCs w:val="24"/>
        </w:rPr>
        <w:t>.</w:t>
      </w:r>
      <w:r w:rsidRPr="00922C73">
        <w:rPr>
          <w:rFonts w:ascii="Times New Roman" w:eastAsiaTheme="minorHAnsi" w:hAnsi="Times New Roman" w:cs="Times New Roman"/>
          <w:sz w:val="24"/>
          <w:szCs w:val="24"/>
        </w:rPr>
        <w:t xml:space="preserve"> </w:t>
      </w:r>
      <w:r w:rsidRPr="00922C73">
        <w:rPr>
          <w:rFonts w:ascii="Times New Roman" w:hAnsi="Times New Roman" w:cs="Times New Roman"/>
          <w:sz w:val="24"/>
          <w:szCs w:val="24"/>
          <w:shd w:val="clear" w:color="auto" w:fill="FFFFFF"/>
        </w:rPr>
        <w:t>The cut-off control was established by diluting a sample, which was highly positive for ATI until no further linear dilution was possible. Using this cut-off, subsequent testing of sera from infliximab-naive patients confirmed 97.5% of patients to be negative for ATI.</w:t>
      </w:r>
      <w:r w:rsidRPr="00922C73">
        <w:rPr>
          <w:rFonts w:ascii="Times New Roman" w:eastAsiaTheme="minorHAnsi" w:hAnsi="Times New Roman" w:cs="Times New Roman"/>
          <w:sz w:val="24"/>
          <w:szCs w:val="24"/>
        </w:rPr>
        <w:t xml:space="preserve"> This was further confirmed by repeating this assessment in a local population as part of the laboratory accreditation. P</w:t>
      </w:r>
      <w:r w:rsidRPr="00922C73">
        <w:rPr>
          <w:rFonts w:ascii="Times New Roman" w:hAnsi="Times New Roman" w:cs="Times New Roman"/>
          <w:sz w:val="24"/>
          <w:szCs w:val="24"/>
        </w:rPr>
        <w:t xml:space="preserve">ositive ATI that resolved within two </w:t>
      </w:r>
      <w:r w:rsidRPr="00922C73">
        <w:rPr>
          <w:rFonts w:ascii="Times New Roman" w:hAnsi="Times New Roman" w:cs="Times New Roman"/>
          <w:bCs/>
          <w:sz w:val="24"/>
          <w:szCs w:val="24"/>
        </w:rPr>
        <w:t>consecutive infusions were defined as transient.</w:t>
      </w:r>
      <w:r w:rsidRPr="00922C73">
        <w:rPr>
          <w:rFonts w:ascii="Times New Roman" w:eastAsia="MS PGothic" w:hAnsi="Times New Roman" w:cs="Times New Roman"/>
          <w:kern w:val="24"/>
          <w:sz w:val="24"/>
          <w:szCs w:val="24"/>
        </w:rPr>
        <w:t xml:space="preserve"> </w:t>
      </w:r>
    </w:p>
    <w:p w14:paraId="23062F79" w14:textId="77777777" w:rsidR="008705A2" w:rsidRPr="00922C73" w:rsidRDefault="008705A2" w:rsidP="00E52C71">
      <w:pPr>
        <w:autoSpaceDE w:val="0"/>
        <w:autoSpaceDN w:val="0"/>
        <w:adjustRightInd w:val="0"/>
        <w:spacing w:after="0" w:line="480" w:lineRule="auto"/>
        <w:rPr>
          <w:rFonts w:ascii="Times New Roman" w:hAnsi="Times New Roman" w:cs="Times New Roman"/>
          <w:sz w:val="24"/>
          <w:szCs w:val="24"/>
        </w:rPr>
      </w:pPr>
    </w:p>
    <w:p w14:paraId="5EEF716A" w14:textId="567E734E" w:rsidR="00AF75CF" w:rsidRPr="00922C73" w:rsidRDefault="001743AD" w:rsidP="00E57C8B">
      <w:pPr>
        <w:pStyle w:val="Heading3"/>
        <w:spacing w:line="480" w:lineRule="auto"/>
        <w:rPr>
          <w:rFonts w:ascii="Times New Roman" w:hAnsi="Times New Roman" w:cs="Times New Roman"/>
          <w:b/>
          <w:bCs/>
        </w:rPr>
      </w:pPr>
      <w:bookmarkStart w:id="97" w:name="_Toc522649192"/>
      <w:bookmarkStart w:id="98" w:name="_Toc151020479"/>
      <w:bookmarkEnd w:id="95"/>
      <w:r w:rsidRPr="00922C73">
        <w:rPr>
          <w:rFonts w:ascii="Times New Roman" w:hAnsi="Times New Roman" w:cs="Times New Roman"/>
          <w:b/>
          <w:bCs/>
        </w:rPr>
        <w:t>2</w:t>
      </w:r>
      <w:r w:rsidR="001F5E7D" w:rsidRPr="00922C73">
        <w:rPr>
          <w:rFonts w:ascii="Times New Roman" w:hAnsi="Times New Roman" w:cs="Times New Roman"/>
          <w:b/>
          <w:bCs/>
        </w:rPr>
        <w:t>.</w:t>
      </w:r>
      <w:r w:rsidR="00AF75CF" w:rsidRPr="00922C73">
        <w:rPr>
          <w:rFonts w:ascii="Times New Roman" w:hAnsi="Times New Roman" w:cs="Times New Roman"/>
          <w:b/>
          <w:bCs/>
        </w:rPr>
        <w:t>2.</w:t>
      </w:r>
      <w:r w:rsidR="001F5E7D" w:rsidRPr="00922C73">
        <w:rPr>
          <w:rFonts w:ascii="Times New Roman" w:hAnsi="Times New Roman" w:cs="Times New Roman"/>
          <w:b/>
          <w:bCs/>
        </w:rPr>
        <w:t>4</w:t>
      </w:r>
      <w:r w:rsidR="00AF75CF" w:rsidRPr="00922C73">
        <w:rPr>
          <w:rFonts w:ascii="Times New Roman" w:hAnsi="Times New Roman" w:cs="Times New Roman"/>
          <w:b/>
          <w:bCs/>
        </w:rPr>
        <w:t xml:space="preserve"> Ethic</w:t>
      </w:r>
      <w:bookmarkEnd w:id="97"/>
      <w:r w:rsidR="001A2E7D" w:rsidRPr="00922C73">
        <w:rPr>
          <w:rFonts w:ascii="Times New Roman" w:hAnsi="Times New Roman" w:cs="Times New Roman"/>
          <w:b/>
          <w:bCs/>
        </w:rPr>
        <w:t>al approval</w:t>
      </w:r>
      <w:bookmarkEnd w:id="98"/>
    </w:p>
    <w:p w14:paraId="57B12F12" w14:textId="7BD44EDA" w:rsidR="00AF75CF" w:rsidRPr="00922C73" w:rsidRDefault="00AF75CF" w:rsidP="00AF75CF">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Ethical approval was granted by Sheffield Research Ethics Committee and the Health Research Authority (IRAS project ID 213480, </w:t>
      </w:r>
      <w:r w:rsidR="00666E73" w:rsidRPr="00922C73">
        <w:rPr>
          <w:rFonts w:ascii="Times New Roman" w:hAnsi="Times New Roman" w:cs="Times New Roman"/>
          <w:sz w:val="24"/>
          <w:szCs w:val="24"/>
        </w:rPr>
        <w:t xml:space="preserve">2016, </w:t>
      </w:r>
      <w:r w:rsidRPr="00922C73">
        <w:rPr>
          <w:rFonts w:ascii="Times New Roman" w:hAnsi="Times New Roman" w:cs="Times New Roman"/>
          <w:sz w:val="24"/>
          <w:szCs w:val="24"/>
        </w:rPr>
        <w:t>STH reference 19459)</w:t>
      </w:r>
      <w:r w:rsidR="008A3D18" w:rsidRPr="00922C73">
        <w:rPr>
          <w:rFonts w:ascii="Times New Roman" w:hAnsi="Times New Roman" w:cs="Times New Roman"/>
          <w:sz w:val="24"/>
          <w:szCs w:val="24"/>
        </w:rPr>
        <w:t xml:space="preserve">. </w:t>
      </w:r>
      <w:r w:rsidRPr="00922C73">
        <w:rPr>
          <w:rFonts w:ascii="Times New Roman" w:hAnsi="Times New Roman" w:cs="Times New Roman"/>
          <w:sz w:val="24"/>
          <w:szCs w:val="24"/>
        </w:rPr>
        <w:t>Service improvement registration number</w:t>
      </w:r>
      <w:r w:rsidR="008A3D18" w:rsidRPr="00922C73">
        <w:rPr>
          <w:rFonts w:ascii="Times New Roman" w:hAnsi="Times New Roman" w:cs="Times New Roman"/>
          <w:sz w:val="24"/>
          <w:szCs w:val="24"/>
        </w:rPr>
        <w:t xml:space="preserve"> 7520. </w:t>
      </w:r>
    </w:p>
    <w:bookmarkEnd w:id="90"/>
    <w:p w14:paraId="08CD4BD2" w14:textId="77777777" w:rsidR="002B2DB4" w:rsidRPr="00922C73" w:rsidRDefault="002B2DB4" w:rsidP="002B2DB4">
      <w:pPr>
        <w:autoSpaceDE w:val="0"/>
        <w:autoSpaceDN w:val="0"/>
        <w:adjustRightInd w:val="0"/>
        <w:spacing w:after="0" w:line="480" w:lineRule="auto"/>
        <w:jc w:val="left"/>
        <w:rPr>
          <w:rFonts w:ascii="Times New Roman" w:hAnsi="Times New Roman" w:cs="Times New Roman"/>
          <w:sz w:val="24"/>
          <w:szCs w:val="24"/>
        </w:rPr>
      </w:pPr>
    </w:p>
    <w:p w14:paraId="2E82BD44" w14:textId="29FC2DC3" w:rsidR="00913D5C" w:rsidRPr="00922C73" w:rsidRDefault="001743AD" w:rsidP="002B2DB4">
      <w:pPr>
        <w:pStyle w:val="Heading3"/>
        <w:spacing w:line="480" w:lineRule="auto"/>
        <w:rPr>
          <w:rFonts w:ascii="Times New Roman" w:hAnsi="Times New Roman" w:cs="Times New Roman"/>
          <w:b/>
          <w:bCs/>
        </w:rPr>
      </w:pPr>
      <w:bookmarkStart w:id="99" w:name="_Toc151020480"/>
      <w:r w:rsidRPr="00922C73">
        <w:rPr>
          <w:rFonts w:ascii="Times New Roman" w:hAnsi="Times New Roman" w:cs="Times New Roman"/>
          <w:b/>
          <w:bCs/>
        </w:rPr>
        <w:lastRenderedPageBreak/>
        <w:t>2</w:t>
      </w:r>
      <w:r w:rsidR="001F5E7D" w:rsidRPr="00922C73">
        <w:rPr>
          <w:rFonts w:ascii="Times New Roman" w:hAnsi="Times New Roman" w:cs="Times New Roman"/>
          <w:b/>
          <w:bCs/>
        </w:rPr>
        <w:t>.</w:t>
      </w:r>
      <w:r w:rsidR="00913D5C" w:rsidRPr="00922C73">
        <w:rPr>
          <w:rFonts w:ascii="Times New Roman" w:hAnsi="Times New Roman" w:cs="Times New Roman"/>
          <w:b/>
          <w:bCs/>
        </w:rPr>
        <w:t>2.</w:t>
      </w:r>
      <w:r w:rsidR="001F5E7D" w:rsidRPr="00922C73">
        <w:rPr>
          <w:rFonts w:ascii="Times New Roman" w:hAnsi="Times New Roman" w:cs="Times New Roman"/>
          <w:b/>
          <w:bCs/>
        </w:rPr>
        <w:t>5</w:t>
      </w:r>
      <w:r w:rsidR="00913D5C" w:rsidRPr="00922C73">
        <w:rPr>
          <w:rFonts w:ascii="Times New Roman" w:hAnsi="Times New Roman" w:cs="Times New Roman"/>
          <w:b/>
          <w:bCs/>
        </w:rPr>
        <w:t xml:space="preserve"> Statistical analyses</w:t>
      </w:r>
      <w:bookmarkEnd w:id="99"/>
      <w:r w:rsidR="00913D5C" w:rsidRPr="00922C73">
        <w:rPr>
          <w:rFonts w:ascii="Times New Roman" w:hAnsi="Times New Roman" w:cs="Times New Roman"/>
          <w:b/>
          <w:bCs/>
        </w:rPr>
        <w:t xml:space="preserve"> </w:t>
      </w:r>
    </w:p>
    <w:p w14:paraId="68A392DF" w14:textId="77777777" w:rsidR="00913D5C" w:rsidRPr="00922C73" w:rsidRDefault="00913D5C" w:rsidP="002B2DB4">
      <w:pPr>
        <w:spacing w:line="480" w:lineRule="auto"/>
        <w:contextualSpacing/>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 xml:space="preserve">Shapiro-Wilk was used to assess normality of distribution for infliximab and ATI levels. </w:t>
      </w:r>
    </w:p>
    <w:p w14:paraId="583938D0" w14:textId="31ABF33C" w:rsidR="00913D5C" w:rsidRPr="00922C73" w:rsidRDefault="00913D5C" w:rsidP="002B2DB4">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A binary logistic model was used to assess for factors associated with immunogenicity to infliximab. Fisher's exact test and chi square analysis were used to compare the rates of antibody positivity in patients at first maintenance dose of infliximab in regard to immunosuppressants use and previous infliximab exposure. It was also used to compare rates of treatment failure in those with positive and negative ATI at first maintenance dose and rates of infusion reaction in all infusions based on ATI status. Kaplan‐Meier analysis with Tarone‐Ware test was used to compare the effect of ATI status on cumulative survival free of loss of clinical remission. Receiver operator curve (ROC) analysis was used to determine sensitivity and specificity of ATI and infliximab levels to clinical remission. </w:t>
      </w:r>
      <w:r w:rsidRPr="00922C73">
        <w:rPr>
          <w:rFonts w:ascii="Times New Roman" w:hAnsi="Times New Roman" w:cs="Times New Roman"/>
          <w:sz w:val="24"/>
          <w:szCs w:val="24"/>
          <w:shd w:val="clear" w:color="auto" w:fill="FFFFFF"/>
        </w:rPr>
        <w:t xml:space="preserve">Microsoft Excel, GraphPad Prism and IBM SPSS statistics software were </w:t>
      </w:r>
      <w:r w:rsidRPr="00922C73">
        <w:rPr>
          <w:rFonts w:ascii="Times New Roman" w:hAnsi="Times New Roman" w:cs="Times New Roman"/>
          <w:bCs/>
          <w:sz w:val="24"/>
          <w:szCs w:val="24"/>
        </w:rPr>
        <w:t xml:space="preserve">used for statistical analyses. 95% confidence intervals with p value </w:t>
      </w:r>
      <m:oMath>
        <m:r>
          <w:rPr>
            <w:rFonts w:ascii="Cambria Math" w:hAnsi="Cambria Math" w:cs="Times New Roman"/>
            <w:sz w:val="24"/>
            <w:szCs w:val="24"/>
          </w:rPr>
          <m:t>≤</m:t>
        </m:r>
      </m:oMath>
      <w:r w:rsidRPr="00922C73">
        <w:rPr>
          <w:rFonts w:ascii="Times New Roman" w:hAnsi="Times New Roman" w:cs="Times New Roman"/>
          <w:bCs/>
          <w:sz w:val="24"/>
          <w:szCs w:val="24"/>
        </w:rPr>
        <w:t xml:space="preserve"> 0.05 were deemed statistically significant. </w:t>
      </w:r>
    </w:p>
    <w:p w14:paraId="36BD571E" w14:textId="77777777" w:rsidR="00F8528A" w:rsidRPr="00922C73" w:rsidRDefault="00F8528A" w:rsidP="002B2DB4">
      <w:pPr>
        <w:spacing w:line="480" w:lineRule="auto"/>
        <w:rPr>
          <w:rFonts w:ascii="Times New Roman" w:hAnsi="Times New Roman" w:cs="Times New Roman"/>
          <w:sz w:val="24"/>
          <w:szCs w:val="24"/>
        </w:rPr>
      </w:pPr>
    </w:p>
    <w:p w14:paraId="156248D8" w14:textId="6B5FF167" w:rsidR="00405950" w:rsidRPr="00922C73" w:rsidRDefault="001743AD" w:rsidP="00C27918">
      <w:pPr>
        <w:pStyle w:val="Heading2"/>
        <w:spacing w:line="480" w:lineRule="auto"/>
        <w:rPr>
          <w:rFonts w:ascii="Times New Roman" w:eastAsiaTheme="minorHAnsi" w:hAnsi="Times New Roman" w:cs="Times New Roman"/>
          <w:sz w:val="24"/>
          <w:szCs w:val="24"/>
        </w:rPr>
      </w:pPr>
      <w:bookmarkStart w:id="100" w:name="_Toc151020481"/>
      <w:r w:rsidRPr="00922C73">
        <w:rPr>
          <w:rFonts w:ascii="Times New Roman" w:eastAsiaTheme="minorHAnsi" w:hAnsi="Times New Roman" w:cs="Times New Roman"/>
          <w:sz w:val="24"/>
          <w:szCs w:val="24"/>
        </w:rPr>
        <w:t>2</w:t>
      </w:r>
      <w:r w:rsidR="00C27918" w:rsidRPr="00922C73">
        <w:rPr>
          <w:rFonts w:ascii="Times New Roman" w:eastAsiaTheme="minorHAnsi" w:hAnsi="Times New Roman" w:cs="Times New Roman"/>
          <w:sz w:val="24"/>
          <w:szCs w:val="24"/>
        </w:rPr>
        <w:t xml:space="preserve">.3 </w:t>
      </w:r>
      <w:r w:rsidR="00020303" w:rsidRPr="00922C73">
        <w:rPr>
          <w:rFonts w:ascii="Times New Roman" w:eastAsiaTheme="minorHAnsi" w:hAnsi="Times New Roman" w:cs="Times New Roman"/>
          <w:sz w:val="24"/>
          <w:szCs w:val="24"/>
        </w:rPr>
        <w:t>Results</w:t>
      </w:r>
      <w:bookmarkEnd w:id="100"/>
    </w:p>
    <w:p w14:paraId="0C7D54DC" w14:textId="1E0EFEB4" w:rsidR="00DB58DD" w:rsidRPr="00922C73" w:rsidRDefault="001743AD" w:rsidP="00C27918">
      <w:pPr>
        <w:pStyle w:val="Heading3"/>
        <w:spacing w:line="480" w:lineRule="auto"/>
        <w:rPr>
          <w:rFonts w:ascii="Times New Roman" w:eastAsiaTheme="minorHAnsi" w:hAnsi="Times New Roman" w:cs="Times New Roman"/>
          <w:b/>
          <w:bCs/>
        </w:rPr>
      </w:pPr>
      <w:bookmarkStart w:id="101" w:name="_Toc151020482"/>
      <w:r w:rsidRPr="00922C73">
        <w:rPr>
          <w:rFonts w:ascii="Times New Roman" w:eastAsiaTheme="minorHAnsi" w:hAnsi="Times New Roman" w:cs="Times New Roman"/>
          <w:b/>
          <w:bCs/>
        </w:rPr>
        <w:t>2</w:t>
      </w:r>
      <w:r w:rsidR="00C27918" w:rsidRPr="00922C73">
        <w:rPr>
          <w:rFonts w:ascii="Times New Roman" w:eastAsiaTheme="minorHAnsi" w:hAnsi="Times New Roman" w:cs="Times New Roman"/>
          <w:b/>
          <w:bCs/>
        </w:rPr>
        <w:t xml:space="preserve">.3.1 </w:t>
      </w:r>
      <w:r w:rsidR="00DB58DD" w:rsidRPr="00922C73">
        <w:rPr>
          <w:rFonts w:ascii="Times New Roman" w:eastAsiaTheme="minorHAnsi" w:hAnsi="Times New Roman" w:cs="Times New Roman"/>
          <w:b/>
          <w:bCs/>
        </w:rPr>
        <w:t>Patient cohort</w:t>
      </w:r>
      <w:bookmarkEnd w:id="101"/>
    </w:p>
    <w:p w14:paraId="0436E51A" w14:textId="092B7965" w:rsidR="00FB40D1" w:rsidRPr="00922C73" w:rsidRDefault="00DB58DD" w:rsidP="00C27918">
      <w:pPr>
        <w:spacing w:after="0" w:line="480" w:lineRule="auto"/>
        <w:contextualSpacing/>
        <w:jc w:val="left"/>
        <w:rPr>
          <w:rFonts w:ascii="Times New Roman" w:eastAsiaTheme="minorHAnsi" w:hAnsi="Times New Roman" w:cs="Times New Roman"/>
          <w:b/>
          <w:sz w:val="24"/>
          <w:szCs w:val="24"/>
          <w:u w:val="single"/>
        </w:rPr>
      </w:pPr>
      <w:r w:rsidRPr="00922C73">
        <w:rPr>
          <w:rFonts w:ascii="Times New Roman" w:eastAsiaTheme="minorHAnsi" w:hAnsi="Times New Roman" w:cs="Times New Roman"/>
          <w:sz w:val="24"/>
          <w:szCs w:val="24"/>
        </w:rPr>
        <w:t>Between May 2016 and April 2017, 218 patients attended for infliximab infusions. Clinical data and TDM were available for 214 patients :136 with CD, 75 with UC and 3 IBD-unclassified.</w:t>
      </w:r>
      <w:r w:rsidRPr="00922C73">
        <w:rPr>
          <w:rFonts w:ascii="Times New Roman" w:eastAsiaTheme="minorHAnsi" w:hAnsi="Times New Roman" w:cs="Times New Roman"/>
          <w:bCs/>
          <w:sz w:val="24"/>
          <w:szCs w:val="24"/>
        </w:rPr>
        <w:t xml:space="preserve"> 61 patients were followed up from induction therapy (induction doses 1-3 onwards) and 153 patients during maintenance therapy (from or after dose 4)</w:t>
      </w:r>
      <w:r w:rsidRPr="00922C73">
        <w:rPr>
          <w:rFonts w:ascii="Times New Roman" w:eastAsiaTheme="minorHAnsi" w:hAnsi="Times New Roman" w:cs="Times New Roman"/>
          <w:sz w:val="24"/>
          <w:szCs w:val="24"/>
        </w:rPr>
        <w:t xml:space="preserve">.  </w:t>
      </w:r>
      <w:r w:rsidR="004A0848" w:rsidRPr="00922C73">
        <w:rPr>
          <w:rFonts w:ascii="Times New Roman" w:eastAsiaTheme="minorHAnsi" w:hAnsi="Times New Roman" w:cs="Times New Roman"/>
          <w:sz w:val="24"/>
          <w:szCs w:val="24"/>
        </w:rPr>
        <w:t>Summary of the p</w:t>
      </w:r>
      <w:r w:rsidR="002E3841" w:rsidRPr="00922C73">
        <w:rPr>
          <w:rFonts w:ascii="Times New Roman" w:eastAsiaTheme="minorHAnsi" w:hAnsi="Times New Roman" w:cs="Times New Roman"/>
          <w:sz w:val="24"/>
          <w:szCs w:val="24"/>
        </w:rPr>
        <w:t>atient cohort</w:t>
      </w:r>
      <w:r w:rsidR="009F3E86" w:rsidRPr="00922C73">
        <w:rPr>
          <w:rFonts w:ascii="Times New Roman" w:eastAsiaTheme="minorHAnsi" w:hAnsi="Times New Roman" w:cs="Times New Roman"/>
          <w:sz w:val="24"/>
          <w:szCs w:val="24"/>
        </w:rPr>
        <w:t>s</w:t>
      </w:r>
      <w:r w:rsidR="002E3841" w:rsidRPr="00922C73">
        <w:rPr>
          <w:rFonts w:ascii="Times New Roman" w:eastAsiaTheme="minorHAnsi" w:hAnsi="Times New Roman" w:cs="Times New Roman"/>
          <w:sz w:val="24"/>
          <w:szCs w:val="24"/>
        </w:rPr>
        <w:t xml:space="preserve"> included in this study is</w:t>
      </w:r>
      <w:r w:rsidR="004A0848" w:rsidRPr="00922C73">
        <w:rPr>
          <w:rFonts w:ascii="Times New Roman" w:eastAsiaTheme="minorHAnsi" w:hAnsi="Times New Roman" w:cs="Times New Roman"/>
          <w:sz w:val="24"/>
          <w:szCs w:val="24"/>
        </w:rPr>
        <w:t xml:space="preserve"> shown in Figure </w:t>
      </w:r>
      <w:r w:rsidR="00775A20" w:rsidRPr="00922C73">
        <w:rPr>
          <w:rFonts w:ascii="Times New Roman" w:eastAsiaTheme="minorHAnsi" w:hAnsi="Times New Roman" w:cs="Times New Roman"/>
          <w:sz w:val="24"/>
          <w:szCs w:val="24"/>
        </w:rPr>
        <w:t>12</w:t>
      </w:r>
      <w:r w:rsidR="004A0848" w:rsidRPr="00922C73">
        <w:rPr>
          <w:rFonts w:ascii="Times New Roman" w:eastAsiaTheme="minorHAnsi" w:hAnsi="Times New Roman" w:cs="Times New Roman"/>
          <w:sz w:val="24"/>
          <w:szCs w:val="24"/>
        </w:rPr>
        <w:t xml:space="preserve">. </w:t>
      </w:r>
      <w:r w:rsidR="002E3841" w:rsidRPr="00922C73">
        <w:rPr>
          <w:rFonts w:ascii="Times New Roman" w:eastAsiaTheme="minorHAnsi" w:hAnsi="Times New Roman" w:cs="Times New Roman"/>
          <w:sz w:val="24"/>
          <w:szCs w:val="24"/>
        </w:rPr>
        <w:t xml:space="preserve"> </w:t>
      </w:r>
      <w:r w:rsidRPr="00922C73">
        <w:rPr>
          <w:rFonts w:ascii="Times New Roman" w:eastAsiaTheme="minorHAnsi" w:hAnsi="Times New Roman" w:cs="Times New Roman"/>
          <w:sz w:val="24"/>
          <w:szCs w:val="24"/>
        </w:rPr>
        <w:t xml:space="preserve">1107 TDM values with corresponding clinical data were available. 55 patients only had one TDM reading </w:t>
      </w:r>
      <w:r w:rsidR="00F54A32" w:rsidRPr="00922C73">
        <w:rPr>
          <w:rFonts w:ascii="Times New Roman" w:eastAsiaTheme="minorHAnsi" w:hAnsi="Times New Roman" w:cs="Times New Roman"/>
          <w:sz w:val="24"/>
          <w:szCs w:val="24"/>
        </w:rPr>
        <w:t>available,</w:t>
      </w:r>
      <w:r w:rsidRPr="00922C73">
        <w:rPr>
          <w:rFonts w:ascii="Times New Roman" w:eastAsiaTheme="minorHAnsi" w:hAnsi="Times New Roman" w:cs="Times New Roman"/>
          <w:sz w:val="24"/>
          <w:szCs w:val="24"/>
        </w:rPr>
        <w:t xml:space="preserve"> and </w:t>
      </w:r>
      <w:r w:rsidR="00FC3181"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was subsequently stopped due to loss of response (n=30), infusion reactions (n=2) and elective withdrawal for patients in clinical remission (n=23). </w:t>
      </w:r>
    </w:p>
    <w:p w14:paraId="16CA21BB" w14:textId="5AE01003" w:rsidR="00FB40D1" w:rsidRPr="00922C73" w:rsidRDefault="00FB40D1" w:rsidP="00C27918">
      <w:pPr>
        <w:spacing w:after="0"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noProof/>
          <w:sz w:val="24"/>
          <w:szCs w:val="24"/>
        </w:rPr>
        <w:lastRenderedPageBreak/>
        <w:drawing>
          <wp:inline distT="0" distB="0" distL="0" distR="0" wp14:anchorId="75212D4B" wp14:editId="5ADC295E">
            <wp:extent cx="4143375" cy="4722920"/>
            <wp:effectExtent l="0" t="0" r="0" b="1905"/>
            <wp:docPr id="149999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28607" t="-2688" r="12544"/>
                    <a:stretch/>
                  </pic:blipFill>
                  <pic:spPr bwMode="auto">
                    <a:xfrm>
                      <a:off x="0" y="0"/>
                      <a:ext cx="4157479" cy="4738996"/>
                    </a:xfrm>
                    <a:prstGeom prst="rect">
                      <a:avLst/>
                    </a:prstGeom>
                    <a:noFill/>
                    <a:ln>
                      <a:noFill/>
                    </a:ln>
                    <a:extLst>
                      <a:ext uri="{53640926-AAD7-44D8-BBD7-CCE9431645EC}">
                        <a14:shadowObscured xmlns:a14="http://schemas.microsoft.com/office/drawing/2010/main"/>
                      </a:ext>
                    </a:extLst>
                  </pic:spPr>
                </pic:pic>
              </a:graphicData>
            </a:graphic>
          </wp:inline>
        </w:drawing>
      </w:r>
    </w:p>
    <w:p w14:paraId="6F9CC7F1" w14:textId="5DFCE878" w:rsidR="00FB40D1" w:rsidRPr="00922C73" w:rsidRDefault="00E6150A" w:rsidP="00E6150A">
      <w:pPr>
        <w:pStyle w:val="Caption"/>
        <w:jc w:val="left"/>
        <w:rPr>
          <w:rFonts w:ascii="Times New Roman" w:eastAsiaTheme="minorHAnsi" w:hAnsi="Times New Roman" w:cs="Times New Roman"/>
          <w:sz w:val="24"/>
          <w:szCs w:val="24"/>
        </w:rPr>
      </w:pPr>
      <w:bookmarkStart w:id="102" w:name="_Toc151020657"/>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12</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Summary of patient cohorts included in this study</w:t>
      </w:r>
      <w:r w:rsidR="009F3E86" w:rsidRPr="00922C73">
        <w:rPr>
          <w:rFonts w:ascii="Times New Roman" w:hAnsi="Times New Roman" w:cs="Times New Roman"/>
          <w:sz w:val="24"/>
          <w:szCs w:val="24"/>
        </w:rPr>
        <w:t>.</w:t>
      </w:r>
      <w:bookmarkEnd w:id="102"/>
    </w:p>
    <w:p w14:paraId="299472BF" w14:textId="77777777" w:rsidR="00FB40D1" w:rsidRPr="00922C73" w:rsidRDefault="00FB40D1" w:rsidP="00C27918">
      <w:pPr>
        <w:spacing w:after="0" w:line="480" w:lineRule="auto"/>
        <w:contextualSpacing/>
        <w:jc w:val="left"/>
        <w:rPr>
          <w:rFonts w:ascii="Times New Roman" w:eastAsiaTheme="minorHAnsi" w:hAnsi="Times New Roman" w:cs="Times New Roman"/>
          <w:sz w:val="24"/>
          <w:szCs w:val="24"/>
        </w:rPr>
      </w:pPr>
    </w:p>
    <w:p w14:paraId="7B4DF6E7" w14:textId="77777777" w:rsidR="00FB40D1" w:rsidRPr="00922C73" w:rsidRDefault="00FB40D1" w:rsidP="00C27918">
      <w:pPr>
        <w:spacing w:after="0" w:line="480" w:lineRule="auto"/>
        <w:contextualSpacing/>
        <w:jc w:val="left"/>
        <w:rPr>
          <w:rFonts w:ascii="Times New Roman" w:eastAsiaTheme="minorHAnsi" w:hAnsi="Times New Roman" w:cs="Times New Roman"/>
          <w:sz w:val="24"/>
          <w:szCs w:val="24"/>
        </w:rPr>
      </w:pPr>
    </w:p>
    <w:p w14:paraId="56575241" w14:textId="77777777" w:rsidR="00FB40D1" w:rsidRPr="00922C73" w:rsidRDefault="00FB40D1" w:rsidP="00C27918">
      <w:pPr>
        <w:spacing w:after="0" w:line="480" w:lineRule="auto"/>
        <w:contextualSpacing/>
        <w:jc w:val="left"/>
        <w:rPr>
          <w:rFonts w:ascii="Times New Roman" w:eastAsiaTheme="minorHAnsi" w:hAnsi="Times New Roman" w:cs="Times New Roman"/>
          <w:sz w:val="24"/>
          <w:szCs w:val="24"/>
        </w:rPr>
      </w:pPr>
    </w:p>
    <w:p w14:paraId="1A1F6A41" w14:textId="77777777" w:rsidR="00FB40D1" w:rsidRPr="00922C73" w:rsidRDefault="00FB40D1" w:rsidP="00C27918">
      <w:pPr>
        <w:pStyle w:val="Heading3"/>
        <w:spacing w:line="480" w:lineRule="auto"/>
        <w:rPr>
          <w:rFonts w:ascii="Times New Roman" w:eastAsiaTheme="minorHAnsi" w:hAnsi="Times New Roman" w:cs="Times New Roman"/>
          <w:b/>
          <w:bCs/>
        </w:rPr>
      </w:pPr>
    </w:p>
    <w:p w14:paraId="5E937241" w14:textId="77777777" w:rsidR="00FB40D1" w:rsidRPr="00922C73" w:rsidRDefault="00FB40D1" w:rsidP="00FB40D1"/>
    <w:p w14:paraId="7BF87F47" w14:textId="77777777" w:rsidR="00FB40D1" w:rsidRPr="00922C73" w:rsidRDefault="00FB40D1" w:rsidP="00FB40D1"/>
    <w:p w14:paraId="0BCA9FB3" w14:textId="77777777" w:rsidR="008F5A41" w:rsidRPr="00922C73" w:rsidRDefault="008F5A41" w:rsidP="00FB40D1"/>
    <w:p w14:paraId="26E413E2" w14:textId="77777777" w:rsidR="009F3E86" w:rsidRPr="00922C73" w:rsidRDefault="009F3E86" w:rsidP="00FB40D1"/>
    <w:p w14:paraId="001D2FDE" w14:textId="77777777" w:rsidR="009F3E86" w:rsidRPr="00922C73" w:rsidRDefault="009F3E86" w:rsidP="00FB40D1"/>
    <w:p w14:paraId="01DE148B" w14:textId="77777777" w:rsidR="009F3E86" w:rsidRPr="00922C73" w:rsidRDefault="009F3E86" w:rsidP="00FB40D1"/>
    <w:p w14:paraId="7CDEBC88" w14:textId="76BBD172" w:rsidR="00FC3181" w:rsidRPr="00922C73" w:rsidRDefault="001743AD" w:rsidP="00C27918">
      <w:pPr>
        <w:pStyle w:val="Heading3"/>
        <w:spacing w:line="480" w:lineRule="auto"/>
        <w:rPr>
          <w:rFonts w:ascii="Times New Roman" w:eastAsiaTheme="minorHAnsi" w:hAnsi="Times New Roman" w:cs="Times New Roman"/>
          <w:b/>
          <w:bCs/>
        </w:rPr>
      </w:pPr>
      <w:bookmarkStart w:id="103" w:name="_Toc151020483"/>
      <w:r w:rsidRPr="00922C73">
        <w:rPr>
          <w:rFonts w:ascii="Times New Roman" w:eastAsiaTheme="minorHAnsi" w:hAnsi="Times New Roman" w:cs="Times New Roman"/>
          <w:b/>
          <w:bCs/>
        </w:rPr>
        <w:lastRenderedPageBreak/>
        <w:t>2</w:t>
      </w:r>
      <w:r w:rsidR="00C27918" w:rsidRPr="00922C73">
        <w:rPr>
          <w:rFonts w:ascii="Times New Roman" w:eastAsiaTheme="minorHAnsi" w:hAnsi="Times New Roman" w:cs="Times New Roman"/>
          <w:b/>
          <w:bCs/>
        </w:rPr>
        <w:t xml:space="preserve">.3.2 </w:t>
      </w:r>
      <w:r w:rsidR="00DB58DD" w:rsidRPr="00922C73">
        <w:rPr>
          <w:rFonts w:ascii="Times New Roman" w:eastAsiaTheme="minorHAnsi" w:hAnsi="Times New Roman" w:cs="Times New Roman"/>
          <w:b/>
          <w:bCs/>
        </w:rPr>
        <w:t>Prevalence of immunogenicity in patients with IBD</w:t>
      </w:r>
      <w:bookmarkEnd w:id="103"/>
    </w:p>
    <w:p w14:paraId="144AABAF" w14:textId="171C7A10" w:rsidR="004716F7" w:rsidRPr="00922C73" w:rsidRDefault="00DB58DD" w:rsidP="00464416">
      <w:pPr>
        <w:spacing w:after="0" w:line="480" w:lineRule="auto"/>
        <w:contextualSpacing/>
        <w:jc w:val="left"/>
        <w:rPr>
          <w:rFonts w:ascii="Times New Roman" w:eastAsiaTheme="minorHAnsi" w:hAnsi="Times New Roman" w:cs="Times New Roman"/>
          <w:bCs/>
          <w:sz w:val="24"/>
          <w:szCs w:val="24"/>
        </w:rPr>
      </w:pPr>
      <w:r w:rsidRPr="00922C73">
        <w:rPr>
          <w:rFonts w:ascii="Times New Roman" w:eastAsiaTheme="minorHAnsi" w:hAnsi="Times New Roman" w:cs="Times New Roman"/>
          <w:bCs/>
          <w:sz w:val="24"/>
          <w:szCs w:val="24"/>
        </w:rPr>
        <w:t xml:space="preserve">Over the study period 113/214 (53%) patients had positive ATI, 94/214 (44%) had negative ATI and 7/214 (3%) had transient ATI. </w:t>
      </w:r>
      <w:bookmarkStart w:id="104" w:name="_Hlk520981009"/>
      <w:r w:rsidRPr="00922C73">
        <w:rPr>
          <w:rFonts w:ascii="Times New Roman" w:eastAsiaTheme="minorHAnsi" w:hAnsi="Times New Roman" w:cs="Times New Roman"/>
          <w:bCs/>
          <w:sz w:val="24"/>
          <w:szCs w:val="24"/>
        </w:rPr>
        <w:t xml:space="preserve">Baseline demographics are shown in Table </w:t>
      </w:r>
      <w:r w:rsidR="008C003E" w:rsidRPr="00922C73">
        <w:rPr>
          <w:rFonts w:ascii="Times New Roman" w:eastAsiaTheme="minorHAnsi" w:hAnsi="Times New Roman" w:cs="Times New Roman"/>
          <w:bCs/>
          <w:sz w:val="24"/>
          <w:szCs w:val="24"/>
        </w:rPr>
        <w:t>2</w:t>
      </w:r>
      <w:r w:rsidRPr="00922C73">
        <w:rPr>
          <w:rFonts w:ascii="Times New Roman" w:eastAsiaTheme="minorHAnsi" w:hAnsi="Times New Roman" w:cs="Times New Roman"/>
          <w:bCs/>
          <w:sz w:val="24"/>
          <w:szCs w:val="24"/>
        </w:rPr>
        <w:t>. 61/96 (64%) had positive ATI within 54 weeks of</w:t>
      </w:r>
      <w:r w:rsidR="00FC3181" w:rsidRPr="00922C73">
        <w:rPr>
          <w:rFonts w:ascii="Times New Roman" w:eastAsiaTheme="minorHAnsi" w:hAnsi="Times New Roman" w:cs="Times New Roman"/>
          <w:bCs/>
          <w:sz w:val="24"/>
          <w:szCs w:val="24"/>
        </w:rPr>
        <w:t xml:space="preserve"> infliximab</w:t>
      </w:r>
      <w:r w:rsidRPr="00922C73">
        <w:rPr>
          <w:rFonts w:ascii="Times New Roman" w:eastAsiaTheme="minorHAnsi" w:hAnsi="Times New Roman" w:cs="Times New Roman"/>
          <w:bCs/>
          <w:sz w:val="24"/>
          <w:szCs w:val="24"/>
        </w:rPr>
        <w:t xml:space="preserve"> treatment</w:t>
      </w:r>
      <w:r w:rsidR="00FC3181" w:rsidRPr="00922C73">
        <w:rPr>
          <w:rFonts w:ascii="Times New Roman" w:eastAsiaTheme="minorHAnsi" w:hAnsi="Times New Roman" w:cs="Times New Roman"/>
          <w:bCs/>
          <w:sz w:val="24"/>
          <w:szCs w:val="24"/>
        </w:rPr>
        <w:t>.</w:t>
      </w:r>
      <w:r w:rsidRPr="00922C73">
        <w:rPr>
          <w:rFonts w:ascii="Times New Roman" w:eastAsiaTheme="minorHAnsi" w:hAnsi="Times New Roman" w:cs="Times New Roman"/>
          <w:bCs/>
          <w:sz w:val="24"/>
          <w:szCs w:val="24"/>
        </w:rPr>
        <w:t xml:space="preserve"> </w:t>
      </w:r>
      <w:r w:rsidR="00FC3181" w:rsidRPr="00922C73">
        <w:rPr>
          <w:rFonts w:ascii="Times New Roman" w:eastAsiaTheme="minorHAnsi" w:hAnsi="Times New Roman" w:cs="Times New Roman"/>
          <w:bCs/>
          <w:sz w:val="24"/>
          <w:szCs w:val="24"/>
        </w:rPr>
        <w:t>A</w:t>
      </w:r>
      <w:r w:rsidRPr="00922C73">
        <w:rPr>
          <w:rFonts w:ascii="Times New Roman" w:eastAsiaTheme="minorHAnsi" w:hAnsi="Times New Roman" w:cs="Times New Roman"/>
          <w:bCs/>
          <w:sz w:val="24"/>
          <w:szCs w:val="24"/>
        </w:rPr>
        <w:t>t 48-54 weeks</w:t>
      </w:r>
      <w:r w:rsidR="00FC3181" w:rsidRPr="00922C73">
        <w:rPr>
          <w:rFonts w:ascii="Times New Roman" w:eastAsiaTheme="minorHAnsi" w:hAnsi="Times New Roman" w:cs="Times New Roman"/>
          <w:bCs/>
          <w:sz w:val="24"/>
          <w:szCs w:val="24"/>
        </w:rPr>
        <w:t xml:space="preserve"> of treatment</w:t>
      </w:r>
      <w:r w:rsidRPr="00922C73">
        <w:rPr>
          <w:rFonts w:ascii="Times New Roman" w:eastAsiaTheme="minorHAnsi" w:hAnsi="Times New Roman" w:cs="Times New Roman"/>
          <w:bCs/>
          <w:sz w:val="24"/>
          <w:szCs w:val="24"/>
        </w:rPr>
        <w:t>, 17/33 (51%) had positive ATI</w:t>
      </w:r>
      <w:r w:rsidR="00FC3181" w:rsidRPr="00922C73">
        <w:rPr>
          <w:rFonts w:ascii="Times New Roman" w:eastAsiaTheme="minorHAnsi" w:hAnsi="Times New Roman" w:cs="Times New Roman"/>
          <w:bCs/>
          <w:sz w:val="24"/>
          <w:szCs w:val="24"/>
        </w:rPr>
        <w:t>.</w:t>
      </w:r>
      <w:r w:rsidRPr="00922C73">
        <w:rPr>
          <w:rFonts w:ascii="Times New Roman" w:eastAsiaTheme="minorHAnsi" w:hAnsi="Times New Roman" w:cs="Times New Roman"/>
          <w:bCs/>
          <w:sz w:val="24"/>
          <w:szCs w:val="24"/>
        </w:rPr>
        <w:t xml:space="preserve"> </w:t>
      </w:r>
      <w:bookmarkStart w:id="105" w:name="_Toc499652840"/>
      <w:bookmarkEnd w:id="104"/>
    </w:p>
    <w:p w14:paraId="3EB74B09" w14:textId="77777777" w:rsidR="00A6726D" w:rsidRPr="00922C73" w:rsidRDefault="00A6726D" w:rsidP="00020303">
      <w:pPr>
        <w:tabs>
          <w:tab w:val="left" w:pos="984"/>
        </w:tabs>
        <w:spacing w:line="480" w:lineRule="auto"/>
        <w:rPr>
          <w:rFonts w:ascii="Times New Roman" w:hAnsi="Times New Roman" w:cs="Times New Roman"/>
          <w:sz w:val="24"/>
          <w:szCs w:val="24"/>
        </w:rPr>
      </w:pPr>
    </w:p>
    <w:tbl>
      <w:tblPr>
        <w:tblStyle w:val="GridTable1Light-Accent5"/>
        <w:tblW w:w="0" w:type="auto"/>
        <w:tblLook w:val="04A0" w:firstRow="1" w:lastRow="0" w:firstColumn="1" w:lastColumn="0" w:noHBand="0" w:noVBand="1"/>
      </w:tblPr>
      <w:tblGrid>
        <w:gridCol w:w="2501"/>
        <w:gridCol w:w="1435"/>
        <w:gridCol w:w="1387"/>
        <w:gridCol w:w="1458"/>
      </w:tblGrid>
      <w:tr w:rsidR="00922C73" w:rsidRPr="00922C73" w14:paraId="72137038" w14:textId="77777777" w:rsidTr="00E10BB5">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501" w:type="dxa"/>
            <w:vMerge w:val="restart"/>
          </w:tcPr>
          <w:p w14:paraId="37CB4B38"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 xml:space="preserve">Variable </w:t>
            </w:r>
          </w:p>
        </w:tc>
        <w:tc>
          <w:tcPr>
            <w:tcW w:w="4280" w:type="dxa"/>
            <w:gridSpan w:val="3"/>
          </w:tcPr>
          <w:p w14:paraId="0D11771E" w14:textId="77777777" w:rsidR="00E564E6" w:rsidRPr="00922C73" w:rsidRDefault="00E564E6" w:rsidP="0002030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Antibodies to infliximab status</w:t>
            </w:r>
          </w:p>
        </w:tc>
      </w:tr>
      <w:tr w:rsidR="00922C73" w:rsidRPr="00922C73" w14:paraId="225F0F38" w14:textId="77777777" w:rsidTr="00E10BB5">
        <w:trPr>
          <w:trHeight w:val="217"/>
        </w:trPr>
        <w:tc>
          <w:tcPr>
            <w:cnfStyle w:val="001000000000" w:firstRow="0" w:lastRow="0" w:firstColumn="1" w:lastColumn="0" w:oddVBand="0" w:evenVBand="0" w:oddHBand="0" w:evenHBand="0" w:firstRowFirstColumn="0" w:firstRowLastColumn="0" w:lastRowFirstColumn="0" w:lastRowLastColumn="0"/>
            <w:tcW w:w="2501" w:type="dxa"/>
            <w:vMerge/>
          </w:tcPr>
          <w:p w14:paraId="6EC508A1" w14:textId="77777777" w:rsidR="00E564E6" w:rsidRPr="00922C73" w:rsidRDefault="00E564E6" w:rsidP="00020303">
            <w:pPr>
              <w:spacing w:line="480" w:lineRule="auto"/>
              <w:rPr>
                <w:rFonts w:ascii="Times New Roman" w:hAnsi="Times New Roman" w:cs="Times New Roman"/>
                <w:sz w:val="20"/>
                <w:szCs w:val="20"/>
              </w:rPr>
            </w:pPr>
          </w:p>
        </w:tc>
        <w:tc>
          <w:tcPr>
            <w:tcW w:w="1435" w:type="dxa"/>
          </w:tcPr>
          <w:p w14:paraId="17E90519"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922C73">
              <w:rPr>
                <w:rFonts w:ascii="Times New Roman" w:hAnsi="Times New Roman" w:cs="Times New Roman"/>
                <w:b/>
                <w:sz w:val="20"/>
                <w:szCs w:val="20"/>
              </w:rPr>
              <w:t>Positive n=113</w:t>
            </w:r>
          </w:p>
        </w:tc>
        <w:tc>
          <w:tcPr>
            <w:tcW w:w="1387" w:type="dxa"/>
          </w:tcPr>
          <w:p w14:paraId="61754641"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922C73">
              <w:rPr>
                <w:rFonts w:ascii="Times New Roman" w:hAnsi="Times New Roman" w:cs="Times New Roman"/>
                <w:b/>
                <w:sz w:val="20"/>
                <w:szCs w:val="20"/>
              </w:rPr>
              <w:t>Negative n=94</w:t>
            </w:r>
          </w:p>
        </w:tc>
        <w:tc>
          <w:tcPr>
            <w:tcW w:w="1458" w:type="dxa"/>
          </w:tcPr>
          <w:p w14:paraId="6B1511F7"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922C73">
              <w:rPr>
                <w:rFonts w:ascii="Times New Roman" w:hAnsi="Times New Roman" w:cs="Times New Roman"/>
                <w:b/>
                <w:sz w:val="20"/>
                <w:szCs w:val="20"/>
              </w:rPr>
              <w:t>Transient n=7</w:t>
            </w:r>
          </w:p>
        </w:tc>
      </w:tr>
      <w:tr w:rsidR="00922C73" w:rsidRPr="00922C73" w14:paraId="4BBFE19B" w14:textId="77777777" w:rsidTr="00E10BB5">
        <w:trPr>
          <w:trHeight w:val="408"/>
        </w:trPr>
        <w:tc>
          <w:tcPr>
            <w:cnfStyle w:val="001000000000" w:firstRow="0" w:lastRow="0" w:firstColumn="1" w:lastColumn="0" w:oddVBand="0" w:evenVBand="0" w:oddHBand="0" w:evenHBand="0" w:firstRowFirstColumn="0" w:firstRowLastColumn="0" w:lastRowFirstColumn="0" w:lastRowLastColumn="0"/>
            <w:tcW w:w="2501" w:type="dxa"/>
          </w:tcPr>
          <w:p w14:paraId="33D78CC5"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Male (%)</w:t>
            </w:r>
          </w:p>
        </w:tc>
        <w:tc>
          <w:tcPr>
            <w:tcW w:w="1435" w:type="dxa"/>
          </w:tcPr>
          <w:p w14:paraId="6F402899"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68 (60)</w:t>
            </w:r>
          </w:p>
        </w:tc>
        <w:tc>
          <w:tcPr>
            <w:tcW w:w="1387" w:type="dxa"/>
          </w:tcPr>
          <w:p w14:paraId="0B6256EB"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45 (48)</w:t>
            </w:r>
          </w:p>
        </w:tc>
        <w:tc>
          <w:tcPr>
            <w:tcW w:w="1458" w:type="dxa"/>
          </w:tcPr>
          <w:p w14:paraId="56AD270C"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 (57)</w:t>
            </w:r>
          </w:p>
        </w:tc>
      </w:tr>
      <w:tr w:rsidR="00922C73" w:rsidRPr="00922C73" w14:paraId="6EB751BA" w14:textId="77777777" w:rsidTr="00E10BB5">
        <w:trPr>
          <w:trHeight w:val="408"/>
        </w:trPr>
        <w:tc>
          <w:tcPr>
            <w:cnfStyle w:val="001000000000" w:firstRow="0" w:lastRow="0" w:firstColumn="1" w:lastColumn="0" w:oddVBand="0" w:evenVBand="0" w:oddHBand="0" w:evenHBand="0" w:firstRowFirstColumn="0" w:firstRowLastColumn="0" w:lastRowFirstColumn="0" w:lastRowLastColumn="0"/>
            <w:tcW w:w="2501" w:type="dxa"/>
          </w:tcPr>
          <w:p w14:paraId="1B3EE6E1"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 xml:space="preserve">Median age in years (range) </w:t>
            </w:r>
          </w:p>
        </w:tc>
        <w:tc>
          <w:tcPr>
            <w:tcW w:w="1435" w:type="dxa"/>
          </w:tcPr>
          <w:p w14:paraId="572C0AF9"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 (17-82)</w:t>
            </w:r>
          </w:p>
        </w:tc>
        <w:tc>
          <w:tcPr>
            <w:tcW w:w="1387" w:type="dxa"/>
          </w:tcPr>
          <w:p w14:paraId="4FADC600"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40 (17-82)</w:t>
            </w:r>
          </w:p>
        </w:tc>
        <w:tc>
          <w:tcPr>
            <w:tcW w:w="1458" w:type="dxa"/>
          </w:tcPr>
          <w:p w14:paraId="5891DC25"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49 (24-77)</w:t>
            </w:r>
          </w:p>
        </w:tc>
      </w:tr>
      <w:tr w:rsidR="00922C73" w:rsidRPr="00922C73" w14:paraId="3618A61A" w14:textId="77777777" w:rsidTr="00E10BB5">
        <w:trPr>
          <w:trHeight w:val="408"/>
        </w:trPr>
        <w:tc>
          <w:tcPr>
            <w:cnfStyle w:val="001000000000" w:firstRow="0" w:lastRow="0" w:firstColumn="1" w:lastColumn="0" w:oddVBand="0" w:evenVBand="0" w:oddHBand="0" w:evenHBand="0" w:firstRowFirstColumn="0" w:firstRowLastColumn="0" w:lastRowFirstColumn="0" w:lastRowLastColumn="0"/>
            <w:tcW w:w="2501" w:type="dxa"/>
          </w:tcPr>
          <w:p w14:paraId="09C7480E"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Current smokers (%)</w:t>
            </w:r>
          </w:p>
        </w:tc>
        <w:tc>
          <w:tcPr>
            <w:tcW w:w="1435" w:type="dxa"/>
          </w:tcPr>
          <w:p w14:paraId="3D2401C0"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14 (12)</w:t>
            </w:r>
          </w:p>
        </w:tc>
        <w:tc>
          <w:tcPr>
            <w:tcW w:w="1387" w:type="dxa"/>
          </w:tcPr>
          <w:p w14:paraId="2963F33A"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18 (19)</w:t>
            </w:r>
          </w:p>
        </w:tc>
        <w:tc>
          <w:tcPr>
            <w:tcW w:w="1458" w:type="dxa"/>
          </w:tcPr>
          <w:p w14:paraId="7A76AEB1"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w:t>
            </w:r>
          </w:p>
        </w:tc>
      </w:tr>
      <w:tr w:rsidR="00922C73" w:rsidRPr="00922C73" w14:paraId="0FC13C97" w14:textId="77777777" w:rsidTr="00E10BB5">
        <w:trPr>
          <w:trHeight w:val="1647"/>
        </w:trPr>
        <w:tc>
          <w:tcPr>
            <w:cnfStyle w:val="001000000000" w:firstRow="0" w:lastRow="0" w:firstColumn="1" w:lastColumn="0" w:oddVBand="0" w:evenVBand="0" w:oddHBand="0" w:evenHBand="0" w:firstRowFirstColumn="0" w:firstRowLastColumn="0" w:lastRowFirstColumn="0" w:lastRowLastColumn="0"/>
            <w:tcW w:w="2501" w:type="dxa"/>
          </w:tcPr>
          <w:p w14:paraId="6AA8F934"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IBD type (%):</w:t>
            </w:r>
          </w:p>
          <w:p w14:paraId="6F6D1DD9"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Crohn’s disease</w:t>
            </w:r>
          </w:p>
          <w:p w14:paraId="481F057E"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Ulcerative colitis</w:t>
            </w:r>
          </w:p>
          <w:p w14:paraId="69228FC2"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IBD-unclassified</w:t>
            </w:r>
          </w:p>
        </w:tc>
        <w:tc>
          <w:tcPr>
            <w:tcW w:w="1435" w:type="dxa"/>
          </w:tcPr>
          <w:p w14:paraId="6DF1EF46"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5753C8C"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71 (63)</w:t>
            </w:r>
          </w:p>
          <w:p w14:paraId="2DA0CB42"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40 (35)</w:t>
            </w:r>
          </w:p>
          <w:p w14:paraId="0CA27B52"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 (2)</w:t>
            </w:r>
          </w:p>
        </w:tc>
        <w:tc>
          <w:tcPr>
            <w:tcW w:w="1387" w:type="dxa"/>
          </w:tcPr>
          <w:p w14:paraId="5061B22F"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4EFD9428"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61 (65)</w:t>
            </w:r>
          </w:p>
          <w:p w14:paraId="7129AFA0"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32 (34)</w:t>
            </w:r>
          </w:p>
          <w:p w14:paraId="674378F2"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 (1)</w:t>
            </w:r>
          </w:p>
        </w:tc>
        <w:tc>
          <w:tcPr>
            <w:tcW w:w="1458" w:type="dxa"/>
          </w:tcPr>
          <w:p w14:paraId="2283C471"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413E570"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 (57)</w:t>
            </w:r>
          </w:p>
          <w:p w14:paraId="7A55D0FA"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 (43)</w:t>
            </w:r>
          </w:p>
          <w:p w14:paraId="493EF81D"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w:t>
            </w:r>
          </w:p>
        </w:tc>
      </w:tr>
      <w:tr w:rsidR="00922C73" w:rsidRPr="00922C73" w14:paraId="2228A62C" w14:textId="77777777" w:rsidTr="00E10BB5">
        <w:trPr>
          <w:trHeight w:val="1670"/>
        </w:trPr>
        <w:tc>
          <w:tcPr>
            <w:cnfStyle w:val="001000000000" w:firstRow="0" w:lastRow="0" w:firstColumn="1" w:lastColumn="0" w:oddVBand="0" w:evenVBand="0" w:oddHBand="0" w:evenHBand="0" w:firstRowFirstColumn="0" w:firstRowLastColumn="0" w:lastRowFirstColumn="0" w:lastRowLastColumn="0"/>
            <w:tcW w:w="2501" w:type="dxa"/>
          </w:tcPr>
          <w:p w14:paraId="033E2E59"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Concomitant immunosuppression (%):</w:t>
            </w:r>
          </w:p>
          <w:p w14:paraId="0384B65F"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Thiopurines</w:t>
            </w:r>
          </w:p>
          <w:p w14:paraId="15550A2C" w14:textId="77777777" w:rsidR="00E564E6" w:rsidRPr="00922C73" w:rsidRDefault="00E564E6" w:rsidP="00020303">
            <w:pPr>
              <w:spacing w:line="480" w:lineRule="auto"/>
              <w:rPr>
                <w:rFonts w:ascii="Times New Roman" w:hAnsi="Times New Roman" w:cs="Times New Roman"/>
                <w:sz w:val="20"/>
                <w:szCs w:val="20"/>
              </w:rPr>
            </w:pPr>
            <w:r w:rsidRPr="00922C73">
              <w:rPr>
                <w:rFonts w:ascii="Times New Roman" w:hAnsi="Times New Roman" w:cs="Times New Roman"/>
                <w:sz w:val="20"/>
                <w:szCs w:val="20"/>
              </w:rPr>
              <w:t>Methotrexate</w:t>
            </w:r>
          </w:p>
        </w:tc>
        <w:tc>
          <w:tcPr>
            <w:tcW w:w="1435" w:type="dxa"/>
          </w:tcPr>
          <w:p w14:paraId="7A73F22B"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53 (47)</w:t>
            </w:r>
          </w:p>
          <w:p w14:paraId="4D1E556B"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FBFBA6C"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95F7ED4"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46</w:t>
            </w:r>
          </w:p>
          <w:p w14:paraId="7F914A54"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7</w:t>
            </w:r>
          </w:p>
        </w:tc>
        <w:tc>
          <w:tcPr>
            <w:tcW w:w="1387" w:type="dxa"/>
          </w:tcPr>
          <w:p w14:paraId="03DD6504"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62 (66)</w:t>
            </w:r>
          </w:p>
          <w:p w14:paraId="5F78FE87"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FC96419"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C11F1DE"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50</w:t>
            </w:r>
          </w:p>
          <w:p w14:paraId="4778A2DF"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12</w:t>
            </w:r>
          </w:p>
        </w:tc>
        <w:tc>
          <w:tcPr>
            <w:tcW w:w="1458" w:type="dxa"/>
          </w:tcPr>
          <w:p w14:paraId="7A0D1AF4"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 (57)</w:t>
            </w:r>
          </w:p>
          <w:p w14:paraId="63CFE997"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A4135E0"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2BC9B0D" w14:textId="77777777" w:rsidR="00E564E6" w:rsidRPr="00922C73" w:rsidRDefault="00E564E6" w:rsidP="0002030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w:t>
            </w:r>
          </w:p>
          <w:p w14:paraId="48954945" w14:textId="77777777" w:rsidR="00E564E6" w:rsidRPr="00922C73" w:rsidRDefault="00E564E6" w:rsidP="008C003E">
            <w:pPr>
              <w:keepNext/>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w:t>
            </w:r>
          </w:p>
        </w:tc>
      </w:tr>
    </w:tbl>
    <w:p w14:paraId="211307F0" w14:textId="77777777" w:rsidR="008C003E" w:rsidRPr="00922C73" w:rsidRDefault="008C003E" w:rsidP="008C003E">
      <w:pPr>
        <w:pStyle w:val="Caption"/>
        <w:spacing w:line="480" w:lineRule="auto"/>
        <w:rPr>
          <w:rFonts w:ascii="Times New Roman" w:hAnsi="Times New Roman" w:cs="Times New Roman"/>
          <w:sz w:val="24"/>
          <w:szCs w:val="24"/>
        </w:rPr>
      </w:pPr>
    </w:p>
    <w:p w14:paraId="0C7BB21D" w14:textId="5594A34F" w:rsidR="00E564E6" w:rsidRPr="00922C73" w:rsidRDefault="008C003E" w:rsidP="008C003E">
      <w:pPr>
        <w:pStyle w:val="Caption"/>
        <w:spacing w:line="480" w:lineRule="auto"/>
        <w:rPr>
          <w:rFonts w:ascii="Times New Roman" w:hAnsi="Times New Roman" w:cs="Times New Roman"/>
          <w:sz w:val="24"/>
          <w:szCs w:val="24"/>
        </w:rPr>
      </w:pPr>
      <w:bookmarkStart w:id="106" w:name="_Toc139306955"/>
      <w:r w:rsidRPr="00922C73">
        <w:rPr>
          <w:rFonts w:ascii="Times New Roman" w:hAnsi="Times New Roman" w:cs="Times New Roman"/>
          <w:sz w:val="24"/>
          <w:szCs w:val="24"/>
        </w:rPr>
        <w:t xml:space="preserve">Table </w:t>
      </w:r>
      <w:r w:rsidR="00334B74" w:rsidRPr="00922C73">
        <w:rPr>
          <w:rFonts w:ascii="Times New Roman" w:hAnsi="Times New Roman" w:cs="Times New Roman"/>
          <w:sz w:val="24"/>
          <w:szCs w:val="24"/>
        </w:rPr>
        <w:fldChar w:fldCharType="begin"/>
      </w:r>
      <w:r w:rsidR="00334B74" w:rsidRPr="00922C73">
        <w:rPr>
          <w:rFonts w:ascii="Times New Roman" w:hAnsi="Times New Roman" w:cs="Times New Roman"/>
          <w:sz w:val="24"/>
          <w:szCs w:val="24"/>
        </w:rPr>
        <w:instrText xml:space="preserve"> SEQ Table \* ARABIC </w:instrText>
      </w:r>
      <w:r w:rsidR="00334B74" w:rsidRPr="00922C73">
        <w:rPr>
          <w:rFonts w:ascii="Times New Roman" w:hAnsi="Times New Roman" w:cs="Times New Roman"/>
          <w:sz w:val="24"/>
          <w:szCs w:val="24"/>
        </w:rPr>
        <w:fldChar w:fldCharType="separate"/>
      </w:r>
      <w:r w:rsidR="00F2388D" w:rsidRPr="00922C73">
        <w:rPr>
          <w:rFonts w:ascii="Times New Roman" w:hAnsi="Times New Roman" w:cs="Times New Roman"/>
          <w:noProof/>
          <w:sz w:val="24"/>
          <w:szCs w:val="24"/>
        </w:rPr>
        <w:t>2</w:t>
      </w:r>
      <w:r w:rsidR="00334B7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Baseline demographics of study cohort (n=214)</w:t>
      </w:r>
      <w:r w:rsidRPr="00922C73">
        <w:rPr>
          <w:rFonts w:ascii="Times New Roman" w:hAnsi="Times New Roman" w:cs="Times New Roman"/>
          <w:noProof/>
          <w:sz w:val="24"/>
          <w:szCs w:val="24"/>
        </w:rPr>
        <w:t>.</w:t>
      </w:r>
      <w:bookmarkEnd w:id="106"/>
    </w:p>
    <w:p w14:paraId="640EC528" w14:textId="77777777" w:rsidR="004716F7" w:rsidRPr="00922C73" w:rsidRDefault="004716F7" w:rsidP="00020303">
      <w:pPr>
        <w:spacing w:line="480" w:lineRule="auto"/>
      </w:pPr>
    </w:p>
    <w:p w14:paraId="65DC3A80" w14:textId="77777777" w:rsidR="00F63FCD" w:rsidRPr="00922C73" w:rsidRDefault="00F63FCD" w:rsidP="00020303">
      <w:pPr>
        <w:spacing w:line="480" w:lineRule="auto"/>
      </w:pPr>
    </w:p>
    <w:p w14:paraId="454946EC" w14:textId="3A4283C5" w:rsidR="00FC3181" w:rsidRPr="00922C73" w:rsidRDefault="001743AD" w:rsidP="00C27918">
      <w:pPr>
        <w:pStyle w:val="Heading3"/>
        <w:spacing w:line="480" w:lineRule="auto"/>
        <w:rPr>
          <w:rFonts w:ascii="Times New Roman" w:eastAsiaTheme="minorHAnsi" w:hAnsi="Times New Roman" w:cs="Times New Roman"/>
          <w:b/>
          <w:bCs/>
        </w:rPr>
      </w:pPr>
      <w:bookmarkStart w:id="107" w:name="_Toc151020484"/>
      <w:r w:rsidRPr="00922C73">
        <w:rPr>
          <w:rFonts w:ascii="Times New Roman" w:eastAsiaTheme="minorHAnsi" w:hAnsi="Times New Roman" w:cs="Times New Roman"/>
          <w:b/>
          <w:bCs/>
        </w:rPr>
        <w:lastRenderedPageBreak/>
        <w:t>2</w:t>
      </w:r>
      <w:r w:rsidR="00C27918" w:rsidRPr="00922C73">
        <w:rPr>
          <w:rFonts w:ascii="Times New Roman" w:eastAsiaTheme="minorHAnsi" w:hAnsi="Times New Roman" w:cs="Times New Roman"/>
          <w:b/>
          <w:bCs/>
        </w:rPr>
        <w:t xml:space="preserve">.3.3 </w:t>
      </w:r>
      <w:r w:rsidR="00DB58DD" w:rsidRPr="00922C73">
        <w:rPr>
          <w:rFonts w:ascii="Times New Roman" w:eastAsiaTheme="minorHAnsi" w:hAnsi="Times New Roman" w:cs="Times New Roman"/>
          <w:b/>
          <w:bCs/>
        </w:rPr>
        <w:t>Temporal development of</w:t>
      </w:r>
      <w:bookmarkEnd w:id="105"/>
      <w:r w:rsidR="00DB58DD" w:rsidRPr="00922C73">
        <w:rPr>
          <w:rFonts w:ascii="Times New Roman" w:eastAsiaTheme="minorHAnsi" w:hAnsi="Times New Roman" w:cs="Times New Roman"/>
          <w:b/>
          <w:bCs/>
        </w:rPr>
        <w:t xml:space="preserve"> ATI and risk-factors for ATI development</w:t>
      </w:r>
      <w:bookmarkEnd w:id="107"/>
      <w:r w:rsidR="00DB58DD" w:rsidRPr="00922C73">
        <w:rPr>
          <w:rFonts w:ascii="Times New Roman" w:eastAsiaTheme="minorHAnsi" w:hAnsi="Times New Roman" w:cs="Times New Roman"/>
          <w:b/>
          <w:bCs/>
        </w:rPr>
        <w:t xml:space="preserve"> </w:t>
      </w:r>
    </w:p>
    <w:p w14:paraId="63082DF7" w14:textId="5EFA5F90" w:rsidR="00DB58DD" w:rsidRPr="00922C73" w:rsidRDefault="00DB58DD" w:rsidP="00C27918">
      <w:pPr>
        <w:spacing w:after="0"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56 patients became ATI positive during the study period (Figure </w:t>
      </w:r>
      <w:r w:rsidR="004B51CB" w:rsidRPr="00922C73">
        <w:rPr>
          <w:rFonts w:ascii="Times New Roman" w:eastAsiaTheme="minorHAnsi" w:hAnsi="Times New Roman" w:cs="Times New Roman"/>
          <w:sz w:val="24"/>
          <w:szCs w:val="24"/>
        </w:rPr>
        <w:t>1</w:t>
      </w:r>
      <w:r w:rsidR="002F6EDC" w:rsidRPr="00922C73">
        <w:rPr>
          <w:rFonts w:ascii="Times New Roman" w:eastAsiaTheme="minorHAnsi" w:hAnsi="Times New Roman" w:cs="Times New Roman"/>
          <w:sz w:val="24"/>
          <w:szCs w:val="24"/>
        </w:rPr>
        <w:t>3</w:t>
      </w:r>
      <w:r w:rsidRPr="00922C73">
        <w:rPr>
          <w:rFonts w:ascii="Times New Roman" w:eastAsiaTheme="minorHAnsi" w:hAnsi="Times New Roman" w:cs="Times New Roman"/>
          <w:sz w:val="24"/>
          <w:szCs w:val="24"/>
        </w:rPr>
        <w:t xml:space="preserve">). Median time to ATI positivity was 38 weeks of </w:t>
      </w:r>
      <w:r w:rsidR="00FC3181" w:rsidRPr="00922C73">
        <w:rPr>
          <w:rFonts w:ascii="Times New Roman" w:eastAsiaTheme="minorHAnsi" w:hAnsi="Times New Roman" w:cs="Times New Roman"/>
          <w:sz w:val="24"/>
          <w:szCs w:val="24"/>
        </w:rPr>
        <w:t xml:space="preserve">infliximab </w:t>
      </w:r>
      <w:r w:rsidRPr="00922C73">
        <w:rPr>
          <w:rFonts w:ascii="Times New Roman" w:eastAsiaTheme="minorHAnsi" w:hAnsi="Times New Roman" w:cs="Times New Roman"/>
          <w:sz w:val="24"/>
          <w:szCs w:val="24"/>
        </w:rPr>
        <w:t xml:space="preserve">treatment (range 2-310): 27 (48.2%) developed positive ATI within 6 months of treatment, 17 (30.4%) between 6-12 months and 12 (21.2%) beyond 12 months of treatment. </w:t>
      </w:r>
      <w:bookmarkStart w:id="108" w:name="_Hlk150504034"/>
      <w:r w:rsidRPr="00922C73">
        <w:rPr>
          <w:rFonts w:ascii="Times New Roman" w:eastAsiaTheme="minorHAnsi" w:hAnsi="Times New Roman" w:cs="Times New Roman"/>
          <w:sz w:val="24"/>
          <w:szCs w:val="24"/>
        </w:rPr>
        <w:t xml:space="preserve">Concomitant immunosuppression significantly protected against ATI development within the first 6 months of </w:t>
      </w:r>
      <w:r w:rsidR="00FC3181"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treatment. </w:t>
      </w:r>
      <w:bookmarkEnd w:id="108"/>
      <w:r w:rsidRPr="00922C73">
        <w:rPr>
          <w:rFonts w:ascii="Times New Roman" w:eastAsiaTheme="minorHAnsi" w:hAnsi="Times New Roman" w:cs="Times New Roman"/>
          <w:sz w:val="24"/>
          <w:szCs w:val="24"/>
        </w:rPr>
        <w:t>In the 12 patients who developed ATI beyond 12 months,</w:t>
      </w:r>
      <w:r w:rsidR="00FC3181" w:rsidRPr="00922C73">
        <w:rPr>
          <w:rFonts w:ascii="Times New Roman" w:eastAsiaTheme="minorHAnsi" w:hAnsi="Times New Roman" w:cs="Times New Roman"/>
          <w:sz w:val="24"/>
          <w:szCs w:val="24"/>
        </w:rPr>
        <w:t xml:space="preserve"> </w:t>
      </w:r>
      <w:r w:rsidRPr="00922C73">
        <w:rPr>
          <w:rFonts w:ascii="Times New Roman" w:eastAsiaTheme="minorHAnsi" w:hAnsi="Times New Roman" w:cs="Times New Roman"/>
          <w:sz w:val="24"/>
          <w:szCs w:val="24"/>
        </w:rPr>
        <w:t xml:space="preserve">7 (58 %) were on immunosuppression and none had it stopped prior to developing ATI.  </w:t>
      </w:r>
    </w:p>
    <w:p w14:paraId="6F688C6C" w14:textId="77777777" w:rsidR="00405950" w:rsidRPr="00922C73" w:rsidRDefault="00405950" w:rsidP="00700BBF">
      <w:pPr>
        <w:spacing w:after="0" w:line="480" w:lineRule="auto"/>
        <w:contextualSpacing/>
        <w:jc w:val="left"/>
        <w:rPr>
          <w:rFonts w:ascii="Times New Roman" w:eastAsiaTheme="minorHAnsi" w:hAnsi="Times New Roman" w:cs="Times New Roman"/>
          <w:sz w:val="24"/>
          <w:szCs w:val="24"/>
        </w:rPr>
      </w:pPr>
    </w:p>
    <w:p w14:paraId="2557D9CA" w14:textId="77777777" w:rsidR="0046318C" w:rsidRPr="00922C73" w:rsidRDefault="0046318C" w:rsidP="00700BBF">
      <w:pPr>
        <w:spacing w:after="0" w:line="480" w:lineRule="auto"/>
        <w:contextualSpacing/>
        <w:jc w:val="left"/>
        <w:rPr>
          <w:rFonts w:ascii="Times New Roman" w:eastAsiaTheme="minorHAnsi" w:hAnsi="Times New Roman" w:cs="Times New Roman"/>
          <w:sz w:val="24"/>
          <w:szCs w:val="24"/>
        </w:rPr>
      </w:pPr>
    </w:p>
    <w:p w14:paraId="5F3787A6" w14:textId="77777777" w:rsidR="003A2DE8" w:rsidRPr="00922C73" w:rsidRDefault="0046318C" w:rsidP="003A2DE8">
      <w:pPr>
        <w:keepNext/>
      </w:pPr>
      <w:r w:rsidRPr="00922C73">
        <w:rPr>
          <w:noProof/>
        </w:rPr>
        <w:drawing>
          <wp:inline distT="0" distB="0" distL="0" distR="0" wp14:anchorId="6D36A299" wp14:editId="227D8606">
            <wp:extent cx="4686300" cy="3438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6300" cy="3438525"/>
                    </a:xfrm>
                    <a:prstGeom prst="rect">
                      <a:avLst/>
                    </a:prstGeom>
                    <a:noFill/>
                    <a:ln>
                      <a:noFill/>
                    </a:ln>
                  </pic:spPr>
                </pic:pic>
              </a:graphicData>
            </a:graphic>
          </wp:inline>
        </w:drawing>
      </w:r>
    </w:p>
    <w:p w14:paraId="1F12DFB5" w14:textId="2AD7404D" w:rsidR="0045264F" w:rsidRPr="00922C73" w:rsidRDefault="003A2DE8" w:rsidP="006E21E2">
      <w:pPr>
        <w:pStyle w:val="Caption"/>
        <w:spacing w:line="240" w:lineRule="auto"/>
        <w:rPr>
          <w:rFonts w:ascii="Times New Roman" w:hAnsi="Times New Roman" w:cs="Times New Roman"/>
          <w:sz w:val="24"/>
          <w:szCs w:val="24"/>
        </w:rPr>
      </w:pPr>
      <w:bookmarkStart w:id="109" w:name="_Toc139397312"/>
      <w:bookmarkStart w:id="110" w:name="_Toc151020658"/>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13</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Time to development of antibodies to infliximab during infliximab treatment</w:t>
      </w:r>
      <w:bookmarkEnd w:id="109"/>
      <w:r w:rsidR="009F3E86" w:rsidRPr="00922C73">
        <w:rPr>
          <w:rFonts w:ascii="Times New Roman" w:hAnsi="Times New Roman" w:cs="Times New Roman"/>
          <w:sz w:val="24"/>
          <w:szCs w:val="24"/>
        </w:rPr>
        <w:t>.</w:t>
      </w:r>
      <w:bookmarkEnd w:id="110"/>
    </w:p>
    <w:p w14:paraId="20E3FE2B" w14:textId="46E7E3D1" w:rsidR="006E21E2" w:rsidRPr="00922C73" w:rsidRDefault="006E21E2" w:rsidP="006E21E2">
      <w:pPr>
        <w:tabs>
          <w:tab w:val="left" w:pos="7500"/>
        </w:tabs>
        <w:spacing w:line="240" w:lineRule="auto"/>
        <w:rPr>
          <w:rFonts w:ascii="Times New Roman" w:eastAsiaTheme="minorHAnsi" w:hAnsi="Times New Roman" w:cs="Times New Roman"/>
          <w:iCs/>
          <w:sz w:val="24"/>
          <w:szCs w:val="24"/>
        </w:rPr>
      </w:pPr>
      <w:r w:rsidRPr="00922C73">
        <w:rPr>
          <w:rFonts w:ascii="Times New Roman" w:eastAsiaTheme="minorHAnsi" w:hAnsi="Times New Roman" w:cs="Times New Roman"/>
          <w:bCs/>
          <w:iCs/>
          <w:sz w:val="24"/>
          <w:szCs w:val="24"/>
        </w:rPr>
        <w:t xml:space="preserve">56 patients become ATI positive during the study period of May 2016-April 2017. </w:t>
      </w:r>
      <w:r w:rsidRPr="00922C73">
        <w:rPr>
          <w:rFonts w:ascii="Times New Roman" w:eastAsiaTheme="minorHAnsi" w:hAnsi="Times New Roman" w:cs="Times New Roman"/>
          <w:iCs/>
          <w:sz w:val="24"/>
          <w:szCs w:val="24"/>
        </w:rPr>
        <w:t xml:space="preserve">Concomitant immunosuppression significantly protected against ATI development within the first 6 months of infliximab treatment. </w:t>
      </w:r>
    </w:p>
    <w:p w14:paraId="67AF5396" w14:textId="5C721D89" w:rsidR="0046318C" w:rsidRPr="00922C73" w:rsidRDefault="0046318C" w:rsidP="006E21E2">
      <w:pPr>
        <w:tabs>
          <w:tab w:val="left" w:pos="7500"/>
        </w:tabs>
        <w:spacing w:line="240" w:lineRule="auto"/>
      </w:pPr>
      <w:r w:rsidRPr="00922C73">
        <w:rPr>
          <w:rFonts w:ascii="Times New Roman" w:eastAsiaTheme="minorHAnsi" w:hAnsi="Times New Roman" w:cs="Times New Roman"/>
          <w:bCs/>
          <w:i/>
          <w:sz w:val="24"/>
          <w:szCs w:val="24"/>
        </w:rPr>
        <w:t>(IS immunosuppression)</w:t>
      </w:r>
    </w:p>
    <w:p w14:paraId="186C3549" w14:textId="77777777" w:rsidR="004716F7" w:rsidRPr="00922C73" w:rsidRDefault="004716F7" w:rsidP="00700BBF">
      <w:pPr>
        <w:spacing w:after="0" w:line="480" w:lineRule="auto"/>
        <w:jc w:val="left"/>
        <w:rPr>
          <w:rFonts w:ascii="Times New Roman" w:eastAsiaTheme="minorHAnsi" w:hAnsi="Times New Roman" w:cs="Times New Roman"/>
          <w:bCs/>
          <w:i/>
          <w:sz w:val="24"/>
          <w:szCs w:val="24"/>
        </w:rPr>
      </w:pPr>
    </w:p>
    <w:p w14:paraId="444A2754" w14:textId="36A80AB3" w:rsidR="00DB58DD" w:rsidRPr="00922C73" w:rsidRDefault="00DB58DD" w:rsidP="00C27918">
      <w:pPr>
        <w:spacing w:after="0" w:line="480" w:lineRule="auto"/>
        <w:contextualSpacing/>
        <w:jc w:val="left"/>
        <w:rPr>
          <w:rFonts w:eastAsiaTheme="minorHAnsi"/>
        </w:rPr>
      </w:pPr>
      <w:r w:rsidRPr="00922C73">
        <w:rPr>
          <w:rFonts w:ascii="Times New Roman" w:eastAsiaTheme="minorHAnsi" w:hAnsi="Times New Roman" w:cs="Times New Roman"/>
          <w:sz w:val="24"/>
          <w:szCs w:val="24"/>
        </w:rPr>
        <w:lastRenderedPageBreak/>
        <w:t xml:space="preserve">119/214 patients received concomitant immunosuppression (azathioprine n=84, mercaptopurine n=15 and methotrexate n=20).  </w:t>
      </w:r>
      <w:bookmarkStart w:id="111" w:name="_Hlk6242574"/>
      <w:r w:rsidRPr="00922C73">
        <w:rPr>
          <w:rFonts w:ascii="Times New Roman" w:eastAsiaTheme="minorHAnsi" w:hAnsi="Times New Roman" w:cs="Times New Roman"/>
          <w:sz w:val="24"/>
          <w:szCs w:val="24"/>
        </w:rPr>
        <w:t xml:space="preserve">Both thiopurines and methotrexate were negatively associated with ATI positivity during follow-up: OR for thiopurines of 0.48 (95% CI: 0.253-0.912, p=0.02), and, for methotrexate, OR of 0.36 (95% CI: 0.134-0.965 p=0.04). A longer interval between infusions was significantly associated with ATI positivity (OR of 1.17 (95% CI: 1.095-1.259) for each added week, p=&lt;0.01). </w:t>
      </w:r>
      <w:bookmarkEnd w:id="111"/>
      <w:r w:rsidRPr="00922C73">
        <w:rPr>
          <w:rFonts w:ascii="Times New Roman" w:eastAsiaTheme="minorHAnsi" w:hAnsi="Times New Roman" w:cs="Times New Roman"/>
          <w:sz w:val="24"/>
          <w:szCs w:val="24"/>
        </w:rPr>
        <w:t xml:space="preserve">Gender, smoking, body mass index or sub-type of IBD did not show a significant association to ATI positivity. </w:t>
      </w:r>
    </w:p>
    <w:p w14:paraId="6BD38C84" w14:textId="77777777" w:rsidR="00DB58DD" w:rsidRPr="00922C73" w:rsidRDefault="00DB58DD" w:rsidP="00C27918">
      <w:pPr>
        <w:spacing w:after="0" w:line="480" w:lineRule="auto"/>
        <w:contextualSpacing/>
        <w:jc w:val="left"/>
        <w:rPr>
          <w:rFonts w:ascii="Times New Roman" w:eastAsiaTheme="minorHAnsi" w:hAnsi="Times New Roman" w:cs="Times New Roman"/>
          <w:sz w:val="24"/>
          <w:szCs w:val="24"/>
        </w:rPr>
      </w:pPr>
    </w:p>
    <w:p w14:paraId="0726CCE0" w14:textId="57C779C2" w:rsidR="00FC3181" w:rsidRPr="00922C73" w:rsidRDefault="001743AD" w:rsidP="00C27918">
      <w:pPr>
        <w:pStyle w:val="Heading3"/>
        <w:spacing w:line="480" w:lineRule="auto"/>
        <w:rPr>
          <w:rFonts w:ascii="Times New Roman" w:eastAsiaTheme="minorHAnsi" w:hAnsi="Times New Roman" w:cs="Times New Roman"/>
          <w:b/>
          <w:bCs/>
        </w:rPr>
      </w:pPr>
      <w:bookmarkStart w:id="112" w:name="_Toc151020485"/>
      <w:r w:rsidRPr="00922C73">
        <w:rPr>
          <w:rFonts w:ascii="Times New Roman" w:eastAsiaTheme="minorHAnsi" w:hAnsi="Times New Roman" w:cs="Times New Roman"/>
          <w:b/>
          <w:bCs/>
        </w:rPr>
        <w:t>2</w:t>
      </w:r>
      <w:r w:rsidR="00C27918" w:rsidRPr="00922C73">
        <w:rPr>
          <w:rFonts w:ascii="Times New Roman" w:eastAsiaTheme="minorHAnsi" w:hAnsi="Times New Roman" w:cs="Times New Roman"/>
          <w:b/>
          <w:bCs/>
        </w:rPr>
        <w:t xml:space="preserve">.3.4 </w:t>
      </w:r>
      <w:r w:rsidR="00DB58DD" w:rsidRPr="00922C73">
        <w:rPr>
          <w:rFonts w:ascii="Times New Roman" w:eastAsiaTheme="minorHAnsi" w:hAnsi="Times New Roman" w:cs="Times New Roman"/>
          <w:b/>
          <w:bCs/>
        </w:rPr>
        <w:t xml:space="preserve">Chronological relation of ATI to </w:t>
      </w:r>
      <w:r w:rsidR="00FC3181" w:rsidRPr="00922C73">
        <w:rPr>
          <w:rFonts w:ascii="Times New Roman" w:eastAsiaTheme="minorHAnsi" w:hAnsi="Times New Roman" w:cs="Times New Roman"/>
          <w:b/>
          <w:bCs/>
        </w:rPr>
        <w:t xml:space="preserve">infliximab </w:t>
      </w:r>
      <w:r w:rsidR="00DB58DD" w:rsidRPr="00922C73">
        <w:rPr>
          <w:rFonts w:ascii="Times New Roman" w:eastAsiaTheme="minorHAnsi" w:hAnsi="Times New Roman" w:cs="Times New Roman"/>
          <w:b/>
          <w:bCs/>
        </w:rPr>
        <w:t>levels</w:t>
      </w:r>
      <w:bookmarkStart w:id="113" w:name="_Hlk505074230"/>
      <w:bookmarkEnd w:id="112"/>
    </w:p>
    <w:p w14:paraId="1E1ACFF9" w14:textId="7EE1A5E1" w:rsidR="00DB58DD" w:rsidRPr="00922C73" w:rsidRDefault="00DB58DD" w:rsidP="00C27918">
      <w:pPr>
        <w:spacing w:after="0" w:line="480" w:lineRule="auto"/>
        <w:contextualSpacing/>
        <w:jc w:val="left"/>
        <w:rPr>
          <w:rFonts w:ascii="Times New Roman" w:eastAsiaTheme="minorHAnsi" w:hAnsi="Times New Roman" w:cs="Times New Roman"/>
          <w:bCs/>
          <w:sz w:val="24"/>
          <w:szCs w:val="24"/>
        </w:rPr>
      </w:pPr>
      <w:r w:rsidRPr="00922C73">
        <w:rPr>
          <w:rFonts w:ascii="Times New Roman" w:eastAsiaTheme="minorHAnsi" w:hAnsi="Times New Roman" w:cs="Times New Roman"/>
          <w:bCs/>
          <w:sz w:val="24"/>
          <w:szCs w:val="24"/>
        </w:rPr>
        <w:t xml:space="preserve">56 patients developed positive ATI during the study period. This was preceded by subtherapeutic </w:t>
      </w:r>
      <w:r w:rsidR="00FC3181" w:rsidRPr="00922C73">
        <w:rPr>
          <w:rFonts w:ascii="Times New Roman" w:eastAsiaTheme="minorHAnsi" w:hAnsi="Times New Roman" w:cs="Times New Roman"/>
          <w:bCs/>
          <w:sz w:val="24"/>
          <w:szCs w:val="24"/>
        </w:rPr>
        <w:t>drug</w:t>
      </w:r>
      <w:r w:rsidRPr="00922C73">
        <w:rPr>
          <w:rFonts w:ascii="Times New Roman" w:eastAsiaTheme="minorHAnsi" w:hAnsi="Times New Roman" w:cs="Times New Roman"/>
          <w:bCs/>
          <w:sz w:val="24"/>
          <w:szCs w:val="24"/>
        </w:rPr>
        <w:t xml:space="preserve"> levels in 32/56 (57%).17 (30%) developed subtherapeutic</w:t>
      </w:r>
      <w:r w:rsidR="00FC3181" w:rsidRPr="00922C73">
        <w:rPr>
          <w:rFonts w:ascii="Times New Roman" w:eastAsiaTheme="minorHAnsi" w:hAnsi="Times New Roman" w:cs="Times New Roman"/>
          <w:bCs/>
          <w:sz w:val="24"/>
          <w:szCs w:val="24"/>
        </w:rPr>
        <w:t xml:space="preserve"> drug</w:t>
      </w:r>
      <w:r w:rsidRPr="00922C73">
        <w:rPr>
          <w:rFonts w:ascii="Times New Roman" w:eastAsiaTheme="minorHAnsi" w:hAnsi="Times New Roman" w:cs="Times New Roman"/>
          <w:bCs/>
          <w:sz w:val="24"/>
          <w:szCs w:val="24"/>
        </w:rPr>
        <w:t xml:space="preserve"> levels at the same TDM measurement as positive ATI and in 5 (9%)</w:t>
      </w:r>
      <w:r w:rsidR="00FC3181" w:rsidRPr="00922C73">
        <w:rPr>
          <w:rFonts w:ascii="Times New Roman" w:eastAsiaTheme="minorHAnsi" w:hAnsi="Times New Roman" w:cs="Times New Roman"/>
          <w:bCs/>
          <w:sz w:val="24"/>
          <w:szCs w:val="24"/>
        </w:rPr>
        <w:t>,</w:t>
      </w:r>
      <w:r w:rsidRPr="00922C73">
        <w:rPr>
          <w:rFonts w:ascii="Times New Roman" w:eastAsiaTheme="minorHAnsi" w:hAnsi="Times New Roman" w:cs="Times New Roman"/>
          <w:bCs/>
          <w:sz w:val="24"/>
          <w:szCs w:val="24"/>
        </w:rPr>
        <w:t xml:space="preserve"> positive ATI preceded subtherapeutic drug levels (Figure </w:t>
      </w:r>
      <w:r w:rsidR="004B51CB" w:rsidRPr="00922C73">
        <w:rPr>
          <w:rFonts w:ascii="Times New Roman" w:eastAsiaTheme="minorHAnsi" w:hAnsi="Times New Roman" w:cs="Times New Roman"/>
          <w:bCs/>
          <w:sz w:val="24"/>
          <w:szCs w:val="24"/>
        </w:rPr>
        <w:t>1</w:t>
      </w:r>
      <w:r w:rsidR="008F622A" w:rsidRPr="00922C73">
        <w:rPr>
          <w:rFonts w:ascii="Times New Roman" w:eastAsiaTheme="minorHAnsi" w:hAnsi="Times New Roman" w:cs="Times New Roman"/>
          <w:bCs/>
          <w:sz w:val="24"/>
          <w:szCs w:val="24"/>
        </w:rPr>
        <w:t>4</w:t>
      </w:r>
      <w:r w:rsidRPr="00922C73">
        <w:rPr>
          <w:rFonts w:ascii="Times New Roman" w:eastAsiaTheme="minorHAnsi" w:hAnsi="Times New Roman" w:cs="Times New Roman"/>
          <w:bCs/>
          <w:sz w:val="24"/>
          <w:szCs w:val="24"/>
        </w:rPr>
        <w:t xml:space="preserve">). 2 patients had therapeutic </w:t>
      </w:r>
      <w:r w:rsidR="00FC3181" w:rsidRPr="00922C73">
        <w:rPr>
          <w:rFonts w:ascii="Times New Roman" w:eastAsiaTheme="minorHAnsi" w:hAnsi="Times New Roman" w:cs="Times New Roman"/>
          <w:bCs/>
          <w:sz w:val="24"/>
          <w:szCs w:val="24"/>
        </w:rPr>
        <w:t>drug</w:t>
      </w:r>
      <w:r w:rsidRPr="00922C73">
        <w:rPr>
          <w:rFonts w:ascii="Times New Roman" w:eastAsiaTheme="minorHAnsi" w:hAnsi="Times New Roman" w:cs="Times New Roman"/>
          <w:bCs/>
          <w:sz w:val="24"/>
          <w:szCs w:val="24"/>
        </w:rPr>
        <w:t xml:space="preserve"> levels at the same time as positive ATI- both had </w:t>
      </w:r>
      <w:r w:rsidR="00FC3181" w:rsidRPr="00922C73">
        <w:rPr>
          <w:rFonts w:ascii="Times New Roman" w:eastAsiaTheme="minorHAnsi" w:hAnsi="Times New Roman" w:cs="Times New Roman"/>
          <w:bCs/>
          <w:sz w:val="24"/>
          <w:szCs w:val="24"/>
        </w:rPr>
        <w:t>infliximab</w:t>
      </w:r>
      <w:r w:rsidRPr="00922C73">
        <w:rPr>
          <w:rFonts w:ascii="Times New Roman" w:eastAsiaTheme="minorHAnsi" w:hAnsi="Times New Roman" w:cs="Times New Roman"/>
          <w:bCs/>
          <w:sz w:val="24"/>
          <w:szCs w:val="24"/>
        </w:rPr>
        <w:t xml:space="preserve"> stopped within 8 weeks of TDM due to LOR. </w:t>
      </w:r>
      <w:bookmarkEnd w:id="113"/>
    </w:p>
    <w:p w14:paraId="5B8BC4AF" w14:textId="77777777" w:rsidR="00E564E6" w:rsidRPr="00922C73" w:rsidRDefault="00E564E6" w:rsidP="006C5BF0">
      <w:pPr>
        <w:rPr>
          <w:rFonts w:eastAsiaTheme="minorHAnsi"/>
        </w:rPr>
      </w:pPr>
    </w:p>
    <w:p w14:paraId="3DF26719" w14:textId="77777777" w:rsidR="003A2DE8" w:rsidRPr="00922C73" w:rsidRDefault="00E564E6" w:rsidP="003A2DE8">
      <w:pPr>
        <w:keepNext/>
      </w:pPr>
      <w:r w:rsidRPr="00922C73">
        <w:rPr>
          <w:noProof/>
        </w:rPr>
        <w:lastRenderedPageBreak/>
        <w:drawing>
          <wp:inline distT="0" distB="0" distL="0" distR="0" wp14:anchorId="286AAD89" wp14:editId="1F902329">
            <wp:extent cx="5050927" cy="3600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5221" cy="3603511"/>
                    </a:xfrm>
                    <a:prstGeom prst="rect">
                      <a:avLst/>
                    </a:prstGeom>
                    <a:noFill/>
                    <a:ln>
                      <a:noFill/>
                    </a:ln>
                  </pic:spPr>
                </pic:pic>
              </a:graphicData>
            </a:graphic>
          </wp:inline>
        </w:drawing>
      </w:r>
    </w:p>
    <w:p w14:paraId="3EAEE393" w14:textId="77777777" w:rsidR="003A2DE8" w:rsidRPr="00922C73" w:rsidRDefault="003A2DE8" w:rsidP="003A2DE8">
      <w:pPr>
        <w:pStyle w:val="Caption"/>
        <w:spacing w:line="480" w:lineRule="auto"/>
        <w:rPr>
          <w:rFonts w:ascii="Times New Roman" w:hAnsi="Times New Roman" w:cs="Times New Roman"/>
          <w:sz w:val="24"/>
          <w:szCs w:val="24"/>
        </w:rPr>
      </w:pPr>
    </w:p>
    <w:p w14:paraId="60581829" w14:textId="058397E7" w:rsidR="00E564E6" w:rsidRPr="00922C73" w:rsidRDefault="003A2DE8" w:rsidP="003F386C">
      <w:pPr>
        <w:pStyle w:val="Caption"/>
        <w:spacing w:line="240" w:lineRule="auto"/>
        <w:rPr>
          <w:rFonts w:ascii="Times New Roman" w:eastAsiaTheme="minorHAnsi" w:hAnsi="Times New Roman" w:cs="Times New Roman"/>
          <w:b w:val="0"/>
          <w:sz w:val="24"/>
          <w:szCs w:val="24"/>
        </w:rPr>
      </w:pPr>
      <w:bookmarkStart w:id="114" w:name="_Toc139397313"/>
      <w:bookmarkStart w:id="115" w:name="_Toc151020659"/>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14</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Chronology between antibodies to infliximab and infliximab trough levels.</w:t>
      </w:r>
      <w:bookmarkEnd w:id="114"/>
      <w:bookmarkEnd w:id="115"/>
    </w:p>
    <w:p w14:paraId="2BB3638F" w14:textId="2825AF46" w:rsidR="00637305" w:rsidRPr="00922C73" w:rsidRDefault="00637305" w:rsidP="004524A7">
      <w:pPr>
        <w:spacing w:after="0" w:line="240" w:lineRule="auto"/>
        <w:contextualSpacing/>
        <w:jc w:val="left"/>
        <w:rPr>
          <w:rFonts w:ascii="Times New Roman" w:eastAsiaTheme="minorHAnsi" w:hAnsi="Times New Roman" w:cs="Times New Roman"/>
          <w:bCs/>
          <w:sz w:val="24"/>
          <w:szCs w:val="24"/>
        </w:rPr>
      </w:pPr>
      <w:bookmarkStart w:id="116" w:name="_Hlk7368329"/>
      <w:r w:rsidRPr="00922C73">
        <w:rPr>
          <w:rFonts w:ascii="Times New Roman" w:eastAsiaTheme="minorHAnsi" w:hAnsi="Times New Roman" w:cs="Times New Roman"/>
          <w:bCs/>
          <w:sz w:val="24"/>
          <w:szCs w:val="24"/>
        </w:rPr>
        <w:t>56 patients developed positive ATI during the study period. Positive ATI was preceded by subtherapeutic drug levels in 32/56 (57%), 17/56 (30%) developed subtherapeutic drug levels at the same TDM measurement as positive ATI</w:t>
      </w:r>
      <w:r w:rsidR="004524A7" w:rsidRPr="00922C73">
        <w:rPr>
          <w:rFonts w:ascii="Times New Roman" w:eastAsiaTheme="minorHAnsi" w:hAnsi="Times New Roman" w:cs="Times New Roman"/>
          <w:bCs/>
          <w:sz w:val="24"/>
          <w:szCs w:val="24"/>
        </w:rPr>
        <w:t>,</w:t>
      </w:r>
      <w:r w:rsidRPr="00922C73">
        <w:rPr>
          <w:rFonts w:ascii="Times New Roman" w:eastAsiaTheme="minorHAnsi" w:hAnsi="Times New Roman" w:cs="Times New Roman"/>
          <w:bCs/>
          <w:sz w:val="24"/>
          <w:szCs w:val="24"/>
        </w:rPr>
        <w:t xml:space="preserve"> and in 5</w:t>
      </w:r>
      <w:r w:rsidR="00E1188C" w:rsidRPr="00922C73">
        <w:rPr>
          <w:rFonts w:ascii="Times New Roman" w:eastAsiaTheme="minorHAnsi" w:hAnsi="Times New Roman" w:cs="Times New Roman"/>
          <w:bCs/>
          <w:sz w:val="24"/>
          <w:szCs w:val="24"/>
        </w:rPr>
        <w:t>/56</w:t>
      </w:r>
      <w:r w:rsidRPr="00922C73">
        <w:rPr>
          <w:rFonts w:ascii="Times New Roman" w:eastAsiaTheme="minorHAnsi" w:hAnsi="Times New Roman" w:cs="Times New Roman"/>
          <w:bCs/>
          <w:sz w:val="24"/>
          <w:szCs w:val="24"/>
        </w:rPr>
        <w:t xml:space="preserve"> (9%) positive ATI preceded subtherapeutic drug levels. 2 patients had therapeutic drug levels at the same time as positive ATI- both had infliximab stopped within 8 weeks due to </w:t>
      </w:r>
      <w:r w:rsidR="003F386C" w:rsidRPr="00922C73">
        <w:rPr>
          <w:rFonts w:ascii="Times New Roman" w:eastAsiaTheme="minorHAnsi" w:hAnsi="Times New Roman" w:cs="Times New Roman"/>
          <w:bCs/>
          <w:sz w:val="24"/>
          <w:szCs w:val="24"/>
        </w:rPr>
        <w:t>loss of response</w:t>
      </w:r>
      <w:r w:rsidRPr="00922C73">
        <w:rPr>
          <w:rFonts w:ascii="Times New Roman" w:eastAsiaTheme="minorHAnsi" w:hAnsi="Times New Roman" w:cs="Times New Roman"/>
          <w:bCs/>
          <w:sz w:val="24"/>
          <w:szCs w:val="24"/>
        </w:rPr>
        <w:t xml:space="preserve">. </w:t>
      </w:r>
    </w:p>
    <w:p w14:paraId="03FA7FA6" w14:textId="48C1E04E" w:rsidR="00E564E6" w:rsidRPr="00922C73" w:rsidRDefault="004524A7" w:rsidP="003F386C">
      <w:pPr>
        <w:spacing w:line="240" w:lineRule="auto"/>
        <w:rPr>
          <w:rFonts w:ascii="Times New Roman" w:eastAsiaTheme="minorHAnsi" w:hAnsi="Times New Roman" w:cs="Times New Roman"/>
          <w:b/>
          <w:sz w:val="24"/>
          <w:szCs w:val="24"/>
        </w:rPr>
      </w:pPr>
      <w:r w:rsidRPr="00922C73">
        <w:rPr>
          <w:rFonts w:ascii="Times New Roman" w:eastAsiaTheme="minorHAnsi" w:hAnsi="Times New Roman" w:cs="Times New Roman"/>
          <w:i/>
          <w:sz w:val="24"/>
          <w:szCs w:val="24"/>
        </w:rPr>
        <w:t>(</w:t>
      </w:r>
      <w:r w:rsidR="00E564E6" w:rsidRPr="00922C73">
        <w:rPr>
          <w:rFonts w:ascii="Times New Roman" w:eastAsiaTheme="minorHAnsi" w:hAnsi="Times New Roman" w:cs="Times New Roman"/>
          <w:i/>
          <w:sz w:val="24"/>
          <w:szCs w:val="24"/>
        </w:rPr>
        <w:t>ATI antibodies to infliximab</w:t>
      </w:r>
      <w:bookmarkEnd w:id="116"/>
      <w:r w:rsidR="00E564E6" w:rsidRPr="00922C73">
        <w:rPr>
          <w:rFonts w:ascii="Times New Roman" w:eastAsiaTheme="minorHAnsi" w:hAnsi="Times New Roman" w:cs="Times New Roman"/>
          <w:i/>
          <w:sz w:val="24"/>
          <w:szCs w:val="24"/>
        </w:rPr>
        <w:t>, IFX infliximab, ST subtherapeutic)</w:t>
      </w:r>
    </w:p>
    <w:p w14:paraId="6E9080AD" w14:textId="77777777" w:rsidR="00725DB3" w:rsidRPr="00922C73" w:rsidRDefault="00725DB3" w:rsidP="00C27918">
      <w:pPr>
        <w:spacing w:line="480" w:lineRule="auto"/>
        <w:rPr>
          <w:rFonts w:eastAsiaTheme="minorHAnsi"/>
        </w:rPr>
      </w:pPr>
    </w:p>
    <w:p w14:paraId="1531F569" w14:textId="28771BCC" w:rsidR="00E564E6" w:rsidRPr="00922C73" w:rsidRDefault="001743AD" w:rsidP="00C27918">
      <w:pPr>
        <w:pStyle w:val="Heading3"/>
        <w:spacing w:line="480" w:lineRule="auto"/>
        <w:rPr>
          <w:rFonts w:ascii="Times New Roman" w:eastAsiaTheme="minorHAnsi" w:hAnsi="Times New Roman" w:cs="Times New Roman"/>
          <w:b/>
          <w:bCs/>
        </w:rPr>
      </w:pPr>
      <w:bookmarkStart w:id="117" w:name="_Toc151020486"/>
      <w:r w:rsidRPr="00922C73">
        <w:rPr>
          <w:rFonts w:ascii="Times New Roman" w:eastAsiaTheme="minorHAnsi" w:hAnsi="Times New Roman" w:cs="Times New Roman"/>
          <w:b/>
          <w:bCs/>
        </w:rPr>
        <w:t>2</w:t>
      </w:r>
      <w:r w:rsidR="00C27918" w:rsidRPr="00922C73">
        <w:rPr>
          <w:rFonts w:ascii="Times New Roman" w:eastAsiaTheme="minorHAnsi" w:hAnsi="Times New Roman" w:cs="Times New Roman"/>
          <w:b/>
          <w:bCs/>
        </w:rPr>
        <w:t xml:space="preserve">.3.5 </w:t>
      </w:r>
      <w:r w:rsidR="00DB58DD" w:rsidRPr="00922C73">
        <w:rPr>
          <w:rFonts w:ascii="Times New Roman" w:eastAsiaTheme="minorHAnsi" w:hAnsi="Times New Roman" w:cs="Times New Roman"/>
          <w:b/>
          <w:bCs/>
        </w:rPr>
        <w:t>TDM at first maintenance dose (Week 14)</w:t>
      </w:r>
      <w:bookmarkEnd w:id="117"/>
    </w:p>
    <w:p w14:paraId="4A1BDCC6" w14:textId="77CAB8DA" w:rsidR="00DB58DD" w:rsidRPr="00922C73" w:rsidRDefault="00DB58DD" w:rsidP="00C27918">
      <w:pPr>
        <w:spacing w:after="0" w:line="480" w:lineRule="auto"/>
        <w:contextualSpacing/>
        <w:jc w:val="left"/>
        <w:rPr>
          <w:rFonts w:ascii="Times New Roman" w:eastAsiaTheme="minorHAnsi" w:hAnsi="Times New Roman" w:cs="Times New Roman"/>
          <w:sz w:val="24"/>
          <w:szCs w:val="24"/>
        </w:rPr>
      </w:pPr>
      <w:bookmarkStart w:id="118" w:name="_Hlk150506005"/>
      <w:r w:rsidRPr="00922C73">
        <w:rPr>
          <w:rFonts w:ascii="Times New Roman" w:eastAsiaTheme="minorHAnsi" w:hAnsi="Times New Roman" w:cs="Times New Roman"/>
          <w:sz w:val="24"/>
          <w:szCs w:val="24"/>
        </w:rPr>
        <w:t xml:space="preserve">TDM from dose 4, the first maintenance dose </w:t>
      </w:r>
      <w:r w:rsidR="00F02097" w:rsidRPr="00922C73">
        <w:rPr>
          <w:rFonts w:ascii="Times New Roman" w:eastAsiaTheme="minorHAnsi" w:hAnsi="Times New Roman" w:cs="Times New Roman"/>
          <w:sz w:val="24"/>
          <w:szCs w:val="24"/>
        </w:rPr>
        <w:t xml:space="preserve">at </w:t>
      </w:r>
      <w:r w:rsidRPr="00922C73">
        <w:rPr>
          <w:rFonts w:ascii="Times New Roman" w:eastAsiaTheme="minorHAnsi" w:hAnsi="Times New Roman" w:cs="Times New Roman"/>
          <w:sz w:val="24"/>
          <w:szCs w:val="24"/>
        </w:rPr>
        <w:t>week 14, was available for 50 patients (25 CD, 24 UC and 1 IBD-Unclassified)</w:t>
      </w:r>
      <w:r w:rsidR="00F02097" w:rsidRPr="00922C73">
        <w:rPr>
          <w:rFonts w:ascii="Times New Roman" w:eastAsiaTheme="minorHAnsi" w:hAnsi="Times New Roman" w:cs="Times New Roman"/>
          <w:sz w:val="24"/>
          <w:szCs w:val="24"/>
        </w:rPr>
        <w:t xml:space="preserve"> and is shown in</w:t>
      </w:r>
      <w:r w:rsidRPr="00922C73">
        <w:rPr>
          <w:rFonts w:ascii="Times New Roman" w:eastAsiaTheme="minorHAnsi" w:hAnsi="Times New Roman" w:cs="Times New Roman"/>
          <w:sz w:val="24"/>
          <w:szCs w:val="24"/>
        </w:rPr>
        <w:t xml:space="preserve"> Table </w:t>
      </w:r>
      <w:r w:rsidR="00F02097" w:rsidRPr="00922C73">
        <w:rPr>
          <w:rFonts w:ascii="Times New Roman" w:eastAsiaTheme="minorHAnsi" w:hAnsi="Times New Roman" w:cs="Times New Roman"/>
          <w:sz w:val="24"/>
          <w:szCs w:val="24"/>
        </w:rPr>
        <w:t>3</w:t>
      </w:r>
      <w:r w:rsidRPr="00922C73">
        <w:rPr>
          <w:rFonts w:ascii="Times New Roman" w:eastAsiaTheme="minorHAnsi" w:hAnsi="Times New Roman" w:cs="Times New Roman"/>
          <w:sz w:val="24"/>
          <w:szCs w:val="24"/>
        </w:rPr>
        <w:t xml:space="preserve">. At week 14, 14/50 (28%) were positive for ATI. </w:t>
      </w:r>
      <w:bookmarkEnd w:id="118"/>
      <w:r w:rsidRPr="00922C73">
        <w:rPr>
          <w:rFonts w:ascii="Times New Roman" w:eastAsiaTheme="minorHAnsi" w:hAnsi="Times New Roman" w:cs="Times New Roman"/>
          <w:sz w:val="24"/>
          <w:szCs w:val="24"/>
        </w:rPr>
        <w:t xml:space="preserve">There was no significant difference in use of concomitant immunosuppression. However, those who had received previous </w:t>
      </w:r>
      <w:r w:rsidR="00FC3181"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were significantly more likely to have developed positive ATI at week 14 (5/14 compared to 1/36; OR 19.4, 95% CI: 2.01-187.94, p&lt;0.01). Median </w:t>
      </w:r>
      <w:r w:rsidR="00FC3181" w:rsidRPr="00922C73">
        <w:rPr>
          <w:rFonts w:ascii="Times New Roman" w:eastAsiaTheme="minorHAnsi" w:hAnsi="Times New Roman" w:cs="Times New Roman"/>
          <w:sz w:val="24"/>
          <w:szCs w:val="24"/>
        </w:rPr>
        <w:t>infliximab trough level</w:t>
      </w:r>
      <w:r w:rsidRPr="00922C73">
        <w:rPr>
          <w:rFonts w:ascii="Times New Roman" w:eastAsiaTheme="minorHAnsi" w:hAnsi="Times New Roman" w:cs="Times New Roman"/>
          <w:sz w:val="24"/>
          <w:szCs w:val="24"/>
        </w:rPr>
        <w:t xml:space="preserve"> was significantly lower in those with positive ATI compared to those who were negative (0.9 mg/L v 1.7 mg/L; </w:t>
      </w:r>
      <w:r w:rsidRPr="00922C73">
        <w:rPr>
          <w:rFonts w:ascii="Times New Roman" w:eastAsiaTheme="minorHAnsi" w:hAnsi="Times New Roman" w:cs="Times New Roman"/>
          <w:sz w:val="24"/>
          <w:szCs w:val="24"/>
        </w:rPr>
        <w:lastRenderedPageBreak/>
        <w:t>p=0.02). Of those with positive ATI, 10/14 (71%) were treatment failures by the second maintenance dose at 22 weeks (1 primary non-responder and 9 loss of response), compared to 10/36 (28%) in those with negative ATI (p&lt;0.01).</w:t>
      </w:r>
    </w:p>
    <w:p w14:paraId="41778635" w14:textId="77777777" w:rsidR="00725DB3" w:rsidRPr="00922C73" w:rsidRDefault="00725DB3" w:rsidP="00725DB3">
      <w:pPr>
        <w:tabs>
          <w:tab w:val="left" w:pos="984"/>
        </w:tabs>
        <w:spacing w:line="480" w:lineRule="auto"/>
        <w:rPr>
          <w:rFonts w:ascii="Times New Roman" w:hAnsi="Times New Roman" w:cs="Times New Roman"/>
          <w:sz w:val="24"/>
          <w:szCs w:val="24"/>
        </w:rPr>
      </w:pPr>
    </w:p>
    <w:tbl>
      <w:tblPr>
        <w:tblStyle w:val="GridTable1Light-Accent5"/>
        <w:tblpPr w:leftFromText="180" w:rightFromText="180" w:vertAnchor="text" w:horzAnchor="margin" w:tblpY="-33"/>
        <w:tblW w:w="0" w:type="auto"/>
        <w:tblLook w:val="04A0" w:firstRow="1" w:lastRow="0" w:firstColumn="1" w:lastColumn="0" w:noHBand="0" w:noVBand="1"/>
      </w:tblPr>
      <w:tblGrid>
        <w:gridCol w:w="1491"/>
        <w:gridCol w:w="1562"/>
        <w:gridCol w:w="1493"/>
        <w:gridCol w:w="1494"/>
        <w:gridCol w:w="1494"/>
        <w:gridCol w:w="1482"/>
      </w:tblGrid>
      <w:tr w:rsidR="00922C73" w:rsidRPr="00922C73" w14:paraId="48EDC868" w14:textId="77777777" w:rsidTr="00AB441A">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494" w:type="dxa"/>
            <w:vMerge w:val="restart"/>
          </w:tcPr>
          <w:p w14:paraId="21647ECA" w14:textId="4EFA4954" w:rsidR="00725DB3" w:rsidRPr="00922C73" w:rsidRDefault="00725DB3" w:rsidP="00AB441A">
            <w:pPr>
              <w:spacing w:line="480" w:lineRule="auto"/>
              <w:rPr>
                <w:rStyle w:val="Heading6Char"/>
                <w:rFonts w:ascii="Times New Roman" w:hAnsi="Times New Roman" w:cs="Times New Roman"/>
                <w:b/>
                <w:bCs/>
                <w:i w:val="0"/>
                <w:iCs w:val="0"/>
                <w:noProof/>
                <w:sz w:val="20"/>
                <w:szCs w:val="20"/>
                <w:lang w:eastAsia="en-GB"/>
              </w:rPr>
            </w:pPr>
            <w:r w:rsidRPr="00922C73">
              <w:rPr>
                <w:rStyle w:val="Heading6Char"/>
                <w:rFonts w:ascii="Times New Roman" w:hAnsi="Times New Roman" w:cs="Times New Roman"/>
                <w:b/>
                <w:bCs/>
                <w:i w:val="0"/>
                <w:iCs w:val="0"/>
                <w:noProof/>
                <w:sz w:val="20"/>
                <w:szCs w:val="20"/>
                <w:lang w:eastAsia="en-GB"/>
              </w:rPr>
              <w:t>Antibod</w:t>
            </w:r>
            <w:r w:rsidR="005240BB" w:rsidRPr="00922C73">
              <w:rPr>
                <w:rStyle w:val="Heading6Char"/>
                <w:rFonts w:ascii="Times New Roman" w:hAnsi="Times New Roman" w:cs="Times New Roman"/>
                <w:b/>
                <w:bCs/>
                <w:i w:val="0"/>
                <w:iCs w:val="0"/>
                <w:noProof/>
                <w:sz w:val="20"/>
                <w:szCs w:val="20"/>
                <w:lang w:eastAsia="en-GB"/>
              </w:rPr>
              <w:t>ies</w:t>
            </w:r>
            <w:r w:rsidRPr="00922C73">
              <w:rPr>
                <w:rStyle w:val="Heading6Char"/>
                <w:rFonts w:ascii="Times New Roman" w:hAnsi="Times New Roman" w:cs="Times New Roman"/>
                <w:b/>
                <w:bCs/>
                <w:i w:val="0"/>
                <w:iCs w:val="0"/>
                <w:noProof/>
                <w:sz w:val="20"/>
                <w:szCs w:val="20"/>
                <w:lang w:eastAsia="en-GB"/>
              </w:rPr>
              <w:t xml:space="preserve"> to infliximab status</w:t>
            </w:r>
          </w:p>
        </w:tc>
        <w:tc>
          <w:tcPr>
            <w:tcW w:w="7536" w:type="dxa"/>
            <w:gridSpan w:val="5"/>
          </w:tcPr>
          <w:p w14:paraId="2760D590" w14:textId="77777777" w:rsidR="00725DB3" w:rsidRPr="00922C73" w:rsidRDefault="00725DB3" w:rsidP="00AB441A">
            <w:pPr>
              <w:spacing w:line="480" w:lineRule="auto"/>
              <w:jc w:val="center"/>
              <w:cnfStyle w:val="100000000000" w:firstRow="1" w:lastRow="0" w:firstColumn="0" w:lastColumn="0" w:oddVBand="0" w:evenVBand="0" w:oddHBand="0" w:evenHBand="0" w:firstRowFirstColumn="0" w:firstRowLastColumn="0" w:lastRowFirstColumn="0" w:lastRowLastColumn="0"/>
              <w:rPr>
                <w:rStyle w:val="Heading6Char"/>
                <w:rFonts w:ascii="Times New Roman" w:hAnsi="Times New Roman" w:cs="Times New Roman"/>
                <w:b/>
                <w:bCs/>
                <w:i w:val="0"/>
                <w:iCs w:val="0"/>
                <w:noProof/>
                <w:sz w:val="20"/>
                <w:szCs w:val="20"/>
                <w:lang w:eastAsia="en-GB"/>
              </w:rPr>
            </w:pPr>
            <w:r w:rsidRPr="00922C73">
              <w:rPr>
                <w:rStyle w:val="Heading6Char"/>
                <w:rFonts w:ascii="Times New Roman" w:hAnsi="Times New Roman" w:cs="Times New Roman"/>
                <w:b/>
                <w:bCs/>
                <w:i w:val="0"/>
                <w:iCs w:val="0"/>
                <w:noProof/>
                <w:sz w:val="20"/>
                <w:szCs w:val="20"/>
                <w:lang w:eastAsia="en-GB"/>
              </w:rPr>
              <w:t>Infliximab trough level (mg/L)</w:t>
            </w:r>
          </w:p>
        </w:tc>
      </w:tr>
      <w:tr w:rsidR="00922C73" w:rsidRPr="00922C73" w14:paraId="22957A6D" w14:textId="77777777" w:rsidTr="00AB441A">
        <w:trPr>
          <w:trHeight w:val="131"/>
        </w:trPr>
        <w:tc>
          <w:tcPr>
            <w:cnfStyle w:val="001000000000" w:firstRow="0" w:lastRow="0" w:firstColumn="1" w:lastColumn="0" w:oddVBand="0" w:evenVBand="0" w:oddHBand="0" w:evenHBand="0" w:firstRowFirstColumn="0" w:firstRowLastColumn="0" w:lastRowFirstColumn="0" w:lastRowLastColumn="0"/>
            <w:tcW w:w="1494" w:type="dxa"/>
            <w:vMerge/>
          </w:tcPr>
          <w:p w14:paraId="652E287A" w14:textId="77777777" w:rsidR="00725DB3" w:rsidRPr="00922C73" w:rsidRDefault="00725DB3" w:rsidP="00AB441A">
            <w:pPr>
              <w:spacing w:line="480" w:lineRule="auto"/>
              <w:rPr>
                <w:rStyle w:val="Heading6Char"/>
                <w:rFonts w:ascii="Times New Roman" w:hAnsi="Times New Roman" w:cs="Times New Roman"/>
                <w:b/>
                <w:bCs/>
                <w:i w:val="0"/>
                <w:iCs w:val="0"/>
                <w:noProof/>
                <w:sz w:val="20"/>
                <w:szCs w:val="20"/>
                <w:lang w:eastAsia="en-GB"/>
              </w:rPr>
            </w:pPr>
          </w:p>
        </w:tc>
        <w:tc>
          <w:tcPr>
            <w:tcW w:w="1563" w:type="dxa"/>
          </w:tcPr>
          <w:p w14:paraId="36D3C356"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 xml:space="preserve">Undetectable </w:t>
            </w:r>
          </w:p>
          <w:p w14:paraId="74F98D1C"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(&lt;0.8)</w:t>
            </w:r>
          </w:p>
        </w:tc>
        <w:tc>
          <w:tcPr>
            <w:tcW w:w="1495" w:type="dxa"/>
          </w:tcPr>
          <w:p w14:paraId="24A76754"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Sub-therapeutic (0.8-2.9)</w:t>
            </w:r>
          </w:p>
        </w:tc>
        <w:tc>
          <w:tcPr>
            <w:tcW w:w="1495" w:type="dxa"/>
          </w:tcPr>
          <w:p w14:paraId="4533DA9B"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Therapeutic (3-7)</w:t>
            </w:r>
          </w:p>
        </w:tc>
        <w:tc>
          <w:tcPr>
            <w:tcW w:w="1496" w:type="dxa"/>
          </w:tcPr>
          <w:p w14:paraId="71564505"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Supra-therapeutic (&gt; 7)</w:t>
            </w:r>
          </w:p>
        </w:tc>
        <w:tc>
          <w:tcPr>
            <w:tcW w:w="1487" w:type="dxa"/>
          </w:tcPr>
          <w:p w14:paraId="15A2D36B"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b w:val="0"/>
                <w:i w:val="0"/>
                <w:iCs w:val="0"/>
                <w:noProof/>
                <w:sz w:val="20"/>
                <w:szCs w:val="20"/>
                <w:lang w:eastAsia="en-GB"/>
              </w:rPr>
            </w:pPr>
            <w:r w:rsidRPr="00922C73">
              <w:rPr>
                <w:rStyle w:val="Heading6Char"/>
                <w:rFonts w:ascii="Times New Roman" w:hAnsi="Times New Roman" w:cs="Times New Roman"/>
                <w:i w:val="0"/>
                <w:iCs w:val="0"/>
                <w:noProof/>
                <w:sz w:val="20"/>
                <w:szCs w:val="20"/>
                <w:lang w:eastAsia="en-GB"/>
              </w:rPr>
              <w:t>Total</w:t>
            </w:r>
          </w:p>
        </w:tc>
      </w:tr>
      <w:tr w:rsidR="00922C73" w:rsidRPr="00922C73" w14:paraId="0635D707" w14:textId="77777777" w:rsidTr="00AB441A">
        <w:trPr>
          <w:trHeight w:val="246"/>
        </w:trPr>
        <w:tc>
          <w:tcPr>
            <w:cnfStyle w:val="001000000000" w:firstRow="0" w:lastRow="0" w:firstColumn="1" w:lastColumn="0" w:oddVBand="0" w:evenVBand="0" w:oddHBand="0" w:evenHBand="0" w:firstRowFirstColumn="0" w:firstRowLastColumn="0" w:lastRowFirstColumn="0" w:lastRowLastColumn="0"/>
            <w:tcW w:w="1494" w:type="dxa"/>
          </w:tcPr>
          <w:p w14:paraId="5B86772C" w14:textId="77777777" w:rsidR="00725DB3" w:rsidRPr="00922C73" w:rsidRDefault="00725DB3" w:rsidP="00AB441A">
            <w:pPr>
              <w:spacing w:line="480" w:lineRule="auto"/>
              <w:rPr>
                <w:rStyle w:val="Heading6Char"/>
                <w:rFonts w:ascii="Times New Roman" w:hAnsi="Times New Roman" w:cs="Times New Roman"/>
                <w:b/>
                <w:bCs/>
                <w:i w:val="0"/>
                <w:iCs w:val="0"/>
                <w:noProof/>
                <w:sz w:val="20"/>
                <w:szCs w:val="20"/>
                <w:lang w:eastAsia="en-GB"/>
              </w:rPr>
            </w:pPr>
            <w:r w:rsidRPr="00922C73">
              <w:rPr>
                <w:rStyle w:val="Heading6Char"/>
                <w:rFonts w:ascii="Times New Roman" w:hAnsi="Times New Roman" w:cs="Times New Roman"/>
                <w:b/>
                <w:bCs/>
                <w:i w:val="0"/>
                <w:iCs w:val="0"/>
                <w:noProof/>
                <w:sz w:val="20"/>
                <w:szCs w:val="20"/>
                <w:lang w:eastAsia="en-GB"/>
              </w:rPr>
              <w:t>Positive</w:t>
            </w:r>
          </w:p>
        </w:tc>
        <w:tc>
          <w:tcPr>
            <w:tcW w:w="1563" w:type="dxa"/>
          </w:tcPr>
          <w:p w14:paraId="5096A914"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6</w:t>
            </w:r>
          </w:p>
        </w:tc>
        <w:tc>
          <w:tcPr>
            <w:tcW w:w="1495" w:type="dxa"/>
          </w:tcPr>
          <w:p w14:paraId="3EE132CA"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8</w:t>
            </w:r>
          </w:p>
        </w:tc>
        <w:tc>
          <w:tcPr>
            <w:tcW w:w="1495" w:type="dxa"/>
          </w:tcPr>
          <w:p w14:paraId="60665702"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0</w:t>
            </w:r>
          </w:p>
        </w:tc>
        <w:tc>
          <w:tcPr>
            <w:tcW w:w="1496" w:type="dxa"/>
          </w:tcPr>
          <w:p w14:paraId="5124C995"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0</w:t>
            </w:r>
          </w:p>
        </w:tc>
        <w:tc>
          <w:tcPr>
            <w:tcW w:w="1487" w:type="dxa"/>
          </w:tcPr>
          <w:p w14:paraId="0B563B83"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14</w:t>
            </w:r>
          </w:p>
        </w:tc>
      </w:tr>
      <w:tr w:rsidR="00922C73" w:rsidRPr="00922C73" w14:paraId="0310E587" w14:textId="77777777" w:rsidTr="00AB441A">
        <w:trPr>
          <w:trHeight w:val="246"/>
        </w:trPr>
        <w:tc>
          <w:tcPr>
            <w:cnfStyle w:val="001000000000" w:firstRow="0" w:lastRow="0" w:firstColumn="1" w:lastColumn="0" w:oddVBand="0" w:evenVBand="0" w:oddHBand="0" w:evenHBand="0" w:firstRowFirstColumn="0" w:firstRowLastColumn="0" w:lastRowFirstColumn="0" w:lastRowLastColumn="0"/>
            <w:tcW w:w="1494" w:type="dxa"/>
          </w:tcPr>
          <w:p w14:paraId="5A86D120" w14:textId="77777777" w:rsidR="00725DB3" w:rsidRPr="00922C73" w:rsidRDefault="00725DB3" w:rsidP="00AB441A">
            <w:pPr>
              <w:spacing w:line="480" w:lineRule="auto"/>
              <w:rPr>
                <w:rStyle w:val="Heading6Char"/>
                <w:rFonts w:ascii="Times New Roman" w:hAnsi="Times New Roman" w:cs="Times New Roman"/>
                <w:b/>
                <w:bCs/>
                <w:i w:val="0"/>
                <w:iCs w:val="0"/>
                <w:noProof/>
                <w:sz w:val="20"/>
                <w:szCs w:val="20"/>
                <w:lang w:eastAsia="en-GB"/>
              </w:rPr>
            </w:pPr>
            <w:r w:rsidRPr="00922C73">
              <w:rPr>
                <w:rStyle w:val="Heading6Char"/>
                <w:rFonts w:ascii="Times New Roman" w:hAnsi="Times New Roman" w:cs="Times New Roman"/>
                <w:b/>
                <w:bCs/>
                <w:i w:val="0"/>
                <w:iCs w:val="0"/>
                <w:noProof/>
                <w:sz w:val="20"/>
                <w:szCs w:val="20"/>
                <w:lang w:eastAsia="en-GB"/>
              </w:rPr>
              <w:t>Negative</w:t>
            </w:r>
          </w:p>
        </w:tc>
        <w:tc>
          <w:tcPr>
            <w:tcW w:w="1563" w:type="dxa"/>
          </w:tcPr>
          <w:p w14:paraId="0111B190"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7</w:t>
            </w:r>
          </w:p>
        </w:tc>
        <w:tc>
          <w:tcPr>
            <w:tcW w:w="1495" w:type="dxa"/>
          </w:tcPr>
          <w:p w14:paraId="1ED59B3C"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20</w:t>
            </w:r>
          </w:p>
        </w:tc>
        <w:tc>
          <w:tcPr>
            <w:tcW w:w="1495" w:type="dxa"/>
          </w:tcPr>
          <w:p w14:paraId="03B10FF0"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8</w:t>
            </w:r>
          </w:p>
        </w:tc>
        <w:tc>
          <w:tcPr>
            <w:tcW w:w="1496" w:type="dxa"/>
          </w:tcPr>
          <w:p w14:paraId="3ABD1F93"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1</w:t>
            </w:r>
          </w:p>
        </w:tc>
        <w:tc>
          <w:tcPr>
            <w:tcW w:w="1487" w:type="dxa"/>
          </w:tcPr>
          <w:p w14:paraId="04712123"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36</w:t>
            </w:r>
          </w:p>
        </w:tc>
      </w:tr>
      <w:tr w:rsidR="00922C73" w:rsidRPr="00922C73" w14:paraId="65A00EB3" w14:textId="77777777" w:rsidTr="00AB441A">
        <w:trPr>
          <w:trHeight w:val="259"/>
        </w:trPr>
        <w:tc>
          <w:tcPr>
            <w:cnfStyle w:val="001000000000" w:firstRow="0" w:lastRow="0" w:firstColumn="1" w:lastColumn="0" w:oddVBand="0" w:evenVBand="0" w:oddHBand="0" w:evenHBand="0" w:firstRowFirstColumn="0" w:firstRowLastColumn="0" w:lastRowFirstColumn="0" w:lastRowLastColumn="0"/>
            <w:tcW w:w="1494" w:type="dxa"/>
          </w:tcPr>
          <w:p w14:paraId="3A422D28" w14:textId="77777777" w:rsidR="00725DB3" w:rsidRPr="00922C73" w:rsidRDefault="00725DB3" w:rsidP="00AB441A">
            <w:pPr>
              <w:spacing w:line="480" w:lineRule="auto"/>
              <w:rPr>
                <w:rStyle w:val="Heading6Char"/>
                <w:rFonts w:ascii="Times New Roman" w:hAnsi="Times New Roman" w:cs="Times New Roman"/>
                <w:b/>
                <w:bCs/>
                <w:i w:val="0"/>
                <w:iCs w:val="0"/>
                <w:noProof/>
                <w:sz w:val="20"/>
                <w:szCs w:val="20"/>
                <w:lang w:eastAsia="en-GB"/>
              </w:rPr>
            </w:pPr>
            <w:r w:rsidRPr="00922C73">
              <w:rPr>
                <w:rStyle w:val="Heading6Char"/>
                <w:rFonts w:ascii="Times New Roman" w:hAnsi="Times New Roman" w:cs="Times New Roman"/>
                <w:b/>
                <w:bCs/>
                <w:i w:val="0"/>
                <w:iCs w:val="0"/>
                <w:noProof/>
                <w:sz w:val="20"/>
                <w:szCs w:val="20"/>
                <w:lang w:eastAsia="en-GB"/>
              </w:rPr>
              <w:t xml:space="preserve">Total </w:t>
            </w:r>
          </w:p>
        </w:tc>
        <w:tc>
          <w:tcPr>
            <w:tcW w:w="1563" w:type="dxa"/>
          </w:tcPr>
          <w:p w14:paraId="17CB2B75"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13</w:t>
            </w:r>
          </w:p>
        </w:tc>
        <w:tc>
          <w:tcPr>
            <w:tcW w:w="1495" w:type="dxa"/>
          </w:tcPr>
          <w:p w14:paraId="684EDC67"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28</w:t>
            </w:r>
          </w:p>
        </w:tc>
        <w:tc>
          <w:tcPr>
            <w:tcW w:w="1495" w:type="dxa"/>
          </w:tcPr>
          <w:p w14:paraId="346A3E66"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8</w:t>
            </w:r>
          </w:p>
        </w:tc>
        <w:tc>
          <w:tcPr>
            <w:tcW w:w="1496" w:type="dxa"/>
          </w:tcPr>
          <w:p w14:paraId="6AE8A6DE" w14:textId="77777777" w:rsidR="00725DB3" w:rsidRPr="00922C73" w:rsidRDefault="00725DB3" w:rsidP="00AB441A">
            <w:pPr>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1</w:t>
            </w:r>
          </w:p>
        </w:tc>
        <w:tc>
          <w:tcPr>
            <w:tcW w:w="1487" w:type="dxa"/>
          </w:tcPr>
          <w:p w14:paraId="7A568E5A" w14:textId="77777777" w:rsidR="00725DB3" w:rsidRPr="00922C73" w:rsidRDefault="00725DB3" w:rsidP="00F02097">
            <w:pPr>
              <w:keepNext/>
              <w:spacing w:line="480" w:lineRule="auto"/>
              <w:cnfStyle w:val="000000000000" w:firstRow="0" w:lastRow="0" w:firstColumn="0" w:lastColumn="0" w:oddVBand="0" w:evenVBand="0" w:oddHBand="0" w:evenHBand="0" w:firstRowFirstColumn="0" w:firstRowLastColumn="0" w:lastRowFirstColumn="0" w:lastRowLastColumn="0"/>
              <w:rPr>
                <w:rStyle w:val="Heading6Char"/>
                <w:rFonts w:ascii="Times New Roman" w:hAnsi="Times New Roman" w:cs="Times New Roman"/>
                <w:i w:val="0"/>
                <w:iCs w:val="0"/>
                <w:noProof/>
                <w:sz w:val="20"/>
                <w:szCs w:val="20"/>
                <w:lang w:eastAsia="en-GB"/>
              </w:rPr>
            </w:pPr>
            <w:r w:rsidRPr="00922C73">
              <w:rPr>
                <w:rFonts w:ascii="Times New Roman" w:hAnsi="Times New Roman" w:cs="Times New Roman"/>
                <w:sz w:val="20"/>
                <w:szCs w:val="20"/>
              </w:rPr>
              <w:t>50</w:t>
            </w:r>
          </w:p>
        </w:tc>
      </w:tr>
    </w:tbl>
    <w:p w14:paraId="691D101F" w14:textId="77777777" w:rsidR="00F66E73" w:rsidRPr="00922C73" w:rsidRDefault="00F66E73" w:rsidP="0094085E">
      <w:pPr>
        <w:pStyle w:val="Caption"/>
        <w:framePr w:hSpace="180" w:wrap="around" w:vAnchor="text" w:hAnchor="page" w:x="1456" w:y="3420"/>
        <w:spacing w:line="240" w:lineRule="auto"/>
        <w:rPr>
          <w:rFonts w:ascii="Times New Roman" w:hAnsi="Times New Roman" w:cs="Times New Roman"/>
          <w:sz w:val="24"/>
          <w:szCs w:val="24"/>
        </w:rPr>
      </w:pPr>
      <w:bookmarkStart w:id="119" w:name="_Toc139306956"/>
    </w:p>
    <w:p w14:paraId="156D6E4E" w14:textId="6C7587F7" w:rsidR="00F02097" w:rsidRPr="00922C73" w:rsidRDefault="00F02097" w:rsidP="0094085E">
      <w:pPr>
        <w:pStyle w:val="Caption"/>
        <w:framePr w:hSpace="180" w:wrap="around" w:vAnchor="text" w:hAnchor="page" w:x="1456" w:y="3420"/>
        <w:spacing w:line="240" w:lineRule="auto"/>
        <w:rPr>
          <w:rFonts w:ascii="Times New Roman" w:hAnsi="Times New Roman" w:cs="Times New Roman"/>
          <w:sz w:val="24"/>
          <w:szCs w:val="24"/>
        </w:rPr>
      </w:pPr>
      <w:r w:rsidRPr="00922C73">
        <w:rPr>
          <w:rFonts w:ascii="Times New Roman" w:hAnsi="Times New Roman" w:cs="Times New Roman"/>
          <w:sz w:val="24"/>
          <w:szCs w:val="24"/>
        </w:rPr>
        <w:t xml:space="preserve">Table </w:t>
      </w:r>
      <w:r w:rsidR="00334B74" w:rsidRPr="00922C73">
        <w:rPr>
          <w:rFonts w:ascii="Times New Roman" w:hAnsi="Times New Roman" w:cs="Times New Roman"/>
          <w:sz w:val="24"/>
          <w:szCs w:val="24"/>
        </w:rPr>
        <w:fldChar w:fldCharType="begin"/>
      </w:r>
      <w:r w:rsidR="00334B74" w:rsidRPr="00922C73">
        <w:rPr>
          <w:rFonts w:ascii="Times New Roman" w:hAnsi="Times New Roman" w:cs="Times New Roman"/>
          <w:sz w:val="24"/>
          <w:szCs w:val="24"/>
        </w:rPr>
        <w:instrText xml:space="preserve"> SEQ Table \* ARABIC </w:instrText>
      </w:r>
      <w:r w:rsidR="00334B74" w:rsidRPr="00922C73">
        <w:rPr>
          <w:rFonts w:ascii="Times New Roman" w:hAnsi="Times New Roman" w:cs="Times New Roman"/>
          <w:sz w:val="24"/>
          <w:szCs w:val="24"/>
        </w:rPr>
        <w:fldChar w:fldCharType="separate"/>
      </w:r>
      <w:r w:rsidR="00F2388D" w:rsidRPr="00922C73">
        <w:rPr>
          <w:rFonts w:ascii="Times New Roman" w:hAnsi="Times New Roman" w:cs="Times New Roman"/>
          <w:noProof/>
          <w:sz w:val="24"/>
          <w:szCs w:val="24"/>
        </w:rPr>
        <w:t>3</w:t>
      </w:r>
      <w:r w:rsidR="00334B7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Relationship between antibodies to infliximab status and infliximab trough levels at first maintenance dose</w:t>
      </w:r>
      <w:bookmarkEnd w:id="119"/>
      <w:r w:rsidR="005E6C9B" w:rsidRPr="00922C73">
        <w:rPr>
          <w:rFonts w:ascii="Times New Roman" w:hAnsi="Times New Roman" w:cs="Times New Roman"/>
          <w:sz w:val="24"/>
          <w:szCs w:val="24"/>
        </w:rPr>
        <w:t xml:space="preserve"> n=50.</w:t>
      </w:r>
    </w:p>
    <w:p w14:paraId="29ADE171" w14:textId="502D2819" w:rsidR="0094085E" w:rsidRPr="00922C73" w:rsidRDefault="0094085E" w:rsidP="0094085E">
      <w:pPr>
        <w:framePr w:hSpace="180" w:wrap="around" w:vAnchor="text" w:hAnchor="page" w:x="1456" w:y="3420"/>
      </w:pPr>
      <w:r w:rsidRPr="00922C73">
        <w:rPr>
          <w:rFonts w:ascii="Times New Roman" w:eastAsiaTheme="minorHAnsi" w:hAnsi="Times New Roman" w:cs="Times New Roman"/>
          <w:sz w:val="24"/>
          <w:szCs w:val="24"/>
        </w:rPr>
        <w:t>Therapeutic drug monitoring data from dose 4, the first maintenance dose at week 1</w:t>
      </w:r>
      <w:r w:rsidR="005E6C9B" w:rsidRPr="00922C73">
        <w:rPr>
          <w:rFonts w:ascii="Times New Roman" w:eastAsiaTheme="minorHAnsi" w:hAnsi="Times New Roman" w:cs="Times New Roman"/>
          <w:sz w:val="24"/>
          <w:szCs w:val="24"/>
        </w:rPr>
        <w:t>4</w:t>
      </w:r>
      <w:r w:rsidRPr="00922C73">
        <w:rPr>
          <w:rFonts w:ascii="Times New Roman" w:eastAsiaTheme="minorHAnsi" w:hAnsi="Times New Roman" w:cs="Times New Roman"/>
          <w:sz w:val="24"/>
          <w:szCs w:val="24"/>
        </w:rPr>
        <w:t>.</w:t>
      </w:r>
    </w:p>
    <w:p w14:paraId="29F1858D" w14:textId="77777777" w:rsidR="00DB58DD" w:rsidRPr="00922C73" w:rsidRDefault="00DB58DD" w:rsidP="00C27918">
      <w:pPr>
        <w:spacing w:after="0" w:line="480" w:lineRule="auto"/>
        <w:contextualSpacing/>
        <w:jc w:val="left"/>
        <w:rPr>
          <w:rFonts w:ascii="Times New Roman" w:eastAsiaTheme="minorHAnsi" w:hAnsi="Times New Roman" w:cs="Times New Roman"/>
          <w:b/>
          <w:sz w:val="24"/>
          <w:szCs w:val="24"/>
        </w:rPr>
      </w:pPr>
    </w:p>
    <w:p w14:paraId="78FD84AE" w14:textId="458E6AFA" w:rsidR="00DB58DD" w:rsidRPr="00922C73" w:rsidRDefault="001743AD" w:rsidP="00C27918">
      <w:pPr>
        <w:pStyle w:val="Heading3"/>
        <w:spacing w:line="480" w:lineRule="auto"/>
        <w:rPr>
          <w:rFonts w:ascii="Times New Roman" w:eastAsiaTheme="minorHAnsi" w:hAnsi="Times New Roman" w:cs="Times New Roman"/>
          <w:b/>
          <w:bCs/>
        </w:rPr>
      </w:pPr>
      <w:bookmarkStart w:id="120" w:name="_Toc151020487"/>
      <w:r w:rsidRPr="00922C73">
        <w:rPr>
          <w:rFonts w:ascii="Times New Roman" w:eastAsiaTheme="minorHAnsi" w:hAnsi="Times New Roman" w:cs="Times New Roman"/>
          <w:b/>
          <w:bCs/>
        </w:rPr>
        <w:t>2</w:t>
      </w:r>
      <w:r w:rsidR="00C27918" w:rsidRPr="00922C73">
        <w:rPr>
          <w:rFonts w:ascii="Times New Roman" w:eastAsiaTheme="minorHAnsi" w:hAnsi="Times New Roman" w:cs="Times New Roman"/>
          <w:b/>
          <w:bCs/>
        </w:rPr>
        <w:t xml:space="preserve">.3.6 </w:t>
      </w:r>
      <w:r w:rsidR="00DB58DD" w:rsidRPr="00922C73">
        <w:rPr>
          <w:rFonts w:ascii="Times New Roman" w:eastAsiaTheme="minorHAnsi" w:hAnsi="Times New Roman" w:cs="Times New Roman"/>
          <w:b/>
          <w:bCs/>
        </w:rPr>
        <w:t>The association between ATI and clinical outcomes</w:t>
      </w:r>
      <w:bookmarkEnd w:id="120"/>
    </w:p>
    <w:p w14:paraId="30D811FB" w14:textId="37CA98FC" w:rsidR="00DB58DD" w:rsidRPr="00922C73" w:rsidRDefault="00DB58DD" w:rsidP="00C27918">
      <w:pPr>
        <w:spacing w:line="480" w:lineRule="auto"/>
        <w:contextualSpacing/>
        <w:jc w:val="left"/>
        <w:rPr>
          <w:rFonts w:ascii="Times New Roman" w:eastAsiaTheme="minorHAnsi" w:hAnsi="Times New Roman" w:cs="Times New Roman"/>
          <w:bCs/>
          <w:sz w:val="24"/>
          <w:szCs w:val="24"/>
        </w:rPr>
      </w:pPr>
      <w:r w:rsidRPr="00922C73">
        <w:rPr>
          <w:rFonts w:ascii="Times New Roman" w:eastAsiaTheme="minorHAnsi" w:hAnsi="Times New Roman" w:cs="Times New Roman"/>
          <w:sz w:val="24"/>
          <w:szCs w:val="24"/>
        </w:rPr>
        <w:t xml:space="preserve">Excluding 34 patients with perianal disease, 164 patients (68 UC and 96 CD) on maintenance </w:t>
      </w:r>
      <w:r w:rsidR="00FC3181"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had corresponding data to categorise clinical remission and loss of remission. Patients were significantly more likely to lose clinical remission from time of first ATI positivity, or from first TDM if positive at first assessment, compared to those with negative ATI (p= 0.04) (Figure </w:t>
      </w:r>
      <w:r w:rsidR="003967BF" w:rsidRPr="00922C73">
        <w:rPr>
          <w:rFonts w:ascii="Times New Roman" w:eastAsiaTheme="minorHAnsi" w:hAnsi="Times New Roman" w:cs="Times New Roman"/>
          <w:sz w:val="24"/>
          <w:szCs w:val="24"/>
        </w:rPr>
        <w:t>1</w:t>
      </w:r>
      <w:r w:rsidR="00756B77" w:rsidRPr="00922C73">
        <w:rPr>
          <w:rFonts w:ascii="Times New Roman" w:eastAsiaTheme="minorHAnsi" w:hAnsi="Times New Roman" w:cs="Times New Roman"/>
          <w:sz w:val="24"/>
          <w:szCs w:val="24"/>
        </w:rPr>
        <w:t>5</w:t>
      </w:r>
      <w:r w:rsidR="004B51CB" w:rsidRPr="00922C73">
        <w:rPr>
          <w:rFonts w:ascii="Times New Roman" w:eastAsiaTheme="minorHAnsi" w:hAnsi="Times New Roman" w:cs="Times New Roman"/>
          <w:sz w:val="24"/>
          <w:szCs w:val="24"/>
        </w:rPr>
        <w:t>)</w:t>
      </w:r>
      <w:r w:rsidRPr="00922C73">
        <w:rPr>
          <w:rFonts w:ascii="Times New Roman" w:eastAsiaTheme="minorHAnsi" w:hAnsi="Times New Roman" w:cs="Times New Roman"/>
          <w:sz w:val="24"/>
          <w:szCs w:val="24"/>
        </w:rPr>
        <w:t xml:space="preserve">. Within 6 months follow up, patients with positive ATI had an OR of 4 (95% CI: 1.862-8.595) for losing clinical remission compared to those with negative ATI. </w:t>
      </w:r>
      <w:r w:rsidRPr="00922C73">
        <w:rPr>
          <w:rFonts w:ascii="Times New Roman" w:eastAsiaTheme="minorHAnsi" w:hAnsi="Times New Roman" w:cs="Times New Roman"/>
          <w:bCs/>
          <w:sz w:val="24"/>
          <w:szCs w:val="24"/>
        </w:rPr>
        <w:t xml:space="preserve">The median </w:t>
      </w:r>
      <w:r w:rsidR="00FC3181" w:rsidRPr="00922C73">
        <w:rPr>
          <w:rFonts w:ascii="Times New Roman" w:eastAsiaTheme="minorHAnsi" w:hAnsi="Times New Roman" w:cs="Times New Roman"/>
          <w:bCs/>
          <w:sz w:val="24"/>
          <w:szCs w:val="24"/>
        </w:rPr>
        <w:t>infliximab</w:t>
      </w:r>
      <w:r w:rsidRPr="00922C73">
        <w:rPr>
          <w:rFonts w:ascii="Times New Roman" w:eastAsiaTheme="minorHAnsi" w:hAnsi="Times New Roman" w:cs="Times New Roman"/>
          <w:bCs/>
          <w:sz w:val="24"/>
          <w:szCs w:val="24"/>
        </w:rPr>
        <w:t xml:space="preserve"> trough concentration of those with positive ATI during IFX maintenance therapy was significantly lower at 1.3 mg/L compared to 2.0 mg/L in those with negative ATI (p&lt;0.01). </w:t>
      </w:r>
    </w:p>
    <w:p w14:paraId="2B73A13A" w14:textId="77777777" w:rsidR="00F02097" w:rsidRPr="00922C73" w:rsidRDefault="00E564E6" w:rsidP="00F02097">
      <w:pPr>
        <w:keepNext/>
        <w:spacing w:line="480" w:lineRule="auto"/>
        <w:contextualSpacing/>
        <w:jc w:val="left"/>
      </w:pPr>
      <w:r w:rsidRPr="00922C73">
        <w:rPr>
          <w:noProof/>
        </w:rPr>
        <w:lastRenderedPageBreak/>
        <w:drawing>
          <wp:inline distT="0" distB="0" distL="0" distR="0" wp14:anchorId="799DB56F" wp14:editId="6A826FFF">
            <wp:extent cx="5731510" cy="421386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213860"/>
                    </a:xfrm>
                    <a:prstGeom prst="rect">
                      <a:avLst/>
                    </a:prstGeom>
                    <a:noFill/>
                    <a:ln>
                      <a:noFill/>
                    </a:ln>
                  </pic:spPr>
                </pic:pic>
              </a:graphicData>
            </a:graphic>
          </wp:inline>
        </w:drawing>
      </w:r>
    </w:p>
    <w:p w14:paraId="6C368CF1" w14:textId="4CBE0F4E" w:rsidR="00DB58DD" w:rsidRPr="00922C73" w:rsidRDefault="00F02097" w:rsidP="00ED4BAD">
      <w:pPr>
        <w:pStyle w:val="Caption"/>
        <w:spacing w:line="240" w:lineRule="auto"/>
        <w:jc w:val="left"/>
        <w:rPr>
          <w:rFonts w:ascii="Times New Roman" w:eastAsiaTheme="minorHAnsi" w:hAnsi="Times New Roman" w:cs="Times New Roman"/>
          <w:sz w:val="24"/>
          <w:szCs w:val="24"/>
        </w:rPr>
      </w:pPr>
      <w:bookmarkStart w:id="121" w:name="_Toc139397314"/>
      <w:bookmarkStart w:id="122" w:name="_Toc151020660"/>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15</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The effect of antibodies to infliximab on time to loss of clinical remission.</w:t>
      </w:r>
      <w:bookmarkEnd w:id="121"/>
      <w:bookmarkEnd w:id="122"/>
    </w:p>
    <w:p w14:paraId="7FC68AC5" w14:textId="1AF6489F" w:rsidR="003451E8" w:rsidRPr="00922C73" w:rsidRDefault="00730D62" w:rsidP="00ED4BAD">
      <w:pPr>
        <w:spacing w:after="0" w:line="24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164 patients on maintenance infliximab had corresponding data to categorise clinical remission and loss of remission. </w:t>
      </w:r>
      <w:r w:rsidR="00431125" w:rsidRPr="00922C73">
        <w:rPr>
          <w:rFonts w:ascii="Times New Roman" w:eastAsiaTheme="minorHAnsi" w:hAnsi="Times New Roman" w:cs="Times New Roman"/>
          <w:sz w:val="24"/>
          <w:szCs w:val="24"/>
        </w:rPr>
        <w:t xml:space="preserve">Patients </w:t>
      </w:r>
      <w:r w:rsidR="005D5E04" w:rsidRPr="00922C73">
        <w:rPr>
          <w:rFonts w:ascii="Times New Roman" w:eastAsiaTheme="minorHAnsi" w:hAnsi="Times New Roman" w:cs="Times New Roman"/>
          <w:sz w:val="24"/>
          <w:szCs w:val="24"/>
        </w:rPr>
        <w:t xml:space="preserve">with positive ATI </w:t>
      </w:r>
      <w:r w:rsidR="00431125" w:rsidRPr="00922C73">
        <w:rPr>
          <w:rFonts w:ascii="Times New Roman" w:eastAsiaTheme="minorHAnsi" w:hAnsi="Times New Roman" w:cs="Times New Roman"/>
          <w:sz w:val="24"/>
          <w:szCs w:val="24"/>
        </w:rPr>
        <w:t>were significantly more likely to lose clinical remission compared to those with negative ATI (p= 0.04)</w:t>
      </w:r>
      <w:r w:rsidR="003451E8" w:rsidRPr="00922C73">
        <w:rPr>
          <w:rFonts w:ascii="Times New Roman" w:eastAsiaTheme="minorHAnsi" w:hAnsi="Times New Roman" w:cs="Times New Roman"/>
          <w:sz w:val="24"/>
          <w:szCs w:val="24"/>
        </w:rPr>
        <w:t>.</w:t>
      </w:r>
      <w:r w:rsidR="00431125" w:rsidRPr="00922C73">
        <w:rPr>
          <w:rFonts w:ascii="Times New Roman" w:eastAsiaTheme="minorHAnsi" w:hAnsi="Times New Roman" w:cs="Times New Roman"/>
          <w:sz w:val="24"/>
          <w:szCs w:val="24"/>
        </w:rPr>
        <w:t xml:space="preserve"> </w:t>
      </w:r>
    </w:p>
    <w:p w14:paraId="51AD43E2" w14:textId="59EA4BD0" w:rsidR="00E564E6" w:rsidRPr="00922C73" w:rsidRDefault="00E564E6" w:rsidP="00ED4BAD">
      <w:pPr>
        <w:spacing w:after="0" w:line="240" w:lineRule="auto"/>
        <w:contextualSpacing/>
        <w:jc w:val="left"/>
        <w:rPr>
          <w:rFonts w:ascii="Times New Roman" w:eastAsiaTheme="minorHAnsi" w:hAnsi="Times New Roman" w:cs="Times New Roman"/>
          <w:bCs/>
          <w:i/>
          <w:iCs/>
          <w:sz w:val="24"/>
          <w:szCs w:val="24"/>
        </w:rPr>
      </w:pPr>
      <w:r w:rsidRPr="00922C73">
        <w:rPr>
          <w:rFonts w:ascii="Times New Roman" w:eastAsiaTheme="minorHAnsi" w:hAnsi="Times New Roman" w:cs="Times New Roman"/>
          <w:bCs/>
          <w:i/>
          <w:iCs/>
          <w:sz w:val="24"/>
          <w:szCs w:val="24"/>
        </w:rPr>
        <w:t>(ATI</w:t>
      </w:r>
      <w:r w:rsidR="005E6C9B" w:rsidRPr="00922C73">
        <w:rPr>
          <w:rFonts w:ascii="Times New Roman" w:eastAsiaTheme="minorHAnsi" w:hAnsi="Times New Roman" w:cs="Times New Roman"/>
          <w:bCs/>
          <w:i/>
          <w:iCs/>
          <w:sz w:val="24"/>
          <w:szCs w:val="24"/>
        </w:rPr>
        <w:t>:</w:t>
      </w:r>
      <w:r w:rsidRPr="00922C73">
        <w:rPr>
          <w:rFonts w:ascii="Times New Roman" w:eastAsiaTheme="minorHAnsi" w:hAnsi="Times New Roman" w:cs="Times New Roman"/>
          <w:bCs/>
          <w:i/>
          <w:iCs/>
          <w:sz w:val="24"/>
          <w:szCs w:val="24"/>
        </w:rPr>
        <w:t xml:space="preserve"> antibodies to infliximab)</w:t>
      </w:r>
    </w:p>
    <w:p w14:paraId="7A4449AD" w14:textId="77777777" w:rsidR="00725DB3" w:rsidRPr="00922C73" w:rsidRDefault="00725DB3" w:rsidP="00700BBF">
      <w:pPr>
        <w:spacing w:after="0" w:line="480" w:lineRule="auto"/>
        <w:contextualSpacing/>
        <w:jc w:val="left"/>
        <w:rPr>
          <w:rFonts w:ascii="Times New Roman" w:eastAsiaTheme="minorHAnsi" w:hAnsi="Times New Roman" w:cs="Times New Roman"/>
          <w:bCs/>
          <w:i/>
          <w:iCs/>
          <w:sz w:val="24"/>
          <w:szCs w:val="24"/>
        </w:rPr>
      </w:pPr>
    </w:p>
    <w:p w14:paraId="52324A57"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2CD0E704"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30894156"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3133979A"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2A323D6C"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7C8735F0"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622439BB"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6080409F" w14:textId="77777777" w:rsidR="00ED4BAD" w:rsidRPr="00922C73" w:rsidRDefault="00ED4BAD" w:rsidP="00700BBF">
      <w:pPr>
        <w:spacing w:after="0" w:line="480" w:lineRule="auto"/>
        <w:contextualSpacing/>
        <w:jc w:val="left"/>
        <w:rPr>
          <w:rFonts w:ascii="Times New Roman" w:eastAsiaTheme="minorHAnsi" w:hAnsi="Times New Roman" w:cs="Times New Roman"/>
          <w:bCs/>
          <w:sz w:val="24"/>
          <w:szCs w:val="24"/>
          <w:highlight w:val="yellow"/>
        </w:rPr>
      </w:pPr>
    </w:p>
    <w:p w14:paraId="18BBB54A" w14:textId="7BD7A8D9" w:rsidR="00ED4BAD" w:rsidRPr="00922C73" w:rsidRDefault="00DB58DD" w:rsidP="00ED4BAD">
      <w:pPr>
        <w:spacing w:after="0" w:line="480" w:lineRule="auto"/>
        <w:contextualSpacing/>
        <w:jc w:val="left"/>
        <w:rPr>
          <w:rFonts w:ascii="Times New Roman" w:eastAsiaTheme="minorHAnsi" w:hAnsi="Times New Roman" w:cs="Times New Roman"/>
          <w:bCs/>
          <w:sz w:val="24"/>
          <w:szCs w:val="24"/>
        </w:rPr>
      </w:pPr>
      <w:r w:rsidRPr="00922C73">
        <w:rPr>
          <w:rFonts w:ascii="Times New Roman" w:eastAsiaTheme="minorHAnsi" w:hAnsi="Times New Roman" w:cs="Times New Roman"/>
          <w:bCs/>
          <w:sz w:val="24"/>
          <w:szCs w:val="24"/>
        </w:rPr>
        <w:lastRenderedPageBreak/>
        <w:t xml:space="preserve">Infusion reactions occurred significantly more in those with positive ATI (5/330 infusions) compared to those negative for ATI (1/777 infusions) (p&lt;0.01). In the 5 ATI positive patients, median ATI level was 204 mg/L (range 11-614); 3 developed immediate reactions (all were receiving concomitant immunosuppression) and 2 were delayed (neither were receiving concomitant immunosuppression). 2/5 patients had received previous </w:t>
      </w:r>
      <w:r w:rsidR="00E74DA8" w:rsidRPr="00922C73">
        <w:rPr>
          <w:rFonts w:ascii="Times New Roman" w:eastAsiaTheme="minorHAnsi" w:hAnsi="Times New Roman" w:cs="Times New Roman"/>
          <w:bCs/>
          <w:sz w:val="24"/>
          <w:szCs w:val="24"/>
        </w:rPr>
        <w:t>infliximab</w:t>
      </w:r>
      <w:r w:rsidRPr="00922C73">
        <w:rPr>
          <w:rFonts w:ascii="Times New Roman" w:eastAsiaTheme="minorHAnsi" w:hAnsi="Times New Roman" w:cs="Times New Roman"/>
          <w:bCs/>
          <w:sz w:val="24"/>
          <w:szCs w:val="24"/>
        </w:rPr>
        <w:t xml:space="preserve"> and one of these patients developed the only infusion reaction during induction therapy (dose 2). The patient with negative ATI was not receiving concomitant immunosuppression and developed a delayed infusion reaction.</w:t>
      </w:r>
    </w:p>
    <w:p w14:paraId="317A601B" w14:textId="77777777" w:rsidR="00EA669F" w:rsidRPr="00922C73" w:rsidRDefault="00EA669F" w:rsidP="00ED4BAD">
      <w:pPr>
        <w:spacing w:line="480" w:lineRule="auto"/>
        <w:rPr>
          <w:rFonts w:ascii="Times New Roman" w:hAnsi="Times New Roman" w:cs="Times New Roman"/>
          <w:sz w:val="24"/>
          <w:szCs w:val="24"/>
        </w:rPr>
      </w:pPr>
    </w:p>
    <w:p w14:paraId="15C50E8E" w14:textId="3ACECC7A" w:rsidR="00ED4BAD" w:rsidRPr="00922C73" w:rsidRDefault="001743AD" w:rsidP="005E6C9B">
      <w:pPr>
        <w:pStyle w:val="Heading3"/>
        <w:spacing w:line="480" w:lineRule="auto"/>
        <w:rPr>
          <w:rFonts w:ascii="Times New Roman" w:eastAsiaTheme="minorHAnsi" w:hAnsi="Times New Roman" w:cs="Times New Roman"/>
          <w:b/>
          <w:bCs/>
        </w:rPr>
      </w:pPr>
      <w:bookmarkStart w:id="123" w:name="_Toc151020488"/>
      <w:r w:rsidRPr="00922C73">
        <w:rPr>
          <w:rFonts w:ascii="Times New Roman" w:eastAsiaTheme="minorHAnsi" w:hAnsi="Times New Roman" w:cs="Times New Roman"/>
          <w:b/>
          <w:bCs/>
        </w:rPr>
        <w:t>2</w:t>
      </w:r>
      <w:r w:rsidR="002D4188" w:rsidRPr="00922C73">
        <w:rPr>
          <w:rFonts w:ascii="Times New Roman" w:eastAsiaTheme="minorHAnsi" w:hAnsi="Times New Roman" w:cs="Times New Roman"/>
          <w:b/>
          <w:bCs/>
        </w:rPr>
        <w:t xml:space="preserve">.3.6 </w:t>
      </w:r>
      <w:r w:rsidR="00DB58DD" w:rsidRPr="00922C73">
        <w:rPr>
          <w:rFonts w:ascii="Times New Roman" w:eastAsiaTheme="minorHAnsi" w:hAnsi="Times New Roman" w:cs="Times New Roman"/>
          <w:b/>
          <w:bCs/>
        </w:rPr>
        <w:t>Association</w:t>
      </w:r>
      <w:r w:rsidR="00DB58DD" w:rsidRPr="00922C73" w:rsidDel="00CC401F">
        <w:rPr>
          <w:rFonts w:ascii="Times New Roman" w:eastAsiaTheme="minorHAnsi" w:hAnsi="Times New Roman" w:cs="Times New Roman"/>
          <w:b/>
          <w:bCs/>
        </w:rPr>
        <w:t xml:space="preserve"> </w:t>
      </w:r>
      <w:r w:rsidR="00DB58DD" w:rsidRPr="00922C73">
        <w:rPr>
          <w:rFonts w:ascii="Times New Roman" w:eastAsiaTheme="minorHAnsi" w:hAnsi="Times New Roman" w:cs="Times New Roman"/>
          <w:b/>
          <w:bCs/>
        </w:rPr>
        <w:t>of ATI levels with loss of clinical remission</w:t>
      </w:r>
      <w:bookmarkEnd w:id="123"/>
    </w:p>
    <w:p w14:paraId="6BB857E0" w14:textId="78676205" w:rsidR="00DB58DD" w:rsidRPr="00922C73" w:rsidRDefault="00DB58DD" w:rsidP="00ED4BAD">
      <w:pPr>
        <w:spacing w:line="480" w:lineRule="auto"/>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723 ATI an</w:t>
      </w:r>
      <w:r w:rsidR="00E74DA8" w:rsidRPr="00922C73">
        <w:rPr>
          <w:rFonts w:ascii="Times New Roman" w:eastAsiaTheme="minorHAnsi" w:hAnsi="Times New Roman" w:cs="Times New Roman"/>
          <w:sz w:val="24"/>
          <w:szCs w:val="24"/>
        </w:rPr>
        <w:t xml:space="preserve">d infliximab </w:t>
      </w:r>
      <w:r w:rsidRPr="00922C73">
        <w:rPr>
          <w:rFonts w:ascii="Times New Roman" w:eastAsiaTheme="minorHAnsi" w:hAnsi="Times New Roman" w:cs="Times New Roman"/>
          <w:sz w:val="24"/>
          <w:szCs w:val="24"/>
        </w:rPr>
        <w:t xml:space="preserve">levels from 162 IBD (90 CD, 72 UC) patients during maintenance therapy had corresponding data on clinical remission. Patients with data only during induction therapy and 37 patients with perianal disease were excluded. On ROC analysis, area under the curve indicated that ATI levels and not </w:t>
      </w:r>
      <w:r w:rsidR="00AD0526"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levels were associated with loss of remission as the latter had an AUC of 0.40 and 0.38 respectively for loss of remission within 8 weeks and 6 months.</w:t>
      </w:r>
    </w:p>
    <w:p w14:paraId="31286436" w14:textId="77777777" w:rsidR="00020303" w:rsidRPr="00922C73" w:rsidRDefault="00020303" w:rsidP="00ED4BAD">
      <w:pPr>
        <w:spacing w:line="480" w:lineRule="auto"/>
        <w:rPr>
          <w:rFonts w:ascii="Times New Roman" w:eastAsiaTheme="minorHAnsi" w:hAnsi="Times New Roman" w:cs="Times New Roman"/>
          <w:sz w:val="24"/>
          <w:szCs w:val="24"/>
        </w:rPr>
      </w:pPr>
    </w:p>
    <w:p w14:paraId="1A101786" w14:textId="48110B81" w:rsidR="00DB58DD" w:rsidRPr="00922C73" w:rsidRDefault="00DB58DD" w:rsidP="00ED4BAD">
      <w:pPr>
        <w:spacing w:line="480" w:lineRule="auto"/>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An ATI level of 2.5 mg/L had a sensitivity of 0.78 and a specificity of 0.63 (AUC 0.63, p &lt;0.001, 95% CI: 0.583-0.669) for loss of clinical remission within 8 weeks and a sensitivity of 0.76 and a specificity of 0.60 (AUC 0.62, p&lt; 0.001, 95% CI: 0.574-0.669) for loss of </w:t>
      </w:r>
      <w:r w:rsidR="00020303" w:rsidRPr="00922C73">
        <w:rPr>
          <w:rFonts w:ascii="Times New Roman" w:eastAsiaTheme="minorHAnsi" w:hAnsi="Times New Roman" w:cs="Times New Roman"/>
          <w:sz w:val="24"/>
          <w:szCs w:val="24"/>
        </w:rPr>
        <w:t xml:space="preserve">clinical </w:t>
      </w:r>
      <w:r w:rsidRPr="00922C73">
        <w:rPr>
          <w:rFonts w:ascii="Times New Roman" w:eastAsiaTheme="minorHAnsi" w:hAnsi="Times New Roman" w:cs="Times New Roman"/>
          <w:sz w:val="24"/>
          <w:szCs w:val="24"/>
        </w:rPr>
        <w:t xml:space="preserve">remission within 6 months. ROC by subtype of IBD is shown in Figure </w:t>
      </w:r>
      <w:r w:rsidR="00F0309B" w:rsidRPr="00922C73">
        <w:rPr>
          <w:rFonts w:ascii="Times New Roman" w:eastAsiaTheme="minorHAnsi" w:hAnsi="Times New Roman" w:cs="Times New Roman"/>
          <w:sz w:val="24"/>
          <w:szCs w:val="24"/>
        </w:rPr>
        <w:t>1</w:t>
      </w:r>
      <w:r w:rsidR="004D0D13" w:rsidRPr="00922C73">
        <w:rPr>
          <w:rFonts w:ascii="Times New Roman" w:eastAsiaTheme="minorHAnsi" w:hAnsi="Times New Roman" w:cs="Times New Roman"/>
          <w:sz w:val="24"/>
          <w:szCs w:val="24"/>
        </w:rPr>
        <w:t>6</w:t>
      </w:r>
      <w:r w:rsidRPr="00922C73">
        <w:rPr>
          <w:rFonts w:ascii="Times New Roman" w:eastAsiaTheme="minorHAnsi" w:hAnsi="Times New Roman" w:cs="Times New Roman"/>
          <w:sz w:val="24"/>
          <w:szCs w:val="24"/>
        </w:rPr>
        <w:t xml:space="preserve">. </w:t>
      </w:r>
    </w:p>
    <w:p w14:paraId="219182A2" w14:textId="4CB67388" w:rsidR="00F0309B" w:rsidRPr="00922C73" w:rsidRDefault="00304BF6" w:rsidP="008C0DA4">
      <w:pPr>
        <w:keepNext/>
      </w:pPr>
      <w:r w:rsidRPr="00922C73">
        <w:rPr>
          <w:noProof/>
        </w:rPr>
        <w:lastRenderedPageBreak/>
        <w:drawing>
          <wp:inline distT="0" distB="0" distL="0" distR="0" wp14:anchorId="54ED7BCF" wp14:editId="35B38B0B">
            <wp:extent cx="5447619" cy="5828571"/>
            <wp:effectExtent l="0" t="0" r="1270" b="1270"/>
            <wp:docPr id="194220257" name="Picture 1" descr="A graph of a dise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0257" name="Picture 1" descr="A graph of a disease&#10;&#10;Description automatically generated with medium confidence"/>
                    <pic:cNvPicPr/>
                  </pic:nvPicPr>
                  <pic:blipFill>
                    <a:blip r:embed="rId39"/>
                    <a:stretch>
                      <a:fillRect/>
                    </a:stretch>
                  </pic:blipFill>
                  <pic:spPr>
                    <a:xfrm>
                      <a:off x="0" y="0"/>
                      <a:ext cx="5447619" cy="5828571"/>
                    </a:xfrm>
                    <a:prstGeom prst="rect">
                      <a:avLst/>
                    </a:prstGeom>
                  </pic:spPr>
                </pic:pic>
              </a:graphicData>
            </a:graphic>
          </wp:inline>
        </w:drawing>
      </w:r>
    </w:p>
    <w:p w14:paraId="7D7BE8B8" w14:textId="7F40D4AF" w:rsidR="0096186B" w:rsidRPr="00922C73" w:rsidRDefault="00F0309B" w:rsidP="008C0DA4">
      <w:pPr>
        <w:pStyle w:val="Caption"/>
        <w:spacing w:line="240" w:lineRule="auto"/>
        <w:rPr>
          <w:rFonts w:ascii="Times New Roman" w:hAnsi="Times New Roman" w:cs="Times New Roman"/>
          <w:sz w:val="24"/>
          <w:szCs w:val="24"/>
        </w:rPr>
      </w:pPr>
      <w:bookmarkStart w:id="124" w:name="_Toc139397315"/>
      <w:bookmarkStart w:id="125" w:name="_Toc151020661"/>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16</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Receiver operator curve analysis of antibodies to infliximab</w:t>
      </w:r>
      <w:r w:rsidR="0057550A" w:rsidRPr="00922C73">
        <w:rPr>
          <w:rFonts w:ascii="Times New Roman" w:hAnsi="Times New Roman" w:cs="Times New Roman"/>
          <w:sz w:val="24"/>
          <w:szCs w:val="24"/>
        </w:rPr>
        <w:t xml:space="preserve"> threshold of 2.5 </w:t>
      </w:r>
      <w:r w:rsidR="008C0DA4" w:rsidRPr="00922C73">
        <w:rPr>
          <w:rFonts w:ascii="Times New Roman" w:hAnsi="Times New Roman" w:cs="Times New Roman"/>
          <w:sz w:val="24"/>
          <w:szCs w:val="24"/>
        </w:rPr>
        <w:t>mg/L</w:t>
      </w:r>
      <w:r w:rsidRPr="00922C73">
        <w:rPr>
          <w:rFonts w:ascii="Times New Roman" w:hAnsi="Times New Roman" w:cs="Times New Roman"/>
          <w:sz w:val="24"/>
          <w:szCs w:val="24"/>
        </w:rPr>
        <w:t xml:space="preserve"> to </w:t>
      </w:r>
      <w:r w:rsidR="00552CB0" w:rsidRPr="00922C73">
        <w:rPr>
          <w:rFonts w:ascii="Times New Roman" w:hAnsi="Times New Roman" w:cs="Times New Roman"/>
          <w:sz w:val="24"/>
          <w:szCs w:val="24"/>
        </w:rPr>
        <w:t xml:space="preserve">a) </w:t>
      </w:r>
      <w:r w:rsidRPr="00922C73">
        <w:rPr>
          <w:rFonts w:ascii="Times New Roman" w:hAnsi="Times New Roman" w:cs="Times New Roman"/>
          <w:sz w:val="24"/>
          <w:szCs w:val="24"/>
        </w:rPr>
        <w:t>loss of clinical remission</w:t>
      </w:r>
      <w:bookmarkEnd w:id="124"/>
      <w:r w:rsidR="00552CB0" w:rsidRPr="00922C73">
        <w:rPr>
          <w:rFonts w:ascii="Times New Roman" w:hAnsi="Times New Roman" w:cs="Times New Roman"/>
          <w:sz w:val="24"/>
          <w:szCs w:val="24"/>
        </w:rPr>
        <w:t xml:space="preserve"> ≤ 8 weeks and b) loss of clinical remission ≤ 6 months by </w:t>
      </w:r>
      <w:r w:rsidR="0057550A" w:rsidRPr="00922C73">
        <w:rPr>
          <w:rFonts w:ascii="Times New Roman" w:hAnsi="Times New Roman" w:cs="Times New Roman"/>
          <w:sz w:val="24"/>
          <w:szCs w:val="24"/>
        </w:rPr>
        <w:t>IBD subtype: Crohn’s disease and ulcerative colitis.</w:t>
      </w:r>
      <w:bookmarkEnd w:id="125"/>
      <w:r w:rsidR="0057550A" w:rsidRPr="00922C73">
        <w:rPr>
          <w:rFonts w:ascii="Times New Roman" w:hAnsi="Times New Roman" w:cs="Times New Roman"/>
          <w:sz w:val="24"/>
          <w:szCs w:val="24"/>
        </w:rPr>
        <w:t xml:space="preserve"> </w:t>
      </w:r>
    </w:p>
    <w:p w14:paraId="33A97958" w14:textId="1B2CA264" w:rsidR="00910CFB" w:rsidRPr="00922C73" w:rsidRDefault="00EA669F" w:rsidP="008C0DA4">
      <w:pPr>
        <w:spacing w:line="24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w:t>
      </w:r>
    </w:p>
    <w:p w14:paraId="514AE3C8" w14:textId="48BBCCA9" w:rsidR="004716F7" w:rsidRPr="00922C73" w:rsidRDefault="004716F7" w:rsidP="008C0DA4">
      <w:pPr>
        <w:spacing w:line="240" w:lineRule="auto"/>
        <w:rPr>
          <w:rFonts w:ascii="Times New Roman" w:eastAsiaTheme="minorHAnsi" w:hAnsi="Times New Roman" w:cs="Times New Roman"/>
          <w:b/>
          <w:bCs/>
          <w:sz w:val="24"/>
          <w:szCs w:val="24"/>
          <w:u w:val="single"/>
        </w:rPr>
      </w:pPr>
    </w:p>
    <w:p w14:paraId="67A75E49" w14:textId="58E092C0" w:rsidR="004716F7" w:rsidRPr="00922C73" w:rsidRDefault="004716F7" w:rsidP="008C0DA4">
      <w:pPr>
        <w:spacing w:after="0" w:line="240" w:lineRule="auto"/>
        <w:contextualSpacing/>
        <w:jc w:val="left"/>
        <w:outlineLvl w:val="0"/>
        <w:rPr>
          <w:rFonts w:ascii="Times New Roman" w:eastAsiaTheme="minorHAnsi" w:hAnsi="Times New Roman" w:cs="Times New Roman"/>
          <w:b/>
          <w:bCs/>
          <w:sz w:val="24"/>
          <w:szCs w:val="24"/>
          <w:u w:val="single"/>
        </w:rPr>
      </w:pPr>
    </w:p>
    <w:p w14:paraId="3A6AA35F" w14:textId="187782B9" w:rsidR="004716F7" w:rsidRPr="00922C73" w:rsidRDefault="004716F7" w:rsidP="00EA669F">
      <w:pPr>
        <w:rPr>
          <w:rFonts w:eastAsiaTheme="minorHAnsi"/>
        </w:rPr>
      </w:pPr>
    </w:p>
    <w:p w14:paraId="3BDEB059" w14:textId="33709F2D" w:rsidR="004716F7" w:rsidRPr="00922C73" w:rsidRDefault="004716F7" w:rsidP="00EA669F">
      <w:pPr>
        <w:rPr>
          <w:rFonts w:eastAsiaTheme="minorHAnsi"/>
        </w:rPr>
      </w:pPr>
    </w:p>
    <w:p w14:paraId="2135BC44" w14:textId="77777777" w:rsidR="00910CFB" w:rsidRPr="00922C73" w:rsidRDefault="00910CFB" w:rsidP="00910CFB"/>
    <w:p w14:paraId="1F5FC494" w14:textId="77777777" w:rsidR="008C0DA4" w:rsidRPr="00922C73" w:rsidRDefault="008C0DA4" w:rsidP="00910CFB"/>
    <w:p w14:paraId="5898558A" w14:textId="22657130" w:rsidR="00DB58DD" w:rsidRPr="00922C73" w:rsidRDefault="001743AD" w:rsidP="00020303">
      <w:pPr>
        <w:pStyle w:val="Heading2"/>
        <w:rPr>
          <w:rFonts w:ascii="Times New Roman" w:eastAsiaTheme="minorHAnsi" w:hAnsi="Times New Roman" w:cs="Times New Roman"/>
          <w:sz w:val="24"/>
          <w:szCs w:val="24"/>
        </w:rPr>
      </w:pPr>
      <w:bookmarkStart w:id="126" w:name="_Toc151020489"/>
      <w:r w:rsidRPr="00922C73">
        <w:rPr>
          <w:rFonts w:ascii="Times New Roman" w:eastAsiaTheme="minorHAnsi" w:hAnsi="Times New Roman" w:cs="Times New Roman"/>
          <w:sz w:val="24"/>
          <w:szCs w:val="24"/>
        </w:rPr>
        <w:lastRenderedPageBreak/>
        <w:t>2</w:t>
      </w:r>
      <w:r w:rsidR="002D4188" w:rsidRPr="00922C73">
        <w:rPr>
          <w:rFonts w:ascii="Times New Roman" w:eastAsiaTheme="minorHAnsi" w:hAnsi="Times New Roman" w:cs="Times New Roman"/>
          <w:sz w:val="24"/>
          <w:szCs w:val="24"/>
        </w:rPr>
        <w:t xml:space="preserve">.4 </w:t>
      </w:r>
      <w:r w:rsidR="00DB58DD" w:rsidRPr="00922C73">
        <w:rPr>
          <w:rFonts w:ascii="Times New Roman" w:eastAsiaTheme="minorHAnsi" w:hAnsi="Times New Roman" w:cs="Times New Roman"/>
          <w:sz w:val="24"/>
          <w:szCs w:val="24"/>
        </w:rPr>
        <w:t>Discussion</w:t>
      </w:r>
      <w:bookmarkEnd w:id="126"/>
    </w:p>
    <w:p w14:paraId="67168571" w14:textId="77777777" w:rsidR="00DB58DD" w:rsidRPr="00922C73" w:rsidRDefault="00DB58DD" w:rsidP="00700BBF">
      <w:pPr>
        <w:spacing w:after="0" w:line="480" w:lineRule="auto"/>
        <w:contextualSpacing/>
        <w:jc w:val="left"/>
        <w:outlineLvl w:val="0"/>
        <w:rPr>
          <w:rFonts w:ascii="Times New Roman" w:eastAsiaTheme="minorHAnsi" w:hAnsi="Times New Roman" w:cs="Times New Roman"/>
          <w:b/>
          <w:sz w:val="24"/>
          <w:szCs w:val="24"/>
          <w:u w:val="single"/>
        </w:rPr>
      </w:pPr>
    </w:p>
    <w:p w14:paraId="35E19D48" w14:textId="5A4C8351" w:rsidR="00A91CEA" w:rsidRPr="00922C73" w:rsidRDefault="00DB58DD" w:rsidP="00700BBF">
      <w:pPr>
        <w:spacing w:after="0"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This study has described a substantial</w:t>
      </w:r>
      <w:r w:rsidR="008C0DA4" w:rsidRPr="00922C73">
        <w:rPr>
          <w:rFonts w:ascii="Times New Roman" w:eastAsiaTheme="minorHAnsi" w:hAnsi="Times New Roman" w:cs="Times New Roman"/>
          <w:sz w:val="24"/>
          <w:szCs w:val="24"/>
        </w:rPr>
        <w:t xml:space="preserve"> </w:t>
      </w:r>
      <w:r w:rsidRPr="00922C73">
        <w:rPr>
          <w:rFonts w:ascii="Times New Roman" w:eastAsiaTheme="minorHAnsi" w:hAnsi="Times New Roman" w:cs="Times New Roman"/>
          <w:sz w:val="24"/>
          <w:szCs w:val="24"/>
        </w:rPr>
        <w:t xml:space="preserve">experience from a </w:t>
      </w:r>
      <w:r w:rsidR="004A1984" w:rsidRPr="00922C73">
        <w:rPr>
          <w:rFonts w:ascii="Times New Roman" w:eastAsiaTheme="minorHAnsi" w:hAnsi="Times New Roman" w:cs="Times New Roman"/>
          <w:sz w:val="24"/>
          <w:szCs w:val="24"/>
        </w:rPr>
        <w:t>tertiary</w:t>
      </w:r>
      <w:r w:rsidRPr="00922C73">
        <w:rPr>
          <w:rFonts w:ascii="Times New Roman" w:eastAsiaTheme="minorHAnsi" w:hAnsi="Times New Roman" w:cs="Times New Roman"/>
          <w:sz w:val="24"/>
          <w:szCs w:val="24"/>
        </w:rPr>
        <w:t xml:space="preserve"> centre with key messages for clinical practice. </w:t>
      </w:r>
    </w:p>
    <w:p w14:paraId="421622ED" w14:textId="77777777" w:rsidR="00A91CEA" w:rsidRPr="00922C73" w:rsidRDefault="00A91CEA" w:rsidP="00A91CEA">
      <w:pPr>
        <w:spacing w:line="480" w:lineRule="auto"/>
        <w:contextualSpacing/>
        <w:jc w:val="left"/>
        <w:rPr>
          <w:rFonts w:ascii="Times New Roman" w:eastAsiaTheme="minorHAnsi" w:hAnsi="Times New Roman" w:cs="Times New Roman"/>
          <w:sz w:val="24"/>
          <w:szCs w:val="24"/>
        </w:rPr>
      </w:pPr>
    </w:p>
    <w:p w14:paraId="6646BA2F" w14:textId="77777777" w:rsidR="00A91CEA" w:rsidRPr="00922C73" w:rsidRDefault="00A91CEA" w:rsidP="00A91CEA">
      <w:pPr>
        <w:spacing w:after="0"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The main limitation of our study was that patients were at different points of infliximab treatment. In addition, 55 patients only had one TDM reading available, making it difficult to clarify if these patients had sustained or transient ATI. In reviewing the development of ATI, this was limited to the 56 patients who developed ATI during the study period. An additional limitation was that remission was defined clinically and biochemically and not endoscopically or histologically. </w:t>
      </w:r>
    </w:p>
    <w:p w14:paraId="39EAAD3B" w14:textId="77777777" w:rsidR="00A91CEA" w:rsidRPr="00922C73" w:rsidRDefault="00A91CEA" w:rsidP="00700BBF">
      <w:pPr>
        <w:spacing w:after="0" w:line="480" w:lineRule="auto"/>
        <w:contextualSpacing/>
        <w:jc w:val="left"/>
        <w:rPr>
          <w:rFonts w:ascii="Times New Roman" w:eastAsiaTheme="minorHAnsi" w:hAnsi="Times New Roman" w:cs="Times New Roman"/>
          <w:sz w:val="24"/>
          <w:szCs w:val="24"/>
        </w:rPr>
      </w:pPr>
    </w:p>
    <w:p w14:paraId="7221DD83" w14:textId="08A69DAF" w:rsidR="00DB58DD" w:rsidRPr="00922C73" w:rsidRDefault="00DB58DD" w:rsidP="00700BBF">
      <w:pPr>
        <w:spacing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ATI </w:t>
      </w:r>
      <w:r w:rsidR="00871B66" w:rsidRPr="00922C73">
        <w:rPr>
          <w:rFonts w:ascii="Times New Roman" w:eastAsiaTheme="minorHAnsi" w:hAnsi="Times New Roman" w:cs="Times New Roman"/>
          <w:sz w:val="24"/>
          <w:szCs w:val="24"/>
        </w:rPr>
        <w:t>were common,</w:t>
      </w:r>
      <w:r w:rsidRPr="00922C73">
        <w:rPr>
          <w:rFonts w:ascii="Times New Roman" w:eastAsiaTheme="minorHAnsi" w:hAnsi="Times New Roman" w:cs="Times New Roman"/>
          <w:sz w:val="24"/>
          <w:szCs w:val="24"/>
        </w:rPr>
        <w:t xml:space="preserve"> 60% of IBD patients receiving </w:t>
      </w:r>
      <w:r w:rsidR="004A1984"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therapy </w:t>
      </w:r>
      <w:bookmarkStart w:id="127" w:name="_Hlk505584666"/>
      <w:r w:rsidR="00871B66" w:rsidRPr="00922C73">
        <w:rPr>
          <w:rFonts w:ascii="Times New Roman" w:eastAsiaTheme="minorHAnsi" w:hAnsi="Times New Roman" w:cs="Times New Roman"/>
          <w:sz w:val="24"/>
          <w:szCs w:val="24"/>
        </w:rPr>
        <w:t xml:space="preserve">were </w:t>
      </w:r>
      <w:r w:rsidRPr="00922C73">
        <w:rPr>
          <w:rFonts w:ascii="Times New Roman" w:eastAsiaTheme="minorHAnsi" w:hAnsi="Times New Roman" w:cs="Times New Roman"/>
          <w:sz w:val="24"/>
          <w:szCs w:val="24"/>
        </w:rPr>
        <w:t xml:space="preserve">found to be ATI positive at any time during </w:t>
      </w:r>
      <w:r w:rsidR="00871B66" w:rsidRPr="00922C73">
        <w:rPr>
          <w:rFonts w:ascii="Times New Roman" w:eastAsiaTheme="minorHAnsi" w:hAnsi="Times New Roman" w:cs="Times New Roman"/>
          <w:sz w:val="24"/>
          <w:szCs w:val="24"/>
        </w:rPr>
        <w:t xml:space="preserve">a </w:t>
      </w:r>
      <w:r w:rsidRPr="00922C73">
        <w:rPr>
          <w:rFonts w:ascii="Times New Roman" w:eastAsiaTheme="minorHAnsi" w:hAnsi="Times New Roman" w:cs="Times New Roman"/>
          <w:sz w:val="24"/>
          <w:szCs w:val="24"/>
        </w:rPr>
        <w:t xml:space="preserve">1-year </w:t>
      </w:r>
      <w:r w:rsidR="00871B66" w:rsidRPr="00922C73">
        <w:rPr>
          <w:rFonts w:ascii="Times New Roman" w:eastAsiaTheme="minorHAnsi" w:hAnsi="Times New Roman" w:cs="Times New Roman"/>
          <w:sz w:val="24"/>
          <w:szCs w:val="24"/>
        </w:rPr>
        <w:t>study period</w:t>
      </w:r>
      <w:r w:rsidRPr="00922C73">
        <w:rPr>
          <w:rFonts w:ascii="Times New Roman" w:eastAsiaTheme="minorHAnsi" w:hAnsi="Times New Roman" w:cs="Times New Roman"/>
          <w:sz w:val="24"/>
          <w:szCs w:val="24"/>
        </w:rPr>
        <w:t xml:space="preserve">. This is a much higher prevalence than reported rates of 3-22% in large randomised control trials of TDM </w:t>
      </w:r>
      <w:r w:rsidR="00710D17"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10.1053/j.gastro.2018.01.004","ISSN":"00165085","author":[{"dropping-particle":"","family":"D’Haens","given":"Geert","non-dropping-particle":"","parse-names":false,"suffix":""},{"dropping-particle":"","family":"Vermeire","given":"Severine","non-dropping-particle":"","parse-names":false,"suffix":""},{"dropping-particle":"","family":"Lambrecht","given":"Guy","non-dropping-particle":"","parse-names":false,"suffix":""},{"dropping-particle":"","family":"Baert","given":"Filip","non-dropping-particle":"","parse-names":false,"suffix":""},{"dropping-particle":"","family":"Bossuyt","given":"Peter","non-dropping-particle":"","parse-names":false,"suffix":""},{"dropping-particle":"","family":"Pariente","given":"Benjamin","non-dropping-particle":"","parse-names":false,"suffix":""},{"dropping-particle":"","family":"Buisson","given":"Anthony","non-dropping-particle":"","parse-names":false,"suffix":""},{"dropping-particle":"","family":"Bouhnik","given":"Yoram","non-dropping-particle":"","parse-names":false,"suffix":""},{"dropping-particle":"","family":"Filippi","given":"Jérôme","non-dropping-particle":"","parse-names":false,"suffix":""},{"dropping-particle":"","family":"Woude","given":"Janneke","non-dropping-particle":"vander","parse-names":false,"suffix":""},{"dropping-particle":"","family":"Hootegem","given":"Philippe","non-dropping-particle":"Van","parse-names":false,"suffix":""},{"dropping-particle":"","family":"Moreau","given":"Jacques","non-dropping-particle":"","parse-names":false,"suffix":""},{"dropping-particle":"","family":"Louis","given":"Edouard","non-dropping-particle":"","parse-names":false,"suffix":""},{"dropping-particle":"","family":"Franchimont","given":"Denis","non-dropping-particle":"","parse-names":false,"suffix":""},{"dropping-particle":"","family":"Vos","given":"Martine","non-dropping-particle":"De","parse-names":false,"suffix":""},{"dropping-particle":"","family":"Mana","given":"Fazia","non-dropping-particle":"","parse-names":false,"suffix":""},{"dropping-particle":"","family":"Peyrin-Biroulet","given":"Laurent","non-dropping-particle":"","parse-names":false,"suffix":""},{"dropping-particle":"","family":"Brixi","given":"Hedia","non-dropping-particle":"","parse-names":false,"suffix":""},{"dropping-particle":"","family":"Allez","given":"Matthieu","non-dropping-particle":"","parse-names":false,"suffix":""},{"dropping-particle":"","family":"Caenepeel","given":"Philip","non-dropping-particle":"","parse-names":false,"suffix":""},{"dropping-particle":"","family":"Aubourg","given":"Alexandre","non-dropping-particle":"","parse-names":false,"suffix":""},{"dropping-particle":"","family":"Oldenburg","given":"Bas","non-dropping-particle":"","parse-names":false,"suffix":""},{"dropping-particle":"","family":"Pierik","given":"Marieke","non-dropping-particle":"","parse-names":false,"suffix":""},{"dropping-particle":"","family":"Gils","given":"Ann","non-dropping-particle":"","parse-names":false,"suffix":""},{"dropping-particle":"","family":"Chevret","given":"Sylvie","non-dropping-particle":"","parse-names":false,"suffix":""},{"dropping-particle":"","family":"Laharie","given":"David","non-dropping-particle":"","parse-names":false,"suffix":""},{"dropping-particle":"","family":"Détré","given":"Patricia","non-dropping-particle":"","parse-names":false,"suffix":""},{"dropping-particle":"","family":"Bertin","given":"Marie-Jo","non-dropping-particle":"","parse-names":false,"suffix":""},{"dropping-particle":"","family":"Williams","given":"Sabrina","non-dropping-particle":"","parse-names":false,"suffix":""}],"container-title":"Gastroenterology","id":"ITEM-1","issue":"5","issued":{"date-parts":[["2018","4"]]},"page":"1343-1351.e1","title":"Increasing Infliximab Dose Based on Symptoms, Biomarkers, and Serum Drug Concentrations Does Not Increase Clinical, Endoscopic, and Corticosteroid-Free Remission in Patients With Active Luminal Crohn’s Disease","type":"article-journal","volume":"154"},"uris":["http://www.mendeley.com/documents/?uuid=9b8df126-5bb8-4165-99b3-f0a41614f6d4"]},{"id":"ITEM-2","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-2","issue":"7","issued":{"date-parts":[["2015","6"]]},"page":"1320-1329.e3","title":"Trough Concentrations of Infliximab Guide Dosing for Patients With Inflammatory Bowel Disease","type":"article-journal","volume":"148"},"uris":["http://www.mendeley.com/documents/?uuid=fe4b8cc4-2ab7-4960-a991-09dacd224038"]}],"mendeley":{"formattedCitation":"&lt;sup&gt;120,164&lt;/sup&gt;","plainTextFormattedCitation":"120,164","previouslyFormattedCitation":"&lt;sup&gt;120,164&lt;/sup&gt;"},"properties":{"noteIndex":0},"schema":"https://github.com/citation-style-language/schema/raw/master/csl-citation.json"}</w:instrText>
      </w:r>
      <w:r w:rsidR="00710D17"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120,164</w:t>
      </w:r>
      <w:r w:rsidR="00710D17"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and 26-28% reported at week 54 in a large prospective observational study of CD patients using the same commercial assay for TDM</w:t>
      </w:r>
      <w:r w:rsidR="00710D17" w:rsidRPr="00922C73">
        <w:rPr>
          <w:rFonts w:ascii="Times New Roman" w:eastAsiaTheme="minorHAnsi" w:hAnsi="Times New Roman" w:cs="Times New Roman"/>
          <w:sz w:val="24"/>
          <w:szCs w:val="24"/>
        </w:rPr>
        <w:t xml:space="preserve"> </w:t>
      </w:r>
      <w:r w:rsidR="00710D17" w:rsidRPr="00922C73">
        <w:rPr>
          <w:rFonts w:ascii="Times New Roman" w:eastAsiaTheme="minorHAnsi" w:hAnsi="Times New Roman" w:cs="Times New Roman"/>
          <w:sz w:val="24"/>
          <w:szCs w:val="24"/>
        </w:rPr>
        <w:fldChar w:fldCharType="begin" w:fldLock="1"/>
      </w:r>
      <w:r w:rsidR="00A00D49" w:rsidRPr="00922C73">
        <w:rPr>
          <w:rFonts w:ascii="Times New Roman" w:eastAsiaTheme="minorHAnsi" w:hAnsi="Times New Roman" w:cs="Times New Roman"/>
          <w:sz w:val="24"/>
          <w:szCs w:val="24"/>
        </w:rPr>
        <w:instrText>ADDIN CSL_CITATION {"citationItems":[{"id":"ITEM-1","itemData":{"DOI":"10.1093/ecco-jcc/jjx180.030","ISSN":"1873-9946","author":[{"dropping-particle":"","family":"Kennedy","given":"N A","non-dropping-particle":"","parse-names":false,"suffix":""},{"dropping-particle":"","family":"Heap","given":"G","non-dropping-particle":"","parse-names":false,"suffix":""},{"dropping-particle":"","family":"Hamilton","given":"B","non-dropping-particle":"","parse-names":false,"suffix":""},{"dropping-particle":"","family":"Walker","given":"G J","non-dropping-particle":"","parse-names":false,"suffix":""},{"dropping-particle":"","family":"Bewshea","given":"C","non-dropping-particle":"","parse-names":false,"suffix":""},{"dropping-particle":"","family":"Bouri","given":"S","non-dropping-particle":"","parse-names":false,"suffix":""},{"dropping-particle":"","family":"Goodhand","given":"J","non-dropping-particle":"","parse-names":false,"suffix":""},{"dropping-particle":"","family":"Ahmad","given":"T","non-dropping-particle":"","parse-names":false,"suffix":""}],"container-title":"Journal of Crohn's and Colitis","id":"ITEM-1","issue":"supplement_1","issued":{"date-parts":[["2018","1","16"]]},"page":"S021-S021","title":"OP031 Clinical effectiveness, safety and immunogenicity of anti-TNF therapy in Crohn’s disease: 12-month data from the PANTS study","type":"article-journal","volume":"12"},"uris":["http://www.mendeley.com/documents/?uuid=aa7f7cba-13e8-4211-a57c-ca107b185680"]}],"mendeley":{"formattedCitation":"&lt;sup&gt;165&lt;/sup&gt;","plainTextFormattedCitation":"165","previouslyFormattedCitation":"&lt;sup&gt;165&lt;/sup&gt;"},"properties":{"noteIndex":0},"schema":"https://github.com/citation-style-language/schema/raw/master/csl-citation.json"}</w:instrText>
      </w:r>
      <w:r w:rsidR="00710D17" w:rsidRPr="00922C73">
        <w:rPr>
          <w:rFonts w:ascii="Times New Roman" w:eastAsiaTheme="minorHAnsi" w:hAnsi="Times New Roman" w:cs="Times New Roman"/>
          <w:sz w:val="24"/>
          <w:szCs w:val="24"/>
        </w:rPr>
        <w:fldChar w:fldCharType="separate"/>
      </w:r>
      <w:r w:rsidR="00C80274" w:rsidRPr="00922C73">
        <w:rPr>
          <w:rFonts w:ascii="Times New Roman" w:eastAsiaTheme="minorHAnsi" w:hAnsi="Times New Roman" w:cs="Times New Roman"/>
          <w:noProof/>
          <w:sz w:val="24"/>
          <w:szCs w:val="24"/>
          <w:vertAlign w:val="superscript"/>
        </w:rPr>
        <w:t>165</w:t>
      </w:r>
      <w:r w:rsidR="00710D17"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Similar rates of immunosuppression was used</w:t>
      </w:r>
      <w:r w:rsidR="002E5767" w:rsidRPr="00922C73">
        <w:rPr>
          <w:rFonts w:ascii="Times New Roman" w:eastAsiaTheme="minorHAnsi" w:hAnsi="Times New Roman" w:cs="Times New Roman"/>
          <w:sz w:val="24"/>
          <w:szCs w:val="24"/>
        </w:rPr>
        <w:t xml:space="preserve"> in our cohort</w:t>
      </w:r>
      <w:r w:rsidRPr="00922C73">
        <w:rPr>
          <w:rFonts w:ascii="Times New Roman" w:eastAsiaTheme="minorHAnsi" w:hAnsi="Times New Roman" w:cs="Times New Roman"/>
          <w:sz w:val="24"/>
          <w:szCs w:val="24"/>
        </w:rPr>
        <w:t xml:space="preserve"> as </w:t>
      </w:r>
      <w:r w:rsidR="002E5767" w:rsidRPr="00922C73">
        <w:rPr>
          <w:rFonts w:ascii="Times New Roman" w:eastAsiaTheme="minorHAnsi" w:hAnsi="Times New Roman" w:cs="Times New Roman"/>
          <w:sz w:val="24"/>
          <w:szCs w:val="24"/>
        </w:rPr>
        <w:t xml:space="preserve">in </w:t>
      </w:r>
      <w:r w:rsidRPr="00922C73">
        <w:rPr>
          <w:rFonts w:ascii="Times New Roman" w:eastAsiaTheme="minorHAnsi" w:hAnsi="Times New Roman" w:cs="Times New Roman"/>
          <w:sz w:val="24"/>
          <w:szCs w:val="24"/>
        </w:rPr>
        <w:t>the prospective study</w:t>
      </w:r>
      <w:r w:rsidR="00ED7B57" w:rsidRPr="00922C73">
        <w:rPr>
          <w:rFonts w:ascii="Times New Roman" w:eastAsiaTheme="minorHAnsi" w:hAnsi="Times New Roman" w:cs="Times New Roman"/>
          <w:sz w:val="24"/>
          <w:szCs w:val="24"/>
        </w:rPr>
        <w:t>.</w:t>
      </w:r>
      <w:r w:rsidR="002E5767" w:rsidRPr="00922C73">
        <w:rPr>
          <w:rFonts w:ascii="Times New Roman" w:eastAsiaTheme="minorHAnsi" w:hAnsi="Times New Roman" w:cs="Times New Roman"/>
          <w:sz w:val="24"/>
          <w:szCs w:val="24"/>
        </w:rPr>
        <w:t xml:space="preserve"> </w:t>
      </w:r>
      <w:r w:rsidR="00ED7B57" w:rsidRPr="00922C73">
        <w:rPr>
          <w:rFonts w:ascii="Times New Roman" w:eastAsiaTheme="minorHAnsi" w:hAnsi="Times New Roman" w:cs="Times New Roman"/>
          <w:sz w:val="24"/>
          <w:szCs w:val="24"/>
        </w:rPr>
        <w:t>I</w:t>
      </w:r>
      <w:r w:rsidRPr="00922C73">
        <w:rPr>
          <w:rFonts w:ascii="Times New Roman" w:eastAsiaTheme="minorHAnsi" w:hAnsi="Times New Roman" w:cs="Times New Roman"/>
          <w:sz w:val="24"/>
          <w:szCs w:val="24"/>
        </w:rPr>
        <w:t xml:space="preserve">n contrast to our study, ATI were not assessed at every infusion and therefore ATI positivity may have been underestimated. Our cohort also included patients with UC, whereas the study of Kennedy et al included only those with CD. </w:t>
      </w:r>
    </w:p>
    <w:p w14:paraId="4398A3F3" w14:textId="77777777" w:rsidR="00A91CEA" w:rsidRPr="00922C73" w:rsidRDefault="00A91CEA" w:rsidP="00700BBF">
      <w:pPr>
        <w:spacing w:line="480" w:lineRule="auto"/>
        <w:contextualSpacing/>
        <w:jc w:val="left"/>
        <w:rPr>
          <w:rFonts w:ascii="Times New Roman" w:eastAsiaTheme="minorHAnsi" w:hAnsi="Times New Roman" w:cs="Times New Roman"/>
          <w:sz w:val="24"/>
          <w:szCs w:val="24"/>
        </w:rPr>
      </w:pPr>
    </w:p>
    <w:p w14:paraId="4C3B500C" w14:textId="0D1DF5F5" w:rsidR="00DB58DD" w:rsidRPr="00922C73" w:rsidRDefault="00DB58DD" w:rsidP="00700BBF">
      <w:pPr>
        <w:spacing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By the time of the first maintenance dose, nearly a third of patients had developed positive ATI – associated with lower trough </w:t>
      </w:r>
      <w:r w:rsidR="004A1984" w:rsidRPr="00922C73">
        <w:rPr>
          <w:rFonts w:ascii="Times New Roman" w:eastAsiaTheme="minorHAnsi" w:hAnsi="Times New Roman" w:cs="Times New Roman"/>
          <w:sz w:val="24"/>
          <w:szCs w:val="24"/>
        </w:rPr>
        <w:t>drug</w:t>
      </w:r>
      <w:r w:rsidRPr="00922C73">
        <w:rPr>
          <w:rFonts w:ascii="Times New Roman" w:eastAsiaTheme="minorHAnsi" w:hAnsi="Times New Roman" w:cs="Times New Roman"/>
          <w:sz w:val="24"/>
          <w:szCs w:val="24"/>
        </w:rPr>
        <w:t xml:space="preserve"> levels and a higher risk of rapid treatment failure by the second maintenance dose. A lower </w:t>
      </w:r>
      <w:r w:rsidR="004A1984"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trough level and positive ATI post-induction have been associated with loss of response at long term follow </w:t>
      </w:r>
      <w:r w:rsidR="00677104"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10.1016/j.dld.2017.11.008","ISSN":"15908658","author":[{"dropping-particle":"","family":"Bodini","given":"Giorgia","non-dropping-particle":"","parse-names":false,"suffix":""},{"dropping-particle":"","family":"Giannini","given":"Edoardo G.","non-dropping-particle":"","parse-names":false,"suffix":""},{"dropping-particle":"","family":"Savarino","given":"Vincenzo","non-dropping-particle":"","parse-names":false,"suffix":""},{"dropping-particle":"","family":"Nero","given":"Lorenzo","non-dropping-particle":"Del","parse-names":false,"suffix":""},{"dropping-particle":"","family":"Pumo","given":"Sara","non-dropping-particle":"Lo","parse-names":false,"suffix":""},{"dropping-particle":"","family":"Brunacci","given":"Matteo","non-dropping-particle":"","parse-names":false,"suffix":""},{"dropping-particle":"","family":"Bortoli","given":"Nicola","non-dropping-particle":"De","parse-names":false,"suffix":""},{"dropping-particle":"","family":"Jain","given":"Anjali","non-dropping-particle":"","parse-names":false,"suffix":""},{"dropping-particle":"","family":"Tolone","given":"Salvatore","non-dropping-particle":"","parse-names":false,"suffix":""},{"dropping-particle":"","family":"Savarino","given":"Edoardo","non-dropping-particle":"","parse-names":false,"suffix":""}],"container-title":"Digestive and Liver Disease","id":"ITEM-1","issue":"5","issued":{"date-parts":[["2018","5"]]},"page":"452-456","title":"Infliximab trough levels and persistent vs transient antibodies measured early after induction predict long-term clinical remission in patients with inflammatory bowel disease","type":"article-journal","volume":"50"},"uris":["http://www.mendeley.com/documents/?uuid=9f5bc358-531a-4d98-969c-9ccdec70c1ae"]},{"id":"ITEM-2","itemData":{"DOI":"10.1016/j.crohns.2012.10.019","ISSN":"18739946","author":[{"dropping-particle":"","family":"Bortlik","given":"Martin","non-dropping-particle":"","parse-names":false,"suffix":""},{"dropping-particle":"","family":"Duricova","given":"Dana","non-dropping-particle":"","parse-names":false,"suffix":""},{"dropping-particle":"","family":"Malickova","given":"Karin","non-dropping-particle":"","parse-names":false,"suffix":""},{"dropping-particle":"","family":"Machkova","given":"Nadezda","non-dropping-particle":"","parse-names":false,"suffix":""},{"dropping-particle":"","family":"Bouzkova","given":"Eva","non-dropping-particle":"","parse-names":false,"suffix":""},{"dropping-particle":"","family":"Hrdlicka","given":"Ludek","non-dropping-particle":"","parse-names":false,"suffix":""},{"dropping-particle":"","family":"Komarek","given":"Arnost","non-dropping-particle":"","parse-names":false,"suffix":""},{"dropping-particle":"","family":"Lukas","given":"Milan","non-dropping-particle":"","parse-names":false,"suffix":""}],"container-title":"Journal of Crohn's and Colitis","id":"ITEM-2","issue":"9","issued":{"date-parts":[["2013","10"]]},"page":"736-743","title":"Infliximab trough levels may predict sustained response to infliximab in patients with Crohn's disease","type":"article-journal","volume":"7"},"uris":["http://www.mendeley.com/documents/?uuid=ef9f6e62-05b8-4543-a69e-6b74a854a400"]}],"mendeley":{"formattedCitation":"&lt;sup&gt;134,166&lt;/sup&gt;","plainTextFormattedCitation":"134,166","previouslyFormattedCitation":"&lt;sup&gt;134,166&lt;/sup&gt;"},"properties":{"noteIndex":0},"schema":"https://github.com/citation-style-language/schema/raw/master/csl-citation.json"}</w:instrText>
      </w:r>
      <w:r w:rsidR="00677104"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134,166</w:t>
      </w:r>
      <w:r w:rsidR="00677104"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However, our </w:t>
      </w:r>
      <w:r w:rsidRPr="00922C73">
        <w:rPr>
          <w:rFonts w:ascii="Times New Roman" w:eastAsiaTheme="minorHAnsi" w:hAnsi="Times New Roman" w:cs="Times New Roman"/>
          <w:sz w:val="24"/>
          <w:szCs w:val="24"/>
        </w:rPr>
        <w:lastRenderedPageBreak/>
        <w:t xml:space="preserve">study indicates that treatment failure occurs rapidly in this group with early ATI formation and therefore TDM following induction therapy may be helpful in identifying such patients - who require prompt treatment alteration, especially in those who have received previous </w:t>
      </w:r>
      <w:r w:rsidR="004A1984"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w:t>
      </w:r>
      <w:bookmarkEnd w:id="127"/>
    </w:p>
    <w:p w14:paraId="1A7AB321" w14:textId="77777777" w:rsidR="00DB58DD" w:rsidRPr="00922C73" w:rsidRDefault="00DB58DD" w:rsidP="00700BBF">
      <w:pPr>
        <w:spacing w:line="480" w:lineRule="auto"/>
        <w:contextualSpacing/>
        <w:jc w:val="left"/>
        <w:rPr>
          <w:rFonts w:ascii="Times New Roman" w:eastAsiaTheme="minorHAnsi" w:hAnsi="Times New Roman" w:cs="Times New Roman"/>
          <w:sz w:val="24"/>
          <w:szCs w:val="24"/>
        </w:rPr>
      </w:pPr>
    </w:p>
    <w:p w14:paraId="7036B980" w14:textId="1E6CE7F8" w:rsidR="00DB58DD" w:rsidRPr="00922C73" w:rsidRDefault="00DB58DD" w:rsidP="00700BBF">
      <w:pPr>
        <w:spacing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Median </w:t>
      </w:r>
      <w:r w:rsidR="004A1984" w:rsidRPr="00922C73">
        <w:rPr>
          <w:rFonts w:ascii="Times New Roman" w:eastAsiaTheme="minorHAnsi" w:hAnsi="Times New Roman" w:cs="Times New Roman"/>
          <w:sz w:val="24"/>
          <w:szCs w:val="24"/>
        </w:rPr>
        <w:t xml:space="preserve">infliximab </w:t>
      </w:r>
      <w:r w:rsidRPr="00922C73">
        <w:rPr>
          <w:rFonts w:ascii="Times New Roman" w:eastAsiaTheme="minorHAnsi" w:hAnsi="Times New Roman" w:cs="Times New Roman"/>
          <w:sz w:val="24"/>
          <w:szCs w:val="24"/>
        </w:rPr>
        <w:t xml:space="preserve">levels in both ATI positive and negative patients were subtherapeutic. This is in marked contrast to the lower rate of subtherapeutic levels seen in 30% in the TAXIT study </w:t>
      </w:r>
      <w:r w:rsidR="00677104"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mendeley":{"formattedCitation":"&lt;sup&gt;120&lt;/sup&gt;","plainTextFormattedCitation":"120","previouslyFormattedCitation":"&lt;sup&gt;120&lt;/sup&gt;"},"properties":{"noteIndex":0},"schema":"https://github.com/citation-style-language/schema/raw/master/csl-citation.json"}</w:instrText>
      </w:r>
      <w:r w:rsidR="00677104"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120</w:t>
      </w:r>
      <w:r w:rsidR="00677104"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Yet our findings are consistent with other real-world data. A prospective study - using the same assay as our centre - showed median subtherapeutic </w:t>
      </w:r>
      <w:r w:rsidR="004A1984"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trough level of 0.9 ug/mL in 138 CD patients </w:t>
      </w:r>
      <w:r w:rsidR="00C60D59" w:rsidRPr="00922C73">
        <w:rPr>
          <w:rFonts w:ascii="Times New Roman" w:eastAsiaTheme="minorHAnsi" w:hAnsi="Times New Roman" w:cs="Times New Roman"/>
          <w:sz w:val="24"/>
          <w:szCs w:val="24"/>
        </w:rPr>
        <w:fldChar w:fldCharType="begin" w:fldLock="1"/>
      </w:r>
      <w:r w:rsidR="00A00D49" w:rsidRPr="00922C73">
        <w:rPr>
          <w:rFonts w:ascii="Times New Roman" w:eastAsiaTheme="minorHAnsi" w:hAnsi="Times New Roman" w:cs="Times New Roman"/>
          <w:sz w:val="24"/>
          <w:szCs w:val="24"/>
        </w:rPr>
        <w:instrText>ADDIN CSL_CITATION {"citationItems":[{"id":"ITEM-1","itemData":{"DOI":"10.3748/wjg.v23.i8.1489","ISSN":"1007-9327","author":[{"dropping-particle":"","family":"Oh","given":"Eun Hye","non-dropping-particle":"","parse-names":false,"suffix":""},{"dropping-particle":"","family":"Ko","given":"Dae-Hyun","non-dropping-particle":"","parse-names":false,"suffix":""},{"dropping-particle":"","family":"Seo","given":"Hyungil","non-dropping-particle":"","parse-names":false,"suffix":""},{"dropping-particle":"","family":"Chang","given":"Kiju","non-dropping-particle":"","parse-names":false,"suffix":""},{"dropping-particle":"","family":"Kim","given":"Gwang-Un","non-dropping-particle":"","parse-names":false,"suffix":""},{"dropping-particle":"","family":"Song","given":"Eun Mi","non-dropping-particle":"","parse-names":false,"suffix":""},{"dropping-particle":"","family":"Seo","given":"Myeongsook","non-dropping-particle":"","parse-names":false,"suffix":""},{"dropping-particle":"","family":"Lee","given":"Ho-Su","non-dropping-particle":"","parse-names":false,"suffix":""},{"dropping-particle":"","family":"Hwang","given":"Sung Wook","non-dropping-particle":"","parse-names":false,"suffix":""},{"dropping-particle":"","family":"Yang","given":"Dong-Hoon","non-dropping-particle":"","parse-names":false,"suffix":""},{"dropping-particle":"","family":"Ye","given":"Byong Duk","non-dropping-particle":"","parse-names":false,"suffix":""},{"dropping-particle":"","family":"Byeon","given":"Jeong-Sik","non-dropping-particle":"","parse-names":false,"suffix":""},{"dropping-particle":"","family":"Myung","given":"Seung-Jae","non-dropping-particle":"","parse-names":false,"suffix":""},{"dropping-particle":"","family":"Yang","given":"Suk-Kyun","non-dropping-particle":"","parse-names":false,"suffix":""},{"dropping-particle":"","family":"Park","given":"Sang Hyoung","non-dropping-particle":"","parse-names":false,"suffix":""}],"container-title":"World Journal of Gastroenterology","id":"ITEM-1","issue":"8","issued":{"date-parts":[["2017"]]},"page":"1489","title":"Clinical correlations of infliximab trough levels and antibodies to infliximab in South Korean patients with Crohn’s disease","type":"article-journal","volume":"23"},"uris":["http://www.mendeley.com/documents/?uuid=cbee6c31-ee9e-4d28-912a-a0961f4f2c64"]}],"mendeley":{"formattedCitation":"&lt;sup&gt;167&lt;/sup&gt;","plainTextFormattedCitation":"167","previouslyFormattedCitation":"&lt;sup&gt;167&lt;/sup&gt;"},"properties":{"noteIndex":0},"schema":"https://github.com/citation-style-language/schema/raw/master/csl-citation.json"}</w:instrText>
      </w:r>
      <w:r w:rsidR="00C60D59" w:rsidRPr="00922C73">
        <w:rPr>
          <w:rFonts w:ascii="Times New Roman" w:eastAsiaTheme="minorHAnsi" w:hAnsi="Times New Roman" w:cs="Times New Roman"/>
          <w:sz w:val="24"/>
          <w:szCs w:val="24"/>
        </w:rPr>
        <w:fldChar w:fldCharType="separate"/>
      </w:r>
      <w:r w:rsidR="00C80274" w:rsidRPr="00922C73">
        <w:rPr>
          <w:rFonts w:ascii="Times New Roman" w:eastAsiaTheme="minorHAnsi" w:hAnsi="Times New Roman" w:cs="Times New Roman"/>
          <w:noProof/>
          <w:sz w:val="24"/>
          <w:szCs w:val="24"/>
          <w:vertAlign w:val="superscript"/>
        </w:rPr>
        <w:t>167</w:t>
      </w:r>
      <w:r w:rsidR="00C60D59"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Another study reported that 52% of their IBD cohort had subtherapeutic </w:t>
      </w:r>
      <w:r w:rsidR="004A1984" w:rsidRPr="00922C73">
        <w:rPr>
          <w:rFonts w:ascii="Times New Roman" w:eastAsiaTheme="minorHAnsi" w:hAnsi="Times New Roman" w:cs="Times New Roman"/>
          <w:sz w:val="24"/>
          <w:szCs w:val="24"/>
        </w:rPr>
        <w:t>drug</w:t>
      </w:r>
      <w:r w:rsidRPr="00922C73">
        <w:rPr>
          <w:rFonts w:ascii="Times New Roman" w:eastAsiaTheme="minorHAnsi" w:hAnsi="Times New Roman" w:cs="Times New Roman"/>
          <w:sz w:val="24"/>
          <w:szCs w:val="24"/>
        </w:rPr>
        <w:t xml:space="preserve"> levels </w:t>
      </w:r>
      <w:r w:rsidR="00C60D59" w:rsidRPr="00922C73">
        <w:rPr>
          <w:rFonts w:ascii="Times New Roman" w:eastAsiaTheme="minorHAnsi" w:hAnsi="Times New Roman" w:cs="Times New Roman"/>
          <w:sz w:val="24"/>
          <w:szCs w:val="24"/>
        </w:rPr>
        <w:fldChar w:fldCharType="begin" w:fldLock="1"/>
      </w:r>
      <w:r w:rsidR="00A00D49" w:rsidRPr="00922C73">
        <w:rPr>
          <w:rFonts w:ascii="Times New Roman" w:eastAsiaTheme="minorHAnsi" w:hAnsi="Times New Roman" w:cs="Times New Roman"/>
          <w:sz w:val="24"/>
          <w:szCs w:val="24"/>
        </w:rPr>
        <w:instrText>ADDIN CSL_CITATION {"citationItems":[{"id":"ITEM-1","itemData":{"DOI":"10.1093/ecco-jcc/jjx002.492","ISSN":"1873-9946","author":[{"dropping-particle":"","family":"Lobaton","given":"T.","non-dropping-particle":"","parse-names":false,"suffix":""},{"dropping-particle":"","family":"Cañete","given":"F.","non-dropping-particle":"","parse-names":false,"suffix":""},{"dropping-particle":"","family":"Teniente","given":"A.","non-dropping-particle":"","parse-names":false,"suffix":""},{"dropping-particle":"","family":"Cabre","given":"E.","non-dropping-particle":"","parse-names":false,"suffix":""},{"dropping-particle":"","family":"Mañosa","given":"M.","non-dropping-particle":"","parse-names":false,"suffix":""},{"dropping-particle":"","family":"Martínez","given":"E.","non-dropping-particle":"","parse-names":false,"suffix":""},{"dropping-particle":"","family":"Domènech","given":"E.","non-dropping-particle":"","parse-names":false,"suffix":""}],"container-title":"Journal of Crohn's and Colitis","id":"ITEM-1","issue":"suppl_1","issued":{"date-parts":[["2017","2","1"]]},"page":"S265-S265","title":"P367 The availability of infliximab trough levels in IBD patients on maintenance therapy deeply impacts therapeutic decision-making","type":"article-journal","volume":"11"},"uris":["http://www.mendeley.com/documents/?uuid=65a6c331-068a-4efc-91ec-ec270c99f91f"]}],"mendeley":{"formattedCitation":"&lt;sup&gt;168&lt;/sup&gt;","plainTextFormattedCitation":"168","previouslyFormattedCitation":"&lt;sup&gt;168&lt;/sup&gt;"},"properties":{"noteIndex":0},"schema":"https://github.com/citation-style-language/schema/raw/master/csl-citation.json"}</w:instrText>
      </w:r>
      <w:r w:rsidR="00C60D59" w:rsidRPr="00922C73">
        <w:rPr>
          <w:rFonts w:ascii="Times New Roman" w:eastAsiaTheme="minorHAnsi" w:hAnsi="Times New Roman" w:cs="Times New Roman"/>
          <w:sz w:val="24"/>
          <w:szCs w:val="24"/>
        </w:rPr>
        <w:fldChar w:fldCharType="separate"/>
      </w:r>
      <w:r w:rsidR="00C80274" w:rsidRPr="00922C73">
        <w:rPr>
          <w:rFonts w:ascii="Times New Roman" w:eastAsiaTheme="minorHAnsi" w:hAnsi="Times New Roman" w:cs="Times New Roman"/>
          <w:noProof/>
          <w:sz w:val="24"/>
          <w:szCs w:val="24"/>
          <w:vertAlign w:val="superscript"/>
        </w:rPr>
        <w:t>168</w:t>
      </w:r>
      <w:r w:rsidR="00C60D59"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using a lower threshold of &lt; 2 µg/mL </w:t>
      </w:r>
      <w:r w:rsidR="00C60D59" w:rsidRPr="00922C73">
        <w:rPr>
          <w:rFonts w:ascii="Times New Roman" w:eastAsiaTheme="minorHAnsi" w:hAnsi="Times New Roman" w:cs="Times New Roman"/>
          <w:sz w:val="24"/>
          <w:szCs w:val="24"/>
        </w:rPr>
        <w:t xml:space="preserve">as subtherapeutic. </w:t>
      </w:r>
      <w:r w:rsidRPr="00922C73">
        <w:rPr>
          <w:rFonts w:ascii="Times New Roman" w:eastAsiaTheme="minorHAnsi" w:hAnsi="Times New Roman" w:cs="Times New Roman"/>
          <w:sz w:val="24"/>
          <w:szCs w:val="24"/>
        </w:rPr>
        <w:t xml:space="preserve">Assays can vary in their detection of </w:t>
      </w:r>
      <w:r w:rsidR="00C917A5"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levels</w:t>
      </w:r>
      <w:r w:rsidR="00C60D59" w:rsidRPr="00922C73">
        <w:rPr>
          <w:rFonts w:ascii="Times New Roman" w:eastAsiaTheme="minorHAnsi" w:hAnsi="Times New Roman" w:cs="Times New Roman"/>
          <w:sz w:val="24"/>
          <w:szCs w:val="24"/>
        </w:rPr>
        <w:t xml:space="preserve"> </w:t>
      </w:r>
      <w:r w:rsidR="00C60D59" w:rsidRPr="00922C73">
        <w:rPr>
          <w:rFonts w:ascii="Times New Roman" w:eastAsiaTheme="minorHAnsi" w:hAnsi="Times New Roman" w:cs="Times New Roman"/>
          <w:sz w:val="24"/>
          <w:szCs w:val="24"/>
        </w:rPr>
        <w:fldChar w:fldCharType="begin" w:fldLock="1"/>
      </w:r>
      <w:r w:rsidR="00A00D49" w:rsidRPr="00922C73">
        <w:rPr>
          <w:rFonts w:ascii="Times New Roman" w:eastAsiaTheme="minorHAnsi" w:hAnsi="Times New Roman" w:cs="Times New Roman"/>
          <w:sz w:val="24"/>
          <w:szCs w:val="24"/>
        </w:rPr>
        <w:instrText>ADDIN CSL_CITATION {"citationItems":[{"id":"ITEM-1","itemData":{"DOI":"10.1373/jalm.2018.027136","ISSN":"2576-9456","author":[{"dropping-particle":"","family":"Perry","given":"Mandy H","non-dropping-particle":"","parse-names":false,"suffix":""},{"dropping-particle":"","family":"McDonald","given":"Timothy J","non-dropping-particle":"","parse-names":false,"suffix":""}],"container-title":"The Journal of Applied Laboratory Medicine","id":"ITEM-1","issue":"3","issued":{"date-parts":[["2018","11","1"]]},"page":"515-517","title":"Method Comparison Between ELISAs Suggests Therapeutic Ranges for Infliximab Should Be Assay-Specific","type":"article-journal","volume":"3"},"uris":["http://www.mendeley.com/documents/?uuid=265e8f0c-5e7d-49b4-8c9e-204a9790f010"]}],"mendeley":{"formattedCitation":"&lt;sup&gt;169&lt;/sup&gt;","plainTextFormattedCitation":"169","previouslyFormattedCitation":"&lt;sup&gt;169&lt;/sup&gt;"},"properties":{"noteIndex":0},"schema":"https://github.com/citation-style-language/schema/raw/master/csl-citation.json"}</w:instrText>
      </w:r>
      <w:r w:rsidR="00C60D59" w:rsidRPr="00922C73">
        <w:rPr>
          <w:rFonts w:ascii="Times New Roman" w:eastAsiaTheme="minorHAnsi" w:hAnsi="Times New Roman" w:cs="Times New Roman"/>
          <w:sz w:val="24"/>
          <w:szCs w:val="24"/>
        </w:rPr>
        <w:fldChar w:fldCharType="separate"/>
      </w:r>
      <w:r w:rsidR="00C80274" w:rsidRPr="00922C73">
        <w:rPr>
          <w:rFonts w:ascii="Times New Roman" w:eastAsiaTheme="minorHAnsi" w:hAnsi="Times New Roman" w:cs="Times New Roman"/>
          <w:noProof/>
          <w:sz w:val="24"/>
          <w:szCs w:val="24"/>
          <w:vertAlign w:val="superscript"/>
        </w:rPr>
        <w:t>169</w:t>
      </w:r>
      <w:r w:rsidR="00C60D59"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but this disparity should improve with the introduction of an international standard </w:t>
      </w:r>
      <w:r w:rsidR="00C60D59" w:rsidRPr="00922C73">
        <w:rPr>
          <w:rFonts w:ascii="Times New Roman" w:eastAsiaTheme="minorHAnsi" w:hAnsi="Times New Roman" w:cs="Times New Roman"/>
          <w:sz w:val="24"/>
          <w:szCs w:val="24"/>
        </w:rPr>
        <w:fldChar w:fldCharType="begin" w:fldLock="1"/>
      </w:r>
      <w:r w:rsidR="00A00D49" w:rsidRPr="00922C73">
        <w:rPr>
          <w:rFonts w:ascii="Times New Roman" w:eastAsiaTheme="minorHAnsi" w:hAnsi="Times New Roman" w:cs="Times New Roman"/>
          <w:sz w:val="24"/>
          <w:szCs w:val="24"/>
        </w:rPr>
        <w:instrText>ADDIN CSL_CITATION {"citationItems":[{"id":"ITEM-1","itemData":{"DOI":"10.1080/19420862.2018.1532766","ISSN":"1942-0862","author":[{"dropping-particle":"","family":"Metcalfe","given":"Clive","non-dropping-particle":"","parse-names":false,"suffix":""},{"dropping-particle":"","family":"Dougall","given":"Thomas","non-dropping-particle":"","parse-names":false,"suffix":""},{"dropping-particle":"","family":"Bird","given":"Chris","non-dropping-particle":"","parse-names":false,"suffix":""},{"dropping-particle":"","family":"Rigsby","given":"Peter","non-dropping-particle":"","parse-names":false,"suffix":""},{"dropping-particle":"","family":"Behr-Gross","given":"Marie-Emmanuelle","non-dropping-particle":"","parse-names":false,"suffix":""},{"dropping-particle":"","family":"Wadhwa","given":"Meenu","non-dropping-particle":"","parse-names":false,"suffix":""},{"dropping-particle":"","family":"Study","given":"participants of the","non-dropping-particle":"","parse-names":false,"suffix":""}],"container-title":"mAbs","id":"ITEM-1","issue":"1","issued":{"date-parts":[["2019","1","2"]]},"page":"13-25","title":"The first World Health Organization International Standard for infliximab products: A step towards maintaining harmonized biological activity","type":"article-journal","volume":"11"},"uris":["http://www.mendeley.com/documents/?uuid=9d3d35dd-bede-4a4c-8098-85ecc7398bd2"]}],"mendeley":{"formattedCitation":"&lt;sup&gt;170&lt;/sup&gt;","plainTextFormattedCitation":"170","previouslyFormattedCitation":"&lt;sup&gt;170&lt;/sup&gt;"},"properties":{"noteIndex":0},"schema":"https://github.com/citation-style-language/schema/raw/master/csl-citation.json"}</w:instrText>
      </w:r>
      <w:r w:rsidR="00C60D59" w:rsidRPr="00922C73">
        <w:rPr>
          <w:rFonts w:ascii="Times New Roman" w:eastAsiaTheme="minorHAnsi" w:hAnsi="Times New Roman" w:cs="Times New Roman"/>
          <w:sz w:val="24"/>
          <w:szCs w:val="24"/>
        </w:rPr>
        <w:fldChar w:fldCharType="separate"/>
      </w:r>
      <w:r w:rsidR="00C80274" w:rsidRPr="00922C73">
        <w:rPr>
          <w:rFonts w:ascii="Times New Roman" w:eastAsiaTheme="minorHAnsi" w:hAnsi="Times New Roman" w:cs="Times New Roman"/>
          <w:noProof/>
          <w:sz w:val="24"/>
          <w:szCs w:val="24"/>
          <w:vertAlign w:val="superscript"/>
        </w:rPr>
        <w:t>170</w:t>
      </w:r>
      <w:r w:rsidR="00C60D59"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w:t>
      </w:r>
    </w:p>
    <w:p w14:paraId="7E774C65" w14:textId="77777777" w:rsidR="00DB58DD" w:rsidRPr="00922C73" w:rsidRDefault="00DB58DD" w:rsidP="00700BBF">
      <w:pPr>
        <w:spacing w:line="480" w:lineRule="auto"/>
        <w:contextualSpacing/>
        <w:jc w:val="left"/>
        <w:rPr>
          <w:rFonts w:eastAsiaTheme="minorHAnsi"/>
        </w:rPr>
      </w:pPr>
    </w:p>
    <w:p w14:paraId="7A4AE6C8" w14:textId="3D6AB7A3" w:rsidR="00DB58DD" w:rsidRPr="00922C73" w:rsidRDefault="00DB58DD" w:rsidP="00700BBF">
      <w:pPr>
        <w:spacing w:after="0" w:line="480" w:lineRule="auto"/>
        <w:contextualSpacing/>
        <w:jc w:val="left"/>
        <w:rPr>
          <w:rFonts w:ascii="Times New Roman" w:hAnsi="Times New Roman" w:cs="Times New Roman"/>
          <w:sz w:val="24"/>
          <w:szCs w:val="24"/>
          <w:shd w:val="clear" w:color="auto" w:fill="FFFFFF"/>
        </w:rPr>
      </w:pPr>
      <w:r w:rsidRPr="00922C73">
        <w:rPr>
          <w:rFonts w:ascii="Times New Roman" w:eastAsiaTheme="minorHAnsi" w:hAnsi="Times New Roman" w:cs="Times New Roman"/>
          <w:sz w:val="24"/>
          <w:szCs w:val="24"/>
        </w:rPr>
        <w:t xml:space="preserve">We have also described here the late development of </w:t>
      </w:r>
      <w:r w:rsidR="00C917A5" w:rsidRPr="00922C73">
        <w:rPr>
          <w:rFonts w:ascii="Times New Roman" w:eastAsiaTheme="minorHAnsi" w:hAnsi="Times New Roman" w:cs="Times New Roman"/>
          <w:sz w:val="24"/>
          <w:szCs w:val="24"/>
        </w:rPr>
        <w:t>ATI</w:t>
      </w:r>
      <w:r w:rsidRPr="00922C73">
        <w:rPr>
          <w:rFonts w:ascii="Times New Roman" w:eastAsiaTheme="minorHAnsi" w:hAnsi="Times New Roman" w:cs="Times New Roman"/>
          <w:sz w:val="24"/>
          <w:szCs w:val="24"/>
        </w:rPr>
        <w:t>. The risk of antibody development seems to be present throughout treatment with</w:t>
      </w:r>
      <w:r w:rsidR="00C917A5" w:rsidRPr="00922C73">
        <w:rPr>
          <w:rFonts w:ascii="Times New Roman" w:eastAsiaTheme="minorHAnsi" w:hAnsi="Times New Roman" w:cs="Times New Roman"/>
          <w:sz w:val="24"/>
          <w:szCs w:val="24"/>
        </w:rPr>
        <w:t xml:space="preserve"> infliximab</w:t>
      </w:r>
      <w:r w:rsidRPr="00922C73">
        <w:rPr>
          <w:rFonts w:ascii="Times New Roman" w:eastAsiaTheme="minorHAnsi" w:hAnsi="Times New Roman" w:cs="Times New Roman"/>
          <w:sz w:val="24"/>
          <w:szCs w:val="24"/>
        </w:rPr>
        <w:t xml:space="preserve"> but is highest in the first 12 months of treatment </w:t>
      </w:r>
      <w:r w:rsidR="00C917A5" w:rsidRPr="00922C73">
        <w:rPr>
          <w:rFonts w:ascii="Times New Roman" w:eastAsiaTheme="minorHAnsi" w:hAnsi="Times New Roman" w:cs="Times New Roman"/>
          <w:sz w:val="24"/>
          <w:szCs w:val="24"/>
        </w:rPr>
        <w:t>as</w:t>
      </w:r>
      <w:r w:rsidRPr="00922C73">
        <w:rPr>
          <w:rFonts w:ascii="Times New Roman" w:eastAsiaTheme="minorHAnsi" w:hAnsi="Times New Roman" w:cs="Times New Roman"/>
          <w:sz w:val="24"/>
          <w:szCs w:val="24"/>
        </w:rPr>
        <w:t xml:space="preserve"> nearly 80% of patients developed ATI during this period. This agrees with previous findings that ATI most commonly occur within the first year of treatment </w:t>
      </w:r>
      <w:r w:rsidR="00BD5A64"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{"citationItems":[{"id":"ITEM-1","itemData":{"DOI":"10.1136/gutjnl-2013-305259","ISBN":"0017-5749","ISSN":"0017-5749","PMID":"24041539","abstract":"OBJECTIVE: To characterise the temporal evolution of antibodies to infliximab (ATI). DESIGN: Prospective observational study of infliximab-treated patients with inflammatory bowel disease between 2009 and 2012. INTERVENTIONS: Trough levels of infliximab and ATI were measured before each infusion by anti-λ ELISA. Patients were monitored for disease activity by clinical activity indexes and for dose-intensification or infliximab cessation. The occurrence of transient ATI disappearing spontaneously without intervention was recorded separately. RESULTS: 125 patients were included (98 Crohn's disease, 27 ulcerative colitis, median follow-up 11.5±22 months) and 1119 sera were analysed for infliximab and ATI levels. Kaplan-Meier analysis showed that 42% of patients remained ATI-free by 4 years of treatment. Most (90%) of the patients who developed ATI did so within the first 12 months of therapy, whereas transient ATI were detected throughout the duration of infliximab therapy (p&lt;0.001). ATI incidence was similar between patients who received infliximab previously (episodic/interrupted therapy patients, n=14) and scheduled-therapy patients (n=111). In the scheduled group, combination immunomodulator+infliximab resulted in longer ATI-free survival compared with monotherapy (p=0.003, logrank test). Survival free of clinical loss of response was enjoyed by 51% of patients, and serial measurements showed that ATI development often preceded the onset of clinical flare. CONCLUSIONS: When followed prospectively, most patients who develop ATI do so within the first 12 months of therapy. This incidence is reduced by concomitant immunomodulator even in scheduled-therapy patients. In contrast, transient ATI, which are of little clinical significance, can appear haphazardly at any time during treatment. The onset of clinical loss of response may lag behind the appearance of anti-infliximab antibodies.","author":[{"dropping-particle":"","family":"Ungar","given":"Bella","non-dropping-particle":"","parse-names":false,"suffix":""},{"dropping-particle":"","family":"Chowers","given":"Yehuda","non-dropping-particle":"","parse-names":false,"suffix":""},{"dropping-particle":"","family":"Yavzori","given":"Miri","non-dropping-particle":"","parse-names":false,"suffix":""},{"dropping-particle":"","family":"Picard","given":"Orit","non-dropping-particle":"","parse-names":false,"suffix":""},{"dropping-particle":"","family":"Fudim","given":"Ella","non-dropping-particle":"","parse-names":false,"suffix":""},{"dropping-particle":"","family":"Har-Noy","given":"Ofir","non-dropping-particle":"","parse-names":false,"suffix":""},{"dropping-particle":"","family":"Kopylov","given":"Uri","non-dropping-particle":"","parse-names":false,"suffix":""},{"dropping-particle":"","family":"Eliakim","given":"Rami","non-dropping-particle":"","parse-names":false,"suffix":""},{"dropping-particle":"","family":"Ben-Horin","given":"Shomron","non-dropping-particle":"","parse-names":false,"suffix":""}],"container-title":"Gut","id":"ITEM-1","issue":"8","issued":{"date-parts":[["2014","8"]]},"page":"1258-1264","title":"The temporal evolution of antidrug antibodies in patients with inflammatory bowel disease treated with infliximab","type":"article-journal","volume":"63"},"uris":["http://www.mendeley.com/documents/?uuid=22938eaa-88d8-44e4-a3f4-676386a86637"]}],"mendeley":{"formattedCitation":"&lt;sup&gt;129&lt;/sup&gt;","plainTextFormattedCitation":"129","previouslyFormattedCitation":"&lt;sup&gt;129&lt;/sup&gt;"},"properties":{"noteIndex":0},"schema":"https://github.com/citation-style-language/schema/raw/master/csl-citation.json"}</w:instrText>
      </w:r>
      <w:r w:rsidR="00BD5A64"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129</w:t>
      </w:r>
      <w:r w:rsidR="00BD5A64"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However, 21% patients did develop ATI beyond 12 months of treatment, and in one patient, </w:t>
      </w:r>
      <w:r w:rsidR="00BD5A64" w:rsidRPr="00922C73">
        <w:rPr>
          <w:rFonts w:ascii="Times New Roman" w:eastAsiaTheme="minorHAnsi" w:hAnsi="Times New Roman" w:cs="Times New Roman"/>
          <w:sz w:val="24"/>
          <w:szCs w:val="24"/>
        </w:rPr>
        <w:t xml:space="preserve">ATI </w:t>
      </w:r>
      <w:r w:rsidRPr="00922C73">
        <w:rPr>
          <w:rFonts w:ascii="Times New Roman" w:eastAsiaTheme="minorHAnsi" w:hAnsi="Times New Roman" w:cs="Times New Roman"/>
          <w:sz w:val="24"/>
          <w:szCs w:val="24"/>
        </w:rPr>
        <w:t xml:space="preserve">developed at 77 months. The protective effect of thiopurines and methotrexate in ATI formation has been established </w:t>
      </w:r>
      <w:r w:rsidR="00BD5A64"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Medicine","id":"ITEM-1","issue":"7","issued":{"date-parts":[["2003","2","13"]]},"page":"601-608","title":"Influence of Immunogenicity on the Long-Term Efficacy of Infliximab in Crohn's Disease","type":"article-journal","volume":"348"},"uris":["http://www.mendeley.com/documents/?uuid=a7f617eb-fb32-4b78-b0e6-6fa31fb61500"]},{"id":"ITEM-2","itemData":{"DOI":"10.1056/NEJMoa030815","ISBN":"00284793","ISSN":"0028-4793","PMID":"14985485","abstract":"BACKGROUND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Medicine","id":"ITEM-2","issue":"9","issued":{"date-parts":[["2004","2","26"]]},"page":"876-885","title":"Infliximab Maintenance Therapy for Fistulizing Crohn's Disease","type":"article-journal","volume":"350"},"uris":["http://www.mendeley.com/documents/?uuid=d5a74abf-713b-45ca-9e76-608b0a3dc258"]},{"id":"ITEM-3","itemData":{"DOI":"10.1097/00005176-200405000-00008","ISSN":"0277-2116","author":[{"dropping-particle":"","family":"Miele","given":"Erasmo","non-dropping-particle":"","parse-names":false,"suffix":""},{"dropping-particle":"","family":"Markowitz","given":"Jonathan E.","non-dropping-particle":"","parse-names":false,"suffix":""},{"dropping-particle":"","family":"Mamula","given":"Petar","non-dropping-particle":"","parse-names":false,"suffix":""},{"dropping-particle":"","family":"Baldassano","given":"Robert N.","non-dropping-particle":"","parse-names":false,"suffix":""}],"container-title":"Journal of Pediatric Gastroenterology and Nutrition","id":"ITEM-3","issue":"5","issued":{"date-parts":[["2004","5"]]},"page":"502-508","title":"Human Antichimeric Antibody in Children and Young Adults with Inflammatory Bowel Disease Receiving Infliximab","type":"article-journal","volume":"38"},"uris":["http://www.mendeley.com/documents/?uuid=51de584f-6705-4e38-8c06-69138d140794"]},{"id":"ITEM-4","itemData":{"DOI":"10.1136/gut.2006.099978","ISBN":"0017-5749 (Print)\\r0017-5749 (Linking)","ISSN":"0017-5749","PMID":"17229796","abstract":"BACKGROUND: Episodic infliximab (IFX) treatment is associated with the formation of antibodies to IFX (ATIs) in the majority of patients, which can lead to infusion reactions and a shorter duration of response. Concomitant use of immunosuppressives (IS) reduces the risk of ATI formation. AIMS AND METHODS: To investigate which of the IS-that is, methotrexate (MTX) or azathioprine (AZA)-is most effective at reducing the risk of ATI formation, a multicentre cohort of 174 patients with Crohn's disease, treated with IFX in an on-demand schedule, was prospectively studied. Three groups were studied: no IS (n = 59), concomitant MTX (n = 50) and concomitant AZA (n = 65). ATI and IFX concentrations were measured in a blinded manner at Prometheus Laboratories before and 4 weeks after each infusion. RESULTS: ATIs were detected in 55% (96/174) of the patients. The concomitant use of IS therapy (AZA or MTX) was associated with a lower incidence of ATIs (53/115; 46%) compared with patients not taking concomitant IS therapy (43/59; 73%; p&lt;0.001). The incidence of ATIs was not different for the MTX group (44%) compared with the AZA group (48%). Patients not taking IS therapy had lower IFX levels (median 2.42 microg/ml (interquartile range (IQR) 1-10.8), maximum 21 microg/ml) 4 weeks after any follow-up infusion than patients taking concomitant IS therapy (median 6.45 microg/ml (IQR 3-11.6), maximum 21 microg/ml; p = 0.065), but there was no difference between MTX or AZA. In patients who developed significant ATIs &gt;8 microg/ml during follow-up, the IFX levels 4 weeks after the first infusion were retrospectively found to be significantly lower than in patients who did not develop ATIs on follow-up or had inconclusive ATIs. CONCLUSION: Concomitant IS therapy reduces ATI formation associated with IFX treatment and improves the pharmacokinetics of IFX. There is no difference between MTX and AZA in reducing these risks. ATI profoundly influences the pharmacokinetics of IFX. The formation of ATIs &gt;8 microg/ml is associated with lower serum levels of IFX already at 4 weeks after its first administration.","author":[{"dropping-particle":"","family":"Vermeire","given":"S.","non-dropping-particle":"","parse-names":false,"suffix":""},{"dropping-particle":"","family":"Noman","given":"M.","non-dropping-particle":"","parse-names":false,"suffix":""},{"dropping-particle":"","family":"Assche","given":"G.","non-dropping-particle":"Van","parse-names":false,"suffix":""},{"dropping-particle":"","family":"Baert","given":"F.","non-dropping-particle":"","parse-names":false,"suffix":""},{"dropping-particle":"","family":"D'Haens","given":"G.","non-dropping-particle":"","parse-names":false,"suffix":""},{"dropping-particle":"","family":"Rutgeerts","given":"P.","non-dropping-particle":"","parse-names":false,"suffix":""}],"container-title":"Gut","id":"ITEM-4","issue":"9","issued":{"date-parts":[["2007","4"]]},"page":"1226-1231","title":"Effectiveness of concomitant immunosuppressive therapy in suppressing the formation of antibodies to infliximab in Crohn's disease","type":"article-journal","volume":"56"},"uris":["http://www.mendeley.com/documents/?uuid=4523f3ea-618f-418c-956d-ea41de61efe0"]},{"id":"ITEM-5","itemData":{"DOI":"10.1053/j.gastro.2013.11.024","ISBN":"00165085","ISSN":"00165085","PMID":"24269926","abstract":"Background &amp; Aims Methotrexate and infliximab are effective therapies for Crohn's disease (CD). In the combination of maintenance methotrexate- infliximab trial, we evaluated the potential superiority of combination therapy over infliximab alone. Methods In a 50-week, double-blind, placebo-controlled trial, we compared methotrexate and infliximab with infliximab alone in 126 patients with CD who had initiated prednisone induction therapy (15-40 mg/day) within the preceding 6 weeks. Patients were assigned randomly to groups given methotrexate at an initial weekly dose of 10 mg, escalating to 25 mg/week (n = 63), or placebo (n = 63). Both groups received infliximab (5 mg/kg of body weight) at weeks 1, 3, 7, and 14, and every 8 weeks thereafter. Prednisone was tapered, beginning at week 1, and discontinued no later than week 14. The primary outcome was time to treatment failure, defined as a lack of prednisone-free remission (CD Activity Index, &lt;150) at week 14 or failure to maintain remission through week 50. Results Patients' baseline characteristics were similar between groups. By week 50, the actuarial rate of treatment failure was 30.6% in the combination therapy group compared with 29.8% in the infliximab monotherapy group (P =.63; hazard ratio, 1.16; 95% confidence interval, 0.62-2.17). Prespecified subgroup analyses failed to show a benefit in patients with short disease duration or an increased level of C-reactive protein. No clinically meaningful differences were observed in secondary outcomes. Combination therapy was well tolerated. Conclusions The combination of infliximab and methotrexate, although safe, was no more effective than infliximab alone in patients with CD receiving treatment with prednisone. ClincialTrials.gov number, NCT00132899. © 2014 by the AGA Institute.","author":[{"dropping-particle":"","family":"Feagan","given":"Brian G.","non-dropping-particle":"","parse-names":false,"suffix":""},{"dropping-particle":"","family":"McDonald","given":"John W.D.","non-dropping-particle":"","parse-names":false,"suffix":""},{"dropping-particle":"","family":"Panaccione","given":"Remo","non-dropping-particle":"","parse-names":false,"suffix":""},{"dropping-particle":"","family":"Enns","given":"Robert A.","non-dropping-particle":"","parse-names":false,"suffix":""},{"dropping-particle":"","family":"Bernstein","given":"Charles N.","non-dropping-particle":"","parse-names":false,"suffix":""},{"dropping-particle":"","family":"Ponich","given":"Terry P.","non-dropping-particle":"","parse-names":false,"suffix":""},{"dropping-particle":"","family":"Bourdages","given":"Raymond","non-dropping-particle":"","parse-names":false,"suffix":""},{"dropping-particle":"","family":"MacIntosh","given":"Donald G.","non-dropping-particle":"","parse-names":false,"suffix":""},{"dropping-particle":"","family":"Dallaire","given":"Chrystian","non-dropping-particle":"","parse-names":false,"suffix":""},{"dropping-particle":"","family":"Cohen","given":"Albert","non-dropping-particle":"","parse-names":false,"suffix":""},{"dropping-particle":"","family":"Fedorak","given":"Richard N.","non-dropping-particle":"","parse-names":false,"suffix":""},{"dropping-particle":"","family":"Paré","given":"Pierre","non-dropping-particle":"","parse-names":false,"suffix":""},{"dropping-particle":"","family":"Bitton","given":"Alain","non-dropping-particle":"","parse-names":false,"suffix":""},{"dropping-particle":"","family":"Saibil","given":"Fred","non-dropping-particle":"","parse-names":false,"suffix":""},{"dropping-particle":"","family":"Anderson","given":"Frank","non-dropping-particle":"","parse-names":false,"suffix":""},{"dropping-particle":"","family":"Donner","given":"Allan","non-dropping-particle":"","parse-names":false,"suffix":""},{"dropping-particle":"","family":"Wong","given":"Cindy J.","non-dropping-particle":"","parse-names":false,"suffix":""},{"dropping-particle":"","family":"Zou","given":"Guangyong","non-dropping-particle":"","parse-names":false,"suffix":""},{"dropping-particle":"","family":"Vandervoort","given":"Margaret K.","non-dropping-particle":"","parse-names":false,"suffix":""},{"dropping-particle":"","family":"Hopkins","given":"Marybeth","non-dropping-particle":"","parse-names":false,"suffix":""},{"dropping-particle":"","family":"Greenberg","given":"Gordon R.","non-dropping-particle":"","parse-names":false,"suffix":""}],"container-title":"Gastroenterology","id":"ITEM-5","issue":"3","issued":{"date-parts":[["2014","3"]]},"page":"681-688.e1","publisher":"Elsevier, Inc","title":"Methotrexate in Combination With Infliximab Is No More Effective Than Infliximab Alone in Patients With Crohn's Disease","type":"article-journal","volume":"146"},"uris":["http://www.mendeley.com/documents/?uuid=51a28eb3-b2d9-4cd4-9b79-3dde7e5b5c81"]}],"mendeley":{"formattedCitation":"&lt;sup&gt;55,118,130,171,172&lt;/sup&gt;","plainTextFormattedCitation":"55,118,130,171,172","previouslyFormattedCitation":"&lt;sup&gt;55,118,130,171,172&lt;/sup&gt;"},"properties":{"noteIndex":0},"schema":"https://github.com/citation-style-language/schema/raw/master/csl-citation.json"}</w:instrText>
      </w:r>
      <w:r w:rsidR="00BD5A64"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55,118,130,171,172</w:t>
      </w:r>
      <w:r w:rsidR="00BD5A64"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Our study confirms that the benefit is seen in routine clinical practice with an </w:t>
      </w:r>
      <w:bookmarkStart w:id="128" w:name="_Hlk7377441"/>
      <w:r w:rsidRPr="00922C73">
        <w:rPr>
          <w:rFonts w:ascii="Times New Roman" w:eastAsiaTheme="minorHAnsi" w:hAnsi="Times New Roman" w:cs="Times New Roman"/>
          <w:sz w:val="24"/>
          <w:szCs w:val="24"/>
        </w:rPr>
        <w:t xml:space="preserve">OR for developing antibodies for thiopurines of 0.48 and 0.36 for methotrexate </w:t>
      </w:r>
      <w:r w:rsidR="0005393E" w:rsidRPr="00922C73">
        <w:rPr>
          <w:rFonts w:ascii="Times New Roman" w:eastAsiaTheme="minorHAnsi" w:hAnsi="Times New Roman" w:cs="Times New Roman"/>
          <w:sz w:val="24"/>
          <w:szCs w:val="24"/>
        </w:rPr>
        <w:t>and</w:t>
      </w:r>
      <w:r w:rsidRPr="00922C73">
        <w:rPr>
          <w:rFonts w:ascii="Times New Roman" w:eastAsiaTheme="minorHAnsi" w:hAnsi="Times New Roman" w:cs="Times New Roman"/>
          <w:sz w:val="24"/>
          <w:szCs w:val="24"/>
        </w:rPr>
        <w:t xml:space="preserve"> suggests that concomitant immunosuppression may only be protective against ATI </w:t>
      </w:r>
      <w:r w:rsidR="001A1563" w:rsidRPr="00922C73">
        <w:rPr>
          <w:rFonts w:ascii="Times New Roman" w:eastAsiaTheme="minorHAnsi" w:hAnsi="Times New Roman" w:cs="Times New Roman"/>
          <w:sz w:val="24"/>
          <w:szCs w:val="24"/>
        </w:rPr>
        <w:t xml:space="preserve">formation </w:t>
      </w:r>
      <w:r w:rsidRPr="00922C73">
        <w:rPr>
          <w:rFonts w:ascii="Times New Roman" w:eastAsiaTheme="minorHAnsi" w:hAnsi="Times New Roman" w:cs="Times New Roman"/>
          <w:sz w:val="24"/>
          <w:szCs w:val="24"/>
        </w:rPr>
        <w:t xml:space="preserve">in the first 6 months of </w:t>
      </w:r>
      <w:r w:rsidR="00C917A5"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treatment. </w:t>
      </w:r>
      <w:bookmarkEnd w:id="128"/>
      <w:r w:rsidRPr="00922C73">
        <w:rPr>
          <w:rFonts w:ascii="Times New Roman" w:eastAsiaTheme="minorHAnsi" w:hAnsi="Times New Roman" w:cs="Times New Roman"/>
          <w:sz w:val="24"/>
          <w:szCs w:val="24"/>
        </w:rPr>
        <w:t xml:space="preserve">Beyond 6 months of </w:t>
      </w:r>
      <w:r w:rsidR="00C917A5" w:rsidRPr="00922C73">
        <w:rPr>
          <w:rFonts w:ascii="Times New Roman" w:eastAsiaTheme="minorHAnsi" w:hAnsi="Times New Roman" w:cs="Times New Roman"/>
          <w:sz w:val="24"/>
          <w:szCs w:val="24"/>
        </w:rPr>
        <w:t>infliximab treatment</w:t>
      </w:r>
      <w:r w:rsidRPr="00922C73">
        <w:rPr>
          <w:rFonts w:ascii="Times New Roman" w:eastAsiaTheme="minorHAnsi" w:hAnsi="Times New Roman" w:cs="Times New Roman"/>
          <w:sz w:val="24"/>
          <w:szCs w:val="24"/>
        </w:rPr>
        <w:t xml:space="preserve">, the protective effect of concomitant immunosuppression on </w:t>
      </w:r>
      <w:r w:rsidRPr="00922C73">
        <w:rPr>
          <w:rFonts w:ascii="Times New Roman" w:eastAsiaTheme="minorHAnsi" w:hAnsi="Times New Roman" w:cs="Times New Roman"/>
          <w:sz w:val="24"/>
          <w:szCs w:val="24"/>
        </w:rPr>
        <w:lastRenderedPageBreak/>
        <w:t xml:space="preserve">the development of immunogenicity </w:t>
      </w:r>
      <w:r w:rsidR="00C365E7" w:rsidRPr="00922C73">
        <w:rPr>
          <w:rFonts w:ascii="Times New Roman" w:eastAsiaTheme="minorHAnsi" w:hAnsi="Times New Roman" w:cs="Times New Roman"/>
          <w:sz w:val="24"/>
          <w:szCs w:val="24"/>
        </w:rPr>
        <w:t>is less clear</w:t>
      </w:r>
      <w:r w:rsidR="00881D2F" w:rsidRPr="00922C73">
        <w:rPr>
          <w:rFonts w:ascii="Times New Roman" w:eastAsiaTheme="minorHAnsi" w:hAnsi="Times New Roman" w:cs="Times New Roman"/>
          <w:sz w:val="24"/>
          <w:szCs w:val="24"/>
        </w:rPr>
        <w:t>.</w:t>
      </w:r>
      <w:r w:rsidR="00DD00C0" w:rsidRPr="00922C73">
        <w:rPr>
          <w:rFonts w:ascii="Times New Roman" w:eastAsiaTheme="minorHAnsi" w:hAnsi="Times New Roman" w:cs="Times New Roman"/>
          <w:sz w:val="24"/>
          <w:szCs w:val="24"/>
        </w:rPr>
        <w:t xml:space="preserve"> </w:t>
      </w:r>
      <w:r w:rsidR="00175932" w:rsidRPr="00922C73">
        <w:rPr>
          <w:rFonts w:ascii="Times New Roman" w:eastAsiaTheme="minorHAnsi" w:hAnsi="Times New Roman" w:cs="Times New Roman"/>
          <w:sz w:val="24"/>
          <w:szCs w:val="24"/>
        </w:rPr>
        <w:t xml:space="preserve">Two recent studies have shown that </w:t>
      </w:r>
      <w:r w:rsidR="00881D2F" w:rsidRPr="00922C73">
        <w:rPr>
          <w:rFonts w:ascii="Times New Roman" w:eastAsiaTheme="minorHAnsi" w:hAnsi="Times New Roman" w:cs="Times New Roman"/>
          <w:sz w:val="24"/>
          <w:szCs w:val="24"/>
        </w:rPr>
        <w:t xml:space="preserve">withdrawal of concomitant immunosuppression </w:t>
      </w:r>
      <w:r w:rsidR="00374A39" w:rsidRPr="00922C73">
        <w:rPr>
          <w:rFonts w:ascii="Times New Roman" w:eastAsiaTheme="minorHAnsi" w:hAnsi="Times New Roman" w:cs="Times New Roman"/>
          <w:sz w:val="24"/>
          <w:szCs w:val="24"/>
        </w:rPr>
        <w:t>at beyond 6 month</w:t>
      </w:r>
      <w:r w:rsidR="007C37CE" w:rsidRPr="00922C73">
        <w:rPr>
          <w:rFonts w:ascii="Times New Roman" w:eastAsiaTheme="minorHAnsi" w:hAnsi="Times New Roman" w:cs="Times New Roman"/>
          <w:sz w:val="24"/>
          <w:szCs w:val="24"/>
        </w:rPr>
        <w:t xml:space="preserve">s </w:t>
      </w:r>
      <w:r w:rsidR="00AC598B" w:rsidRPr="00922C73">
        <w:rPr>
          <w:rFonts w:ascii="Times New Roman" w:eastAsiaTheme="minorHAnsi" w:hAnsi="Times New Roman" w:cs="Times New Roman"/>
          <w:sz w:val="24"/>
          <w:szCs w:val="24"/>
        </w:rPr>
        <w:t xml:space="preserve">of combination therapy </w:t>
      </w:r>
      <w:r w:rsidR="007C37CE" w:rsidRPr="00922C73">
        <w:rPr>
          <w:rFonts w:ascii="Times New Roman" w:eastAsiaTheme="minorHAnsi" w:hAnsi="Times New Roman" w:cs="Times New Roman"/>
          <w:sz w:val="24"/>
          <w:szCs w:val="24"/>
        </w:rPr>
        <w:t>is</w:t>
      </w:r>
      <w:r w:rsidR="00DD00C0" w:rsidRPr="00922C73">
        <w:rPr>
          <w:rFonts w:ascii="Times New Roman" w:eastAsiaTheme="minorHAnsi" w:hAnsi="Times New Roman" w:cs="Times New Roman"/>
          <w:sz w:val="24"/>
          <w:szCs w:val="24"/>
        </w:rPr>
        <w:t xml:space="preserve"> not</w:t>
      </w:r>
      <w:r w:rsidR="00D77A16" w:rsidRPr="00922C73">
        <w:rPr>
          <w:rFonts w:ascii="Times New Roman" w:eastAsiaTheme="minorHAnsi" w:hAnsi="Times New Roman" w:cs="Times New Roman"/>
          <w:sz w:val="24"/>
          <w:szCs w:val="24"/>
        </w:rPr>
        <w:t xml:space="preserve"> associated</w:t>
      </w:r>
      <w:r w:rsidR="00DD00C0" w:rsidRPr="00922C73">
        <w:rPr>
          <w:rFonts w:ascii="Times New Roman" w:eastAsiaTheme="minorHAnsi" w:hAnsi="Times New Roman" w:cs="Times New Roman"/>
          <w:sz w:val="24"/>
          <w:szCs w:val="24"/>
        </w:rPr>
        <w:t xml:space="preserve"> with </w:t>
      </w:r>
      <w:r w:rsidR="00B75F70" w:rsidRPr="00922C73">
        <w:rPr>
          <w:rFonts w:ascii="Times New Roman" w:eastAsiaTheme="minorHAnsi" w:hAnsi="Times New Roman" w:cs="Times New Roman"/>
          <w:sz w:val="24"/>
          <w:szCs w:val="24"/>
        </w:rPr>
        <w:t xml:space="preserve">an </w:t>
      </w:r>
      <w:r w:rsidR="00036299" w:rsidRPr="00922C73">
        <w:rPr>
          <w:rFonts w:ascii="Times New Roman" w:eastAsiaTheme="minorHAnsi" w:hAnsi="Times New Roman" w:cs="Times New Roman"/>
          <w:sz w:val="24"/>
          <w:szCs w:val="24"/>
        </w:rPr>
        <w:t>increased</w:t>
      </w:r>
      <w:r w:rsidR="00DD00C0" w:rsidRPr="00922C73">
        <w:rPr>
          <w:rFonts w:ascii="Times New Roman" w:eastAsiaTheme="minorHAnsi" w:hAnsi="Times New Roman" w:cs="Times New Roman"/>
          <w:sz w:val="24"/>
          <w:szCs w:val="24"/>
        </w:rPr>
        <w:t xml:space="preserve"> risk of relapse compared to continu</w:t>
      </w:r>
      <w:r w:rsidR="00036299" w:rsidRPr="00922C73">
        <w:rPr>
          <w:rFonts w:ascii="Times New Roman" w:eastAsiaTheme="minorHAnsi" w:hAnsi="Times New Roman" w:cs="Times New Roman"/>
          <w:sz w:val="24"/>
          <w:szCs w:val="24"/>
        </w:rPr>
        <w:t xml:space="preserve">ation </w:t>
      </w:r>
      <w:r w:rsidR="006A2751" w:rsidRPr="00922C73">
        <w:rPr>
          <w:rFonts w:ascii="Times New Roman" w:eastAsiaTheme="minorHAnsi" w:hAnsi="Times New Roman" w:cs="Times New Roman"/>
          <w:sz w:val="24"/>
          <w:szCs w:val="24"/>
        </w:rPr>
        <w:t>of</w:t>
      </w:r>
      <w:r w:rsidR="00DD00C0" w:rsidRPr="00922C73">
        <w:rPr>
          <w:rFonts w:ascii="Times New Roman" w:eastAsiaTheme="minorHAnsi" w:hAnsi="Times New Roman" w:cs="Times New Roman"/>
          <w:sz w:val="24"/>
          <w:szCs w:val="24"/>
        </w:rPr>
        <w:t xml:space="preserve"> combination therapy</w:t>
      </w:r>
      <w:r w:rsidR="00AC598B" w:rsidRPr="00922C73">
        <w:rPr>
          <w:rFonts w:ascii="Times New Roman" w:eastAsiaTheme="minorHAnsi" w:hAnsi="Times New Roman" w:cs="Times New Roman"/>
          <w:sz w:val="24"/>
          <w:szCs w:val="24"/>
        </w:rPr>
        <w:t>, though</w:t>
      </w:r>
      <w:r w:rsidR="00036299" w:rsidRPr="00922C73">
        <w:rPr>
          <w:rFonts w:ascii="Times New Roman" w:eastAsiaTheme="minorHAnsi" w:hAnsi="Times New Roman" w:cs="Times New Roman"/>
          <w:sz w:val="24"/>
          <w:szCs w:val="24"/>
        </w:rPr>
        <w:t xml:space="preserve"> ATI </w:t>
      </w:r>
      <w:r w:rsidR="00014E45" w:rsidRPr="00922C73">
        <w:rPr>
          <w:rFonts w:ascii="Times New Roman" w:hAnsi="Times New Roman" w:cs="Times New Roman"/>
          <w:sz w:val="24"/>
          <w:szCs w:val="24"/>
          <w:shd w:val="clear" w:color="auto" w:fill="FFFFFF"/>
        </w:rPr>
        <w:t xml:space="preserve">were detected more frequently </w:t>
      </w:r>
      <w:r w:rsidR="00036299" w:rsidRPr="00922C73">
        <w:rPr>
          <w:rFonts w:ascii="Times New Roman" w:hAnsi="Times New Roman" w:cs="Times New Roman"/>
          <w:sz w:val="24"/>
          <w:szCs w:val="24"/>
          <w:shd w:val="clear" w:color="auto" w:fill="FFFFFF"/>
        </w:rPr>
        <w:t>after immunosuppression withdrawal</w:t>
      </w:r>
      <w:r w:rsidR="00DD0F87" w:rsidRPr="00922C73">
        <w:rPr>
          <w:rFonts w:ascii="Times New Roman" w:hAnsi="Times New Roman" w:cs="Times New Roman"/>
          <w:sz w:val="24"/>
          <w:szCs w:val="24"/>
          <w:shd w:val="clear" w:color="auto" w:fill="FFFFFF"/>
        </w:rPr>
        <w:t xml:space="preserve"> </w:t>
      </w:r>
      <w:r w:rsidR="00DD0F87" w:rsidRPr="00922C73">
        <w:rPr>
          <w:rFonts w:ascii="Times New Roman" w:hAnsi="Times New Roman" w:cs="Times New Roman"/>
          <w:sz w:val="24"/>
          <w:szCs w:val="24"/>
          <w:shd w:val="clear" w:color="auto" w:fill="FFFFFF"/>
        </w:rPr>
        <w:fldChar w:fldCharType="begin" w:fldLock="1"/>
      </w:r>
      <w:r w:rsidR="00663976" w:rsidRPr="00922C73">
        <w:rPr>
          <w:rFonts w:ascii="Times New Roman" w:hAnsi="Times New Roman" w:cs="Times New Roman"/>
          <w:sz w:val="24"/>
          <w:szCs w:val="24"/>
          <w:shd w:val="clear" w:color="auto" w:fill="FFFFFF"/>
        </w:rPr>
        <w:instrText>ADDIN CSL_CITATION {"citationItems":[{"id":"ITEM-1","itemData":{"DOI":"10.1016/j.cgh.2022.01.019","ISSN":"15423565","author":[{"dropping-particle":"","family":"Mahmoud","given":"Remi","non-dropping-particle":"","parse-names":false,"suffix":""},{"dropping-particle":"","family":"Schultheiss","given":"Hans-Paul","non-dropping-particle":"","parse-names":false,"suffix":""},{"dropping-particle":"","family":"Louwers","given":"Jonas","non-dropping-particle":"","parse-names":false,"suffix":""},{"dropping-particle":"","family":"Kaaij","given":"Michiel","non-dropping-particle":"van der","parse-names":false,"suffix":""},{"dropping-particle":"","family":"Hellemondt","given":"Boris","non-dropping-particle":"van","parse-names":false,"suffix":""},{"dropping-particle":"","family":"Mahmmod","given":"Nofel","non-dropping-particle":"","parse-names":false,"suffix":""},{"dropping-particle":"","family":"Boeckel","given":"Petra","non-dropping-particle":"van","parse-names":false,"suffix":""},{"dropping-particle":"","family":"Jharap","given":"Bindia","non-dropping-particle":"","parse-names":false,"suffix":""},{"dropping-particle":"","family":"Fidder","given":"Herma","non-dropping-particle":"","parse-names":false,"suffix":""},{"dropping-particle":"","family":"Oldenburg","given":"Bas","non-dropping-particle":"","parse-names":false,"suffix":""}],"container-title":"Clinical Gastroenterology and Hepatology","id":"ITEM-1","issue":"11","issued":{"date-parts":[["2022","11"]]},"page":"2577-2587.e6","title":"Immunomodulator Withdrawal From Anti-TNF Therapy Is Not Associated With Loss of Response in Inflammatory Bowel Disease","type":"article-journal","volume":"20"},"uris":["http://www.mendeley.com/documents/?uuid=c1699794-372c-4a43-90ec-e6292ea3ccbc"]},{"id":"ITEM-2","itemData":{"DOI":"10.1016/S2468-1253(22)00385-5","ISSN":"24681253","author":[{"dropping-particle":"","family":"Louis","given":"Edouard","non-dropping-particle":"","parse-names":false,"suffix":""},{"dropping-particle":"","family":"Resche-Rigon","given":"Matthieu","non-dropping-particle":"","parse-names":false,"suffix":""},{"dropping-particle":"","family":"Laharie","given":"David","non-dropping-particle":"","parse-names":false,"suffix":""},{"dropping-particle":"","family":"Satsangi","given":"Jack","non-dropping-particle":"","parse-names":false,"suffix":""},{"dropping-particle":"","family":"Ding","given":"Nik","non-dropping-particle":"","parse-names":false,"suffix":""},{"dropping-particle":"","family":"Siegmund","given":"Britta","non-dropping-particle":"","parse-names":false,"suffix":""},{"dropping-particle":"","family":"D'Haens","given":"Geert","non-dropping-particle":"","parse-names":false,"suffix":""},{"dropping-particle":"","family":"Picon","given":"Laurence","non-dropping-particle":"","parse-names":false,"suffix":""},{"dropping-particle":"","family":"Bossuyt","given":"Peter","non-dropping-particle":"","parse-names":false,"suffix":""},{"dropping-particle":"","family":"Vuitton","given":"Lucine","non-dropping-particle":"","parse-names":false,"suffix":""},{"dropping-particle":"","family":"Irving","given":"Peter","non-dropping-particle":"","parse-names":false,"suffix":""},{"dropping-particle":"","family":"Viennot","given":"Stephanie","non-dropping-particle":"","parse-names":false,"suffix":""},{"dropping-particle":"","family":"Lamb","given":"Christopher A","non-dropping-particle":"","parse-names":false,"suffix":""},{"dropping-particle":"","family":"Pollok","given":"Richard","non-dropping-particle":"","parse-names":false,"suffix":""},{"dropping-particle":"","family":"Baert","given":"Filip","non-dropping-particle":"","parse-names":false,"suffix":""},{"dropping-particle":"","family":"Nachury","given":"Maria","non-dropping-particle":"","parse-names":false,"suffix":""},{"dropping-particle":"","family":"Fumery","given":"Mathurin","non-dropping-particle":"","parse-names":false,"suffix":""},{"dropping-particle":"","family":"Gilletta","given":"Cyrielle","non-dropping-particle":"","parse-names":false,"suffix":""},{"dropping-particle":"","family":"Almer","given":"Sven","non-dropping-particle":"","parse-names":false,"suffix":""},{"dropping-particle":"","family":"Ben-Horin","given":"Shomron","non-dropping-particle":"","parse-names":false,"suffix":""},{"dropping-particle":"","family":"Bouhnik","given":"Yoram","non-dropping-particle":"","parse-names":false,"suffix":""},{"dropping-particle":"","family":"Colombel","given":"Jean-Frederic","non-dropping-particle":"","parse-names":false,"suffix":""},{"dropping-particle":"","family":"Hertervig","given":"Erik","non-dropping-particle":"","parse-names":false,"suffix":""},{"dropping-particle":"","family":"Andrews","given":"Jane","non-dropping-particle":"","parse-names":false,"suffix":""},{"dropping-particle":"","family":"Sparrow","given":"Miles","non-dropping-particle":"","parse-names":false,"suffix":""},{"dropping-particle":"","family":"Leong","given":"Rupert","non-dropping-particle":"","parse-names":false,"suffix":""},{"dropping-particle":"","family":"Connor","given":"Susan","non-dropping-particle":"","parse-names":false,"suffix":""},{"dropping-particle":"","family":"Radforth-Smith","given":"Graham","non-dropping-particle":"","parse-names":false,"suffix":""},{"dropping-particle":"","family":"Cruz","given":"Peter","non-dropping-particle":"De","parse-names":false,"suffix":""},{"dropping-particle":"","family":"Preiss","given":"Jan","non-dropping-particle":"","parse-names":false,"suffix":""},{"dropping-particle":"","family":"Stallmach","given":"Andrea","non-dropping-particle":"","parse-names":false,"suffix":""},{"dropping-particle":"","family":"Liceni","given":"Thomas","non-dropping-particle":"","parse-names":false,"suffix":""},{"dropping-particle":"","family":"Grip","given":"Olaf","non-dropping-particle":"","parse-names":false,"suffix":""},{"dropping-particle":"","family":"Halfvarson","given":"Jonas","non-dropping-particle":"","parse-names":false,"suffix":""},{"dropping-particle":"","family":"Durai","given":"Dharmaraj","non-dropping-particle":"","parse-names":false,"suffix":""},{"dropping-particle":"","family":"Cummings","given":"Fraser","non-dropping-particle":"","parse-names":false,"suffix":""},{"dropping-particle":"","family":"Seilinger","given":"Christian","non-dropping-particle":"","parse-names":false,"suffix":""},{"dropping-particle":"","family":"Parkes","given":"Miles","non-dropping-particle":"","parse-names":false,"suffix":""},{"dropping-particle":"","family":"Lindsay","given":"James","non-dropping-particle":"","parse-names":false,"suffix":""},{"dropping-particle":"","family":"Lambrecht","given":"Guy","non-dropping-particle":"","parse-names":false,"suffix":""},{"dropping-particle":"","family":"Hootegem","given":"Philippe","non-dropping-particle":"Van","parse-names":false,"suffix":""},{"dropping-particle":"","family":"Rahier","given":"Jean-François","non-dropping-particle":"","parse-names":false,"suffix":""},{"dropping-particle":"","family":"Dewitte","given":"Marie","non-dropping-particle":"","parse-names":false,"suffix":""},{"dropping-particle":"","family":"Hebuterne","given":"Xavier","non-dropping-particle":"","parse-names":false,"suffix":""},{"dropping-particle":"","family":"Chanteloup","given":"Elise","non-dropping-particle":"","parse-names":false,"suffix":""},{"dropping-particle":"","family":"Altwegg","given":"Romain","non-dropping-particle":"","parse-names":false,"suffix":""},{"dropping-particle":"","family":"Nancey","given":"Stephane","non-dropping-particle":"","parse-names":false,"suffix":""},{"dropping-particle":"","family":"Bouguen","given":"Guillaume","non-dropping-particle":"","parse-names":false,"suffix":""},{"dropping-particle":"","family":"Pineton de Chambrun","given":"Guillaume","non-dropping-particle":"","parse-names":false,"suffix":""},{"dropping-particle":"","family":"Poullenot","given":"Floriant","non-dropping-particle":"","parse-names":false,"suffix":""},{"dropping-particle":"","family":"Roblin","given":"Xavier","non-dropping-particle":"","parse-names":false,"suffix":""}],"container-title":"The Lancet Gastroenterology &amp; Hepatology","id":"ITEM-2","issue":"3","issued":{"date-parts":[["2023","3"]]},"page":"215-227","title":"Withdrawal of infliximab or concomitant immunosuppressant therapy in patients with Crohn's disease on combination therapy (SPARE): a multicentre, open-label, randomised controlled trial","type":"article-journal","volume":"8"},"uris":["http://www.mendeley.com/documents/?uuid=98729872-161e-4c4a-a6d8-878c27bc9ff5"]}],"mendeley":{"formattedCitation":"&lt;sup&gt;173,174&lt;/sup&gt;","plainTextFormattedCitation":"173,174","previouslyFormattedCitation":"&lt;sup&gt;173,174&lt;/sup&gt;"},"properties":{"noteIndex":0},"schema":"https://github.com/citation-style-language/schema/raw/master/csl-citation.json"}</w:instrText>
      </w:r>
      <w:r w:rsidR="00DD0F87" w:rsidRPr="00922C73">
        <w:rPr>
          <w:rFonts w:ascii="Times New Roman" w:hAnsi="Times New Roman" w:cs="Times New Roman"/>
          <w:sz w:val="24"/>
          <w:szCs w:val="24"/>
          <w:shd w:val="clear" w:color="auto" w:fill="FFFFFF"/>
        </w:rPr>
        <w:fldChar w:fldCharType="separate"/>
      </w:r>
      <w:r w:rsidR="00DD0F87" w:rsidRPr="00922C73">
        <w:rPr>
          <w:rFonts w:ascii="Times New Roman" w:hAnsi="Times New Roman" w:cs="Times New Roman"/>
          <w:noProof/>
          <w:sz w:val="24"/>
          <w:szCs w:val="24"/>
          <w:shd w:val="clear" w:color="auto" w:fill="FFFFFF"/>
          <w:vertAlign w:val="superscript"/>
        </w:rPr>
        <w:t>173,174</w:t>
      </w:r>
      <w:r w:rsidR="00DD0F87" w:rsidRPr="00922C73">
        <w:rPr>
          <w:rFonts w:ascii="Times New Roman" w:hAnsi="Times New Roman" w:cs="Times New Roman"/>
          <w:sz w:val="24"/>
          <w:szCs w:val="24"/>
          <w:shd w:val="clear" w:color="auto" w:fill="FFFFFF"/>
        </w:rPr>
        <w:fldChar w:fldCharType="end"/>
      </w:r>
      <w:r w:rsidR="00014E45" w:rsidRPr="00922C73">
        <w:rPr>
          <w:rFonts w:ascii="Times New Roman" w:hAnsi="Times New Roman" w:cs="Times New Roman"/>
          <w:sz w:val="24"/>
          <w:szCs w:val="24"/>
          <w:shd w:val="clear" w:color="auto" w:fill="FFFFFF"/>
        </w:rPr>
        <w:t xml:space="preserve">. </w:t>
      </w:r>
    </w:p>
    <w:p w14:paraId="4FB30AA6" w14:textId="2896FAE9" w:rsidR="006A2751" w:rsidRPr="00922C73" w:rsidRDefault="006A2751" w:rsidP="00700BBF">
      <w:pPr>
        <w:spacing w:after="0" w:line="480" w:lineRule="auto"/>
        <w:contextualSpacing/>
        <w:jc w:val="left"/>
        <w:rPr>
          <w:rFonts w:ascii="Segoe UI" w:hAnsi="Segoe UI" w:cs="Segoe UI"/>
          <w:shd w:val="clear" w:color="auto" w:fill="FFFFFF"/>
        </w:rPr>
      </w:pPr>
    </w:p>
    <w:p w14:paraId="39F15B48" w14:textId="55E1F68C" w:rsidR="00AE7D61" w:rsidRPr="00922C73" w:rsidRDefault="00DB58DD" w:rsidP="00700BBF">
      <w:pPr>
        <w:spacing w:after="0"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In our cohort, using a drug tolerant assay, ATI were significantly associated with infusion reactions, a reduction in IFX levels and loss of clinical remission. 2 meta-analyses assessed ATI and their association to clinical outcomes </w:t>
      </w:r>
      <w:r w:rsidR="00F72EB6"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Hepatology","id":"ITEM-1","issue":"9","issued":{"date-parts":[["2012","9"]]},"page":"1078-1085","title":"Anti-infliximab antibodies in inflammatory bowel disease","type":"article-journal","volume":"24"},"uris":["http://www.mendeley.com/documents/?uuid=be88c796-5731-4d66-ae3c-69c77792e881"]},{"id":"ITEM-2","itemData":{"DOI":"10.1038/ajg.2012.363","ISBN":"0009-2665","ISSN":"0002-9270","PMID":"19772347","author":[{"dropping-particle":"","family":"Nanda","given":"Kavinderjit S","non-dropping-particle":"","parse-names":false,"suffix":""},{"dropping-particle":"","family":"Cheifetz","given":"Adam S","non-dropping-particle":"","parse-names":false,"suffix":""},{"dropping-particle":"","family":"Moss","given":"Alan C","non-dropping-particle":"","parse-names":false,"suffix":""}],"container-title":"The American Journal of Gastroenterology","id":"ITEM-2","issue":"1","issued":{"date-parts":[["2013","1"]]},"page":"40-47","title":"Impact of Antibodies to Infliximab on Clinical Outcomes and Serum Infliximab Levels in Patients With Inflammatory Bowel Disease (IBD): A Meta-Analysis","type":"article-journal","volume":"108"},"uris":["http://www.mendeley.com/documents/?uuid=97a419fd-5b25-4ab3-9989-8cd03a6c22b9"]}],"mendeley":{"formattedCitation":"&lt;sup&gt;143,144&lt;/sup&gt;","plainTextFormattedCitation":"143,144","previouslyFormattedCitation":"&lt;sup&gt;143,144&lt;/sup&gt;"},"properties":{"noteIndex":0},"schema":"https://github.com/citation-style-language/schema/raw/master/csl-citation.json"}</w:instrText>
      </w:r>
      <w:r w:rsidR="00F72EB6"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143,144</w:t>
      </w:r>
      <w:r w:rsidR="00F72EB6"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Lee et al concluded that ATI was not associated with clinical remission </w:t>
      </w:r>
      <w:r w:rsidR="00F72EB6"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{"citationItems":[{"id":"ITEM-1","itemData":{"DOI":"10.1097/MEG.0b013e32835558cf","ISSN":"0954-691X","author":[{"dropping-particle":"","family":"Lee","given":"Lennard Y.W.","non-dropping-particle":"","parse-names":false,"suffix":""},{"dropping-particle":"","family":"Sanderson","given":"Jeremy D.","non-dropping-particle":"","parse-names":false,"suffix":""},{"dropping-particle":"","family":"Irving","given":"Peter M.","non-dropping-particle":"","parse-names":false,"suffix":""}],"container-title":"European Journal of Gastroenterology &amp; Hepatology","id":"ITEM-1","issue":"9","issued":{"date-parts":[["2012","9"]]},"page":"1078-1085","title":"Anti-infliximab antibodies in inflammatory bowel disease","type":"article-journal","volume":"24"},"uris":["http://www.mendeley.com/documents/?uuid=be88c796-5731-4d66-ae3c-69c77792e881"]}],"mendeley":{"formattedCitation":"&lt;sup&gt;143&lt;/sup&gt;","plainTextFormattedCitation":"143","previouslyFormattedCitation":"&lt;sup&gt;143&lt;/sup&gt;"},"properties":{"noteIndex":0},"schema":"https://github.com/citation-style-language/schema/raw/master/csl-citation.json"}</w:instrText>
      </w:r>
      <w:r w:rsidR="00F72EB6"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143</w:t>
      </w:r>
      <w:r w:rsidR="00F72EB6" w:rsidRPr="00922C73">
        <w:rPr>
          <w:rFonts w:ascii="Times New Roman" w:eastAsiaTheme="minorHAnsi" w:hAnsi="Times New Roman" w:cs="Times New Roman"/>
          <w:sz w:val="24"/>
          <w:szCs w:val="24"/>
        </w:rPr>
        <w:fldChar w:fldCharType="end"/>
      </w:r>
      <w:r w:rsidR="00F72EB6" w:rsidRPr="00922C73">
        <w:rPr>
          <w:rFonts w:ascii="Times New Roman" w:eastAsiaTheme="minorHAnsi" w:hAnsi="Times New Roman" w:cs="Times New Roman"/>
          <w:sz w:val="24"/>
          <w:szCs w:val="24"/>
        </w:rPr>
        <w:t xml:space="preserve"> </w:t>
      </w:r>
      <w:r w:rsidRPr="00922C73">
        <w:rPr>
          <w:rFonts w:ascii="Times New Roman" w:eastAsiaTheme="minorHAnsi" w:hAnsi="Times New Roman" w:cs="Times New Roman"/>
          <w:sz w:val="24"/>
          <w:szCs w:val="24"/>
        </w:rPr>
        <w:t>and Nanda et al concluded that patients who were positive for ATI were 3.2 times more likely to lose response than those without ATI</w:t>
      </w:r>
      <w:r w:rsidR="00F72EB6" w:rsidRPr="00922C73">
        <w:rPr>
          <w:rFonts w:ascii="Times New Roman" w:eastAsiaTheme="minorHAnsi" w:hAnsi="Times New Roman" w:cs="Times New Roman"/>
          <w:sz w:val="24"/>
          <w:szCs w:val="24"/>
        </w:rPr>
        <w:t xml:space="preserve"> </w:t>
      </w:r>
      <w:r w:rsidR="00F72EB6" w:rsidRPr="00922C73">
        <w:rPr>
          <w:rFonts w:ascii="Times New Roman" w:eastAsiaTheme="minorHAnsi" w:hAnsi="Times New Roman" w:cs="Times New Roman"/>
          <w:sz w:val="24"/>
          <w:szCs w:val="24"/>
        </w:rPr>
        <w:fldChar w:fldCharType="begin" w:fldLock="1"/>
      </w:r>
      <w:r w:rsidR="00DD0F87" w:rsidRPr="00922C73">
        <w:rPr>
          <w:rFonts w:ascii="Times New Roman" w:eastAsiaTheme="minorHAnsi" w:hAnsi="Times New Roman" w:cs="Times New Roman"/>
          <w:sz w:val="24"/>
          <w:szCs w:val="24"/>
        </w:rPr>
        <w:instrText>ADDIN CSL_CITATION {"citationItems":[{"id":"ITEM-1","itemData":{"DOI":"10.1038/ajg.2012.363","ISBN":"0009-2665","ISSN":"0002-9270","PMID":"19772347","author":[{"dropping-particle":"","family":"Nanda","given":"Kavinderjit S","non-dropping-particle":"","parse-names":false,"suffix":""},{"dropping-particle":"","family":"Cheifetz","given":"Adam S","non-dropping-particle":"","parse-names":false,"suffix":""},{"dropping-particle":"","family":"Moss","given":"Alan C","non-dropping-particle":"","parse-names":false,"suffix":""}],"container-title":"The American Journal of Gastroenterology","id":"ITEM-1","issue":"1","issued":{"date-parts":[["2013","1"]]},"page":"40-47","title":"Impact of Antibodies to Infliximab on Clinical Outcomes and Serum Infliximab Levels in Patients With Inflammatory Bowel Disease (IBD): A Meta-Analysis","type":"article-journal","volume":"108"},"uris":["http://www.mendeley.com/documents/?uuid=97a419fd-5b25-4ab3-9989-8cd03a6c22b9"]}],"mendeley":{"formattedCitation":"&lt;sup&gt;144&lt;/sup&gt;","plainTextFormattedCitation":"144","previouslyFormattedCitation":"&lt;sup&gt;144&lt;/sup&gt;"},"properties":{"noteIndex":0},"schema":"https://github.com/citation-style-language/schema/raw/master/csl-citation.json"}</w:instrText>
      </w:r>
      <w:r w:rsidR="00F72EB6" w:rsidRPr="00922C73">
        <w:rPr>
          <w:rFonts w:ascii="Times New Roman" w:eastAsiaTheme="minorHAnsi" w:hAnsi="Times New Roman" w:cs="Times New Roman"/>
          <w:sz w:val="24"/>
          <w:szCs w:val="24"/>
        </w:rPr>
        <w:fldChar w:fldCharType="separate"/>
      </w:r>
      <w:r w:rsidR="00A00D49" w:rsidRPr="00922C73">
        <w:rPr>
          <w:rFonts w:ascii="Times New Roman" w:eastAsiaTheme="minorHAnsi" w:hAnsi="Times New Roman" w:cs="Times New Roman"/>
          <w:noProof/>
          <w:sz w:val="24"/>
          <w:szCs w:val="24"/>
          <w:vertAlign w:val="superscript"/>
        </w:rPr>
        <w:t>144</w:t>
      </w:r>
      <w:r w:rsidR="00F72EB6"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Observational studies not included in the meta-analysis have also shown that lower levels of ATI are an independent predictor of remission and the presence of sustained ATI is an independent predictor of loss of response</w:t>
      </w:r>
      <w:r w:rsidR="00F72EB6" w:rsidRPr="00922C73">
        <w:rPr>
          <w:rFonts w:ascii="Times New Roman" w:eastAsiaTheme="minorHAnsi" w:hAnsi="Times New Roman" w:cs="Times New Roman"/>
          <w:sz w:val="24"/>
          <w:szCs w:val="24"/>
        </w:rPr>
        <w:t xml:space="preserve"> </w:t>
      </w:r>
      <w:r w:rsidR="00F72EB6" w:rsidRPr="00922C73">
        <w:rPr>
          <w:rFonts w:ascii="Times New Roman" w:eastAsiaTheme="minorHAnsi" w:hAnsi="Times New Roman" w:cs="Times New Roman"/>
          <w:sz w:val="24"/>
          <w:szCs w:val="24"/>
        </w:rPr>
        <w:fldChar w:fldCharType="begin" w:fldLock="1"/>
      </w:r>
      <w:r w:rsidR="00663976" w:rsidRPr="00922C73">
        <w:rPr>
          <w:rFonts w:ascii="Times New Roman" w:eastAsiaTheme="minorHAnsi" w:hAnsi="Times New Roman" w:cs="Times New Roman"/>
          <w:sz w:val="24"/>
          <w:szCs w:val="24"/>
        </w:rPr>
        <w:instrText>ADDIN CSL_CITATION {"citationItems":[{"id":"ITEM-1","itemData":{"DOI":"10.1093/ecco-jcc/jjv061","ISSN":"1873-9946","author":[{"dropping-particle":"","family":"Roblin","given":"X.","non-dropping-particle":"","parse-names":false,"suffix":""},{"dropping-particle":"","family":"Marotte","given":"H.","non-dropping-particle":"","parse-names":false,"suffix":""},{"dropping-particle":"","family":"Leclerc","given":"M.","non-dropping-particle":"","parse-names":false,"suffix":""},{"dropping-particle":"","family":"Tedesco","given":"E.","non-dropping-particle":"Del","parse-names":false,"suffix":""},{"dropping-particle":"","family":"Phelip","given":"J.M.","non-dropping-particle":"","parse-names":false,"suffix":""},{"dropping-particle":"","family":"Peyrin-Biroulet","given":"L.","non-dropping-particle":"","parse-names":false,"suffix":""},{"dropping-particle":"","family":"Paul","given":"S.","non-dropping-particle":"","parse-names":false,"suffix":""}],"container-title":"Journal of Crohn's and Colitis","id":"ITEM-1","issue":"7","issued":{"date-parts":[["2015","7"]]},"page":"525-531","title":"Combination of C-reactive Protein, Infliximab Trough Levels, and Stable but Not Transient Antibodies to Infliximab Are Associated With Loss of Response to Infliximab in Inflammatory Bowel Disease","type":"article-journal","volume":"9"},"uris":["http://www.mendeley.com/documents/?uuid=10aed7b3-8d15-4b96-a9fa-9861f42dcfa6"]},{"id":"ITEM-2","itemData":{"DOI":"10.1093/ecco-jcc/jjy222.024","ISSN":"1873-9946","author":[{"dropping-particle":"","family":"Dreesen","given":"E","non-dropping-particle":"","parse-names":false,"suffix":""},{"dropping-particle":"","family":"Baert","given":"F","non-dropping-particle":"","parse-names":false,"suffix":""},{"dropping-particle":"","family":"Laharie","given":"D","non-dropping-particle":"","parse-names":false,"suffix":""},{"dropping-particle":"","family":"Bossuyt","given":"P","non-dropping-particle":"","parse-names":false,"suffix":""},{"dropping-particle":"","family":"Bouhnik","given":"Y","non-dropping-particle":"","parse-names":false,"suffix":""},{"dropping-particle":"","family":"Buisson","given":"A","non-dropping-particle":"","parse-names":false,"suffix":""},{"dropping-particle":"","family":"Lambrecht","given":"G","non-dropping-particle":"","parse-names":false,"suffix":""},{"dropping-particle":"","family":"Louis","given":"E","non-dropping-particle":"","parse-names":false,"suffix":""},{"dropping-particle":"","family":"Oldenburg","given":"B","non-dropping-particle":"","parse-names":false,"suffix":""},{"dropping-particle":"","family":"Pariente","given":"B","non-dropping-particle":"","parse-names":false,"suffix":""},{"dropping-particle":"","family":"Pierik","given":"M","non-dropping-particle":"","parse-names":false,"suffix":""},{"dropping-particle":"","family":"Woude","given":"C J","non-dropping-particle":"van der","parse-names":false,"suffix":""},{"dropping-particle":"","family":"D’Haens","given":"G","non-dropping-particle":"","parse-names":false,"suffix":""},{"dropping-particle":"","family":"Vermeire","given":"S","non-dropping-particle":"","parse-names":false,"suffix":""},{"dropping-particle":"","family":"Gils","given":"A","non-dropping-particle":"","parse-names":false,"suffix":""}],"container-title":"Journal of Crohn's and Colitis","id":"ITEM-2","issue":"Supplement_1","issued":{"date-parts":[["2019","1","25"]]},"page":"S016-S018","title":"OP25 Targeting endoscopic outcomes through combined pharmacokinetic and pharmacodynamic monitoring of infliximab therapy in patients with Crohn’s disease","type":"article-journal","volume":"13"},"uris":["http://www.mendeley.com/documents/?uuid=4cbf3046-7a76-4554-96c3-59c48c581bc2"]}],"mendeley":{"formattedCitation":"&lt;sup&gt;137,175&lt;/sup&gt;","plainTextFormattedCitation":"137,175","previouslyFormattedCitation":"&lt;sup&gt;137,175&lt;/sup&gt;"},"properties":{"noteIndex":0},"schema":"https://github.com/citation-style-language/schema/raw/master/csl-citation.json"}</w:instrText>
      </w:r>
      <w:r w:rsidR="00F72EB6" w:rsidRPr="00922C73">
        <w:rPr>
          <w:rFonts w:ascii="Times New Roman" w:eastAsiaTheme="minorHAnsi" w:hAnsi="Times New Roman" w:cs="Times New Roman"/>
          <w:sz w:val="24"/>
          <w:szCs w:val="24"/>
        </w:rPr>
        <w:fldChar w:fldCharType="separate"/>
      </w:r>
      <w:r w:rsidR="00DD0F87" w:rsidRPr="00922C73">
        <w:rPr>
          <w:rFonts w:ascii="Times New Roman" w:eastAsiaTheme="minorHAnsi" w:hAnsi="Times New Roman" w:cs="Times New Roman"/>
          <w:noProof/>
          <w:sz w:val="24"/>
          <w:szCs w:val="24"/>
          <w:vertAlign w:val="superscript"/>
        </w:rPr>
        <w:t>137,175</w:t>
      </w:r>
      <w:r w:rsidR="00F72EB6" w:rsidRPr="00922C73">
        <w:rPr>
          <w:rFonts w:ascii="Times New Roman" w:eastAsiaTheme="minorHAnsi" w:hAnsi="Times New Roman" w:cs="Times New Roman"/>
          <w:sz w:val="24"/>
          <w:szCs w:val="24"/>
        </w:rPr>
        <w:fldChar w:fldCharType="end"/>
      </w:r>
      <w:r w:rsidRPr="00922C73">
        <w:rPr>
          <w:rFonts w:ascii="Times New Roman" w:eastAsiaTheme="minorHAnsi" w:hAnsi="Times New Roman" w:cs="Times New Roman"/>
          <w:sz w:val="24"/>
          <w:szCs w:val="24"/>
        </w:rPr>
        <w:t xml:space="preserve">. </w:t>
      </w:r>
    </w:p>
    <w:p w14:paraId="57DB16FE" w14:textId="2D733176" w:rsidR="00DB58DD" w:rsidRPr="00922C73" w:rsidRDefault="00DB58DD" w:rsidP="00700BBF">
      <w:pPr>
        <w:spacing w:line="480" w:lineRule="auto"/>
        <w:contextualSpacing/>
        <w:jc w:val="left"/>
        <w:rPr>
          <w:rFonts w:ascii="Times New Roman" w:eastAsiaTheme="minorHAnsi" w:hAnsi="Times New Roman" w:cs="Times New Roman"/>
          <w:sz w:val="24"/>
          <w:szCs w:val="24"/>
        </w:rPr>
      </w:pPr>
    </w:p>
    <w:p w14:paraId="6DE420D6" w14:textId="1307CE9B" w:rsidR="00DB03DE" w:rsidRPr="00922C73" w:rsidRDefault="00DB58DD" w:rsidP="00441263">
      <w:pPr>
        <w:spacing w:line="480" w:lineRule="auto"/>
        <w:contextualSpacing/>
        <w:jc w:val="left"/>
        <w:rPr>
          <w:rFonts w:ascii="Times New Roman" w:eastAsiaTheme="minorHAnsi" w:hAnsi="Times New Roman" w:cs="Times New Roman"/>
          <w:sz w:val="24"/>
          <w:szCs w:val="24"/>
        </w:rPr>
      </w:pPr>
      <w:r w:rsidRPr="00922C73">
        <w:rPr>
          <w:rFonts w:ascii="Times New Roman" w:eastAsiaTheme="minorHAnsi" w:hAnsi="Times New Roman" w:cs="Times New Roman"/>
          <w:sz w:val="24"/>
          <w:szCs w:val="24"/>
        </w:rPr>
        <w:t xml:space="preserve">In conclusion, secondary LOR remains a significant problem in treating IBD. </w:t>
      </w:r>
      <w:r w:rsidR="00143608" w:rsidRPr="00922C73">
        <w:rPr>
          <w:rFonts w:ascii="Times New Roman" w:eastAsiaTheme="minorHAnsi" w:hAnsi="Times New Roman" w:cs="Times New Roman"/>
          <w:sz w:val="24"/>
          <w:szCs w:val="24"/>
        </w:rPr>
        <w:t>During</w:t>
      </w:r>
      <w:r w:rsidRPr="00922C73">
        <w:rPr>
          <w:rFonts w:ascii="Times New Roman" w:eastAsiaTheme="minorHAnsi" w:hAnsi="Times New Roman" w:cs="Times New Roman"/>
          <w:sz w:val="24"/>
          <w:szCs w:val="24"/>
        </w:rPr>
        <w:t xml:space="preserve"> </w:t>
      </w:r>
      <w:r w:rsidR="00143608"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xml:space="preserve"> </w:t>
      </w:r>
      <w:r w:rsidR="00143608" w:rsidRPr="00922C73">
        <w:rPr>
          <w:rFonts w:ascii="Times New Roman" w:eastAsiaTheme="minorHAnsi" w:hAnsi="Times New Roman" w:cs="Times New Roman"/>
          <w:sz w:val="24"/>
          <w:szCs w:val="24"/>
        </w:rPr>
        <w:t xml:space="preserve">treatment, </w:t>
      </w:r>
      <w:r w:rsidRPr="00922C73">
        <w:rPr>
          <w:rFonts w:ascii="Times New Roman" w:eastAsiaTheme="minorHAnsi" w:hAnsi="Times New Roman" w:cs="Times New Roman"/>
          <w:sz w:val="24"/>
          <w:szCs w:val="24"/>
        </w:rPr>
        <w:t xml:space="preserve">a mechanism is the formation of ATI. Our study with serial TDM </w:t>
      </w:r>
      <w:r w:rsidR="00381E72" w:rsidRPr="00922C73">
        <w:rPr>
          <w:rFonts w:ascii="Times New Roman" w:eastAsiaTheme="minorHAnsi" w:hAnsi="Times New Roman" w:cs="Times New Roman"/>
          <w:sz w:val="24"/>
          <w:szCs w:val="24"/>
        </w:rPr>
        <w:t xml:space="preserve">with a drug tolerant assay, </w:t>
      </w:r>
      <w:r w:rsidRPr="00922C73">
        <w:rPr>
          <w:rFonts w:ascii="Times New Roman" w:eastAsiaTheme="minorHAnsi" w:hAnsi="Times New Roman" w:cs="Times New Roman"/>
          <w:sz w:val="24"/>
          <w:szCs w:val="24"/>
        </w:rPr>
        <w:t xml:space="preserve">shows a high prevalence of immunogenicity and subtherapeutic </w:t>
      </w:r>
      <w:r w:rsidR="00143608" w:rsidRPr="00922C73">
        <w:rPr>
          <w:rFonts w:ascii="Times New Roman" w:eastAsiaTheme="minorHAnsi" w:hAnsi="Times New Roman" w:cs="Times New Roman"/>
          <w:sz w:val="24"/>
          <w:szCs w:val="24"/>
        </w:rPr>
        <w:t>drug</w:t>
      </w:r>
      <w:r w:rsidRPr="00922C73">
        <w:rPr>
          <w:rFonts w:ascii="Times New Roman" w:eastAsiaTheme="minorHAnsi" w:hAnsi="Times New Roman" w:cs="Times New Roman"/>
          <w:sz w:val="24"/>
          <w:szCs w:val="24"/>
        </w:rPr>
        <w:t xml:space="preserve"> levels in IBD patients treated with </w:t>
      </w:r>
      <w:r w:rsidR="00143608" w:rsidRPr="00922C73">
        <w:rPr>
          <w:rFonts w:ascii="Times New Roman" w:eastAsiaTheme="minorHAnsi" w:hAnsi="Times New Roman" w:cs="Times New Roman"/>
          <w:sz w:val="24"/>
          <w:szCs w:val="24"/>
        </w:rPr>
        <w:t>infliximab</w:t>
      </w:r>
      <w:r w:rsidRPr="00922C73">
        <w:rPr>
          <w:rFonts w:ascii="Times New Roman" w:eastAsiaTheme="minorHAnsi" w:hAnsi="Times New Roman" w:cs="Times New Roman"/>
          <w:sz w:val="24"/>
          <w:szCs w:val="24"/>
        </w:rPr>
        <w:t>, despite the use of a scheduled treatment regime and premedication with intravenous hydrocortisone. ATI are associated with clinically important outcomes: reduced</w:t>
      </w:r>
      <w:r w:rsidR="00143608" w:rsidRPr="00922C73">
        <w:rPr>
          <w:rFonts w:ascii="Times New Roman" w:eastAsiaTheme="minorHAnsi" w:hAnsi="Times New Roman" w:cs="Times New Roman"/>
          <w:sz w:val="24"/>
          <w:szCs w:val="24"/>
        </w:rPr>
        <w:t xml:space="preserve"> infliximab</w:t>
      </w:r>
      <w:r w:rsidRPr="00922C73">
        <w:rPr>
          <w:rFonts w:ascii="Times New Roman" w:eastAsiaTheme="minorHAnsi" w:hAnsi="Times New Roman" w:cs="Times New Roman"/>
          <w:sz w:val="24"/>
          <w:szCs w:val="24"/>
        </w:rPr>
        <w:t xml:space="preserve"> levels, loss of clinical remission and infusion reactions. </w:t>
      </w:r>
    </w:p>
    <w:p w14:paraId="39E85B4E" w14:textId="2203A1A5" w:rsidR="00DB03DE" w:rsidRPr="00922C73" w:rsidRDefault="00DB03DE" w:rsidP="001710D1">
      <w:pPr>
        <w:spacing w:line="360" w:lineRule="auto"/>
        <w:rPr>
          <w:rFonts w:ascii="Times New Roman" w:hAnsi="Times New Roman" w:cs="Times New Roman"/>
          <w:sz w:val="24"/>
          <w:szCs w:val="24"/>
        </w:rPr>
      </w:pPr>
    </w:p>
    <w:p w14:paraId="08AAE8A9" w14:textId="1FAC456E" w:rsidR="00593E74" w:rsidRPr="00922C73" w:rsidRDefault="00593E74" w:rsidP="001710D1">
      <w:pPr>
        <w:spacing w:line="360" w:lineRule="auto"/>
        <w:rPr>
          <w:rFonts w:ascii="Times New Roman" w:hAnsi="Times New Roman" w:cs="Times New Roman"/>
          <w:sz w:val="24"/>
          <w:szCs w:val="24"/>
        </w:rPr>
      </w:pPr>
    </w:p>
    <w:p w14:paraId="540A4A29" w14:textId="1BF5F5CD" w:rsidR="00143608" w:rsidRPr="00922C73" w:rsidRDefault="00143608" w:rsidP="00143608">
      <w:pPr>
        <w:pStyle w:val="Heading1"/>
        <w:spacing w:line="480" w:lineRule="auto"/>
        <w:rPr>
          <w:rFonts w:ascii="Times New Roman" w:hAnsi="Times New Roman" w:cs="Times New Roman"/>
          <w:sz w:val="32"/>
          <w:szCs w:val="32"/>
          <w:u w:val="single"/>
        </w:rPr>
      </w:pPr>
      <w:bookmarkStart w:id="129" w:name="_Toc151020490"/>
      <w:r w:rsidRPr="00922C73">
        <w:rPr>
          <w:rFonts w:ascii="Times New Roman" w:hAnsi="Times New Roman" w:cs="Times New Roman"/>
          <w:sz w:val="32"/>
          <w:szCs w:val="32"/>
          <w:u w:val="single"/>
        </w:rPr>
        <w:lastRenderedPageBreak/>
        <w:t xml:space="preserve">Chapter </w:t>
      </w:r>
      <w:r w:rsidR="009B6C7F" w:rsidRPr="00922C73">
        <w:rPr>
          <w:rFonts w:ascii="Times New Roman" w:hAnsi="Times New Roman" w:cs="Times New Roman"/>
          <w:sz w:val="32"/>
          <w:szCs w:val="32"/>
          <w:u w:val="single"/>
        </w:rPr>
        <w:t>3</w:t>
      </w:r>
      <w:r w:rsidRPr="00922C73">
        <w:rPr>
          <w:rFonts w:ascii="Times New Roman" w:hAnsi="Times New Roman" w:cs="Times New Roman"/>
          <w:sz w:val="32"/>
          <w:szCs w:val="32"/>
          <w:u w:val="single"/>
        </w:rPr>
        <w:t>: The effect of infliximab dose escalation in inflammatory bowel disease patients with antibodies to infliximab</w:t>
      </w:r>
      <w:bookmarkEnd w:id="129"/>
    </w:p>
    <w:p w14:paraId="633826A4" w14:textId="77777777" w:rsidR="00143608" w:rsidRPr="00922C73" w:rsidRDefault="00143608" w:rsidP="004716F7">
      <w:pPr>
        <w:spacing w:after="0" w:line="480" w:lineRule="auto"/>
        <w:contextualSpacing/>
        <w:jc w:val="left"/>
        <w:rPr>
          <w:rFonts w:ascii="Times New Roman" w:hAnsi="Times New Roman" w:cs="Times New Roman"/>
          <w:sz w:val="24"/>
          <w:szCs w:val="24"/>
          <w:shd w:val="clear" w:color="auto" w:fill="FFFFFF"/>
        </w:rPr>
      </w:pPr>
    </w:p>
    <w:p w14:paraId="691DB690" w14:textId="36F79529" w:rsidR="00143608" w:rsidRPr="00922C73" w:rsidRDefault="00143608" w:rsidP="004716F7">
      <w:pPr>
        <w:spacing w:after="0" w:line="480" w:lineRule="auto"/>
        <w:contextualSpacing/>
        <w:jc w:val="left"/>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This chapter has been published:</w:t>
      </w:r>
    </w:p>
    <w:p w14:paraId="18457F11" w14:textId="0CFBBB5F" w:rsidR="00143608" w:rsidRPr="00922C73" w:rsidRDefault="00284B22" w:rsidP="004716F7">
      <w:pPr>
        <w:spacing w:line="480" w:lineRule="auto"/>
        <w:rPr>
          <w:rFonts w:ascii="Times New Roman" w:hAnsi="Times New Roman" w:cs="Times New Roman"/>
          <w:sz w:val="24"/>
          <w:szCs w:val="24"/>
          <w:shd w:val="clear" w:color="auto" w:fill="FFFFFF"/>
        </w:rPr>
      </w:pPr>
      <w:r w:rsidRPr="00922C73">
        <w:rPr>
          <w:rFonts w:ascii="Times New Roman" w:hAnsi="Times New Roman" w:cs="Times New Roman"/>
          <w:sz w:val="24"/>
          <w:szCs w:val="24"/>
          <w:shd w:val="clear" w:color="auto" w:fill="FFFFFF"/>
        </w:rPr>
        <w:t xml:space="preserve">Tun GSZ, Robinson K, Marshall L, et al. The effect of infliximab dose escalation in inflammatory bowel disease patients with antibodies to infliximab. </w:t>
      </w:r>
      <w:proofErr w:type="spellStart"/>
      <w:r w:rsidRPr="00922C73">
        <w:rPr>
          <w:rFonts w:ascii="Times New Roman" w:hAnsi="Times New Roman" w:cs="Times New Roman"/>
          <w:sz w:val="24"/>
          <w:szCs w:val="24"/>
          <w:shd w:val="clear" w:color="auto" w:fill="FFFFFF"/>
        </w:rPr>
        <w:t>Eur</w:t>
      </w:r>
      <w:proofErr w:type="spellEnd"/>
      <w:r w:rsidRPr="00922C73">
        <w:rPr>
          <w:rFonts w:ascii="Times New Roman" w:hAnsi="Times New Roman" w:cs="Times New Roman"/>
          <w:sz w:val="24"/>
          <w:szCs w:val="24"/>
          <w:shd w:val="clear" w:color="auto" w:fill="FFFFFF"/>
        </w:rPr>
        <w:t xml:space="preserve"> J Gastroenterol Hepatol. 2022 Mar 1;34(3):295-301. </w:t>
      </w:r>
    </w:p>
    <w:p w14:paraId="2CBDE44F" w14:textId="77777777" w:rsidR="00284B22" w:rsidRPr="00922C73" w:rsidRDefault="00284B22" w:rsidP="004716F7">
      <w:pPr>
        <w:spacing w:line="480" w:lineRule="auto"/>
        <w:rPr>
          <w:rFonts w:ascii="Times New Roman" w:hAnsi="Times New Roman" w:cs="Times New Roman"/>
          <w:sz w:val="24"/>
          <w:szCs w:val="24"/>
        </w:rPr>
      </w:pPr>
    </w:p>
    <w:p w14:paraId="293D5751" w14:textId="650698D6" w:rsidR="00143608" w:rsidRPr="00922C73" w:rsidRDefault="00143608" w:rsidP="00D743A2">
      <w:pPr>
        <w:pStyle w:val="Heading2"/>
        <w:numPr>
          <w:ilvl w:val="1"/>
          <w:numId w:val="43"/>
        </w:numPr>
        <w:spacing w:line="480" w:lineRule="auto"/>
        <w:rPr>
          <w:rFonts w:ascii="Times New Roman" w:hAnsi="Times New Roman" w:cs="Times New Roman"/>
          <w:sz w:val="24"/>
          <w:szCs w:val="24"/>
        </w:rPr>
      </w:pPr>
      <w:bookmarkStart w:id="130" w:name="_Toc151020491"/>
      <w:r w:rsidRPr="00922C73">
        <w:rPr>
          <w:rFonts w:ascii="Times New Roman" w:hAnsi="Times New Roman" w:cs="Times New Roman"/>
          <w:sz w:val="24"/>
          <w:szCs w:val="24"/>
        </w:rPr>
        <w:t>Introduction</w:t>
      </w:r>
      <w:bookmarkEnd w:id="130"/>
    </w:p>
    <w:p w14:paraId="1BC9101D" w14:textId="19040549" w:rsidR="00FF6B32" w:rsidRPr="00922C73" w:rsidRDefault="00FF6B32" w:rsidP="004716F7">
      <w:pPr>
        <w:kinsoku w:val="0"/>
        <w:overflowPunct w:val="0"/>
        <w:spacing w:before="86" w:after="0" w:line="480" w:lineRule="auto"/>
        <w:textAlignment w:val="baseline"/>
        <w:rPr>
          <w:rFonts w:ascii="Times New Roman" w:eastAsia="MS PGothic" w:hAnsi="Times New Roman" w:cs="Times New Roman"/>
          <w:kern w:val="24"/>
          <w:sz w:val="24"/>
          <w:szCs w:val="24"/>
        </w:rPr>
      </w:pPr>
      <w:r w:rsidRPr="00922C73">
        <w:rPr>
          <w:rFonts w:ascii="Times New Roman" w:hAnsi="Times New Roman" w:cs="Times New Roman"/>
          <w:sz w:val="24"/>
          <w:szCs w:val="24"/>
        </w:rPr>
        <w:t xml:space="preserve">Reported rates of secondary loss of response to infliximab vary depending on the definition but can be up to 50% at 12 months follow up </w:t>
      </w:r>
      <w:r w:rsidR="00ED60E3"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{"citationItems":[{"id":"ITEM-1","itemData":{"DOI":"10.1038/ajg.2011.73","ISSN":"0002-9270","author":[{"dropping-particle":"","family":"Ford","given":"Alexander C","non-dropping-particle":"","parse-names":false,"suffix":""},{"dropping-particle":"","family":"Sandborn","given":"William J","non-dropping-particle":"","parse-names":false,"suffix":""},{"dropping-particle":"","family":"Khan","given":"Khurram J","non-dropping-particle":"","parse-names":false,"suffix":""},{"dropping-particle":"","family":"Hanauer","given":"Stephen B","non-dropping-particle":"","parse-names":false,"suffix":""},{"dropping-particle":"","family":"Talley","given":"Nicholas J","non-dropping-particle":"","parse-names":false,"suffix":""},{"dropping-particle":"","family":"Moayyedi","given":"Paul","non-dropping-particle":"","parse-names":false,"suffix":""}],"container-title":"American Journal of Gastroenterology","id":"ITEM-1","issue":"4","issued":{"date-parts":[["2011","4"]]},"page":"644-659","title":"Efficacy of Biological Therapies in Inflammatory Bowel Disease: Systematic Review and Meta-Analysis","type":"article-journal","volume":"106"},"uris":["http://www.mendeley.com/documents/?uuid=85d93890-dd24-45d1-8658-b9336e1dad9e"]},{"id":"ITEM-2","itemData":{"DOI":"10.1111/j.1365-2036.2011.04612.x","ISBN":"1365-2036","ISSN":"02692813","PMID":"21366636","abstract":"Loss of response to anti-TNF agents in Crohn's disease is an emerging clinical problem.","author":[{"dropping-particle":"","family":"Ben-Horin","given":"S.","non-dropping-particle":"","parse-names":false,"suffix":""},{"dropping-particle":"","family":"Chowers","given":"Y.","non-dropping-particle":"","parse-names":false,"suffix":""}],"container-title":"Alimentary Pharmacology &amp; Therapeutics","id":"ITEM-2","issue":"9","issued":{"date-parts":[["2011","5"]]},"page":"987-995","title":"Review article: loss of response to anti-TNF treatments in Crohn’s disease","type":"article-journal","volume":"33"},"uris":["http://www.mendeley.com/documents/?uuid=41e52449-6843-4303-b4df-ae27a9670a4f"]}],"mendeley":{"formattedCitation":"&lt;sup&gt;28,70&lt;/sup&gt;","plainTextFormattedCitation":"28,70","previouslyFormattedCitation":"&lt;sup&gt;28,70&lt;/sup&gt;"},"properties":{"noteIndex":0},"schema":"https://github.com/citation-style-language/schema/raw/master/csl-citation.json"}</w:instrText>
      </w:r>
      <w:r w:rsidR="00ED60E3"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28,70</w:t>
      </w:r>
      <w:r w:rsidR="00ED60E3" w:rsidRPr="00922C73">
        <w:rPr>
          <w:rFonts w:ascii="Times New Roman" w:hAnsi="Times New Roman" w:cs="Times New Roman"/>
          <w:sz w:val="24"/>
          <w:szCs w:val="24"/>
        </w:rPr>
        <w:fldChar w:fldCharType="end"/>
      </w:r>
      <w:r w:rsidRPr="00922C73">
        <w:rPr>
          <w:rFonts w:ascii="Times New Roman" w:hAnsi="Times New Roman" w:cs="Times New Roman"/>
          <w:sz w:val="24"/>
          <w:szCs w:val="24"/>
        </w:rPr>
        <w:t>.</w:t>
      </w:r>
      <w:r w:rsidRPr="00922C73">
        <w:rPr>
          <w:rFonts w:ascii="Times New Roman" w:eastAsia="MS PGothic" w:hAnsi="Times New Roman" w:cs="Times New Roman"/>
          <w:kern w:val="24"/>
          <w:sz w:val="24"/>
          <w:szCs w:val="24"/>
        </w:rPr>
        <w:t xml:space="preserve"> </w:t>
      </w:r>
      <w:bookmarkStart w:id="131" w:name="_Hlk73615811"/>
      <w:bookmarkStart w:id="132" w:name="_Hlk85031931"/>
      <w:r w:rsidRPr="00922C73">
        <w:rPr>
          <w:rFonts w:ascii="Times New Roman" w:eastAsia="MS PGothic" w:hAnsi="Times New Roman" w:cs="Times New Roman"/>
          <w:kern w:val="24"/>
          <w:sz w:val="24"/>
          <w:szCs w:val="24"/>
        </w:rPr>
        <w:t xml:space="preserve">This may occur due to an aggressive disease phenotype, disease complications such as strictures or fistulae, drug pharmacokinetics, or a combination of these factors </w:t>
      </w:r>
      <w:bookmarkEnd w:id="131"/>
      <w:r w:rsidR="001E36C0" w:rsidRPr="00922C73">
        <w:rPr>
          <w:rFonts w:ascii="Times New Roman" w:eastAsia="MS PGothic" w:hAnsi="Times New Roman" w:cs="Times New Roman"/>
          <w:kern w:val="24"/>
          <w:sz w:val="24"/>
          <w:szCs w:val="24"/>
        </w:rPr>
        <w:fldChar w:fldCharType="begin" w:fldLock="1"/>
      </w:r>
      <w:r w:rsidR="00DD0F87" w:rsidRPr="00922C73">
        <w:rPr>
          <w:rFonts w:ascii="Times New Roman" w:eastAsia="MS PGothic" w:hAnsi="Times New Roman" w:cs="Times New Roman"/>
          <w:kern w:val="24"/>
          <w:sz w:val="24"/>
          <w:szCs w:val="24"/>
        </w:rPr>
        <w:instrText>ADDIN CSL_CITATION {"citationItems":[{"id":"ITEM-1","itemData":{"DOI":"10.1136/gutjnl-2019-318343","ISSN":"0017-5749","author":[{"dropping-particle":"","family":"Biasci","given":"Daniele","non-dropping-particle":"","parse-names":false,"suffix":""},{"dropping-particle":"","family":"Lee","given":"James C","non-dropping-particle":"","parse-names":false,"suffix":""},{"dropping-particle":"","family":"Noor","given":"Nurulamin M","non-dropping-particle":"","parse-names":false,"suffix":""},{"dropping-particle":"","family":"Pombal","given":"Diana R","non-dropping-particle":"","parse-names":false,"suffix":""},{"dropping-particle":"","family":"Hou","given":"Monica","non-dropping-particle":"","parse-names":false,"suffix":""},{"dropping-particle":"","family":"Lewis","given":"Nina","non-dropping-particle":"","parse-names":false,"suffix":""},{"dropping-particle":"","family":"Ahmad","given":"Tariq","non-dropping-particle":"","parse-names":false,"suffix":""},{"dropping-particle":"","family":"Hart","given":"Ailsa","non-dropping-particle":"","parse-names":false,"suffix":""},{"dropping-particle":"","family":"Parkes","given":"Miles","non-dropping-particle":"","parse-names":false,"suffix":""},{"dropping-particle":"","family":"McKinney","given":"Eoin F","non-dropping-particle":"","parse-names":false,"suffix":""},{"dropping-particle":"","family":"Lyons","given":"Paul A","non-dropping-particle":"","parse-names":false,"suffix":""},{"dropping-particle":"","family":"Smith","given":"Kenneth G C","non-dropping-particle":"","parse-names":false,"suffix":""}],"container-title":"Gut","id":"ITEM-1","issue":"8","issued":{"date-parts":[["2019","8"]]},"page":"1386-1395","title":"A blood-based prognostic biomarker in IBD","type":"article-journal","volume":"68"},"uris":["http://www.mendeley.com/documents/?uuid=047b7afb-b909-4fcb-8c18-ab749abf335d"]},{"id":"ITEM-2","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Diseases","id":"ITEM-2","issue":"1","issued":{"date-parts":[["2015","1"]]},"page":"311-314","title":"The antibody response against human and chimeric anti-TNF therapeutic antibodies primarily targets the TNF binding region","type":"article-journal","volume":"74"},"uris":["http://www.mendeley.com/documents/?uuid=c5c9c2d8-4bea-431e-974f-09a2aa2b2007"]},{"id":"ITEM-3","itemData":{"DOI":"10.1016/j.cgh.2019.05.029","ISSN":"15423565","author":[{"dropping-particle":"","family":"Dreesen","given":"Erwin","non-dropping-particle":"","parse-names":false,"suffix":""},{"dropping-particle":"","family":"Baert","given":"Filip","non-dropping-particle":"","parse-names":false,"suffix":""},{"dropping-particle":"","family":"Laharie","given":"David","non-dropping-particle":"","parse-names":false,"suffix":""},{"dropping-particle":"","family":"Bossuyt","given":"Peter","non-dropping-particle":"","parse-names":false,"suffix":""},{"dropping-particle":"","family":"Bouhnik","given":"Yoram","non-dropping-particle":"","parse-names":false,"suffix":""},{"dropping-particle":"","family":"Buisson","given":"Anthony","non-dropping-particle":"","parse-names":false,"suffix":""},{"dropping-particle":"","family":"Lambrecht","given":"Guy","non-dropping-particle":"","parse-names":false,"suffix":""},{"dropping-particle":"","family":"Louis","given":"Edouard","non-dropping-particle":"","parse-names":false,"suffix":""},{"dropping-particle":"","family":"Oldenburg","given":"Bas","non-dropping-particle":"","parse-names":false,"suffix":""},{"dropping-particle":"","family":"Pariente","given":"Benjamin","non-dropping-particle":"","parse-names":false,"suffix":""},{"dropping-particle":"","family":"Pierik","given":"Marieke","non-dropping-particle":"","parse-names":false,"suffix":""},{"dropping-particle":"","family":"Woude","given":"C. Janneke","non-dropping-particle":"van der","parse-names":false,"suffix":""},{"dropping-particle":"","family":"D’Haens","given":"Geert","non-dropping-particle":"","parse-names":false,"suffix":""},{"dropping-particle":"","family":"Vermeire","given":"Séverine","non-dropping-particle":"","parse-names":false,"suffix":""},{"dropping-particle":"","family":"Gils","given":"Ann","non-dropping-particle":"","parse-names":false,"suffix":""}],"container-title":"Clinical Gastroenterology and Hepatology","id":"ITEM-3","issue":"3","issued":{"date-parts":[["2020","3"]]},"page":"637-646.e11","title":"Monitoring a Combination of Calprotectin and Infliximab Identifies Patients With Mucosal Healing of Crohn’s Disease","type":"article-journal","volume":"18"},"uris":["http://www.mendeley.com/documents/?uuid=13bb5be8-87aa-4a54-9b9a-51793c92f8d4"]}],"mendeley":{"formattedCitation":"&lt;sup&gt;10,33,34&lt;/sup&gt;","plainTextFormattedCitation":"10,33,34","previouslyFormattedCitation":"&lt;sup&gt;10,33,34&lt;/sup&gt;"},"properties":{"noteIndex":0},"schema":"https://github.com/citation-style-language/schema/raw/master/csl-citation.json"}</w:instrText>
      </w:r>
      <w:r w:rsidR="001E36C0" w:rsidRPr="00922C73">
        <w:rPr>
          <w:rFonts w:ascii="Times New Roman" w:eastAsia="MS PGothic" w:hAnsi="Times New Roman" w:cs="Times New Roman"/>
          <w:kern w:val="24"/>
          <w:sz w:val="24"/>
          <w:szCs w:val="24"/>
        </w:rPr>
        <w:fldChar w:fldCharType="separate"/>
      </w:r>
      <w:r w:rsidR="00A00D49" w:rsidRPr="00922C73">
        <w:rPr>
          <w:rFonts w:ascii="Times New Roman" w:eastAsia="MS PGothic" w:hAnsi="Times New Roman" w:cs="Times New Roman"/>
          <w:noProof/>
          <w:kern w:val="24"/>
          <w:sz w:val="24"/>
          <w:szCs w:val="24"/>
          <w:vertAlign w:val="superscript"/>
        </w:rPr>
        <w:t>10,33,34</w:t>
      </w:r>
      <w:r w:rsidR="001E36C0" w:rsidRPr="00922C73">
        <w:rPr>
          <w:rFonts w:ascii="Times New Roman" w:eastAsia="MS PGothic" w:hAnsi="Times New Roman" w:cs="Times New Roman"/>
          <w:kern w:val="24"/>
          <w:sz w:val="24"/>
          <w:szCs w:val="24"/>
        </w:rPr>
        <w:fldChar w:fldCharType="end"/>
      </w:r>
      <w:r w:rsidRPr="00922C73">
        <w:rPr>
          <w:rFonts w:ascii="Times New Roman" w:eastAsia="MS PGothic" w:hAnsi="Times New Roman" w:cs="Times New Roman"/>
          <w:kern w:val="24"/>
          <w:sz w:val="24"/>
          <w:szCs w:val="24"/>
        </w:rPr>
        <w:t xml:space="preserve">. Low circulating drug levels may occur due to ‘consumption’ in the inflammatory process, loss through the colon, </w:t>
      </w:r>
      <w:proofErr w:type="spellStart"/>
      <w:r w:rsidRPr="00922C73">
        <w:rPr>
          <w:rFonts w:ascii="Times New Roman" w:eastAsia="MS PGothic" w:hAnsi="Times New Roman" w:cs="Times New Roman"/>
          <w:kern w:val="24"/>
          <w:sz w:val="24"/>
          <w:szCs w:val="24"/>
        </w:rPr>
        <w:t>FcR</w:t>
      </w:r>
      <w:proofErr w:type="spellEnd"/>
      <w:r w:rsidRPr="00922C73">
        <w:rPr>
          <w:rFonts w:ascii="Times New Roman" w:eastAsia="MS PGothic" w:hAnsi="Times New Roman" w:cs="Times New Roman"/>
          <w:kern w:val="24"/>
          <w:sz w:val="24"/>
          <w:szCs w:val="24"/>
        </w:rPr>
        <w:t xml:space="preserve"> gene polymorphisms </w:t>
      </w:r>
      <w:r w:rsidR="008E5469" w:rsidRPr="00922C73">
        <w:rPr>
          <w:rFonts w:ascii="Times New Roman" w:eastAsia="MS PGothic" w:hAnsi="Times New Roman" w:cs="Times New Roman"/>
          <w:kern w:val="24"/>
          <w:sz w:val="24"/>
          <w:szCs w:val="24"/>
        </w:rPr>
        <w:t xml:space="preserve">or immunologically mediated through the formation of anti-drug antibodies, which </w:t>
      </w:r>
      <w:r w:rsidR="007F2021" w:rsidRPr="00922C73">
        <w:rPr>
          <w:rFonts w:ascii="Times New Roman" w:eastAsia="MS PGothic" w:hAnsi="Times New Roman" w:cs="Times New Roman"/>
          <w:kern w:val="24"/>
          <w:sz w:val="24"/>
          <w:szCs w:val="24"/>
        </w:rPr>
        <w:t xml:space="preserve">can </w:t>
      </w:r>
      <w:r w:rsidR="008E5469" w:rsidRPr="00922C73">
        <w:rPr>
          <w:rFonts w:ascii="Times New Roman" w:eastAsia="MS PGothic" w:hAnsi="Times New Roman" w:cs="Times New Roman"/>
          <w:kern w:val="24"/>
          <w:sz w:val="24"/>
          <w:szCs w:val="24"/>
        </w:rPr>
        <w:t xml:space="preserve">increase the drug clearance </w:t>
      </w:r>
      <w:r w:rsidR="001E36C0" w:rsidRPr="00922C73">
        <w:rPr>
          <w:rFonts w:ascii="Times New Roman" w:eastAsia="MS PGothic" w:hAnsi="Times New Roman" w:cs="Times New Roman"/>
          <w:kern w:val="24"/>
          <w:sz w:val="24"/>
          <w:szCs w:val="24"/>
        </w:rPr>
        <w:fldChar w:fldCharType="begin" w:fldLock="1"/>
      </w:r>
      <w:r w:rsidR="00663976" w:rsidRPr="00922C73">
        <w:rPr>
          <w:rFonts w:ascii="Times New Roman" w:eastAsia="MS PGothic" w:hAnsi="Times New Roman" w:cs="Times New Roman"/>
          <w:kern w:val="24"/>
          <w:sz w:val="24"/>
          <w:szCs w:val="24"/>
        </w:rPr>
        <w:instrText>ADDIN CSL_CITATION {"citationItems":[{"id":"ITEM-1","itemData":{"DOI":"10.1371/journal.pone.0122088","ISSN":"1932-6203","author":[{"dropping-particle":"","family":"Avila-Pedretti","given":"Gabriela","non-dropping-particle":"","parse-names":false,"suffix":""},{"dropping-particle":"","family":"Tornero","given":"Jesús","non-dropping-particle":"","parse-names":false,"suffix":""},{"dropping-particle":"","family":"Fernández-Nebro","given":"Antonio","non-dropping-particle":"","parse-names":false,"suffix":""},{"dropping-particle":"","family":"Blanco","given":"Francisco","non-dropping-particle":"","parse-names":false,"suffix":""},{"dropping-particle":"","family":"González-Alvaro","given":"Isidoro","non-dropping-particle":"","parse-names":false,"suffix":""},{"dropping-particle":"","family":"Cañete","given":"Juan D.","non-dropping-particle":"","parse-names":false,"suffix":""},{"dropping-particle":"","family":"Maymó","given":"Joan","non-dropping-particle":"","parse-names":false,"suffix":""},{"dropping-particle":"","family":"Alperiz","given":"Mercedes","non-dropping-particle":"","parse-names":false,"suffix":""},{"dropping-particle":"","family":"Fernández-Gutiérrez","given":"Benjamín","non-dropping-particle":"","parse-names":false,"suffix":""},{"dropping-particle":"","family":"Olivé","given":"Alex","non-dropping-particle":"","parse-names":false,"suffix":""},{"dropping-particle":"","family":"Corominas","given":"Héctor","non-dropping-particle":"","parse-names":false,"suffix":""},{"dropping-particle":"","family":"Erra","given":"Alba","non-dropping-particle":"","parse-names":false,"suffix":""},{"dropping-particle":"","family":"Aterido","given":"Adrià","non-dropping-particle":"","parse-names":false,"suffix":""},{"dropping-particle":"","family":"López Lasanta","given":"María","non-dropping-particle":"","parse-names":false,"suffix":""},{"dropping-particle":"","family":"Tortosa","given":"Raül","non-dropping-particle":"","parse-names":false,"suffix":""},{"dropping-particle":"","family":"Julià","given":"Antonio","non-dropping-particle":"","parse-names":false,"suffix":""},{"dropping-particle":"","family":"Marsal","given":"Sara","non-dropping-particle":"","parse-names":false,"suffix":""}],"container-title":"PLOS ONE","editor":[{"dropping-particle":"","family":"Stover","given":"Cordula M.","non-dropping-particle":"","parse-names":false,"suffix":""}],"id":"ITEM-1","issue":"4","issued":{"date-parts":[["2015","4","7"]]},"page":"e0122088","title":"Variation at FCGR2A and Functionally Related Genes Is Associated with the Response to Anti-TNF Therapy in Rheumatoid Arthritis","type":"article-journal","volume":"10"},"uris":["http://www.mendeley.com/documents/?uuid=1612f66a-efe1-4f7f-8538-29a67b00f2c1"]},{"id":"ITEM-2","itemData":{"DOI":"10.1002/art.21266","ISSN":"0004-3591","author":[{"dropping-particle":"","family":"Tutuncu","given":"Zuhre","non-dropping-particle":"","parse-names":false,"suffix":""},{"dropping-particle":"","family":"Kavanaugh","given":"Arthur","non-dropping-particle":"","parse-names":false,"suffix":""},{"dropping-particle":"","family":"Zvaifler","given":"Nathan","non-dropping-particle":"","parse-names":false,"suffix":""},{"dropping-particle":"","family":"Corr","given":"Maripat","non-dropping-particle":"","parse-names":false,"suffix":""},{"dropping-particle":"","family":"Deutsch","given":"Reena","non-dropping-particle":"","parse-names":false,"suffix":""},{"dropping-particle":"","family":"Boyle","given":"David","non-dropping-particle":"","parse-names":false,"suffix":""}],"container-title":"Arthritis &amp; Rheumatism","id":"ITEM-2","issue":"9","issued":{"date-parts":[["2005","9"]]},"page":"2693-2696","title":"Fcγ receptor type IIIA polymorphisms influence treatment outcomes in patients with inflammatory arthritis treated with tumor necrosis factor α-blocking agents","type":"article-journal","volume":"52"},"uris":["http://www.mendeley.com/documents/?uuid=bef9bf73-83fe-43a6-a330-c2f4bffadc2e"]},{"id":"ITEM-3","itemData":{"DOI":"10.1016/j.cgh.2006.06.025","ISSN":"15423565","author":[{"dropping-particle":"","family":"Maser","given":"Elana A.","non-dropping-particle":"","parse-names":false,"suffix":""},{"dropping-particle":"","family":"Villela","given":"Renata","non-dropping-particle":"","parse-names":false,"suffix":""},{"dropping-particle":"","family":"Silverberg","given":"Mark S.","non-dropping-particle":"","parse-names":false,"suffix":""},{"dropping-particle":"","family":"Greenberg","given":"Gordon R.","non-dropping-particle":"","parse-names":false,"suffix":""}],"container-title":"Clinical Gastroenterology and Hepatology","id":"ITEM-3","issue":"10","issued":{"date-parts":[["2006","10"]]},"page":"1248-1254","title":"Association of Trough Serum Infliximab to Clinical Outcome After Scheduled Maintenance Treatment for Crohn’s Disease","type":"article-journal","volume":"4"},"uris":["http://www.mendeley.com/documents/?uuid=f8c3f5aa-4d38-43d6-be57-df7f0e34a6aa"]},{"id":"ITEM-4","itemData":{"DOI":"10.1038/ajg.2016.306","ISSN":"0002-9270","author":[{"dropping-particle":"","family":"Billiet","given":"Thomas","non-dropping-particle":"","parse-names":false,"suffix":""},{"dropping-particle":"","family":"Dreesen","given":"Erwin","non-dropping-particle":"","parse-names":false,"suffix":""},{"dropping-particle":"","family":"Cleynen","given":"Isabelle","non-dropping-particle":"","parse-names":false,"suffix":""},{"dropping-particle":"","family":"Wollants","given":"Willem-Jan","non-dropping-particle":"","parse-names":false,"suffix":""},{"dropping-particle":"","family":"Ferrante","given":"Marc","non-dropping-particle":"","parse-names":false,"suffix":""},{"dropping-particle":"","family":"Assche","given":"Gert","non-dropping-particle":"Van","parse-names":false,"suffix":""},{"dropping-particle":"","family":"Gils","given":"Ann","non-dropping-particle":"","parse-names":false,"suffix":""},{"dropping-particle":"","family":"Vermeire","given":"Severine","non-dropping-particle":"","parse-names":false,"suffix":""}],"container-title":"American Journal of Gastroenterology","id":"ITEM-4","issue":"10","issued":{"date-parts":[["2016","10"]]},"page":"1438-1445","title":"A Genetic Variation in the Neonatal Fc-Receptor Affects Anti-TNF Drug Concentrations in Inflammatory Bowel Disease","type":"article-journal","volume":"111"},"uris":["http://www.mendeley.com/documents/?uuid=be795719-093e-43f5-abf4-bd7eb070f81d"]}],"mendeley":{"formattedCitation":"&lt;sup&gt;64,176–178&lt;/sup&gt;","plainTextFormattedCitation":"64,176–178","previouslyFormattedCitation":"&lt;sup&gt;64,176–178&lt;/sup&gt;"},"properties":{"noteIndex":0},"schema":"https://github.com/citation-style-language/schema/raw/master/csl-citation.json"}</w:instrText>
      </w:r>
      <w:r w:rsidR="001E36C0" w:rsidRPr="00922C73">
        <w:rPr>
          <w:rFonts w:ascii="Times New Roman" w:eastAsia="MS PGothic" w:hAnsi="Times New Roman" w:cs="Times New Roman"/>
          <w:kern w:val="24"/>
          <w:sz w:val="24"/>
          <w:szCs w:val="24"/>
        </w:rPr>
        <w:fldChar w:fldCharType="separate"/>
      </w:r>
      <w:r w:rsidR="00DD0F87" w:rsidRPr="00922C73">
        <w:rPr>
          <w:rFonts w:ascii="Times New Roman" w:eastAsia="MS PGothic" w:hAnsi="Times New Roman" w:cs="Times New Roman"/>
          <w:noProof/>
          <w:kern w:val="24"/>
          <w:sz w:val="24"/>
          <w:szCs w:val="24"/>
          <w:vertAlign w:val="superscript"/>
        </w:rPr>
        <w:t>64,176–178</w:t>
      </w:r>
      <w:r w:rsidR="001E36C0" w:rsidRPr="00922C73">
        <w:rPr>
          <w:rFonts w:ascii="Times New Roman" w:eastAsia="MS PGothic" w:hAnsi="Times New Roman" w:cs="Times New Roman"/>
          <w:kern w:val="24"/>
          <w:sz w:val="24"/>
          <w:szCs w:val="24"/>
        </w:rPr>
        <w:fldChar w:fldCharType="end"/>
      </w:r>
      <w:r w:rsidRPr="00922C73">
        <w:rPr>
          <w:rFonts w:ascii="Times New Roman" w:eastAsia="MS PGothic" w:hAnsi="Times New Roman" w:cs="Times New Roman"/>
          <w:kern w:val="24"/>
          <w:sz w:val="24"/>
          <w:szCs w:val="24"/>
        </w:rPr>
        <w:t>.</w:t>
      </w:r>
      <w:bookmarkEnd w:id="132"/>
    </w:p>
    <w:p w14:paraId="388B2380" w14:textId="77777777" w:rsidR="00143608" w:rsidRPr="00922C73" w:rsidRDefault="00143608" w:rsidP="004716F7">
      <w:pPr>
        <w:kinsoku w:val="0"/>
        <w:overflowPunct w:val="0"/>
        <w:spacing w:before="86" w:after="0" w:line="480" w:lineRule="auto"/>
        <w:textAlignment w:val="baseline"/>
        <w:rPr>
          <w:rFonts w:ascii="Times New Roman" w:eastAsia="MS PGothic" w:hAnsi="Times New Roman" w:cs="Times New Roman"/>
          <w:kern w:val="24"/>
          <w:sz w:val="24"/>
          <w:szCs w:val="24"/>
        </w:rPr>
      </w:pPr>
    </w:p>
    <w:p w14:paraId="4CDDC508" w14:textId="35228DE6" w:rsidR="00143608" w:rsidRPr="00922C73" w:rsidRDefault="00143608" w:rsidP="004716F7">
      <w:pPr>
        <w:kinsoku w:val="0"/>
        <w:overflowPunct w:val="0"/>
        <w:spacing w:before="86" w:after="0" w:line="480" w:lineRule="auto"/>
        <w:textAlignment w:val="baseline"/>
        <w:rPr>
          <w:rFonts w:ascii="Times New Roman" w:eastAsia="MS PGothic" w:hAnsi="Times New Roman" w:cs="Times New Roman"/>
          <w:kern w:val="24"/>
          <w:sz w:val="24"/>
          <w:szCs w:val="24"/>
        </w:rPr>
      </w:pPr>
      <w:r w:rsidRPr="00922C73">
        <w:rPr>
          <w:rFonts w:ascii="Times New Roman" w:eastAsia="MS PGothic" w:hAnsi="Times New Roman" w:cs="Times New Roman"/>
          <w:kern w:val="24"/>
          <w:sz w:val="24"/>
          <w:szCs w:val="24"/>
        </w:rPr>
        <w:t xml:space="preserve">The availability of assays to measure drug levels and antidrug antibodies has enabled both proactive and reactive approaches to dosing regimens </w:t>
      </w:r>
      <w:r w:rsidR="008E5469" w:rsidRPr="00922C73">
        <w:rPr>
          <w:rFonts w:ascii="Times New Roman" w:eastAsia="MS PGothic" w:hAnsi="Times New Roman" w:cs="Times New Roman"/>
          <w:kern w:val="24"/>
          <w:sz w:val="24"/>
          <w:szCs w:val="24"/>
        </w:rPr>
        <w:fldChar w:fldCharType="begin" w:fldLock="1"/>
      </w:r>
      <w:r w:rsidR="00663976" w:rsidRPr="00922C73">
        <w:rPr>
          <w:rFonts w:ascii="Times New Roman" w:eastAsia="MS PGothic" w:hAnsi="Times New Roman" w:cs="Times New Roman"/>
          <w:kern w:val="24"/>
          <w:sz w:val="24"/>
          <w:szCs w:val="24"/>
        </w:rPr>
        <w:instrText>ADDIN CSL_CITATION {"citationItems":[{"id":"ITEM-1","itemData":{"DOI":"10.1053/j.gastro.2018.01.004","ISSN":"00165085","author":[{"dropping-particle":"","family":"D’Haens","given":"Geert","non-dropping-particle":"","parse-names":false,"suffix":""},{"dropping-particle":"","family":"Vermeire","given":"Severine","non-dropping-particle":"","parse-names":false,"suffix":""},{"dropping-particle":"","family":"Lambrecht","given":"Guy","non-dropping-particle":"","parse-names":false,"suffix":""},{"dropping-particle":"","family":"Baert","given":"Filip","non-dropping-particle":"","parse-names":false,"suffix":""},{"dropping-particle":"","family":"Bossuyt","given":"Peter","non-dropping-particle":"","parse-names":false,"suffix":""},{"dropping-particle":"","family":"Pariente","given":"Benjamin","non-dropping-particle":"","parse-names":false,"suffix":""},{"dropping-particle":"","family":"Buisson","given":"Anthony","non-dropping-particle":"","parse-names":false,"suffix":""},{"dropping-particle":"","family":"Bouhnik","given":"Yoram","non-dropping-particle":"","parse-names":false,"suffix":""},{"dropping-particle":"","family":"Filippi","given":"Jérôme","non-dropping-particle":"","parse-names":false,"suffix":""},{"dropping-particle":"","family":"Woude","given":"Janneke","non-dropping-particle":"vander","parse-names":false,"suffix":""},{"dropping-particle":"","family":"Hootegem","given":"Philippe","non-dropping-particle":"Van","parse-names":false,"suffix":""},{"dropping-particle":"","family":"Moreau","given":"Jacques","non-dropping-particle":"","parse-names":false,"suffix":""},{"dropping-particle":"","family":"Louis","given":"Edouard","non-dropping-particle":"","parse-names":false,"suffix":""},{"dropping-particle":"","family":"Franchimont","given":"Denis","non-dropping-particle":"","parse-names":false,"suffix":""},{"dropping-particle":"","family":"Vos","given":"Martine","non-dropping-particle":"De","parse-names":false,"suffix":""},{"dropping-particle":"","family":"Mana","given":"Fazia","non-dropping-particle":"","parse-names":false,"suffix":""},{"dropping-particle":"","family":"Peyrin-Biroulet","given":"Laurent","non-dropping-particle":"","parse-names":false,"suffix":""},{"dropping-particle":"","family":"Brixi","given":"Hedia","non-dropping-particle":"","parse-names":false,"suffix":""},{"dropping-particle":"","family":"Allez","given":"Matthieu","non-dropping-particle":"","parse-names":false,"suffix":""},{"dropping-particle":"","family":"Caenepeel","given":"Philip","non-dropping-particle":"","parse-names":false,"suffix":""},{"dropping-particle":"","family":"Aubourg","given":"Alexandre","non-dropping-particle":"","parse-names":false,"suffix":""},{"dropping-particle":"","family":"Oldenburg","given":"Bas","non-dropping-particle":"","parse-names":false,"suffix":""},{"dropping-particle":"","family":"Pierik","given":"Marieke","non-dropping-particle":"","parse-names":false,"suffix":""},{"dropping-particle":"","family":"Gils","given":"Ann","non-dropping-particle":"","parse-names":false,"suffix":""},{"dropping-particle":"","family":"Chevret","given":"Sylvie","non-dropping-particle":"","parse-names":false,"suffix":""},{"dropping-particle":"","family":"Laharie","given":"David","non-dropping-particle":"","parse-names":false,"suffix":""},{"dropping-particle":"","family":"Détré","given":"Patricia","non-dropping-particle":"","parse-names":false,"suffix":""},{"dropping-particle":"","family":"Bertin","given":"Marie-Jo","non-dropping-particle":"","parse-names":false,"suffix":""},{"dropping-particle":"","family":"Williams","given":"Sabrina","non-dropping-particle":"","parse-names":false,"suffix":""}],"container-title":"Gastroenterology","id":"ITEM-1","issue":"5","issued":{"date-parts":[["2018","4"]]},"page":"1343-1351.e1","title":"Increasing Infliximab Dose Based on Symptoms, Biomarkers, and Serum Drug Concentrations Does Not Increase Clinical, Endoscopic, and Corticosteroid-Free Remission in Patients With Active Luminal Crohn’s Disease","type":"article-journal","volume":"154"},"uris":["http://www.mendeley.com/documents/?uuid=9b8df126-5bb8-4165-99b3-f0a41614f6d4"]},{"id":"ITEM-2","itemData":{"DOI":"10.1111/apt.14452","ISSN":"02692813","author":[{"dropping-particle":"","family":"Dreesen","given":"E.","non-dropping-particle":"","parse-names":false,"suffix":""},{"dropping-particle":"","family":"Stappen","given":"T.","non-dropping-particle":"Van","parse-names":false,"suffix":""},{"dropping-particle":"","family":"Ballet","given":"V.","non-dropping-particle":"","parse-names":false,"suffix":""},{"dropping-particle":"","family":"Peeters","given":"M.","non-dropping-particle":"","parse-names":false,"suffix":""},{"dropping-particle":"","family":"Compernolle","given":"G.","non-dropping-particle":"","parse-names":false,"suffix":""},{"dropping-particle":"","family":"Tops","given":"S.","non-dropping-particle":"","parse-names":false,"suffix":""},{"dropping-particle":"","family":"Steen","given":"K.","non-dropping-particle":"Van","parse-names":false,"suffix":""},{"dropping-particle":"","family":"Assche","given":"G.","non-dropping-particle":"Van","parse-names":false,"suffix":""},{"dropping-particle":"","family":"Ferrante","given":"M.","non-dropping-particle":"","parse-names":false,"suffix":""},{"dropping-particle":"","family":"Vermeire","given":"S.","non-dropping-particle":"","parse-names":false,"suffix":""},{"dropping-particle":"","family":"Gils","given":"A.","non-dropping-particle":"","parse-names":false,"suffix":""}],"container-title":"Alimentary Pharmacology &amp; Therapeutics","id":"ITEM-2","issue":"3","issued":{"date-parts":[["2018","2"]]},"page":"346-355","title":"Anti-infliximab antibody concentrations can guide treatment intensification in patients with Crohn's disease who lose clinical response","type":"article-journal","volume":"47"},"uris":["http://www.mendeley.com/documents/?uuid=133a7bb2-ba5b-4ff3-be23-9f6a48b4bf8f"]},{"id":"ITEM-3","itemData":{"DOI":"10.1136/gutjnl-2016-313071","ISSN":"0017-5749","author":[{"dropping-particle":"","family":"Stappen","given":"Thomas","non-dropping-particle":"Van","parse-names":false,"suffix":""},{"dropping-particle":"","family":"Casteele","given":"Niels","non-dropping-particle":"Vande","parse-names":false,"suffix":""},{"dropping-particle":"","family":"Assche","given":"Gert","non-dropping-particle":"Van","parse-names":false,"suffix":""},{"dropping-particle":"","family":"Ferrante","given":"Marc","non-dropping-particle":"","parse-names":false,"suffix":""},{"dropping-particle":"","family":"Vermeire","given":"Séverine","non-dropping-particle":"","parse-names":false,"suffix":""},{"dropping-particle":"","family":"Gils","given":"Ann","non-dropping-particle":"","parse-names":false,"suffix":""}],"container-title":"Gut","id":"ITEM-3","issue":"5","issued":{"date-parts":[["2018","5"]]},"page":"818-826","title":"Clinical relevance of detecting anti-infliximab antibodies with a drug-tolerant assay: post hoc analysis of the TAXIT trial","type":"article-journal","volume":"67"},"uris":["http://www.mendeley.com/documents/?uuid=9ecabd84-b848-448d-b8ca-f726066e7974"]}],"mendeley":{"formattedCitation":"&lt;sup&gt;161,164,179&lt;/sup&gt;","plainTextFormattedCitation":"161,164,179","previouslyFormattedCitation":"&lt;sup&gt;161,164,179&lt;/sup&gt;"},"properties":{"noteIndex":0},"schema":"https://github.com/citation-style-language/schema/raw/master/csl-citation.json"}</w:instrText>
      </w:r>
      <w:r w:rsidR="008E5469" w:rsidRPr="00922C73">
        <w:rPr>
          <w:rFonts w:ascii="Times New Roman" w:eastAsia="MS PGothic" w:hAnsi="Times New Roman" w:cs="Times New Roman"/>
          <w:kern w:val="24"/>
          <w:sz w:val="24"/>
          <w:szCs w:val="24"/>
        </w:rPr>
        <w:fldChar w:fldCharType="separate"/>
      </w:r>
      <w:r w:rsidR="00DD0F87" w:rsidRPr="00922C73">
        <w:rPr>
          <w:rFonts w:ascii="Times New Roman" w:eastAsia="MS PGothic" w:hAnsi="Times New Roman" w:cs="Times New Roman"/>
          <w:noProof/>
          <w:kern w:val="24"/>
          <w:sz w:val="24"/>
          <w:szCs w:val="24"/>
          <w:vertAlign w:val="superscript"/>
        </w:rPr>
        <w:t>161,164,179</w:t>
      </w:r>
      <w:r w:rsidR="008E5469" w:rsidRPr="00922C73">
        <w:rPr>
          <w:rFonts w:ascii="Times New Roman" w:eastAsia="MS PGothic" w:hAnsi="Times New Roman" w:cs="Times New Roman"/>
          <w:kern w:val="24"/>
          <w:sz w:val="24"/>
          <w:szCs w:val="24"/>
        </w:rPr>
        <w:fldChar w:fldCharType="end"/>
      </w:r>
      <w:r w:rsidR="00FF6B32" w:rsidRPr="00922C73">
        <w:rPr>
          <w:rFonts w:ascii="Times New Roman" w:eastAsia="MS PGothic" w:hAnsi="Times New Roman" w:cs="Times New Roman"/>
          <w:kern w:val="24"/>
          <w:sz w:val="24"/>
          <w:szCs w:val="24"/>
        </w:rPr>
        <w:t>.</w:t>
      </w:r>
      <w:r w:rsidRPr="00922C73">
        <w:rPr>
          <w:rFonts w:ascii="Times New Roman" w:eastAsia="MS PGothic" w:hAnsi="Times New Roman" w:cs="Times New Roman"/>
          <w:kern w:val="24"/>
          <w:sz w:val="24"/>
          <w:szCs w:val="24"/>
        </w:rPr>
        <w:t xml:space="preserve"> </w:t>
      </w:r>
      <w:r w:rsidR="00FF6B32" w:rsidRPr="00922C73">
        <w:rPr>
          <w:rFonts w:ascii="Times New Roman" w:eastAsia="MS PGothic" w:hAnsi="Times New Roman" w:cs="Times New Roman"/>
          <w:kern w:val="24"/>
          <w:sz w:val="24"/>
          <w:szCs w:val="24"/>
        </w:rPr>
        <w:t>I</w:t>
      </w:r>
      <w:r w:rsidRPr="00922C73">
        <w:rPr>
          <w:rFonts w:ascii="Times New Roman" w:eastAsia="MS PGothic" w:hAnsi="Times New Roman" w:cs="Times New Roman"/>
          <w:kern w:val="24"/>
          <w:sz w:val="24"/>
          <w:szCs w:val="24"/>
        </w:rPr>
        <w:t xml:space="preserve">nfliximab dose escalation (DE) can be used as a treatment strategy either to proactively optimise drug levels or reactively when loss of response occurs. DE can be achieved by shortening the dose interval, giving a higher dose or a combination of both of these </w:t>
      </w:r>
      <w:r w:rsidR="008E5469" w:rsidRPr="00922C73">
        <w:rPr>
          <w:rFonts w:ascii="Times New Roman" w:eastAsia="MS PGothic" w:hAnsi="Times New Roman" w:cs="Times New Roman"/>
          <w:kern w:val="24"/>
          <w:sz w:val="24"/>
          <w:szCs w:val="24"/>
        </w:rPr>
        <w:fldChar w:fldCharType="begin" w:fldLock="1"/>
      </w:r>
      <w:r w:rsidR="00663976" w:rsidRPr="00922C73">
        <w:rPr>
          <w:rFonts w:ascii="Times New Roman" w:eastAsia="MS PGothic" w:hAnsi="Times New Roman" w:cs="Times New Roman"/>
          <w:kern w:val="24"/>
          <w:sz w:val="24"/>
          <w:szCs w:val="24"/>
        </w:rPr>
        <w:instrText>ADDIN CSL_CITATION {"citationItems":[{"id":"ITEM-1","itemData":{"DOI":"10.1053/j.gastro.2018.01.004","ISSN":"00165085","author":[{"dropping-particle":"","family":"D’Haens","given":"Geert","non-dropping-particle":"","parse-names":false,"suffix":""},{"dropping-particle":"","family":"Vermeire","given":"Severine","non-dropping-particle":"","parse-names":false,"suffix":""},{"dropping-particle":"","family":"Lambrecht","given":"Guy","non-dropping-particle":"","parse-names":false,"suffix":""},{"dropping-particle":"","family":"Baert","given":"Filip","non-dropping-particle":"","parse-names":false,"suffix":""},{"dropping-particle":"","family":"Bossuyt","given":"Peter","non-dropping-particle":"","parse-names":false,"suffix":""},{"dropping-particle":"","family":"Pariente","given":"Benjamin","non-dropping-particle":"","parse-names":false,"suffix":""},{"dropping-particle":"","family":"Buisson","given":"Anthony","non-dropping-particle":"","parse-names":false,"suffix":""},{"dropping-particle":"","family":"Bouhnik","given":"Yoram","non-dropping-particle":"","parse-names":false,"suffix":""},{"dropping-particle":"","family":"Filippi","given":"Jérôme","non-dropping-particle":"","parse-names":false,"suffix":""},{"dropping-particle":"","family":"Woude","given":"Janneke","non-dropping-particle":"vander","parse-names":false,"suffix":""},{"dropping-particle":"","family":"Hootegem","given":"Philippe","non-dropping-particle":"Van","parse-names":false,"suffix":""},{"dropping-particle":"","family":"Moreau","given":"Jacques","non-dropping-particle":"","parse-names":false,"suffix":""},{"dropping-particle":"","family":"Louis","given":"Edouard","non-dropping-particle":"","parse-names":false,"suffix":""},{"dropping-particle":"","family":"Franchimont","given":"Denis","non-dropping-particle":"","parse-names":false,"suffix":""},{"dropping-particle":"","family":"Vos","given":"Martine","non-dropping-particle":"De","parse-names":false,"suffix":""},{"dropping-particle":"","family":"Mana","given":"Fazia","non-dropping-particle":"","parse-names":false,"suffix":""},{"dropping-particle":"","family":"Peyrin-Biroulet","given":"Laurent","non-dropping-particle":"","parse-names":false,"suffix":""},{"dropping-particle":"","family":"Brixi","given":"Hedia","non-dropping-particle":"","parse-names":false,"suffix":""},{"dropping-particle":"","family":"Allez","given":"Matthieu","non-dropping-particle":"","parse-names":false,"suffix":""},{"dropping-particle":"","family":"Caenepeel","given":"Philip","non-dropping-particle":"","parse-names":false,"suffix":""},{"dropping-particle":"","family":"Aubourg","given":"Alexandre","non-dropping-particle":"","parse-names":false,"suffix":""},{"dropping-particle":"","family":"Oldenburg","given":"Bas","non-dropping-particle":"","parse-names":false,"suffix":""},{"dropping-particle":"","family":"Pierik","given":"Marieke","non-dropping-particle":"","parse-names":false,"suffix":""},{"dropping-particle":"","family":"Gils","given":"Ann","non-dropping-particle":"","parse-names":false,"suffix":""},{"dropping-particle":"","family":"Chevret","given":"Sylvie","non-dropping-particle":"","parse-names":false,"suffix":""},{"dropping-particle":"","family":"Laharie","given":"David","non-dropping-particle":"","parse-names":false,"suffix":""},{"dropping-particle":"","family":"Détré","given":"Patricia","non-dropping-particle":"","parse-names":false,"suffix":""},{"dropping-particle":"","family":"Bertin","given":"Marie-Jo","non-dropping-particle":"","parse-names":false,"suffix":""},{"dropping-particle":"","family":"Williams","given":"Sabrina","non-dropping-particle":"","parse-names":false,"suffix":""}],"container-title":"Gastroenterology","id":"ITEM-1","issue":"5","issued":{"date-parts":[["2018","4"]]},"page":"1343-1351.e1","title":"Increasing Infliximab Dose Based on Symptoms, Biomarkers, and Serum Drug Concentrations Does Not Increase Clinical, Endoscopic, and Corticosteroid-Free Remission in Patients With Active Luminal Crohn’s Disease","type":"article-journal","volume":"154"},"uris":["http://www.mendeley.com/documents/?uuid=9b8df126-5bb8-4165-99b3-f0a41614f6d4"]},{"id":"ITEM-2","itemData":{"DOI":"10.1111/apt.14452","ISSN":"02692813","author":[{"dropping-particle":"","family":"Dreesen","given":"E.","non-dropping-particle":"","parse-names":false,"suffix":""},{"dropping-particle":"","family":"Stappen","given":"T.","non-dropping-particle":"Van","parse-names":false,"suffix":""},{"dropping-particle":"","family":"Ballet","given":"V.","non-dropping-particle":"","parse-names":false,"suffix":""},{"dropping-particle":"","family":"Peeters","given":"M.","non-dropping-particle":"","parse-names":false,"suffix":""},{"dropping-particle":"","family":"Compernolle","given":"G.","non-dropping-particle":"","parse-names":false,"suffix":""},{"dropping-particle":"","family":"Tops","given":"S.","non-dropping-particle":"","parse-names":false,"suffix":""},{"dropping-particle":"","family":"Steen","given":"K.","non-dropping-particle":"Van","parse-names":false,"suffix":""},{"dropping-particle":"","family":"Assche","given":"G.","non-dropping-particle":"Van","parse-names":false,"suffix":""},{"dropping-particle":"","family":"Ferrante","given":"M.","non-dropping-particle":"","parse-names":false,"suffix":""},{"dropping-particle":"","family":"Vermeire","given":"S.","non-dropping-particle":"","parse-names":false,"suffix":""},{"dropping-particle":"","family":"Gils","given":"A.","non-dropping-particle":"","parse-names":false,"suffix":""}],"container-title":"Alimentary Pharmacology &amp; Therapeutics","id":"ITEM-2","issue":"3","issued":{"date-parts":[["2018","2"]]},"page":"346-355","title":"Anti-infliximab antibody concentrations can guide treatment intensification in patients with Crohn's disease who lose clinical response","type":"article-journal","volume":"47"},"uris":["http://www.mendeley.com/documents/?uuid=133a7bb2-ba5b-4ff3-be23-9f6a48b4bf8f"]}],"mendeley":{"formattedCitation":"&lt;sup&gt;164,179&lt;/sup&gt;","plainTextFormattedCitation":"164,179","previouslyFormattedCitation":"&lt;sup&gt;164,179&lt;/sup&gt;"},"properties":{"noteIndex":0},"schema":"https://github.com/citation-style-language/schema/raw/master/csl-citation.json"}</w:instrText>
      </w:r>
      <w:r w:rsidR="008E5469" w:rsidRPr="00922C73">
        <w:rPr>
          <w:rFonts w:ascii="Times New Roman" w:eastAsia="MS PGothic" w:hAnsi="Times New Roman" w:cs="Times New Roman"/>
          <w:kern w:val="24"/>
          <w:sz w:val="24"/>
          <w:szCs w:val="24"/>
        </w:rPr>
        <w:fldChar w:fldCharType="separate"/>
      </w:r>
      <w:r w:rsidR="00DD0F87" w:rsidRPr="00922C73">
        <w:rPr>
          <w:rFonts w:ascii="Times New Roman" w:eastAsia="MS PGothic" w:hAnsi="Times New Roman" w:cs="Times New Roman"/>
          <w:noProof/>
          <w:kern w:val="24"/>
          <w:sz w:val="24"/>
          <w:szCs w:val="24"/>
          <w:vertAlign w:val="superscript"/>
        </w:rPr>
        <w:t>164,179</w:t>
      </w:r>
      <w:r w:rsidR="008E5469" w:rsidRPr="00922C73">
        <w:rPr>
          <w:rFonts w:ascii="Times New Roman" w:eastAsia="MS PGothic" w:hAnsi="Times New Roman" w:cs="Times New Roman"/>
          <w:kern w:val="24"/>
          <w:sz w:val="24"/>
          <w:szCs w:val="24"/>
        </w:rPr>
        <w:fldChar w:fldCharType="end"/>
      </w:r>
      <w:r w:rsidRPr="00922C73">
        <w:rPr>
          <w:rFonts w:ascii="Times New Roman" w:eastAsia="MS PGothic" w:hAnsi="Times New Roman" w:cs="Times New Roman"/>
          <w:kern w:val="24"/>
          <w:sz w:val="24"/>
          <w:szCs w:val="24"/>
        </w:rPr>
        <w:t xml:space="preserve">. Although infliximab DE is included in </w:t>
      </w:r>
      <w:r w:rsidRPr="00922C73">
        <w:rPr>
          <w:rFonts w:ascii="Times New Roman" w:eastAsia="MS PGothic" w:hAnsi="Times New Roman" w:cs="Times New Roman"/>
          <w:kern w:val="24"/>
          <w:sz w:val="24"/>
          <w:szCs w:val="24"/>
        </w:rPr>
        <w:lastRenderedPageBreak/>
        <w:t xml:space="preserve">guidelines </w:t>
      </w:r>
      <w:r w:rsidR="008E5469" w:rsidRPr="00922C73">
        <w:rPr>
          <w:rFonts w:ascii="Times New Roman" w:eastAsia="MS PGothic" w:hAnsi="Times New Roman" w:cs="Times New Roman"/>
          <w:kern w:val="24"/>
          <w:sz w:val="24"/>
          <w:szCs w:val="24"/>
        </w:rPr>
        <w:fldChar w:fldCharType="begin" w:fldLock="1"/>
      </w:r>
      <w:r w:rsidR="00DD0F87" w:rsidRPr="00922C73">
        <w:rPr>
          <w:rFonts w:ascii="Times New Roman" w:eastAsia="MS PGothic" w:hAnsi="Times New Roman" w:cs="Times New Roman"/>
          <w:kern w:val="24"/>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adults","type":"article-journal","volume":"68"},"uris":["http://www.mendeley.com/documents/?uuid=609ffbd6-7f0c-40a5-9d61-2f9fb5b7414e"]},{"id":"ITEM-2","itemData":{"abstract":"The recommendations in this guidance represent the view of NICE, arrived at after careful consideration of the evidence available. When exercising their judgement, health professionals are expected to take this guidance fully into account, alongside the individual needs, preferences and values of their patients. The application of the recommendations in this guidance are at the discretion of health professionals and their individual patients and do not override the responsibility of healthcare professionals to make decisions appropriate to the circumstances of the individual patient, in consultation with the patient and/or their carer or guardian. Commissioners and/or providers have a responsibility to provide the funding required to enable the guidance to be applied when individual health professionals and their patients wish to use it, in accordance with the NHS Constitution. They should do so in light of their duties to have due regard to the need to eliminate unlawful discrimination, to advance equality of opportunity and to reduce health inequalities. Infliximab and adalimumab for the treatment of Crohn's disease (TA187)","author":[{"dropping-particle":"","family":"National Institute for Health and Care Excellence","given":"","non-dropping-particle":"","parse-names":false,"suffix":""}],"id":"ITEM-2","issue":"May","issued":{"date-parts":[["2013"]]},"page":"1-44","title":"Infliximab and adalimumab for the treatment of Crohn ' s disease [TA187]","type":"article-journal"},"uris":["http://www.mendeley.com/documents/?uuid=ed31d8aa-605e-49a6-ae75-28b32d4485c4"]}],"mendeley":{"formattedCitation":"&lt;sup&gt;17,22&lt;/sup&gt;","plainTextFormattedCitation":"17,22","previouslyFormattedCitation":"&lt;sup&gt;17,22&lt;/sup&gt;"},"properties":{"noteIndex":0},"schema":"https://github.com/citation-style-language/schema/raw/master/csl-citation.json"}</w:instrText>
      </w:r>
      <w:r w:rsidR="008E5469" w:rsidRPr="00922C73">
        <w:rPr>
          <w:rFonts w:ascii="Times New Roman" w:eastAsia="MS PGothic" w:hAnsi="Times New Roman" w:cs="Times New Roman"/>
          <w:kern w:val="24"/>
          <w:sz w:val="24"/>
          <w:szCs w:val="24"/>
        </w:rPr>
        <w:fldChar w:fldCharType="separate"/>
      </w:r>
      <w:r w:rsidR="00A00D49" w:rsidRPr="00922C73">
        <w:rPr>
          <w:rFonts w:ascii="Times New Roman" w:eastAsia="MS PGothic" w:hAnsi="Times New Roman" w:cs="Times New Roman"/>
          <w:noProof/>
          <w:kern w:val="24"/>
          <w:sz w:val="24"/>
          <w:szCs w:val="24"/>
          <w:vertAlign w:val="superscript"/>
        </w:rPr>
        <w:t>17,22</w:t>
      </w:r>
      <w:r w:rsidR="008E5469" w:rsidRPr="00922C73">
        <w:rPr>
          <w:rFonts w:ascii="Times New Roman" w:eastAsia="MS PGothic" w:hAnsi="Times New Roman" w:cs="Times New Roman"/>
          <w:kern w:val="24"/>
          <w:sz w:val="24"/>
          <w:szCs w:val="24"/>
        </w:rPr>
        <w:fldChar w:fldCharType="end"/>
      </w:r>
      <w:r w:rsidRPr="00922C73">
        <w:rPr>
          <w:rFonts w:ascii="Times New Roman" w:eastAsia="MS PGothic" w:hAnsi="Times New Roman" w:cs="Times New Roman"/>
          <w:kern w:val="24"/>
          <w:sz w:val="24"/>
          <w:szCs w:val="24"/>
        </w:rPr>
        <w:t>, formal long-term evaluation of a strategy of DE is limited, especially in the context of ATI status.</w:t>
      </w:r>
    </w:p>
    <w:p w14:paraId="72DCB472" w14:textId="77777777" w:rsidR="00143608" w:rsidRPr="00922C73" w:rsidRDefault="00143608" w:rsidP="004716F7">
      <w:pPr>
        <w:kinsoku w:val="0"/>
        <w:overflowPunct w:val="0"/>
        <w:spacing w:before="86" w:after="0" w:line="480" w:lineRule="auto"/>
        <w:textAlignment w:val="baseline"/>
        <w:rPr>
          <w:rFonts w:ascii="Times New Roman" w:hAnsi="Times New Roman" w:cs="Times New Roman"/>
          <w:b/>
          <w:bCs/>
          <w:sz w:val="24"/>
          <w:szCs w:val="24"/>
        </w:rPr>
      </w:pPr>
    </w:p>
    <w:p w14:paraId="180372E0" w14:textId="1B98C79E" w:rsidR="00143608" w:rsidRPr="00922C73" w:rsidRDefault="00143608" w:rsidP="004716F7">
      <w:pPr>
        <w:spacing w:line="480" w:lineRule="auto"/>
        <w:rPr>
          <w:rFonts w:ascii="Times New Roman" w:hAnsi="Times New Roman" w:cs="Times New Roman"/>
          <w:b/>
          <w:bCs/>
          <w:sz w:val="24"/>
          <w:szCs w:val="24"/>
        </w:rPr>
      </w:pPr>
      <w:r w:rsidRPr="00922C73">
        <w:rPr>
          <w:rFonts w:ascii="Times New Roman" w:hAnsi="Times New Roman" w:cs="Times New Roman"/>
          <w:b/>
          <w:bCs/>
          <w:sz w:val="24"/>
          <w:szCs w:val="24"/>
        </w:rPr>
        <w:t xml:space="preserve">The aim of this </w:t>
      </w:r>
      <w:r w:rsidR="00AD6AAB" w:rsidRPr="00922C73">
        <w:rPr>
          <w:rFonts w:ascii="Times New Roman" w:hAnsi="Times New Roman" w:cs="Times New Roman"/>
          <w:b/>
          <w:bCs/>
          <w:sz w:val="24"/>
          <w:szCs w:val="24"/>
        </w:rPr>
        <w:t xml:space="preserve">retrospective </w:t>
      </w:r>
      <w:r w:rsidRPr="00922C73">
        <w:rPr>
          <w:rFonts w:ascii="Times New Roman" w:hAnsi="Times New Roman" w:cs="Times New Roman"/>
          <w:b/>
          <w:bCs/>
          <w:sz w:val="24"/>
          <w:szCs w:val="24"/>
        </w:rPr>
        <w:t xml:space="preserve">study was to assess </w:t>
      </w:r>
      <w:r w:rsidRPr="00922C73">
        <w:rPr>
          <w:rFonts w:ascii="Times New Roman" w:eastAsia="TimesNewRomanPSMT" w:hAnsi="Times New Roman" w:cs="Times New Roman"/>
          <w:b/>
          <w:bCs/>
          <w:sz w:val="24"/>
          <w:szCs w:val="24"/>
        </w:rPr>
        <w:t xml:space="preserve">the </w:t>
      </w:r>
      <w:r w:rsidR="00400ABC" w:rsidRPr="00922C73">
        <w:rPr>
          <w:rFonts w:ascii="Times New Roman" w:eastAsia="TimesNewRomanPSMT" w:hAnsi="Times New Roman" w:cs="Times New Roman"/>
          <w:b/>
          <w:bCs/>
          <w:sz w:val="24"/>
          <w:szCs w:val="24"/>
        </w:rPr>
        <w:t xml:space="preserve">effect </w:t>
      </w:r>
      <w:r w:rsidR="00C27973" w:rsidRPr="00922C73">
        <w:rPr>
          <w:rFonts w:ascii="Times New Roman" w:eastAsia="TimesNewRomanPSMT" w:hAnsi="Times New Roman" w:cs="Times New Roman"/>
          <w:b/>
          <w:bCs/>
          <w:sz w:val="24"/>
          <w:szCs w:val="24"/>
        </w:rPr>
        <w:t xml:space="preserve">of </w:t>
      </w:r>
      <w:r w:rsidR="00CF2C2F" w:rsidRPr="00922C73">
        <w:rPr>
          <w:rFonts w:ascii="Times New Roman" w:eastAsia="TimesNewRomanPSMT" w:hAnsi="Times New Roman" w:cs="Times New Roman"/>
          <w:b/>
          <w:bCs/>
          <w:sz w:val="24"/>
          <w:szCs w:val="24"/>
        </w:rPr>
        <w:t>infliximab</w:t>
      </w:r>
      <w:r w:rsidR="00400ABC" w:rsidRPr="00922C73">
        <w:rPr>
          <w:rFonts w:ascii="Times New Roman" w:eastAsia="TimesNewRomanPSMT" w:hAnsi="Times New Roman" w:cs="Times New Roman"/>
          <w:b/>
          <w:bCs/>
          <w:sz w:val="24"/>
          <w:szCs w:val="24"/>
        </w:rPr>
        <w:t xml:space="preserve"> DE</w:t>
      </w:r>
      <w:r w:rsidR="00CF2C2F" w:rsidRPr="00922C73">
        <w:rPr>
          <w:rFonts w:ascii="Times New Roman" w:eastAsia="TimesNewRomanPSMT" w:hAnsi="Times New Roman" w:cs="Times New Roman"/>
          <w:b/>
          <w:bCs/>
          <w:sz w:val="24"/>
          <w:szCs w:val="24"/>
        </w:rPr>
        <w:t xml:space="preserve"> in IBD</w:t>
      </w:r>
      <w:r w:rsidR="00F53FAF" w:rsidRPr="00922C73">
        <w:rPr>
          <w:rFonts w:ascii="Times New Roman" w:eastAsia="TimesNewRomanPSMT" w:hAnsi="Times New Roman" w:cs="Times New Roman"/>
          <w:b/>
          <w:bCs/>
          <w:sz w:val="24"/>
          <w:szCs w:val="24"/>
        </w:rPr>
        <w:t xml:space="preserve"> patients</w:t>
      </w:r>
      <w:r w:rsidRPr="00922C73">
        <w:rPr>
          <w:rFonts w:ascii="Times New Roman" w:eastAsia="TimesNewRomanPSMT" w:hAnsi="Times New Roman" w:cs="Times New Roman"/>
          <w:b/>
          <w:bCs/>
          <w:sz w:val="24"/>
          <w:szCs w:val="24"/>
        </w:rPr>
        <w:t xml:space="preserve"> on drug level, ATI status and clinical response. </w:t>
      </w:r>
    </w:p>
    <w:p w14:paraId="575ABFC9" w14:textId="77777777" w:rsidR="00143608" w:rsidRPr="00922C73" w:rsidRDefault="00143608" w:rsidP="00483437">
      <w:pPr>
        <w:spacing w:line="480" w:lineRule="auto"/>
        <w:rPr>
          <w:rFonts w:ascii="Times New Roman" w:hAnsi="Times New Roman" w:cs="Times New Roman"/>
          <w:b/>
          <w:sz w:val="24"/>
          <w:szCs w:val="24"/>
        </w:rPr>
      </w:pPr>
    </w:p>
    <w:p w14:paraId="2A4F74D2" w14:textId="09CFBACD" w:rsidR="00D35B5A" w:rsidRPr="00922C73" w:rsidRDefault="00D743A2" w:rsidP="00F5156D">
      <w:pPr>
        <w:pStyle w:val="Heading2"/>
        <w:spacing w:line="480" w:lineRule="auto"/>
        <w:rPr>
          <w:rFonts w:ascii="Times New Roman" w:hAnsi="Times New Roman" w:cs="Times New Roman"/>
          <w:sz w:val="24"/>
          <w:szCs w:val="24"/>
        </w:rPr>
      </w:pPr>
      <w:bookmarkStart w:id="133" w:name="_Toc151020492"/>
      <w:r w:rsidRPr="00922C73">
        <w:rPr>
          <w:rFonts w:ascii="Times New Roman" w:hAnsi="Times New Roman" w:cs="Times New Roman"/>
          <w:sz w:val="24"/>
          <w:szCs w:val="24"/>
        </w:rPr>
        <w:t>3</w:t>
      </w:r>
      <w:r w:rsidR="00FF6B32" w:rsidRPr="00922C73">
        <w:rPr>
          <w:rFonts w:ascii="Times New Roman" w:hAnsi="Times New Roman" w:cs="Times New Roman"/>
          <w:sz w:val="24"/>
          <w:szCs w:val="24"/>
        </w:rPr>
        <w:t xml:space="preserve">.2 </w:t>
      </w:r>
      <w:r w:rsidR="00143608" w:rsidRPr="00922C73">
        <w:rPr>
          <w:rFonts w:ascii="Times New Roman" w:hAnsi="Times New Roman" w:cs="Times New Roman"/>
          <w:sz w:val="24"/>
          <w:szCs w:val="24"/>
        </w:rPr>
        <w:t>Materials and Methods</w:t>
      </w:r>
      <w:bookmarkEnd w:id="133"/>
      <w:r w:rsidR="00143608" w:rsidRPr="00922C73">
        <w:rPr>
          <w:rFonts w:ascii="Times New Roman" w:hAnsi="Times New Roman" w:cs="Times New Roman"/>
          <w:sz w:val="24"/>
          <w:szCs w:val="24"/>
        </w:rPr>
        <w:t xml:space="preserve"> </w:t>
      </w:r>
    </w:p>
    <w:p w14:paraId="60839BD3" w14:textId="41FF280E" w:rsidR="00EF2822" w:rsidRPr="00922C73" w:rsidRDefault="00D743A2" w:rsidP="006770A7">
      <w:pPr>
        <w:pStyle w:val="Heading3"/>
        <w:spacing w:line="480" w:lineRule="auto"/>
        <w:rPr>
          <w:rFonts w:ascii="Times New Roman" w:hAnsi="Times New Roman" w:cs="Times New Roman"/>
          <w:b/>
          <w:bCs/>
          <w:shd w:val="clear" w:color="auto" w:fill="FFFFFF"/>
        </w:rPr>
      </w:pPr>
      <w:bookmarkStart w:id="134" w:name="_Toc151020493"/>
      <w:r w:rsidRPr="00922C73">
        <w:rPr>
          <w:rFonts w:ascii="Times New Roman" w:hAnsi="Times New Roman" w:cs="Times New Roman"/>
          <w:b/>
          <w:bCs/>
          <w:shd w:val="clear" w:color="auto" w:fill="FFFFFF"/>
        </w:rPr>
        <w:t>3</w:t>
      </w:r>
      <w:r w:rsidR="00EF2822" w:rsidRPr="00922C73">
        <w:rPr>
          <w:rFonts w:ascii="Times New Roman" w:hAnsi="Times New Roman" w:cs="Times New Roman"/>
          <w:b/>
          <w:bCs/>
          <w:shd w:val="clear" w:color="auto" w:fill="FFFFFF"/>
        </w:rPr>
        <w:t>.2.1 Patient population</w:t>
      </w:r>
      <w:bookmarkEnd w:id="134"/>
    </w:p>
    <w:p w14:paraId="601158E0" w14:textId="27427697" w:rsidR="00EF2822"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All patients undergoing infliximab DE between April 2016 and August 2019 were included. </w:t>
      </w:r>
      <w:r w:rsidR="00AD6AAB" w:rsidRPr="00922C73">
        <w:rPr>
          <w:rFonts w:ascii="Times New Roman" w:eastAsia="SabonLTStd-Roman" w:hAnsi="Times New Roman" w:cs="Times New Roman"/>
          <w:sz w:val="24"/>
          <w:szCs w:val="24"/>
        </w:rPr>
        <w:t xml:space="preserve">Therapeutic </w:t>
      </w:r>
      <w:r w:rsidRPr="00922C73">
        <w:rPr>
          <w:rFonts w:ascii="Times New Roman" w:eastAsia="SabonLTStd-Roman" w:hAnsi="Times New Roman" w:cs="Times New Roman"/>
          <w:sz w:val="24"/>
          <w:szCs w:val="24"/>
        </w:rPr>
        <w:t>drug monitoring consisting of trough infliximab and ATI levels were measured at each infliximab infusion following the initial infusion, in all patients receiving infliximab, from May 2016 at a large tertiary referral centre.</w:t>
      </w:r>
    </w:p>
    <w:p w14:paraId="1FDBED3C" w14:textId="77777777" w:rsidR="00EF2822"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p>
    <w:p w14:paraId="38941BEE" w14:textId="77777777" w:rsidR="00CF2C2F"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Infliximab was administered during induction as 5 mg/kg at 0, 2 and 6 weeks and continued every 8 weeks for maintenance therapy. DE comprised of</w:t>
      </w:r>
      <w:r w:rsidR="00CF2C2F" w:rsidRPr="00922C73">
        <w:rPr>
          <w:rFonts w:ascii="Times New Roman" w:eastAsia="SabonLTStd-Roman" w:hAnsi="Times New Roman" w:cs="Times New Roman"/>
          <w:sz w:val="24"/>
          <w:szCs w:val="24"/>
        </w:rPr>
        <w:t>:</w:t>
      </w:r>
    </w:p>
    <w:p w14:paraId="4A75B095" w14:textId="6AAF01D4" w:rsidR="00CF2C2F"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 1) </w:t>
      </w:r>
      <w:r w:rsidR="00F706AE" w:rsidRPr="00922C73">
        <w:rPr>
          <w:rFonts w:ascii="Times New Roman" w:eastAsia="SabonLTStd-Roman" w:hAnsi="Times New Roman" w:cs="Times New Roman"/>
          <w:sz w:val="24"/>
          <w:szCs w:val="24"/>
        </w:rPr>
        <w:t>I</w:t>
      </w:r>
      <w:r w:rsidRPr="00922C73">
        <w:rPr>
          <w:rFonts w:ascii="Times New Roman" w:eastAsia="SabonLTStd-Roman" w:hAnsi="Times New Roman" w:cs="Times New Roman"/>
          <w:sz w:val="24"/>
          <w:szCs w:val="24"/>
        </w:rPr>
        <w:t xml:space="preserve">nterval shortening: reduction in dose interval between maintenance infusions to less than 8 weeks, </w:t>
      </w:r>
    </w:p>
    <w:p w14:paraId="664D2039" w14:textId="53DE657C" w:rsidR="00206637"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2) </w:t>
      </w:r>
      <w:r w:rsidR="00F706AE" w:rsidRPr="00922C73">
        <w:rPr>
          <w:rFonts w:ascii="Times New Roman" w:eastAsia="SabonLTStd-Roman" w:hAnsi="Times New Roman" w:cs="Times New Roman"/>
          <w:sz w:val="24"/>
          <w:szCs w:val="24"/>
        </w:rPr>
        <w:t>D</w:t>
      </w:r>
      <w:r w:rsidRPr="00922C73">
        <w:rPr>
          <w:rFonts w:ascii="Times New Roman" w:eastAsia="SabonLTStd-Roman" w:hAnsi="Times New Roman" w:cs="Times New Roman"/>
          <w:sz w:val="24"/>
          <w:szCs w:val="24"/>
        </w:rPr>
        <w:t xml:space="preserve">ose doubling: increase of infliximab to 10 mg/kg, </w:t>
      </w:r>
    </w:p>
    <w:p w14:paraId="72A3C839" w14:textId="0413A50A" w:rsidR="00206637"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3) </w:t>
      </w:r>
      <w:r w:rsidR="00F706AE" w:rsidRPr="00922C73">
        <w:rPr>
          <w:rFonts w:ascii="Times New Roman" w:eastAsia="SabonLTStd-Roman" w:hAnsi="Times New Roman" w:cs="Times New Roman"/>
          <w:sz w:val="24"/>
          <w:szCs w:val="24"/>
        </w:rPr>
        <w:t>C</w:t>
      </w:r>
      <w:r w:rsidRPr="00922C73">
        <w:rPr>
          <w:rFonts w:ascii="Times New Roman" w:eastAsia="SabonLTStd-Roman" w:hAnsi="Times New Roman" w:cs="Times New Roman"/>
          <w:sz w:val="24"/>
          <w:szCs w:val="24"/>
        </w:rPr>
        <w:t>ombined dose escalation: combination of both interval</w:t>
      </w:r>
      <w:r w:rsidR="00206637" w:rsidRPr="00922C73">
        <w:rPr>
          <w:rFonts w:ascii="Times New Roman" w:eastAsia="SabonLTStd-Roman" w:hAnsi="Times New Roman" w:cs="Times New Roman"/>
          <w:sz w:val="24"/>
          <w:szCs w:val="24"/>
        </w:rPr>
        <w:t xml:space="preserve"> </w:t>
      </w:r>
      <w:r w:rsidRPr="00922C73">
        <w:rPr>
          <w:rFonts w:ascii="Times New Roman" w:eastAsia="SabonLTStd-Roman" w:hAnsi="Times New Roman" w:cs="Times New Roman"/>
          <w:sz w:val="24"/>
          <w:szCs w:val="24"/>
        </w:rPr>
        <w:t xml:space="preserve">shortening and dose doubling at each infusion or </w:t>
      </w:r>
    </w:p>
    <w:p w14:paraId="4AA4DC0B" w14:textId="594B6061" w:rsidR="00206637" w:rsidRPr="00922C73" w:rsidRDefault="00EF2822"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4) </w:t>
      </w:r>
      <w:r w:rsidR="00F706AE" w:rsidRPr="00922C73">
        <w:rPr>
          <w:rFonts w:ascii="Times New Roman" w:eastAsia="SabonLTStd-Roman" w:hAnsi="Times New Roman" w:cs="Times New Roman"/>
          <w:sz w:val="24"/>
          <w:szCs w:val="24"/>
        </w:rPr>
        <w:t>V</w:t>
      </w:r>
      <w:r w:rsidRPr="00922C73">
        <w:rPr>
          <w:rFonts w:ascii="Times New Roman" w:eastAsia="SabonLTStd-Roman" w:hAnsi="Times New Roman" w:cs="Times New Roman"/>
          <w:sz w:val="24"/>
          <w:szCs w:val="24"/>
        </w:rPr>
        <w:t xml:space="preserve">ariable dose escalation: the use of interval shortening or dose doubling at different infusions. </w:t>
      </w:r>
    </w:p>
    <w:p w14:paraId="1177856B" w14:textId="11CB94D9" w:rsidR="00EF2822" w:rsidRPr="00922C73" w:rsidRDefault="00EF2822" w:rsidP="0020663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lastRenderedPageBreak/>
        <w:t>Patients were included at</w:t>
      </w:r>
      <w:r w:rsidR="00206637" w:rsidRPr="00922C73">
        <w:rPr>
          <w:rFonts w:ascii="Times New Roman" w:eastAsia="SabonLTStd-Roman" w:hAnsi="Times New Roman" w:cs="Times New Roman"/>
          <w:sz w:val="24"/>
          <w:szCs w:val="24"/>
        </w:rPr>
        <w:t xml:space="preserve"> specified</w:t>
      </w:r>
      <w:r w:rsidRPr="00922C73">
        <w:rPr>
          <w:rFonts w:ascii="Times New Roman" w:eastAsia="SabonLTStd-Roman" w:hAnsi="Times New Roman" w:cs="Times New Roman"/>
          <w:sz w:val="24"/>
          <w:szCs w:val="24"/>
        </w:rPr>
        <w:t xml:space="preserve"> time points if infliximab levels were available +/-1 week</w:t>
      </w:r>
      <w:r w:rsidR="00206637" w:rsidRPr="00922C73">
        <w:rPr>
          <w:rFonts w:ascii="Times New Roman" w:eastAsia="SabonLTStd-Roman" w:hAnsi="Times New Roman" w:cs="Times New Roman"/>
          <w:sz w:val="24"/>
          <w:szCs w:val="24"/>
        </w:rPr>
        <w:t xml:space="preserve"> from that time point.</w:t>
      </w:r>
      <w:r w:rsidRPr="00922C73">
        <w:rPr>
          <w:rFonts w:ascii="Times New Roman" w:eastAsia="SabonLTStd-Roman" w:hAnsi="Times New Roman" w:cs="Times New Roman"/>
          <w:sz w:val="24"/>
          <w:szCs w:val="24"/>
        </w:rPr>
        <w:t xml:space="preserve"> Patients were dose-escalated </w:t>
      </w:r>
      <w:r w:rsidR="00BC188F" w:rsidRPr="00922C73">
        <w:rPr>
          <w:rFonts w:ascii="Times New Roman" w:eastAsia="SabonLTStd-Roman" w:hAnsi="Times New Roman" w:cs="Times New Roman"/>
          <w:sz w:val="24"/>
          <w:szCs w:val="24"/>
        </w:rPr>
        <w:t xml:space="preserve">both </w:t>
      </w:r>
      <w:r w:rsidRPr="00922C73">
        <w:rPr>
          <w:rFonts w:ascii="Times New Roman" w:eastAsia="SabonLTStd-Roman" w:hAnsi="Times New Roman" w:cs="Times New Roman"/>
          <w:sz w:val="24"/>
          <w:szCs w:val="24"/>
        </w:rPr>
        <w:t>proactively whilst</w:t>
      </w:r>
      <w:r w:rsidR="00483437" w:rsidRPr="00922C73">
        <w:rPr>
          <w:rFonts w:ascii="Times New Roman" w:eastAsia="SabonLTStd-Roman" w:hAnsi="Times New Roman" w:cs="Times New Roman"/>
          <w:sz w:val="24"/>
          <w:szCs w:val="24"/>
        </w:rPr>
        <w:t xml:space="preserve"> </w:t>
      </w:r>
      <w:r w:rsidRPr="00922C73">
        <w:rPr>
          <w:rFonts w:ascii="Times New Roman" w:eastAsia="SabonLTStd-Roman" w:hAnsi="Times New Roman" w:cs="Times New Roman"/>
          <w:sz w:val="24"/>
          <w:szCs w:val="24"/>
        </w:rPr>
        <w:t>in clinical remission with subtherapeutic drug levels and</w:t>
      </w:r>
      <w:r w:rsidR="00206637" w:rsidRPr="00922C73">
        <w:rPr>
          <w:rFonts w:ascii="Times New Roman" w:eastAsia="SabonLTStd-Roman" w:hAnsi="Times New Roman" w:cs="Times New Roman"/>
          <w:sz w:val="24"/>
          <w:szCs w:val="24"/>
        </w:rPr>
        <w:t xml:space="preserve"> </w:t>
      </w:r>
      <w:r w:rsidRPr="00922C73">
        <w:rPr>
          <w:rFonts w:ascii="Times New Roman" w:eastAsia="SabonLTStd-Roman" w:hAnsi="Times New Roman" w:cs="Times New Roman"/>
          <w:sz w:val="24"/>
          <w:szCs w:val="24"/>
        </w:rPr>
        <w:t>reactively for loss of response.</w:t>
      </w:r>
    </w:p>
    <w:p w14:paraId="7B076589" w14:textId="77777777" w:rsidR="00D35B5A" w:rsidRPr="00922C73" w:rsidRDefault="00D35B5A" w:rsidP="006770A7">
      <w:pPr>
        <w:pStyle w:val="Heading3"/>
        <w:spacing w:line="480" w:lineRule="auto"/>
        <w:rPr>
          <w:rFonts w:ascii="Times New Roman" w:hAnsi="Times New Roman" w:cs="Times New Roman"/>
          <w:b/>
          <w:bCs/>
          <w:shd w:val="clear" w:color="auto" w:fill="FFFFFF"/>
        </w:rPr>
      </w:pPr>
    </w:p>
    <w:p w14:paraId="18E1B8C4" w14:textId="2EEA8FF2" w:rsidR="00993E16" w:rsidRPr="00922C73" w:rsidRDefault="00D743A2" w:rsidP="006770A7">
      <w:pPr>
        <w:pStyle w:val="Heading3"/>
        <w:spacing w:line="480" w:lineRule="auto"/>
        <w:rPr>
          <w:rFonts w:ascii="Times New Roman" w:hAnsi="Times New Roman" w:cs="Times New Roman"/>
          <w:b/>
          <w:bCs/>
        </w:rPr>
      </w:pPr>
      <w:bookmarkStart w:id="135" w:name="_Toc151020494"/>
      <w:r w:rsidRPr="00922C73">
        <w:rPr>
          <w:rFonts w:ascii="Times New Roman" w:hAnsi="Times New Roman" w:cs="Times New Roman"/>
          <w:b/>
          <w:bCs/>
        </w:rPr>
        <w:t>3</w:t>
      </w:r>
      <w:r w:rsidR="0053725D" w:rsidRPr="00922C73">
        <w:rPr>
          <w:rFonts w:ascii="Times New Roman" w:hAnsi="Times New Roman" w:cs="Times New Roman"/>
          <w:b/>
          <w:bCs/>
        </w:rPr>
        <w:t xml:space="preserve">.2.2 </w:t>
      </w:r>
      <w:r w:rsidR="00993E16" w:rsidRPr="00922C73">
        <w:rPr>
          <w:rFonts w:ascii="Times New Roman" w:hAnsi="Times New Roman" w:cs="Times New Roman"/>
          <w:b/>
          <w:bCs/>
        </w:rPr>
        <w:t>Clinical assessment</w:t>
      </w:r>
      <w:bookmarkEnd w:id="135"/>
    </w:p>
    <w:p w14:paraId="267A01FC" w14:textId="2E3F63F6" w:rsidR="00993E16" w:rsidRPr="00922C73" w:rsidRDefault="00993E16" w:rsidP="006770A7">
      <w:pPr>
        <w:autoSpaceDE w:val="0"/>
        <w:autoSpaceDN w:val="0"/>
        <w:adjustRightInd w:val="0"/>
        <w:spacing w:line="480" w:lineRule="auto"/>
        <w:contextualSpacing/>
        <w:rPr>
          <w:rFonts w:ascii="Times New Roman" w:hAnsi="Times New Roman" w:cs="Times New Roman"/>
          <w:sz w:val="24"/>
          <w:szCs w:val="24"/>
        </w:rPr>
      </w:pPr>
      <w:r w:rsidRPr="00922C73">
        <w:rPr>
          <w:rFonts w:ascii="Times New Roman" w:hAnsi="Times New Roman" w:cs="Times New Roman"/>
          <w:sz w:val="24"/>
          <w:szCs w:val="24"/>
        </w:rPr>
        <w:t xml:space="preserve">Harvey Bradshaw Index (HBI) </w:t>
      </w:r>
      <w:r w:rsidR="00D45A65"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10.1016/S0140-6736(80)92767-1","ISSN":"01406736","author":[{"dropping-particle":"","family":"Harvey","given":"R.F.","non-dropping-particle":"","parse-names":false,"suffix":""},{"dropping-particle":"","family":"Bradshaw","given":"J.M.","non-dropping-particle":"","parse-names":false,"suffix":""}],"container-title":"The Lancet","id":"ITEM-1","issue":"8167","issued":{"date-parts":[["1980","3"]]},"page":"514","title":"A SIMPLE INDEX OF CROHN'S-DISEASE ACTIVITY","type":"article-journal","volume":"315"},"uris":["http://www.mendeley.com/documents/?uuid=569fe278-541c-4a2d-8d41-8750f2a01427"]}],"mendeley":{"formattedCitation":"&lt;sup&gt;140&lt;/sup&gt;","plainTextFormattedCitation":"140","previouslyFormattedCitation":"&lt;sup&gt;140&lt;/sup&gt;"},"properties":{"noteIndex":0},"schema":"https://github.com/citation-style-language/schema/raw/master/csl-citation.json"}</w:instrText>
      </w:r>
      <w:r w:rsidR="00D45A65"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140</w:t>
      </w:r>
      <w:r w:rsidR="00D45A65" w:rsidRPr="00922C73">
        <w:rPr>
          <w:rFonts w:ascii="Times New Roman" w:hAnsi="Times New Roman" w:cs="Times New Roman"/>
          <w:sz w:val="24"/>
          <w:szCs w:val="24"/>
        </w:rPr>
        <w:fldChar w:fldCharType="end"/>
      </w:r>
      <w:r w:rsidR="00890662" w:rsidRPr="00922C73">
        <w:rPr>
          <w:rFonts w:ascii="Times New Roman" w:hAnsi="Times New Roman" w:cs="Times New Roman"/>
          <w:sz w:val="24"/>
          <w:szCs w:val="24"/>
        </w:rPr>
        <w:t xml:space="preserve"> </w:t>
      </w:r>
      <w:r w:rsidRPr="00922C73">
        <w:rPr>
          <w:rFonts w:ascii="Times New Roman" w:hAnsi="Times New Roman" w:cs="Times New Roman"/>
          <w:sz w:val="24"/>
          <w:szCs w:val="24"/>
        </w:rPr>
        <w:t xml:space="preserve">for </w:t>
      </w:r>
      <w:r w:rsidR="00D40C4E" w:rsidRPr="00922C73">
        <w:rPr>
          <w:rFonts w:ascii="Times New Roman" w:hAnsi="Times New Roman" w:cs="Times New Roman"/>
          <w:sz w:val="24"/>
          <w:szCs w:val="24"/>
        </w:rPr>
        <w:t>Crohn’s disease</w:t>
      </w:r>
      <w:r w:rsidRPr="00922C73">
        <w:rPr>
          <w:rFonts w:ascii="Times New Roman" w:hAnsi="Times New Roman" w:cs="Times New Roman"/>
          <w:sz w:val="24"/>
          <w:szCs w:val="24"/>
        </w:rPr>
        <w:t xml:space="preserve"> and Simple Colitis Activity Index (SCAI) </w:t>
      </w:r>
      <w:r w:rsidR="00890662"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{"citationItems":[{"id":"ITEM-1","itemData":{"DOI":"10.1136/gut.43.1.29","ISSN":"0017-5749","abstract":"Background —The appropriate medical treatment of patients with ulcerative colitis is determined largely by the severity of symptoms. Hospital assessment of the severity of disease activity includes investigation of laboratory indices and sigmoidoscopic assessment of mucosal inflammation.","author":[{"dropping-particle":"","family":"Walmsley","given":"R S","non-dropping-particle":"","parse-names":false,"suffix":""},{"dropping-particle":"","family":"Ayres","given":"R C S","non-dropping-particle":"","parse-names":false,"suffix":""},{"dropping-particle":"","family":"Pounder","given":"R E","non-dropping-particle":"","parse-names":false,"suffix":""},{"dropping-particle":"","family":"Allan","given":"R N","non-dropping-particle":"","parse-names":false,"suffix":""}],"container-title":"Gut","id":"ITEM-1","issue":"1","issued":{"date-parts":[["1998","7","1"]]},"page":"29-32","title":"A simple clinical colitis activity index","type":"article-journal","volume":"43"},"uris":["http://www.mendeley.com/documents/?uuid=416496f2-5586-4496-8d60-b2cceeafcc32"]}],"mendeley":{"formattedCitation":"&lt;sup&gt;141&lt;/sup&gt;","plainTextFormattedCitation":"141","previouslyFormattedCitation":"&lt;sup&gt;141&lt;/sup&gt;"},"properties":{"noteIndex":0},"schema":"https://github.com/citation-style-language/schema/raw/master/csl-citation.json"}</w:instrText>
      </w:r>
      <w:r w:rsidR="00890662"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141</w:t>
      </w:r>
      <w:r w:rsidR="00890662"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for ulcerative colitis were documented at each infusion attendance. Additional patient contact including clinic review was also included in clinical assessment. Full blood count, urea and electrolytes, liver function tests, C-reactive protein (CRP) and erythrocyte sedimentation rate (ESR) were measured at each infusion. </w:t>
      </w:r>
    </w:p>
    <w:p w14:paraId="31AADEAA" w14:textId="77777777" w:rsidR="00993E16" w:rsidRPr="00922C73" w:rsidRDefault="00993E16" w:rsidP="006770A7">
      <w:pPr>
        <w:autoSpaceDE w:val="0"/>
        <w:autoSpaceDN w:val="0"/>
        <w:adjustRightInd w:val="0"/>
        <w:spacing w:line="480" w:lineRule="auto"/>
        <w:contextualSpacing/>
        <w:rPr>
          <w:rFonts w:ascii="Times New Roman" w:hAnsi="Times New Roman" w:cs="Times New Roman"/>
          <w:sz w:val="24"/>
          <w:szCs w:val="24"/>
        </w:rPr>
      </w:pPr>
    </w:p>
    <w:p w14:paraId="032CE97E" w14:textId="77777777" w:rsidR="00993E16" w:rsidRPr="00922C73" w:rsidRDefault="00993E16" w:rsidP="006770A7">
      <w:pPr>
        <w:autoSpaceDE w:val="0"/>
        <w:autoSpaceDN w:val="0"/>
        <w:adjustRightInd w:val="0"/>
        <w:spacing w:line="480" w:lineRule="auto"/>
        <w:contextualSpacing/>
        <w:rPr>
          <w:rFonts w:ascii="Times New Roman" w:hAnsi="Times New Roman" w:cs="Times New Roman"/>
          <w:sz w:val="24"/>
          <w:szCs w:val="24"/>
          <w:lang w:eastAsia="en-GB"/>
        </w:rPr>
      </w:pPr>
      <w:r w:rsidRPr="00922C73">
        <w:rPr>
          <w:rFonts w:ascii="Times New Roman" w:hAnsi="Times New Roman" w:cs="Times New Roman"/>
          <w:bCs/>
          <w:sz w:val="24"/>
          <w:szCs w:val="24"/>
        </w:rPr>
        <w:t xml:space="preserve">Remission was defined clinically and biochemically for CD as HBI ≤4 plus a C-reactive protein (CRP) ≤ 5 mg/L and defined clinically in UC as SCAI ≤4. </w:t>
      </w:r>
      <w:bookmarkStart w:id="136" w:name="_Hlk73616102"/>
      <w:r w:rsidRPr="00922C73">
        <w:rPr>
          <w:rFonts w:ascii="Times New Roman" w:hAnsi="Times New Roman" w:cs="Times New Roman"/>
          <w:bCs/>
          <w:sz w:val="24"/>
          <w:szCs w:val="24"/>
        </w:rPr>
        <w:t xml:space="preserve">Loss of clinical remission was defined in CD as HBI &gt;4 and/or raised CRP and in UC as SCAI &gt;4 or </w:t>
      </w:r>
      <w:r w:rsidRPr="00922C73">
        <w:rPr>
          <w:rFonts w:ascii="Times New Roman" w:eastAsia="TimesNewRomanPSMT" w:hAnsi="Times New Roman" w:cs="Times New Roman"/>
          <w:sz w:val="24"/>
          <w:szCs w:val="24"/>
        </w:rPr>
        <w:t xml:space="preserve">worsening of symptoms attributed to the IBD requiring an alteration in treatment. </w:t>
      </w:r>
      <w:r w:rsidRPr="00922C73">
        <w:rPr>
          <w:rFonts w:ascii="Times New Roman" w:eastAsia="MS PGothic" w:hAnsi="Times New Roman" w:cs="Times New Roman"/>
          <w:kern w:val="24"/>
          <w:sz w:val="24"/>
          <w:szCs w:val="24"/>
        </w:rPr>
        <w:t>ATI positive, following DE, were deemed to become sustained ATI negative (ATI ≤10 mg/L) if the ATI level remained negative for the duration of DE</w:t>
      </w:r>
      <w:r w:rsidRPr="00922C73">
        <w:rPr>
          <w:rFonts w:ascii="Times New Roman" w:hAnsi="Times New Roman" w:cs="Times New Roman"/>
          <w:sz w:val="24"/>
          <w:szCs w:val="24"/>
        </w:rPr>
        <w:t>.</w:t>
      </w:r>
    </w:p>
    <w:bookmarkEnd w:id="136"/>
    <w:p w14:paraId="6D06300E" w14:textId="77777777" w:rsidR="00993E16" w:rsidRPr="00922C73" w:rsidRDefault="00993E16" w:rsidP="006770A7">
      <w:pPr>
        <w:spacing w:line="480" w:lineRule="auto"/>
        <w:contextualSpacing/>
        <w:rPr>
          <w:rFonts w:ascii="Times New Roman" w:hAnsi="Times New Roman" w:cs="Times New Roman"/>
          <w:sz w:val="24"/>
          <w:szCs w:val="24"/>
        </w:rPr>
      </w:pPr>
    </w:p>
    <w:p w14:paraId="216E8C84" w14:textId="76EA665B" w:rsidR="00993E16" w:rsidRPr="00922C73" w:rsidRDefault="00D743A2" w:rsidP="006770A7">
      <w:pPr>
        <w:pStyle w:val="Heading3"/>
        <w:spacing w:line="480" w:lineRule="auto"/>
        <w:rPr>
          <w:rFonts w:ascii="Times New Roman" w:hAnsi="Times New Roman" w:cs="Times New Roman"/>
          <w:b/>
          <w:bCs/>
        </w:rPr>
      </w:pPr>
      <w:bookmarkStart w:id="137" w:name="_Toc151020495"/>
      <w:r w:rsidRPr="00922C73">
        <w:rPr>
          <w:rFonts w:ascii="Times New Roman" w:hAnsi="Times New Roman" w:cs="Times New Roman"/>
          <w:b/>
          <w:bCs/>
        </w:rPr>
        <w:t>3</w:t>
      </w:r>
      <w:r w:rsidR="0053725D" w:rsidRPr="00922C73">
        <w:rPr>
          <w:rFonts w:ascii="Times New Roman" w:hAnsi="Times New Roman" w:cs="Times New Roman"/>
          <w:b/>
          <w:bCs/>
        </w:rPr>
        <w:t xml:space="preserve">.2.3 </w:t>
      </w:r>
      <w:r w:rsidR="00993E16" w:rsidRPr="00922C73">
        <w:rPr>
          <w:rFonts w:ascii="Times New Roman" w:hAnsi="Times New Roman" w:cs="Times New Roman"/>
          <w:b/>
          <w:bCs/>
        </w:rPr>
        <w:t>Therapeutic Drug Monitoring (TDM)</w:t>
      </w:r>
      <w:bookmarkEnd w:id="137"/>
    </w:p>
    <w:p w14:paraId="5221564C" w14:textId="070A6D80" w:rsidR="00993E16" w:rsidRPr="00922C73" w:rsidRDefault="00B55C46" w:rsidP="00160E77">
      <w:pPr>
        <w:pStyle w:val="NormalWeb"/>
        <w:shd w:val="clear" w:color="auto" w:fill="FFFFFF"/>
        <w:spacing w:before="0" w:beforeAutospacing="0" w:after="0" w:afterAutospacing="0" w:line="480" w:lineRule="auto"/>
      </w:pPr>
      <w:r w:rsidRPr="00922C73">
        <w:rPr>
          <w:bCs/>
          <w:iCs/>
        </w:rPr>
        <w:t>As outlined in C</w:t>
      </w:r>
      <w:r w:rsidR="00B55EBA" w:rsidRPr="00922C73">
        <w:rPr>
          <w:bCs/>
          <w:iCs/>
        </w:rPr>
        <w:t xml:space="preserve">hapter </w:t>
      </w:r>
      <w:r w:rsidR="00910889" w:rsidRPr="00922C73">
        <w:rPr>
          <w:bCs/>
          <w:iCs/>
        </w:rPr>
        <w:t>3</w:t>
      </w:r>
      <w:r w:rsidRPr="00922C73">
        <w:rPr>
          <w:bCs/>
          <w:iCs/>
        </w:rPr>
        <w:t>, t</w:t>
      </w:r>
      <w:r w:rsidR="00993E16" w:rsidRPr="00922C73">
        <w:rPr>
          <w:bCs/>
          <w:iCs/>
        </w:rPr>
        <w:t xml:space="preserve">rough infliximab levels were assessed using </w:t>
      </w:r>
      <w:proofErr w:type="spellStart"/>
      <w:r w:rsidR="00993E16" w:rsidRPr="00922C73">
        <w:rPr>
          <w:bCs/>
          <w:iCs/>
        </w:rPr>
        <w:t>IDK</w:t>
      </w:r>
      <w:r w:rsidR="00993E16" w:rsidRPr="00922C73">
        <w:rPr>
          <w:bCs/>
        </w:rPr>
        <w:t>monitor</w:t>
      </w:r>
      <w:proofErr w:type="spellEnd"/>
      <w:r w:rsidR="00993E16" w:rsidRPr="00922C73">
        <w:t xml:space="preserve">® </w:t>
      </w:r>
      <w:r w:rsidR="00993E16" w:rsidRPr="00922C73">
        <w:rPr>
          <w:bCs/>
        </w:rPr>
        <w:t xml:space="preserve">Infliximab drug level ELISA </w:t>
      </w:r>
      <w:r w:rsidR="00993E16" w:rsidRPr="00922C73">
        <w:t>(</w:t>
      </w:r>
      <w:proofErr w:type="spellStart"/>
      <w:r w:rsidR="00993E16" w:rsidRPr="00922C73">
        <w:t>Immundiagnostik</w:t>
      </w:r>
      <w:proofErr w:type="spellEnd"/>
      <w:r w:rsidR="00993E16" w:rsidRPr="00922C73">
        <w:t xml:space="preserve"> AG, </w:t>
      </w:r>
      <w:proofErr w:type="spellStart"/>
      <w:r w:rsidR="00993E16" w:rsidRPr="00922C73">
        <w:t>Bensheim</w:t>
      </w:r>
      <w:proofErr w:type="spellEnd"/>
      <w:r w:rsidR="00993E16" w:rsidRPr="00922C73">
        <w:t xml:space="preserve">, Germany) </w:t>
      </w:r>
      <w:r w:rsidR="00D40C4E" w:rsidRPr="00922C73">
        <w:fldChar w:fldCharType="begin" w:fldLock="1"/>
      </w:r>
      <w:r w:rsidR="00A00D49" w:rsidRPr="00922C73">
        <w:instrText>ADDIN CSL_CITATION {"citationItems":[{"id":"ITEM-1","itemData":{"author":[{"dropping-particle":"","family":"Immunodiagnostik AG","given":"","non-dropping-particle":"","parse-names":false,"suffix":""}],"id":"ITEM-1","issued":{"date-parts":[["2015"]]},"title":"IDK monitor Infliximab drug level ELISA","type":"article-journal"},"uris":["http://www.mendeley.com/documents/?uuid=4c04fbea-8218-4faf-a482-f67ead1929cc"]}],"mendeley":{"formattedCitation":"&lt;sup&gt;163&lt;/sup&gt;","plainTextFormattedCitation":"163","previouslyFormattedCitation":"&lt;sup&gt;163&lt;/sup&gt;"},"properties":{"noteIndex":0},"schema":"https://github.com/citation-style-language/schema/raw/master/csl-citation.json"}</w:instrText>
      </w:r>
      <w:r w:rsidR="00D40C4E" w:rsidRPr="00922C73">
        <w:fldChar w:fldCharType="separate"/>
      </w:r>
      <w:r w:rsidR="00C80274" w:rsidRPr="00922C73">
        <w:rPr>
          <w:noProof/>
          <w:vertAlign w:val="superscript"/>
        </w:rPr>
        <w:t>163</w:t>
      </w:r>
      <w:r w:rsidR="00D40C4E" w:rsidRPr="00922C73">
        <w:fldChar w:fldCharType="end"/>
      </w:r>
      <w:r w:rsidR="00993E16" w:rsidRPr="00922C73">
        <w:t xml:space="preserve">. </w:t>
      </w:r>
      <w:r w:rsidR="00993E16" w:rsidRPr="00922C73">
        <w:rPr>
          <w:bCs/>
        </w:rPr>
        <w:t>Trough infliximab levels which were defined as undetectable if &lt; 0.8 mg/L, subtherapeutic if 0.8-2.9 mg/L, therapeutic if 3-7 mg/L and supratherapeutic if &gt;7 mg/</w:t>
      </w:r>
      <w:r w:rsidR="00E61EB8" w:rsidRPr="00922C73">
        <w:rPr>
          <w:bCs/>
        </w:rPr>
        <w:t xml:space="preserve">L </w:t>
      </w:r>
      <w:r w:rsidR="00E61EB8" w:rsidRPr="00922C73">
        <w:rPr>
          <w:bCs/>
        </w:rPr>
        <w:fldChar w:fldCharType="begin" w:fldLock="1"/>
      </w:r>
      <w:r w:rsidR="00DD0F87" w:rsidRPr="00922C73">
        <w:rPr>
          <w:bCs/>
        </w:rPr>
        <w:instrText>ADDIN CSL_CITATION {"citationItems":[{"id":"ITEM-1","itemData":{"DOI":"10.1053/j.gastro.2015.02.031","ISBN":"0016-5085","ISSN":"00165085","PMID":"25724455","abstract":"Background &amp; Aims Infliximab, a tumor necrosis factor antagonist, is effective for treating patients with Crohn's disease (CD) and ulcerative colitis (UC). We aimed to determine whether dosing based on therapeutic drug monitoring increases rate of remission and whether continued concentration-based dosing is superior to clinically based dosing of infliximab for maintaining remission in patients with CD and UC. Methods We performed a 1-year randomized controlled trial at a tertiary referral center, including 263 adults (178 with CD and 85 with UC) with stable responses to maintenance infliximab therapy. Doses were escalated or reduced using an algorithm to reach a target trough concentration (TC) of 3-7 ??g/mL in all patients (optimization phase). Patients were randomly assigned (1:1) to groups that received infliximab dosing based on their clinical features (n = 123) or continued dosing based on TCs (n = 128) (maintenance phase). The primary end point was clinical and biochemical remission at 1 year after the optimization phase. Results At screening, 115 of 263 patients had a TC of infliximab of 3-7 ??g/mL (43.7%). Of 76 patients with TCs &lt;3 ??g/mL, 69 patients (91%) achieved TCs of 3-7 ??g/mL after dose escalation. This resulted in a higher proportion of CD patients in remission than before dose escalation (88% vs 65%; P =.020) and a decrease in the median concentration of C-reactive protein, compared with before the dose increase (3.2 vs 4.3 mg/L; P &lt;.001); these changes were not observed in patients with UC. Of 72 patients with TCs &gt;7 ??g/mL, 67 patients (93%) achieved TCs of 3-7 ??g/mL after dose reduction. This resulted in a 28% reduction in drug cost from before dose reduction (P &lt;.001). Sixty-six percent of patients whose dosing was based on clinical features and 69% whose dosing was based on TC achieved remission, the primary end point (P =.686). Disease relapsed in 21 patients who received clinically based dosing (17%) and 9 patients who received concentration-based dosing (7%) (P =.018). Conclusions Targeting patients' infliximab TCs to 3-7 ??g/mL results in a more efficient use of the drug. After dose optimization, continued concentration-based dosing was not superior to clinically based dosing for achieving remission after 1 year, but was associated with fewer flares during the course of treatment. ClinicalTrialsRegister.eu number: 2011-002061-38.","author":[{"dropping-particle":"","family":"Casteele","given":"Niels","non-dropping-particle":"Vande","parse-names":false,"suffix":""},{"dropping-particle":"","family":"Ferrante","given":"Marc","non-dropping-particle":"","parse-names":false,"suffix":""},{"dropping-particle":"","family":"Assche","given":"Gert","non-dropping-particle":"Van","parse-names":false,"suffix":""},{"dropping-particle":"","family":"Ballet","given":"Vera","non-dropping-particle":"","parse-names":false,"suffix":""},{"dropping-particle":"","family":"Compernolle","given":"Griet","non-dropping-particle":"","parse-names":false,"suffix":""},{"dropping-particle":"","family":"Steen","given":"Kristel","non-dropping-particle":"Van","parse-names":false,"suffix":""},{"dropping-particle":"","family":"Simoens","given":"Steven","non-dropping-particle":"","parse-names":false,"suffix":""},{"dropping-particle":"","family":"Rutgeerts","given":"Paul","non-dropping-particle":"","parse-names":false,"suffix":""},{"dropping-particle":"","family":"Gils","given":"Ann","non-dropping-particle":"","parse-names":false,"suffix":""},{"dropping-particle":"","family":"Vermeire","given":"Séverine","non-dropping-particle":"","parse-names":false,"suffix":""}],"container-title":"Gastroenterology","id":"ITEM-1","issue":"7","issued":{"date-parts":[["2015","6"]]},"page":"1320-1329.e3","title":"Trough Concentrations of Infliximab Guide Dosing for Patients With Inflammatory Bowel Disease","type":"article-journal","volume":"148"},"uris":["http://www.mendeley.com/documents/?uuid=fe4b8cc4-2ab7-4960-a991-09dacd224038"]}],"mendeley":{"formattedCitation":"&lt;sup&gt;120&lt;/sup&gt;","plainTextFormattedCitation":"120","previouslyFormattedCitation":"&lt;sup&gt;120&lt;/sup&gt;"},"properties":{"noteIndex":0},"schema":"https://github.com/citation-style-language/schema/raw/master/csl-citation.json"}</w:instrText>
      </w:r>
      <w:r w:rsidR="00E61EB8" w:rsidRPr="00922C73">
        <w:rPr>
          <w:bCs/>
        </w:rPr>
        <w:fldChar w:fldCharType="separate"/>
      </w:r>
      <w:r w:rsidR="00A00D49" w:rsidRPr="00922C73">
        <w:rPr>
          <w:bCs/>
          <w:noProof/>
          <w:vertAlign w:val="superscript"/>
        </w:rPr>
        <w:t>120</w:t>
      </w:r>
      <w:r w:rsidR="00E61EB8" w:rsidRPr="00922C73">
        <w:rPr>
          <w:bCs/>
        </w:rPr>
        <w:fldChar w:fldCharType="end"/>
      </w:r>
      <w:r w:rsidR="00993E16" w:rsidRPr="00922C73">
        <w:rPr>
          <w:bCs/>
        </w:rPr>
        <w:t xml:space="preserve">. </w:t>
      </w:r>
      <w:r w:rsidR="00993E16" w:rsidRPr="00922C73">
        <w:t xml:space="preserve">ATI was assessed using a </w:t>
      </w:r>
      <w:r w:rsidR="00993E16" w:rsidRPr="00922C73">
        <w:lastRenderedPageBreak/>
        <w:t xml:space="preserve">drug tolerant assay, </w:t>
      </w:r>
      <w:proofErr w:type="spellStart"/>
      <w:r w:rsidR="00993E16" w:rsidRPr="00922C73">
        <w:rPr>
          <w:bCs/>
          <w:iCs/>
        </w:rPr>
        <w:t>IDK</w:t>
      </w:r>
      <w:r w:rsidR="00993E16" w:rsidRPr="00922C73">
        <w:rPr>
          <w:bCs/>
        </w:rPr>
        <w:t>monitor</w:t>
      </w:r>
      <w:proofErr w:type="spellEnd"/>
      <w:r w:rsidR="00993E16" w:rsidRPr="00922C73">
        <w:t xml:space="preserve">® </w:t>
      </w:r>
      <w:r w:rsidR="00993E16" w:rsidRPr="00922C73">
        <w:rPr>
          <w:bCs/>
        </w:rPr>
        <w:t xml:space="preserve">Infliximab total ADA </w:t>
      </w:r>
      <w:r w:rsidR="00993E16" w:rsidRPr="00922C73">
        <w:t>(</w:t>
      </w:r>
      <w:proofErr w:type="spellStart"/>
      <w:r w:rsidR="00993E16" w:rsidRPr="00922C73">
        <w:t>Immundiagnostik</w:t>
      </w:r>
      <w:proofErr w:type="spellEnd"/>
      <w:r w:rsidR="00993E16" w:rsidRPr="00922C73">
        <w:t xml:space="preserve"> AG, </w:t>
      </w:r>
      <w:proofErr w:type="spellStart"/>
      <w:r w:rsidR="00993E16" w:rsidRPr="00922C73">
        <w:t>Bensheim</w:t>
      </w:r>
      <w:proofErr w:type="spellEnd"/>
      <w:r w:rsidR="00993E16" w:rsidRPr="00922C73">
        <w:t xml:space="preserve">, Germany) </w:t>
      </w:r>
      <w:r w:rsidR="00AF3AA2" w:rsidRPr="00922C73">
        <w:fldChar w:fldCharType="begin" w:fldLock="1"/>
      </w:r>
      <w:r w:rsidR="00DD0F87" w:rsidRPr="00922C73">
        <w:instrText>ADDIN CSL_CITATION {"citationItems":[{"id":"ITEM-1","itemData":{"author":[{"dropping-particle":"","family":"Immunodiagnostik AG","given":"","non-dropping-particle":"","parse-names":false,"suffix":""}],"id":"ITEM-1","issued":{"date-parts":[["2015"]]},"title":"IDK monitor Infliximab total ADA ELISA","type":"article-journal"},"uris":["http://www.mendeley.com/documents/?uuid=f6337396-cd7f-4f3d-aec6-b19db04d2dc0"]}],"mendeley":{"formattedCitation":"&lt;sup&gt;117&lt;/sup&gt;","plainTextFormattedCitation":"117","previouslyFormattedCitation":"&lt;sup&gt;117&lt;/sup&gt;"},"properties":{"noteIndex":0},"schema":"https://github.com/citation-style-language/schema/raw/master/csl-citation.json"}</w:instrText>
      </w:r>
      <w:r w:rsidR="00AF3AA2" w:rsidRPr="00922C73">
        <w:fldChar w:fldCharType="separate"/>
      </w:r>
      <w:r w:rsidR="00A00D49" w:rsidRPr="00922C73">
        <w:rPr>
          <w:noProof/>
          <w:vertAlign w:val="superscript"/>
        </w:rPr>
        <w:t>117</w:t>
      </w:r>
      <w:r w:rsidR="00AF3AA2" w:rsidRPr="00922C73">
        <w:fldChar w:fldCharType="end"/>
      </w:r>
      <w:r w:rsidR="00EC36CA" w:rsidRPr="00922C73">
        <w:t xml:space="preserve">, </w:t>
      </w:r>
      <w:r w:rsidR="00160E77" w:rsidRPr="00922C73">
        <w:t xml:space="preserve">this is discussed in further detail in Chapter </w:t>
      </w:r>
      <w:r w:rsidR="00910889" w:rsidRPr="00922C73">
        <w:t>3</w:t>
      </w:r>
      <w:r w:rsidR="00993E16" w:rsidRPr="00922C73">
        <w:t xml:space="preserve">. </w:t>
      </w:r>
    </w:p>
    <w:p w14:paraId="36ABD041" w14:textId="77777777" w:rsidR="00160E77" w:rsidRPr="00922C73" w:rsidRDefault="00160E77" w:rsidP="00160E77">
      <w:pPr>
        <w:pStyle w:val="NormalWeb"/>
        <w:shd w:val="clear" w:color="auto" w:fill="FFFFFF"/>
        <w:spacing w:before="0" w:beforeAutospacing="0" w:after="0" w:afterAutospacing="0" w:line="480" w:lineRule="auto"/>
        <w:rPr>
          <w:shd w:val="clear" w:color="auto" w:fill="FFFFFF"/>
        </w:rPr>
      </w:pPr>
    </w:p>
    <w:p w14:paraId="63F881BE" w14:textId="69D8D0EB" w:rsidR="00993E16" w:rsidRPr="00922C73" w:rsidRDefault="00D743A2" w:rsidP="006770A7">
      <w:pPr>
        <w:pStyle w:val="Heading3"/>
        <w:spacing w:line="480" w:lineRule="auto"/>
        <w:rPr>
          <w:rFonts w:ascii="Times New Roman" w:hAnsi="Times New Roman" w:cs="Times New Roman"/>
          <w:b/>
          <w:bCs/>
        </w:rPr>
      </w:pPr>
      <w:bookmarkStart w:id="138" w:name="_Toc151020496"/>
      <w:r w:rsidRPr="00922C73">
        <w:rPr>
          <w:rFonts w:ascii="Times New Roman" w:hAnsi="Times New Roman" w:cs="Times New Roman"/>
          <w:b/>
          <w:bCs/>
        </w:rPr>
        <w:t>3</w:t>
      </w:r>
      <w:r w:rsidR="0096150A" w:rsidRPr="00922C73">
        <w:rPr>
          <w:rFonts w:ascii="Times New Roman" w:hAnsi="Times New Roman" w:cs="Times New Roman"/>
          <w:b/>
          <w:bCs/>
        </w:rPr>
        <w:t xml:space="preserve">.2.4 </w:t>
      </w:r>
      <w:r w:rsidR="00993E16" w:rsidRPr="00922C73">
        <w:rPr>
          <w:rFonts w:ascii="Times New Roman" w:hAnsi="Times New Roman" w:cs="Times New Roman"/>
          <w:b/>
          <w:bCs/>
        </w:rPr>
        <w:t>Ethic</w:t>
      </w:r>
      <w:r w:rsidR="00160E77" w:rsidRPr="00922C73">
        <w:rPr>
          <w:rFonts w:ascii="Times New Roman" w:hAnsi="Times New Roman" w:cs="Times New Roman"/>
          <w:b/>
          <w:bCs/>
        </w:rPr>
        <w:t>al approval</w:t>
      </w:r>
      <w:bookmarkEnd w:id="138"/>
    </w:p>
    <w:p w14:paraId="4F963196" w14:textId="2F2E3B84" w:rsidR="00993E16" w:rsidRPr="00922C73" w:rsidRDefault="00993E16" w:rsidP="00666E73">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Ethical approval was granted by Sheffield Research Ethics Committee and the Health Research Authority (IRAS project ID 213480, </w:t>
      </w:r>
      <w:r w:rsidR="00666E73" w:rsidRPr="00922C73">
        <w:rPr>
          <w:rFonts w:ascii="Times New Roman" w:hAnsi="Times New Roman" w:cs="Times New Roman"/>
          <w:sz w:val="24"/>
          <w:szCs w:val="24"/>
        </w:rPr>
        <w:t xml:space="preserve">2016, </w:t>
      </w:r>
      <w:r w:rsidRPr="00922C73">
        <w:rPr>
          <w:rFonts w:ascii="Times New Roman" w:hAnsi="Times New Roman" w:cs="Times New Roman"/>
          <w:sz w:val="24"/>
          <w:szCs w:val="24"/>
        </w:rPr>
        <w:t>STH reference 19459). Treatment was part of routine clinical care.</w:t>
      </w:r>
      <w:r w:rsidR="00666E73" w:rsidRPr="00922C73">
        <w:rPr>
          <w:rFonts w:ascii="Times New Roman" w:hAnsi="Times New Roman" w:cs="Times New Roman"/>
          <w:sz w:val="24"/>
          <w:szCs w:val="24"/>
        </w:rPr>
        <w:t xml:space="preserve"> Service improvement registration number 7520. </w:t>
      </w:r>
    </w:p>
    <w:p w14:paraId="6876B3C7" w14:textId="77777777" w:rsidR="0096150A" w:rsidRPr="00922C73" w:rsidRDefault="0096150A" w:rsidP="006770A7">
      <w:pPr>
        <w:pStyle w:val="NoSpacing"/>
        <w:spacing w:line="480" w:lineRule="auto"/>
        <w:rPr>
          <w:rFonts w:ascii="Times New Roman" w:hAnsi="Times New Roman" w:cs="Times New Roman"/>
          <w:sz w:val="24"/>
          <w:szCs w:val="24"/>
        </w:rPr>
      </w:pPr>
    </w:p>
    <w:p w14:paraId="52A3C0AC" w14:textId="7C54F558" w:rsidR="00EF2822" w:rsidRPr="00922C73" w:rsidRDefault="00D743A2" w:rsidP="006770A7">
      <w:pPr>
        <w:pStyle w:val="Heading3"/>
        <w:spacing w:line="480" w:lineRule="auto"/>
        <w:rPr>
          <w:rFonts w:ascii="Times New Roman" w:hAnsi="Times New Roman" w:cs="Times New Roman"/>
          <w:b/>
          <w:bCs/>
          <w:shd w:val="clear" w:color="auto" w:fill="FFFFFF"/>
        </w:rPr>
      </w:pPr>
      <w:bookmarkStart w:id="139" w:name="_Toc151020497"/>
      <w:r w:rsidRPr="00922C73">
        <w:rPr>
          <w:rFonts w:ascii="Times New Roman" w:hAnsi="Times New Roman" w:cs="Times New Roman"/>
          <w:b/>
          <w:bCs/>
          <w:shd w:val="clear" w:color="auto" w:fill="FFFFFF"/>
        </w:rPr>
        <w:t>3</w:t>
      </w:r>
      <w:r w:rsidR="00EF2822" w:rsidRPr="00922C73">
        <w:rPr>
          <w:rFonts w:ascii="Times New Roman" w:hAnsi="Times New Roman" w:cs="Times New Roman"/>
          <w:b/>
          <w:bCs/>
          <w:shd w:val="clear" w:color="auto" w:fill="FFFFFF"/>
        </w:rPr>
        <w:t>.2.</w:t>
      </w:r>
      <w:r w:rsidR="0092125E" w:rsidRPr="00922C73">
        <w:rPr>
          <w:rFonts w:ascii="Times New Roman" w:hAnsi="Times New Roman" w:cs="Times New Roman"/>
          <w:b/>
          <w:bCs/>
          <w:shd w:val="clear" w:color="auto" w:fill="FFFFFF"/>
        </w:rPr>
        <w:t>5</w:t>
      </w:r>
      <w:r w:rsidR="00EF2822" w:rsidRPr="00922C73">
        <w:rPr>
          <w:rFonts w:ascii="Times New Roman" w:hAnsi="Times New Roman" w:cs="Times New Roman"/>
          <w:b/>
          <w:bCs/>
          <w:shd w:val="clear" w:color="auto" w:fill="FFFFFF"/>
        </w:rPr>
        <w:t xml:space="preserve"> Statistical analyses</w:t>
      </w:r>
      <w:bookmarkEnd w:id="139"/>
    </w:p>
    <w:p w14:paraId="56D07570" w14:textId="1C958C6E" w:rsidR="00EF2822" w:rsidRPr="00922C73" w:rsidRDefault="00483437"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Shapiro–Wilk was used to assess normality of distribution for infliximab and ATI levels. </w:t>
      </w:r>
    </w:p>
    <w:p w14:paraId="7E8238A9" w14:textId="0AA55D6D" w:rsidR="00483437" w:rsidRPr="00922C73" w:rsidRDefault="00913D5C" w:rsidP="006770A7">
      <w:pPr>
        <w:spacing w:line="480" w:lineRule="auto"/>
        <w:rPr>
          <w:rFonts w:ascii="Times New Roman" w:eastAsia="SabonLTStd-Roman" w:hAnsi="Times New Roman" w:cs="Times New Roman"/>
          <w:sz w:val="24"/>
          <w:szCs w:val="24"/>
        </w:rPr>
      </w:pPr>
      <w:r w:rsidRPr="00922C73">
        <w:rPr>
          <w:rFonts w:ascii="Times New Roman" w:hAnsi="Times New Roman" w:cs="Times New Roman"/>
          <w:sz w:val="24"/>
          <w:szCs w:val="24"/>
          <w:shd w:val="clear" w:color="auto" w:fill="FFFFFF"/>
        </w:rPr>
        <w:t>Wilcoxon signed rank test with correction for multiple comparisons was used to assess paired infliximab and ATI levels pre-infliximab dose escalation to levels post dose-escalation</w:t>
      </w:r>
      <w:r w:rsidR="00483437" w:rsidRPr="00922C73">
        <w:rPr>
          <w:rFonts w:ascii="Times New Roman" w:hAnsi="Times New Roman" w:cs="Times New Roman"/>
          <w:sz w:val="24"/>
          <w:szCs w:val="24"/>
          <w:shd w:val="clear" w:color="auto" w:fill="FFFFFF"/>
        </w:rPr>
        <w:t xml:space="preserve"> as data was non-parametric</w:t>
      </w:r>
      <w:r w:rsidRPr="00922C73">
        <w:rPr>
          <w:rFonts w:ascii="Times New Roman" w:eastAsia="MS PGothic" w:hAnsi="Times New Roman" w:cs="Times New Roman"/>
          <w:kern w:val="24"/>
          <w:sz w:val="24"/>
          <w:szCs w:val="24"/>
        </w:rPr>
        <w:t>.</w:t>
      </w:r>
      <w:r w:rsidR="00483437" w:rsidRPr="00922C73">
        <w:rPr>
          <w:rFonts w:ascii="Times New Roman" w:eastAsia="MS PGothic" w:hAnsi="Times New Roman" w:cs="Times New Roman"/>
          <w:kern w:val="24"/>
          <w:sz w:val="24"/>
          <w:szCs w:val="24"/>
        </w:rPr>
        <w:t xml:space="preserve"> </w:t>
      </w:r>
      <w:r w:rsidR="00483437" w:rsidRPr="00922C73">
        <w:rPr>
          <w:rFonts w:ascii="Times New Roman" w:eastAsia="SabonLTStd-Roman" w:hAnsi="Times New Roman" w:cs="Times New Roman"/>
          <w:sz w:val="24"/>
          <w:szCs w:val="24"/>
        </w:rPr>
        <w:t>Receiver operated curve was used to assess the association between ATI</w:t>
      </w:r>
    </w:p>
    <w:p w14:paraId="1E32161C" w14:textId="758DFE7E" w:rsidR="00483437" w:rsidRPr="00922C73" w:rsidRDefault="00483437"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levels pre-DE and subsequent ATI negativity post-DE. Kruskal–Wallis with pair-wise analysis and correction for multiple comparisons was used to compare the efficacy of the different methods of DE on infliximab levels and Kaplan–Meier with Tarone–Ware test for </w:t>
      </w:r>
      <w:r w:rsidR="00BC188F" w:rsidRPr="00922C73">
        <w:rPr>
          <w:rFonts w:ascii="Times New Roman" w:eastAsia="SabonLTStd-Roman" w:hAnsi="Times New Roman" w:cs="Times New Roman"/>
          <w:sz w:val="24"/>
          <w:szCs w:val="24"/>
        </w:rPr>
        <w:t>the different methods of DE’s</w:t>
      </w:r>
      <w:r w:rsidRPr="00922C73">
        <w:rPr>
          <w:rFonts w:ascii="Times New Roman" w:eastAsia="SabonLTStd-Roman" w:hAnsi="Times New Roman" w:cs="Times New Roman"/>
          <w:sz w:val="24"/>
          <w:szCs w:val="24"/>
        </w:rPr>
        <w:t xml:space="preserve"> effect on clinical</w:t>
      </w:r>
      <w:r w:rsidR="00BC188F" w:rsidRPr="00922C73">
        <w:rPr>
          <w:rFonts w:ascii="Times New Roman" w:eastAsia="SabonLTStd-Roman" w:hAnsi="Times New Roman" w:cs="Times New Roman"/>
          <w:sz w:val="24"/>
          <w:szCs w:val="24"/>
        </w:rPr>
        <w:t xml:space="preserve"> </w:t>
      </w:r>
      <w:r w:rsidRPr="00922C73">
        <w:rPr>
          <w:rFonts w:ascii="Times New Roman" w:eastAsia="SabonLTStd-Roman" w:hAnsi="Times New Roman" w:cs="Times New Roman"/>
          <w:sz w:val="24"/>
          <w:szCs w:val="24"/>
        </w:rPr>
        <w:t>remission.</w:t>
      </w:r>
    </w:p>
    <w:p w14:paraId="1DFC0559" w14:textId="77777777" w:rsidR="00483437" w:rsidRPr="00922C73" w:rsidRDefault="00483437" w:rsidP="006770A7">
      <w:pPr>
        <w:autoSpaceDE w:val="0"/>
        <w:autoSpaceDN w:val="0"/>
        <w:adjustRightInd w:val="0"/>
        <w:spacing w:after="0" w:line="480" w:lineRule="auto"/>
        <w:jc w:val="left"/>
        <w:rPr>
          <w:rFonts w:ascii="Times New Roman" w:eastAsia="SabonLTStd-Roman" w:hAnsi="Times New Roman" w:cs="Times New Roman"/>
          <w:sz w:val="24"/>
          <w:szCs w:val="24"/>
        </w:rPr>
      </w:pPr>
    </w:p>
    <w:p w14:paraId="5AD854AC" w14:textId="1678F9BD" w:rsidR="00483437" w:rsidRPr="00922C73" w:rsidRDefault="00483437"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 xml:space="preserve">Microsoft Excel, GraphPad Prism and IBM SPSS statistics software were used for statistical analyses. 95% confidence intervals with </w:t>
      </w:r>
      <w:r w:rsidRPr="00922C73">
        <w:rPr>
          <w:rFonts w:ascii="Times New Roman" w:eastAsia="SabonLTStd-Roman" w:hAnsi="Times New Roman" w:cs="Times New Roman"/>
          <w:i/>
          <w:iCs/>
          <w:sz w:val="24"/>
          <w:szCs w:val="24"/>
        </w:rPr>
        <w:t xml:space="preserve">P </w:t>
      </w:r>
      <w:r w:rsidRPr="00922C73">
        <w:rPr>
          <w:rFonts w:ascii="Times New Roman" w:eastAsia="SabonLTStd-Roman" w:hAnsi="Times New Roman" w:cs="Times New Roman"/>
          <w:sz w:val="24"/>
          <w:szCs w:val="24"/>
        </w:rPr>
        <w:t>value ≤0.05 were deemed statistically</w:t>
      </w:r>
    </w:p>
    <w:p w14:paraId="7D5A733C" w14:textId="63692B45" w:rsidR="00483437" w:rsidRPr="00922C73" w:rsidRDefault="00483437" w:rsidP="006770A7">
      <w:pPr>
        <w:autoSpaceDE w:val="0"/>
        <w:autoSpaceDN w:val="0"/>
        <w:adjustRightInd w:val="0"/>
        <w:spacing w:after="0" w:line="480" w:lineRule="auto"/>
        <w:jc w:val="left"/>
        <w:rPr>
          <w:rFonts w:ascii="Times New Roman" w:eastAsia="SabonLTStd-Roman" w:hAnsi="Times New Roman" w:cs="Times New Roman"/>
          <w:sz w:val="24"/>
          <w:szCs w:val="24"/>
        </w:rPr>
      </w:pPr>
      <w:r w:rsidRPr="00922C73">
        <w:rPr>
          <w:rFonts w:ascii="Times New Roman" w:eastAsia="SabonLTStd-Roman" w:hAnsi="Times New Roman" w:cs="Times New Roman"/>
          <w:sz w:val="24"/>
          <w:szCs w:val="24"/>
        </w:rPr>
        <w:t>significant. Benjamini–Hochberg and Bonferroni correction was used to control for multiple comparisons false discovery rate.</w:t>
      </w:r>
      <w:r w:rsidR="00BC188F" w:rsidRPr="00922C73">
        <w:rPr>
          <w:rFonts w:ascii="Times New Roman" w:eastAsia="SabonLTStd-Roman" w:hAnsi="Times New Roman" w:cs="Times New Roman"/>
          <w:sz w:val="24"/>
          <w:szCs w:val="24"/>
        </w:rPr>
        <w:br/>
      </w:r>
    </w:p>
    <w:p w14:paraId="6C742A30" w14:textId="78D09C37" w:rsidR="00143608" w:rsidRPr="00922C73" w:rsidRDefault="00D743A2" w:rsidP="00483437">
      <w:pPr>
        <w:pStyle w:val="Heading2"/>
        <w:spacing w:line="480" w:lineRule="auto"/>
        <w:rPr>
          <w:rFonts w:ascii="Times New Roman" w:hAnsi="Times New Roman" w:cs="Times New Roman"/>
          <w:sz w:val="24"/>
          <w:szCs w:val="24"/>
        </w:rPr>
      </w:pPr>
      <w:bookmarkStart w:id="140" w:name="_Toc151020498"/>
      <w:r w:rsidRPr="00922C73">
        <w:rPr>
          <w:rFonts w:ascii="Times New Roman" w:hAnsi="Times New Roman" w:cs="Times New Roman"/>
          <w:sz w:val="24"/>
          <w:szCs w:val="24"/>
        </w:rPr>
        <w:lastRenderedPageBreak/>
        <w:t>3</w:t>
      </w:r>
      <w:r w:rsidR="00FF6B32" w:rsidRPr="00922C73">
        <w:rPr>
          <w:rFonts w:ascii="Times New Roman" w:hAnsi="Times New Roman" w:cs="Times New Roman"/>
          <w:sz w:val="24"/>
          <w:szCs w:val="24"/>
        </w:rPr>
        <w:t xml:space="preserve">.3 </w:t>
      </w:r>
      <w:r w:rsidR="00143608" w:rsidRPr="00922C73">
        <w:rPr>
          <w:rFonts w:ascii="Times New Roman" w:hAnsi="Times New Roman" w:cs="Times New Roman"/>
          <w:sz w:val="24"/>
          <w:szCs w:val="24"/>
        </w:rPr>
        <w:t>Results</w:t>
      </w:r>
      <w:bookmarkEnd w:id="140"/>
    </w:p>
    <w:p w14:paraId="3F83767D" w14:textId="59B418E4" w:rsidR="00143608" w:rsidRPr="00922C73" w:rsidRDefault="00D743A2" w:rsidP="00483437">
      <w:pPr>
        <w:pStyle w:val="Heading3"/>
        <w:spacing w:line="480" w:lineRule="auto"/>
        <w:rPr>
          <w:rFonts w:ascii="Times New Roman" w:hAnsi="Times New Roman" w:cs="Times New Roman"/>
          <w:b/>
          <w:bCs/>
        </w:rPr>
      </w:pPr>
      <w:bookmarkStart w:id="141" w:name="_Toc151020499"/>
      <w:r w:rsidRPr="00922C73">
        <w:rPr>
          <w:rFonts w:ascii="Times New Roman" w:hAnsi="Times New Roman" w:cs="Times New Roman"/>
          <w:b/>
          <w:bCs/>
        </w:rPr>
        <w:t>3</w:t>
      </w:r>
      <w:r w:rsidR="008312DF" w:rsidRPr="00922C73">
        <w:rPr>
          <w:rFonts w:ascii="Times New Roman" w:hAnsi="Times New Roman" w:cs="Times New Roman"/>
          <w:b/>
          <w:bCs/>
        </w:rPr>
        <w:t xml:space="preserve">.3.1 </w:t>
      </w:r>
      <w:r w:rsidR="00143608" w:rsidRPr="00922C73">
        <w:rPr>
          <w:rFonts w:ascii="Times New Roman" w:hAnsi="Times New Roman" w:cs="Times New Roman"/>
          <w:b/>
          <w:bCs/>
        </w:rPr>
        <w:t>Patients</w:t>
      </w:r>
      <w:bookmarkEnd w:id="141"/>
      <w:r w:rsidR="00143608" w:rsidRPr="00922C73">
        <w:rPr>
          <w:rFonts w:ascii="Times New Roman" w:hAnsi="Times New Roman" w:cs="Times New Roman"/>
          <w:b/>
          <w:bCs/>
        </w:rPr>
        <w:t xml:space="preserve"> </w:t>
      </w:r>
    </w:p>
    <w:p w14:paraId="7228A970" w14:textId="73363440" w:rsidR="0002126A" w:rsidRPr="00922C73" w:rsidRDefault="00143608" w:rsidP="007A5639">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464 IBD patients were treated with infliximab between 2016 to 2019. 92 people (20%) underwent infliximab dose escalation. </w:t>
      </w:r>
      <w:r w:rsidR="0002126A" w:rsidRPr="00922C73">
        <w:rPr>
          <w:rFonts w:ascii="Times New Roman" w:hAnsi="Times New Roman" w:cs="Times New Roman"/>
          <w:sz w:val="24"/>
          <w:szCs w:val="24"/>
        </w:rPr>
        <w:t xml:space="preserve">Summary of the patient cohort receiving dose escalation is shown in Figure </w:t>
      </w:r>
      <w:r w:rsidR="00FD2158" w:rsidRPr="00922C73">
        <w:rPr>
          <w:rFonts w:ascii="Times New Roman" w:hAnsi="Times New Roman" w:cs="Times New Roman"/>
          <w:sz w:val="24"/>
          <w:szCs w:val="24"/>
        </w:rPr>
        <w:t>17.</w:t>
      </w:r>
      <w:r w:rsidR="0002126A" w:rsidRPr="00922C73">
        <w:rPr>
          <w:rFonts w:ascii="Times New Roman" w:hAnsi="Times New Roman" w:cs="Times New Roman"/>
          <w:sz w:val="24"/>
          <w:szCs w:val="24"/>
        </w:rPr>
        <w:t xml:space="preserve"> </w:t>
      </w:r>
    </w:p>
    <w:p w14:paraId="31772139" w14:textId="77777777" w:rsidR="00D0226A" w:rsidRPr="00922C73" w:rsidRDefault="00D0226A" w:rsidP="007A5639">
      <w:pPr>
        <w:spacing w:line="480" w:lineRule="auto"/>
        <w:rPr>
          <w:rFonts w:ascii="Times New Roman" w:hAnsi="Times New Roman" w:cs="Times New Roman"/>
          <w:sz w:val="24"/>
          <w:szCs w:val="24"/>
        </w:rPr>
      </w:pPr>
    </w:p>
    <w:p w14:paraId="31656769" w14:textId="13AA774E" w:rsidR="00143608" w:rsidRPr="00922C73" w:rsidRDefault="00143608" w:rsidP="007A5639">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51/92 were male; 50 had CD; median age was 33 (16-81) and 63 were receiving concomitant immunosuppression (Table </w:t>
      </w:r>
      <w:r w:rsidR="004716F7" w:rsidRPr="00922C73">
        <w:rPr>
          <w:rFonts w:ascii="Times New Roman" w:hAnsi="Times New Roman" w:cs="Times New Roman"/>
          <w:sz w:val="24"/>
          <w:szCs w:val="24"/>
        </w:rPr>
        <w:t>6</w:t>
      </w:r>
      <w:r w:rsidRPr="00922C73">
        <w:rPr>
          <w:rFonts w:ascii="Times New Roman" w:hAnsi="Times New Roman" w:cs="Times New Roman"/>
          <w:sz w:val="24"/>
          <w:szCs w:val="24"/>
        </w:rPr>
        <w:t xml:space="preserve">). Infliximab was the first biologic for 70/92 patients. </w:t>
      </w:r>
      <w:r w:rsidRPr="00922C73">
        <w:rPr>
          <w:rFonts w:ascii="Times New Roman" w:hAnsi="Times New Roman" w:cs="Times New Roman"/>
          <w:sz w:val="24"/>
          <w:szCs w:val="24"/>
          <w:shd w:val="clear" w:color="auto" w:fill="FFFFFF"/>
        </w:rPr>
        <w:t xml:space="preserve">Of the 22 patients with prior biologic exposure, 13 had previously been treated with infliximab, 6 with adalimumab, </w:t>
      </w:r>
      <w:r w:rsidRPr="00922C73">
        <w:rPr>
          <w:rFonts w:ascii="Times New Roman" w:hAnsi="Times New Roman" w:cs="Times New Roman"/>
          <w:sz w:val="24"/>
          <w:szCs w:val="24"/>
        </w:rPr>
        <w:t xml:space="preserve">1 with vedolizumab, 1 with adalimumab and vedolizumab and 1 with infliximab, adalimumab, vedolizumab and </w:t>
      </w:r>
      <w:proofErr w:type="spellStart"/>
      <w:r w:rsidRPr="00922C73">
        <w:rPr>
          <w:rFonts w:ascii="Times New Roman" w:hAnsi="Times New Roman" w:cs="Times New Roman"/>
          <w:sz w:val="24"/>
          <w:szCs w:val="24"/>
        </w:rPr>
        <w:t>ustekinumab</w:t>
      </w:r>
      <w:proofErr w:type="spellEnd"/>
      <w:r w:rsidRPr="00922C73">
        <w:rPr>
          <w:rFonts w:ascii="Times New Roman" w:hAnsi="Times New Roman" w:cs="Times New Roman"/>
          <w:sz w:val="24"/>
          <w:szCs w:val="24"/>
        </w:rPr>
        <w:t>. 54 had negative or transient ATI (median ATI levels 4 mg/L, range 1-9) and 38 had positive ATI (median ATI levels 31 mg/L, range 10-223).</w:t>
      </w:r>
      <w:bookmarkStart w:id="142" w:name="_Hlk73625182"/>
      <w:r w:rsidRPr="00922C73">
        <w:rPr>
          <w:rFonts w:ascii="Times New Roman" w:hAnsi="Times New Roman" w:cs="Times New Roman"/>
          <w:sz w:val="24"/>
          <w:szCs w:val="24"/>
        </w:rPr>
        <w:t xml:space="preserve"> 59 patients were dose escalated for LOR (17 with positive ATI and 42 with negative ATI) and 33 proactively to optimise therapeutic drug monitoring levels. </w:t>
      </w:r>
      <w:bookmarkEnd w:id="142"/>
      <w:r w:rsidRPr="00922C73">
        <w:rPr>
          <w:rFonts w:ascii="Times New Roman" w:hAnsi="Times New Roman" w:cs="Times New Roman"/>
          <w:sz w:val="24"/>
          <w:szCs w:val="24"/>
        </w:rPr>
        <w:t>87 people received DE for a median of 44 weeks (range 4-176). 5 stopped infliximab after a single further dose: 2 for LOR and 3 due to infusion reaction (IR).</w:t>
      </w:r>
    </w:p>
    <w:p w14:paraId="11857B04" w14:textId="77777777" w:rsidR="00A37DEC" w:rsidRPr="00922C73" w:rsidRDefault="00A37DEC" w:rsidP="007A5639">
      <w:pPr>
        <w:spacing w:line="480" w:lineRule="auto"/>
        <w:rPr>
          <w:sz w:val="24"/>
          <w:szCs w:val="24"/>
        </w:rPr>
      </w:pPr>
    </w:p>
    <w:p w14:paraId="1A3D045C" w14:textId="54ADEDE0" w:rsidR="00143608" w:rsidRPr="00922C73" w:rsidRDefault="00143608" w:rsidP="007A5639">
      <w:pPr>
        <w:spacing w:line="480" w:lineRule="auto"/>
        <w:rPr>
          <w:rFonts w:ascii="Times New Roman" w:hAnsi="Times New Roman" w:cs="Times New Roman"/>
          <w:sz w:val="24"/>
          <w:szCs w:val="24"/>
        </w:rPr>
      </w:pPr>
    </w:p>
    <w:p w14:paraId="2F8B9539" w14:textId="18E8864C" w:rsidR="00BC188F" w:rsidRPr="00922C73" w:rsidRDefault="00BC188F" w:rsidP="007A5639">
      <w:pPr>
        <w:spacing w:line="480" w:lineRule="auto"/>
        <w:rPr>
          <w:rFonts w:ascii="Times New Roman" w:hAnsi="Times New Roman" w:cs="Times New Roman"/>
          <w:sz w:val="24"/>
          <w:szCs w:val="24"/>
        </w:rPr>
      </w:pPr>
    </w:p>
    <w:p w14:paraId="2B74DC3D" w14:textId="3D31E6B4" w:rsidR="00BC188F" w:rsidRPr="00922C73" w:rsidRDefault="00BC188F" w:rsidP="007A5639">
      <w:pPr>
        <w:spacing w:line="480" w:lineRule="auto"/>
        <w:rPr>
          <w:rFonts w:ascii="Times New Roman" w:hAnsi="Times New Roman" w:cs="Times New Roman"/>
          <w:sz w:val="24"/>
          <w:szCs w:val="24"/>
        </w:rPr>
      </w:pPr>
    </w:p>
    <w:p w14:paraId="67DE7FF2" w14:textId="77777777" w:rsidR="00666E73" w:rsidRPr="00922C73" w:rsidRDefault="00666E73" w:rsidP="007A5639">
      <w:pPr>
        <w:spacing w:line="480" w:lineRule="auto"/>
        <w:rPr>
          <w:rFonts w:ascii="Times New Roman" w:hAnsi="Times New Roman" w:cs="Times New Roman"/>
          <w:sz w:val="24"/>
          <w:szCs w:val="24"/>
        </w:rPr>
      </w:pPr>
    </w:p>
    <w:p w14:paraId="7E6A82C8" w14:textId="77777777" w:rsidR="00A37DEC" w:rsidRPr="00922C73" w:rsidRDefault="00A37DEC" w:rsidP="007A5639">
      <w:pPr>
        <w:spacing w:line="480" w:lineRule="auto"/>
        <w:rPr>
          <w:rFonts w:ascii="Times New Roman" w:hAnsi="Times New Roman" w:cs="Times New Roman"/>
          <w:sz w:val="24"/>
          <w:szCs w:val="24"/>
        </w:rPr>
      </w:pPr>
    </w:p>
    <w:p w14:paraId="20CFED0B" w14:textId="65C435E5" w:rsidR="00A37DEC" w:rsidRPr="00922C73" w:rsidRDefault="00E8625A" w:rsidP="007A5639">
      <w:pPr>
        <w:spacing w:line="480" w:lineRule="auto"/>
        <w:rPr>
          <w:rFonts w:ascii="Times New Roman" w:hAnsi="Times New Roman" w:cs="Times New Roman"/>
          <w:sz w:val="24"/>
          <w:szCs w:val="24"/>
        </w:rPr>
      </w:pPr>
      <w:r w:rsidRPr="00922C73">
        <w:rPr>
          <w:noProof/>
        </w:rPr>
        <w:lastRenderedPageBreak/>
        <w:drawing>
          <wp:inline distT="0" distB="0" distL="0" distR="0" wp14:anchorId="33547ED7" wp14:editId="73346D71">
            <wp:extent cx="4619625" cy="3778716"/>
            <wp:effectExtent l="0" t="0" r="0" b="0"/>
            <wp:docPr id="5431815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81561" name=""/>
                    <pic:cNvPicPr/>
                  </pic:nvPicPr>
                  <pic:blipFill rotWithShape="1">
                    <a:blip r:embed="rId40">
                      <a:extLst>
                        <a:ext uri="{96DAC541-7B7A-43D3-8B79-37D633B846F1}">
                          <asvg:svgBlip xmlns:asvg="http://schemas.microsoft.com/office/drawing/2016/SVG/main" r:embed="rId41"/>
                        </a:ext>
                      </a:extLst>
                    </a:blip>
                    <a:srcRect l="17583" r="16721" b="4460"/>
                    <a:stretch/>
                  </pic:blipFill>
                  <pic:spPr bwMode="auto">
                    <a:xfrm>
                      <a:off x="0" y="0"/>
                      <a:ext cx="4655902" cy="3808390"/>
                    </a:xfrm>
                    <a:prstGeom prst="rect">
                      <a:avLst/>
                    </a:prstGeom>
                    <a:ln>
                      <a:noFill/>
                    </a:ln>
                    <a:extLst>
                      <a:ext uri="{53640926-AAD7-44D8-BBD7-CCE9431645EC}">
                        <a14:shadowObscured xmlns:a14="http://schemas.microsoft.com/office/drawing/2010/main"/>
                      </a:ext>
                    </a:extLst>
                  </pic:spPr>
                </pic:pic>
              </a:graphicData>
            </a:graphic>
          </wp:inline>
        </w:drawing>
      </w:r>
    </w:p>
    <w:p w14:paraId="2B3AE14F" w14:textId="226E31FC" w:rsidR="00A37DEC" w:rsidRPr="00922C73" w:rsidRDefault="00192EAE" w:rsidP="007F20DE">
      <w:pPr>
        <w:pStyle w:val="Caption"/>
        <w:spacing w:line="240" w:lineRule="auto"/>
        <w:rPr>
          <w:rFonts w:ascii="Times New Roman" w:hAnsi="Times New Roman" w:cs="Times New Roman"/>
          <w:sz w:val="24"/>
          <w:szCs w:val="24"/>
        </w:rPr>
      </w:pPr>
      <w:bookmarkStart w:id="143" w:name="_Toc151020662"/>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Pr="00922C73">
        <w:rPr>
          <w:rFonts w:ascii="Times New Roman" w:hAnsi="Times New Roman" w:cs="Times New Roman"/>
          <w:noProof/>
          <w:sz w:val="24"/>
          <w:szCs w:val="24"/>
        </w:rPr>
        <w:t>17</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Summary of IBD cohort receiving infliximab dose escalation.</w:t>
      </w:r>
      <w:bookmarkEnd w:id="143"/>
    </w:p>
    <w:p w14:paraId="627A9C5E" w14:textId="53DB9691" w:rsidR="00A37DEC" w:rsidRPr="00922C73" w:rsidRDefault="007F20DE" w:rsidP="007F20DE">
      <w:pPr>
        <w:spacing w:line="24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w:t>
      </w:r>
    </w:p>
    <w:p w14:paraId="31F10789" w14:textId="77777777" w:rsidR="00A37DEC" w:rsidRPr="00922C73" w:rsidRDefault="00A37DEC" w:rsidP="007F20DE">
      <w:pPr>
        <w:spacing w:line="240" w:lineRule="auto"/>
        <w:rPr>
          <w:rFonts w:ascii="Times New Roman" w:hAnsi="Times New Roman" w:cs="Times New Roman"/>
          <w:sz w:val="24"/>
          <w:szCs w:val="24"/>
        </w:rPr>
      </w:pPr>
    </w:p>
    <w:p w14:paraId="4B5ED67E" w14:textId="1BA9D8A9" w:rsidR="00A37DEC" w:rsidRPr="00922C73" w:rsidRDefault="00A37DEC" w:rsidP="007A5639">
      <w:pPr>
        <w:spacing w:line="480" w:lineRule="auto"/>
        <w:rPr>
          <w:rFonts w:ascii="Times New Roman" w:hAnsi="Times New Roman" w:cs="Times New Roman"/>
          <w:sz w:val="24"/>
          <w:szCs w:val="24"/>
        </w:rPr>
      </w:pPr>
    </w:p>
    <w:p w14:paraId="5B0B8388" w14:textId="77777777" w:rsidR="00666E73" w:rsidRPr="00922C73" w:rsidRDefault="00666E73" w:rsidP="007A5639">
      <w:pPr>
        <w:spacing w:line="480" w:lineRule="auto"/>
        <w:rPr>
          <w:rFonts w:ascii="Times New Roman" w:hAnsi="Times New Roman" w:cs="Times New Roman"/>
          <w:sz w:val="24"/>
          <w:szCs w:val="24"/>
        </w:rPr>
      </w:pPr>
    </w:p>
    <w:p w14:paraId="3E6C595D" w14:textId="5DAD13AF" w:rsidR="00BC188F" w:rsidRPr="00922C73" w:rsidRDefault="00BC188F" w:rsidP="007A5639">
      <w:pPr>
        <w:spacing w:line="480" w:lineRule="auto"/>
        <w:rPr>
          <w:rFonts w:ascii="Times New Roman" w:hAnsi="Times New Roman" w:cs="Times New Roman"/>
          <w:sz w:val="24"/>
          <w:szCs w:val="24"/>
        </w:rPr>
      </w:pPr>
    </w:p>
    <w:p w14:paraId="32E94B61" w14:textId="3AFD9078" w:rsidR="004716F7" w:rsidRPr="00922C73" w:rsidRDefault="004716F7" w:rsidP="007A5639">
      <w:pPr>
        <w:spacing w:line="480" w:lineRule="auto"/>
        <w:rPr>
          <w:rFonts w:ascii="Times New Roman" w:hAnsi="Times New Roman" w:cs="Times New Roman"/>
          <w:sz w:val="24"/>
          <w:szCs w:val="24"/>
        </w:rPr>
      </w:pPr>
    </w:p>
    <w:p w14:paraId="62B11052" w14:textId="77777777" w:rsidR="00E8625A" w:rsidRPr="00922C73" w:rsidRDefault="00E8625A" w:rsidP="007A5639">
      <w:pPr>
        <w:spacing w:line="480" w:lineRule="auto"/>
        <w:rPr>
          <w:rFonts w:ascii="Times New Roman" w:hAnsi="Times New Roman" w:cs="Times New Roman"/>
          <w:sz w:val="24"/>
          <w:szCs w:val="24"/>
        </w:rPr>
      </w:pPr>
    </w:p>
    <w:p w14:paraId="27DCE3C6" w14:textId="77777777" w:rsidR="00E8625A" w:rsidRPr="00922C73" w:rsidRDefault="00E8625A" w:rsidP="007A5639">
      <w:pPr>
        <w:spacing w:line="480" w:lineRule="auto"/>
        <w:rPr>
          <w:rFonts w:ascii="Times New Roman" w:hAnsi="Times New Roman" w:cs="Times New Roman"/>
          <w:sz w:val="24"/>
          <w:szCs w:val="24"/>
        </w:rPr>
      </w:pPr>
    </w:p>
    <w:p w14:paraId="69AD7F84" w14:textId="77777777" w:rsidR="007F20DE" w:rsidRPr="00922C73" w:rsidRDefault="007F20DE" w:rsidP="007A5639">
      <w:pPr>
        <w:spacing w:line="480" w:lineRule="auto"/>
        <w:rPr>
          <w:rFonts w:ascii="Times New Roman" w:hAnsi="Times New Roman" w:cs="Times New Roman"/>
          <w:sz w:val="24"/>
          <w:szCs w:val="24"/>
        </w:rPr>
      </w:pPr>
    </w:p>
    <w:p w14:paraId="22F242DD" w14:textId="77777777" w:rsidR="007F20DE" w:rsidRPr="00922C73" w:rsidRDefault="007F20DE" w:rsidP="007A5639">
      <w:pPr>
        <w:spacing w:line="480" w:lineRule="auto"/>
        <w:rPr>
          <w:rFonts w:ascii="Times New Roman" w:hAnsi="Times New Roman" w:cs="Times New Roman"/>
          <w:sz w:val="24"/>
          <w:szCs w:val="24"/>
        </w:rPr>
      </w:pPr>
    </w:p>
    <w:tbl>
      <w:tblPr>
        <w:tblStyle w:val="GridTable1Light-Accent1"/>
        <w:tblpPr w:leftFromText="180" w:rightFromText="180" w:vertAnchor="text" w:horzAnchor="margin" w:tblpY="505"/>
        <w:tblW w:w="9647" w:type="dxa"/>
        <w:tblLook w:val="04A0" w:firstRow="1" w:lastRow="0" w:firstColumn="1" w:lastColumn="0" w:noHBand="0" w:noVBand="1"/>
      </w:tblPr>
      <w:tblGrid>
        <w:gridCol w:w="3686"/>
        <w:gridCol w:w="2271"/>
        <w:gridCol w:w="2271"/>
        <w:gridCol w:w="1419"/>
      </w:tblGrid>
      <w:tr w:rsidR="00922C73" w:rsidRPr="00922C73" w14:paraId="645D2412" w14:textId="77777777" w:rsidTr="0051750F">
        <w:trPr>
          <w:cnfStyle w:val="100000000000" w:firstRow="1" w:lastRow="0" w:firstColumn="0" w:lastColumn="0" w:oddVBand="0" w:evenVBand="0" w:oddHBand="0" w:evenHBand="0" w:firstRowFirstColumn="0" w:firstRowLastColumn="0" w:lastRowFirstColumn="0" w:lastRowLastColumn="0"/>
          <w:trHeight w:val="1111"/>
        </w:trPr>
        <w:tc>
          <w:tcPr>
            <w:cnfStyle w:val="001000000000" w:firstRow="0" w:lastRow="0" w:firstColumn="1" w:lastColumn="0" w:oddVBand="0" w:evenVBand="0" w:oddHBand="0" w:evenHBand="0" w:firstRowFirstColumn="0" w:firstRowLastColumn="0" w:lastRowFirstColumn="0" w:lastRowLastColumn="0"/>
            <w:tcW w:w="3686" w:type="dxa"/>
          </w:tcPr>
          <w:p w14:paraId="4C452EE4" w14:textId="77777777" w:rsidR="004716F7" w:rsidRPr="00922C73" w:rsidRDefault="004716F7" w:rsidP="0051750F">
            <w:pPr>
              <w:spacing w:line="480" w:lineRule="auto"/>
              <w:rPr>
                <w:rFonts w:ascii="Times New Roman" w:hAnsi="Times New Roman" w:cs="Times New Roman"/>
                <w:b w:val="0"/>
                <w:sz w:val="20"/>
                <w:szCs w:val="20"/>
              </w:rPr>
            </w:pPr>
            <w:r w:rsidRPr="00922C73">
              <w:rPr>
                <w:rFonts w:ascii="Times New Roman" w:hAnsi="Times New Roman" w:cs="Times New Roman"/>
                <w:sz w:val="20"/>
                <w:szCs w:val="20"/>
              </w:rPr>
              <w:lastRenderedPageBreak/>
              <w:t>Variables</w:t>
            </w:r>
          </w:p>
        </w:tc>
        <w:tc>
          <w:tcPr>
            <w:tcW w:w="2271" w:type="dxa"/>
          </w:tcPr>
          <w:p w14:paraId="1524BF17" w14:textId="77777777" w:rsidR="004716F7" w:rsidRPr="00922C73" w:rsidRDefault="004716F7" w:rsidP="0051750F">
            <w:pPr>
              <w:spacing w:line="48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2C73">
              <w:rPr>
                <w:kern w:val="24"/>
                <w:sz w:val="20"/>
                <w:szCs w:val="20"/>
              </w:rPr>
              <w:t>ATI &gt; 10 AU/mL</w:t>
            </w:r>
          </w:p>
          <w:p w14:paraId="3DC39C2A" w14:textId="77777777" w:rsidR="004716F7" w:rsidRPr="00922C73" w:rsidRDefault="004716F7" w:rsidP="0051750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922C73">
              <w:rPr>
                <w:rFonts w:ascii="Times New Roman" w:hAnsi="Times New Roman" w:cs="Times New Roman"/>
                <w:kern w:val="24"/>
                <w:sz w:val="20"/>
                <w:szCs w:val="20"/>
              </w:rPr>
              <w:t>(n=38)</w:t>
            </w:r>
          </w:p>
        </w:tc>
        <w:tc>
          <w:tcPr>
            <w:tcW w:w="2271" w:type="dxa"/>
          </w:tcPr>
          <w:p w14:paraId="144AC3B0" w14:textId="77777777" w:rsidR="004716F7" w:rsidRPr="00922C73" w:rsidRDefault="004716F7" w:rsidP="0051750F">
            <w:pPr>
              <w:spacing w:line="48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2C73">
              <w:rPr>
                <w:kern w:val="24"/>
                <w:sz w:val="20"/>
                <w:szCs w:val="20"/>
              </w:rPr>
              <w:t>ATI ≤ 10 AU/mL or transient (n=54)</w:t>
            </w:r>
          </w:p>
        </w:tc>
        <w:tc>
          <w:tcPr>
            <w:tcW w:w="1419" w:type="dxa"/>
          </w:tcPr>
          <w:p w14:paraId="1341F4E8" w14:textId="77777777" w:rsidR="004716F7" w:rsidRPr="00922C73" w:rsidRDefault="004716F7" w:rsidP="0051750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922C73">
              <w:rPr>
                <w:rFonts w:ascii="Times New Roman" w:eastAsia="Calibri" w:hAnsi="Times New Roman" w:cs="Times New Roman"/>
                <w:kern w:val="24"/>
                <w:sz w:val="20"/>
                <w:szCs w:val="20"/>
              </w:rPr>
              <w:t>P value</w:t>
            </w:r>
          </w:p>
        </w:tc>
      </w:tr>
      <w:tr w:rsidR="00922C73" w:rsidRPr="00922C73" w14:paraId="2C24225F" w14:textId="77777777" w:rsidTr="0051750F">
        <w:trPr>
          <w:trHeight w:val="555"/>
        </w:trPr>
        <w:tc>
          <w:tcPr>
            <w:cnfStyle w:val="001000000000" w:firstRow="0" w:lastRow="0" w:firstColumn="1" w:lastColumn="0" w:oddVBand="0" w:evenVBand="0" w:oddHBand="0" w:evenHBand="0" w:firstRowFirstColumn="0" w:firstRowLastColumn="0" w:lastRowFirstColumn="0" w:lastRowLastColumn="0"/>
            <w:tcW w:w="3686" w:type="dxa"/>
          </w:tcPr>
          <w:p w14:paraId="643DC4CB"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Male, number (%)</w:t>
            </w:r>
          </w:p>
        </w:tc>
        <w:tc>
          <w:tcPr>
            <w:tcW w:w="2271" w:type="dxa"/>
          </w:tcPr>
          <w:p w14:paraId="30B37C0F"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21 (55)</w:t>
            </w:r>
          </w:p>
        </w:tc>
        <w:tc>
          <w:tcPr>
            <w:tcW w:w="2271" w:type="dxa"/>
          </w:tcPr>
          <w:p w14:paraId="70AB1CE5"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30 (56)</w:t>
            </w:r>
          </w:p>
        </w:tc>
        <w:tc>
          <w:tcPr>
            <w:tcW w:w="1419" w:type="dxa"/>
          </w:tcPr>
          <w:p w14:paraId="6F806809"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r w:rsidR="00922C73" w:rsidRPr="00922C73" w14:paraId="29C70462" w14:textId="77777777" w:rsidTr="0051750F">
        <w:trPr>
          <w:trHeight w:val="555"/>
        </w:trPr>
        <w:tc>
          <w:tcPr>
            <w:cnfStyle w:val="001000000000" w:firstRow="0" w:lastRow="0" w:firstColumn="1" w:lastColumn="0" w:oddVBand="0" w:evenVBand="0" w:oddHBand="0" w:evenHBand="0" w:firstRowFirstColumn="0" w:firstRowLastColumn="0" w:lastRowFirstColumn="0" w:lastRowLastColumn="0"/>
            <w:tcW w:w="3686" w:type="dxa"/>
          </w:tcPr>
          <w:p w14:paraId="01476F28"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Median age (range)</w:t>
            </w:r>
          </w:p>
        </w:tc>
        <w:tc>
          <w:tcPr>
            <w:tcW w:w="2271" w:type="dxa"/>
          </w:tcPr>
          <w:p w14:paraId="2C800070"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34 (17-81)</w:t>
            </w:r>
          </w:p>
        </w:tc>
        <w:tc>
          <w:tcPr>
            <w:tcW w:w="2271" w:type="dxa"/>
          </w:tcPr>
          <w:p w14:paraId="459D974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31 (16-71)</w:t>
            </w:r>
          </w:p>
        </w:tc>
        <w:tc>
          <w:tcPr>
            <w:tcW w:w="1419" w:type="dxa"/>
          </w:tcPr>
          <w:p w14:paraId="49C1C59D"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r w:rsidR="00922C73" w:rsidRPr="00922C73" w14:paraId="4514EF45" w14:textId="77777777" w:rsidTr="0051750F">
        <w:trPr>
          <w:trHeight w:val="555"/>
        </w:trPr>
        <w:tc>
          <w:tcPr>
            <w:cnfStyle w:val="001000000000" w:firstRow="0" w:lastRow="0" w:firstColumn="1" w:lastColumn="0" w:oddVBand="0" w:evenVBand="0" w:oddHBand="0" w:evenHBand="0" w:firstRowFirstColumn="0" w:firstRowLastColumn="0" w:lastRowFirstColumn="0" w:lastRowLastColumn="0"/>
            <w:tcW w:w="3686" w:type="dxa"/>
          </w:tcPr>
          <w:p w14:paraId="52FFF01A"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Crohn’s disease, number (%)</w:t>
            </w:r>
          </w:p>
        </w:tc>
        <w:tc>
          <w:tcPr>
            <w:tcW w:w="2271" w:type="dxa"/>
          </w:tcPr>
          <w:p w14:paraId="3FAB00BE"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20 (53)</w:t>
            </w:r>
          </w:p>
        </w:tc>
        <w:tc>
          <w:tcPr>
            <w:tcW w:w="2271" w:type="dxa"/>
          </w:tcPr>
          <w:p w14:paraId="1E485710"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30 (56)</w:t>
            </w:r>
          </w:p>
        </w:tc>
        <w:tc>
          <w:tcPr>
            <w:tcW w:w="1419" w:type="dxa"/>
          </w:tcPr>
          <w:p w14:paraId="5840B2B7"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r w:rsidR="00922C73" w:rsidRPr="00922C73" w14:paraId="665F003A" w14:textId="77777777" w:rsidTr="0051750F">
        <w:trPr>
          <w:trHeight w:val="555"/>
        </w:trPr>
        <w:tc>
          <w:tcPr>
            <w:cnfStyle w:val="001000000000" w:firstRow="0" w:lastRow="0" w:firstColumn="1" w:lastColumn="0" w:oddVBand="0" w:evenVBand="0" w:oddHBand="0" w:evenHBand="0" w:firstRowFirstColumn="0" w:firstRowLastColumn="0" w:lastRowFirstColumn="0" w:lastRowLastColumn="0"/>
            <w:tcW w:w="3686" w:type="dxa"/>
          </w:tcPr>
          <w:p w14:paraId="4F2C0D45"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 xml:space="preserve">Previous infliximab, number (%) </w:t>
            </w:r>
          </w:p>
        </w:tc>
        <w:tc>
          <w:tcPr>
            <w:tcW w:w="2271" w:type="dxa"/>
          </w:tcPr>
          <w:p w14:paraId="6805FCC9"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 (16)</w:t>
            </w:r>
          </w:p>
        </w:tc>
        <w:tc>
          <w:tcPr>
            <w:tcW w:w="2271" w:type="dxa"/>
          </w:tcPr>
          <w:p w14:paraId="48BF9A5D"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8 (15)</w:t>
            </w:r>
          </w:p>
        </w:tc>
        <w:tc>
          <w:tcPr>
            <w:tcW w:w="1419" w:type="dxa"/>
          </w:tcPr>
          <w:p w14:paraId="7991B879"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r w:rsidR="00922C73" w:rsidRPr="00922C73" w14:paraId="484ACFED" w14:textId="77777777" w:rsidTr="0051750F">
        <w:trPr>
          <w:trHeight w:val="1292"/>
        </w:trPr>
        <w:tc>
          <w:tcPr>
            <w:cnfStyle w:val="001000000000" w:firstRow="0" w:lastRow="0" w:firstColumn="1" w:lastColumn="0" w:oddVBand="0" w:evenVBand="0" w:oddHBand="0" w:evenHBand="0" w:firstRowFirstColumn="0" w:firstRowLastColumn="0" w:lastRowFirstColumn="0" w:lastRowLastColumn="0"/>
            <w:tcW w:w="3686" w:type="dxa"/>
          </w:tcPr>
          <w:p w14:paraId="65989E17" w14:textId="77777777" w:rsidR="004716F7" w:rsidRPr="00922C73" w:rsidRDefault="004716F7" w:rsidP="0051750F">
            <w:pPr>
              <w:spacing w:line="480" w:lineRule="auto"/>
              <w:rPr>
                <w:sz w:val="20"/>
                <w:szCs w:val="20"/>
              </w:rPr>
            </w:pPr>
            <w:r w:rsidRPr="00922C73">
              <w:rPr>
                <w:kern w:val="24"/>
                <w:sz w:val="20"/>
                <w:szCs w:val="20"/>
              </w:rPr>
              <w:t>Reason for dose escalation, number (%):</w:t>
            </w:r>
          </w:p>
          <w:p w14:paraId="2AF5BD36" w14:textId="77777777" w:rsidR="004716F7" w:rsidRPr="00922C73" w:rsidRDefault="004716F7" w:rsidP="0051750F">
            <w:pPr>
              <w:spacing w:line="480" w:lineRule="auto"/>
              <w:rPr>
                <w:sz w:val="20"/>
                <w:szCs w:val="20"/>
              </w:rPr>
            </w:pPr>
            <w:r w:rsidRPr="00922C73">
              <w:rPr>
                <w:kern w:val="24"/>
                <w:sz w:val="20"/>
                <w:szCs w:val="20"/>
              </w:rPr>
              <w:t>Loss of response</w:t>
            </w:r>
          </w:p>
          <w:p w14:paraId="306886D4"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Therapeutic drug monitoring</w:t>
            </w:r>
          </w:p>
        </w:tc>
        <w:tc>
          <w:tcPr>
            <w:tcW w:w="2271" w:type="dxa"/>
          </w:tcPr>
          <w:p w14:paraId="35092E0F"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6B3892C2"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17 (45)</w:t>
            </w:r>
          </w:p>
          <w:p w14:paraId="7463108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21 (55)</w:t>
            </w:r>
          </w:p>
        </w:tc>
        <w:tc>
          <w:tcPr>
            <w:tcW w:w="2271" w:type="dxa"/>
          </w:tcPr>
          <w:p w14:paraId="177E65E9"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DED43E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42 (78)</w:t>
            </w:r>
          </w:p>
          <w:p w14:paraId="02532B13"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12 (22)</w:t>
            </w:r>
          </w:p>
        </w:tc>
        <w:tc>
          <w:tcPr>
            <w:tcW w:w="1419" w:type="dxa"/>
          </w:tcPr>
          <w:p w14:paraId="4BA81AD2"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47AE633"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&lt;0.01</w:t>
            </w:r>
          </w:p>
          <w:p w14:paraId="29DE17FB"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&lt;0.01</w:t>
            </w:r>
          </w:p>
        </w:tc>
      </w:tr>
      <w:tr w:rsidR="00922C73" w:rsidRPr="00922C73" w14:paraId="3625665C" w14:textId="77777777" w:rsidTr="0051750F">
        <w:trPr>
          <w:trHeight w:val="1551"/>
        </w:trPr>
        <w:tc>
          <w:tcPr>
            <w:cnfStyle w:val="001000000000" w:firstRow="0" w:lastRow="0" w:firstColumn="1" w:lastColumn="0" w:oddVBand="0" w:evenVBand="0" w:oddHBand="0" w:evenHBand="0" w:firstRowFirstColumn="0" w:firstRowLastColumn="0" w:lastRowFirstColumn="0" w:lastRowLastColumn="0"/>
            <w:tcW w:w="3686" w:type="dxa"/>
          </w:tcPr>
          <w:p w14:paraId="79178578" w14:textId="77777777" w:rsidR="004716F7" w:rsidRPr="00922C73" w:rsidRDefault="004716F7" w:rsidP="0051750F">
            <w:pPr>
              <w:spacing w:line="480" w:lineRule="auto"/>
              <w:rPr>
                <w:sz w:val="20"/>
                <w:szCs w:val="20"/>
              </w:rPr>
            </w:pPr>
            <w:r w:rsidRPr="00922C73">
              <w:rPr>
                <w:kern w:val="24"/>
                <w:sz w:val="20"/>
                <w:szCs w:val="20"/>
              </w:rPr>
              <w:t xml:space="preserve">Immunosuppression, </w:t>
            </w:r>
          </w:p>
          <w:p w14:paraId="16684CA6" w14:textId="77777777" w:rsidR="004716F7" w:rsidRPr="00922C73" w:rsidRDefault="004716F7" w:rsidP="0051750F">
            <w:pPr>
              <w:spacing w:line="480" w:lineRule="auto"/>
              <w:rPr>
                <w:sz w:val="20"/>
                <w:szCs w:val="20"/>
              </w:rPr>
            </w:pPr>
            <w:r w:rsidRPr="00922C73">
              <w:rPr>
                <w:kern w:val="24"/>
                <w:sz w:val="20"/>
                <w:szCs w:val="20"/>
              </w:rPr>
              <w:t>number (%):</w:t>
            </w:r>
          </w:p>
          <w:p w14:paraId="3A51401E" w14:textId="77777777" w:rsidR="004716F7" w:rsidRPr="00922C73" w:rsidRDefault="004716F7" w:rsidP="0051750F">
            <w:pPr>
              <w:spacing w:line="480" w:lineRule="auto"/>
              <w:rPr>
                <w:sz w:val="20"/>
                <w:szCs w:val="20"/>
              </w:rPr>
            </w:pPr>
            <w:r w:rsidRPr="00922C73">
              <w:rPr>
                <w:kern w:val="24"/>
                <w:sz w:val="20"/>
                <w:szCs w:val="20"/>
              </w:rPr>
              <w:t>Thiopurines</w:t>
            </w:r>
          </w:p>
          <w:p w14:paraId="5A158122" w14:textId="77777777" w:rsidR="004716F7" w:rsidRPr="00922C73" w:rsidRDefault="004716F7" w:rsidP="0051750F">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 xml:space="preserve">Methotrexate </w:t>
            </w:r>
          </w:p>
        </w:tc>
        <w:tc>
          <w:tcPr>
            <w:tcW w:w="2271" w:type="dxa"/>
          </w:tcPr>
          <w:p w14:paraId="0607E513"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22 (58)</w:t>
            </w:r>
          </w:p>
          <w:p w14:paraId="77EBB6B5"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8CD2F6C"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16 (42)</w:t>
            </w:r>
          </w:p>
          <w:p w14:paraId="62A10AD7"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 (16)</w:t>
            </w:r>
          </w:p>
        </w:tc>
        <w:tc>
          <w:tcPr>
            <w:tcW w:w="2271" w:type="dxa"/>
          </w:tcPr>
          <w:p w14:paraId="5729B451"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41 (76)</w:t>
            </w:r>
          </w:p>
          <w:p w14:paraId="75F77BF0"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25A9156"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 (67)</w:t>
            </w:r>
          </w:p>
          <w:p w14:paraId="5786607D"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 (9)</w:t>
            </w:r>
          </w:p>
        </w:tc>
        <w:tc>
          <w:tcPr>
            <w:tcW w:w="1419" w:type="dxa"/>
          </w:tcPr>
          <w:p w14:paraId="593089D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r w:rsidR="00922C73" w:rsidRPr="00922C73" w14:paraId="1D93E01A" w14:textId="77777777" w:rsidTr="0051750F">
        <w:trPr>
          <w:trHeight w:val="2963"/>
        </w:trPr>
        <w:tc>
          <w:tcPr>
            <w:cnfStyle w:val="001000000000" w:firstRow="0" w:lastRow="0" w:firstColumn="1" w:lastColumn="0" w:oddVBand="0" w:evenVBand="0" w:oddHBand="0" w:evenHBand="0" w:firstRowFirstColumn="0" w:firstRowLastColumn="0" w:lastRowFirstColumn="0" w:lastRowLastColumn="0"/>
            <w:tcW w:w="3686" w:type="dxa"/>
          </w:tcPr>
          <w:p w14:paraId="53D49C0E" w14:textId="77777777" w:rsidR="004716F7" w:rsidRPr="00922C73" w:rsidRDefault="004716F7" w:rsidP="0051750F">
            <w:pPr>
              <w:spacing w:line="480" w:lineRule="auto"/>
              <w:rPr>
                <w:b w:val="0"/>
                <w:bCs w:val="0"/>
                <w:kern w:val="24"/>
                <w:sz w:val="20"/>
                <w:szCs w:val="20"/>
              </w:rPr>
            </w:pPr>
            <w:r w:rsidRPr="00922C73">
              <w:rPr>
                <w:kern w:val="24"/>
                <w:sz w:val="20"/>
                <w:szCs w:val="20"/>
              </w:rPr>
              <w:t>Type of dose escalation,</w:t>
            </w:r>
          </w:p>
          <w:p w14:paraId="1E73AD9D" w14:textId="77777777" w:rsidR="004716F7" w:rsidRPr="00922C73" w:rsidRDefault="004716F7" w:rsidP="0051750F">
            <w:pPr>
              <w:spacing w:line="480" w:lineRule="auto"/>
              <w:rPr>
                <w:b w:val="0"/>
                <w:bCs w:val="0"/>
                <w:kern w:val="24"/>
                <w:sz w:val="20"/>
                <w:szCs w:val="20"/>
              </w:rPr>
            </w:pPr>
            <w:r w:rsidRPr="00922C73">
              <w:rPr>
                <w:kern w:val="24"/>
                <w:sz w:val="20"/>
                <w:szCs w:val="20"/>
              </w:rPr>
              <w:t>Number (%)</w:t>
            </w:r>
          </w:p>
          <w:p w14:paraId="56D8226C" w14:textId="77777777" w:rsidR="004716F7" w:rsidRPr="00922C73" w:rsidRDefault="004716F7" w:rsidP="0051750F">
            <w:pPr>
              <w:spacing w:line="480" w:lineRule="auto"/>
              <w:rPr>
                <w:b w:val="0"/>
                <w:bCs w:val="0"/>
                <w:kern w:val="24"/>
                <w:sz w:val="20"/>
                <w:szCs w:val="20"/>
              </w:rPr>
            </w:pPr>
            <w:r w:rsidRPr="00922C73">
              <w:rPr>
                <w:kern w:val="24"/>
                <w:sz w:val="20"/>
                <w:szCs w:val="20"/>
              </w:rPr>
              <w:t>Interval shortening</w:t>
            </w:r>
          </w:p>
          <w:p w14:paraId="3CAD6087" w14:textId="77777777" w:rsidR="004716F7" w:rsidRPr="00922C73" w:rsidRDefault="004716F7" w:rsidP="0051750F">
            <w:pPr>
              <w:spacing w:line="480" w:lineRule="auto"/>
              <w:rPr>
                <w:b w:val="0"/>
                <w:bCs w:val="0"/>
                <w:kern w:val="24"/>
                <w:sz w:val="20"/>
                <w:szCs w:val="20"/>
              </w:rPr>
            </w:pPr>
            <w:r w:rsidRPr="00922C73">
              <w:rPr>
                <w:kern w:val="24"/>
                <w:sz w:val="20"/>
                <w:szCs w:val="20"/>
              </w:rPr>
              <w:t>Dose doubling</w:t>
            </w:r>
          </w:p>
          <w:p w14:paraId="625CE5F8" w14:textId="77777777" w:rsidR="004716F7" w:rsidRPr="00922C73" w:rsidRDefault="004716F7" w:rsidP="0051750F">
            <w:pPr>
              <w:spacing w:line="480" w:lineRule="auto"/>
              <w:rPr>
                <w:b w:val="0"/>
                <w:bCs w:val="0"/>
                <w:kern w:val="24"/>
                <w:sz w:val="20"/>
                <w:szCs w:val="20"/>
              </w:rPr>
            </w:pPr>
            <w:r w:rsidRPr="00922C73">
              <w:rPr>
                <w:kern w:val="24"/>
                <w:sz w:val="20"/>
                <w:szCs w:val="20"/>
              </w:rPr>
              <w:t>Combined dose escalation</w:t>
            </w:r>
          </w:p>
          <w:p w14:paraId="20EF4D83" w14:textId="77777777" w:rsidR="004716F7" w:rsidRPr="00922C73" w:rsidRDefault="004716F7" w:rsidP="0051750F">
            <w:pPr>
              <w:spacing w:line="480" w:lineRule="auto"/>
              <w:rPr>
                <w:b w:val="0"/>
                <w:bCs w:val="0"/>
                <w:kern w:val="24"/>
                <w:sz w:val="20"/>
                <w:szCs w:val="20"/>
              </w:rPr>
            </w:pPr>
            <w:r w:rsidRPr="00922C73">
              <w:rPr>
                <w:kern w:val="24"/>
                <w:sz w:val="20"/>
                <w:szCs w:val="20"/>
              </w:rPr>
              <w:t>Variable dose escalation</w:t>
            </w:r>
          </w:p>
        </w:tc>
        <w:tc>
          <w:tcPr>
            <w:tcW w:w="2271" w:type="dxa"/>
          </w:tcPr>
          <w:p w14:paraId="177D5C14"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F423BA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p>
          <w:p w14:paraId="3D5E9FD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9 (24)</w:t>
            </w:r>
          </w:p>
          <w:p w14:paraId="64F5761E"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16 (42)</w:t>
            </w:r>
          </w:p>
          <w:p w14:paraId="0B94345E"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6 (16)</w:t>
            </w:r>
          </w:p>
          <w:p w14:paraId="3DAFCB31"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7 (18)</w:t>
            </w:r>
          </w:p>
        </w:tc>
        <w:tc>
          <w:tcPr>
            <w:tcW w:w="2271" w:type="dxa"/>
          </w:tcPr>
          <w:p w14:paraId="1C12E5DA"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C08A7E0"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p>
          <w:p w14:paraId="5ACAF19B"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11 (20)</w:t>
            </w:r>
          </w:p>
          <w:p w14:paraId="3D8F8A4E"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16 (30)</w:t>
            </w:r>
          </w:p>
          <w:p w14:paraId="5CEF41EE"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rPr>
            </w:pPr>
            <w:r w:rsidRPr="00922C73">
              <w:rPr>
                <w:rFonts w:eastAsiaTheme="minorHAnsi"/>
                <w:sz w:val="20"/>
                <w:szCs w:val="20"/>
              </w:rPr>
              <w:t>11 (20)</w:t>
            </w:r>
          </w:p>
          <w:p w14:paraId="4CA8304B" w14:textId="77777777"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sz w:val="20"/>
                <w:szCs w:val="20"/>
              </w:rPr>
            </w:pPr>
            <w:r w:rsidRPr="00922C73">
              <w:rPr>
                <w:sz w:val="20"/>
                <w:szCs w:val="20"/>
              </w:rPr>
              <w:t>16 (30)</w:t>
            </w:r>
          </w:p>
        </w:tc>
        <w:tc>
          <w:tcPr>
            <w:tcW w:w="1419" w:type="dxa"/>
          </w:tcPr>
          <w:p w14:paraId="573B866D" w14:textId="77777777" w:rsidR="007A5639" w:rsidRPr="00922C73" w:rsidRDefault="007A5639"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46CF713" w14:textId="77777777" w:rsidR="007A5639" w:rsidRPr="00922C73" w:rsidRDefault="007A5639"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6B519937" w14:textId="21A0E48F" w:rsidR="004716F7" w:rsidRPr="00922C73" w:rsidRDefault="004716F7"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p w14:paraId="346FC95E" w14:textId="27F2D20D" w:rsidR="004716F7" w:rsidRPr="00922C73" w:rsidRDefault="007A5639"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p w14:paraId="4349134A" w14:textId="77777777" w:rsidR="004716F7" w:rsidRPr="00922C73" w:rsidRDefault="007A5639" w:rsidP="0051750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p w14:paraId="3F8CF4B0" w14:textId="7385D586" w:rsidR="007A5639" w:rsidRPr="00922C73" w:rsidRDefault="007A5639" w:rsidP="0051750F">
            <w:pPr>
              <w:keepNext/>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NS</w:t>
            </w:r>
          </w:p>
        </w:tc>
      </w:tr>
    </w:tbl>
    <w:p w14:paraId="4D0908F5" w14:textId="77777777" w:rsidR="004716F7" w:rsidRPr="00922C73" w:rsidRDefault="004716F7" w:rsidP="007A5639">
      <w:pPr>
        <w:spacing w:line="480" w:lineRule="auto"/>
        <w:rPr>
          <w:rFonts w:ascii="Times New Roman" w:hAnsi="Times New Roman" w:cs="Times New Roman"/>
          <w:sz w:val="24"/>
          <w:szCs w:val="24"/>
        </w:rPr>
      </w:pPr>
    </w:p>
    <w:p w14:paraId="3A8A792D" w14:textId="77777777" w:rsidR="007F20DE" w:rsidRPr="00922C73" w:rsidRDefault="007F20DE" w:rsidP="007F20DE">
      <w:pPr>
        <w:pStyle w:val="Caption"/>
        <w:framePr w:hSpace="180" w:wrap="around" w:vAnchor="text" w:hAnchor="page" w:x="1445" w:y="9737"/>
        <w:spacing w:line="240" w:lineRule="auto"/>
        <w:rPr>
          <w:rFonts w:ascii="Times New Roman" w:hAnsi="Times New Roman" w:cs="Times New Roman"/>
          <w:sz w:val="24"/>
          <w:szCs w:val="24"/>
        </w:rPr>
      </w:pPr>
      <w:bookmarkStart w:id="144" w:name="_Toc139306958"/>
    </w:p>
    <w:p w14:paraId="4AFF0E40" w14:textId="0274165C" w:rsidR="0051750F" w:rsidRPr="00922C73" w:rsidRDefault="0051750F" w:rsidP="007F20DE">
      <w:pPr>
        <w:pStyle w:val="Caption"/>
        <w:framePr w:hSpace="180" w:wrap="around" w:vAnchor="text" w:hAnchor="page" w:x="1445" w:y="9737"/>
        <w:spacing w:line="240" w:lineRule="auto"/>
        <w:rPr>
          <w:rFonts w:ascii="Times New Roman" w:hAnsi="Times New Roman" w:cs="Times New Roman"/>
          <w:sz w:val="24"/>
          <w:szCs w:val="24"/>
        </w:rPr>
      </w:pPr>
      <w:r w:rsidRPr="00922C73">
        <w:rPr>
          <w:rFonts w:ascii="Times New Roman" w:hAnsi="Times New Roman" w:cs="Times New Roman"/>
          <w:sz w:val="24"/>
          <w:szCs w:val="24"/>
        </w:rPr>
        <w:t xml:space="preserve">Table </w:t>
      </w:r>
      <w:r w:rsidR="00334B74" w:rsidRPr="00922C73">
        <w:rPr>
          <w:rFonts w:ascii="Times New Roman" w:hAnsi="Times New Roman" w:cs="Times New Roman"/>
          <w:sz w:val="24"/>
          <w:szCs w:val="24"/>
        </w:rPr>
        <w:fldChar w:fldCharType="begin"/>
      </w:r>
      <w:r w:rsidR="00334B74" w:rsidRPr="00922C73">
        <w:rPr>
          <w:rFonts w:ascii="Times New Roman" w:hAnsi="Times New Roman" w:cs="Times New Roman"/>
          <w:sz w:val="24"/>
          <w:szCs w:val="24"/>
        </w:rPr>
        <w:instrText xml:space="preserve"> SEQ Table \* ARABIC </w:instrText>
      </w:r>
      <w:r w:rsidR="00334B74" w:rsidRPr="00922C73">
        <w:rPr>
          <w:rFonts w:ascii="Times New Roman" w:hAnsi="Times New Roman" w:cs="Times New Roman"/>
          <w:sz w:val="24"/>
          <w:szCs w:val="24"/>
        </w:rPr>
        <w:fldChar w:fldCharType="separate"/>
      </w:r>
      <w:r w:rsidR="00F2388D" w:rsidRPr="00922C73">
        <w:rPr>
          <w:rFonts w:ascii="Times New Roman" w:hAnsi="Times New Roman" w:cs="Times New Roman"/>
          <w:noProof/>
          <w:sz w:val="24"/>
          <w:szCs w:val="24"/>
        </w:rPr>
        <w:t>5</w:t>
      </w:r>
      <w:r w:rsidR="00334B7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Demographic details of patient cohort receiving infliximab dose escalation.</w:t>
      </w:r>
      <w:bookmarkEnd w:id="144"/>
    </w:p>
    <w:p w14:paraId="407872E3" w14:textId="09A60D6C" w:rsidR="003C6192" w:rsidRPr="00922C73" w:rsidRDefault="004716F7" w:rsidP="007F20DE">
      <w:pPr>
        <w:spacing w:line="24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 NS: non-significant)</w:t>
      </w:r>
      <w:bookmarkStart w:id="145" w:name="_Hlk21862156"/>
    </w:p>
    <w:p w14:paraId="1CA1417D" w14:textId="77777777" w:rsidR="003C6192" w:rsidRPr="00922C73" w:rsidRDefault="003C6192" w:rsidP="007F20DE">
      <w:pPr>
        <w:spacing w:line="240" w:lineRule="auto"/>
        <w:rPr>
          <w:rFonts w:ascii="Times New Roman" w:hAnsi="Times New Roman" w:cs="Times New Roman"/>
          <w:sz w:val="24"/>
          <w:szCs w:val="24"/>
        </w:rPr>
      </w:pPr>
    </w:p>
    <w:p w14:paraId="3E9363AF" w14:textId="77777777" w:rsidR="007F20DE" w:rsidRPr="00922C73" w:rsidRDefault="007F20DE" w:rsidP="007F20DE">
      <w:pPr>
        <w:spacing w:line="240" w:lineRule="auto"/>
        <w:rPr>
          <w:rFonts w:ascii="Times New Roman" w:hAnsi="Times New Roman" w:cs="Times New Roman"/>
          <w:sz w:val="24"/>
          <w:szCs w:val="24"/>
        </w:rPr>
      </w:pPr>
    </w:p>
    <w:p w14:paraId="45B52279" w14:textId="77777777" w:rsidR="007F20DE" w:rsidRPr="00922C73" w:rsidRDefault="007F20DE" w:rsidP="007F20DE">
      <w:pPr>
        <w:spacing w:line="240" w:lineRule="auto"/>
        <w:rPr>
          <w:rFonts w:ascii="Times New Roman" w:hAnsi="Times New Roman" w:cs="Times New Roman"/>
          <w:sz w:val="24"/>
          <w:szCs w:val="24"/>
        </w:rPr>
      </w:pPr>
    </w:p>
    <w:p w14:paraId="31DCEF66" w14:textId="4F7996F8" w:rsidR="00143608" w:rsidRPr="00922C73" w:rsidRDefault="002B079C" w:rsidP="003C6192">
      <w:pPr>
        <w:pStyle w:val="Heading3"/>
        <w:spacing w:line="480" w:lineRule="auto"/>
        <w:rPr>
          <w:rFonts w:ascii="Times New Roman" w:hAnsi="Times New Roman" w:cs="Times New Roman"/>
          <w:b/>
          <w:bCs/>
        </w:rPr>
      </w:pPr>
      <w:bookmarkStart w:id="146" w:name="_Toc151020500"/>
      <w:r w:rsidRPr="00922C73">
        <w:rPr>
          <w:rFonts w:ascii="Times New Roman" w:hAnsi="Times New Roman" w:cs="Times New Roman"/>
          <w:b/>
          <w:bCs/>
        </w:rPr>
        <w:lastRenderedPageBreak/>
        <w:t>3</w:t>
      </w:r>
      <w:r w:rsidR="008312DF" w:rsidRPr="00922C73">
        <w:rPr>
          <w:rFonts w:ascii="Times New Roman" w:hAnsi="Times New Roman" w:cs="Times New Roman"/>
          <w:b/>
          <w:bCs/>
        </w:rPr>
        <w:t xml:space="preserve">.3.2 </w:t>
      </w:r>
      <w:r w:rsidR="00143608" w:rsidRPr="00922C73">
        <w:rPr>
          <w:rFonts w:ascii="Times New Roman" w:hAnsi="Times New Roman" w:cs="Times New Roman"/>
          <w:b/>
          <w:bCs/>
        </w:rPr>
        <w:t xml:space="preserve">The effect of </w:t>
      </w:r>
      <w:r w:rsidR="0051750F" w:rsidRPr="00922C73">
        <w:rPr>
          <w:rFonts w:ascii="Times New Roman" w:hAnsi="Times New Roman" w:cs="Times New Roman"/>
          <w:b/>
          <w:bCs/>
        </w:rPr>
        <w:t>DE</w:t>
      </w:r>
      <w:r w:rsidR="00143608" w:rsidRPr="00922C73">
        <w:rPr>
          <w:rFonts w:ascii="Times New Roman" w:hAnsi="Times New Roman" w:cs="Times New Roman"/>
          <w:b/>
          <w:bCs/>
        </w:rPr>
        <w:t xml:space="preserve"> on trough infliximab levels</w:t>
      </w:r>
      <w:bookmarkEnd w:id="146"/>
    </w:p>
    <w:bookmarkEnd w:id="145"/>
    <w:p w14:paraId="03D8FBD1" w14:textId="053210D2" w:rsidR="00143608" w:rsidRPr="00922C73" w:rsidRDefault="00143608" w:rsidP="003C6192">
      <w:pPr>
        <w:spacing w:line="480" w:lineRule="auto"/>
        <w:rPr>
          <w:rFonts w:ascii="Times New Roman" w:hAnsi="Times New Roman" w:cs="Times New Roman"/>
          <w:sz w:val="24"/>
          <w:szCs w:val="24"/>
        </w:rPr>
      </w:pPr>
      <w:r w:rsidRPr="00922C73">
        <w:rPr>
          <w:rFonts w:ascii="Times New Roman" w:hAnsi="Times New Roman" w:cs="Times New Roman"/>
          <w:bCs/>
          <w:sz w:val="24"/>
          <w:szCs w:val="24"/>
        </w:rPr>
        <w:t xml:space="preserve">Infliximab levels after DE were compared to paired pre-DE values in 87 patients who had more than 1 DE dose. </w:t>
      </w:r>
      <w:bookmarkStart w:id="147" w:name="OLE_LINK1"/>
      <w:bookmarkStart w:id="148" w:name="_Hlk150767982"/>
      <w:r w:rsidRPr="00922C73">
        <w:rPr>
          <w:rFonts w:ascii="Times New Roman" w:hAnsi="Times New Roman" w:cs="Times New Roman"/>
          <w:sz w:val="24"/>
          <w:szCs w:val="24"/>
        </w:rPr>
        <w:t xml:space="preserve">DE significantly increased trough drug levels at subsequent follow-up to week 48 across the cohort. At baseline, median infliximab levels were 1.4mg/L and 0.9 mg/L respectively for patients with negative/transient ATI and positive ATI and these increased to 3.2 mg/L respectively at week 24, p &lt;0.001;&lt;0.001 (corrected </w:t>
      </w:r>
      <w:r w:rsidRPr="00922C73">
        <w:rPr>
          <w:rFonts w:ascii="Times New Roman" w:eastAsia="MS PGothic" w:hAnsi="Times New Roman" w:cs="Times New Roman"/>
          <w:kern w:val="24"/>
          <w:sz w:val="24"/>
          <w:szCs w:val="24"/>
        </w:rPr>
        <w:t>for multiple comparisons)</w:t>
      </w:r>
      <w:r w:rsidRPr="00922C73">
        <w:rPr>
          <w:rFonts w:ascii="Times New Roman" w:hAnsi="Times New Roman" w:cs="Times New Roman"/>
          <w:sz w:val="24"/>
          <w:szCs w:val="24"/>
        </w:rPr>
        <w:t xml:space="preserve"> (Figure</w:t>
      </w:r>
      <w:r w:rsidR="00D35B5A" w:rsidRPr="00922C73">
        <w:rPr>
          <w:rFonts w:ascii="Times New Roman" w:hAnsi="Times New Roman" w:cs="Times New Roman"/>
          <w:sz w:val="24"/>
          <w:szCs w:val="24"/>
        </w:rPr>
        <w:t xml:space="preserve"> </w:t>
      </w:r>
      <w:r w:rsidR="0051750F" w:rsidRPr="00922C73">
        <w:rPr>
          <w:rFonts w:ascii="Times New Roman" w:hAnsi="Times New Roman" w:cs="Times New Roman"/>
          <w:sz w:val="24"/>
          <w:szCs w:val="24"/>
        </w:rPr>
        <w:t>1</w:t>
      </w:r>
      <w:r w:rsidR="00E8625A" w:rsidRPr="00922C73">
        <w:rPr>
          <w:rFonts w:ascii="Times New Roman" w:hAnsi="Times New Roman" w:cs="Times New Roman"/>
          <w:sz w:val="24"/>
          <w:szCs w:val="24"/>
        </w:rPr>
        <w:t>8</w:t>
      </w:r>
      <w:r w:rsidRPr="00922C73">
        <w:rPr>
          <w:rFonts w:ascii="Times New Roman" w:hAnsi="Times New Roman" w:cs="Times New Roman"/>
          <w:sz w:val="24"/>
          <w:szCs w:val="24"/>
        </w:rPr>
        <w:t xml:space="preserve">). </w:t>
      </w:r>
      <w:bookmarkEnd w:id="147"/>
    </w:p>
    <w:bookmarkEnd w:id="148"/>
    <w:p w14:paraId="6F083530" w14:textId="28ED659B" w:rsidR="004716F7" w:rsidRPr="00922C73" w:rsidRDefault="004716F7" w:rsidP="007A5639">
      <w:pPr>
        <w:spacing w:line="480" w:lineRule="auto"/>
        <w:rPr>
          <w:rFonts w:ascii="Times New Roman" w:hAnsi="Times New Roman" w:cs="Times New Roman"/>
          <w:sz w:val="24"/>
          <w:szCs w:val="24"/>
        </w:rPr>
      </w:pPr>
    </w:p>
    <w:p w14:paraId="787CFC79" w14:textId="77777777" w:rsidR="00CD383A" w:rsidRPr="00922C73" w:rsidRDefault="00CD383A" w:rsidP="007A5639">
      <w:pPr>
        <w:spacing w:line="480" w:lineRule="auto"/>
        <w:rPr>
          <w:rFonts w:ascii="Times New Roman" w:hAnsi="Times New Roman" w:cs="Times New Roman"/>
          <w:sz w:val="24"/>
          <w:szCs w:val="24"/>
        </w:rPr>
      </w:pPr>
    </w:p>
    <w:p w14:paraId="5639A4CA" w14:textId="77777777" w:rsidR="00CD383A" w:rsidRPr="00922C73" w:rsidRDefault="00CD383A" w:rsidP="007A5639">
      <w:pPr>
        <w:spacing w:line="480" w:lineRule="auto"/>
        <w:rPr>
          <w:rFonts w:ascii="Times New Roman" w:hAnsi="Times New Roman" w:cs="Times New Roman"/>
          <w:sz w:val="24"/>
          <w:szCs w:val="24"/>
        </w:rPr>
      </w:pPr>
    </w:p>
    <w:p w14:paraId="7ED1B650" w14:textId="77777777" w:rsidR="00CD383A" w:rsidRPr="00922C73" w:rsidRDefault="00CD383A" w:rsidP="007A5639">
      <w:pPr>
        <w:spacing w:line="480" w:lineRule="auto"/>
        <w:rPr>
          <w:rFonts w:ascii="Times New Roman" w:hAnsi="Times New Roman" w:cs="Times New Roman"/>
          <w:sz w:val="24"/>
          <w:szCs w:val="24"/>
        </w:rPr>
      </w:pPr>
    </w:p>
    <w:p w14:paraId="598DC823" w14:textId="77777777" w:rsidR="00CD383A" w:rsidRPr="00922C73" w:rsidRDefault="00CD383A" w:rsidP="007A5639">
      <w:pPr>
        <w:spacing w:line="480" w:lineRule="auto"/>
        <w:rPr>
          <w:rFonts w:ascii="Times New Roman" w:hAnsi="Times New Roman" w:cs="Times New Roman"/>
          <w:sz w:val="24"/>
          <w:szCs w:val="24"/>
        </w:rPr>
      </w:pPr>
    </w:p>
    <w:p w14:paraId="57BFDC6B" w14:textId="77777777" w:rsidR="00CD383A" w:rsidRPr="00922C73" w:rsidRDefault="00CD383A" w:rsidP="007A5639">
      <w:pPr>
        <w:spacing w:line="480" w:lineRule="auto"/>
        <w:rPr>
          <w:rFonts w:ascii="Times New Roman" w:hAnsi="Times New Roman" w:cs="Times New Roman"/>
          <w:sz w:val="24"/>
          <w:szCs w:val="24"/>
        </w:rPr>
      </w:pPr>
    </w:p>
    <w:p w14:paraId="6D72CB97" w14:textId="77777777" w:rsidR="00CD383A" w:rsidRPr="00922C73" w:rsidRDefault="00CD383A" w:rsidP="007A5639">
      <w:pPr>
        <w:spacing w:line="480" w:lineRule="auto"/>
        <w:rPr>
          <w:rFonts w:ascii="Times New Roman" w:hAnsi="Times New Roman" w:cs="Times New Roman"/>
          <w:sz w:val="24"/>
          <w:szCs w:val="24"/>
        </w:rPr>
      </w:pPr>
    </w:p>
    <w:p w14:paraId="6018A88C" w14:textId="77777777" w:rsidR="00CD383A" w:rsidRPr="00922C73" w:rsidRDefault="00CD383A" w:rsidP="007A5639">
      <w:pPr>
        <w:spacing w:line="480" w:lineRule="auto"/>
        <w:rPr>
          <w:rFonts w:ascii="Times New Roman" w:hAnsi="Times New Roman" w:cs="Times New Roman"/>
          <w:sz w:val="24"/>
          <w:szCs w:val="24"/>
        </w:rPr>
      </w:pPr>
    </w:p>
    <w:p w14:paraId="7C2526FF" w14:textId="77777777" w:rsidR="00CD383A" w:rsidRPr="00922C73" w:rsidRDefault="00CD383A" w:rsidP="007A5639">
      <w:pPr>
        <w:spacing w:line="480" w:lineRule="auto"/>
        <w:rPr>
          <w:rFonts w:ascii="Times New Roman" w:hAnsi="Times New Roman" w:cs="Times New Roman"/>
          <w:sz w:val="24"/>
          <w:szCs w:val="24"/>
        </w:rPr>
      </w:pPr>
    </w:p>
    <w:p w14:paraId="365FA5D4" w14:textId="77777777" w:rsidR="004716F7" w:rsidRPr="00922C73" w:rsidRDefault="004716F7" w:rsidP="007A5639">
      <w:pPr>
        <w:spacing w:line="480" w:lineRule="auto"/>
        <w:rPr>
          <w:rFonts w:ascii="Times New Roman" w:hAnsi="Times New Roman" w:cs="Times New Roman"/>
          <w:bCs/>
          <w:sz w:val="24"/>
          <w:szCs w:val="24"/>
        </w:rPr>
      </w:pPr>
    </w:p>
    <w:p w14:paraId="569FE24D" w14:textId="77777777" w:rsidR="00CD383A" w:rsidRPr="00922C73" w:rsidRDefault="00CD383A" w:rsidP="007A5639">
      <w:pPr>
        <w:spacing w:line="480" w:lineRule="auto"/>
        <w:rPr>
          <w:rFonts w:ascii="Times New Roman" w:hAnsi="Times New Roman" w:cs="Times New Roman"/>
          <w:bCs/>
          <w:sz w:val="24"/>
          <w:szCs w:val="24"/>
        </w:rPr>
      </w:pPr>
    </w:p>
    <w:p w14:paraId="416954B4" w14:textId="77777777" w:rsidR="00CD383A" w:rsidRPr="00922C73" w:rsidRDefault="00CD383A" w:rsidP="007A5639">
      <w:pPr>
        <w:spacing w:line="480" w:lineRule="auto"/>
        <w:rPr>
          <w:rFonts w:ascii="Times New Roman" w:hAnsi="Times New Roman" w:cs="Times New Roman"/>
          <w:bCs/>
          <w:sz w:val="24"/>
          <w:szCs w:val="24"/>
        </w:rPr>
      </w:pPr>
    </w:p>
    <w:p w14:paraId="258A447E" w14:textId="77777777" w:rsidR="0051750F" w:rsidRPr="00922C73" w:rsidRDefault="0051750F" w:rsidP="007A5639">
      <w:pPr>
        <w:spacing w:line="480" w:lineRule="auto"/>
        <w:rPr>
          <w:rFonts w:ascii="Times New Roman" w:hAnsi="Times New Roman" w:cs="Times New Roman"/>
          <w:bCs/>
          <w:sz w:val="24"/>
          <w:szCs w:val="24"/>
        </w:rPr>
      </w:pPr>
    </w:p>
    <w:p w14:paraId="73817F1A" w14:textId="77777777" w:rsidR="0051750F" w:rsidRPr="00922C73" w:rsidRDefault="0051750F" w:rsidP="007A5639">
      <w:pPr>
        <w:spacing w:line="480" w:lineRule="auto"/>
        <w:rPr>
          <w:rFonts w:ascii="Times New Roman" w:hAnsi="Times New Roman" w:cs="Times New Roman"/>
          <w:bCs/>
          <w:sz w:val="24"/>
          <w:szCs w:val="24"/>
        </w:rPr>
      </w:pPr>
    </w:p>
    <w:p w14:paraId="364139A6" w14:textId="445ABBAF" w:rsidR="00143608" w:rsidRPr="00922C73" w:rsidRDefault="004716F7" w:rsidP="007A5639">
      <w:pPr>
        <w:numPr>
          <w:ilvl w:val="0"/>
          <w:numId w:val="14"/>
        </w:numPr>
        <w:spacing w:line="480" w:lineRule="auto"/>
        <w:rPr>
          <w:rFonts w:ascii="Times New Roman" w:hAnsi="Times New Roman" w:cs="Times New Roman"/>
          <w:b/>
          <w:sz w:val="24"/>
          <w:szCs w:val="24"/>
        </w:rPr>
      </w:pPr>
      <w:r w:rsidRPr="00922C73">
        <w:rPr>
          <w:rFonts w:ascii="Times New Roman" w:hAnsi="Times New Roman" w:cs="Times New Roman"/>
          <w:b/>
          <w:sz w:val="24"/>
          <w:szCs w:val="24"/>
        </w:rPr>
        <w:lastRenderedPageBreak/>
        <w:t xml:space="preserve">                                                                            b)</w:t>
      </w:r>
    </w:p>
    <w:p w14:paraId="2B576EC6" w14:textId="77777777" w:rsidR="0051750F" w:rsidRPr="00922C73" w:rsidRDefault="004716F7" w:rsidP="0051750F">
      <w:pPr>
        <w:keepNext/>
        <w:spacing w:line="480" w:lineRule="auto"/>
      </w:pPr>
      <w:r w:rsidRPr="00922C73">
        <w:rPr>
          <w:noProof/>
          <w:sz w:val="24"/>
          <w:szCs w:val="24"/>
        </w:rPr>
        <w:drawing>
          <wp:inline distT="0" distB="0" distL="0" distR="0" wp14:anchorId="0FE682D1" wp14:editId="21332349">
            <wp:extent cx="5731510" cy="2507615"/>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2507615"/>
                    </a:xfrm>
                    <a:prstGeom prst="rect">
                      <a:avLst/>
                    </a:prstGeom>
                    <a:noFill/>
                    <a:ln>
                      <a:noFill/>
                    </a:ln>
                  </pic:spPr>
                </pic:pic>
              </a:graphicData>
            </a:graphic>
          </wp:inline>
        </w:drawing>
      </w:r>
    </w:p>
    <w:p w14:paraId="24B90241" w14:textId="4BCB47F1" w:rsidR="004716F7" w:rsidRPr="00922C73" w:rsidRDefault="0051750F" w:rsidP="00493502">
      <w:pPr>
        <w:pStyle w:val="Caption"/>
        <w:spacing w:line="240" w:lineRule="auto"/>
        <w:rPr>
          <w:rFonts w:ascii="Times New Roman" w:hAnsi="Times New Roman" w:cs="Times New Roman"/>
          <w:sz w:val="24"/>
          <w:szCs w:val="24"/>
        </w:rPr>
      </w:pPr>
      <w:bookmarkStart w:id="149" w:name="_Toc139397316"/>
      <w:bookmarkStart w:id="150" w:name="_Toc151020663"/>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18</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Median trough drug levels (error bars indicate the 25</w:t>
      </w:r>
      <w:r w:rsidRPr="00922C73">
        <w:rPr>
          <w:rFonts w:ascii="Times New Roman" w:hAnsi="Times New Roman" w:cs="Times New Roman"/>
          <w:sz w:val="24"/>
          <w:szCs w:val="24"/>
          <w:vertAlign w:val="superscript"/>
        </w:rPr>
        <w:t>th</w:t>
      </w:r>
      <w:r w:rsidRPr="00922C73">
        <w:rPr>
          <w:rFonts w:ascii="Times New Roman" w:hAnsi="Times New Roman" w:cs="Times New Roman"/>
          <w:sz w:val="24"/>
          <w:szCs w:val="24"/>
        </w:rPr>
        <w:t>-75</w:t>
      </w:r>
      <w:r w:rsidRPr="00922C73">
        <w:rPr>
          <w:rFonts w:ascii="Times New Roman" w:hAnsi="Times New Roman" w:cs="Times New Roman"/>
          <w:sz w:val="24"/>
          <w:szCs w:val="24"/>
          <w:vertAlign w:val="superscript"/>
        </w:rPr>
        <w:t>th</w:t>
      </w:r>
      <w:r w:rsidRPr="00922C73">
        <w:rPr>
          <w:rFonts w:ascii="Times New Roman" w:hAnsi="Times New Roman" w:cs="Times New Roman"/>
          <w:sz w:val="24"/>
          <w:szCs w:val="24"/>
        </w:rPr>
        <w:t xml:space="preserve"> percentiles of the trough drug levels) following infliximab dose escalation in patients a) with ATI &gt;10 AU/mL at baseline and b) with ATI ≤ 10 AU/mL at baseline.</w:t>
      </w:r>
      <w:bookmarkEnd w:id="149"/>
      <w:bookmarkEnd w:id="150"/>
    </w:p>
    <w:p w14:paraId="5296748F" w14:textId="1ADE20EF" w:rsidR="007F20DE" w:rsidRPr="00922C73" w:rsidRDefault="007F20DE" w:rsidP="00493502">
      <w:pPr>
        <w:spacing w:line="240" w:lineRule="auto"/>
        <w:rPr>
          <w:rFonts w:ascii="Times New Roman" w:hAnsi="Times New Roman" w:cs="Times New Roman"/>
          <w:sz w:val="24"/>
          <w:szCs w:val="24"/>
        </w:rPr>
      </w:pPr>
      <w:r w:rsidRPr="00922C73">
        <w:rPr>
          <w:rFonts w:ascii="Times New Roman" w:hAnsi="Times New Roman" w:cs="Times New Roman"/>
          <w:sz w:val="24"/>
          <w:szCs w:val="24"/>
        </w:rPr>
        <w:t xml:space="preserve">At baseline, </w:t>
      </w:r>
      <w:r w:rsidR="009A103E" w:rsidRPr="00922C73">
        <w:rPr>
          <w:rFonts w:ascii="Times New Roman" w:hAnsi="Times New Roman" w:cs="Times New Roman"/>
          <w:sz w:val="24"/>
          <w:szCs w:val="24"/>
        </w:rPr>
        <w:t xml:space="preserve">week 0, </w:t>
      </w:r>
      <w:r w:rsidRPr="00922C73">
        <w:rPr>
          <w:rFonts w:ascii="Times New Roman" w:hAnsi="Times New Roman" w:cs="Times New Roman"/>
          <w:sz w:val="24"/>
          <w:szCs w:val="24"/>
        </w:rPr>
        <w:t>median infliximab levels were 1.4mg/L and 0.9 mg/L respectively for patients with negative/transient ATI and positive ATI</w:t>
      </w:r>
      <w:r w:rsidR="009A103E" w:rsidRPr="00922C73">
        <w:rPr>
          <w:rFonts w:ascii="Times New Roman" w:hAnsi="Times New Roman" w:cs="Times New Roman"/>
          <w:sz w:val="24"/>
          <w:szCs w:val="24"/>
        </w:rPr>
        <w:t>.</w:t>
      </w:r>
      <w:r w:rsidRPr="00922C73">
        <w:rPr>
          <w:rFonts w:ascii="Times New Roman" w:hAnsi="Times New Roman" w:cs="Times New Roman"/>
          <w:sz w:val="24"/>
          <w:szCs w:val="24"/>
        </w:rPr>
        <w:t xml:space="preserve"> </w:t>
      </w:r>
      <w:r w:rsidR="009A103E" w:rsidRPr="00922C73">
        <w:rPr>
          <w:rFonts w:ascii="Times New Roman" w:hAnsi="Times New Roman" w:cs="Times New Roman"/>
          <w:sz w:val="24"/>
          <w:szCs w:val="24"/>
        </w:rPr>
        <w:t xml:space="preserve">DE significantly increased trough drug levels at subsequent follow-up to week 48 for both cohorts. </w:t>
      </w:r>
      <w:r w:rsidR="00493502" w:rsidRPr="00922C73">
        <w:rPr>
          <w:rFonts w:ascii="Times New Roman" w:hAnsi="Times New Roman" w:cs="Times New Roman"/>
          <w:sz w:val="24"/>
          <w:szCs w:val="24"/>
        </w:rPr>
        <w:t>Patients remaining at each timepoint are shown at each stage.</w:t>
      </w:r>
    </w:p>
    <w:p w14:paraId="77D2DCB8" w14:textId="77777777" w:rsidR="004716F7" w:rsidRPr="00922C73" w:rsidRDefault="004716F7" w:rsidP="00493502">
      <w:pPr>
        <w:spacing w:line="240" w:lineRule="auto"/>
        <w:rPr>
          <w:rFonts w:ascii="Times New Roman" w:hAnsi="Times New Roman" w:cs="Times New Roman"/>
          <w:sz w:val="24"/>
          <w:szCs w:val="24"/>
        </w:rPr>
      </w:pPr>
      <w:bookmarkStart w:id="151" w:name="_Hlk56966042"/>
      <w:r w:rsidRPr="00922C73">
        <w:rPr>
          <w:rFonts w:ascii="Times New Roman" w:hAnsi="Times New Roman" w:cs="Times New Roman"/>
          <w:sz w:val="24"/>
          <w:szCs w:val="24"/>
        </w:rPr>
        <w:t>*Indicates infliximab levels at this time point were significantly increased compared to baseline with correction for multiple comparisons (p &lt;0.05)</w:t>
      </w:r>
    </w:p>
    <w:bookmarkEnd w:id="151"/>
    <w:p w14:paraId="6F6A6E8F" w14:textId="77777777" w:rsidR="004716F7" w:rsidRPr="00922C73" w:rsidRDefault="004716F7" w:rsidP="00493502">
      <w:pPr>
        <w:spacing w:line="24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w:t>
      </w:r>
    </w:p>
    <w:p w14:paraId="7FA0D3FB" w14:textId="57F1321A" w:rsidR="004716F7" w:rsidRPr="00922C73" w:rsidRDefault="004716F7" w:rsidP="00091A0B"/>
    <w:p w14:paraId="2BB32E53" w14:textId="77777777" w:rsidR="00CD383A" w:rsidRPr="00922C73" w:rsidRDefault="00CD383A" w:rsidP="00091A0B"/>
    <w:p w14:paraId="1BD8533D" w14:textId="77777777" w:rsidR="00CD383A" w:rsidRPr="00922C73" w:rsidRDefault="00CD383A" w:rsidP="00091A0B"/>
    <w:p w14:paraId="30A6E33C" w14:textId="77777777" w:rsidR="00CD383A" w:rsidRPr="00922C73" w:rsidRDefault="00CD383A" w:rsidP="00091A0B"/>
    <w:p w14:paraId="749DC065" w14:textId="77777777" w:rsidR="00CD383A" w:rsidRPr="00922C73" w:rsidRDefault="00CD383A" w:rsidP="00091A0B"/>
    <w:p w14:paraId="65773ABC" w14:textId="77777777" w:rsidR="00CD383A" w:rsidRPr="00922C73" w:rsidRDefault="00CD383A" w:rsidP="007A5639">
      <w:pPr>
        <w:spacing w:line="480" w:lineRule="auto"/>
        <w:rPr>
          <w:rFonts w:ascii="Times New Roman" w:hAnsi="Times New Roman" w:cs="Times New Roman"/>
          <w:b/>
          <w:sz w:val="24"/>
          <w:szCs w:val="24"/>
        </w:rPr>
      </w:pPr>
    </w:p>
    <w:p w14:paraId="0AE9333D" w14:textId="77777777" w:rsidR="00CD383A" w:rsidRPr="00922C73" w:rsidRDefault="00CD383A" w:rsidP="003C6192">
      <w:pPr>
        <w:spacing w:line="480" w:lineRule="auto"/>
        <w:rPr>
          <w:rFonts w:ascii="Times New Roman" w:hAnsi="Times New Roman" w:cs="Times New Roman"/>
          <w:b/>
          <w:sz w:val="24"/>
          <w:szCs w:val="24"/>
        </w:rPr>
      </w:pPr>
    </w:p>
    <w:p w14:paraId="59D6C2A1" w14:textId="0CF53CED" w:rsidR="00091A0B" w:rsidRPr="00922C73" w:rsidRDefault="00091A0B" w:rsidP="003C6192">
      <w:pPr>
        <w:spacing w:line="480" w:lineRule="auto"/>
        <w:rPr>
          <w:rFonts w:ascii="Times New Roman" w:hAnsi="Times New Roman" w:cs="Times New Roman"/>
          <w:b/>
          <w:sz w:val="24"/>
          <w:szCs w:val="24"/>
        </w:rPr>
      </w:pPr>
      <w:r w:rsidRPr="00922C73">
        <w:rPr>
          <w:rFonts w:ascii="Times New Roman" w:hAnsi="Times New Roman" w:cs="Times New Roman"/>
          <w:b/>
          <w:sz w:val="24"/>
          <w:szCs w:val="24"/>
        </w:rPr>
        <w:br/>
      </w:r>
    </w:p>
    <w:p w14:paraId="7F4D5C09" w14:textId="3C6A7879" w:rsidR="00143608" w:rsidRPr="00922C73" w:rsidRDefault="002E167A" w:rsidP="003C6192">
      <w:pPr>
        <w:pStyle w:val="Heading3"/>
        <w:spacing w:line="480" w:lineRule="auto"/>
        <w:rPr>
          <w:rFonts w:ascii="Times New Roman" w:hAnsi="Times New Roman" w:cs="Times New Roman"/>
          <w:b/>
          <w:bCs/>
        </w:rPr>
      </w:pPr>
      <w:bookmarkStart w:id="152" w:name="_Toc151020501"/>
      <w:r w:rsidRPr="00922C73">
        <w:rPr>
          <w:rFonts w:ascii="Times New Roman" w:hAnsi="Times New Roman" w:cs="Times New Roman"/>
          <w:b/>
          <w:bCs/>
        </w:rPr>
        <w:lastRenderedPageBreak/>
        <w:t>3</w:t>
      </w:r>
      <w:r w:rsidR="004716F7" w:rsidRPr="00922C73">
        <w:rPr>
          <w:rFonts w:ascii="Times New Roman" w:hAnsi="Times New Roman" w:cs="Times New Roman"/>
          <w:b/>
          <w:bCs/>
        </w:rPr>
        <w:t xml:space="preserve">.3.3 </w:t>
      </w:r>
      <w:r w:rsidR="00143608" w:rsidRPr="00922C73">
        <w:rPr>
          <w:rFonts w:ascii="Times New Roman" w:hAnsi="Times New Roman" w:cs="Times New Roman"/>
          <w:b/>
          <w:bCs/>
        </w:rPr>
        <w:t>The effect of infliximab dose escalation on ATI levels</w:t>
      </w:r>
      <w:bookmarkEnd w:id="152"/>
    </w:p>
    <w:p w14:paraId="12B7DAFB" w14:textId="0F1D37FE" w:rsidR="007A5639" w:rsidRPr="00922C73" w:rsidRDefault="00143608" w:rsidP="003C6192">
      <w:pPr>
        <w:spacing w:line="480" w:lineRule="auto"/>
        <w:rPr>
          <w:rFonts w:ascii="Times New Roman" w:eastAsia="MS PGothic" w:hAnsi="Times New Roman" w:cs="Times New Roman"/>
          <w:kern w:val="24"/>
          <w:sz w:val="24"/>
          <w:szCs w:val="24"/>
        </w:rPr>
      </w:pPr>
      <w:r w:rsidRPr="00922C73">
        <w:rPr>
          <w:rFonts w:ascii="Times New Roman" w:eastAsia="MS PGothic" w:hAnsi="Times New Roman" w:cs="Times New Roman"/>
          <w:kern w:val="24"/>
          <w:sz w:val="24"/>
          <w:szCs w:val="24"/>
        </w:rPr>
        <w:t>ATI levels after DE were available for 35/38 (92.1%) patients with positive ATI.</w:t>
      </w:r>
      <w:r w:rsidRPr="00922C73">
        <w:rPr>
          <w:rFonts w:ascii="Times New Roman" w:hAnsi="Times New Roman" w:cs="Times New Roman"/>
          <w:sz w:val="24"/>
          <w:szCs w:val="24"/>
        </w:rPr>
        <w:t xml:space="preserve"> </w:t>
      </w:r>
      <w:r w:rsidRPr="00922C73">
        <w:rPr>
          <w:rFonts w:ascii="Times New Roman" w:eastAsia="MS PGothic" w:hAnsi="Times New Roman" w:cs="Times New Roman"/>
          <w:kern w:val="24"/>
          <w:sz w:val="24"/>
          <w:szCs w:val="24"/>
        </w:rPr>
        <w:t>21/35 (60%) ATI positive patients had a fall in ATI to below the positive threshold (ATI ≤10 AU/mL) at any point following DE. However, this was only sustained in 13 (22.9%) patients (median follow up 58 weeks, range 21-104)</w:t>
      </w:r>
      <w:r w:rsidRPr="00922C73">
        <w:rPr>
          <w:rFonts w:ascii="Times New Roman" w:hAnsi="Times New Roman" w:cs="Times New Roman"/>
          <w:sz w:val="24"/>
          <w:szCs w:val="24"/>
        </w:rPr>
        <w:t xml:space="preserve">. There was no significant difference in ATI levels before dose escalation between those who subsequently became ATI negative (n=13 median ATI 23 AU/mL, range 12-103) compared to those who remained ATI positive (n=22 median ATI 37 AU/mL, range 10-223). Figure </w:t>
      </w:r>
      <w:r w:rsidR="0051750F" w:rsidRPr="00922C73">
        <w:rPr>
          <w:rFonts w:ascii="Times New Roman" w:hAnsi="Times New Roman" w:cs="Times New Roman"/>
          <w:sz w:val="24"/>
          <w:szCs w:val="24"/>
        </w:rPr>
        <w:t>1</w:t>
      </w:r>
      <w:r w:rsidR="00D12817" w:rsidRPr="00922C73">
        <w:rPr>
          <w:rFonts w:ascii="Times New Roman" w:hAnsi="Times New Roman" w:cs="Times New Roman"/>
          <w:sz w:val="24"/>
          <w:szCs w:val="24"/>
        </w:rPr>
        <w:t>9</w:t>
      </w:r>
      <w:r w:rsidRPr="00922C73">
        <w:rPr>
          <w:rFonts w:ascii="Times New Roman" w:hAnsi="Times New Roman" w:cs="Times New Roman"/>
          <w:sz w:val="24"/>
          <w:szCs w:val="24"/>
        </w:rPr>
        <w:t xml:space="preserve"> shows that median ATI levels in those with ATI &gt; 10 AU/mL decreased after DE (corrected for multiple comparisons). </w:t>
      </w:r>
      <w:bookmarkStart w:id="153" w:name="_Hlk56083206"/>
      <w:r w:rsidRPr="00922C73">
        <w:rPr>
          <w:rFonts w:ascii="Times New Roman" w:eastAsia="MS PGothic" w:hAnsi="Times New Roman" w:cs="Times New Roman"/>
          <w:kern w:val="24"/>
          <w:sz w:val="24"/>
          <w:szCs w:val="24"/>
        </w:rPr>
        <w:t>ATI levels pre-DE in those with positive ATI poorly predicted subsequent ATI negativity after infliximab DE with an area under the curve of 0.56 (p=0.6, 95% CI 0.36-0.76).</w:t>
      </w:r>
      <w:bookmarkEnd w:id="153"/>
    </w:p>
    <w:p w14:paraId="007B8CB0" w14:textId="57C89AD8" w:rsidR="007A5639" w:rsidRPr="00922C73" w:rsidRDefault="007A5639" w:rsidP="007A5639">
      <w:pPr>
        <w:spacing w:line="480" w:lineRule="auto"/>
        <w:rPr>
          <w:rFonts w:ascii="Times New Roman" w:eastAsia="MS PGothic" w:hAnsi="Times New Roman" w:cs="Times New Roman"/>
          <w:kern w:val="24"/>
          <w:sz w:val="24"/>
          <w:szCs w:val="24"/>
        </w:rPr>
      </w:pPr>
    </w:p>
    <w:p w14:paraId="45E93F70" w14:textId="203385E7" w:rsidR="007A5639" w:rsidRPr="00922C73" w:rsidRDefault="007A5639" w:rsidP="007A5639">
      <w:pPr>
        <w:spacing w:line="480" w:lineRule="auto"/>
        <w:rPr>
          <w:rFonts w:ascii="Times New Roman" w:eastAsia="MS PGothic" w:hAnsi="Times New Roman" w:cs="Times New Roman"/>
          <w:kern w:val="24"/>
          <w:sz w:val="24"/>
          <w:szCs w:val="24"/>
        </w:rPr>
      </w:pPr>
    </w:p>
    <w:p w14:paraId="73A4BD11" w14:textId="11F62054" w:rsidR="007A5639" w:rsidRPr="00922C73" w:rsidRDefault="007A5639" w:rsidP="007A5639">
      <w:pPr>
        <w:spacing w:line="480" w:lineRule="auto"/>
        <w:rPr>
          <w:rFonts w:ascii="Times New Roman" w:eastAsia="MS PGothic" w:hAnsi="Times New Roman" w:cs="Times New Roman"/>
          <w:kern w:val="24"/>
          <w:sz w:val="24"/>
          <w:szCs w:val="24"/>
        </w:rPr>
      </w:pPr>
    </w:p>
    <w:p w14:paraId="2A42E067" w14:textId="62A7977F" w:rsidR="007A5639" w:rsidRPr="00922C73" w:rsidRDefault="007A5639" w:rsidP="007A5639">
      <w:pPr>
        <w:spacing w:line="480" w:lineRule="auto"/>
        <w:rPr>
          <w:rFonts w:ascii="Times New Roman" w:eastAsia="MS PGothic" w:hAnsi="Times New Roman" w:cs="Times New Roman"/>
          <w:kern w:val="24"/>
          <w:sz w:val="24"/>
          <w:szCs w:val="24"/>
        </w:rPr>
      </w:pPr>
    </w:p>
    <w:p w14:paraId="526BD94C" w14:textId="0E7C239C" w:rsidR="007A5639" w:rsidRPr="00922C73" w:rsidRDefault="007A5639" w:rsidP="007A5639">
      <w:pPr>
        <w:spacing w:line="480" w:lineRule="auto"/>
        <w:rPr>
          <w:rFonts w:ascii="Times New Roman" w:eastAsia="MS PGothic" w:hAnsi="Times New Roman" w:cs="Times New Roman"/>
          <w:kern w:val="24"/>
          <w:sz w:val="24"/>
          <w:szCs w:val="24"/>
        </w:rPr>
      </w:pPr>
    </w:p>
    <w:p w14:paraId="4B6ED9D5" w14:textId="77777777" w:rsidR="007A5639" w:rsidRPr="00922C73" w:rsidRDefault="007A5639" w:rsidP="007A5639">
      <w:pPr>
        <w:spacing w:line="480" w:lineRule="auto"/>
        <w:rPr>
          <w:rFonts w:ascii="Times New Roman" w:eastAsia="MS PGothic" w:hAnsi="Times New Roman" w:cs="Times New Roman"/>
          <w:kern w:val="24"/>
          <w:sz w:val="24"/>
          <w:szCs w:val="24"/>
        </w:rPr>
      </w:pPr>
    </w:p>
    <w:p w14:paraId="1D1B8433" w14:textId="77777777" w:rsidR="0051750F" w:rsidRPr="00922C73" w:rsidRDefault="007A5639" w:rsidP="0051750F">
      <w:pPr>
        <w:keepNext/>
        <w:spacing w:line="480" w:lineRule="auto"/>
      </w:pPr>
      <w:r w:rsidRPr="00922C73">
        <w:rPr>
          <w:noProof/>
        </w:rPr>
        <w:lastRenderedPageBreak/>
        <w:drawing>
          <wp:inline distT="0" distB="0" distL="0" distR="0" wp14:anchorId="58C06E9A" wp14:editId="1BC438D4">
            <wp:extent cx="4257675" cy="347400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1356" cy="3493326"/>
                    </a:xfrm>
                    <a:prstGeom prst="rect">
                      <a:avLst/>
                    </a:prstGeom>
                    <a:noFill/>
                    <a:ln>
                      <a:noFill/>
                    </a:ln>
                  </pic:spPr>
                </pic:pic>
              </a:graphicData>
            </a:graphic>
          </wp:inline>
        </w:drawing>
      </w:r>
    </w:p>
    <w:p w14:paraId="4226A7E1" w14:textId="5F34320A" w:rsidR="00143608" w:rsidRPr="00922C73" w:rsidRDefault="0051750F" w:rsidP="00D12817">
      <w:pPr>
        <w:pStyle w:val="Caption"/>
        <w:spacing w:line="240" w:lineRule="auto"/>
        <w:rPr>
          <w:rFonts w:ascii="Times New Roman" w:hAnsi="Times New Roman" w:cs="Times New Roman"/>
          <w:b w:val="0"/>
          <w:sz w:val="24"/>
          <w:szCs w:val="24"/>
        </w:rPr>
      </w:pPr>
      <w:bookmarkStart w:id="154" w:name="_Toc139397317"/>
      <w:bookmarkStart w:id="155" w:name="_Toc151020664"/>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19</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Median antibodies to infliximab levels (error bars indicate the 25</w:t>
      </w:r>
      <w:r w:rsidRPr="00922C73">
        <w:rPr>
          <w:rFonts w:ascii="Times New Roman" w:hAnsi="Times New Roman" w:cs="Times New Roman"/>
          <w:sz w:val="24"/>
          <w:szCs w:val="24"/>
          <w:vertAlign w:val="superscript"/>
        </w:rPr>
        <w:t>th</w:t>
      </w:r>
      <w:r w:rsidRPr="00922C73">
        <w:rPr>
          <w:rFonts w:ascii="Times New Roman" w:hAnsi="Times New Roman" w:cs="Times New Roman"/>
          <w:sz w:val="24"/>
          <w:szCs w:val="24"/>
        </w:rPr>
        <w:t>-75</w:t>
      </w:r>
      <w:r w:rsidRPr="00922C73">
        <w:rPr>
          <w:rFonts w:ascii="Times New Roman" w:hAnsi="Times New Roman" w:cs="Times New Roman"/>
          <w:sz w:val="24"/>
          <w:szCs w:val="24"/>
          <w:vertAlign w:val="superscript"/>
        </w:rPr>
        <w:t>th</w:t>
      </w:r>
      <w:r w:rsidRPr="00922C73">
        <w:rPr>
          <w:rFonts w:ascii="Times New Roman" w:hAnsi="Times New Roman" w:cs="Times New Roman"/>
          <w:sz w:val="24"/>
          <w:szCs w:val="24"/>
        </w:rPr>
        <w:t xml:space="preserve"> percentiles) following dose escalation in patients with positive antibodies (&gt;10 AU/mL).</w:t>
      </w:r>
      <w:bookmarkEnd w:id="154"/>
      <w:bookmarkEnd w:id="155"/>
    </w:p>
    <w:p w14:paraId="27BA50C0" w14:textId="77777777" w:rsidR="007A5639" w:rsidRPr="00922C73" w:rsidRDefault="007A5639" w:rsidP="00D12817">
      <w:pPr>
        <w:spacing w:line="240" w:lineRule="auto"/>
        <w:rPr>
          <w:rFonts w:ascii="Times New Roman" w:hAnsi="Times New Roman" w:cs="Times New Roman"/>
          <w:sz w:val="24"/>
          <w:szCs w:val="24"/>
        </w:rPr>
      </w:pPr>
      <w:r w:rsidRPr="00922C73">
        <w:rPr>
          <w:rFonts w:ascii="Times New Roman" w:hAnsi="Times New Roman" w:cs="Times New Roman"/>
          <w:sz w:val="24"/>
          <w:szCs w:val="24"/>
        </w:rPr>
        <w:t xml:space="preserve">*Indicates antibodies to infliximab levels at weeks 16, 24, 40 and 48 of infliximab dose escalation were significantly decreased compared to baseline with correction for multiple comparisons (p&lt;0.05) </w:t>
      </w:r>
    </w:p>
    <w:p w14:paraId="31B8A374" w14:textId="77777777" w:rsidR="007A5639" w:rsidRPr="00922C73" w:rsidRDefault="007A5639" w:rsidP="00327359">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w:t>
      </w:r>
    </w:p>
    <w:p w14:paraId="3BFCE8C4" w14:textId="77777777" w:rsidR="007A5639" w:rsidRPr="00922C73" w:rsidRDefault="007A5639" w:rsidP="007A5639">
      <w:pPr>
        <w:spacing w:line="480" w:lineRule="auto"/>
        <w:rPr>
          <w:rFonts w:ascii="Times New Roman" w:hAnsi="Times New Roman" w:cs="Times New Roman"/>
          <w:b/>
          <w:sz w:val="24"/>
          <w:szCs w:val="24"/>
        </w:rPr>
      </w:pPr>
    </w:p>
    <w:p w14:paraId="2A371A77" w14:textId="77777777" w:rsidR="00591FEA" w:rsidRPr="00922C73" w:rsidRDefault="00591FEA" w:rsidP="007A5639">
      <w:pPr>
        <w:spacing w:line="480" w:lineRule="auto"/>
        <w:rPr>
          <w:rFonts w:ascii="Times New Roman" w:hAnsi="Times New Roman" w:cs="Times New Roman"/>
          <w:b/>
          <w:sz w:val="24"/>
          <w:szCs w:val="24"/>
        </w:rPr>
      </w:pPr>
    </w:p>
    <w:p w14:paraId="391F59C1" w14:textId="77777777" w:rsidR="00591FEA" w:rsidRPr="00922C73" w:rsidRDefault="00591FEA" w:rsidP="007A5639">
      <w:pPr>
        <w:spacing w:line="480" w:lineRule="auto"/>
        <w:rPr>
          <w:rFonts w:ascii="Times New Roman" w:hAnsi="Times New Roman" w:cs="Times New Roman"/>
          <w:b/>
          <w:sz w:val="24"/>
          <w:szCs w:val="24"/>
        </w:rPr>
      </w:pPr>
    </w:p>
    <w:p w14:paraId="12E0B95A" w14:textId="77777777" w:rsidR="00591FEA" w:rsidRPr="00922C73" w:rsidRDefault="00591FEA" w:rsidP="007A5639">
      <w:pPr>
        <w:spacing w:line="480" w:lineRule="auto"/>
        <w:rPr>
          <w:rFonts w:ascii="Times New Roman" w:hAnsi="Times New Roman" w:cs="Times New Roman"/>
          <w:b/>
          <w:sz w:val="24"/>
          <w:szCs w:val="24"/>
        </w:rPr>
      </w:pPr>
    </w:p>
    <w:p w14:paraId="17B4BD8F" w14:textId="77777777" w:rsidR="00591FEA" w:rsidRPr="00922C73" w:rsidRDefault="00591FEA" w:rsidP="007A5639">
      <w:pPr>
        <w:spacing w:line="480" w:lineRule="auto"/>
        <w:rPr>
          <w:rFonts w:ascii="Times New Roman" w:hAnsi="Times New Roman" w:cs="Times New Roman"/>
          <w:b/>
          <w:sz w:val="24"/>
          <w:szCs w:val="24"/>
        </w:rPr>
      </w:pPr>
    </w:p>
    <w:p w14:paraId="1A80BF3E" w14:textId="77777777" w:rsidR="00591FEA" w:rsidRPr="00922C73" w:rsidRDefault="00591FEA" w:rsidP="003C6192">
      <w:pPr>
        <w:spacing w:line="480" w:lineRule="auto"/>
        <w:rPr>
          <w:rFonts w:ascii="Times New Roman" w:hAnsi="Times New Roman" w:cs="Times New Roman"/>
          <w:b/>
          <w:sz w:val="24"/>
          <w:szCs w:val="24"/>
        </w:rPr>
      </w:pPr>
    </w:p>
    <w:p w14:paraId="60034B7D" w14:textId="5AF92990" w:rsidR="00143608" w:rsidRPr="00922C73" w:rsidRDefault="001E7457" w:rsidP="003C6192">
      <w:pPr>
        <w:pStyle w:val="Heading3"/>
        <w:spacing w:line="480" w:lineRule="auto"/>
        <w:rPr>
          <w:rFonts w:ascii="Times New Roman" w:hAnsi="Times New Roman" w:cs="Times New Roman"/>
          <w:b/>
          <w:bCs/>
        </w:rPr>
      </w:pPr>
      <w:bookmarkStart w:id="156" w:name="_Toc151020502"/>
      <w:r w:rsidRPr="00922C73">
        <w:rPr>
          <w:rFonts w:ascii="Times New Roman" w:hAnsi="Times New Roman" w:cs="Times New Roman"/>
          <w:b/>
          <w:bCs/>
        </w:rPr>
        <w:lastRenderedPageBreak/>
        <w:t>3</w:t>
      </w:r>
      <w:r w:rsidR="007A5639" w:rsidRPr="00922C73">
        <w:rPr>
          <w:rFonts w:ascii="Times New Roman" w:hAnsi="Times New Roman" w:cs="Times New Roman"/>
          <w:b/>
          <w:bCs/>
        </w:rPr>
        <w:t xml:space="preserve">.3.4 </w:t>
      </w:r>
      <w:r w:rsidR="00143608" w:rsidRPr="00922C73">
        <w:rPr>
          <w:rFonts w:ascii="Times New Roman" w:hAnsi="Times New Roman" w:cs="Times New Roman"/>
          <w:b/>
          <w:bCs/>
        </w:rPr>
        <w:t>The effect of infliximab dose escalation on clinical outcomes</w:t>
      </w:r>
      <w:bookmarkEnd w:id="156"/>
    </w:p>
    <w:p w14:paraId="7973D1B3" w14:textId="6C98AB03" w:rsidR="00143608" w:rsidRPr="00922C73" w:rsidRDefault="00143608" w:rsidP="003C6192">
      <w:pPr>
        <w:spacing w:line="480" w:lineRule="auto"/>
        <w:rPr>
          <w:rFonts w:ascii="Times New Roman" w:hAnsi="Times New Roman" w:cs="Times New Roman"/>
          <w:sz w:val="24"/>
          <w:szCs w:val="24"/>
        </w:rPr>
      </w:pPr>
      <w:bookmarkStart w:id="157" w:name="_Hlk24356861"/>
      <w:bookmarkStart w:id="158" w:name="_Hlk24462236"/>
      <w:r w:rsidRPr="00922C73">
        <w:rPr>
          <w:rFonts w:ascii="Times New Roman" w:hAnsi="Times New Roman" w:cs="Times New Roman"/>
          <w:sz w:val="24"/>
          <w:szCs w:val="24"/>
        </w:rPr>
        <w:t>33</w:t>
      </w:r>
      <w:bookmarkStart w:id="159" w:name="_Hlk150768228"/>
      <w:r w:rsidRPr="00922C73">
        <w:rPr>
          <w:rFonts w:ascii="Times New Roman" w:hAnsi="Times New Roman" w:cs="Times New Roman"/>
          <w:sz w:val="24"/>
          <w:szCs w:val="24"/>
        </w:rPr>
        <w:t xml:space="preserve">/92 (36%; 21 ATI positive and 12 ATI negative) patients were in clinical remission prior to DE.  Following DE - at week 24 - 62/92 (67%) patients were in clinical remission (Figure </w:t>
      </w:r>
      <w:r w:rsidR="0093332B" w:rsidRPr="00922C73">
        <w:rPr>
          <w:rFonts w:ascii="Times New Roman" w:hAnsi="Times New Roman" w:cs="Times New Roman"/>
          <w:sz w:val="24"/>
          <w:szCs w:val="24"/>
        </w:rPr>
        <w:t>1</w:t>
      </w:r>
      <w:r w:rsidR="00C5083D" w:rsidRPr="00922C73">
        <w:rPr>
          <w:rFonts w:ascii="Times New Roman" w:hAnsi="Times New Roman" w:cs="Times New Roman"/>
          <w:sz w:val="24"/>
          <w:szCs w:val="24"/>
        </w:rPr>
        <w:t>8</w:t>
      </w:r>
      <w:r w:rsidRPr="00922C73">
        <w:rPr>
          <w:rFonts w:ascii="Times New Roman" w:hAnsi="Times New Roman" w:cs="Times New Roman"/>
          <w:sz w:val="24"/>
          <w:szCs w:val="24"/>
        </w:rPr>
        <w:t>). Of these 42/59 (71%) were recaptured following loss of response (11 ATI positive and 31 ATI negative or transient) and 20/33 (60%) were maintained in remission (11 ATI positive and 9 ATI negative or transient)</w:t>
      </w:r>
      <w:bookmarkEnd w:id="157"/>
      <w:r w:rsidRPr="00922C73">
        <w:rPr>
          <w:rFonts w:ascii="Times New Roman" w:hAnsi="Times New Roman" w:cs="Times New Roman"/>
          <w:sz w:val="24"/>
          <w:szCs w:val="24"/>
        </w:rPr>
        <w:t xml:space="preserve">. Duration of clinical remission was numerically shorter in ATI positive patients (median 24 weeks, range 0-88) than in those with transient or negative ATI (median 36 weeks, range 0-126, p=0.06). </w:t>
      </w:r>
    </w:p>
    <w:bookmarkEnd w:id="159"/>
    <w:p w14:paraId="367AB5A0" w14:textId="77777777" w:rsidR="007A5639" w:rsidRPr="00922C73" w:rsidRDefault="007A5639" w:rsidP="007A5639">
      <w:pPr>
        <w:spacing w:line="480" w:lineRule="auto"/>
        <w:rPr>
          <w:rFonts w:ascii="Times New Roman" w:hAnsi="Times New Roman" w:cs="Times New Roman"/>
          <w:sz w:val="24"/>
          <w:szCs w:val="24"/>
        </w:rPr>
      </w:pPr>
    </w:p>
    <w:p w14:paraId="0244F488" w14:textId="77777777" w:rsidR="0057007C" w:rsidRPr="00922C73" w:rsidRDefault="0057007C" w:rsidP="007A5639">
      <w:pPr>
        <w:spacing w:line="480" w:lineRule="auto"/>
        <w:rPr>
          <w:rFonts w:ascii="Times New Roman" w:hAnsi="Times New Roman" w:cs="Times New Roman"/>
          <w:sz w:val="24"/>
          <w:szCs w:val="24"/>
        </w:rPr>
      </w:pPr>
    </w:p>
    <w:p w14:paraId="1BB7902C" w14:textId="77777777" w:rsidR="0057007C" w:rsidRPr="00922C73" w:rsidRDefault="0057007C" w:rsidP="007A5639">
      <w:pPr>
        <w:spacing w:line="480" w:lineRule="auto"/>
        <w:rPr>
          <w:rFonts w:ascii="Times New Roman" w:hAnsi="Times New Roman" w:cs="Times New Roman"/>
          <w:sz w:val="24"/>
          <w:szCs w:val="24"/>
        </w:rPr>
      </w:pPr>
    </w:p>
    <w:p w14:paraId="68BFC815" w14:textId="77777777" w:rsidR="00533A71" w:rsidRPr="00922C73" w:rsidRDefault="00533A71" w:rsidP="007A5639">
      <w:pPr>
        <w:spacing w:line="480" w:lineRule="auto"/>
        <w:rPr>
          <w:rFonts w:ascii="Times New Roman" w:hAnsi="Times New Roman" w:cs="Times New Roman"/>
          <w:sz w:val="24"/>
          <w:szCs w:val="24"/>
        </w:rPr>
      </w:pPr>
    </w:p>
    <w:p w14:paraId="1D2B3675" w14:textId="77777777" w:rsidR="00533A71" w:rsidRPr="00922C73" w:rsidRDefault="00533A71" w:rsidP="007A5639">
      <w:pPr>
        <w:spacing w:line="480" w:lineRule="auto"/>
        <w:rPr>
          <w:rFonts w:ascii="Times New Roman" w:hAnsi="Times New Roman" w:cs="Times New Roman"/>
          <w:sz w:val="24"/>
          <w:szCs w:val="24"/>
        </w:rPr>
      </w:pPr>
    </w:p>
    <w:p w14:paraId="07CDF2CE" w14:textId="77777777" w:rsidR="0057007C" w:rsidRPr="00922C73" w:rsidRDefault="0057007C" w:rsidP="007A5639">
      <w:pPr>
        <w:spacing w:line="480" w:lineRule="auto"/>
        <w:rPr>
          <w:rFonts w:ascii="Times New Roman" w:hAnsi="Times New Roman" w:cs="Times New Roman"/>
          <w:sz w:val="24"/>
          <w:szCs w:val="24"/>
        </w:rPr>
      </w:pPr>
    </w:p>
    <w:p w14:paraId="2B71A0AF" w14:textId="77777777" w:rsidR="0057007C" w:rsidRPr="00922C73" w:rsidRDefault="0057007C" w:rsidP="007A5639">
      <w:pPr>
        <w:spacing w:line="480" w:lineRule="auto"/>
        <w:rPr>
          <w:rFonts w:ascii="Times New Roman" w:hAnsi="Times New Roman" w:cs="Times New Roman"/>
          <w:sz w:val="24"/>
          <w:szCs w:val="24"/>
        </w:rPr>
      </w:pPr>
    </w:p>
    <w:p w14:paraId="48E36DA1" w14:textId="61BEBF8A" w:rsidR="0051750F" w:rsidRPr="00922C73" w:rsidRDefault="00533A71" w:rsidP="00533A71">
      <w:pPr>
        <w:spacing w:line="480" w:lineRule="auto"/>
        <w:rPr>
          <w:rFonts w:ascii="Times New Roman" w:hAnsi="Times New Roman" w:cs="Times New Roman"/>
          <w:sz w:val="24"/>
          <w:szCs w:val="24"/>
        </w:rPr>
      </w:pPr>
      <w:r w:rsidRPr="00922C73">
        <w:rPr>
          <w:rFonts w:ascii="Times New Roman" w:hAnsi="Times New Roman" w:cs="Times New Roman"/>
          <w:noProof/>
          <w:sz w:val="24"/>
          <w:szCs w:val="24"/>
        </w:rPr>
        <w:lastRenderedPageBreak/>
        <w:drawing>
          <wp:inline distT="0" distB="0" distL="0" distR="0" wp14:anchorId="75E83202" wp14:editId="5C849BE6">
            <wp:extent cx="5659120" cy="3030788"/>
            <wp:effectExtent l="0" t="0" r="0" b="0"/>
            <wp:docPr id="730409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6346" cy="3034658"/>
                    </a:xfrm>
                    <a:prstGeom prst="rect">
                      <a:avLst/>
                    </a:prstGeom>
                    <a:noFill/>
                  </pic:spPr>
                </pic:pic>
              </a:graphicData>
            </a:graphic>
          </wp:inline>
        </w:drawing>
      </w:r>
      <w:bookmarkEnd w:id="158"/>
    </w:p>
    <w:p w14:paraId="6B40B151" w14:textId="0A0A14C8" w:rsidR="00143608" w:rsidRPr="00922C73" w:rsidRDefault="0051750F" w:rsidP="00D034E0">
      <w:pPr>
        <w:pStyle w:val="Caption"/>
        <w:spacing w:line="240" w:lineRule="auto"/>
        <w:rPr>
          <w:rFonts w:ascii="Times New Roman" w:hAnsi="Times New Roman" w:cs="Times New Roman"/>
          <w:sz w:val="24"/>
          <w:szCs w:val="24"/>
        </w:rPr>
      </w:pPr>
      <w:bookmarkStart w:id="160" w:name="_Toc139397318"/>
      <w:bookmarkStart w:id="161" w:name="_Toc151020665"/>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20</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Sankey diagram to illustrate clinical outcomes of patients receiving infliximab dose escalation at week 24 based on initial ATI and clinical status.</w:t>
      </w:r>
      <w:bookmarkEnd w:id="160"/>
      <w:bookmarkEnd w:id="161"/>
    </w:p>
    <w:p w14:paraId="2A80D4C0" w14:textId="2318F2DF" w:rsidR="00824B68" w:rsidRPr="00922C73" w:rsidRDefault="00B00457" w:rsidP="00D034E0">
      <w:pPr>
        <w:spacing w:line="240" w:lineRule="auto"/>
        <w:rPr>
          <w:rFonts w:ascii="Times New Roman" w:hAnsi="Times New Roman" w:cs="Times New Roman"/>
          <w:sz w:val="24"/>
          <w:szCs w:val="24"/>
        </w:rPr>
      </w:pPr>
      <w:r w:rsidRPr="00922C73">
        <w:rPr>
          <w:rFonts w:ascii="Times New Roman" w:hAnsi="Times New Roman" w:cs="Times New Roman"/>
          <w:sz w:val="24"/>
          <w:szCs w:val="24"/>
        </w:rPr>
        <w:t>33</w:t>
      </w:r>
      <w:r w:rsidR="00824B68" w:rsidRPr="00922C73">
        <w:rPr>
          <w:rFonts w:ascii="Times New Roman" w:hAnsi="Times New Roman" w:cs="Times New Roman"/>
          <w:sz w:val="24"/>
          <w:szCs w:val="24"/>
        </w:rPr>
        <w:t>/92 (36%</w:t>
      </w:r>
      <w:r w:rsidR="00F531F9" w:rsidRPr="00922C73">
        <w:rPr>
          <w:rFonts w:ascii="Times New Roman" w:hAnsi="Times New Roman" w:cs="Times New Roman"/>
          <w:sz w:val="24"/>
          <w:szCs w:val="24"/>
        </w:rPr>
        <w:t>)</w:t>
      </w:r>
      <w:r w:rsidR="00824B68" w:rsidRPr="00922C73">
        <w:rPr>
          <w:rFonts w:ascii="Times New Roman" w:hAnsi="Times New Roman" w:cs="Times New Roman"/>
          <w:sz w:val="24"/>
          <w:szCs w:val="24"/>
        </w:rPr>
        <w:t>; 21 ATI positive and 12 ATI negative</w:t>
      </w:r>
      <w:r w:rsidR="00D034E0" w:rsidRPr="00922C73">
        <w:rPr>
          <w:rFonts w:ascii="Times New Roman" w:hAnsi="Times New Roman" w:cs="Times New Roman"/>
          <w:sz w:val="24"/>
          <w:szCs w:val="24"/>
        </w:rPr>
        <w:t>/transient</w:t>
      </w:r>
      <w:r w:rsidR="00824B68" w:rsidRPr="00922C73">
        <w:rPr>
          <w:rFonts w:ascii="Times New Roman" w:hAnsi="Times New Roman" w:cs="Times New Roman"/>
          <w:sz w:val="24"/>
          <w:szCs w:val="24"/>
        </w:rPr>
        <w:t xml:space="preserve"> patients were in clinical remission prior to </w:t>
      </w:r>
      <w:r w:rsidR="001E7457" w:rsidRPr="00922C73">
        <w:rPr>
          <w:rFonts w:ascii="Times New Roman" w:hAnsi="Times New Roman" w:cs="Times New Roman"/>
          <w:sz w:val="24"/>
          <w:szCs w:val="24"/>
        </w:rPr>
        <w:t>dose escalation</w:t>
      </w:r>
      <w:r w:rsidR="00824B68" w:rsidRPr="00922C73">
        <w:rPr>
          <w:rFonts w:ascii="Times New Roman" w:hAnsi="Times New Roman" w:cs="Times New Roman"/>
          <w:sz w:val="24"/>
          <w:szCs w:val="24"/>
        </w:rPr>
        <w:t xml:space="preserve">.  Following </w:t>
      </w:r>
      <w:r w:rsidR="001E7457" w:rsidRPr="00922C73">
        <w:rPr>
          <w:rFonts w:ascii="Times New Roman" w:hAnsi="Times New Roman" w:cs="Times New Roman"/>
          <w:sz w:val="24"/>
          <w:szCs w:val="24"/>
        </w:rPr>
        <w:t>dose escalation</w:t>
      </w:r>
      <w:r w:rsidR="00824B68" w:rsidRPr="00922C73">
        <w:rPr>
          <w:rFonts w:ascii="Times New Roman" w:hAnsi="Times New Roman" w:cs="Times New Roman"/>
          <w:sz w:val="24"/>
          <w:szCs w:val="24"/>
        </w:rPr>
        <w:t xml:space="preserve"> - at week 24 - 62/92 (67%) patients were in clinical remission</w:t>
      </w:r>
      <w:r w:rsidR="00824D3D" w:rsidRPr="00922C73">
        <w:rPr>
          <w:rFonts w:ascii="Times New Roman" w:hAnsi="Times New Roman" w:cs="Times New Roman"/>
          <w:sz w:val="24"/>
          <w:szCs w:val="24"/>
        </w:rPr>
        <w:t xml:space="preserve">: </w:t>
      </w:r>
      <w:r w:rsidR="00CE12E9" w:rsidRPr="00922C73">
        <w:rPr>
          <w:rFonts w:ascii="Times New Roman" w:hAnsi="Times New Roman" w:cs="Times New Roman"/>
          <w:sz w:val="24"/>
          <w:szCs w:val="24"/>
        </w:rPr>
        <w:t>21 ATI positive patients, 40 ATI negative or transient patients.</w:t>
      </w:r>
      <w:r w:rsidR="00824B68" w:rsidRPr="00922C73">
        <w:rPr>
          <w:rFonts w:ascii="Times New Roman" w:hAnsi="Times New Roman" w:cs="Times New Roman"/>
          <w:sz w:val="24"/>
          <w:szCs w:val="24"/>
        </w:rPr>
        <w:t xml:space="preserve"> </w:t>
      </w:r>
      <w:r w:rsidR="00E90F12" w:rsidRPr="00922C73">
        <w:rPr>
          <w:rFonts w:ascii="Times New Roman" w:hAnsi="Times New Roman" w:cs="Times New Roman"/>
          <w:sz w:val="24"/>
          <w:szCs w:val="24"/>
        </w:rPr>
        <w:t xml:space="preserve">Of the 62 in clinical remission at week 24, </w:t>
      </w:r>
      <w:r w:rsidR="00824B68" w:rsidRPr="00922C73">
        <w:rPr>
          <w:rFonts w:ascii="Times New Roman" w:hAnsi="Times New Roman" w:cs="Times New Roman"/>
          <w:sz w:val="24"/>
          <w:szCs w:val="24"/>
        </w:rPr>
        <w:t>42/59</w:t>
      </w:r>
      <w:r w:rsidR="00961CBB" w:rsidRPr="00922C73">
        <w:rPr>
          <w:rFonts w:ascii="Times New Roman" w:hAnsi="Times New Roman" w:cs="Times New Roman"/>
          <w:sz w:val="24"/>
          <w:szCs w:val="24"/>
        </w:rPr>
        <w:t xml:space="preserve"> patients</w:t>
      </w:r>
      <w:r w:rsidR="00824B68" w:rsidRPr="00922C73">
        <w:rPr>
          <w:rFonts w:ascii="Times New Roman" w:hAnsi="Times New Roman" w:cs="Times New Roman"/>
          <w:sz w:val="24"/>
          <w:szCs w:val="24"/>
        </w:rPr>
        <w:t xml:space="preserve"> were recaptured following loss of response and 20/33 were maintained in remission. </w:t>
      </w:r>
      <w:r w:rsidR="00824D3D" w:rsidRPr="00922C73">
        <w:rPr>
          <w:rFonts w:ascii="Times New Roman" w:hAnsi="Times New Roman" w:cs="Times New Roman"/>
          <w:sz w:val="24"/>
          <w:szCs w:val="24"/>
        </w:rPr>
        <w:t>Of those not in clinical remission, 16 were ATI positive and 14 were ATI negat</w:t>
      </w:r>
      <w:r w:rsidR="00D034E0" w:rsidRPr="00922C73">
        <w:rPr>
          <w:rFonts w:ascii="Times New Roman" w:hAnsi="Times New Roman" w:cs="Times New Roman"/>
          <w:sz w:val="24"/>
          <w:szCs w:val="24"/>
        </w:rPr>
        <w:t>ive or transient.</w:t>
      </w:r>
    </w:p>
    <w:p w14:paraId="7E5D0467" w14:textId="3D92D895" w:rsidR="007A5639" w:rsidRPr="00922C73" w:rsidRDefault="00D034E0" w:rsidP="00D034E0">
      <w:pPr>
        <w:spacing w:line="240" w:lineRule="auto"/>
        <w:rPr>
          <w:rFonts w:ascii="Times New Roman" w:hAnsi="Times New Roman" w:cs="Times New Roman"/>
          <w:i/>
          <w:iCs/>
          <w:sz w:val="24"/>
          <w:szCs w:val="24"/>
        </w:rPr>
      </w:pPr>
      <w:r w:rsidRPr="00922C73">
        <w:rPr>
          <w:rFonts w:ascii="Times New Roman" w:hAnsi="Times New Roman" w:cs="Times New Roman"/>
          <w:i/>
          <w:iCs/>
          <w:sz w:val="24"/>
          <w:szCs w:val="24"/>
        </w:rPr>
        <w:t>(ATI: antibodies to infliximab)</w:t>
      </w:r>
    </w:p>
    <w:p w14:paraId="0CA43470" w14:textId="77777777" w:rsidR="007A5639" w:rsidRPr="00922C73" w:rsidRDefault="007A5639" w:rsidP="007A5639">
      <w:pPr>
        <w:spacing w:line="480" w:lineRule="auto"/>
        <w:rPr>
          <w:rFonts w:ascii="Times New Roman" w:hAnsi="Times New Roman" w:cs="Times New Roman"/>
          <w:sz w:val="24"/>
          <w:szCs w:val="24"/>
        </w:rPr>
      </w:pPr>
    </w:p>
    <w:p w14:paraId="4BDD7643" w14:textId="77777777" w:rsidR="007A5639" w:rsidRPr="00922C73" w:rsidRDefault="007A5639" w:rsidP="007A5639">
      <w:pPr>
        <w:spacing w:line="480" w:lineRule="auto"/>
        <w:rPr>
          <w:rFonts w:ascii="Times New Roman" w:hAnsi="Times New Roman" w:cs="Times New Roman"/>
          <w:sz w:val="24"/>
          <w:szCs w:val="24"/>
        </w:rPr>
      </w:pPr>
    </w:p>
    <w:p w14:paraId="13FF073A" w14:textId="77777777" w:rsidR="00FE1791" w:rsidRPr="00922C73" w:rsidRDefault="00FE1791" w:rsidP="007A5639">
      <w:pPr>
        <w:spacing w:line="480" w:lineRule="auto"/>
        <w:rPr>
          <w:rFonts w:ascii="Times New Roman" w:hAnsi="Times New Roman" w:cs="Times New Roman"/>
          <w:sz w:val="24"/>
          <w:szCs w:val="24"/>
        </w:rPr>
      </w:pPr>
    </w:p>
    <w:p w14:paraId="727B990B" w14:textId="77777777" w:rsidR="007A5639" w:rsidRPr="00922C73" w:rsidRDefault="007A5639" w:rsidP="007A5639">
      <w:pPr>
        <w:spacing w:line="480" w:lineRule="auto"/>
        <w:rPr>
          <w:rFonts w:ascii="Times New Roman" w:hAnsi="Times New Roman" w:cs="Times New Roman"/>
          <w:sz w:val="24"/>
          <w:szCs w:val="24"/>
        </w:rPr>
      </w:pPr>
    </w:p>
    <w:p w14:paraId="68E3A40E" w14:textId="77777777" w:rsidR="00BE5A74" w:rsidRPr="00922C73" w:rsidRDefault="00BE5A74" w:rsidP="004716F7">
      <w:pPr>
        <w:spacing w:line="480" w:lineRule="auto"/>
        <w:rPr>
          <w:rFonts w:ascii="Times New Roman" w:hAnsi="Times New Roman" w:cs="Times New Roman"/>
          <w:sz w:val="24"/>
          <w:szCs w:val="24"/>
        </w:rPr>
      </w:pPr>
    </w:p>
    <w:p w14:paraId="240FD6D7" w14:textId="77777777" w:rsidR="0057007C" w:rsidRPr="00922C73" w:rsidRDefault="0057007C" w:rsidP="004716F7">
      <w:pPr>
        <w:spacing w:line="480" w:lineRule="auto"/>
        <w:rPr>
          <w:rFonts w:ascii="Times New Roman" w:hAnsi="Times New Roman" w:cs="Times New Roman"/>
          <w:b/>
          <w:sz w:val="24"/>
          <w:szCs w:val="24"/>
        </w:rPr>
      </w:pPr>
    </w:p>
    <w:p w14:paraId="5452C1CE" w14:textId="77777777" w:rsidR="0057007C" w:rsidRPr="00922C73" w:rsidRDefault="0057007C" w:rsidP="003C6192">
      <w:pPr>
        <w:spacing w:line="480" w:lineRule="auto"/>
        <w:rPr>
          <w:rFonts w:ascii="Times New Roman" w:hAnsi="Times New Roman" w:cs="Times New Roman"/>
          <w:b/>
          <w:sz w:val="24"/>
          <w:szCs w:val="24"/>
        </w:rPr>
      </w:pPr>
    </w:p>
    <w:p w14:paraId="28F09C46" w14:textId="2ADE0229" w:rsidR="00143608" w:rsidRPr="00922C73" w:rsidRDefault="009E5064" w:rsidP="003C6192">
      <w:pPr>
        <w:pStyle w:val="Heading3"/>
        <w:spacing w:line="480" w:lineRule="auto"/>
        <w:rPr>
          <w:rFonts w:ascii="Times New Roman" w:hAnsi="Times New Roman" w:cs="Times New Roman"/>
          <w:b/>
          <w:bCs/>
        </w:rPr>
      </w:pPr>
      <w:bookmarkStart w:id="162" w:name="_Toc151020503"/>
      <w:r w:rsidRPr="00922C73">
        <w:rPr>
          <w:rFonts w:ascii="Times New Roman" w:hAnsi="Times New Roman" w:cs="Times New Roman"/>
          <w:b/>
          <w:bCs/>
        </w:rPr>
        <w:lastRenderedPageBreak/>
        <w:t>3</w:t>
      </w:r>
      <w:r w:rsidR="00BE5A74" w:rsidRPr="00922C73">
        <w:rPr>
          <w:rFonts w:ascii="Times New Roman" w:hAnsi="Times New Roman" w:cs="Times New Roman"/>
          <w:b/>
          <w:bCs/>
        </w:rPr>
        <w:t xml:space="preserve">.3.5 </w:t>
      </w:r>
      <w:r w:rsidR="00143608" w:rsidRPr="00922C73">
        <w:rPr>
          <w:rFonts w:ascii="Times New Roman" w:hAnsi="Times New Roman" w:cs="Times New Roman"/>
          <w:b/>
          <w:bCs/>
        </w:rPr>
        <w:t>Comparison of the different methods of dose escalation</w:t>
      </w:r>
      <w:bookmarkEnd w:id="162"/>
    </w:p>
    <w:p w14:paraId="31A7FB54" w14:textId="2E5E5C4E" w:rsidR="00143608" w:rsidRPr="00922C73" w:rsidRDefault="00143608" w:rsidP="003C6192">
      <w:pPr>
        <w:spacing w:line="480" w:lineRule="auto"/>
        <w:rPr>
          <w:rFonts w:ascii="Times New Roman" w:hAnsi="Times New Roman" w:cs="Times New Roman"/>
          <w:b/>
          <w:sz w:val="24"/>
          <w:szCs w:val="24"/>
        </w:rPr>
      </w:pPr>
      <w:r w:rsidRPr="00922C73">
        <w:rPr>
          <w:rFonts w:ascii="Times New Roman" w:hAnsi="Times New Roman" w:cs="Times New Roman"/>
          <w:sz w:val="24"/>
          <w:szCs w:val="24"/>
        </w:rPr>
        <w:t>The different methods of DE were assessed for their effect on infliximab trough levels and clinical response</w:t>
      </w:r>
      <w:r w:rsidR="009408DD" w:rsidRPr="00922C73">
        <w:rPr>
          <w:rFonts w:ascii="Times New Roman" w:hAnsi="Times New Roman" w:cs="Times New Roman"/>
          <w:sz w:val="24"/>
          <w:szCs w:val="24"/>
        </w:rPr>
        <w:t xml:space="preserve">. </w:t>
      </w:r>
      <w:r w:rsidRPr="00922C73">
        <w:rPr>
          <w:rFonts w:ascii="Times New Roman" w:hAnsi="Times New Roman" w:cs="Times New Roman"/>
          <w:sz w:val="24"/>
          <w:szCs w:val="24"/>
        </w:rPr>
        <w:t>There was a significant difference in infliximab trough levels at week 24</w:t>
      </w:r>
      <w:r w:rsidR="005C786A" w:rsidRPr="00922C73">
        <w:rPr>
          <w:rFonts w:ascii="Times New Roman" w:hAnsi="Times New Roman" w:cs="Times New Roman"/>
          <w:sz w:val="24"/>
          <w:szCs w:val="24"/>
        </w:rPr>
        <w:t>,</w:t>
      </w:r>
      <w:r w:rsidRPr="00922C73">
        <w:rPr>
          <w:rFonts w:ascii="Times New Roman" w:hAnsi="Times New Roman" w:cs="Times New Roman"/>
          <w:sz w:val="24"/>
          <w:szCs w:val="24"/>
        </w:rPr>
        <w:t xml:space="preserve"> those who received dose doubling to 10 mg/kg (median drug level of 2.5 mg/L, range 0.8-7.5) </w:t>
      </w:r>
      <w:r w:rsidR="005C786A" w:rsidRPr="00922C73">
        <w:rPr>
          <w:rFonts w:ascii="Times New Roman" w:hAnsi="Times New Roman" w:cs="Times New Roman"/>
          <w:sz w:val="24"/>
          <w:szCs w:val="24"/>
        </w:rPr>
        <w:t xml:space="preserve">had lower drug levels compared </w:t>
      </w:r>
      <w:r w:rsidR="005E48C7" w:rsidRPr="00922C73">
        <w:rPr>
          <w:rFonts w:ascii="Times New Roman" w:hAnsi="Times New Roman" w:cs="Times New Roman"/>
          <w:sz w:val="24"/>
          <w:szCs w:val="24"/>
        </w:rPr>
        <w:t xml:space="preserve">to those who received </w:t>
      </w:r>
      <w:r w:rsidRPr="00922C73">
        <w:rPr>
          <w:rFonts w:ascii="Times New Roman" w:hAnsi="Times New Roman" w:cs="Times New Roman"/>
          <w:sz w:val="24"/>
          <w:szCs w:val="24"/>
        </w:rPr>
        <w:t xml:space="preserve">combined dose escalation (median drug level of 5 mg/L, </w:t>
      </w:r>
      <w:bookmarkStart w:id="163" w:name="_Hlk24460631"/>
      <w:r w:rsidRPr="00922C73">
        <w:rPr>
          <w:rFonts w:ascii="Times New Roman" w:hAnsi="Times New Roman" w:cs="Times New Roman"/>
          <w:sz w:val="24"/>
          <w:szCs w:val="24"/>
        </w:rPr>
        <w:t>range 2.7-16.7</w:t>
      </w:r>
      <w:bookmarkEnd w:id="163"/>
      <w:r w:rsidRPr="00922C73">
        <w:rPr>
          <w:rFonts w:ascii="Times New Roman" w:hAnsi="Times New Roman" w:cs="Times New Roman"/>
          <w:sz w:val="24"/>
          <w:szCs w:val="24"/>
        </w:rPr>
        <w:t xml:space="preserve">). This same difference was mirrored in the ATI negative cohort but not in the ATI positive cohort (Table </w:t>
      </w:r>
      <w:r w:rsidR="0093332B" w:rsidRPr="00922C73">
        <w:rPr>
          <w:rFonts w:ascii="Times New Roman" w:hAnsi="Times New Roman" w:cs="Times New Roman"/>
          <w:sz w:val="24"/>
          <w:szCs w:val="24"/>
        </w:rPr>
        <w:t>6</w:t>
      </w:r>
      <w:r w:rsidRPr="00922C73">
        <w:rPr>
          <w:rFonts w:ascii="Times New Roman" w:hAnsi="Times New Roman" w:cs="Times New Roman"/>
          <w:sz w:val="24"/>
          <w:szCs w:val="24"/>
        </w:rPr>
        <w:t xml:space="preserve">). </w:t>
      </w:r>
      <w:r w:rsidRPr="00922C73">
        <w:rPr>
          <w:rFonts w:ascii="Times New Roman" w:hAnsi="Times New Roman" w:cs="Times New Roman"/>
          <w:bCs/>
          <w:sz w:val="24"/>
          <w:szCs w:val="24"/>
        </w:rPr>
        <w:t>T</w:t>
      </w:r>
      <w:r w:rsidRPr="00922C73">
        <w:rPr>
          <w:rFonts w:ascii="Times New Roman" w:hAnsi="Times New Roman" w:cs="Times New Roman"/>
          <w:sz w:val="24"/>
          <w:szCs w:val="24"/>
        </w:rPr>
        <w:t xml:space="preserve">here was a significant difference in duration of clinical remission between those receiving variable dose escalation and combined dose escalation with a decrease in time to loss of remission in the latter method (Figure </w:t>
      </w:r>
      <w:r w:rsidR="00543623" w:rsidRPr="00922C73">
        <w:rPr>
          <w:rFonts w:ascii="Times New Roman" w:hAnsi="Times New Roman" w:cs="Times New Roman"/>
          <w:sz w:val="24"/>
          <w:szCs w:val="24"/>
        </w:rPr>
        <w:t>21</w:t>
      </w:r>
      <w:r w:rsidRPr="00922C73">
        <w:rPr>
          <w:rFonts w:ascii="Times New Roman" w:hAnsi="Times New Roman" w:cs="Times New Roman"/>
          <w:sz w:val="24"/>
          <w:szCs w:val="24"/>
        </w:rPr>
        <w:t xml:space="preserve">). </w:t>
      </w:r>
      <w:r w:rsidR="00543623" w:rsidRPr="00922C73">
        <w:rPr>
          <w:rFonts w:ascii="Times New Roman" w:hAnsi="Times New Roman" w:cs="Times New Roman"/>
          <w:sz w:val="24"/>
          <w:szCs w:val="24"/>
        </w:rPr>
        <w:t xml:space="preserve">These results assessing the different methods of DE are significantly limited by the small number of patients in each group. </w:t>
      </w:r>
    </w:p>
    <w:p w14:paraId="14618D73" w14:textId="52C14A24" w:rsidR="00143608" w:rsidRPr="00922C73" w:rsidRDefault="00143608" w:rsidP="004716F7">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 </w:t>
      </w:r>
    </w:p>
    <w:p w14:paraId="5C4638D1" w14:textId="0CFE9FCB" w:rsidR="00BE5A74" w:rsidRPr="00922C73" w:rsidRDefault="00BE5A74" w:rsidP="004716F7">
      <w:pPr>
        <w:spacing w:line="480" w:lineRule="auto"/>
        <w:rPr>
          <w:rFonts w:ascii="Times New Roman" w:hAnsi="Times New Roman" w:cs="Times New Roman"/>
          <w:sz w:val="24"/>
          <w:szCs w:val="24"/>
        </w:rPr>
      </w:pPr>
    </w:p>
    <w:p w14:paraId="1F44D782" w14:textId="2F0C68E0" w:rsidR="00BE5A74" w:rsidRPr="00922C73" w:rsidRDefault="00BE5A74" w:rsidP="004716F7">
      <w:pPr>
        <w:spacing w:line="480" w:lineRule="auto"/>
        <w:rPr>
          <w:rFonts w:ascii="Times New Roman" w:hAnsi="Times New Roman" w:cs="Times New Roman"/>
          <w:sz w:val="24"/>
          <w:szCs w:val="24"/>
        </w:rPr>
      </w:pPr>
    </w:p>
    <w:p w14:paraId="0A201A44" w14:textId="0C9C61B9" w:rsidR="00BE5A74" w:rsidRPr="00922C73" w:rsidRDefault="00BE5A74" w:rsidP="004716F7">
      <w:pPr>
        <w:spacing w:line="480" w:lineRule="auto"/>
        <w:rPr>
          <w:rFonts w:ascii="Times New Roman" w:hAnsi="Times New Roman" w:cs="Times New Roman"/>
          <w:sz w:val="24"/>
          <w:szCs w:val="24"/>
        </w:rPr>
      </w:pPr>
    </w:p>
    <w:p w14:paraId="665DA077" w14:textId="30E1E028" w:rsidR="00BE5A74" w:rsidRPr="00922C73" w:rsidRDefault="00BE5A74" w:rsidP="004716F7">
      <w:pPr>
        <w:spacing w:line="480" w:lineRule="auto"/>
        <w:rPr>
          <w:rFonts w:ascii="Times New Roman" w:hAnsi="Times New Roman" w:cs="Times New Roman"/>
          <w:sz w:val="24"/>
          <w:szCs w:val="24"/>
        </w:rPr>
      </w:pPr>
    </w:p>
    <w:p w14:paraId="646119B9" w14:textId="7C24BB13" w:rsidR="00BE5A74" w:rsidRPr="00922C73" w:rsidRDefault="00BE5A74" w:rsidP="004716F7">
      <w:pPr>
        <w:spacing w:line="480" w:lineRule="auto"/>
        <w:rPr>
          <w:rFonts w:ascii="Times New Roman" w:hAnsi="Times New Roman" w:cs="Times New Roman"/>
          <w:sz w:val="24"/>
          <w:szCs w:val="24"/>
        </w:rPr>
      </w:pPr>
    </w:p>
    <w:p w14:paraId="2829C52F" w14:textId="657E6A86" w:rsidR="00BE5A74" w:rsidRPr="00922C73" w:rsidRDefault="00BE5A74" w:rsidP="004716F7">
      <w:pPr>
        <w:spacing w:line="480" w:lineRule="auto"/>
        <w:rPr>
          <w:rFonts w:ascii="Times New Roman" w:hAnsi="Times New Roman" w:cs="Times New Roman"/>
          <w:sz w:val="24"/>
          <w:szCs w:val="24"/>
        </w:rPr>
      </w:pPr>
    </w:p>
    <w:p w14:paraId="3DC97756" w14:textId="74F40437" w:rsidR="00BE5A74" w:rsidRPr="00922C73" w:rsidRDefault="00BE5A74" w:rsidP="004716F7">
      <w:pPr>
        <w:spacing w:line="480" w:lineRule="auto"/>
        <w:rPr>
          <w:rFonts w:ascii="Times New Roman" w:hAnsi="Times New Roman" w:cs="Times New Roman"/>
          <w:sz w:val="24"/>
          <w:szCs w:val="24"/>
        </w:rPr>
      </w:pPr>
    </w:p>
    <w:p w14:paraId="5052BA59" w14:textId="10C3D8A7" w:rsidR="00BE5A74" w:rsidRPr="00922C73" w:rsidRDefault="00BE5A74" w:rsidP="004716F7">
      <w:pPr>
        <w:spacing w:line="480" w:lineRule="auto"/>
        <w:rPr>
          <w:rFonts w:ascii="Times New Roman" w:hAnsi="Times New Roman" w:cs="Times New Roman"/>
          <w:sz w:val="24"/>
          <w:szCs w:val="24"/>
        </w:rPr>
      </w:pPr>
    </w:p>
    <w:p w14:paraId="6375E2C8" w14:textId="3C8A00BA" w:rsidR="00BE5A74" w:rsidRPr="00922C73" w:rsidRDefault="00BE5A74" w:rsidP="004716F7">
      <w:pPr>
        <w:spacing w:line="480" w:lineRule="auto"/>
        <w:rPr>
          <w:rFonts w:ascii="Times New Roman" w:hAnsi="Times New Roman" w:cs="Times New Roman"/>
          <w:sz w:val="24"/>
          <w:szCs w:val="24"/>
        </w:rPr>
      </w:pPr>
    </w:p>
    <w:p w14:paraId="154AB2E5" w14:textId="29E67B5B" w:rsidR="00BE5A74" w:rsidRPr="00922C73" w:rsidRDefault="00BE5A74" w:rsidP="004716F7">
      <w:pPr>
        <w:spacing w:line="480" w:lineRule="auto"/>
        <w:rPr>
          <w:rFonts w:ascii="Times New Roman" w:hAnsi="Times New Roman" w:cs="Times New Roman"/>
          <w:sz w:val="24"/>
          <w:szCs w:val="24"/>
        </w:rPr>
      </w:pPr>
    </w:p>
    <w:tbl>
      <w:tblPr>
        <w:tblStyle w:val="GridTable1Light-Accent11"/>
        <w:tblW w:w="8363" w:type="dxa"/>
        <w:tblLook w:val="04A0" w:firstRow="1" w:lastRow="0" w:firstColumn="1" w:lastColumn="0" w:noHBand="0" w:noVBand="1"/>
      </w:tblPr>
      <w:tblGrid>
        <w:gridCol w:w="2126"/>
        <w:gridCol w:w="2127"/>
        <w:gridCol w:w="2126"/>
        <w:gridCol w:w="1984"/>
      </w:tblGrid>
      <w:tr w:rsidR="00922C73" w:rsidRPr="00922C73" w14:paraId="4D67FDEF" w14:textId="77777777" w:rsidTr="005E0804">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2126" w:type="dxa"/>
            <w:vMerge w:val="restart"/>
          </w:tcPr>
          <w:p w14:paraId="4EC4AC30" w14:textId="77777777" w:rsidR="00BE5A74" w:rsidRPr="00922C73" w:rsidRDefault="00BE5A74" w:rsidP="00BE5A74">
            <w:pPr>
              <w:spacing w:line="480" w:lineRule="auto"/>
              <w:jc w:val="center"/>
              <w:rPr>
                <w:rFonts w:ascii="Times New Roman" w:hAnsi="Times New Roman" w:cs="Times New Roman"/>
                <w:sz w:val="20"/>
                <w:szCs w:val="20"/>
              </w:rPr>
            </w:pPr>
            <w:r w:rsidRPr="00922C73">
              <w:rPr>
                <w:rFonts w:ascii="Times New Roman" w:hAnsi="Times New Roman" w:cs="Times New Roman"/>
                <w:sz w:val="20"/>
                <w:szCs w:val="20"/>
              </w:rPr>
              <w:lastRenderedPageBreak/>
              <w:t xml:space="preserve">Type of infliximab dose escalation </w:t>
            </w:r>
          </w:p>
        </w:tc>
        <w:tc>
          <w:tcPr>
            <w:tcW w:w="6237" w:type="dxa"/>
            <w:gridSpan w:val="3"/>
          </w:tcPr>
          <w:p w14:paraId="6A0E9B48" w14:textId="77777777" w:rsidR="00BE5A74" w:rsidRPr="00922C73" w:rsidRDefault="00BE5A74" w:rsidP="00BE5A74">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 xml:space="preserve">Median infliximab trough levels </w:t>
            </w:r>
          </w:p>
        </w:tc>
      </w:tr>
      <w:tr w:rsidR="00922C73" w:rsidRPr="00922C73" w14:paraId="0FAF576C" w14:textId="77777777" w:rsidTr="0093332B">
        <w:trPr>
          <w:trHeight w:val="1168"/>
        </w:trPr>
        <w:tc>
          <w:tcPr>
            <w:cnfStyle w:val="001000000000" w:firstRow="0" w:lastRow="0" w:firstColumn="1" w:lastColumn="0" w:oddVBand="0" w:evenVBand="0" w:oddHBand="0" w:evenHBand="0" w:firstRowFirstColumn="0" w:firstRowLastColumn="0" w:lastRowFirstColumn="0" w:lastRowLastColumn="0"/>
            <w:tcW w:w="2126" w:type="dxa"/>
            <w:vMerge/>
          </w:tcPr>
          <w:p w14:paraId="29859F6E" w14:textId="77777777" w:rsidR="00BE5A74" w:rsidRPr="00922C73" w:rsidRDefault="00BE5A74" w:rsidP="00BE5A74">
            <w:pPr>
              <w:spacing w:line="480" w:lineRule="auto"/>
              <w:jc w:val="center"/>
              <w:rPr>
                <w:rFonts w:ascii="Times New Roman" w:hAnsi="Times New Roman" w:cs="Times New Roman"/>
                <w:b w:val="0"/>
                <w:bCs w:val="0"/>
                <w:sz w:val="20"/>
                <w:szCs w:val="20"/>
              </w:rPr>
            </w:pPr>
          </w:p>
        </w:tc>
        <w:tc>
          <w:tcPr>
            <w:tcW w:w="2127" w:type="dxa"/>
          </w:tcPr>
          <w:p w14:paraId="0641FE21" w14:textId="77777777" w:rsidR="00BE5A74" w:rsidRPr="00922C73" w:rsidRDefault="00BE5A74" w:rsidP="00BE5A74">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922C73">
              <w:rPr>
                <w:rFonts w:ascii="Times New Roman" w:hAnsi="Times New Roman" w:cs="Times New Roman"/>
                <w:b/>
                <w:bCs/>
                <w:sz w:val="20"/>
                <w:szCs w:val="20"/>
              </w:rPr>
              <w:t>Entire cohort (n=92)</w:t>
            </w:r>
          </w:p>
        </w:tc>
        <w:tc>
          <w:tcPr>
            <w:tcW w:w="2126" w:type="dxa"/>
          </w:tcPr>
          <w:p w14:paraId="2CBEF030" w14:textId="77777777" w:rsidR="00BE5A74" w:rsidRPr="00922C73" w:rsidRDefault="00BE5A74" w:rsidP="00BE5A74">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922C73">
              <w:rPr>
                <w:rFonts w:ascii="Times New Roman" w:hAnsi="Times New Roman" w:cs="Times New Roman"/>
                <w:b/>
                <w:bCs/>
                <w:sz w:val="20"/>
                <w:szCs w:val="20"/>
              </w:rPr>
              <w:t>ATI &gt;10 AU/mL (n=38)</w:t>
            </w:r>
          </w:p>
        </w:tc>
        <w:tc>
          <w:tcPr>
            <w:tcW w:w="1984" w:type="dxa"/>
          </w:tcPr>
          <w:p w14:paraId="34111DC1" w14:textId="77777777" w:rsidR="00BE5A74" w:rsidRPr="00922C73" w:rsidRDefault="00BE5A74" w:rsidP="00BE5A74">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922C73">
              <w:rPr>
                <w:rFonts w:ascii="Times New Roman" w:hAnsi="Times New Roman" w:cs="Times New Roman"/>
                <w:b/>
                <w:bCs/>
                <w:sz w:val="20"/>
                <w:szCs w:val="20"/>
              </w:rPr>
              <w:t>ATI ≤10 AU/mL or transient ATI (n=54)</w:t>
            </w:r>
          </w:p>
        </w:tc>
      </w:tr>
      <w:tr w:rsidR="00922C73" w:rsidRPr="00922C73" w14:paraId="6A8C912A" w14:textId="77777777" w:rsidTr="005E0804">
        <w:trPr>
          <w:trHeight w:val="511"/>
        </w:trPr>
        <w:tc>
          <w:tcPr>
            <w:cnfStyle w:val="001000000000" w:firstRow="0" w:lastRow="0" w:firstColumn="1" w:lastColumn="0" w:oddVBand="0" w:evenVBand="0" w:oddHBand="0" w:evenHBand="0" w:firstRowFirstColumn="0" w:firstRowLastColumn="0" w:lastRowFirstColumn="0" w:lastRowLastColumn="0"/>
            <w:tcW w:w="2126" w:type="dxa"/>
          </w:tcPr>
          <w:p w14:paraId="54B989B3"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0</w:t>
            </w:r>
          </w:p>
          <w:p w14:paraId="6CE46C18"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1213CD48"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1CB700AD"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kern w:val="24"/>
                <w:sz w:val="20"/>
                <w:szCs w:val="20"/>
              </w:rPr>
              <w:t>Variable DE</w:t>
            </w:r>
            <w:r w:rsidRPr="00922C73">
              <w:rPr>
                <w:rFonts w:ascii="Times New Roman" w:hAnsi="Times New Roman" w:cs="Times New Roman"/>
                <w:sz w:val="20"/>
                <w:szCs w:val="20"/>
              </w:rPr>
              <w:t xml:space="preserve"> </w:t>
            </w:r>
          </w:p>
          <w:p w14:paraId="33A1A532"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5B4B396B"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 xml:space="preserve">P value </w:t>
            </w:r>
          </w:p>
        </w:tc>
        <w:tc>
          <w:tcPr>
            <w:tcW w:w="2127" w:type="dxa"/>
          </w:tcPr>
          <w:p w14:paraId="6FE697E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C5F926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1.3</w:t>
            </w:r>
          </w:p>
          <w:p w14:paraId="7980468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0.9</w:t>
            </w:r>
          </w:p>
          <w:p w14:paraId="268C343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1.7</w:t>
            </w:r>
          </w:p>
          <w:p w14:paraId="379B8AF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0.8</w:t>
            </w:r>
          </w:p>
          <w:p w14:paraId="398D2994" w14:textId="74930A50"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0.05</w:t>
            </w:r>
          </w:p>
        </w:tc>
        <w:tc>
          <w:tcPr>
            <w:tcW w:w="2126" w:type="dxa"/>
          </w:tcPr>
          <w:p w14:paraId="7780F7D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9B0F49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1.3</w:t>
            </w:r>
          </w:p>
          <w:p w14:paraId="04A3CD2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0.8</w:t>
            </w:r>
          </w:p>
          <w:p w14:paraId="1B02F10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0.8</w:t>
            </w:r>
          </w:p>
          <w:p w14:paraId="5AE6079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0.8</w:t>
            </w:r>
          </w:p>
          <w:p w14:paraId="45BE087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0.33</w:t>
            </w:r>
          </w:p>
        </w:tc>
        <w:tc>
          <w:tcPr>
            <w:tcW w:w="1984" w:type="dxa"/>
          </w:tcPr>
          <w:p w14:paraId="2657AA8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0C36BD9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1.3</w:t>
            </w:r>
          </w:p>
          <w:p w14:paraId="2B13FF9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1.2</w:t>
            </w:r>
          </w:p>
          <w:p w14:paraId="3940B3A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1.8</w:t>
            </w:r>
          </w:p>
          <w:p w14:paraId="02399E5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0.8</w:t>
            </w:r>
          </w:p>
          <w:p w14:paraId="777BFC5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0.16</w:t>
            </w:r>
          </w:p>
        </w:tc>
      </w:tr>
      <w:tr w:rsidR="00922C73" w:rsidRPr="00922C73" w14:paraId="675A999D" w14:textId="77777777" w:rsidTr="005E0804">
        <w:trPr>
          <w:trHeight w:val="497"/>
        </w:trPr>
        <w:tc>
          <w:tcPr>
            <w:cnfStyle w:val="001000000000" w:firstRow="0" w:lastRow="0" w:firstColumn="1" w:lastColumn="0" w:oddVBand="0" w:evenVBand="0" w:oddHBand="0" w:evenHBand="0" w:firstRowFirstColumn="0" w:firstRowLastColumn="0" w:lastRowFirstColumn="0" w:lastRowLastColumn="0"/>
            <w:tcW w:w="2126" w:type="dxa"/>
          </w:tcPr>
          <w:p w14:paraId="2DA9D6E5"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4-8</w:t>
            </w:r>
          </w:p>
          <w:p w14:paraId="67A5D27A"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5F887081"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1050EB12"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0B56BBBA"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196C8C2A"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P value</w:t>
            </w:r>
          </w:p>
        </w:tc>
        <w:tc>
          <w:tcPr>
            <w:tcW w:w="2127" w:type="dxa"/>
          </w:tcPr>
          <w:p w14:paraId="7449E69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521F5B89"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3.7</w:t>
            </w:r>
          </w:p>
          <w:p w14:paraId="1807713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2.1</w:t>
            </w:r>
          </w:p>
          <w:p w14:paraId="708EE14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3466727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2.3</w:t>
            </w:r>
          </w:p>
          <w:p w14:paraId="5942D05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0.28</w:t>
            </w:r>
          </w:p>
        </w:tc>
        <w:tc>
          <w:tcPr>
            <w:tcW w:w="2126" w:type="dxa"/>
          </w:tcPr>
          <w:p w14:paraId="733F9CE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6A72469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2.6</w:t>
            </w:r>
          </w:p>
          <w:p w14:paraId="3D0A18F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3.1</w:t>
            </w:r>
          </w:p>
          <w:p w14:paraId="476DACD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1.7</w:t>
            </w:r>
          </w:p>
          <w:p w14:paraId="558C11B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2.0</w:t>
            </w:r>
          </w:p>
          <w:p w14:paraId="7990650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0.77</w:t>
            </w:r>
          </w:p>
        </w:tc>
        <w:tc>
          <w:tcPr>
            <w:tcW w:w="1984" w:type="dxa"/>
          </w:tcPr>
          <w:p w14:paraId="337FDB2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4B07A13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3.8</w:t>
            </w:r>
          </w:p>
          <w:p w14:paraId="7EC0955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w:t>
            </w:r>
          </w:p>
          <w:p w14:paraId="3D2E2D0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2F83551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3.5</w:t>
            </w:r>
          </w:p>
          <w:p w14:paraId="5C6344F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0.17</w:t>
            </w:r>
          </w:p>
        </w:tc>
      </w:tr>
      <w:tr w:rsidR="00922C73" w:rsidRPr="00922C73" w14:paraId="131886B7" w14:textId="77777777" w:rsidTr="005E0804">
        <w:trPr>
          <w:trHeight w:val="597"/>
        </w:trPr>
        <w:tc>
          <w:tcPr>
            <w:cnfStyle w:val="001000000000" w:firstRow="0" w:lastRow="0" w:firstColumn="1" w:lastColumn="0" w:oddVBand="0" w:evenVBand="0" w:oddHBand="0" w:evenHBand="0" w:firstRowFirstColumn="0" w:firstRowLastColumn="0" w:lastRowFirstColumn="0" w:lastRowLastColumn="0"/>
            <w:tcW w:w="2126" w:type="dxa"/>
          </w:tcPr>
          <w:p w14:paraId="19C417F8"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16</w:t>
            </w:r>
          </w:p>
          <w:p w14:paraId="12D84935"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0E7D2E01"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735A953B"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751BF377"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4C57FFF6"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P value</w:t>
            </w:r>
          </w:p>
        </w:tc>
        <w:tc>
          <w:tcPr>
            <w:tcW w:w="2127" w:type="dxa"/>
          </w:tcPr>
          <w:p w14:paraId="6703513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054F847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5.3</w:t>
            </w:r>
          </w:p>
          <w:p w14:paraId="5698DE9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2.1</w:t>
            </w:r>
          </w:p>
          <w:p w14:paraId="41A0CE4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4.5</w:t>
            </w:r>
          </w:p>
          <w:p w14:paraId="511752B0"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4.6</w:t>
            </w:r>
          </w:p>
          <w:p w14:paraId="06CC074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0.11</w:t>
            </w:r>
          </w:p>
        </w:tc>
        <w:tc>
          <w:tcPr>
            <w:tcW w:w="2126" w:type="dxa"/>
          </w:tcPr>
          <w:p w14:paraId="5C40D4E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E33DFF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2.3</w:t>
            </w:r>
          </w:p>
          <w:p w14:paraId="6724800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7E4FFF8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5E09E0D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 xml:space="preserve">No values </w:t>
            </w:r>
          </w:p>
          <w:p w14:paraId="3C035E0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0.92</w:t>
            </w:r>
          </w:p>
        </w:tc>
        <w:tc>
          <w:tcPr>
            <w:tcW w:w="1984" w:type="dxa"/>
          </w:tcPr>
          <w:p w14:paraId="683A84F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80CA6F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7.2</w:t>
            </w:r>
          </w:p>
          <w:p w14:paraId="086E2F6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1.9</w:t>
            </w:r>
          </w:p>
          <w:p w14:paraId="061CEB1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6.1</w:t>
            </w:r>
          </w:p>
          <w:p w14:paraId="1E74A4E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4.6</w:t>
            </w:r>
          </w:p>
          <w:p w14:paraId="7BE81FC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0.05</w:t>
            </w:r>
          </w:p>
        </w:tc>
      </w:tr>
      <w:tr w:rsidR="00922C73" w:rsidRPr="00922C73" w14:paraId="331C8F31" w14:textId="77777777" w:rsidTr="005E0804">
        <w:trPr>
          <w:trHeight w:val="1124"/>
        </w:trPr>
        <w:tc>
          <w:tcPr>
            <w:cnfStyle w:val="001000000000" w:firstRow="0" w:lastRow="0" w:firstColumn="1" w:lastColumn="0" w:oddVBand="0" w:evenVBand="0" w:oddHBand="0" w:evenHBand="0" w:firstRowFirstColumn="0" w:firstRowLastColumn="0" w:lastRowFirstColumn="0" w:lastRowLastColumn="0"/>
            <w:tcW w:w="2126" w:type="dxa"/>
          </w:tcPr>
          <w:p w14:paraId="2EF4D78C"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24</w:t>
            </w:r>
          </w:p>
          <w:p w14:paraId="01FDF120"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0618153F"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64F3C357"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7699CCF0"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05581D22"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P value</w:t>
            </w:r>
          </w:p>
        </w:tc>
        <w:tc>
          <w:tcPr>
            <w:tcW w:w="2127" w:type="dxa"/>
          </w:tcPr>
          <w:p w14:paraId="2062644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9AD400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3.2</w:t>
            </w:r>
          </w:p>
          <w:p w14:paraId="067EE0C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2.5*</w:t>
            </w:r>
          </w:p>
          <w:p w14:paraId="4C830D9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2.8</w:t>
            </w:r>
          </w:p>
          <w:p w14:paraId="5AAD09A9"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w:t>
            </w:r>
          </w:p>
          <w:p w14:paraId="3B586DE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0.02*</w:t>
            </w:r>
          </w:p>
        </w:tc>
        <w:tc>
          <w:tcPr>
            <w:tcW w:w="2126" w:type="dxa"/>
          </w:tcPr>
          <w:p w14:paraId="4A7C80F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56C8C5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3.1</w:t>
            </w:r>
          </w:p>
          <w:p w14:paraId="50502B0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2.5</w:t>
            </w:r>
          </w:p>
          <w:p w14:paraId="2E8EEA4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5.3</w:t>
            </w:r>
          </w:p>
          <w:p w14:paraId="3BBE9DF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4.6</w:t>
            </w:r>
          </w:p>
          <w:p w14:paraId="1ABF672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0.70</w:t>
            </w:r>
          </w:p>
        </w:tc>
        <w:tc>
          <w:tcPr>
            <w:tcW w:w="1984" w:type="dxa"/>
          </w:tcPr>
          <w:p w14:paraId="3BE4E2C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56DD2BE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3.2</w:t>
            </w:r>
          </w:p>
          <w:p w14:paraId="7DE9686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2.4*</w:t>
            </w:r>
          </w:p>
          <w:p w14:paraId="7E56EF1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681F1DB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w:t>
            </w:r>
          </w:p>
          <w:p w14:paraId="0CC31580"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0.02*</w:t>
            </w:r>
          </w:p>
        </w:tc>
      </w:tr>
      <w:tr w:rsidR="00922C73" w:rsidRPr="00922C73" w14:paraId="255AA5F6" w14:textId="77777777" w:rsidTr="005E0804">
        <w:trPr>
          <w:trHeight w:val="511"/>
        </w:trPr>
        <w:tc>
          <w:tcPr>
            <w:cnfStyle w:val="001000000000" w:firstRow="0" w:lastRow="0" w:firstColumn="1" w:lastColumn="0" w:oddVBand="0" w:evenVBand="0" w:oddHBand="0" w:evenHBand="0" w:firstRowFirstColumn="0" w:firstRowLastColumn="0" w:lastRowFirstColumn="0" w:lastRowLastColumn="0"/>
            <w:tcW w:w="2126" w:type="dxa"/>
          </w:tcPr>
          <w:p w14:paraId="69AE0D69"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32</w:t>
            </w:r>
          </w:p>
          <w:p w14:paraId="55456157"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lastRenderedPageBreak/>
              <w:t>Interval shortening</w:t>
            </w:r>
          </w:p>
          <w:p w14:paraId="61B42B88"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57F6F3F2"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37F96833"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761F4BD5"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P value</w:t>
            </w:r>
          </w:p>
        </w:tc>
        <w:tc>
          <w:tcPr>
            <w:tcW w:w="2127" w:type="dxa"/>
          </w:tcPr>
          <w:p w14:paraId="29AD2C6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38C64C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lastRenderedPageBreak/>
              <w:t>2.3</w:t>
            </w:r>
          </w:p>
          <w:p w14:paraId="6C02CA1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2.7</w:t>
            </w:r>
          </w:p>
          <w:p w14:paraId="4210676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w:t>
            </w:r>
          </w:p>
          <w:p w14:paraId="0A5C4639"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6.8</w:t>
            </w:r>
          </w:p>
          <w:p w14:paraId="10FE9DB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0.26</w:t>
            </w:r>
          </w:p>
        </w:tc>
        <w:tc>
          <w:tcPr>
            <w:tcW w:w="2126" w:type="dxa"/>
          </w:tcPr>
          <w:p w14:paraId="12F591B6"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1E39BE0"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lastRenderedPageBreak/>
              <w:t>2.4</w:t>
            </w:r>
          </w:p>
          <w:p w14:paraId="43DFD96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w:t>
            </w:r>
          </w:p>
          <w:p w14:paraId="7DA36BE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3.5</w:t>
            </w:r>
          </w:p>
          <w:p w14:paraId="01704F7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8.8</w:t>
            </w:r>
          </w:p>
          <w:p w14:paraId="4CA4951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0.40</w:t>
            </w:r>
          </w:p>
        </w:tc>
        <w:tc>
          <w:tcPr>
            <w:tcW w:w="1984" w:type="dxa"/>
          </w:tcPr>
          <w:p w14:paraId="60F7800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1F82D9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lastRenderedPageBreak/>
              <w:t>2.2</w:t>
            </w:r>
          </w:p>
          <w:p w14:paraId="78FAD76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2.2</w:t>
            </w:r>
          </w:p>
          <w:p w14:paraId="4A26251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w:t>
            </w:r>
          </w:p>
          <w:p w14:paraId="3469D6AC"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4.7</w:t>
            </w:r>
          </w:p>
          <w:p w14:paraId="5B5D4CD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0.22</w:t>
            </w:r>
          </w:p>
        </w:tc>
      </w:tr>
      <w:tr w:rsidR="00922C73" w:rsidRPr="00922C73" w14:paraId="0EC0D6AA" w14:textId="77777777" w:rsidTr="005E0804">
        <w:trPr>
          <w:trHeight w:val="497"/>
        </w:trPr>
        <w:tc>
          <w:tcPr>
            <w:cnfStyle w:val="001000000000" w:firstRow="0" w:lastRow="0" w:firstColumn="1" w:lastColumn="0" w:oddVBand="0" w:evenVBand="0" w:oddHBand="0" w:evenHBand="0" w:firstRowFirstColumn="0" w:firstRowLastColumn="0" w:lastRowFirstColumn="0" w:lastRowLastColumn="0"/>
            <w:tcW w:w="2126" w:type="dxa"/>
          </w:tcPr>
          <w:p w14:paraId="219D8285"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lastRenderedPageBreak/>
              <w:t>Week 40</w:t>
            </w:r>
          </w:p>
          <w:p w14:paraId="32A4EBFA"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7BFDB07B"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4E6856A5"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13D0CA71"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4BF30400"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P value</w:t>
            </w:r>
          </w:p>
        </w:tc>
        <w:tc>
          <w:tcPr>
            <w:tcW w:w="2127" w:type="dxa"/>
          </w:tcPr>
          <w:p w14:paraId="44ED619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61C6E0A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3.6</w:t>
            </w:r>
          </w:p>
          <w:p w14:paraId="25A498D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3.1</w:t>
            </w:r>
          </w:p>
          <w:p w14:paraId="36876E5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2.5</w:t>
            </w:r>
          </w:p>
          <w:p w14:paraId="04A075A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1.2</w:t>
            </w:r>
          </w:p>
          <w:p w14:paraId="1ACDE85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0.65</w:t>
            </w:r>
          </w:p>
        </w:tc>
        <w:tc>
          <w:tcPr>
            <w:tcW w:w="2126" w:type="dxa"/>
          </w:tcPr>
          <w:p w14:paraId="68577B0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F173CB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3.7</w:t>
            </w:r>
          </w:p>
          <w:p w14:paraId="39821B44"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4.7</w:t>
            </w:r>
          </w:p>
          <w:p w14:paraId="4F5CDC3D"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3.9</w:t>
            </w:r>
          </w:p>
          <w:p w14:paraId="3879F68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No values</w:t>
            </w:r>
          </w:p>
          <w:p w14:paraId="39F2DE13"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0.94</w:t>
            </w:r>
          </w:p>
        </w:tc>
        <w:tc>
          <w:tcPr>
            <w:tcW w:w="1984" w:type="dxa"/>
          </w:tcPr>
          <w:p w14:paraId="353E5A9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4271F7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3.4</w:t>
            </w:r>
          </w:p>
          <w:p w14:paraId="5BEED75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2.3</w:t>
            </w:r>
          </w:p>
          <w:p w14:paraId="74C73C6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2.5</w:t>
            </w:r>
          </w:p>
          <w:p w14:paraId="1A643C0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1.2</w:t>
            </w:r>
          </w:p>
          <w:p w14:paraId="12602D9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0.64</w:t>
            </w:r>
          </w:p>
        </w:tc>
      </w:tr>
      <w:tr w:rsidR="00922C73" w:rsidRPr="00922C73" w14:paraId="6A13AD79" w14:textId="77777777" w:rsidTr="005E0804">
        <w:trPr>
          <w:trHeight w:val="497"/>
        </w:trPr>
        <w:tc>
          <w:tcPr>
            <w:cnfStyle w:val="001000000000" w:firstRow="0" w:lastRow="0" w:firstColumn="1" w:lastColumn="0" w:oddVBand="0" w:evenVBand="0" w:oddHBand="0" w:evenHBand="0" w:firstRowFirstColumn="0" w:firstRowLastColumn="0" w:lastRowFirstColumn="0" w:lastRowLastColumn="0"/>
            <w:tcW w:w="2126" w:type="dxa"/>
          </w:tcPr>
          <w:p w14:paraId="16F7FA12" w14:textId="77777777" w:rsidR="00BE5A74" w:rsidRPr="00922C73" w:rsidRDefault="00BE5A74" w:rsidP="00BE5A74">
            <w:pPr>
              <w:spacing w:line="480" w:lineRule="auto"/>
              <w:rPr>
                <w:rFonts w:ascii="Times New Roman" w:hAnsi="Times New Roman" w:cs="Times New Roman"/>
                <w:sz w:val="20"/>
                <w:szCs w:val="20"/>
              </w:rPr>
            </w:pPr>
            <w:r w:rsidRPr="00922C73">
              <w:rPr>
                <w:rFonts w:ascii="Times New Roman" w:hAnsi="Times New Roman" w:cs="Times New Roman"/>
                <w:sz w:val="20"/>
                <w:szCs w:val="20"/>
              </w:rPr>
              <w:t>Week 48</w:t>
            </w:r>
          </w:p>
          <w:p w14:paraId="424154DD"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Interval shortening</w:t>
            </w:r>
          </w:p>
          <w:p w14:paraId="5F617155"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Dose doubling</w:t>
            </w:r>
          </w:p>
          <w:p w14:paraId="3845BBEC"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Variable DE</w:t>
            </w:r>
          </w:p>
          <w:p w14:paraId="664711BE"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Combined DE</w:t>
            </w:r>
          </w:p>
          <w:p w14:paraId="4F808B07" w14:textId="77777777" w:rsidR="00BE5A74" w:rsidRPr="00922C73" w:rsidRDefault="00BE5A74" w:rsidP="00BE5A74">
            <w:pPr>
              <w:spacing w:line="480" w:lineRule="auto"/>
              <w:rPr>
                <w:rFonts w:ascii="Times New Roman" w:hAnsi="Times New Roman" w:cs="Times New Roman"/>
                <w:kern w:val="24"/>
                <w:sz w:val="20"/>
                <w:szCs w:val="20"/>
              </w:rPr>
            </w:pPr>
            <w:r w:rsidRPr="00922C73">
              <w:rPr>
                <w:rFonts w:ascii="Times New Roman" w:hAnsi="Times New Roman" w:cs="Times New Roman"/>
                <w:kern w:val="24"/>
                <w:sz w:val="20"/>
                <w:szCs w:val="20"/>
              </w:rPr>
              <w:t>P value</w:t>
            </w:r>
          </w:p>
        </w:tc>
        <w:tc>
          <w:tcPr>
            <w:tcW w:w="2127" w:type="dxa"/>
          </w:tcPr>
          <w:p w14:paraId="11625FB1"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05FDBC1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3.2</w:t>
            </w:r>
          </w:p>
          <w:p w14:paraId="72261120"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2.5</w:t>
            </w:r>
          </w:p>
          <w:p w14:paraId="396BF71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2.3</w:t>
            </w:r>
          </w:p>
          <w:p w14:paraId="7DF391A9"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5.2</w:t>
            </w:r>
          </w:p>
          <w:p w14:paraId="0427EBD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0.61</w:t>
            </w:r>
          </w:p>
        </w:tc>
        <w:tc>
          <w:tcPr>
            <w:tcW w:w="2126" w:type="dxa"/>
          </w:tcPr>
          <w:p w14:paraId="0A8F833B"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3EAA260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4.3</w:t>
            </w:r>
          </w:p>
          <w:p w14:paraId="2081D235"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4.5</w:t>
            </w:r>
          </w:p>
          <w:p w14:paraId="2F69F1C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4.6</w:t>
            </w:r>
          </w:p>
          <w:p w14:paraId="0E6E284E"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9.4</w:t>
            </w:r>
          </w:p>
          <w:p w14:paraId="330D0237"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0.45</w:t>
            </w:r>
          </w:p>
        </w:tc>
        <w:tc>
          <w:tcPr>
            <w:tcW w:w="1984" w:type="dxa"/>
          </w:tcPr>
          <w:p w14:paraId="151AD592"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417FF07F"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3.1</w:t>
            </w:r>
          </w:p>
          <w:p w14:paraId="643A034A"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2.6</w:t>
            </w:r>
          </w:p>
          <w:p w14:paraId="209D0ED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2.2</w:t>
            </w:r>
          </w:p>
          <w:p w14:paraId="444F2998" w14:textId="77777777" w:rsidR="00BE5A74" w:rsidRPr="00922C73" w:rsidRDefault="00BE5A74" w:rsidP="00BE5A74">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4.3</w:t>
            </w:r>
          </w:p>
          <w:p w14:paraId="2BFB7DBE" w14:textId="77777777" w:rsidR="00BE5A74" w:rsidRPr="00922C73" w:rsidRDefault="00BE5A74" w:rsidP="0093332B">
            <w:pPr>
              <w:keepNext/>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2C73">
              <w:rPr>
                <w:rFonts w:ascii="Times New Roman" w:hAnsi="Times New Roman" w:cs="Times New Roman"/>
                <w:sz w:val="20"/>
                <w:szCs w:val="20"/>
              </w:rPr>
              <w:t>0.70</w:t>
            </w:r>
          </w:p>
        </w:tc>
      </w:tr>
    </w:tbl>
    <w:p w14:paraId="701C8E69" w14:textId="77777777" w:rsidR="0093332B" w:rsidRPr="00922C73" w:rsidRDefault="0093332B" w:rsidP="0093332B">
      <w:pPr>
        <w:pStyle w:val="Caption"/>
        <w:spacing w:line="480" w:lineRule="auto"/>
        <w:rPr>
          <w:rFonts w:ascii="Times New Roman" w:hAnsi="Times New Roman" w:cs="Times New Roman"/>
          <w:sz w:val="24"/>
          <w:szCs w:val="24"/>
        </w:rPr>
      </w:pPr>
    </w:p>
    <w:p w14:paraId="0FF2F7CA" w14:textId="0D8A3923" w:rsidR="00BE5A74" w:rsidRPr="00922C73" w:rsidRDefault="0093332B" w:rsidP="00A42A01">
      <w:pPr>
        <w:pStyle w:val="Caption"/>
        <w:spacing w:line="240" w:lineRule="auto"/>
        <w:rPr>
          <w:rFonts w:ascii="Times New Roman" w:hAnsi="Times New Roman" w:cs="Times New Roman"/>
          <w:sz w:val="24"/>
          <w:szCs w:val="24"/>
        </w:rPr>
      </w:pPr>
      <w:bookmarkStart w:id="164" w:name="_Toc139306959"/>
      <w:r w:rsidRPr="00922C73">
        <w:rPr>
          <w:rFonts w:ascii="Times New Roman" w:hAnsi="Times New Roman" w:cs="Times New Roman"/>
          <w:sz w:val="24"/>
          <w:szCs w:val="24"/>
        </w:rPr>
        <w:t xml:space="preserve">Table </w:t>
      </w:r>
      <w:r w:rsidR="00334B74" w:rsidRPr="00922C73">
        <w:rPr>
          <w:rFonts w:ascii="Times New Roman" w:hAnsi="Times New Roman" w:cs="Times New Roman"/>
          <w:sz w:val="24"/>
          <w:szCs w:val="24"/>
        </w:rPr>
        <w:fldChar w:fldCharType="begin"/>
      </w:r>
      <w:r w:rsidR="00334B74" w:rsidRPr="00922C73">
        <w:rPr>
          <w:rFonts w:ascii="Times New Roman" w:hAnsi="Times New Roman" w:cs="Times New Roman"/>
          <w:sz w:val="24"/>
          <w:szCs w:val="24"/>
        </w:rPr>
        <w:instrText xml:space="preserve"> SEQ Table \* ARABIC </w:instrText>
      </w:r>
      <w:r w:rsidR="00334B74" w:rsidRPr="00922C73">
        <w:rPr>
          <w:rFonts w:ascii="Times New Roman" w:hAnsi="Times New Roman" w:cs="Times New Roman"/>
          <w:sz w:val="24"/>
          <w:szCs w:val="24"/>
        </w:rPr>
        <w:fldChar w:fldCharType="separate"/>
      </w:r>
      <w:r w:rsidR="00F2388D" w:rsidRPr="00922C73">
        <w:rPr>
          <w:rFonts w:ascii="Times New Roman" w:hAnsi="Times New Roman" w:cs="Times New Roman"/>
          <w:noProof/>
          <w:sz w:val="24"/>
          <w:szCs w:val="24"/>
        </w:rPr>
        <w:t>6</w:t>
      </w:r>
      <w:r w:rsidR="00334B74" w:rsidRPr="00922C73">
        <w:rPr>
          <w:rFonts w:ascii="Times New Roman" w:hAnsi="Times New Roman" w:cs="Times New Roman"/>
          <w:sz w:val="24"/>
          <w:szCs w:val="24"/>
        </w:rPr>
        <w:fldChar w:fldCharType="end"/>
      </w:r>
      <w:r w:rsidRPr="00922C73">
        <w:rPr>
          <w:rFonts w:ascii="Times New Roman" w:hAnsi="Times New Roman" w:cs="Times New Roman"/>
          <w:sz w:val="24"/>
          <w:szCs w:val="24"/>
        </w:rPr>
        <w:t>. Comparison of infliximab trough level following different methods of dose escalation in patients with inflammatory bowel disease</w:t>
      </w:r>
      <w:bookmarkEnd w:id="164"/>
      <w:r w:rsidRPr="00922C73">
        <w:rPr>
          <w:rFonts w:ascii="Times New Roman" w:hAnsi="Times New Roman" w:cs="Times New Roman"/>
          <w:sz w:val="24"/>
          <w:szCs w:val="24"/>
        </w:rPr>
        <w:t xml:space="preserve">  </w:t>
      </w:r>
    </w:p>
    <w:p w14:paraId="0D3F67FD" w14:textId="3C9038E5" w:rsidR="00BE5A74" w:rsidRPr="00922C73" w:rsidRDefault="00BE5A74" w:rsidP="00A42A01">
      <w:pPr>
        <w:autoSpaceDE w:val="0"/>
        <w:autoSpaceDN w:val="0"/>
        <w:adjustRightInd w:val="0"/>
        <w:spacing w:line="240" w:lineRule="auto"/>
        <w:contextualSpacing/>
        <w:rPr>
          <w:rFonts w:ascii="Times New Roman" w:hAnsi="Times New Roman" w:cs="Times New Roman"/>
          <w:sz w:val="24"/>
          <w:szCs w:val="24"/>
        </w:rPr>
      </w:pPr>
      <w:r w:rsidRPr="00922C73">
        <w:rPr>
          <w:rFonts w:ascii="Times New Roman" w:hAnsi="Times New Roman" w:cs="Times New Roman"/>
          <w:sz w:val="24"/>
          <w:szCs w:val="24"/>
        </w:rPr>
        <w:t xml:space="preserve">P values are generated from comparing the infliximab trough levels at each time point from using the different methods of dose escalation: 1) Interval shortening: reduction in dose interval between maintenance infusions to less than 8 weeks, 2) Dose doubling: increase of infliximab to 10 mg/kg, 3) combined dose escalation: both interval shortening </w:t>
      </w:r>
      <w:r w:rsidRPr="00922C73">
        <w:rPr>
          <w:rFonts w:ascii="Times New Roman" w:hAnsi="Times New Roman" w:cs="Times New Roman"/>
          <w:i/>
          <w:iCs/>
          <w:sz w:val="24"/>
          <w:szCs w:val="24"/>
        </w:rPr>
        <w:t>and</w:t>
      </w:r>
      <w:r w:rsidRPr="00922C73">
        <w:rPr>
          <w:rFonts w:ascii="Times New Roman" w:hAnsi="Times New Roman" w:cs="Times New Roman"/>
          <w:sz w:val="24"/>
          <w:szCs w:val="24"/>
        </w:rPr>
        <w:t xml:space="preserve"> dose doubling at each infusion and 4) variable dose escalation: the use of interval shortening </w:t>
      </w:r>
      <w:r w:rsidRPr="00922C73">
        <w:rPr>
          <w:rFonts w:ascii="Times New Roman" w:hAnsi="Times New Roman" w:cs="Times New Roman"/>
          <w:i/>
          <w:iCs/>
          <w:sz w:val="24"/>
          <w:szCs w:val="24"/>
        </w:rPr>
        <w:t>or</w:t>
      </w:r>
      <w:r w:rsidRPr="00922C73">
        <w:rPr>
          <w:rFonts w:ascii="Times New Roman" w:hAnsi="Times New Roman" w:cs="Times New Roman"/>
          <w:sz w:val="24"/>
          <w:szCs w:val="24"/>
        </w:rPr>
        <w:t xml:space="preserve"> dose doubling at different infusions</w:t>
      </w:r>
      <w:r w:rsidR="00464416" w:rsidRPr="00922C73">
        <w:rPr>
          <w:rFonts w:ascii="Times New Roman" w:hAnsi="Times New Roman" w:cs="Times New Roman"/>
          <w:sz w:val="24"/>
          <w:szCs w:val="24"/>
        </w:rPr>
        <w:t>.</w:t>
      </w:r>
    </w:p>
    <w:p w14:paraId="54851247" w14:textId="77777777" w:rsidR="00BE5A74" w:rsidRPr="00922C73" w:rsidRDefault="00BE5A74" w:rsidP="00A42A01">
      <w:pPr>
        <w:autoSpaceDE w:val="0"/>
        <w:autoSpaceDN w:val="0"/>
        <w:adjustRightInd w:val="0"/>
        <w:spacing w:line="240" w:lineRule="auto"/>
        <w:contextualSpacing/>
        <w:rPr>
          <w:rFonts w:ascii="Times New Roman" w:hAnsi="Times New Roman" w:cs="Times New Roman"/>
          <w:b/>
          <w:bCs/>
          <w:i/>
          <w:iCs/>
          <w:sz w:val="24"/>
          <w:szCs w:val="24"/>
        </w:rPr>
      </w:pPr>
      <w:r w:rsidRPr="00922C73">
        <w:rPr>
          <w:rFonts w:ascii="Times New Roman" w:hAnsi="Times New Roman" w:cs="Times New Roman"/>
          <w:b/>
          <w:bCs/>
          <w:i/>
          <w:iCs/>
          <w:sz w:val="24"/>
          <w:szCs w:val="24"/>
        </w:rPr>
        <w:t>*Significant difference in infliximab trough level is noted at week 24 between dose doubling and combined dose escalation (p= 0.01) on pairwise analysis and correction for multiple comparisons.</w:t>
      </w:r>
    </w:p>
    <w:p w14:paraId="101AFE92" w14:textId="77777777" w:rsidR="00BE5A74" w:rsidRPr="00922C73" w:rsidRDefault="00BE5A74" w:rsidP="00BE5A74">
      <w:pPr>
        <w:spacing w:line="480" w:lineRule="auto"/>
        <w:rPr>
          <w:rFonts w:ascii="Times New Roman" w:hAnsi="Times New Roman" w:cs="Times New Roman"/>
          <w:i/>
          <w:iCs/>
          <w:sz w:val="24"/>
          <w:szCs w:val="24"/>
        </w:rPr>
      </w:pPr>
      <w:r w:rsidRPr="00922C73">
        <w:rPr>
          <w:rFonts w:ascii="Times New Roman" w:hAnsi="Times New Roman" w:cs="Times New Roman"/>
          <w:i/>
          <w:iCs/>
          <w:sz w:val="24"/>
          <w:szCs w:val="24"/>
        </w:rPr>
        <w:t>(DE: dose escalation)</w:t>
      </w:r>
    </w:p>
    <w:p w14:paraId="742BDED6" w14:textId="64798C7D" w:rsidR="005E0804" w:rsidRPr="00922C73" w:rsidRDefault="005E0804" w:rsidP="00BE5A74">
      <w:pPr>
        <w:spacing w:line="480" w:lineRule="auto"/>
        <w:rPr>
          <w:rFonts w:ascii="Times New Roman" w:hAnsi="Times New Roman" w:cs="Times New Roman"/>
          <w:sz w:val="24"/>
          <w:szCs w:val="24"/>
        </w:rPr>
      </w:pPr>
    </w:p>
    <w:p w14:paraId="539EE799" w14:textId="77777777" w:rsidR="005E0804" w:rsidRPr="00922C73" w:rsidRDefault="005E0804" w:rsidP="00BE5A74">
      <w:pPr>
        <w:spacing w:line="480" w:lineRule="auto"/>
        <w:rPr>
          <w:rFonts w:ascii="Times New Roman" w:hAnsi="Times New Roman" w:cs="Times New Roman"/>
          <w:sz w:val="24"/>
          <w:szCs w:val="24"/>
        </w:rPr>
      </w:pPr>
    </w:p>
    <w:p w14:paraId="13E66CA4" w14:textId="77777777" w:rsidR="0093332B" w:rsidRPr="00922C73" w:rsidRDefault="00F0044A" w:rsidP="0093332B">
      <w:pPr>
        <w:keepNext/>
        <w:spacing w:line="480" w:lineRule="auto"/>
      </w:pPr>
      <w:r w:rsidRPr="00922C73">
        <w:rPr>
          <w:noProof/>
        </w:rPr>
        <w:lastRenderedPageBreak/>
        <w:drawing>
          <wp:inline distT="0" distB="0" distL="0" distR="0" wp14:anchorId="5973DECC" wp14:editId="4D371DC9">
            <wp:extent cx="5731510" cy="477774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777740"/>
                    </a:xfrm>
                    <a:prstGeom prst="rect">
                      <a:avLst/>
                    </a:prstGeom>
                    <a:noFill/>
                    <a:ln>
                      <a:noFill/>
                    </a:ln>
                  </pic:spPr>
                </pic:pic>
              </a:graphicData>
            </a:graphic>
          </wp:inline>
        </w:drawing>
      </w:r>
    </w:p>
    <w:p w14:paraId="019BAB04" w14:textId="216346D9" w:rsidR="00F0044A" w:rsidRPr="00922C73" w:rsidRDefault="0093332B" w:rsidP="006459DA">
      <w:pPr>
        <w:pStyle w:val="Caption"/>
        <w:spacing w:line="240" w:lineRule="auto"/>
        <w:rPr>
          <w:rFonts w:ascii="Times New Roman" w:hAnsi="Times New Roman" w:cs="Times New Roman"/>
          <w:sz w:val="24"/>
          <w:szCs w:val="24"/>
        </w:rPr>
      </w:pPr>
      <w:bookmarkStart w:id="165" w:name="_Toc139397319"/>
      <w:bookmarkStart w:id="166" w:name="_Toc151020666"/>
      <w:r w:rsidRPr="00922C73">
        <w:rPr>
          <w:rFonts w:ascii="Times New Roman" w:hAnsi="Times New Roman" w:cs="Times New Roman"/>
          <w:sz w:val="24"/>
          <w:szCs w:val="24"/>
        </w:rPr>
        <w:t xml:space="preserve">Figure </w:t>
      </w:r>
      <w:r w:rsidRPr="00922C73">
        <w:rPr>
          <w:rFonts w:ascii="Times New Roman" w:hAnsi="Times New Roman" w:cs="Times New Roman"/>
          <w:sz w:val="24"/>
          <w:szCs w:val="24"/>
        </w:rPr>
        <w:fldChar w:fldCharType="begin"/>
      </w:r>
      <w:r w:rsidRPr="00922C73">
        <w:rPr>
          <w:rFonts w:ascii="Times New Roman" w:hAnsi="Times New Roman" w:cs="Times New Roman"/>
          <w:sz w:val="24"/>
          <w:szCs w:val="24"/>
        </w:rPr>
        <w:instrText xml:space="preserve"> SEQ Figure \* ARABIC </w:instrText>
      </w:r>
      <w:r w:rsidRPr="00922C73">
        <w:rPr>
          <w:rFonts w:ascii="Times New Roman" w:hAnsi="Times New Roman" w:cs="Times New Roman"/>
          <w:sz w:val="24"/>
          <w:szCs w:val="24"/>
        </w:rPr>
        <w:fldChar w:fldCharType="separate"/>
      </w:r>
      <w:r w:rsidR="00192EAE" w:rsidRPr="00922C73">
        <w:rPr>
          <w:rFonts w:ascii="Times New Roman" w:hAnsi="Times New Roman" w:cs="Times New Roman"/>
          <w:noProof/>
          <w:sz w:val="24"/>
          <w:szCs w:val="24"/>
        </w:rPr>
        <w:t>21</w:t>
      </w:r>
      <w:r w:rsidRPr="00922C73">
        <w:rPr>
          <w:rFonts w:ascii="Times New Roman" w:hAnsi="Times New Roman" w:cs="Times New Roman"/>
          <w:sz w:val="24"/>
          <w:szCs w:val="24"/>
        </w:rPr>
        <w:fldChar w:fldCharType="end"/>
      </w:r>
      <w:r w:rsidRPr="00922C73">
        <w:rPr>
          <w:rFonts w:ascii="Times New Roman" w:hAnsi="Times New Roman" w:cs="Times New Roman"/>
          <w:sz w:val="24"/>
          <w:szCs w:val="24"/>
        </w:rPr>
        <w:t>. Time in clinical remission following different methods of infliximab dose escalation.</w:t>
      </w:r>
      <w:bookmarkEnd w:id="165"/>
      <w:bookmarkEnd w:id="166"/>
    </w:p>
    <w:p w14:paraId="359C330A" w14:textId="57317721" w:rsidR="00BE5A74" w:rsidRPr="00922C73" w:rsidRDefault="00F0044A" w:rsidP="006459DA">
      <w:pPr>
        <w:tabs>
          <w:tab w:val="left" w:pos="1560"/>
        </w:tabs>
        <w:spacing w:line="240" w:lineRule="auto"/>
        <w:rPr>
          <w:rFonts w:ascii="Times New Roman" w:hAnsi="Times New Roman" w:cs="Times New Roman"/>
          <w:sz w:val="24"/>
          <w:szCs w:val="24"/>
        </w:rPr>
      </w:pPr>
      <w:r w:rsidRPr="00922C73">
        <w:rPr>
          <w:rFonts w:ascii="Times New Roman" w:hAnsi="Times New Roman" w:cs="Times New Roman"/>
          <w:sz w:val="24"/>
          <w:szCs w:val="24"/>
        </w:rPr>
        <w:t>*Significant difference in duration of clinical remission</w:t>
      </w:r>
      <w:r w:rsidR="00CC57D7" w:rsidRPr="00922C73">
        <w:rPr>
          <w:rFonts w:ascii="Times New Roman" w:hAnsi="Times New Roman" w:cs="Times New Roman"/>
          <w:sz w:val="24"/>
          <w:szCs w:val="24"/>
        </w:rPr>
        <w:t xml:space="preserve"> between those receiving variable dose escalation and combined dose escalation with a decrease in time to loss of remission in the latter method </w:t>
      </w:r>
      <w:r w:rsidRPr="00922C73">
        <w:rPr>
          <w:rFonts w:ascii="Times New Roman" w:hAnsi="Times New Roman" w:cs="Times New Roman"/>
          <w:sz w:val="24"/>
          <w:szCs w:val="24"/>
        </w:rPr>
        <w:t xml:space="preserve">despite correction for multiple comparisons p=0.01. </w:t>
      </w:r>
    </w:p>
    <w:p w14:paraId="5567F818" w14:textId="77777777" w:rsidR="005E0804" w:rsidRPr="00922C73" w:rsidRDefault="005E0804" w:rsidP="004A3E16"/>
    <w:p w14:paraId="4109E13C" w14:textId="77777777" w:rsidR="005E0804" w:rsidRPr="00922C73" w:rsidRDefault="005E0804" w:rsidP="004A3E16"/>
    <w:p w14:paraId="7E96D260" w14:textId="77777777" w:rsidR="005E0804" w:rsidRPr="00922C73" w:rsidRDefault="005E0804" w:rsidP="005E0804"/>
    <w:p w14:paraId="711DFEF1" w14:textId="77777777" w:rsidR="005E0804" w:rsidRPr="00922C73" w:rsidRDefault="005E0804" w:rsidP="005E0804"/>
    <w:p w14:paraId="724C6CF5" w14:textId="77777777" w:rsidR="004A3E16" w:rsidRPr="00922C73" w:rsidRDefault="004A3E16" w:rsidP="005E0804"/>
    <w:p w14:paraId="52C1396A" w14:textId="77777777" w:rsidR="006459DA" w:rsidRPr="00922C73" w:rsidRDefault="006459DA" w:rsidP="005E0804"/>
    <w:p w14:paraId="62457D98" w14:textId="77777777" w:rsidR="006459DA" w:rsidRPr="00922C73" w:rsidRDefault="006459DA" w:rsidP="005E0804"/>
    <w:p w14:paraId="0F418E78" w14:textId="77777777" w:rsidR="006459DA" w:rsidRPr="00922C73" w:rsidRDefault="006459DA" w:rsidP="005E0804"/>
    <w:p w14:paraId="2148FE75" w14:textId="3682965C" w:rsidR="00143608" w:rsidRPr="00922C73" w:rsidRDefault="009E5064" w:rsidP="005E0804">
      <w:pPr>
        <w:pStyle w:val="Heading2"/>
        <w:spacing w:line="480" w:lineRule="auto"/>
        <w:rPr>
          <w:rFonts w:ascii="Times New Roman" w:hAnsi="Times New Roman" w:cs="Times New Roman"/>
          <w:sz w:val="24"/>
          <w:szCs w:val="24"/>
        </w:rPr>
      </w:pPr>
      <w:bookmarkStart w:id="167" w:name="_Toc151020504"/>
      <w:r w:rsidRPr="00922C73">
        <w:rPr>
          <w:rFonts w:ascii="Times New Roman" w:hAnsi="Times New Roman" w:cs="Times New Roman"/>
          <w:sz w:val="24"/>
          <w:szCs w:val="24"/>
        </w:rPr>
        <w:lastRenderedPageBreak/>
        <w:t>3</w:t>
      </w:r>
      <w:r w:rsidR="00F0044A" w:rsidRPr="00922C73">
        <w:rPr>
          <w:rFonts w:ascii="Times New Roman" w:hAnsi="Times New Roman" w:cs="Times New Roman"/>
          <w:sz w:val="24"/>
          <w:szCs w:val="24"/>
        </w:rPr>
        <w:t xml:space="preserve">.4 </w:t>
      </w:r>
      <w:r w:rsidR="00143608" w:rsidRPr="00922C73">
        <w:rPr>
          <w:rFonts w:ascii="Times New Roman" w:hAnsi="Times New Roman" w:cs="Times New Roman"/>
          <w:sz w:val="24"/>
          <w:szCs w:val="24"/>
        </w:rPr>
        <w:t>Discussion</w:t>
      </w:r>
      <w:bookmarkEnd w:id="167"/>
    </w:p>
    <w:p w14:paraId="08569012" w14:textId="188DD724" w:rsidR="00143608" w:rsidRPr="00922C73" w:rsidRDefault="00143608" w:rsidP="005E0804">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Secondary loss of response to biological therapies remains a significant problem in the treatment of IBD. The role of DE for secondary loss of response to infliximab is not clear in people with ATI </w:t>
      </w:r>
      <w:r w:rsidR="008E5469" w:rsidRPr="00922C73">
        <w:rPr>
          <w:rFonts w:ascii="Times New Roman" w:hAnsi="Times New Roman" w:cs="Times New Roman"/>
          <w:sz w:val="24"/>
          <w:szCs w:val="24"/>
        </w:rPr>
        <w:fldChar w:fldCharType="begin" w:fldLock="1"/>
      </w:r>
      <w:r w:rsidR="00663976" w:rsidRPr="00922C73">
        <w:rPr>
          <w:rFonts w:ascii="Times New Roman" w:hAnsi="Times New Roman" w:cs="Times New Roman"/>
          <w:sz w:val="24"/>
          <w:szCs w:val="24"/>
        </w:rPr>
        <w:instrText>ADDIN CSL_CITATION {"citationItems":[{"id":"ITEM-1","itemData":{"DOI":"10.1111/apt.14452","ISSN":"02692813","author":[{"dropping-particle":"","family":"Dreesen","given":"E.","non-dropping-particle":"","parse-names":false,"suffix":""},{"dropping-particle":"","family":"Stappen","given":"T.","non-dropping-particle":"Van","parse-names":false,"suffix":""},{"dropping-particle":"","family":"Ballet","given":"V.","non-dropping-particle":"","parse-names":false,"suffix":""},{"dropping-particle":"","family":"Peeters","given":"M.","non-dropping-particle":"","parse-names":false,"suffix":""},{"dropping-particle":"","family":"Compernolle","given":"G.","non-dropping-particle":"","parse-names":false,"suffix":""},{"dropping-particle":"","family":"Tops","given":"S.","non-dropping-particle":"","parse-names":false,"suffix":""},{"dropping-particle":"","family":"Steen","given":"K.","non-dropping-particle":"Van","parse-names":false,"suffix":""},{"dropping-particle":"","family":"Assche","given":"G.","non-dropping-particle":"Van","parse-names":false,"suffix":""},{"dropping-particle":"","family":"Ferrante","given":"M.","non-dropping-particle":"","parse-names":false,"suffix":""},{"dropping-particle":"","family":"Vermeire","given":"S.","non-dropping-particle":"","parse-names":false,"suffix":""},{"dropping-particle":"","family":"Gils","given":"A.","non-dropping-particle":"","parse-names":false,"suffix":""}],"container-title":"Alimentary Pharmacology &amp; Therapeutics","id":"ITEM-1","issue":"3","issued":{"date-parts":[["2018","2"]]},"page":"346-355","title":"Anti-infliximab antibody concentrations can guide treatment intensification in patients with Crohn's disease who lose clinical response","type":"article-journal","volume":"47"},"uris":["http://www.mendeley.com/documents/?uuid=133a7bb2-ba5b-4ff3-be23-9f6a48b4bf8f"]},{"id":"ITEM-2","itemData":{"DOI":"10.1136/gutjnl-2016-313071","ISSN":"0017-5749","author":[{"dropping-particle":"","family":"Stappen","given":"Thomas","non-dropping-particle":"Van","parse-names":false,"suffix":""},{"dropping-particle":"","family":"Casteele","given":"Niels","non-dropping-particle":"Vande","parse-names":false,"suffix":""},{"dropping-particle":"","family":"Assche","given":"Gert","non-dropping-particle":"Van","parse-names":false,"suffix":""},{"dropping-particle":"","family":"Ferrante","given":"Marc","non-dropping-particle":"","parse-names":false,"suffix":""},{"dropping-particle":"","family":"Vermeire","given":"Séverine","non-dropping-particle":"","parse-names":false,"suffix":""},{"dropping-particle":"","family":"Gils","given":"Ann","non-dropping-particle":"","parse-names":false,"suffix":""}],"container-title":"Gut","id":"ITEM-2","issue":"5","issued":{"date-parts":[["2018","5"]]},"page":"818-826","title":"Clinical relevance of detecting anti-infliximab antibodies with a drug-tolerant assay: post hoc analysis of the TAXIT trial","type":"article-journal","volume":"67"},"uris":["http://www.mendeley.com/documents/?uuid=9ecabd84-b848-448d-b8ca-f726066e7974"]},{"id":"ITEM-3","itemData":{"DOI":"10.1016/j.cgh.2014.07.029","ISSN":"15423565","author":[{"dropping-particle":"","family":"Yanai","given":"Henit","non-dropping-particle":"","parse-names":false,"suffix":""},{"dropping-particle":"","family":"Lichtenstein","given":"Lev","non-dropping-particle":"","parse-names":false,"suffix":""},{"dropping-particle":"","family":"Assa","given":"Amit","non-dropping-particle":"","parse-names":false,"suffix":""},{"dropping-particle":"","family":"Mazor","given":"Yoav","non-dropping-particle":"","parse-names":false,"suffix":""},{"dropping-particle":"","family":"Weiss","given":"Batia","non-dropping-particle":"","parse-names":false,"suffix":""},{"dropping-particle":"","family":"Levine","given":"Arie","non-dropping-particle":"","parse-names":false,"suffix":""},{"dropping-particle":"","family":"Ron","given":"Yulia","non-dropping-particle":"","parse-names":false,"suffix":""},{"dropping-particle":"","family":"Kopylov","given":"Uri","non-dropping-particle":"","parse-names":false,"suffix":""},{"dropping-particle":"","family":"Bujanover","given":"Yoram","non-dropping-particle":"","parse-names":false,"suffix":""},{"dropping-particle":"","family":"Rosenbach","given":"Yoram","non-dropping-particle":"","parse-names":false,"suffix":""},{"dropping-particle":"","family":"Ungar","given":"Bella","non-dropping-particle":"","parse-names":false,"suffix":""},{"dropping-particle":"","family":"Eliakim","given":"Rami","non-dropping-particle":"","parse-names":false,"suffix":""},{"dropping-particle":"","family":"Chowers","given":"Yehuda","non-dropping-particle":"","parse-names":false,"suffix":""},{"dropping-particle":"","family":"Shamir","given":"Raanan","non-dropping-particle":"","parse-names":false,"suffix":""},{"dropping-particle":"","family":"Fraser","given":"Gerald","non-dropping-particle":"","parse-names":false,"suffix":""},{"dropping-particle":"","family":"Dotan","given":"Iris","non-dropping-particle":"","parse-names":false,"suffix":""},{"dropping-particle":"","family":"Ben-Horin","given":"Shomron","non-dropping-particle":"","parse-names":false,"suffix":""}],"container-title":"Clinical Gastroenterology and Hepatology","id":"ITEM-3","issue":"3","issued":{"date-parts":[["2015","3"]]},"page":"522-530.e2","title":"Levels of Drug and Antidrug Antibodies Are Associated With Outcome of Interventions After Loss of Response to Infliximab or Adalimumab","type":"article-journal","volume":"13"},"uris":["http://www.mendeley.com/documents/?uuid=2d7b6b20-fb67-4e90-b415-1ead218aa900"]},{"id":"ITEM-4","itemData":{"DOI":"10.1016/j.cgh.2019.03.037","ISSN":"15423565","author":[{"dropping-particle":"","family":"Papamichael","given":"Konstantinos","non-dropping-particle":"","parse-names":false,"suffix":""},{"dropping-particle":"","family":"Cheifetz","given":"Adam S.","non-dropping-particle":"","parse-names":false,"suffix":""},{"dropping-particle":"","family":"Melmed","given":"Gil Y.","non-dropping-particle":"","parse-names":false,"suffix":""},{"dropping-particle":"","family":"Irving","given":"Peter M.","non-dropping-particle":"","parse-names":false,"suffix":""},{"dropping-particle":"","family":"Casteele","given":"Niels","non-dropping-particle":"Vande","parse-names":false,"suffix":""},{"dropping-particle":"","family":"Kozuch","given":"Patricia L.","non-dropping-particle":"","parse-names":false,"suffix":""},{"dropping-particle":"","family":"Raffals","given":"Laura E.","non-dropping-particle":"","parse-names":false,"suffix":""},{"dropping-particle":"","family":"Baidoo","given":"Leonard","non-dropping-particle":"","parse-names":false,"suffix":""},{"dropping-particle":"","family":"Bressler","given":"Brian","non-dropping-particle":"","parse-names":false,"suffix":""},{"dropping-particle":"","family":"Devlin","given":"Shane M.","non-dropping-particle":"","parse-names":false,"suffix":""},{"dropping-particle":"","family":"Jones","given":"Jennifer","non-dropping-particle":"","parse-names":false,"suffix":""},{"dropping-particle":"","family":"Kaplan","given":"Gilaad G.","non-dropping-particle":"","parse-names":false,"suffix":""},{"dropping-particle":"","family":"Sparrow","given":"Miles P.","non-dropping-particle":"","parse-names":false,"suffix":""},{"dropping-particle":"","family":"Velayos","given":"Fernando S.","non-dropping-particle":"","parse-names":false,"suffix":""},{"dropping-particle":"","family":"Ullman","given":"Thomas","non-dropping-particle":"","parse-names":false,"suffix":""},{"dropping-particle":"","family":"Siegel","given":"Corey A.","non-dropping-particle":"","parse-names":false,"suffix":""}],"container-title":"Clinical Gastroenterology and Hepatology","id":"ITEM-4","issue":"9","issued":{"date-parts":[["2019","8"]]},"page":"1655-1668.e3","title":"Appropriate Therapeutic Drug Monitoring of Biologic Agents for Patients With Inflammatory Bowel Diseases","type":"article-journal","volume":"17"},"uris":["http://www.mendeley.com/documents/?uuid=6161086d-9892-4917-bc4b-84aac41f36f2"]}],"mendeley":{"formattedCitation":"&lt;sup&gt;161,179–181&lt;/sup&gt;","plainTextFormattedCitation":"161,179–181","previouslyFormattedCitation":"&lt;sup&gt;161,179–181&lt;/sup&gt;"},"properties":{"noteIndex":0},"schema":"https://github.com/citation-style-language/schema/raw/master/csl-citation.json"}</w:instrText>
      </w:r>
      <w:r w:rsidR="008E5469" w:rsidRPr="00922C73">
        <w:rPr>
          <w:rFonts w:ascii="Times New Roman" w:hAnsi="Times New Roman" w:cs="Times New Roman"/>
          <w:sz w:val="24"/>
          <w:szCs w:val="24"/>
        </w:rPr>
        <w:fldChar w:fldCharType="separate"/>
      </w:r>
      <w:r w:rsidR="00DD0F87" w:rsidRPr="00922C73">
        <w:rPr>
          <w:rFonts w:ascii="Times New Roman" w:hAnsi="Times New Roman" w:cs="Times New Roman"/>
          <w:noProof/>
          <w:sz w:val="24"/>
          <w:szCs w:val="24"/>
          <w:vertAlign w:val="superscript"/>
        </w:rPr>
        <w:t>161,179–181</w:t>
      </w:r>
      <w:r w:rsidR="008E5469"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In particular, there remains a lack of long-term data with therapeutic drug monitoring following DE. This report describes the experience of infliximab DE in a large tertiary centre. Both proactive and reactive dose escalation was assessed, as both methods are used in clinical practice. DE was effective in significantly increasing trough drug levels to therapeutic levels in those with positive and negative ATI, reduced ATI in those above the threshold of 10 mg/L and maintained or recaptured remission in nearly 70% at 6 months post DE. </w:t>
      </w:r>
    </w:p>
    <w:p w14:paraId="0FBB1FC7" w14:textId="77777777" w:rsidR="001C1E3C" w:rsidRPr="00922C73" w:rsidRDefault="001C1E3C" w:rsidP="001C1E3C">
      <w:pPr>
        <w:spacing w:line="480" w:lineRule="auto"/>
        <w:rPr>
          <w:rFonts w:ascii="Times New Roman" w:hAnsi="Times New Roman" w:cs="Times New Roman"/>
          <w:sz w:val="24"/>
          <w:szCs w:val="24"/>
        </w:rPr>
      </w:pPr>
      <w:bookmarkStart w:id="168" w:name="_Hlk73702918"/>
    </w:p>
    <w:p w14:paraId="236DE182" w14:textId="45EF2FB8" w:rsidR="001C1E3C" w:rsidRPr="00922C73" w:rsidRDefault="006838B5" w:rsidP="001C1E3C">
      <w:pPr>
        <w:spacing w:line="480" w:lineRule="auto"/>
        <w:rPr>
          <w:rFonts w:ascii="Times New Roman" w:hAnsi="Times New Roman" w:cs="Times New Roman"/>
          <w:sz w:val="24"/>
          <w:szCs w:val="24"/>
        </w:rPr>
      </w:pPr>
      <w:r w:rsidRPr="00922C73">
        <w:rPr>
          <w:rFonts w:ascii="Times New Roman" w:hAnsi="Times New Roman" w:cs="Times New Roman"/>
          <w:sz w:val="24"/>
          <w:szCs w:val="24"/>
        </w:rPr>
        <w:t>A l</w:t>
      </w:r>
      <w:r w:rsidR="003367ED" w:rsidRPr="00922C73">
        <w:rPr>
          <w:rFonts w:ascii="Times New Roman" w:hAnsi="Times New Roman" w:cs="Times New Roman"/>
          <w:sz w:val="24"/>
          <w:szCs w:val="24"/>
        </w:rPr>
        <w:t>imitation of the study was that b</w:t>
      </w:r>
      <w:r w:rsidR="001C1E3C" w:rsidRPr="00922C73">
        <w:rPr>
          <w:rFonts w:ascii="Times New Roman" w:hAnsi="Times New Roman" w:cs="Times New Roman"/>
          <w:sz w:val="24"/>
          <w:szCs w:val="24"/>
        </w:rPr>
        <w:t>oth proactive and reactive dose escalation was assessed</w:t>
      </w:r>
      <w:r w:rsidR="003367ED" w:rsidRPr="00922C73">
        <w:rPr>
          <w:rFonts w:ascii="Times New Roman" w:hAnsi="Times New Roman" w:cs="Times New Roman"/>
          <w:sz w:val="24"/>
          <w:szCs w:val="24"/>
        </w:rPr>
        <w:t xml:space="preserve">. Both methods </w:t>
      </w:r>
      <w:r w:rsidR="001C1E3C" w:rsidRPr="00922C73">
        <w:rPr>
          <w:rFonts w:ascii="Times New Roman" w:hAnsi="Times New Roman" w:cs="Times New Roman"/>
          <w:sz w:val="24"/>
          <w:szCs w:val="24"/>
        </w:rPr>
        <w:t>are used in clinical practice</w:t>
      </w:r>
      <w:r w:rsidR="003367ED" w:rsidRPr="00922C73">
        <w:rPr>
          <w:rFonts w:ascii="Times New Roman" w:hAnsi="Times New Roman" w:cs="Times New Roman"/>
          <w:sz w:val="24"/>
          <w:szCs w:val="24"/>
        </w:rPr>
        <w:t>, h</w:t>
      </w:r>
      <w:r w:rsidR="001C1E3C" w:rsidRPr="00922C73">
        <w:rPr>
          <w:rFonts w:ascii="Times New Roman" w:hAnsi="Times New Roman" w:cs="Times New Roman"/>
          <w:sz w:val="24"/>
          <w:szCs w:val="24"/>
        </w:rPr>
        <w:t xml:space="preserve">owever, different drug pharmacokinetics may be present in these two groups affecting their response to DE. </w:t>
      </w:r>
      <w:r w:rsidR="00C75BB8" w:rsidRPr="00922C73">
        <w:rPr>
          <w:rFonts w:ascii="Times New Roman" w:hAnsi="Times New Roman" w:cs="Times New Roman"/>
          <w:sz w:val="24"/>
          <w:szCs w:val="24"/>
        </w:rPr>
        <w:t>T</w:t>
      </w:r>
      <w:r w:rsidR="001C1E3C" w:rsidRPr="00922C73">
        <w:rPr>
          <w:rFonts w:ascii="Times New Roman" w:hAnsi="Times New Roman" w:cs="Times New Roman"/>
          <w:sz w:val="24"/>
          <w:szCs w:val="24"/>
        </w:rPr>
        <w:t xml:space="preserve">he effect of DE was not assessed separately based on whether proactive or reactive DE </w:t>
      </w:r>
      <w:r w:rsidR="00C75BB8" w:rsidRPr="00922C73">
        <w:rPr>
          <w:rFonts w:ascii="Times New Roman" w:hAnsi="Times New Roman" w:cs="Times New Roman"/>
          <w:sz w:val="24"/>
          <w:szCs w:val="24"/>
        </w:rPr>
        <w:t xml:space="preserve">due </w:t>
      </w:r>
      <w:r w:rsidR="007536A1" w:rsidRPr="00922C73">
        <w:rPr>
          <w:rFonts w:ascii="Times New Roman" w:hAnsi="Times New Roman" w:cs="Times New Roman"/>
          <w:sz w:val="24"/>
          <w:szCs w:val="24"/>
        </w:rPr>
        <w:t>the reduction in number of patients</w:t>
      </w:r>
      <w:r w:rsidR="001C1E3C" w:rsidRPr="00922C73">
        <w:rPr>
          <w:rFonts w:ascii="Times New Roman" w:hAnsi="Times New Roman" w:cs="Times New Roman"/>
          <w:sz w:val="24"/>
          <w:szCs w:val="24"/>
        </w:rPr>
        <w:t xml:space="preserve"> in the sub-groups. </w:t>
      </w:r>
      <w:bookmarkEnd w:id="168"/>
      <w:r w:rsidR="007536A1" w:rsidRPr="00922C73">
        <w:rPr>
          <w:rFonts w:ascii="Times New Roman" w:hAnsi="Times New Roman" w:cs="Times New Roman"/>
          <w:sz w:val="24"/>
          <w:szCs w:val="24"/>
        </w:rPr>
        <w:t>In addition, a</w:t>
      </w:r>
      <w:r w:rsidR="001C1E3C" w:rsidRPr="00922C73">
        <w:rPr>
          <w:rFonts w:ascii="Times New Roman" w:hAnsi="Times New Roman" w:cs="Times New Roman"/>
          <w:sz w:val="24"/>
          <w:szCs w:val="24"/>
        </w:rPr>
        <w:t xml:space="preserve">lthough patients were closely monitored and had a clinical review and CRP at every infusion, a limitation is that remission was not defined endoscopically or with routine faecal calprotectin assessment. </w:t>
      </w:r>
    </w:p>
    <w:p w14:paraId="7517ED18" w14:textId="77777777" w:rsidR="006838B5" w:rsidRPr="00922C73" w:rsidRDefault="006838B5" w:rsidP="001C1E3C">
      <w:pPr>
        <w:spacing w:line="480" w:lineRule="auto"/>
        <w:rPr>
          <w:rFonts w:ascii="Times New Roman" w:hAnsi="Times New Roman" w:cs="Times New Roman"/>
          <w:sz w:val="24"/>
          <w:szCs w:val="24"/>
        </w:rPr>
      </w:pPr>
    </w:p>
    <w:p w14:paraId="7BE1B38A" w14:textId="5D144B89" w:rsidR="00143608" w:rsidRPr="00922C73" w:rsidRDefault="006838B5" w:rsidP="004716F7">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The best way to dose escalate in clinical practice remains unclear. In this study, assessment of the different methods of DE on drug levels and remission are limited by the small numbers in each group. In addition, selection bias will affect our results as it is very likely that the most aggressive method of DE: combined dose escalation using both interval shortening and dose doubling, would be used in those with very low drug levels and/or loss of response. Ultimately </w:t>
      </w:r>
      <w:r w:rsidRPr="00922C73">
        <w:rPr>
          <w:rFonts w:ascii="Times New Roman" w:hAnsi="Times New Roman" w:cs="Times New Roman"/>
          <w:sz w:val="24"/>
          <w:szCs w:val="24"/>
        </w:rPr>
        <w:lastRenderedPageBreak/>
        <w:t>a randomised control trial assessing the different types of DE would aid in clarifying the most cost-effective method of infliximab DE.</w:t>
      </w:r>
    </w:p>
    <w:p w14:paraId="738D4916" w14:textId="77777777" w:rsidR="006838B5" w:rsidRPr="00922C73" w:rsidRDefault="006838B5" w:rsidP="004716F7">
      <w:pPr>
        <w:spacing w:line="480" w:lineRule="auto"/>
        <w:rPr>
          <w:rFonts w:ascii="Times New Roman" w:hAnsi="Times New Roman" w:cs="Times New Roman"/>
          <w:sz w:val="24"/>
          <w:szCs w:val="24"/>
        </w:rPr>
      </w:pPr>
    </w:p>
    <w:p w14:paraId="1CB1AD65" w14:textId="3AE5416D" w:rsidR="00143608" w:rsidRPr="00922C73" w:rsidRDefault="00143608" w:rsidP="004716F7">
      <w:pPr>
        <w:spacing w:line="480" w:lineRule="auto"/>
        <w:rPr>
          <w:rFonts w:ascii="Times New Roman" w:hAnsi="Times New Roman" w:cs="Times New Roman"/>
          <w:sz w:val="24"/>
          <w:szCs w:val="24"/>
        </w:rPr>
      </w:pPr>
      <w:r w:rsidRPr="00922C73">
        <w:rPr>
          <w:rFonts w:ascii="Times New Roman" w:hAnsi="Times New Roman" w:cs="Times New Roman"/>
          <w:sz w:val="24"/>
          <w:szCs w:val="24"/>
        </w:rPr>
        <w:t xml:space="preserve">In our cohort, following DE, all patients had TDM, CRP and clinical severity scores assessed at every infliximab infusion. </w:t>
      </w:r>
      <w:bookmarkStart w:id="169" w:name="_Hlk73624205"/>
      <w:r w:rsidRPr="00922C73">
        <w:rPr>
          <w:rFonts w:ascii="Times New Roman" w:hAnsi="Times New Roman" w:cs="Times New Roman"/>
          <w:sz w:val="24"/>
          <w:szCs w:val="24"/>
        </w:rPr>
        <w:t>Patients received pre-medication with intravenous hydrocortisone prior to each infliximab infusion, which may have reduced immunogenicity rates</w:t>
      </w:r>
      <w:bookmarkEnd w:id="169"/>
      <w:r w:rsidRPr="00922C73">
        <w:rPr>
          <w:rFonts w:ascii="Segoe UI" w:hAnsi="Segoe UI" w:cs="Segoe UI"/>
          <w:sz w:val="24"/>
          <w:szCs w:val="24"/>
          <w:shd w:val="clear" w:color="auto" w:fill="FFFFFF"/>
        </w:rPr>
        <w:t xml:space="preserve">. </w:t>
      </w:r>
      <w:r w:rsidRPr="00922C73">
        <w:rPr>
          <w:rFonts w:ascii="Times New Roman" w:hAnsi="Times New Roman" w:cs="Times New Roman"/>
          <w:sz w:val="24"/>
          <w:szCs w:val="24"/>
        </w:rPr>
        <w:t xml:space="preserve">A total anti-drug antibody assay was used as the aim was to identify all patients with ATI. At baseline, prior to DE, all patients had individual ATI levels assessed and 38/92 were above our assay’s threshold for ATI positivity (&gt;10 AU/mL). In our cohort, infliximab DE was associated with an increase in drug levels up to week 48 compared to baseline in both those with positive and negative ATI. Previous studies have suggested that DE may not be effective in those with “high” ATI: above 481 ng/mL or 9 mcg/ml </w:t>
      </w:r>
      <w:r w:rsidR="00B02586" w:rsidRPr="00922C73">
        <w:rPr>
          <w:rFonts w:ascii="Times New Roman" w:hAnsi="Times New Roman" w:cs="Times New Roman"/>
          <w:sz w:val="24"/>
          <w:szCs w:val="24"/>
        </w:rPr>
        <w:fldChar w:fldCharType="begin" w:fldLock="1"/>
      </w:r>
      <w:r w:rsidR="00663976" w:rsidRPr="00922C73">
        <w:rPr>
          <w:rFonts w:ascii="Times New Roman" w:hAnsi="Times New Roman" w:cs="Times New Roman"/>
          <w:sz w:val="24"/>
          <w:szCs w:val="24"/>
        </w:rPr>
        <w:instrText>ADDIN CSL_CITATION {"citationItems":[{"id":"ITEM-1","itemData":{"DOI":"10.1111/apt.14452","ISSN":"02692813","author":[{"dropping-particle":"","family":"Dreesen","given":"E.","non-dropping-particle":"","parse-names":false,"suffix":""},{"dropping-particle":"","family":"Stappen","given":"T.","non-dropping-particle":"Van","parse-names":false,"suffix":""},{"dropping-particle":"","family":"Ballet","given":"V.","non-dropping-particle":"","parse-names":false,"suffix":""},{"dropping-particle":"","family":"Peeters","given":"M.","non-dropping-particle":"","parse-names":false,"suffix":""},{"dropping-particle":"","family":"Compernolle","given":"G.","non-dropping-particle":"","parse-names":false,"suffix":""},{"dropping-particle":"","family":"Tops","given":"S.","non-dropping-particle":"","parse-names":false,"suffix":""},{"dropping-particle":"","family":"Steen","given":"K.","non-dropping-particle":"Van","parse-names":false,"suffix":""},{"dropping-particle":"","family":"Assche","given":"G.","non-dropping-particle":"Van","parse-names":false,"suffix":""},{"dropping-particle":"","family":"Ferrante","given":"M.","non-dropping-particle":"","parse-names":false,"suffix":""},{"dropping-particle":"","family":"Vermeire","given":"S.","non-dropping-particle":"","parse-names":false,"suffix":""},{"dropping-particle":"","family":"Gils","given":"A.","non-dropping-particle":"","parse-names":false,"suffix":""}],"container-title":"Alimentary Pharmacology &amp; Therapeutics","id":"ITEM-1","issue":"3","issued":{"date-parts":[["2018","2"]]},"page":"346-355","title":"Anti-infliximab antibody concentrations can guide treatment intensification in patients with Crohn's disease who lose clinical response","type":"article-journal","volume":"47"},"uris":["http://www.mendeley.com/documents/?uuid=133a7bb2-ba5b-4ff3-be23-9f6a48b4bf8f"]},{"id":"ITEM-2","itemData":{"DOI":"10.1016/j.cgh.2014.07.029","ISSN":"15423565","author":[{"dropping-particle":"","family":"Yanai","given":"Henit","non-dropping-particle":"","parse-names":false,"suffix":""},{"dropping-particle":"","family":"Lichtenstein","given":"Lev","non-dropping-particle":"","parse-names":false,"suffix":""},{"dropping-particle":"","family":"Assa","given":"Amit","non-dropping-particle":"","parse-names":false,"suffix":""},{"dropping-particle":"","family":"Mazor","given":"Yoav","non-dropping-particle":"","parse-names":false,"suffix":""},{"dropping-particle":"","family":"Weiss","given":"Batia","non-dropping-particle":"","parse-names":false,"suffix":""},{"dropping-particle":"","family":"Levine","given":"Arie","non-dropping-particle":"","parse-names":false,"suffix":""},{"dropping-particle":"","family":"Ron","given":"Yulia","non-dropping-particle":"","parse-names":false,"suffix":""},{"dropping-particle":"","family":"Kopylov","given":"Uri","non-dropping-particle":"","parse-names":false,"suffix":""},{"dropping-particle":"","family":"Bujanover","given":"Yoram","non-dropping-particle":"","parse-names":false,"suffix":""},{"dropping-particle":"","family":"Rosenbach","given":"Yoram","non-dropping-particle":"","parse-names":false,"suffix":""},{"dropping-particle":"","family":"Ungar","given":"Bella","non-dropping-particle":"","parse-names":false,"suffix":""},{"dropping-particle":"","family":"Eliakim","given":"Rami","non-dropping-particle":"","parse-names":false,"suffix":""},{"dropping-particle":"","family":"Chowers","given":"Yehuda","non-dropping-particle":"","parse-names":false,"suffix":""},{"dropping-particle":"","family":"Shamir","given":"Raanan","non-dropping-particle":"","parse-names":false,"suffix":""},{"dropping-particle":"","family":"Fraser","given":"Gerald","non-dropping-particle":"","parse-names":false,"suffix":""},{"dropping-particle":"","family":"Dotan","given":"Iris","non-dropping-particle":"","parse-names":false,"suffix":""},{"dropping-particle":"","family":"Ben-Horin","given":"Shomron","non-dropping-particle":"","parse-names":false,"suffix":""}],"container-title":"Clinical Gastroenterology and Hepatology","id":"ITEM-2","issue":"3","issued":{"date-parts":[["2015","3"]]},"page":"522-530.e2","title":"Levels of Drug and Antidrug Antibodies Are Associated With Outcome of Interventions After Loss of Response to Infliximab or Adalimumab","type":"article-journal","volume":"13"},"uris":["http://www.mendeley.com/documents/?uuid=2d7b6b20-fb67-4e90-b415-1ead218aa900"]}],"mendeley":{"formattedCitation":"&lt;sup&gt;179,180&lt;/sup&gt;","plainTextFormattedCitation":"179,180","previouslyFormattedCitation":"&lt;sup&gt;179,180&lt;/sup&gt;"},"properties":{"noteIndex":0},"schema":"https://github.com/citation-style-language/schema/raw/master/csl-citation.json"}</w:instrText>
      </w:r>
      <w:r w:rsidR="00B02586" w:rsidRPr="00922C73">
        <w:rPr>
          <w:rFonts w:ascii="Times New Roman" w:hAnsi="Times New Roman" w:cs="Times New Roman"/>
          <w:sz w:val="24"/>
          <w:szCs w:val="24"/>
        </w:rPr>
        <w:fldChar w:fldCharType="separate"/>
      </w:r>
      <w:r w:rsidR="00DD0F87" w:rsidRPr="00922C73">
        <w:rPr>
          <w:rFonts w:ascii="Times New Roman" w:hAnsi="Times New Roman" w:cs="Times New Roman"/>
          <w:noProof/>
          <w:sz w:val="24"/>
          <w:szCs w:val="24"/>
          <w:vertAlign w:val="superscript"/>
        </w:rPr>
        <w:t>179,180</w:t>
      </w:r>
      <w:r w:rsidR="00B02586"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However, the use of different anti-drug assays in the literature creates difficulty in determining a clinically relevant threshold of ATI, which is generalisable. In our cohort, despite significant levels of ATI in the ATI positive group (median 32 mg/L, range 10-223) infliximab DE did lead to a significant increase in trough drug levels. </w:t>
      </w:r>
      <w:bookmarkStart w:id="170" w:name="_Hlk73698166"/>
      <w:r w:rsidRPr="00922C73">
        <w:rPr>
          <w:rFonts w:ascii="Times New Roman" w:hAnsi="Times New Roman" w:cs="Times New Roman"/>
          <w:sz w:val="24"/>
          <w:szCs w:val="24"/>
        </w:rPr>
        <w:t xml:space="preserve">It would have been of interest to review whether “grouping” patients into ATI levels affected their response to dose escalation. However, the number of patients in the ATI positive group limited this. </w:t>
      </w:r>
      <w:bookmarkEnd w:id="170"/>
      <w:r w:rsidRPr="00922C73">
        <w:rPr>
          <w:rFonts w:ascii="Times New Roman" w:hAnsi="Times New Roman" w:cs="Times New Roman"/>
          <w:sz w:val="24"/>
          <w:szCs w:val="24"/>
        </w:rPr>
        <w:t xml:space="preserve">Interestingly, infliximab levels post DE were higher for the ATI positive group. There was no significant difference in the different methods of DE used between the ATI positive and negative groups. However, significantly more ATI negative patients received DE for loss of response. The increased inflammation and circulating TNFα may have led to increased drug consumption, explaining the lower drug level in this group. </w:t>
      </w:r>
      <w:bookmarkStart w:id="171" w:name="_Hlk73622055"/>
      <w:r w:rsidRPr="00922C73">
        <w:rPr>
          <w:rFonts w:ascii="Times New Roman" w:hAnsi="Times New Roman" w:cs="Times New Roman"/>
          <w:sz w:val="24"/>
          <w:szCs w:val="24"/>
        </w:rPr>
        <w:t xml:space="preserve">More people were reactively dose escalated in in the ATI negative group as the combination of LOR and high </w:t>
      </w:r>
      <w:r w:rsidRPr="00922C73">
        <w:rPr>
          <w:rFonts w:ascii="Times New Roman" w:hAnsi="Times New Roman" w:cs="Times New Roman"/>
          <w:sz w:val="24"/>
          <w:szCs w:val="24"/>
        </w:rPr>
        <w:lastRenderedPageBreak/>
        <w:t xml:space="preserve">ATI levels may have led to alternative management decisions such as switching to a different biologic as per clinical guidelines </w:t>
      </w:r>
      <w:r w:rsidR="00B0258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mendeley":{"formattedCitation":"&lt;sup&gt;17&lt;/sup&gt;","plainTextFormattedCitation":"17","previouslyFormattedCitation":"&lt;sup&gt;17&lt;/sup&gt;"},"properties":{"noteIndex":0},"schema":"https://github.com/citation-style-language/schema/raw/master/csl-citation.json"}</w:instrText>
      </w:r>
      <w:r w:rsidR="00B0258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17</w:t>
      </w:r>
      <w:r w:rsidR="00B02586"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w:t>
      </w:r>
    </w:p>
    <w:bookmarkEnd w:id="171"/>
    <w:p w14:paraId="6310BDC4" w14:textId="77777777" w:rsidR="00143608" w:rsidRPr="00922C73" w:rsidRDefault="00143608" w:rsidP="004716F7">
      <w:pPr>
        <w:spacing w:line="480" w:lineRule="auto"/>
        <w:rPr>
          <w:rFonts w:ascii="Times New Roman" w:hAnsi="Times New Roman" w:cs="Times New Roman"/>
          <w:sz w:val="24"/>
          <w:szCs w:val="24"/>
        </w:rPr>
      </w:pPr>
    </w:p>
    <w:p w14:paraId="144CE5F1" w14:textId="64FE2D90" w:rsidR="00143608" w:rsidRPr="00922C73" w:rsidRDefault="00143608" w:rsidP="004716F7">
      <w:pPr>
        <w:spacing w:line="480" w:lineRule="auto"/>
        <w:rPr>
          <w:rFonts w:ascii="Times New Roman" w:hAnsi="Times New Roman" w:cs="Times New Roman"/>
          <w:sz w:val="24"/>
          <w:szCs w:val="24"/>
        </w:rPr>
      </w:pPr>
      <w:r w:rsidRPr="00922C73">
        <w:rPr>
          <w:rFonts w:ascii="Times New Roman" w:hAnsi="Times New Roman" w:cs="Times New Roman"/>
          <w:sz w:val="24"/>
          <w:szCs w:val="24"/>
        </w:rPr>
        <w:t>Our study shows that total ATI levels can reduce following DE. There was no significant difference in baseline ATI levels between those who became ATI negative and those who remained positive after DE. ATI levels in the former group ranged greatly - from 12-103 AU/</w:t>
      </w:r>
      <w:proofErr w:type="spellStart"/>
      <w:r w:rsidRPr="00922C73">
        <w:rPr>
          <w:rFonts w:ascii="Times New Roman" w:hAnsi="Times New Roman" w:cs="Times New Roman"/>
          <w:sz w:val="24"/>
          <w:szCs w:val="24"/>
        </w:rPr>
        <w:t>mL.</w:t>
      </w:r>
      <w:proofErr w:type="spellEnd"/>
      <w:r w:rsidRPr="00922C73">
        <w:rPr>
          <w:rFonts w:ascii="Times New Roman" w:hAnsi="Times New Roman" w:cs="Times New Roman"/>
          <w:sz w:val="24"/>
          <w:szCs w:val="24"/>
        </w:rPr>
        <w:t xml:space="preserve"> The lack of association between baseline ATI level in predicting ATI negativity following DE may be due to the small numbers but also suggests other factors may be more important. HLA genotype is associated with the development and persistence of anti-drug antibodies to TNF agents </w:t>
      </w:r>
      <w:r w:rsidR="00B0258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10.1053/j.gastro.2019.09.041","ISSN":"00165085","author":[{"dropping-particle":"","family":"Sazonovs","given":"Aleksejs","non-dropping-particle":"","parse-names":false,"suffix":""},{"dropping-particle":"","family":"Kennedy","given":"Nicholas A.","non-dropping-particle":"","parse-names":false,"suffix":""},{"dropping-particle":"","family":"Moutsianas","given":"Loukas","non-dropping-particle":"","parse-names":false,"suffix":""},{"dropping-particle":"","family":"Heap","given":"Graham A.","non-dropping-particle":"","parse-names":false,"suffix":""},{"dropping-particle":"","family":"Rice","given":"Daniel L.","non-dropping-particle":"","parse-names":false,"suffix":""},{"dropping-particle":"","family":"Reppell","given":"Mark","non-dropping-particle":"","parse-names":false,"suffix":""},{"dropping-particle":"","family":"Bewshea","given":"Claire M.","non-dropping-particle":"","parse-names":false,"suffix":""},{"dropping-particle":"","family":"Chanchlani","given":"Neil","non-dropping-particle":"","parse-names":false,"suffix":""},{"dropping-particle":"","family":"Walker","given":"Gareth J.","non-dropping-particle":"","parse-names":false,"suffix":""},{"dropping-particle":"","family":"Perry","given":"Mandy H.","non-dropping-particle":"","parse-names":false,"suffix":""},{"dropping-particle":"","family":"McDonald","given":"Timothy J.","non-dropping-particle":"","parse-names":false,"suffix":""},{"dropping-particle":"","family":"Lees","given":"Charlie W.","non-dropping-particle":"","parse-names":false,"suffix":""},{"dropping-particle":"","family":"Cummings","given":"J.R. Fraser","non-dropping-particle":"","parse-names":false,"suffix":""},{"dropping-particle":"","family":"Parkes","given":"Miles","non-dropping-particle":"","parse-names":false,"suffix":""},{"dropping-particle":"","family":"Mansfield","given":"John C.","non-dropping-particle":"","parse-names":false,"suffix":""},{"dropping-particle":"","family":"Irving","given":"Peter M.","non-dropping-particle":"","parse-names":false,"suffix":""},{"dropping-particle":"","family":"Barrett","given":"Jeffrey C.","non-dropping-particle":"","parse-names":false,"suffix":""},{"dropping-particle":"","family":"McGovern","given":"Dermot","non-dropping-particle":"","parse-names":false,"suffix":""},{"dropping-particle":"","family":"Goodhand","given":"James R.","non-dropping-particle":"","parse-names":false,"suffix":""},{"dropping-particle":"","family":"Anderson","given":"Carl A.","non-dropping-particle":"","parse-names":false,"suffix":""},{"dropping-particle":"","family":"Ahmad","given":"Tariq","non-dropping-particle":"","parse-names":false,"suffix":""},{"dropping-particle":"","family":"Patel","given":"Vinod","non-dropping-particle":"","parse-names":false,"suffix":""},{"dropping-particle":"","family":"Mazhar","given":"Zia","non-dropping-particle":"","parse-names":false,"suffix":""},{"dropping-particle":"","family":"Saich","given":"Rebecca","non-dropping-particle":"","parse-names":false,"suffix":""},{"dropping-particle":"","family":"Colleypriest","given":"Ben","non-dropping-particle":"","parse-names":false,"suffix":""},{"dropping-particle":"","family":"Tham","given":"Tony C","non-dropping-particle":"","parse-names":false,"suffix":""},{"dropping-particle":"","family":"Iqbal","given":"Tariq H","non-dropping-particle":"","parse-names":false,"suffix":""},{"dropping-particle":"","family":"Kaushik","given":"Vishal","non-dropping-particle":"","parse-names":false,"suffix":""},{"dropping-particle":"","family":"Murugesan","given":"Senthil","non-dropping-particle":"","parse-names":false,"suffix":""},{"dropping-particle":"","family":"Singh","given":"Salil","non-dropping-particle":"","parse-names":false,"suffix":""},{"dropping-particle":"","family":"Weaver","given":"Sean","non-dropping-particle":"","parse-names":false,"suffix":""},{"dropping-particle":"","family":"Preston","given":"Cathryn","non-dropping-particle":"","parse-names":false,"suffix":""},{"dropping-particle":"","family":"Butt","given":"Assad","non-dropping-particle":"","parse-names":false,"suffix":""},{"dropping-particle":"","family":"Smith","given":"Melissa","non-dropping-particle":"","parse-names":false,"suffix":""},{"dropping-particle":"","family":"Basude","given":"Dharamveer","non-dropping-particle":"","parse-names":false,"suffix":""},{"dropping-particle":"","family":"Beale","given":"Amanda","non-dropping-particle":"","parse-names":false,"suffix":""},{"dropping-particle":"","family":"Langlands","given":"Sarah","non-dropping-particle":"","parse-names":false,"suffix":""},{"dropping-particle":"","family":"Direkze","given":"Natalie","non-dropping-particle":"","parse-names":false,"suffix":""},{"dropping-particle":"","family":"Parkes","given":"Miles","non-dropping-particle":"","parse-names":false,"suffix":""},{"dropping-particle":"","family":"Torrente","given":"Franco","non-dropping-particle":"","parse-names":false,"suffix":""},{"dropping-particle":"","family":"La Revella Negro","given":"Juan","non-dropping-particle":"De","parse-names":false,"suffix":""},{"dropping-particle":"","family":"Ewen MacDonald","given":"Chris","non-dropping-particle":"","parse-names":false,"suffix":""},{"dropping-particle":"","family":"Evans","given":"Stephen M","non-dropping-particle":"","parse-names":false,"suffix":""},{"dropping-particle":"","family":"Gunasekera","given":"Anton V J","non-dropping-particle":"","parse-names":false,"suffix":""},{"dropping-particle":"","family":"Thakur","given":"Alka","non-dropping-particle":"","parse-names":false,"suffix":""},{"dropping-particle":"","family":"Elphick","given":"David","non-dropping-particle":"","parse-names":false,"suffix":""},{"dropping-particle":"","family":"Shenoy","given":"Achuth","non-dropping-particle":"","parse-names":false,"suffix":""},{"dropping-particle":"","family":"Nwokolo","given":"Chuka U","non-dropping-particle":"","parse-names":false,"suffix":""},{"dropping-particle":"","family":"Dhar","given":"Anjan","non-dropping-particle":"","parse-names":false,"suffix":""},{"dropping-particle":"","family":"Cole","given":"Andrew T","non-dropping-particle":"","parse-names":false,"suffix":""},{"dropping-particle":"","family":"Agrawal","given":"Anurag","non-dropping-particle":"","parse-names":false,"suffix":""},{"dropping-particle":"","family":"Bridger","given":"Stephen","non-dropping-particle":"","parse-names":false,"suffix":""},{"dropping-particle":"","family":"Doherty","given":"Julie","non-dropping-particle":"","parse-names":false,"suffix":""},{"dropping-particle":"","family":"Cooper","given":"Sheldon C","non-dropping-particle":"","parse-names":false,"suffix":""},{"dropping-particle":"","family":"Silva","given":"Shanika","non-dropping-particle":"de","parse-names":false,"suffix":""},{"dropping-particle":"","family":"Mowat","given":"Craig","non-dropping-particle":"","parse-names":false,"suffix":""},{"dropping-particle":"","family":"Mayhead","given":"Phillip","non-dropping-particle":"","parse-names":false,"suffix":""},{"dropping-particle":"","family":"Lees","given":"Charlie","non-dropping-particle":"","parse-names":false,"suffix":""},{"dropping-particle":"","family":"Jones","given":"Gareth","non-dropping-particle":"","parse-names":false,"suffix":""},{"dropping-particle":"","family":"Ahmad","given":"Tariq","non-dropping-particle":"","parse-names":false,"suffix":""},{"dropping-particle":"","family":"Hart","given":"James W","non-dropping-particle":"","parse-names":false,"suffix":""},{"dropping-particle":"","family":"Gaya","given":"Daniel R","non-dropping-particle":"","parse-names":false,"suffix":""},{"dropping-particle":"","family":"Russell","given":"Richard K","non-dropping-particle":"","parse-names":false,"suffix":""},{"dropping-particle":"","family":"Gervais","given":"Lisa","non-dropping-particle":"","parse-names":false,"suffix":""},{"dropping-particle":"","family":"Dunckley","given":"Paul","non-dropping-particle":"","parse-names":false,"suffix":""},{"dropping-particle":"","family":"Mahmood","given":"Tariq","non-dropping-particle":"","parse-names":false,"suffix":""},{"dropping-particle":"","family":"Banim","given":"Paul J R","non-dropping-particle":"","parse-names":false,"suffix":""},{"dropping-particle":"","family":"Sonwalkar","given":"Sunil","non-dropping-particle":"","parse-names":false,"suffix":""},{"dropping-particle":"","family":"Ghosh","given":"Deb","non-dropping-particle":"","parse-names":false,"suffix":""},{"dropping-particle":"","family":"Phillips","given":"Rosemary H","non-dropping-particle":"","parse-names":false,"suffix":""},{"dropping-particle":"","family":"Azaz","given":"Amer","non-dropping-particle":"","parse-names":false,"suffix":""},{"dropping-particle":"","family":"Sebastian","given":"Shaji","non-dropping-particle":"","parse-names":false,"suffix":""},{"dropping-particle":"","family":"Shenderey","given":"Richard","non-dropping-particle":"","parse-names":false,"suffix":""},{"dropping-particle":"","family":"Armstrong","given":"Lawrence","non-dropping-particle":"","parse-names":false,"suffix":""},{"dropping-particle":"","family":"Bell","given":"Claire","non-dropping-particle":"","parse-names":false,"suffix":""},{"dropping-particle":"","family":"Hariraj","given":"Radhakrishnan","non-dropping-particle":"","parse-names":false,"suffix":""},{"dropping-particle":"","family":"Matthews","given":"Helen","non-dropping-particle":"","parse-names":false,"suffix":""},{"dropping-particle":"","family":"Jafferbhoy","given":"Hasnain","non-dropping-particle":"","parse-names":false,"suffix":""},{"dropping-particle":"","family":"Selinger","given":"Christian P","non-dropping-particle":"","parse-names":false,"suffix":""},{"dropping-particle":"","family":"Zamvar","given":"Veena","non-dropping-particle":"","parse-names":false,"suffix":""},{"dropping-particle":"","family":"Caestecker","given":"John S","non-dropping-particle":"De","parse-names":false,"suffix":""},{"dropping-particle":"","family":"Willmott","given":"Anne","non-dropping-particle":"","parse-names":false,"suffix":""},{"dropping-particle":"","family":"Miller","given":"Richard","non-dropping-particle":"","parse-names":false,"suffix":""},{"dropping-particle":"","family":"Sathish Babu","given":"Palani","non-dropping-particle":"","parse-names":false,"suffix":""},{"dropping-particle":"","family":"Tzivinikos","given":"Christos","non-dropping-particle":"","parse-names":false,"suffix":""},{"dropping-particle":"","family":"Bloom","given":"Stuart L","non-dropping-particle":"","parse-names":false,"suffix":""},{"dropping-particle":"","family":"Chung-Faye","given":"Guy","non-dropping-particle":"","parse-names":false,"suffix":""},{"dropping-particle":"","family":"Croft","given":"Nicholas M","non-dropping-particle":"","parse-names":false,"suffix":""},{"dropping-particle":"","family":"Fell","given":"John ME","non-dropping-particle":"","parse-names":false,"suffix":""},{"dropping-particle":"","family":"Harbord","given":"Marcus","non-dropping-particle":"","parse-names":false,"suffix":""},{"dropping-particle":"","family":"Hart","given":"Ailsa","non-dropping-particle":"","parse-names":false,"suffix":""},{"dropping-particle":"","family":"Hope","given":"Ben","non-dropping-particle":"","parse-names":false,"suffix":""},{"dropping-particle":"","family":"Irving","given":"Peter M","non-dropping-particle":"","parse-names":false,"suffix":""},{"dropping-particle":"","family":"Lindsay","given":"James O","non-dropping-particle":"","parse-names":false,"suffix":""},{"dropping-particle":"","family":"Mawdsley","given":"Joel E","non-dropping-particle":"","parse-names":false,"suffix":""},{"dropping-particle":"","family":"McNair","given":"Alistair","non-dropping-particle":"","parse-names":false,"suffix":""},{"dropping-particle":"","family":"Monahan","given":"Kevin J","non-dropping-particle":"","parse-names":false,"suffix":""},{"dropping-particle":"","family":"Murray","given":"Charles D","non-dropping-particle":"","parse-names":false,"suffix":""},{"dropping-particle":"","family":"Orchard","given":"Timothy","non-dropping-particle":"","parse-names":false,"suffix":""},{"dropping-particle":"","family":"Paul","given":"Thankam","non-dropping-particle":"","parse-names":false,"suffix":""},{"dropping-particle":"","family":"Pollok","given":"Richard","non-dropping-particle":"","parse-names":false,"suffix":""},{"dropping-particle":"","family":"Shah","given":"Neil","non-dropping-particle":"","parse-names":false,"suffix":""},{"dropping-particle":"","family":"Bouri","given":"Sonia","non-dropping-particle":"","parse-names":false,"suffix":""},{"dropping-particle":"","family":"Johnson","given":"Matt W","non-dropping-particle":"","parse-names":false,"suffix":""},{"dropping-particle":"","family":"Modi","given":"Anita","non-dropping-particle":"","parse-names":false,"suffix":""},{"dropping-particle":"","family":"Dawa Kabiru","given":"Kasamu","non-dropping-particle":"","parse-names":false,"suffix":""},{"dropping-particle":"","family":"Baburajan","given":"B K","non-dropping-particle":"","parse-names":false,"suffix":""},{"dropping-particle":"","family":"Bhaduri","given":"Bim","non-dropping-particle":"","parse-names":false,"suffix":""},{"dropping-particle":"","family":"Adebayo Fagbemi","given":"Andrew","non-dropping-particle":"","parse-names":false,"suffix":""},{"dropping-particle":"","family":"Levison","given":"Scott","non-dropping-particle":"","parse-names":false,"suffix":""},{"dropping-particle":"","family":"Limdi","given":"Jimmy K","non-dropping-particle":"","parse-names":false,"suffix":""},{"dropping-particle":"","family":"Watts","given":"Gill","non-dropping-particle":"","parse-names":false,"suffix":""},{"dropping-particle":"","family":"Foley","given":"Stephen","non-dropping-particle":"","parse-names":false,"suffix":""},{"dropping-particle":"","family":"Ramadas","given":"Arvind","non-dropping-particle":"","parse-names":false,"suffix":""},{"dropping-particle":"","family":"MacFaul","given":"George","non-dropping-particle":"","parse-names":false,"suffix":""},{"dropping-particle":"","family":"Mansfield","given":"John","non-dropping-particle":"","parse-names":false,"suffix":""},{"dropping-particle":"","family":"Grellier","given":"Leonie","non-dropping-particle":"","parse-names":false,"suffix":""},{"dropping-particle":"","family":"Morris","given":"Mary-Anne","non-dropping-particle":"","parse-names":false,"suffix":""},{"dropping-particle":"","family":"Tremelling","given":"Mark","non-dropping-particle":"","parse-names":false,"suffix":""},{"dropping-particle":"","family":"Hawkey","given":"Chris","non-dropping-particle":"","parse-names":false,"suffix":""},{"dropping-particle":"","family":"Kirkham","given":"Sian","non-dropping-particle":"","parse-names":false,"suffix":""},{"dropping-particle":"","family":"Charlton","given":"Charles PJ","non-dropping-particle":"","parse-names":false,"suffix":""},{"dropping-particle":"","family":"Rodrigues","given":"Astor","non-dropping-particle":"","parse-names":false,"suffix":""},{"dropping-particle":"","family":"Simmons","given":"Alison","non-dropping-particle":"","parse-names":false,"suffix":""},{"dropping-particle":"","family":"Lewis","given":"Stephen J","non-dropping-particle":"","parse-names":false,"suffix":""},{"dropping-particle":"","family":"Snook","given":"Jonathon","non-dropping-particle":"","parse-names":false,"suffix":""},{"dropping-particle":"","family":"Tighe","given":"Mark","non-dropping-particle":"","parse-names":false,"suffix":""},{"dropping-particle":"","family":"Goggin","given":"Patrick M","non-dropping-particle":"","parse-names":false,"suffix":""},{"dropping-particle":"","family":"Silva","given":"Aminda N","non-dropping-particle":"De","parse-names":false,"suffix":""},{"dropping-particle":"","family":"Lal","given":"Simon","non-dropping-particle":"","parse-names":false,"suffix":""},{"dropping-particle":"","family":"Smith","given":"Mark S","non-dropping-particle":"","parse-names":false,"suffix":""},{"dropping-particle":"","family":"Panter","given":"Simon","non-dropping-particle":"","parse-names":false,"suffix":""},{"dropping-particle":"","family":"Cummings","given":"Fraser","non-dropping-particle":"","parse-names":false,"suffix":""},{"dropping-particle":"","family":"Dharmisari","given":"Suranga","non-dropping-particle":"","parse-names":false,"suffix":""},{"dropping-particle":"","family":"Carter","given":"Martyn","non-dropping-particle":"","parse-names":false,"suffix":""},{"dropping-particle":"","family":"Watts","given":"David","non-dropping-particle":"","parse-names":false,"suffix":""},{"dropping-particle":"","family":"Mahmood","given":"Zahid","non-dropping-particle":"","parse-names":false,"suffix":""},{"dropping-particle":"","family":"McLain","given":"Bruce","non-dropping-particle":"","parse-names":false,"suffix":""},{"dropping-particle":"","family":"Sen","given":"Sandip","non-dropping-particle":"","parse-names":false,"suffix":""},{"dropping-particle":"","family":"Pigott","given":"Anna J","non-dropping-particle":"","parse-names":false,"suffix":""},{"dropping-particle":"","family":"Hobday","given":"David","non-dropping-particle":"","parse-names":false,"suffix":""},{"dropping-particle":"","family":"Wesley","given":"Emma","non-dropping-particle":"","parse-names":false,"suffix":""},{"dropping-particle":"","family":"Johnston","given":"Richard","non-dropping-particle":"","parse-names":false,"suffix":""},{"dropping-particle":"","family":"Edwards","given":"Cathryn","non-dropping-particle":"","parse-names":false,"suffix":""},{"dropping-particle":"","family":"Beckly","given":"John","non-dropping-particle":"","parse-names":false,"suffix":""},{"dropping-particle":"","family":"Vani","given":"Deven","non-dropping-particle":"","parse-names":false,"suffix":""},{"dropping-particle":"","family":"Ramakrishnan","given":"Subramaniam","non-dropping-particle":"","parse-names":false,"suffix":""},{"dropping-particle":"","family":"Chaudhary","given":"Rakesh","non-dropping-particle":"","parse-names":false,"suffix":""},{"dropping-particle":"","family":"Trudgill","given":"Nigel J","non-dropping-particle":"","parse-names":false,"suffix":""},{"dropping-particle":"","family":"Cooney","given":"Rachel","non-dropping-particle":"","parse-names":false,"suffix":""},{"dropping-particle":"","family":"Bell","given":"Andy","non-dropping-particle":"","parse-names":false,"suffix":""},{"dropping-particle":"","family":"Prasad","given":"Neeraj","non-dropping-particle":"","parse-names":false,"suffix":""},{"dropping-particle":"","family":"Gordon","given":"John N","non-dropping-particle":"","parse-names":false,"suffix":""},{"dropping-particle":"","family":"Brookes","given":"Matthew J","non-dropping-particle":"","parse-names":false,"suffix":""},{"dropping-particle":"","family":"Li","given":"Andy","non-dropping-particle":"","parse-names":false,"suffix":""},{"dropping-particle":"","family":"Gore","given":"Stephen","non-dropping-particle":"","parse-names":false,"suffix":""}],"container-title":"Gastroenterology","id":"ITEM-1","issue":"1","issued":{"date-parts":[["2020","1"]]},"page":"189-199","title":"HLA-DQA1*05 Carriage Associated With Development of Anti-Drug Antibodies to Infliximab and Adalimumab in Patients With Crohn’s Disease","type":"article-journal","volume":"158"},"uris":["http://www.mendeley.com/documents/?uuid=9145785c-7dc1-4e72-9763-2cb891217472"]}],"mendeley":{"formattedCitation":"&lt;sup&gt;128&lt;/sup&gt;","plainTextFormattedCitation":"128","previouslyFormattedCitation":"&lt;sup&gt;128&lt;/sup&gt;"},"properties":{"noteIndex":0},"schema":"https://github.com/citation-style-language/schema/raw/master/csl-citation.json"}</w:instrText>
      </w:r>
      <w:r w:rsidR="00B0258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128</w:t>
      </w:r>
      <w:r w:rsidR="00B02586"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It is therefore also possible that these individuals will also respond less favourably to DE. There is also evidence that different types of antibodies to infliximab may be generated </w:t>
      </w:r>
      <w:r w:rsidR="00B02586" w:rsidRPr="00922C73">
        <w:rPr>
          <w:rFonts w:ascii="Times New Roman" w:hAnsi="Times New Roman" w:cs="Times New Roman"/>
          <w:sz w:val="24"/>
          <w:szCs w:val="24"/>
        </w:rPr>
        <w:fldChar w:fldCharType="begin" w:fldLock="1"/>
      </w:r>
      <w:r w:rsidR="00DD0F87" w:rsidRPr="00922C73">
        <w:rPr>
          <w:rFonts w:ascii="Times New Roman" w:hAnsi="Times New Roman" w:cs="Times New Roman"/>
          <w:sz w:val="24"/>
          <w:szCs w:val="24"/>
        </w:rPr>
        <w:instrText>ADDIN CSL_CITATION {"citationItems":[{"id":"ITEM-1","itemData":{"DOI":"10.1136/annrheumdis-2014-206237","ISBN":"2015207503","ISSN":"0003-4967","PMID":"25342759","abstract":"BACKGROUND: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Diseases","id":"ITEM-1","issue":"1","issued":{"date-parts":[["2015","1"]]},"page":"311-314","title":"The antibody response against human and chimeric anti-TNF therapeutic antibodies primarily targets the TNF binding region","type":"article-journal","volume":"74"},"uris":["http://www.mendeley.com/documents/?uuid=c5c9c2d8-4bea-431e-974f-09a2aa2b2007"]},{"id":"ITEM-2","itemData":{"DOI":"10.1186/s12967-015-0706-7","ISSN":"1479-5876","PMID":"26511203","abstract":"Background: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Medicine","id":"ITEM-2","issue":"1","issued":{"date-parts":[["2015","12","29"]]},"page":"339","publisher":"BioMed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33,159&lt;/sup&gt;","plainTextFormattedCitation":"33,159","previouslyFormattedCitation":"&lt;sup&gt;33,159&lt;/sup&gt;"},"properties":{"noteIndex":0},"schema":"https://github.com/citation-style-language/schema/raw/master/csl-citation.json"}</w:instrText>
      </w:r>
      <w:r w:rsidR="00B02586" w:rsidRPr="00922C73">
        <w:rPr>
          <w:rFonts w:ascii="Times New Roman" w:hAnsi="Times New Roman" w:cs="Times New Roman"/>
          <w:sz w:val="24"/>
          <w:szCs w:val="24"/>
        </w:rPr>
        <w:fldChar w:fldCharType="separate"/>
      </w:r>
      <w:r w:rsidR="00A00D49" w:rsidRPr="00922C73">
        <w:rPr>
          <w:rFonts w:ascii="Times New Roman" w:hAnsi="Times New Roman" w:cs="Times New Roman"/>
          <w:noProof/>
          <w:sz w:val="24"/>
          <w:szCs w:val="24"/>
          <w:vertAlign w:val="superscript"/>
        </w:rPr>
        <w:t>33,159</w:t>
      </w:r>
      <w:r w:rsidR="00B02586" w:rsidRPr="00922C73">
        <w:rPr>
          <w:rFonts w:ascii="Times New Roman" w:hAnsi="Times New Roman" w:cs="Times New Roman"/>
          <w:sz w:val="24"/>
          <w:szCs w:val="24"/>
        </w:rPr>
        <w:fldChar w:fldCharType="end"/>
      </w:r>
      <w:r w:rsidRPr="00922C73">
        <w:rPr>
          <w:rFonts w:ascii="Times New Roman" w:hAnsi="Times New Roman" w:cs="Times New Roman"/>
          <w:sz w:val="24"/>
          <w:szCs w:val="24"/>
        </w:rPr>
        <w:t xml:space="preserve"> and it may be that the different antibodies respond differently to DE. </w:t>
      </w:r>
    </w:p>
    <w:p w14:paraId="651E0AF1" w14:textId="77777777" w:rsidR="00143608" w:rsidRPr="00922C73" w:rsidRDefault="00143608" w:rsidP="004716F7">
      <w:pPr>
        <w:spacing w:line="480" w:lineRule="auto"/>
        <w:rPr>
          <w:rFonts w:ascii="Times New Roman" w:hAnsi="Times New Roman" w:cs="Times New Roman"/>
          <w:sz w:val="24"/>
          <w:szCs w:val="24"/>
        </w:rPr>
      </w:pPr>
    </w:p>
    <w:p w14:paraId="22CA9851" w14:textId="77777777" w:rsidR="00CB445F" w:rsidRPr="00922C73" w:rsidRDefault="00CB445F" w:rsidP="00E23299">
      <w:pPr>
        <w:spacing w:line="480" w:lineRule="auto"/>
        <w:rPr>
          <w:rFonts w:ascii="Times New Roman" w:hAnsi="Times New Roman" w:cs="Times New Roman"/>
          <w:sz w:val="24"/>
          <w:szCs w:val="24"/>
        </w:rPr>
      </w:pPr>
    </w:p>
    <w:p w14:paraId="258C2F52" w14:textId="77777777" w:rsidR="00116A91" w:rsidRPr="00922C73" w:rsidRDefault="00116A91" w:rsidP="00E23299">
      <w:pPr>
        <w:spacing w:line="480" w:lineRule="auto"/>
        <w:rPr>
          <w:rFonts w:ascii="Times New Roman" w:hAnsi="Times New Roman" w:cs="Times New Roman"/>
          <w:sz w:val="24"/>
          <w:szCs w:val="24"/>
        </w:rPr>
      </w:pPr>
    </w:p>
    <w:p w14:paraId="37A74265" w14:textId="77777777" w:rsidR="00116A91" w:rsidRPr="00922C73" w:rsidRDefault="00116A91" w:rsidP="00E23299">
      <w:pPr>
        <w:spacing w:line="480" w:lineRule="auto"/>
        <w:rPr>
          <w:rFonts w:ascii="Times New Roman" w:hAnsi="Times New Roman" w:cs="Times New Roman"/>
          <w:sz w:val="24"/>
          <w:szCs w:val="24"/>
        </w:rPr>
      </w:pPr>
    </w:p>
    <w:p w14:paraId="19725831" w14:textId="77777777" w:rsidR="00116A91" w:rsidRPr="00922C73" w:rsidRDefault="00116A91" w:rsidP="00E23299">
      <w:pPr>
        <w:spacing w:line="480" w:lineRule="auto"/>
        <w:rPr>
          <w:rFonts w:ascii="Times New Roman" w:hAnsi="Times New Roman" w:cs="Times New Roman"/>
          <w:sz w:val="24"/>
          <w:szCs w:val="24"/>
        </w:rPr>
      </w:pPr>
    </w:p>
    <w:p w14:paraId="021271C3" w14:textId="77777777" w:rsidR="00116A91" w:rsidRPr="00922C73" w:rsidRDefault="00116A91" w:rsidP="00E23299">
      <w:pPr>
        <w:spacing w:line="480" w:lineRule="auto"/>
        <w:rPr>
          <w:rFonts w:ascii="Times New Roman" w:hAnsi="Times New Roman" w:cs="Times New Roman"/>
          <w:sz w:val="24"/>
          <w:szCs w:val="24"/>
        </w:rPr>
      </w:pPr>
    </w:p>
    <w:p w14:paraId="76FF3FA6" w14:textId="77777777" w:rsidR="00116A91" w:rsidRPr="00922C73" w:rsidRDefault="00116A91" w:rsidP="00E23299">
      <w:pPr>
        <w:spacing w:line="480" w:lineRule="auto"/>
        <w:rPr>
          <w:rFonts w:ascii="Times New Roman" w:hAnsi="Times New Roman" w:cs="Times New Roman"/>
          <w:sz w:val="24"/>
          <w:szCs w:val="24"/>
        </w:rPr>
      </w:pPr>
    </w:p>
    <w:p w14:paraId="4B23F915" w14:textId="77777777" w:rsidR="00116A91" w:rsidRPr="00922C73" w:rsidRDefault="00116A91" w:rsidP="00E23299">
      <w:pPr>
        <w:spacing w:line="480" w:lineRule="auto"/>
        <w:rPr>
          <w:rFonts w:ascii="Times New Roman" w:hAnsi="Times New Roman" w:cs="Times New Roman"/>
          <w:sz w:val="24"/>
          <w:szCs w:val="24"/>
        </w:rPr>
      </w:pPr>
    </w:p>
    <w:p w14:paraId="2A50E105" w14:textId="77777777" w:rsidR="00116A91" w:rsidRDefault="00116A91" w:rsidP="00E23299">
      <w:pPr>
        <w:spacing w:line="480" w:lineRule="auto"/>
        <w:rPr>
          <w:rFonts w:ascii="Times New Roman" w:hAnsi="Times New Roman" w:cs="Times New Roman"/>
          <w:sz w:val="24"/>
          <w:szCs w:val="24"/>
        </w:rPr>
      </w:pPr>
    </w:p>
    <w:p w14:paraId="3A6218D2" w14:textId="44FF0819" w:rsidR="00D30BD3" w:rsidRPr="00B02586" w:rsidRDefault="00D30BD3" w:rsidP="00D30BD3">
      <w:pPr>
        <w:pStyle w:val="Heading1"/>
        <w:spacing w:line="480" w:lineRule="auto"/>
        <w:rPr>
          <w:rFonts w:ascii="Times New Roman" w:hAnsi="Times New Roman" w:cs="Times New Roman"/>
          <w:b w:val="0"/>
          <w:bCs w:val="0"/>
          <w:sz w:val="32"/>
          <w:szCs w:val="32"/>
          <w:u w:val="single"/>
        </w:rPr>
      </w:pPr>
      <w:bookmarkStart w:id="172" w:name="_Toc87612104"/>
      <w:bookmarkStart w:id="173" w:name="_Toc151020505"/>
      <w:bookmarkStart w:id="174" w:name="_Hlk89345539"/>
      <w:bookmarkStart w:id="175" w:name="_Hlk80351960"/>
      <w:bookmarkStart w:id="176" w:name="_Hlk83311615"/>
      <w:r w:rsidRPr="00B02586">
        <w:rPr>
          <w:rFonts w:ascii="Times New Roman" w:hAnsi="Times New Roman" w:cs="Times New Roman"/>
          <w:sz w:val="32"/>
          <w:szCs w:val="32"/>
          <w:u w:val="single"/>
        </w:rPr>
        <w:lastRenderedPageBreak/>
        <w:t xml:space="preserve">Chapter </w:t>
      </w:r>
      <w:r w:rsidR="009B6C7F">
        <w:rPr>
          <w:rFonts w:ascii="Times New Roman" w:hAnsi="Times New Roman" w:cs="Times New Roman"/>
          <w:sz w:val="32"/>
          <w:szCs w:val="32"/>
          <w:u w:val="single"/>
        </w:rPr>
        <w:t>4</w:t>
      </w:r>
      <w:r w:rsidRPr="00B02586">
        <w:rPr>
          <w:rFonts w:ascii="Times New Roman" w:hAnsi="Times New Roman" w:cs="Times New Roman"/>
          <w:sz w:val="32"/>
          <w:szCs w:val="32"/>
          <w:u w:val="single"/>
        </w:rPr>
        <w:t xml:space="preserve">: Generation of an infliximab Fab gene fragment </w:t>
      </w:r>
      <w:r w:rsidR="006D7599">
        <w:rPr>
          <w:rFonts w:ascii="Times New Roman" w:hAnsi="Times New Roman" w:cs="Times New Roman"/>
          <w:sz w:val="32"/>
          <w:szCs w:val="32"/>
          <w:u w:val="single"/>
        </w:rPr>
        <w:t xml:space="preserve">phage display </w:t>
      </w:r>
      <w:r w:rsidRPr="00B02586">
        <w:rPr>
          <w:rFonts w:ascii="Times New Roman" w:hAnsi="Times New Roman" w:cs="Times New Roman"/>
          <w:sz w:val="32"/>
          <w:szCs w:val="32"/>
          <w:u w:val="single"/>
        </w:rPr>
        <w:t>library</w:t>
      </w:r>
      <w:bookmarkEnd w:id="172"/>
      <w:bookmarkEnd w:id="173"/>
    </w:p>
    <w:p w14:paraId="605F088E" w14:textId="77777777" w:rsidR="00D30BD3" w:rsidRPr="00D74018" w:rsidRDefault="00D30BD3" w:rsidP="00D30BD3">
      <w:pPr>
        <w:spacing w:line="480" w:lineRule="auto"/>
        <w:rPr>
          <w:rFonts w:ascii="Times New Roman" w:hAnsi="Times New Roman" w:cs="Times New Roman"/>
          <w:sz w:val="24"/>
          <w:szCs w:val="24"/>
        </w:rPr>
      </w:pPr>
    </w:p>
    <w:p w14:paraId="38D80860" w14:textId="08A048FB" w:rsidR="00D30BD3" w:rsidRPr="00342262" w:rsidRDefault="009E5064" w:rsidP="00342262">
      <w:pPr>
        <w:pStyle w:val="Heading2"/>
        <w:spacing w:line="480" w:lineRule="auto"/>
        <w:rPr>
          <w:rFonts w:ascii="Times New Roman" w:hAnsi="Times New Roman" w:cs="Times New Roman"/>
          <w:sz w:val="24"/>
          <w:szCs w:val="24"/>
        </w:rPr>
      </w:pPr>
      <w:bookmarkStart w:id="177" w:name="_Toc522649210"/>
      <w:bookmarkStart w:id="178" w:name="_Toc87612105"/>
      <w:bookmarkStart w:id="179" w:name="_Toc151020506"/>
      <w:r>
        <w:rPr>
          <w:rFonts w:ascii="Times New Roman" w:hAnsi="Times New Roman" w:cs="Times New Roman"/>
          <w:sz w:val="24"/>
          <w:szCs w:val="24"/>
        </w:rPr>
        <w:t>4</w:t>
      </w:r>
      <w:r w:rsidR="00D30BD3" w:rsidRPr="00342262">
        <w:rPr>
          <w:rFonts w:ascii="Times New Roman" w:hAnsi="Times New Roman" w:cs="Times New Roman"/>
          <w:sz w:val="24"/>
          <w:szCs w:val="24"/>
        </w:rPr>
        <w:t>.1 Introduction</w:t>
      </w:r>
      <w:bookmarkEnd w:id="177"/>
      <w:bookmarkEnd w:id="178"/>
      <w:bookmarkEnd w:id="179"/>
    </w:p>
    <w:p w14:paraId="52C62E14" w14:textId="77777777" w:rsidR="00D30BD3" w:rsidRPr="00EB2576" w:rsidRDefault="00D30BD3" w:rsidP="00342262">
      <w:pPr>
        <w:autoSpaceDE w:val="0"/>
        <w:autoSpaceDN w:val="0"/>
        <w:adjustRightInd w:val="0"/>
        <w:spacing w:after="0" w:line="480" w:lineRule="auto"/>
        <w:rPr>
          <w:rFonts w:ascii="Times New Roman" w:eastAsia="Times New Roman" w:hAnsi="Times New Roman" w:cs="Times New Roman"/>
          <w:sz w:val="24"/>
          <w:szCs w:val="24"/>
          <w:lang w:eastAsia="en-GB"/>
        </w:rPr>
      </w:pPr>
    </w:p>
    <w:p w14:paraId="0FAD6C4E" w14:textId="63A6584B" w:rsidR="008A2CFA" w:rsidRPr="00EB2576" w:rsidRDefault="008A2CFA" w:rsidP="00342262">
      <w:pPr>
        <w:autoSpaceDE w:val="0"/>
        <w:autoSpaceDN w:val="0"/>
        <w:adjustRightInd w:val="0"/>
        <w:spacing w:after="0" w:line="480" w:lineRule="auto"/>
        <w:rPr>
          <w:rFonts w:ascii="Times New Roman" w:hAnsi="Times New Roman" w:cs="Times New Roman"/>
          <w:sz w:val="24"/>
          <w:szCs w:val="24"/>
        </w:rPr>
      </w:pPr>
      <w:r w:rsidRPr="00EB2576">
        <w:rPr>
          <w:rFonts w:ascii="Times New Roman" w:hAnsi="Times New Roman" w:cs="Times New Roman"/>
          <w:sz w:val="24"/>
          <w:szCs w:val="24"/>
        </w:rPr>
        <w:t xml:space="preserve">Infliximab is composed of </w:t>
      </w:r>
      <w:r w:rsidRPr="00EB2576">
        <w:rPr>
          <w:rFonts w:ascii="Cambria Math" w:hAnsi="Cambria Math" w:cs="Cambria Math"/>
          <w:kern w:val="24"/>
          <w:sz w:val="24"/>
          <w:szCs w:val="24"/>
        </w:rPr>
        <w:t>∼</w:t>
      </w:r>
      <w:r w:rsidRPr="00EB2576">
        <w:rPr>
          <w:rFonts w:ascii="Times New Roman" w:hAnsi="Times New Roman" w:cs="Times New Roman"/>
          <w:kern w:val="24"/>
          <w:sz w:val="24"/>
          <w:szCs w:val="24"/>
        </w:rPr>
        <w:t xml:space="preserve"> 30% </w:t>
      </w:r>
      <w:r w:rsidRPr="00EB2576">
        <w:rPr>
          <w:rFonts w:ascii="Times New Roman" w:hAnsi="Times New Roman" w:cs="Times New Roman"/>
          <w:sz w:val="24"/>
          <w:szCs w:val="24"/>
        </w:rPr>
        <w:t>murine derived amino acids at the variable Fab region with the rest of the antibody derived from human amino acids</w:t>
      </w:r>
      <w:r w:rsidRPr="00EB2576">
        <w:rPr>
          <w:rFonts w:ascii="Times New Roman" w:hAnsi="Times New Roman" w:cs="Times New Roman"/>
          <w:kern w:val="24"/>
          <w:sz w:val="24"/>
          <w:szCs w:val="24"/>
        </w:rPr>
        <w:t xml:space="preserve"> </w:t>
      </w:r>
      <w:r w:rsidRPr="00EB2576">
        <w:rPr>
          <w:rFonts w:ascii="Times New Roman" w:hAnsi="Times New Roman" w:cs="Times New Roman"/>
          <w:kern w:val="24"/>
          <w:sz w:val="24"/>
          <w:szCs w:val="24"/>
        </w:rPr>
        <w:fldChar w:fldCharType="begin" w:fldLock="1"/>
      </w:r>
      <w:r w:rsidRPr="00EB2576">
        <w:rPr>
          <w:rFonts w:ascii="Times New Roman" w:hAnsi="Times New Roman" w:cs="Times New Roman"/>
          <w:kern w:val="24"/>
          <w:sz w:val="24"/>
          <w:szCs w:val="24"/>
        </w:rPr>
        <w:instrText>ADDIN CSL_CITATION {"citationItems":[{"id":"ITEM-1","itemData":{"DOI":"10.4321/s1130-01082011000400008","ISSN":"11300108","PMID":"21526876","abstract":"EPAR","author":[{"dropping-particle":"","family":"Lourdes Ruiz-Rebollo","given":"M.","non-dropping-particle":"","parse-names":false,"suffix":""},{"dropping-particle":"","family":"Lourdes del-Olmo-Martínez","given":"M.","non-dropping-particle":"","parse-names":false,"suffix":""},{"dropping-particle":"","family":"Macho-Conesa","given":"Ana","non-dropping-particle":"","parse-names":false,"suffix":""},{"dropping-particle":"","family":"Gómez-López","given":"Juan Ramón","non-dropping-particle":"","parse-names":false,"suffix":""},{"dropping-particle":"","family":"Álvarez-Quiñones","given":"María","non-dropping-particle":"","parse-names":false,"suffix":""},{"dropping-particle":"","family":"González","given":"José Manuel","non-dropping-particle":"","parse-names":false,"suffix":""}],"container-title":"Revista Espanola de Enfermedades Digestivas","id":"ITEM-1","issue":"4","issued":{"date-parts":[["2011","4"]]},"page":"211-212","title":"Crohn's disease presenting as pyloric stenosis","type":"article-journal","volume":"103"},"uris":["http://www.mendeley.com/documents/?uuid=c9c9a8aa-8993-4c86-b3a7-20eb1a8974aa"]}],"mendeley":{"formattedCitation":"&lt;sup&gt;57&lt;/sup&gt;","plainTextFormattedCitation":"57","previouslyFormattedCitation":"&lt;sup&gt;57&lt;/sup&gt;"},"properties":{"noteIndex":0},"schema":"https://github.com/citation-style-language/schema/raw/master/csl-citation.json"}</w:instrText>
      </w:r>
      <w:r w:rsidRPr="00EB2576">
        <w:rPr>
          <w:rFonts w:ascii="Times New Roman" w:hAnsi="Times New Roman" w:cs="Times New Roman"/>
          <w:kern w:val="24"/>
          <w:sz w:val="24"/>
          <w:szCs w:val="24"/>
        </w:rPr>
        <w:fldChar w:fldCharType="separate"/>
      </w:r>
      <w:r w:rsidRPr="00EB2576">
        <w:rPr>
          <w:rFonts w:ascii="Times New Roman" w:hAnsi="Times New Roman" w:cs="Times New Roman"/>
          <w:noProof/>
          <w:kern w:val="24"/>
          <w:sz w:val="24"/>
          <w:szCs w:val="24"/>
          <w:vertAlign w:val="superscript"/>
        </w:rPr>
        <w:t>57</w:t>
      </w:r>
      <w:r w:rsidRPr="00EB2576">
        <w:rPr>
          <w:rFonts w:ascii="Times New Roman" w:hAnsi="Times New Roman" w:cs="Times New Roman"/>
          <w:kern w:val="24"/>
          <w:sz w:val="24"/>
          <w:szCs w:val="24"/>
        </w:rPr>
        <w:fldChar w:fldCharType="end"/>
      </w:r>
      <w:r w:rsidRPr="00EB2576">
        <w:rPr>
          <w:rFonts w:ascii="Times New Roman" w:hAnsi="Times New Roman" w:cs="Times New Roman"/>
          <w:sz w:val="24"/>
          <w:szCs w:val="24"/>
        </w:rPr>
        <w:t xml:space="preserve">. Its efficacy at inducing and maintaining remission for both UC and CD has been shown in large landmark RCTs and in clinical practice since it was licensed for use in </w:t>
      </w:r>
      <w:r w:rsidR="00967ED8" w:rsidRPr="00EB2576">
        <w:rPr>
          <w:rFonts w:ascii="Times New Roman" w:hAnsi="Times New Roman" w:cs="Times New Roman"/>
          <w:sz w:val="24"/>
          <w:szCs w:val="24"/>
        </w:rPr>
        <w:t>IBD</w:t>
      </w:r>
      <w:r w:rsidRPr="00EB2576">
        <w:rPr>
          <w:rFonts w:ascii="Times New Roman" w:hAnsi="Times New Roman" w:cs="Times New Roman"/>
          <w:sz w:val="24"/>
          <w:szCs w:val="24"/>
        </w:rPr>
        <w:t xml:space="preserve"> </w:t>
      </w:r>
      <w:r w:rsidRPr="00EB2576">
        <w:rPr>
          <w:rFonts w:ascii="Times New Roman" w:hAnsi="Times New Roman" w:cs="Times New Roman"/>
          <w:sz w:val="24"/>
          <w:szCs w:val="24"/>
        </w:rPr>
        <w:fldChar w:fldCharType="begin" w:fldLock="1"/>
      </w:r>
      <w:r w:rsidRPr="00EB2576">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trial","type":"article-journal","volume":"359"},"uris":["http://www.mendeley.com/documents/?uuid=629eb4eb-d397-4a69-89a0-06c26df17f32"]},{"id":"ITEM-2","itemData":{"DOI":"10.1056/NEJMoa050516","ISBN":"1533-4406","ISSN":"0028-4793","PMID":"16339095","abstract":"Background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Medicine","id":"ITEM-2","issue":"23","issued":{"date-parts":[["2005","12"]]},"page":"2462-2476","title":"Infliximab for Induction and Maintenance Therapy for Ulcerative Colitis","type":"article-journal","volume":"353"},"uris":["http://www.mendeley.com/documents/?uuid=adc04817-1669-4784-a3ae-7f5273bc984e"]},{"id":"ITEM-3","itemData":{"DOI":"10.1056/NEJMoa030815","ISBN":"00284793","ISSN":"0028-4793","PMID":"14985485","abstract":"BACKGROUND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Medicine","id":"ITEM-3","issue":"9","issued":{"date-parts":[["2004","2","26"]]},"page":"876-885","title":"Infliximab Maintenance Therapy for Fistulizing Crohn's Disease","type":"article-journal","volume":"350"},"uris":["http://www.mendeley.com/documents/?uuid=d5a74abf-713b-45ca-9e76-608b0a3dc258"]},{"id":"ITEM-4","itemData":{"DOI":"10.1056/NEJMoa0904492","ISBN":"1533-4406 (Electronic)\\r0028-4793 (Linking)","ISSN":"0028-4793","PMID":"20393175","abstract":"Background The comparative efficacy and safety of infliximab and azathioprine therapy alone or in combination for Crohn's disease are unknown. Methods In this randomized, double-blind trial, we evaluated the efficacy of infliximab monotherapy, azathioprine monotherapy, and the two drugs combined in 508 adults with moderate-to-severe Crohn's disease who had not undergone previous immunosuppressive or biologic therapy. Patients were randomly assigned to receive an intravenous infusion of 5 mg of infliximab per kilogram of body weight at weeks 0, 2, and 6 and then every 8 weeks plus daily oral placebo capsules; 2.5 mg of oral azathioprine per kilogram daily plus a placebo infusion on the standard schedule; or combination therapy with the two drugs. Patients received study medication through week 30 and could continue in a blinded study extension through week 50. Results Of the 169 patients receiving combination therapy, 96 (56.8%) were in corticosteroid-free clinical remission at week 26 (the primary end poi...","author":[{"dropping-particle":"","family":"Colombel","given":"Jean Frédéric","non-dropping-particle":"","parse-names":false,"suffix":""},{"dropping-particle":"","family":"Sandborn","given":"William J.","non-dropping-particle":"","parse-names":false,"suffix":""},{"dropping-particle":"","family":"Reinisch","given":"Walter","non-dropping-particle":"","parse-names":false,"suffix":""},{"dropping-particle":"","family":"Mantzaris","given":"Gerassimos J.","non-dropping-particle":"","parse-names":false,"suffix":""},{"dropping-particle":"","family":"Kornbluth","given":"Asher","non-dropping-particle":"","parse-names":false,"suffix":""},{"dropping-particle":"","family":"Rachmilewitz","given":"Daniel","non-dropping-particle":"","parse-names":false,"suffix":""},{"dropping-particle":"","family":"Lichtiger","given":"Simon","non-dropping-particle":"","parse-names":false,"suffix":""},{"dropping-particle":"","family":"D'Haens","given":"Geert","non-dropping-particle":"","parse-names":false,"suffix":""},{"dropping-particle":"","family":"Diamond","given":"Robert H.","non-dropping-particle":"","parse-names":false,"suffix":""},{"dropping-particle":"","family":"Broussard","given":"Delma L.","non-dropping-particle":"","parse-names":false,"suffix":""},{"dropping-particle":"","family":"Tang","given":"Kezhen L.","non-dropping-particle":"","parse-names":false,"suffix":""},{"dropping-particle":"","family":"Woude","given":"C. Janneke","non-dropping-particle":"van der","parse-names":false,"suffix":""},{"dropping-particle":"","family":"Rutgeerts","given":"Paul","non-dropping-particle":"","parse-names":false,"suffix":""}],"container-title":"New England Journal of Medicine","id":"ITEM-4","issue":"15","issued":{"date-parts":[["2010","4"]]},"page":"1383-1395","title":"Infliximab, Azathioprine, or Combination Therapy for Crohn's Disease","type":"article-journal","volume":"362"},"uris":["http://www.mendeley.com/documents/?uuid=b81572e4-8b83-4637-bbf0-1227bdcd2cb4"]}],"mendeley":{"formattedCitation":"&lt;sup&gt;27,53,55,66&lt;/sup&gt;","plainTextFormattedCitation":"27,53,55,66","previouslyFormattedCitation":"&lt;sup&gt;27,53,55,66&lt;/sup&gt;"},"properties":{"noteIndex":0},"schema":"https://github.com/citation-style-language/schema/raw/master/csl-citation.json"}</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vertAlign w:val="superscript"/>
        </w:rPr>
        <w:t>27,53,55,66</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In addition, infliximab remains the only biological therapy licensed for use in acute severe UC, a life threatening medical emergency and it is an effective treatment for </w:t>
      </w:r>
      <w:proofErr w:type="spellStart"/>
      <w:r w:rsidRPr="00EB2576">
        <w:rPr>
          <w:rFonts w:ascii="Times New Roman" w:hAnsi="Times New Roman" w:cs="Times New Roman"/>
          <w:sz w:val="24"/>
          <w:szCs w:val="24"/>
        </w:rPr>
        <w:t>fistulating</w:t>
      </w:r>
      <w:proofErr w:type="spellEnd"/>
      <w:r w:rsidRPr="00EB2576">
        <w:rPr>
          <w:rFonts w:ascii="Times New Roman" w:hAnsi="Times New Roman" w:cs="Times New Roman"/>
          <w:sz w:val="24"/>
          <w:szCs w:val="24"/>
        </w:rPr>
        <w:t xml:space="preserve"> CD, a </w:t>
      </w:r>
      <w:r w:rsidR="00FF60C4" w:rsidRPr="00EB2576">
        <w:rPr>
          <w:rFonts w:ascii="Times New Roman" w:hAnsi="Times New Roman" w:cs="Times New Roman"/>
          <w:sz w:val="24"/>
          <w:szCs w:val="24"/>
        </w:rPr>
        <w:t>difficult to treat</w:t>
      </w:r>
      <w:r w:rsidRPr="00EB2576">
        <w:rPr>
          <w:rFonts w:ascii="Times New Roman" w:hAnsi="Times New Roman" w:cs="Times New Roman"/>
          <w:sz w:val="24"/>
          <w:szCs w:val="24"/>
        </w:rPr>
        <w:t xml:space="preserve"> complication of CD </w:t>
      </w:r>
      <w:r w:rsidRPr="00EB2576">
        <w:rPr>
          <w:rFonts w:ascii="Times New Roman" w:hAnsi="Times New Roman" w:cs="Times New Roman"/>
          <w:sz w:val="24"/>
          <w:szCs w:val="24"/>
        </w:rPr>
        <w:fldChar w:fldCharType="begin" w:fldLock="1"/>
      </w:r>
      <w:r w:rsidR="008F1D22" w:rsidRPr="00EB2576">
        <w:rPr>
          <w:rFonts w:ascii="Times New Roman" w:hAnsi="Times New Roman" w:cs="Times New Roman"/>
          <w:sz w:val="24"/>
          <w:szCs w:val="24"/>
        </w:rPr>
        <w:instrText>ADDIN CSL_CITATION {"citationItems":[{"id":"ITEM-1","itemData":{"author":[{"dropping-particle":"","family":"National Institute for Health and Care Excellence","given":"","non-dropping-particle":"","parse-names":false,"suffix":""}],"id":"ITEM-1","issued":{"date-parts":[["2008"]]},"page":"1-28","title":"Infliximab for acute exacerbations of ulcerative colitis Technology appraisal guidance [TA163]","type":"article-journal"},"uris":["http://www.mendeley.com/documents/?uuid=d0e54ca9-8ff0-4dba-89cb-28ad89ae4675"]},{"id":"ITEM-2","itemData":{"DOI":"10.1056/NEJMoa030815","ISBN":"00284793","ISSN":"0028-4793","PMID":"14985485","abstract":"BACKGROUND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Medicine","id":"ITEM-2","issue":"9","issued":{"date-parts":[["2004","2","26"]]},"page":"876-885","title":"Infliximab Maintenance Therapy for Fistulizing Crohn's Disease","type":"article-journal","volume":"350"},"uris":["http://www.mendeley.com/documents/?uuid=d5a74abf-713b-45ca-9e76-608b0a3dc258"]}],"mendeley":{"formattedCitation":"&lt;sup&gt;55,67&lt;/sup&gt;","plainTextFormattedCitation":"55,67","previouslyFormattedCitation":"&lt;sup&gt;55,67&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967ED8" w:rsidRPr="00EB2576">
        <w:rPr>
          <w:rFonts w:ascii="Times New Roman" w:hAnsi="Times New Roman" w:cs="Times New Roman"/>
          <w:noProof/>
          <w:sz w:val="24"/>
          <w:szCs w:val="24"/>
          <w:vertAlign w:val="superscript"/>
        </w:rPr>
        <w:t>55,67</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w:t>
      </w:r>
    </w:p>
    <w:p w14:paraId="0B209387" w14:textId="77777777" w:rsidR="008A2CFA" w:rsidRPr="00EB2576" w:rsidRDefault="008A2CFA" w:rsidP="00342262">
      <w:pPr>
        <w:autoSpaceDE w:val="0"/>
        <w:autoSpaceDN w:val="0"/>
        <w:adjustRightInd w:val="0"/>
        <w:spacing w:after="0" w:line="480" w:lineRule="auto"/>
        <w:rPr>
          <w:rFonts w:ascii="Times New Roman" w:hAnsi="Times New Roman" w:cs="Times New Roman"/>
          <w:sz w:val="24"/>
          <w:szCs w:val="24"/>
        </w:rPr>
      </w:pPr>
    </w:p>
    <w:p w14:paraId="793C5EDD" w14:textId="0330C9A7" w:rsidR="008A2CFA" w:rsidRPr="00EB2576" w:rsidRDefault="008A2CFA" w:rsidP="00342262">
      <w:pPr>
        <w:pStyle w:val="NormalWeb"/>
        <w:spacing w:before="0" w:beforeAutospacing="0" w:after="240" w:afterAutospacing="0" w:line="480" w:lineRule="auto"/>
      </w:pPr>
      <w:r w:rsidRPr="00EB2576">
        <w:t>Infliximab biosimilars, CT-P13 (</w:t>
      </w:r>
      <w:proofErr w:type="spellStart"/>
      <w:r w:rsidRPr="00EB2576">
        <w:t>Inflectra</w:t>
      </w:r>
      <w:proofErr w:type="spellEnd"/>
      <w:r w:rsidRPr="00EB2576">
        <w:t xml:space="preserve">® Hospira, UK and </w:t>
      </w:r>
      <w:proofErr w:type="spellStart"/>
      <w:r w:rsidRPr="00EB2576">
        <w:t>Remsima</w:t>
      </w:r>
      <w:proofErr w:type="spellEnd"/>
      <w:r w:rsidRPr="00EB2576">
        <w:t>®</w:t>
      </w:r>
      <w:r w:rsidRPr="00EB2576">
        <w:rPr>
          <w:rStyle w:val="Heading3Char"/>
          <w:rFonts w:ascii="Times New Roman" w:hAnsi="Times New Roman" w:cs="Times New Roman"/>
          <w:shd w:val="clear" w:color="auto" w:fill="FFFFFF"/>
        </w:rPr>
        <w:t> </w:t>
      </w:r>
      <w:proofErr w:type="spellStart"/>
      <w:r w:rsidRPr="00EB2576">
        <w:rPr>
          <w:shd w:val="clear" w:color="auto" w:fill="FFFFFF"/>
        </w:rPr>
        <w:t>Celltrion</w:t>
      </w:r>
      <w:proofErr w:type="spellEnd"/>
      <w:r w:rsidRPr="00EB2576">
        <w:rPr>
          <w:shd w:val="clear" w:color="auto" w:fill="FFFFFF"/>
        </w:rPr>
        <w:t xml:space="preserve"> Inc., Korea</w:t>
      </w:r>
      <w:r w:rsidRPr="00EB2576">
        <w:t>) and SB2 (</w:t>
      </w:r>
      <w:proofErr w:type="spellStart"/>
      <w:r w:rsidRPr="00EB2576">
        <w:t>Flixabi</w:t>
      </w:r>
      <w:proofErr w:type="spellEnd"/>
      <w:r w:rsidRPr="00EB2576">
        <w:t xml:space="preserve">® Samsung </w:t>
      </w:r>
      <w:proofErr w:type="spellStart"/>
      <w:r w:rsidRPr="00EB2576">
        <w:t>Bioepis</w:t>
      </w:r>
      <w:proofErr w:type="spellEnd"/>
      <w:r w:rsidRPr="00EB2576">
        <w:t xml:space="preserve">, UK) received European marketing authorisation in 2013 and 2016 for all of the same licensing indications as originator infliximab, Remicade® </w:t>
      </w:r>
      <w:r w:rsidRPr="00EB2576">
        <w:rPr>
          <w:shd w:val="clear" w:color="auto" w:fill="FFFFFF"/>
        </w:rPr>
        <w:t xml:space="preserve">(Janssen Biotech Inc., USA) </w:t>
      </w:r>
      <w:r w:rsidRPr="00EB2576">
        <w:t xml:space="preserve"> </w:t>
      </w:r>
      <w:r w:rsidRPr="00EB2576">
        <w:fldChar w:fldCharType="begin" w:fldLock="1"/>
      </w:r>
      <w:r w:rsidRPr="00EB2576">
        <w:instrText>ADDIN CSL_CITATION {"citationItems":[{"id":"ITEM-1","itemData":{"author":[{"dropping-particle":"","family":"European Medicines Agency","given":"","non-dropping-particle":"","parse-names":false,"suffix":""}],"id":"ITEM-1","issued":{"date-parts":[["2013"]]},"page":"1-105","title":"Assessment Report: REMSIMA","type":"article-journal"},"uris":["http://www.mendeley.com/documents/?uuid=4acba06a-5ea8-422e-a588-2d78fef0a3b5"]},{"id":"ITEM-2","itemData":{"author":[{"dropping-particle":"","family":"European Medicines Agency","given":"","non-dropping-particle":"","parse-names":false,"suffix":""}],"id":"ITEM-2","issue":"0","issued":{"date-parts":[["2016"]]},"title":"EPAR Summary for the public Flixabi infliximab","type":"article-journal","volume":"44"},"uris":["http://www.mendeley.com/documents/?uuid=225b5332-37a4-4b76-9bec-f6608ffee38e"]}],"mendeley":{"formattedCitation":"&lt;sup&gt;99,100&lt;/sup&gt;","plainTextFormattedCitation":"99,100","previouslyFormattedCitation":"&lt;sup&gt;99,100&lt;/sup&gt;"},"properties":{"noteIndex":0},"schema":"https://github.com/citation-style-language/schema/raw/master/csl-citation.json"}</w:instrText>
      </w:r>
      <w:r w:rsidRPr="00EB2576">
        <w:fldChar w:fldCharType="separate"/>
      </w:r>
      <w:r w:rsidRPr="00EB2576">
        <w:rPr>
          <w:noProof/>
          <w:vertAlign w:val="superscript"/>
        </w:rPr>
        <w:t>99,100</w:t>
      </w:r>
      <w:r w:rsidRPr="00EB2576">
        <w:fldChar w:fldCharType="end"/>
      </w:r>
      <w:r w:rsidRPr="00EB2576">
        <w:t xml:space="preserve">. Biosimilars are discussed in detail in section x. In summary, as infliximab biosimilars, both CT-P13 and SB2 </w:t>
      </w:r>
      <w:r w:rsidRPr="00EB2576">
        <w:rPr>
          <w:shd w:val="clear" w:color="auto" w:fill="FFFFFF"/>
        </w:rPr>
        <w:t xml:space="preserve">have </w:t>
      </w:r>
      <w:r w:rsidRPr="00EB2576">
        <w:t>identical amino acid sequences to the licensed originator drug and studies have suggested comparable quality, efficacy, safety and immunogenicity</w:t>
      </w:r>
      <w:r w:rsidR="00E64310" w:rsidRPr="00EB2576">
        <w:t xml:space="preserve"> </w:t>
      </w:r>
      <w:r w:rsidR="007222E7" w:rsidRPr="00EB2576">
        <w:fldChar w:fldCharType="begin" w:fldLock="1"/>
      </w:r>
      <w:r w:rsidR="00F12FD6" w:rsidRPr="00EB2576">
        <w:instrText>ADDIN CSL_CITATION {"citationItems":[{"id":"ITEM-1","itemData":{"DOI":"10.1136/annrheumdis-2012-203090","ISBN":"1468-2060 (Electronic)\\r0003-4967 (Linking)","ISSN":"0003-4967","PMID":"23687260","abstract":"OBJECTIVES To compare the efficacy and safety of innovator infliximab (INX) and CT-P13, an INX biosimilar, in active rheumatoid arthritis patients with inadequate response to methotrexate (MTX) treatment. METHODS Phase III randomised, double-blind, multicentre, multinational, parallel-group study. Patients with active disease despite MTX (12.5-25 mg/week) were randomised to receive 3 mg/kg of CT-P13 (n=302) or INX (n=304) with MTX and folic acid. The primary endpoint was the American College of Rheumatology 20% (ACR20) response at week 30. Therapeutic equivalence of clinical response according to ACR20 criteria was concluded if the 95% CI for the treatment difference was within ±15%. Secondary endpoints included ACR response criteria, European League Against Rheumatism (EULAR) response criteria, change in Disease Activity Score 28 (DAS28), Medical Outcomes Study Short-Form Health Survey (SF-36), Simplified Disease Activity Index, Clinical Disease Activity Index, as well as pharmacokinetic (PK) and pharmacodynamic (PD) parameters, safety and immunogenicity. RESULTS At week 30, ACR20 responses were 60.9% for CT-P13 and 58.6% for INX (95% CI -6% to 10%) in the intention-to-treat population. The proportions in CT-P13 and INX groups achieving good or moderate EULAR responses (C reactive protein (CRP)) at week 30 were 85.8% and 87.1%, respectively. Low disease activity or remission according to DAS28-CRP, ACR-EULAR remission rates, ACR50/ACR70 responses and all other PK and PD endpoints were highly similar at week 30. Incidence of drug-related adverse events (35.2% vs 35.9%) and detection of antidrug antibodies (48.4% vs 48.2%) were highly similar for CT-P13 and INX, respectively. CONCLUSIONS CT-P13 demonstrated equivalent efficacy to INX at week 30, with a comparable PK profile and immunogenicity. CT-P13 was well tolerated, with a safety profile comparable with that of INX. CLINICALTRIALS.GOV IDENTIFIER: NCT01217086.","author":[{"dropping-particle":"","family":"Yoo","given":"Dae Hyun","non-dropping-particle":"","parse-names":false,"suffix":""},{"dropping-particle":"","family":"Hrycaj","given":"Pawel","non-dropping-particle":"","parse-names":false,"suffix":""},{"dropping-particle":"","family":"Miranda","given":"Pedro","non-dropping-particle":"","parse-names":false,"suffix":""},{"dropping-particle":"","family":"Ramiterre","given":"Edgar","non-dropping-particle":"","parse-names":false,"suffix":""},{"dropping-particle":"","family":"Piotrowski","given":"Mariusz","non-dropping-particle":"","parse-names":false,"suffix":""},{"dropping-particle":"","family":"Shevchuk","given":"Sergii","non-dropping-particle":"","parse-names":false,"suffix":""},{"dropping-particle":"","family":"Kovalenko","given":"Volodymyr","non-dropping-particle":"","parse-names":false,"suffix":""},{"dropping-particle":"","family":"Prodanovic","given":"Nenad","non-dropping-particle":"","parse-names":false,"suffix":""},{"dropping-particle":"","family":"Abello-Banfi","given":"Mauricio","non-dropping-particle":"","parse-names":false,"suffix":""},{"dropping-particle":"","family":"Gutierrez-Ureña","given":"Sergio","non-dropping-particle":"","parse-names":false,"suffix":""},{"dropping-particle":"","family":"Morales-Olazabal","given":"Luis","non-dropping-particle":"","parse-names":false,"suffix":""},{"dropping-particle":"","family":"Tee","given":"Michael","non-dropping-particle":"","parse-names":false,"suffix":""},{"dropping-particle":"","family":"Jimenez","given":"Renato","non-dropping-particle":"","parse-names":false,"suffix":""},{"dropping-particle":"","family":"Zamani","given":"Omid","non-dropping-particle":"","parse-names":false,"suffix":""},{"dropping-particle":"","family":"Lee","given":"Sang Joon","non-dropping-particle":"","parse-names":false,"suffix":""},{"dropping-particle":"","family":"Kim","given":"HoUng","non-dropping-particle":"","parse-names":false,"suffix":""},{"dropping-particle":"","family":"Park","given":"Won","non-dropping-particle":"","parse-names":false,"suffix":""},{"dropping-particle":"","family":"Müller-Ladner","given":"Ulf","non-dropping-particle":"","parse-names":false,"suffix":""}],"container-title":"Annals of the Rheumatic Diseases","id":"ITEM-1","issue":"10","issued":{"date-parts":[["2013","10"]]},"page":"1613-1620","title":"A randomised, double-blind, parallel-group study to demonstrate equivalence in efficacy and safety of CT-P13 compared with innovator infliximab when coadministered with methotrexate in patients with active rheumatoid arthritis: the PLANETRA study","type":"article-journal","volume":"72"},"uris":["http://www.mendeley.com/documents/?uuid=1f6d9eaf-367c-4117-969f-2d4fdf1ea581"]},{"id":"ITEM-2","itemData":{"DOI":"10.1136/annrheumdis-2012-203091","ISBN":"1468-2060 (Electronic)\\r0003-4967 (Linking)","ISSN":"0003-4967","PMID":"23687259","abstract":"OBJECTIVES To compare the pharmacokinetics (PK), safety and efficacy of innovator infliximab (INX) and CT-P13, a biosimilar to INX, in patients with active ankylosing spondylitis (AS). METHODS Phase 1 randomised, double-blind, multicentre, multinational, parallel-group study. Patients were randomised to receive 5 mg/kg of CT-P13 (n=125) or INX (n=125). Primary endpoints were area under the concentration-time curve (AUC) at steady state and observed maximum steady state serum concentration (Cmax,ss) between weeks 22 and 30. Additional PK, efficacy endpoints, including 20% and 40% improvement response according to Assessment in Ankylosing Spondylitis International Working Group criteria (ASAS20 and ASAS40), and safety outcomes were also assessed. RESULTS Geometric mean AUC was 32 765.8 μgh/ml for CT-P13 and 31 359.3 μgh/ml for INX. Geometric mean Cmax,ss was 147.0 μg/ml for CT-P13 and 144.8 μg/ml for INX. The ratio of geometric means was 104.5% (90% CI 94% to 116%) for AUC and 101.5% (90% CI 95% to 109%) for Cmax,ss. ASAS20 and ASAS40 responses at week 30 were 70.5% and 51.8% for CT-P13 and 72.4% and 47.4% for INX, respectively. In the CT-P13 and INX groups more than one adverse event occurred in 64.8% and 63.9% of patients, infusion reactions occurred in 3.9% and 4.9%, active tuberculosis occurred in 1.6% and 0.8%, and 27.4% and 22.5% of patients tested positive for anti-drug antibodies, respectively. CONCLUSIONS The PK profiles of CT-P13 and INX were equivalent in patients with active AS. CT-P13 was well tolerated, with an efficacy and safety profile comparable to that of INX up to week 30.","author":[{"dropping-particle":"","family":"Park","given":"Won","non-dropping-particle":"","parse-names":false,"suffix":""},{"dropping-particle":"","family":"Hrycaj","given":"Pawel","non-dropping-particle":"","parse-names":false,"suffix":""},{"dropping-particle":"","family":"Jeka","given":"Slawomir","non-dropping-particle":"","parse-names":false,"suffix":""},{"dropping-particle":"","family":"Kovalenko","given":"Volodymyr","non-dropping-particle":"","parse-names":false,"suffix":""},{"dropping-particle":"","family":"Lysenko","given":"Grygorii","non-dropping-particle":"","parse-names":false,"suffix":""},{"dropping-particle":"","family":"Miranda","given":"Pedro","non-dropping-particle":"","parse-names":false,"suffix":""},{"dropping-particle":"","family":"Mikazane","given":"Helena","non-dropping-particle":"","parse-names":false,"suffix":""},{"dropping-particle":"","family":"Gutierrez-Ureña","given":"Sergio","non-dropping-particle":"","parse-names":false,"suffix":""},{"dropping-particle":"","family":"Lim","given":"MieJin","non-dropping-particle":"","parse-names":false,"suffix":""},{"dropping-particle":"","family":"Lee","given":"Yeon-Ah","non-dropping-particle":"","parse-names":false,"suffix":""},{"dropping-particle":"","family":"Lee","given":"Sang Joon","non-dropping-particle":"","parse-names":false,"suffix":""},{"dropping-particle":"","family":"Kim","given":"HoUng","non-dropping-particle":"","parse-names":false,"suffix":""},{"dropping-particle":"","family":"Yoo","given":"Dae Hyun","non-dropping-particle":"","parse-names":false,"suffix":""},{"dropping-particle":"","family":"Braun","given":"Jürgen","non-dropping-particle":"","parse-names":false,"suffix":""}],"container-title":"Annals of the Rheumatic Diseases","id":"ITEM-2","issue":"10","issued":{"date-parts":[["2013","10"]]},"page":"1605-1612","title":"A randomised, double-blind, multicentre, parallel-group, prospective study comparing the pharmacokinetics, safety, and efficacy of CT-P13 and innovator infliximab in patients with ankylosing spondylitis: the PLANETAS study","type":"article-journal","volume":"72"},"uris":["http://www.mendeley.com/documents/?uuid=81e8cfb0-6f07-4185-9976-9e9a9bcfd4f3"]},{"id":"ITEM-3","itemData":{"DOI":"10.1136/annrheumdis-2015-207764","ISSN":"0003-4967","PMID":"26318384","abstract":"OBJECTIVES: To compare the efficacy, safety, immunogenicity and pharmacokinetics (PK) of SB2 to the infliximab reference product (INF) in patients with moderate to severe rheumatoid arthritis (RA) despite methotrexate therapy.\\n\\nMETHODS: This is a phase III, randomised, double-blind, multinational, multicentre parallel group study. Patients with moderate to severe RA despite methotrexate therapy were randomised in a 1:1 ratio to receive either SB2 or INF of 3 mg/kg. The primary end point was the American College of Rheumatology 20% (ACR20) response at week 30. Inclusion of the 95% CI of the ACR20 response difference within a ±15% margin was required for equivalence.\\n\\nRESULTS: 584 subjects were randomised into SB2 (N=291; 290 analysed) or INF (N=293). The ACR20 response at week 30 in the per-protocol set was 64.1% in SB2 versus 66.0% in INF. The adjusted rate difference was -1.88% (95% CI -10.26% to 6.51%), which was within the predefined equivalence margin. Other efficacy outcomes such as ACR50/70, disease activity score measured by 28 joints and European League against Rheumatism response were similar between SB2 and INF. The incidence of treatment-emergent adverse events was comparable (57.6% in SB2 vs 58.0% in INF) as well as the incidence of antidrug antibodies (ADA) to infliximab up to week 30 (55.1% in SB2 vs 49.7% in INF). The PK profile was similar between SB2 and INF. Efficacy, safety and PK by ADA subgroup were comparable between SB2 and INF.\\n\\nCONCLUSIONS: SB2 was equivalent to INF in terms of ACR20 response at week 30. SB2 was well tolerated with a comparable safety profile, immunogenicity and PK to INF.\\n\\nTRIAL REGISTRATION NUMBER: NCT01936181.","author":[{"dropping-particle":"","family":"Choe","given":"Jung-Yoon","non-dropping-particle":"","parse-names":false,"suffix":""},{"dropping-particle":"","family":"Prodanovic","given":"Nenad","non-dropping-particle":"","parse-names":false,"suffix":""},{"dropping-particle":"","family":"Niebrzydowski","given":"Jaroslaw","non-dropping-particle":"","parse-names":false,"suffix":""},{"dropping-particle":"","family":"Staykov","given":"Ivan","non-dropping-particle":"","parse-names":false,"suffix":""},{"dropping-particle":"","family":"Dokoupilova","given":"Eva","non-dropping-particle":"","parse-names":false,"suffix":""},{"dropping-particle":"","family":"Baranauskaite","given":"Asta","non-dropping-particle":"","parse-names":false,"suffix":""},{"dropping-particle":"","family":"Yatsyshyn","given":"Roman","non-dropping-particle":"","parse-names":false,"suffix":""},{"dropping-particle":"","family":"Mekic","given":"Mevludin","non-dropping-particle":"","parse-names":false,"suffix":""},{"dropping-particle":"","family":"Porawska","given":"Wieskawa","non-dropping-particle":"","parse-names":false,"suffix":""},{"dropping-particle":"","family":"Ciferska","given":"Hana","non-dropping-particle":"","parse-names":false,"suffix":""},{"dropping-particle":"","family":"Jedrychowicz-Rosiak","given":"Krystyna","non-dropping-particle":"","parse-names":false,"suffix":""},{"dropping-particle":"","family":"Zielinska","given":"Agnieszka","non-dropping-particle":"","parse-names":false,"suffix":""},{"dropping-particle":"","family":"Choi","given":"Jasmine","non-dropping-particle":"","parse-names":false,"suffix":""},{"dropping-particle":"","family":"Rho","given":"Young Hee","non-dropping-particle":"","parse-names":false,"suffix":""},{"dropping-particle":"","family":"Smolen","given":"Josef S","non-dropping-particle":"","parse-names":false,"suffix":""}],"container-title":"Annals of the Rheumatic Diseases","id":"ITEM-3","issue":"1","issued":{"date-parts":[["2017","1"]]},"page":"58-64","title":"A randomised, double-blind, phase III study comparing SB2, an infliximab biosimilar, to the infliximab reference product Remicade in patients with moderate to severe rheumatoid arthritis despite methotrexate therapy","type":"article-journal","volume":"76"},"uris":["http://www.mendeley.com/documents/?uuid=ecf1a2e5-c3b2-4e3c-8981-e3d8e1fe728f"]},{"id":"ITEM-4","itemData":{"DOI":"10.1016/S0016-5085(17)30572-3","ISSN":"00165085","author":[{"dropping-particle":"","family":"Joergensen","given":"Kristin K.","non-dropping-particle":"","parse-names":false,"suffix":""},{"dropping-particle":"","family":"Olsen","given":"Inge C","non-dropping-particle":"","parse-names":false,"suffix":""},{"dropping-particle":"","family":"Goll","given":"Guro L","non-dropping-particle":"","parse-names":false,"suffix":""},{"dropping-particle":"","family":"Lorentzen","given":"Merete","non-dropping-particle":"","parse-names":false,"suffix":""},{"dropping-particle":"","family":"Bolstad","given":"Nils","non-dropping-particle":"","parse-names":false,"suffix":""},{"dropping-particle":"","family":"Berset","given":"Ingrid P.","non-dropping-particle":"","parse-names":false,"suffix":""},{"dropping-particle":"","family":"Haavardsholm","given":"Espen A","non-dropping-particle":"","parse-names":false,"suffix":""},{"dropping-particle":"","family":"Lundin","given":"Knut E.","non-dropping-particle":"","parse-names":false,"suffix":""},{"dropping-particle":"","family":"Mørk","given":"Cato","non-dropping-particle":"","parse-names":false,"suffix":""},{"dropping-particle":"","family":"Kvien","given":"Tore K","non-dropping-particle":"","parse-names":false,"suffix":""},{"dropping-particle":"","family":"Jahnsen","given":"Jorgen","non-dropping-particle":"","parse-names":false,"suffix":""}],"container-title":"Gastroenterology","id":"ITEM-4","issue":"5","issued":{"date-parts":[["2017","4"]]},"page":"S65-S66","title":"Biosimilar Infliximab (CT-P13) is not Inferior to Originator Infliximab: Explorative IBD Subgroup-Analyses in Crohn's Disease and Ulcerative Colitis from the Nor-Switch Trial","type":"article-journal","volume":"152"},"uris":["http://www.mendeley.com/documents/?uuid=11614ea5-1731-48b5-a09f-36e286915b30"]},{"id":"ITEM-5","itemData":{"DOI":"10.1002/biot.201800340","ISSN":"1860-6768","author":[{"dropping-particle":"","family":"Beyer","given":"Beate","non-dropping-particle":"","parse-names":false,"suffix":""},{"dropping-particle":"","family":"Walch","given":"Nicole","non-dropping-particle":"","parse-names":false,"suffix":""},{"dropping-particle":"","family":"Jungbauer","given":"Alois","non-dropping-particle":"","parse-names":false,"suffix":""},{"dropping-particle":"","family":"Lingg","given":"Nico","non-dropping-particle":"","parse-names":false,"suffix":""}],"container-title":"Biotechnology Journal","id":"ITEM-5","issue":"4","issued":{"date-parts":[["2019","4","30"]]},"page":"1800340","title":"How Similar Is Biosimilar? A Comparison of Infliximab Therapeutics in Regard to Charge Variant Profile and Antigen Binding Affinity","type":"article-journal","volume":"14"},"uris":["http://www.mendeley.com/documents/?uuid=4957fa33-74c2-48f7-b94e-4222072639b5"]},{"id":"ITEM-6","itemData":{"DOI":"10.1007/s40259-019-00402-0","ISSN":"1173-8804","author":[{"dropping-particle":"","family":"Ebbers","given":"Hans C.","non-dropping-particle":"","parse-names":false,"suffix":""},{"dropping-particle":"","family":"Fehrmann","given":"Bjørn","non-dropping-particle":"","parse-names":false,"suffix":""},{"dropping-particle":"","family":"Ottosen","given":"Mette","non-dropping-particle":"","parse-names":false,"suffix":""},{"dropping-particle":"","family":"Hvorslev","given":"Niels","non-dropping-particle":"","parse-names":false,"suffix":""},{"dropping-particle":"","family":"Høier","given":"Pia","non-dropping-particle":"","parse-names":false,"suffix":""},{"dropping-particle":"","family":"Hwang","given":"Jae-Woong","non-dropping-particle":"","parse-names":false,"suffix":""},{"dropping-particle":"","family":"Chung","given":"Jinhan","non-dropping-particle":"","parse-names":false,"suffix":""},{"dropping-particle":"","family":"Lim","given":"Hyoung Taek","non-dropping-particle":"","parse-names":false,"suffix":""},{"dropping-particle":"","family":"Lee","given":"Shinjung","non-dropping-particle":"","parse-names":false,"suffix":""},{"dropping-particle":"","family":"Hong","given":"Juyoung","non-dropping-particle":"","parse-names":false,"suffix":""},{"dropping-particle":"","family":"Rezk","given":"Mourad Farouk","non-dropping-particle":"","parse-names":false,"suffix":""}],"container-title":"BioDrugs","id":"ITEM-6","issue":"2","issued":{"date-parts":[["2020","4","10"]]},"page":"225-233","title":"Batch-to-Batch Consistency of SB4 and SB2, Etanercept and Infliximab Biosimilars","type":"article-journal","volume":"34"},"uris":["http://www.mendeley.com/documents/?uuid=b2abff48-6707-4a1b-b787-af1a42cc1248"]},{"id":"ITEM-7","itemData":{"DOI":"10.4161/mabs.32221","ISSN":"1942-0862","author":[{"dropping-particle":"","family":"Jung","given":"Soon Kwan","non-dropping-particle":"","parse-names":false,"suffix":""},{"dropping-particle":"","family":"Lee","given":"Kyoung Hoon","non-dropping-particle":"","parse-names":false,"suffix":""},{"dropping-particle":"","family":"Jeon","given":"Jae Won","non-dropping-particle":"","parse-names":false,"suffix":""},{"dropping-particle":"","family":"Lee","given":"Joon Won","non-dropping-particle":"","parse-names":false,"suffix":""},{"dropping-particle":"","family":"Kwon","given":"Byoung Oh","non-dropping-particle":"","parse-names":false,"suffix":""},{"dropping-particle":"","family":"Kim","given":"Yeon Jung","non-dropping-particle":"","parse-names":false,"suffix":""},{"dropping-particle":"","family":"Bae","given":"Jin Soo","non-dropping-particle":"","parse-names":false,"suffix":""},{"dropping-particle":"","family":"Kim","given":"Dong-Il","non-dropping-particle":"","parse-names":false,"suffix":""},{"dropping-particle":"","family":"Lee","given":"Soo Young","non-dropping-particle":"","parse-names":false,"suffix":""},{"dropping-particle":"","family":"Chang","given":"Shin Jae","non-dropping-particle":"","parse-names":false,"suffix":""}],"container-title":"mAbs","id":"ITEM-7","issue":"5","issued":{"date-parts":[["2014","9","3"]]},"page":"1163-1177","title":"Physicochemical characterization of Remsima®","type":"article-journal","volume":"6"},"uris":["http://www.mendeley.com/documents/?uuid=1154da2d-5162-4d32-8998-d74f7bf45b11"]}],"mendeley":{"formattedCitation":"&lt;sup&gt;86,87,90–93,182&lt;/sup&gt;","plainTextFormattedCitation":"86,87,90–93,182","previouslyFormattedCitation":"&lt;sup&gt;86,87,90–93,182&lt;/sup&gt;"},"properties":{"noteIndex":0},"schema":"https://github.com/citation-style-language/schema/raw/master/csl-citation.json"}</w:instrText>
      </w:r>
      <w:r w:rsidR="007222E7" w:rsidRPr="00EB2576">
        <w:fldChar w:fldCharType="separate"/>
      </w:r>
      <w:r w:rsidR="00E33299" w:rsidRPr="00EB2576">
        <w:rPr>
          <w:noProof/>
          <w:vertAlign w:val="superscript"/>
        </w:rPr>
        <w:t>86,87,90–93,182</w:t>
      </w:r>
      <w:r w:rsidR="007222E7" w:rsidRPr="00EB2576">
        <w:fldChar w:fldCharType="end"/>
      </w:r>
      <w:r w:rsidR="007222E7" w:rsidRPr="00EB2576">
        <w:t xml:space="preserve">. </w:t>
      </w:r>
      <w:r w:rsidRPr="00EB2576">
        <w:t>The data is more robust for CT-P13- as the earlier biosimilar, including a</w:t>
      </w:r>
      <w:r w:rsidR="00E64310" w:rsidRPr="00EB2576">
        <w:t xml:space="preserve"> systematic review of 2</w:t>
      </w:r>
      <w:r w:rsidR="00451556" w:rsidRPr="00EB2576">
        <w:t>4</w:t>
      </w:r>
      <w:r w:rsidR="00E64310" w:rsidRPr="00EB2576">
        <w:t xml:space="preserve"> studies and a</w:t>
      </w:r>
      <w:r w:rsidRPr="00EB2576">
        <w:t xml:space="preserve"> RCT, which compared CT-P13 and originator infliximab use from induction</w:t>
      </w:r>
      <w:r w:rsidR="001D0F94" w:rsidRPr="00EB2576">
        <w:t>,</w:t>
      </w:r>
      <w:r w:rsidRPr="00EB2576">
        <w:t xml:space="preserve"> specifically in patients with IBD </w:t>
      </w:r>
      <w:r w:rsidR="008F1D22" w:rsidRPr="00EB2576">
        <w:fldChar w:fldCharType="begin" w:fldLock="1"/>
      </w:r>
      <w:r w:rsidR="000C3236" w:rsidRPr="00EB2576">
        <w:instrText>ADDIN CSL_CITATION {"citationItems":[{"id":"ITEM-1","itemData":{"DOI":"10.1016/S0140-6736(18)32196-2","ISSN":"01406736","author":[{"dropping-particle":"","family":"Ye","given":"Byong Duk","non-dropping-particle":"","parse-names":false,"suffix":""},{"dropping-particle":"","family":"Pesegova","given":"Marina","non-dropping-particle":"","parse-names":false,"suffix":""},{"dropping-particle":"","family":"Alexeeva","given":"Olga","non-dropping-particle":"","parse-names":false,"suffix":""},{"dropping-particle":"","family":"Osipenko","given":"Marina","non-dropping-particle":"","parse-names":false,"suffix":""},{"dropping-particle":"","family":"Lahat","given":"Adi","non-dropping-particle":"","parse-names":false,"suffix":""},{"dropping-particle":"","family":"Dorofeyev","given":"Andriy","non-dropping-particle":"","parse-names":false,"suffix":""},{"dropping-particle":"","family":"Fishman","given":"Sigal","non-dropping-particle":"","parse-names":false,"suffix":""},{"dropping-particle":"","family":"Levchenko","given":"Olena","non-dropping-particle":"","parse-names":false,"suffix":""},{"dropping-particle":"","family":"Cheon","given":"Jae Hee","non-dropping-particle":"","parse-names":false,"suffix":""},{"dropping-particle":"","family":"Scribano","given":"Maria Lia","non-dropping-particle":"","parse-names":false,"suffix":""},{"dropping-particle":"","family":"Mateescu","given":"Radu-Bogdan","non-dropping-particle":"","parse-names":false,"suffix":""},{"dropping-particle":"","family":"Lee","given":"Kang-Moon","non-dropping-particle":"","parse-names":false,"suffix":""},{"dropping-particle":"","family":"Eun","given":"Chang Soo","non-dropping-particle":"","parse-names":false,"suffix":""},{"dropping-particle":"","family":"Lee","given":"Sang Joon","non-dropping-particle":"","parse-names":false,"suffix":""},{"dropping-particle":"","family":"Lee","given":"Sung Young","non-dropping-particle":"","parse-names":false,"suffix":""},{"dropping-particle":"","family":"Kim","given":"HoUng","non-dropping-particle":"","parse-names":false,"suffix":""},{"dropping-particle":"","family":"Schreiber","given":"Stefan","non-dropping-particle":"","parse-names":false,"suffix":""},{"dropping-particle":"","family":"Fowler","given":"Heather","non-dropping-particle":"","parse-names":false,"suffix":""},{"dropping-particle":"","family":"Cheung","given":"Raymond","non-dropping-particle":"","parse-names":false,"suffix":""},{"dropping-particle":"","family":"Kim","given":"Young-Ho","non-dropping-particle":"","parse-names":false,"suffix":""}],"container-title":"The Lancet","id":"ITEM-1","issue":"10182","issued":{"date-parts":[["2019","4"]]},"page":"1699-1707","title":"Efficacy and safety of biosimilar CT-P13 compared with originator infliximab in patients with active Crohn's disease: an international, randomised, double-blind, phase 3 non-inferiority study","type":"article-journal","volume":"393"},"uris":["http://www.mendeley.com/documents/?uuid=48b71dd9-4336-4d67-935d-8598f25195da"]},{"id":"ITEM-2","itemData":{"DOI":"10.1016/j.gastrohep.2018.04.005","ISSN":"02105705","author":[{"dropping-particle":"","family":"Gisbert","given":"Javier P.","non-dropping-particle":"","parse-names":false,"suffix":""},{"dropping-particle":"","family":"Chaparro","given":"María","non-dropping-particle":"","parse-names":false,"suffix":""}],"container-title":"Gastroenterología y Hepatología","id":"ITEM-2","issue":"6","issued":{"date-parts":[["2018","6"]]},"page":"389-405","title":"Switching from an originator anti-TNF to a biosimilar in patients with inflammatory bowel disease: Can it be recommended? A systematic review","type":"article-journal","volume":"41"},"uris":["http://www.mendeley.com/documents/?uuid=4ff213c3-788b-4c6c-8572-105c1645f3ee"]}],"mendeley":{"formattedCitation":"&lt;sup&gt;94,95&lt;/sup&gt;","plainTextFormattedCitation":"94,95","previouslyFormattedCitation":"&lt;sup&gt;94,95&lt;/sup&gt;"},"properties":{"noteIndex":0},"schema":"https://github.com/citation-style-language/schema/raw/master/csl-citation.json"}</w:instrText>
      </w:r>
      <w:r w:rsidR="008F1D22" w:rsidRPr="00EB2576">
        <w:fldChar w:fldCharType="separate"/>
      </w:r>
      <w:r w:rsidR="00D42276" w:rsidRPr="00EB2576">
        <w:rPr>
          <w:noProof/>
          <w:vertAlign w:val="superscript"/>
        </w:rPr>
        <w:t>94,95</w:t>
      </w:r>
      <w:r w:rsidR="008F1D22" w:rsidRPr="00EB2576">
        <w:fldChar w:fldCharType="end"/>
      </w:r>
      <w:r w:rsidRPr="00EB2576">
        <w:t xml:space="preserve">. Despite the promising </w:t>
      </w:r>
      <w:r w:rsidR="006609AA" w:rsidRPr="00EB2576">
        <w:t>e</w:t>
      </w:r>
      <w:r w:rsidRPr="00EB2576">
        <w:t xml:space="preserve">vidence of </w:t>
      </w:r>
      <w:r w:rsidR="00001BDD" w:rsidRPr="00EB2576">
        <w:t xml:space="preserve">infliximab </w:t>
      </w:r>
      <w:r w:rsidRPr="00EB2576">
        <w:t>biosimilars, caveats remain</w:t>
      </w:r>
      <w:r w:rsidR="00001BDD" w:rsidRPr="00EB2576">
        <w:t xml:space="preserve"> regarding their use in IBD.</w:t>
      </w:r>
      <w:r w:rsidR="00C62008" w:rsidRPr="00EB2576">
        <w:t xml:space="preserve"> A</w:t>
      </w:r>
      <w:r w:rsidR="00E50C26" w:rsidRPr="00EB2576">
        <w:t>lthough h</w:t>
      </w:r>
      <w:r w:rsidR="001D43B6" w:rsidRPr="00EB2576">
        <w:t>igh similarity</w:t>
      </w:r>
      <w:r w:rsidR="00E50C26" w:rsidRPr="00EB2576">
        <w:t xml:space="preserve"> is indicated between the primary and </w:t>
      </w:r>
      <w:r w:rsidR="001D43B6" w:rsidRPr="00EB2576">
        <w:t xml:space="preserve"> </w:t>
      </w:r>
      <w:r w:rsidRPr="00EB2576">
        <w:t xml:space="preserve">higher-order structures of </w:t>
      </w:r>
      <w:r w:rsidR="00E50C26" w:rsidRPr="00EB2576">
        <w:t xml:space="preserve">CTP13 and </w:t>
      </w:r>
      <w:r w:rsidRPr="00EB2576">
        <w:t xml:space="preserve">SB2 to </w:t>
      </w:r>
      <w:r w:rsidRPr="00EB2576">
        <w:lastRenderedPageBreak/>
        <w:t xml:space="preserve">originator infliximab </w:t>
      </w:r>
      <w:r w:rsidRPr="00EB2576">
        <w:fldChar w:fldCharType="begin" w:fldLock="1"/>
      </w:r>
      <w:r w:rsidR="009577AC" w:rsidRPr="00EB2576">
        <w:instrText>ADDIN CSL_CITATION {"citationItems":[{"id":"ITEM-1","itemData":{"DOI":"10.1002/biot.201800340","ISSN":"1860-6768","author":[{"dropping-particle":"","family":"Beyer","given":"Beate","non-dropping-particle":"","parse-names":false,"suffix":""},{"dropping-particle":"","family":"Walch","given":"Nicole","non-dropping-particle":"","parse-names":false,"suffix":""},{"dropping-particle":"","family":"Jungbauer","given":"Alois","non-dropping-particle":"","parse-names":false,"suffix":""},{"dropping-particle":"","family":"Lingg","given":"Nico","non-dropping-particle":"","parse-names":false,"suffix":""}],"container-title":"Biotechnology Journal","id":"ITEM-1","issue":"4","issued":{"date-parts":[["2019","4","30"]]},"page":"1800340","title":"How Similar Is Biosimilar? A Comparison of Infliximab Therapeutics in Regard to Charge Variant Profile and Antigen Binding Affinity","type":"article-journal","volume":"14"},"uris":["http://www.mendeley.com/documents/?uuid=4957fa33-74c2-48f7-b94e-4222072639b5"]},{"id":"ITEM-2","itemData":{"DOI":"10.1007/s40259-019-00402-0","ISSN":"1173-8804","author":[{"dropping-particle":"","family":"Ebbers","given":"Hans C.","non-dropping-particle":"","parse-names":false,"suffix":""},{"dropping-particle":"","family":"Fehrmann","given":"Bjørn","non-dropping-particle":"","parse-names":false,"suffix":""},{"dropping-particle":"","family":"Ottosen","given":"Mette","non-dropping-particle":"","parse-names":false,"suffix":""},{"dropping-particle":"","family":"Hvorslev","given":"Niels","non-dropping-particle":"","parse-names":false,"suffix":""},{"dropping-particle":"","family":"Høier","given":"Pia","non-dropping-particle":"","parse-names":false,"suffix":""},{"dropping-particle":"","family":"Hwang","given":"Jae-Woong","non-dropping-particle":"","parse-names":false,"suffix":""},{"dropping-particle":"","family":"Chung","given":"Jinhan","non-dropping-particle":"","parse-names":false,"suffix":""},{"dropping-particle":"","family":"Lim","given":"Hyoung Taek","non-dropping-particle":"","parse-names":false,"suffix":""},{"dropping-particle":"","family":"Lee","given":"Shinjung","non-dropping-particle":"","parse-names":false,"suffix":""},{"dropping-particle":"","family":"Hong","given":"Juyoung","non-dropping-particle":"","parse-names":false,"suffix":""},{"dropping-particle":"","family":"Rezk","given":"Mourad Farouk","non-dropping-particle":"","parse-names":false,"suffix":""}],"container-title":"BioDrugs","id":"ITEM-2","issue":"2","issued":{"date-parts":[["2020","4","10"]]},"page":"225-233","title":"Batch-to-Batch Consistency of SB4 and SB2, Etanercept and Infliximab Biosimilars","type":"article-journal","volume":"34"},"uris":["http://www.mendeley.com/documents/?uuid=b2abff48-6707-4a1b-b787-af1a42cc1248"]},{"id":"ITEM-3","itemData":{"DOI":"10.4161/mabs.32221","ISSN":"1942-0862","author":[{"dropping-particle":"","family":"Jung","given":"Soon Kwan","non-dropping-particle":"","parse-names":false,"suffix":""},{"dropping-particle":"","family":"Lee","given":"Kyoung Hoon","non-dropping-particle":"","parse-names":false,"suffix":""},{"dropping-particle":"","family":"Jeon","given":"Jae Won","non-dropping-particle":"","parse-names":false,"suffix":""},{"dropping-particle":"","family":"Lee","given":"Joon Won","non-dropping-particle":"","parse-names":false,"suffix":""},{"dropping-particle":"","family":"Kwon","given":"Byoung Oh","non-dropping-particle":"","parse-names":false,"suffix":""},{"dropping-particle":"","family":"Kim","given":"Yeon Jung","non-dropping-particle":"","parse-names":false,"suffix":""},{"dropping-particle":"","family":"Bae","given":"Jin Soo","non-dropping-particle":"","parse-names":false,"suffix":""},{"dropping-particle":"","family":"Kim","given":"Dong-Il","non-dropping-particle":"","parse-names":false,"suffix":""},{"dropping-particle":"","family":"Lee","given":"Soo Young","non-dropping-particle":"","parse-names":false,"suffix":""},{"dropping-particle":"","family":"Chang","given":"Shin Jae","non-dropping-particle":"","parse-names":false,"suffix":""}],"container-title":"mAbs","id":"ITEM-3","issue":"5","issued":{"date-parts":[["2014","9","3"]]},"page":"1163-1177","title":"Physicochemical characterization of Remsima®","type":"article-journal","volume":"6"},"uris":["http://www.mendeley.com/documents/?uuid=1154da2d-5162-4d32-8998-d74f7bf45b11"]}],"mendeley":{"formattedCitation":"&lt;sup&gt;86,87,182&lt;/sup&gt;","plainTextFormattedCitation":"86,87,182","previouslyFormattedCitation":"&lt;sup&gt;86,87,182&lt;/sup&gt;"},"properties":{"noteIndex":0},"schema":"https://github.com/citation-style-language/schema/raw/master/csl-citation.json"}</w:instrText>
      </w:r>
      <w:r w:rsidRPr="00EB2576">
        <w:fldChar w:fldCharType="separate"/>
      </w:r>
      <w:r w:rsidR="00201474" w:rsidRPr="00EB2576">
        <w:rPr>
          <w:noProof/>
          <w:vertAlign w:val="superscript"/>
        </w:rPr>
        <w:t>86,87,182</w:t>
      </w:r>
      <w:r w:rsidRPr="00EB2576">
        <w:fldChar w:fldCharType="end"/>
      </w:r>
      <w:r w:rsidR="008968C8" w:rsidRPr="00EB2576">
        <w:t xml:space="preserve">, small differences in </w:t>
      </w:r>
      <w:r w:rsidRPr="00EB2576">
        <w:t xml:space="preserve">basic charge variants </w:t>
      </w:r>
      <w:r w:rsidR="00EE0DFE" w:rsidRPr="00EB2576">
        <w:t>are present in</w:t>
      </w:r>
      <w:r w:rsidRPr="00EB2576">
        <w:t xml:space="preserve"> SB2 </w:t>
      </w:r>
      <w:r w:rsidRPr="00EB2576">
        <w:fldChar w:fldCharType="begin" w:fldLock="1"/>
      </w:r>
      <w:r w:rsidRPr="00EB2576">
        <w:instrText>ADDIN CSL_CITATION {"citationItems":[{"id":"ITEM-1","itemData":{"DOI":"10.1002/biot.201800340","ISSN":"1860-6768","author":[{"dropping-particle":"","family":"Beyer","given":"Beate","non-dropping-particle":"","parse-names":false,"suffix":""},{"dropping-particle":"","family":"Walch","given":"Nicole","non-dropping-particle":"","parse-names":false,"suffix":""},{"dropping-particle":"","family":"Jungbauer","given":"Alois","non-dropping-particle":"","parse-names":false,"suffix":""},{"dropping-particle":"","family":"Lingg","given":"Nico","non-dropping-particle":"","parse-names":false,"suffix":""}],"container-title":"Biotechnology Journal","id":"ITEM-1","issue":"4","issued":{"date-parts":[["2019","4","30"]]},"page":"1800340","title":"How Similar Is Biosimilar? A Comparison of Infliximab Therapeutics in Regard to Charge Variant Profile and Antigen Binding Affinity","type":"article-journal","volume":"14"},"uris":["http://www.mendeley.com/documents/?uuid=4957fa33-74c2-48f7-b94e-4222072639b5"]}],"mendeley":{"formattedCitation":"&lt;sup&gt;86&lt;/sup&gt;","plainTextFormattedCitation":"86","previouslyFormattedCitation":"&lt;sup&gt;86&lt;/sup&gt;"},"properties":{"noteIndex":0},"schema":"https://github.com/citation-style-language/schema/raw/master/csl-citation.json"}</w:instrText>
      </w:r>
      <w:r w:rsidRPr="00EB2576">
        <w:fldChar w:fldCharType="separate"/>
      </w:r>
      <w:r w:rsidRPr="00EB2576">
        <w:rPr>
          <w:noProof/>
          <w:vertAlign w:val="superscript"/>
        </w:rPr>
        <w:t>86</w:t>
      </w:r>
      <w:r w:rsidRPr="00EB2576">
        <w:fldChar w:fldCharType="end"/>
      </w:r>
      <w:r w:rsidR="00EE0DFE" w:rsidRPr="00EB2576">
        <w:t xml:space="preserve">. </w:t>
      </w:r>
      <w:r w:rsidR="00A43F93" w:rsidRPr="00EB2576">
        <w:t xml:space="preserve">Our knowledge on </w:t>
      </w:r>
      <w:r w:rsidR="00EE0DFE" w:rsidRPr="00EB2576">
        <w:t>post-translational changes: enzymatic modifications that occur after translation, between administering originator and biosimilar drugs</w:t>
      </w:r>
      <w:r w:rsidR="00A43F93" w:rsidRPr="00EB2576">
        <w:t xml:space="preserve"> is also limited</w:t>
      </w:r>
      <w:r w:rsidR="00C62008" w:rsidRPr="00EB2576">
        <w:t xml:space="preserve"> and sho</w:t>
      </w:r>
      <w:r w:rsidR="00900342" w:rsidRPr="00EB2576">
        <w:t>uld be taken into consideration in noting their structural similarities from studies</w:t>
      </w:r>
      <w:r w:rsidR="00EE0DFE" w:rsidRPr="00EB2576">
        <w:t xml:space="preserve"> </w:t>
      </w:r>
      <w:r w:rsidR="00EE0DFE" w:rsidRPr="00EB2576">
        <w:fldChar w:fldCharType="begin" w:fldLock="1"/>
      </w:r>
      <w:r w:rsidR="00EE0DFE" w:rsidRPr="00EB2576">
        <w:instrText>ADDIN CSL_CITATION {"citationItems":[{"id":"ITEM-1","itemData":{"DOI":"10.1155/2016/1298473","ISSN":"2314-8861","abstract":"Today, potential immunogenicity can be better evaluated during the drug development process, and we have rational approaches to manage the clinical consequences of immunogenicity. The focus of the scientific community should be on developing sensitive diagnostics that can predict immunogenicity-mediated adverse events in the small fraction of subjects that develop clinically relevant anti-drug antibodies. Here, we discuss the causes of immunogenicity which could be product-related (inherent property of the product or might be picked up during the manufacturing process), patient-related (genetic profile or eating habits), or linked to the route of administration. We describe various posttranslational modifications (PTMs) and how they may influence immunogenicity. Over the last three decades, we have significantly improved our understanding about the types of PTMs of biotherapeutic proteins and their association with immunogenicity. It is also now clear that all PTMs do not lead to clinical immunogenicity. We also discuss the mechanisms of immunogenicity (which include T cell-dependent and T cell-independent responses) and immunological tolerance. We further elaborate on the management of immunogenicity in preclinical and clinical setting and the unique challenges raised by biosimilars, which may have different immunogenic potential from their parent biotherapeutics.","author":[{"dropping-particle":"","family":"Kuriakose","given":"Anshu","non-dropping-particle":"","parse-names":false,"suffix":""},{"dropping-particle":"","family":"Chirmule","given":"Narendra","non-dropping-particle":"","parse-names":false,"suffix":""},{"dropping-particle":"","family":"Nair","given":"Pradip","non-dropping-particle":"","parse-names":false,"suffix":""}],"container-title":"Journal of Immunology Research","id":"ITEM-1","issued":{"date-parts":[["2016"]]},"page":"1-18","title":"Immunogenicity of Biotherapeutics: Causes and Association with Posttranslational Modifications","type":"article-journal","volume":"2016"},"uris":["http://www.mendeley.com/documents/?uuid=da81b649-27d9-4faf-b6ce-7d55c121464d"]}],"mendeley":{"formattedCitation":"&lt;sup&gt;101&lt;/sup&gt;","plainTextFormattedCitation":"101","previouslyFormattedCitation":"&lt;sup&gt;101&lt;/sup&gt;"},"properties":{"noteIndex":0},"schema":"https://github.com/citation-style-language/schema/raw/master/csl-citation.json"}</w:instrText>
      </w:r>
      <w:r w:rsidR="00EE0DFE" w:rsidRPr="00EB2576">
        <w:fldChar w:fldCharType="separate"/>
      </w:r>
      <w:r w:rsidR="00EE0DFE" w:rsidRPr="00EB2576">
        <w:rPr>
          <w:noProof/>
          <w:vertAlign w:val="superscript"/>
        </w:rPr>
        <w:t>101</w:t>
      </w:r>
      <w:r w:rsidR="00EE0DFE" w:rsidRPr="00EB2576">
        <w:fldChar w:fldCharType="end"/>
      </w:r>
      <w:r w:rsidR="00EE0DFE" w:rsidRPr="00EB2576">
        <w:t>.</w:t>
      </w:r>
      <w:r w:rsidR="00EC609D" w:rsidRPr="00EB2576">
        <w:t xml:space="preserve"> </w:t>
      </w:r>
      <w:r w:rsidR="001F0E97" w:rsidRPr="00EB2576">
        <w:t>Limitation</w:t>
      </w:r>
      <w:r w:rsidR="00E45AE8" w:rsidRPr="00EB2576">
        <w:t>s</w:t>
      </w:r>
      <w:r w:rsidR="001F0E97" w:rsidRPr="00EB2576">
        <w:t xml:space="preserve"> </w:t>
      </w:r>
      <w:r w:rsidR="00E45AE8" w:rsidRPr="00EB2576">
        <w:t>from</w:t>
      </w:r>
      <w:r w:rsidR="001F0E97" w:rsidRPr="00EB2576">
        <w:t xml:space="preserve"> clinical studies are that m</w:t>
      </w:r>
      <w:r w:rsidR="00451556" w:rsidRPr="00EB2576">
        <w:t>ost</w:t>
      </w:r>
      <w:r w:rsidR="001F0E97" w:rsidRPr="00EB2576">
        <w:t xml:space="preserve"> are</w:t>
      </w:r>
      <w:r w:rsidR="00451556" w:rsidRPr="00EB2576">
        <w:t xml:space="preserve"> retrospective, </w:t>
      </w:r>
      <w:r w:rsidR="007D1913" w:rsidRPr="00EB2576">
        <w:t>data is extrapolated from their use in other conditions</w:t>
      </w:r>
      <w:r w:rsidR="002A6CF4" w:rsidRPr="00EB2576">
        <w:t xml:space="preserve"> and </w:t>
      </w:r>
      <w:r w:rsidR="00451556" w:rsidRPr="00EB2576">
        <w:t>that follow-up ≤1 year in all studies</w:t>
      </w:r>
      <w:r w:rsidR="002A6CF4" w:rsidRPr="00EB2576">
        <w:t>. T</w:t>
      </w:r>
      <w:r w:rsidR="00E45AE8" w:rsidRPr="00EB2576">
        <w:t>he latter may impact on the observation of</w:t>
      </w:r>
      <w:r w:rsidR="002A6CF4" w:rsidRPr="00EB2576">
        <w:t xml:space="preserve"> adverse outcomes</w:t>
      </w:r>
      <w:r w:rsidR="00203F7D" w:rsidRPr="00EB2576">
        <w:t>, including immunogenicity,</w:t>
      </w:r>
      <w:r w:rsidR="002A6CF4" w:rsidRPr="00EB2576">
        <w:t xml:space="preserve"> as this </w:t>
      </w:r>
      <w:r w:rsidR="00B6134A" w:rsidRPr="00EB2576">
        <w:t xml:space="preserve">may </w:t>
      </w:r>
      <w:r w:rsidR="002A6CF4" w:rsidRPr="00EB2576">
        <w:t xml:space="preserve">require </w:t>
      </w:r>
      <w:r w:rsidR="00B6134A" w:rsidRPr="00EB2576">
        <w:t xml:space="preserve">a </w:t>
      </w:r>
      <w:r w:rsidR="001A6EA9" w:rsidRPr="00EB2576">
        <w:t>large number of patients over many years.</w:t>
      </w:r>
      <w:r w:rsidR="0037326F" w:rsidRPr="00EB2576">
        <w:t xml:space="preserve"> </w:t>
      </w:r>
    </w:p>
    <w:p w14:paraId="7D676777" w14:textId="77777777" w:rsidR="00E45AE8" w:rsidRPr="00EB2576" w:rsidRDefault="00E45AE8" w:rsidP="00342262">
      <w:pPr>
        <w:spacing w:line="480" w:lineRule="auto"/>
        <w:rPr>
          <w:rFonts w:ascii="Times New Roman" w:hAnsi="Times New Roman" w:cs="Times New Roman"/>
          <w:sz w:val="24"/>
          <w:szCs w:val="24"/>
        </w:rPr>
      </w:pPr>
    </w:p>
    <w:p w14:paraId="5F4C6D7B" w14:textId="74D3D38B" w:rsidR="0006425B" w:rsidRPr="00EB2576" w:rsidRDefault="002176B7" w:rsidP="00342262">
      <w:pPr>
        <w:spacing w:line="480" w:lineRule="auto"/>
        <w:rPr>
          <w:rFonts w:ascii="Times New Roman" w:hAnsi="Times New Roman" w:cs="Times New Roman"/>
          <w:kern w:val="24"/>
          <w:sz w:val="24"/>
          <w:szCs w:val="24"/>
        </w:rPr>
      </w:pPr>
      <w:r w:rsidRPr="00EB2576">
        <w:rPr>
          <w:rFonts w:ascii="Times New Roman" w:hAnsi="Times New Roman" w:cs="Times New Roman"/>
          <w:sz w:val="24"/>
          <w:szCs w:val="24"/>
        </w:rPr>
        <w:t xml:space="preserve">As described in Chapter </w:t>
      </w:r>
      <w:r w:rsidR="00761C5E" w:rsidRPr="00EB2576">
        <w:rPr>
          <w:rFonts w:ascii="Times New Roman" w:hAnsi="Times New Roman" w:cs="Times New Roman"/>
          <w:sz w:val="24"/>
          <w:szCs w:val="24"/>
        </w:rPr>
        <w:t>2</w:t>
      </w:r>
      <w:r w:rsidRPr="00EB2576">
        <w:rPr>
          <w:rFonts w:ascii="Times New Roman" w:hAnsi="Times New Roman" w:cs="Times New Roman"/>
          <w:sz w:val="24"/>
          <w:szCs w:val="24"/>
        </w:rPr>
        <w:t>, ATI are common and are associated with differing clinical outcomes: loss of clinical remission, a reduction in infliximab drug levels and infusion reactions. It may be that the antigenic region/regions of infliximab are in the Fab fragment as this contains the murine</w:t>
      </w:r>
      <w:r w:rsidR="00627AF4" w:rsidRPr="00EB2576">
        <w:rPr>
          <w:rFonts w:ascii="Times New Roman" w:hAnsi="Times New Roman" w:cs="Times New Roman"/>
          <w:sz w:val="24"/>
          <w:szCs w:val="24"/>
        </w:rPr>
        <w:t xml:space="preserve"> and</w:t>
      </w:r>
      <w:r w:rsidRPr="00EB2576">
        <w:rPr>
          <w:rFonts w:ascii="Times New Roman" w:hAnsi="Times New Roman" w:cs="Times New Roman"/>
          <w:sz w:val="24"/>
          <w:szCs w:val="24"/>
        </w:rPr>
        <w:t xml:space="preserve"> variable region</w:t>
      </w:r>
      <w:r w:rsidR="00871E32" w:rsidRPr="00EB2576">
        <w:rPr>
          <w:rFonts w:ascii="Times New Roman" w:hAnsi="Times New Roman" w:cs="Times New Roman"/>
          <w:sz w:val="24"/>
          <w:szCs w:val="24"/>
        </w:rPr>
        <w:t>s</w:t>
      </w:r>
      <w:r w:rsidRPr="00EB2576">
        <w:rPr>
          <w:rFonts w:ascii="Times New Roman" w:hAnsi="Times New Roman" w:cs="Times New Roman"/>
          <w:sz w:val="24"/>
          <w:szCs w:val="24"/>
        </w:rPr>
        <w:t xml:space="preserve"> of the therapeutic monoclonal antibody. In addition, </w:t>
      </w:r>
      <w:r w:rsidR="00104B48" w:rsidRPr="00EB2576">
        <w:rPr>
          <w:rFonts w:ascii="Times New Roman" w:hAnsi="Times New Roman" w:cs="Times New Roman"/>
          <w:sz w:val="24"/>
          <w:szCs w:val="24"/>
        </w:rPr>
        <w:t xml:space="preserve">binding of </w:t>
      </w:r>
      <w:r w:rsidRPr="00EB2576">
        <w:rPr>
          <w:rFonts w:ascii="Times New Roman" w:hAnsi="Times New Roman" w:cs="Times New Roman"/>
          <w:sz w:val="24"/>
          <w:szCs w:val="24"/>
        </w:rPr>
        <w:t xml:space="preserve">antibodies to </w:t>
      </w:r>
      <w:r w:rsidR="00627AF4" w:rsidRPr="00EB2576">
        <w:rPr>
          <w:rFonts w:ascii="Times New Roman" w:hAnsi="Times New Roman" w:cs="Times New Roman"/>
          <w:sz w:val="24"/>
          <w:szCs w:val="24"/>
        </w:rPr>
        <w:t xml:space="preserve">the </w:t>
      </w:r>
      <w:r w:rsidR="00104B48" w:rsidRPr="00EB2576">
        <w:rPr>
          <w:rFonts w:ascii="Times New Roman" w:hAnsi="Times New Roman" w:cs="Times New Roman"/>
          <w:sz w:val="24"/>
          <w:szCs w:val="24"/>
        </w:rPr>
        <w:t>CDRs,</w:t>
      </w:r>
      <w:r w:rsidRPr="00EB2576">
        <w:rPr>
          <w:rFonts w:ascii="Times New Roman" w:hAnsi="Times New Roman" w:cs="Times New Roman"/>
          <w:sz w:val="24"/>
          <w:szCs w:val="24"/>
        </w:rPr>
        <w:t xml:space="preserve"> </w:t>
      </w:r>
      <w:r w:rsidR="00CD63CE" w:rsidRPr="00EB2576">
        <w:rPr>
          <w:rFonts w:ascii="Times New Roman" w:hAnsi="Times New Roman" w:cs="Times New Roman"/>
          <w:sz w:val="24"/>
          <w:szCs w:val="24"/>
        </w:rPr>
        <w:t>w</w:t>
      </w:r>
      <w:r w:rsidRPr="00EB2576">
        <w:rPr>
          <w:rFonts w:ascii="Times New Roman" w:hAnsi="Times New Roman" w:cs="Times New Roman"/>
          <w:sz w:val="24"/>
          <w:szCs w:val="24"/>
        </w:rPr>
        <w:t xml:space="preserve">ould prevent infliximab from binding to </w:t>
      </w:r>
      <w:r w:rsidR="00C16DD0" w:rsidRPr="00EB2576">
        <w:rPr>
          <w:rFonts w:ascii="Times New Roman" w:hAnsi="Times New Roman" w:cs="Times New Roman"/>
          <w:sz w:val="24"/>
          <w:szCs w:val="24"/>
        </w:rPr>
        <w:t xml:space="preserve">soluble and transmembrane </w:t>
      </w:r>
      <w:r w:rsidRPr="00EB2576">
        <w:rPr>
          <w:rFonts w:ascii="Times New Roman" w:hAnsi="Times New Roman" w:cs="Times New Roman"/>
          <w:sz w:val="24"/>
          <w:szCs w:val="24"/>
        </w:rPr>
        <w:t>TNFα</w:t>
      </w:r>
      <w:r w:rsidR="00104B48" w:rsidRPr="00EB2576">
        <w:rPr>
          <w:rFonts w:ascii="Times New Roman" w:hAnsi="Times New Roman" w:cs="Times New Roman"/>
          <w:sz w:val="24"/>
          <w:szCs w:val="24"/>
        </w:rPr>
        <w:t>. This would</w:t>
      </w:r>
      <w:r w:rsidRPr="00EB2576">
        <w:rPr>
          <w:rFonts w:ascii="Times New Roman" w:hAnsi="Times New Roman" w:cs="Times New Roman"/>
          <w:sz w:val="24"/>
          <w:szCs w:val="24"/>
        </w:rPr>
        <w:t xml:space="preserve"> explain the association of ATI with </w:t>
      </w:r>
      <w:r w:rsidR="008D5CFC" w:rsidRPr="00EB2576">
        <w:rPr>
          <w:rFonts w:ascii="Times New Roman" w:hAnsi="Times New Roman" w:cs="Times New Roman"/>
          <w:sz w:val="24"/>
          <w:szCs w:val="24"/>
        </w:rPr>
        <w:t xml:space="preserve">loss of </w:t>
      </w:r>
      <w:r w:rsidR="00E00CB0" w:rsidRPr="00EB2576">
        <w:rPr>
          <w:rFonts w:ascii="Times New Roman" w:hAnsi="Times New Roman" w:cs="Times New Roman"/>
          <w:sz w:val="24"/>
          <w:szCs w:val="24"/>
        </w:rPr>
        <w:t>clinical remission</w:t>
      </w:r>
      <w:r w:rsidRPr="00EB2576">
        <w:rPr>
          <w:rFonts w:ascii="Times New Roman" w:hAnsi="Times New Roman" w:cs="Times New Roman"/>
          <w:kern w:val="24"/>
          <w:sz w:val="24"/>
          <w:szCs w:val="24"/>
        </w:rPr>
        <w:t xml:space="preserve">. </w:t>
      </w:r>
    </w:p>
    <w:p w14:paraId="2D74BA2C" w14:textId="77777777" w:rsidR="0006425B" w:rsidRPr="00EB2576" w:rsidRDefault="0006425B" w:rsidP="00342262">
      <w:pPr>
        <w:spacing w:line="480" w:lineRule="auto"/>
        <w:rPr>
          <w:rFonts w:ascii="Times New Roman" w:hAnsi="Times New Roman" w:cs="Times New Roman"/>
          <w:kern w:val="24"/>
          <w:sz w:val="24"/>
          <w:szCs w:val="24"/>
        </w:rPr>
      </w:pPr>
    </w:p>
    <w:p w14:paraId="6F4238C7" w14:textId="7C306160" w:rsidR="0006425B" w:rsidRPr="00EB2576" w:rsidRDefault="0006425B" w:rsidP="00342262">
      <w:pPr>
        <w:autoSpaceDE w:val="0"/>
        <w:autoSpaceDN w:val="0"/>
        <w:adjustRightInd w:val="0"/>
        <w:spacing w:after="0"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Phage display</w:t>
      </w:r>
      <w:r w:rsidRPr="00EB2576">
        <w:rPr>
          <w:rFonts w:ascii="Times New Roman" w:eastAsia="Times New Roman" w:hAnsi="Times New Roman" w:cs="Times New Roman"/>
          <w:sz w:val="24"/>
          <w:szCs w:val="24"/>
          <w:lang w:eastAsia="en-GB"/>
        </w:rPr>
        <w:t xml:space="preserve"> allows screening with a known antigen or antibody to identify biomarkers, select high affinity antibodies for production of monoclonal antibodies and functional epitope mapping</w:t>
      </w:r>
      <w:r w:rsidRPr="00EB2576">
        <w:rPr>
          <w:rFonts w:ascii="Times New Roman" w:eastAsia="Times New Roman" w:hAnsi="Times New Roman" w:cs="Times New Roman"/>
          <w:sz w:val="24"/>
          <w:szCs w:val="24"/>
          <w:lang w:eastAsia="en-GB"/>
        </w:rPr>
        <w:fldChar w:fldCharType="begin" w:fldLock="1"/>
      </w:r>
      <w:r w:rsidRPr="00EB2576">
        <w:rPr>
          <w:rFonts w:ascii="Times New Roman" w:eastAsia="Times New Roman" w:hAnsi="Times New Roman" w:cs="Times New Roman"/>
          <w:sz w:val="24"/>
          <w:szCs w:val="24"/>
          <w:lang w:eastAsia="en-GB"/>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Diagnostics","type":"article-journal","volume":"5"},"uris":["http://www.mendeley.com/documents/?uuid=b07325a6-f039-4c14-8ec6-4e309f86e6c9"]},{"id":"ITEM-2","itemData":{"DOI":"10.4161/hv.21703","ISBN":"2164-554X (Electronic)","ISSN":"2164-5515","PMID":"22906939","abstract":"One of the most effective molecular diversity techniques is phage display. This technology is based on a direct linkage between phage phenotype and its encapsulated genotype, which leads to presentation of molecule libraries on the phage surface. Phage display is utilized in studying protein-ligand interactions, receptor binding sites and in improving or modifying the affinity of proteins for their binding partners. Generating monoclonal antibodies and improving their affinity, cloning antibodies from unstable hybridoma cells and identifying epitopes, mimotopes and functional or accessible sites from antigens are also important advantages of this technology. Techniques originating from phage display have been applied to transfusion medicine, neurological disorders, mapping vascular addresses and tissue homing of peptides. Phages have been applicable to immunization therapies, which may lead to development of new tools used for treating autoimmune and cancer diseases. This review describes the phage display technology and presents the recent advancements in therapeutic applications of phage display.","author":[{"dropping-particle":"","family":"Bazan","given":"Justyna","non-dropping-particle":"","parse-names":false,"suffix":""},{"dropping-particle":"","family":"Całkosiński","given":"Ireneusz","non-dropping-particle":"","parse-names":false,"suffix":""},{"dropping-particle":"","family":"Gamian","given":"Andrzej","non-dropping-particle":"","parse-names":false,"suffix":""}],"container-title":"Human Vaccines &amp; Immunotherapeutics","id":"ITEM-2","issue":"12","issued":{"date-parts":[["2012","12"]]},"page":"1817-1828","title":"Phage display—A powerful technique for immunotherapy","type":"article-journal","volume":"8"},"uris":["http://www.mendeley.com/documents/?uuid=f3c7e900-1b97-438f-9e71-f8badfdecf58"]},{"id":"ITEM-3","itemData":{"author":[{"dropping-particle":"","family":"Kay","given":"Brian K","non-dropping-particle":"","parse-names":false,"suffix":""},{"dropping-particle":"","family":"Hoess","given":"Ronald H","non-dropping-particle":"","parse-names":false,"suffix":""}],"container-title":"Phage Display of Peptides and Proteins: A Laboratory Manual.","id":"ITEM-3","issued":{"date-parts":[["0"]]},"page":"22-24","title":"Principle and applications of phage display.","type":"chapter"},"uris":["http://www.mendeley.com/documents/?uuid=f4c2a7a2-ed22-4cdb-aa2f-89148b04d9cf"]},{"id":"ITEM-4","itemData":{"DOI":"10.1128/microbiolspec.AID-0028-2014","ISBN":"doi:10.1128/microbiolspec.AID-0027-2014","ISSN":"2165-0497","PMID":"26104564","abstract":"The human hybridoma technique offers an important approach for isolation of human monoclonal antibodies. A diversity of approaches can be used with varying success. Recent technical advances in expanding the starting number of human antigen-specific B cells, improving fusion efficiency, and isolating new myeloma partners and new cell cloning methods have enabled the development of protocols that make the isolation of human monoclonal antibodies from blood samples feasible. Undoubtedly, additional innovations that could improve efficiency are possible.","author":[{"dropping-particle":"","family":"Sheehan","given":"Jared","non-dropping-particle":"","parse-names":false,"suffix":""},{"dropping-particle":"","family":"Marasco","given":"Wayne A.","non-dropping-particle":"","parse-names":false,"suffix":""}],"container-title":"Microbiology Spectrum","id":"ITEM-4","issue":"1","issued":{"date-parts":[["2015","2"]]},"page":"1-12","title":"Phage and Yeast Display","type":"article-journal","volume":"3"},"uris":["http://www.mendeley.com/documents/?uuid=85c2fe4d-6e69-46bf-896f-8f47c393e1f2"]}],"mendeley":{"formattedCitation":"&lt;sup&gt;105,153–155&lt;/sup&gt;","plainTextFormattedCitation":"105,153–155","previouslyFormattedCitation":"&lt;sup&gt;105,153–155&lt;/sup&gt;"},"properties":{"noteIndex":0},"schema":"https://github.com/citation-style-language/schema/raw/master/csl-citation.json"}</w:instrText>
      </w:r>
      <w:r w:rsidRPr="00EB2576">
        <w:rPr>
          <w:rFonts w:ascii="Times New Roman" w:eastAsia="Times New Roman" w:hAnsi="Times New Roman" w:cs="Times New Roman"/>
          <w:sz w:val="24"/>
          <w:szCs w:val="24"/>
          <w:lang w:eastAsia="en-GB"/>
        </w:rPr>
        <w:fldChar w:fldCharType="separate"/>
      </w:r>
      <w:r w:rsidRPr="00EB2576">
        <w:rPr>
          <w:rFonts w:ascii="Times New Roman" w:eastAsia="Times New Roman" w:hAnsi="Times New Roman" w:cs="Times New Roman"/>
          <w:noProof/>
          <w:sz w:val="24"/>
          <w:szCs w:val="24"/>
          <w:vertAlign w:val="superscript"/>
          <w:lang w:eastAsia="en-GB"/>
        </w:rPr>
        <w:t>105,153–155</w:t>
      </w:r>
      <w:r w:rsidRPr="00EB2576">
        <w:rPr>
          <w:rFonts w:ascii="Times New Roman" w:eastAsia="Times New Roman" w:hAnsi="Times New Roman" w:cs="Times New Roman"/>
          <w:sz w:val="24"/>
          <w:szCs w:val="24"/>
          <w:lang w:eastAsia="en-GB"/>
        </w:rPr>
        <w:fldChar w:fldCharType="end"/>
      </w:r>
      <w:r w:rsidRPr="00EB2576">
        <w:rPr>
          <w:rFonts w:ascii="Times New Roman" w:eastAsia="Times New Roman" w:hAnsi="Times New Roman" w:cs="Times New Roman"/>
          <w:sz w:val="24"/>
          <w:szCs w:val="24"/>
          <w:lang w:eastAsia="en-GB"/>
        </w:rPr>
        <w:t xml:space="preserve">. </w:t>
      </w:r>
      <w:r w:rsidRPr="00EB2576">
        <w:rPr>
          <w:rFonts w:ascii="Times New Roman" w:hAnsi="Times New Roman" w:cs="Times New Roman"/>
          <w:sz w:val="24"/>
          <w:szCs w:val="24"/>
        </w:rPr>
        <w:t xml:space="preserve">Affinity selection or biopanning involves incubation of the phage library with a known protein to allow binding of specific phage variants, washing to remove non-binding phage and elution to identify selected phage variants. Repeated cycles of amplification (growth of the selected phage variants), re-selection and elution aim to reduce non-specific binding and enrich selection of desired clones </w:t>
      </w:r>
      <w:r w:rsidRPr="00EB2576">
        <w:rPr>
          <w:rFonts w:ascii="Times New Roman" w:hAnsi="Times New Roman" w:cs="Times New Roman"/>
          <w:sz w:val="24"/>
          <w:szCs w:val="24"/>
        </w:rPr>
        <w:fldChar w:fldCharType="begin" w:fldLock="1"/>
      </w:r>
      <w:r w:rsidRPr="00EB2576">
        <w:rPr>
          <w:rFonts w:ascii="Times New Roman" w:hAnsi="Times New Roman" w:cs="Times New Roman"/>
          <w:sz w:val="24"/>
          <w:szCs w:val="24"/>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Diagnostics","type":"article-journal","volume":"5"},"uris":["http://www.mendeley.com/documents/?uuid=b07325a6-f039-4c14-8ec6-4e309f86e6c9"]},{"id":"ITEM-2","itemData":{"author":[{"dropping-particle":"","family":"Kay","given":"Brian K","non-dropping-particle":"","parse-names":false,"suffix":""},{"dropping-particle":"","family":"Hoess","given":"Ronald H","non-dropping-particle":"","parse-names":false,"suffix":""}],"container-title":"Phage Display of Peptides and Proteins: A Laboratory Manual.","id":"ITEM-2","issued":{"date-parts":[["0"]]},"page":"22-24","title":"Principle and applications of phage display.","type":"chapter"},"uris":["http://www.mendeley.com/documents/?uuid=f4c2a7a2-ed22-4cdb-aa2f-89148b04d9cf"]}],"mendeley":{"formattedCitation":"&lt;sup&gt;105,154&lt;/sup&gt;","plainTextFormattedCitation":"105,154","previouslyFormattedCitation":"&lt;sup&gt;105,154&lt;/sup&gt;"},"properties":{"noteIndex":0},"schema":"https://github.com/citation-style-language/schema/raw/master/csl-citation.json"}</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vertAlign w:val="superscript"/>
        </w:rPr>
        <w:t>105,154</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r w:rsidRPr="00EB2576">
        <w:rPr>
          <w:rFonts w:ascii="Times New Roman" w:eastAsia="Times New Roman" w:hAnsi="Times New Roman" w:cs="Times New Roman"/>
          <w:sz w:val="24"/>
          <w:szCs w:val="24"/>
          <w:lang w:eastAsia="en-GB"/>
        </w:rPr>
        <w:t xml:space="preserve"> </w:t>
      </w:r>
    </w:p>
    <w:p w14:paraId="5A891597" w14:textId="77777777" w:rsidR="0006425B" w:rsidRPr="00EB2576" w:rsidRDefault="0006425B" w:rsidP="00342262">
      <w:pPr>
        <w:autoSpaceDE w:val="0"/>
        <w:autoSpaceDN w:val="0"/>
        <w:adjustRightInd w:val="0"/>
        <w:spacing w:after="0" w:line="480" w:lineRule="auto"/>
        <w:rPr>
          <w:rFonts w:ascii="Times New Roman" w:eastAsia="Times New Roman" w:hAnsi="Times New Roman" w:cs="Times New Roman"/>
          <w:sz w:val="24"/>
          <w:szCs w:val="24"/>
          <w:lang w:eastAsia="en-GB"/>
        </w:rPr>
      </w:pPr>
    </w:p>
    <w:p w14:paraId="30EA4618" w14:textId="77777777" w:rsidR="0006425B" w:rsidRPr="00EB2576" w:rsidRDefault="0006425B" w:rsidP="00342262">
      <w:pPr>
        <w:autoSpaceDE w:val="0"/>
        <w:autoSpaceDN w:val="0"/>
        <w:adjustRightInd w:val="0"/>
        <w:spacing w:after="0"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Phage display libraries can be considered in terms of random peptide libraries (RPL) and gene fragment libraries (GFL)</w:t>
      </w:r>
      <w:r w:rsidRPr="00EB2576">
        <w:rPr>
          <w:rFonts w:ascii="Times New Roman" w:hAnsi="Times New Roman" w:cs="Times New Roman"/>
          <w:noProof/>
          <w:sz w:val="24"/>
          <w:szCs w:val="24"/>
          <w:vertAlign w:val="superscript"/>
        </w:rPr>
        <w:t xml:space="preserve"> 97,172</w:t>
      </w:r>
      <w:r w:rsidRPr="00EB2576">
        <w:rPr>
          <w:rFonts w:ascii="Times New Roman" w:hAnsi="Times New Roman" w:cs="Times New Roman"/>
          <w:sz w:val="24"/>
          <w:szCs w:val="24"/>
        </w:rPr>
        <w:t xml:space="preserve">. </w:t>
      </w:r>
      <w:r w:rsidRPr="00EB2576">
        <w:rPr>
          <w:rFonts w:ascii="Times New Roman" w:eastAsia="Times New Roman" w:hAnsi="Times New Roman" w:cs="Times New Roman"/>
          <w:sz w:val="24"/>
          <w:szCs w:val="24"/>
          <w:lang w:eastAsia="en-GB"/>
        </w:rPr>
        <w:t xml:space="preserve"> </w:t>
      </w:r>
      <w:r w:rsidRPr="00EB2576">
        <w:rPr>
          <w:rFonts w:ascii="Times New Roman" w:hAnsi="Times New Roman" w:cs="Times New Roman"/>
          <w:sz w:val="24"/>
          <w:szCs w:val="24"/>
        </w:rPr>
        <w:t xml:space="preserve">RPL are large diverse libraries of unique random peptide sequences made from synthetic oligonucleotides. They can be used for identifying a wide range of protein-protein interactions including the identification of mimotopes - </w:t>
      </w:r>
      <w:r w:rsidRPr="00EB2576">
        <w:rPr>
          <w:rFonts w:ascii="Times New Roman" w:eastAsia="MS PGothic" w:hAnsi="Times New Roman" w:cs="Times New Roman"/>
          <w:kern w:val="24"/>
          <w:sz w:val="24"/>
          <w:szCs w:val="24"/>
        </w:rPr>
        <w:t xml:space="preserve">peptide sequences that mimic conformational epitopes </w:t>
      </w:r>
      <w:r w:rsidRPr="00EB2576">
        <w:rPr>
          <w:rFonts w:ascii="Times New Roman" w:eastAsia="MS PGothic" w:hAnsi="Times New Roman" w:cs="Times New Roman"/>
          <w:kern w:val="24"/>
          <w:sz w:val="24"/>
          <w:szCs w:val="24"/>
        </w:rPr>
        <w:fldChar w:fldCharType="begin" w:fldLock="1"/>
      </w:r>
      <w:r w:rsidRPr="00EB2576">
        <w:rPr>
          <w:rFonts w:ascii="Times New Roman" w:eastAsia="MS PGothic" w:hAnsi="Times New Roman" w:cs="Times New Roman"/>
          <w:kern w:val="24"/>
          <w:sz w:val="24"/>
          <w:szCs w:val="24"/>
        </w:rPr>
        <w:instrText>ADDIN CSL_CITATION {"citationItems":[{"id":"ITEM-1","itemData":{"DOI":"10.4161/hv.21703","ISBN":"2164-554X (Electronic)","ISSN":"2164-5515","PMID":"22906939","abstract":"One of the most effective molecular diversity techniques is phage display. This technology is based on a direct linkage between phage phenotype and its encapsulated genotype, which leads to presentation of molecule libraries on the phage surface. Phage display is utilized in studying protein-ligand interactions, receptor binding sites and in improving or modifying the affinity of proteins for their binding partners. Generating monoclonal antibodies and improving their affinity, cloning antibodies from unstable hybridoma cells and identifying epitopes, mimotopes and functional or accessible sites from antigens are also important advantages of this technology. Techniques originating from phage display have been applied to transfusion medicine, neurological disorders, mapping vascular addresses and tissue homing of peptides. Phages have been applicable to immunization therapies, which may lead to development of new tools used for treating autoimmune and cancer diseases. This review describes the phage display technology and presents the recent advancements in therapeutic applications of phage display.","author":[{"dropping-particle":"","family":"Bazan","given":"Justyna","non-dropping-particle":"","parse-names":false,"suffix":""},{"dropping-particle":"","family":"Całkosiński","given":"Ireneusz","non-dropping-particle":"","parse-names":false,"suffix":""},{"dropping-particle":"","family":"Gamian","given":"Andrzej","non-dropping-particle":"","parse-names":false,"suffix":""}],"container-title":"Human Vaccines &amp; Immunotherapeutics","id":"ITEM-1","issue":"12","issued":{"date-parts":[["2012","12"]]},"page":"1817-1828","title":"Phage display—A powerful technique for immunotherapy","type":"article-journal","volume":"8"},"uris":["http://www.mendeley.com/documents/?uuid=f3c7e900-1b97-438f-9e71-f8badfdecf58"]},{"id":"ITEM-2","itemData":{"DOI":"10.1016/j.diagmicrobio.2016.11.012","ISSN":"18790070","PMID":"27939286","abstract":"Serological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Disease","id":"ITEM-2","issue":"3","issued":{"date-parts":[["2017"]]},"page":"219-225","publisher":"Elsevier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-3","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Targets","id":"ITEM-3","issue":"1","issued":{"date-parts":[["2004","1"]]},"page":"1-15","title":"Epitope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105,153,158&lt;/sup&gt;","plainTextFormattedCitation":"105,153,158","previouslyFormattedCitation":"&lt;sup&gt;105,153,158&lt;/sup&gt;"},"properties":{"noteIndex":0},"schema":"https://github.com/citation-style-language/schema/raw/master/csl-citation.json"}</w:instrText>
      </w:r>
      <w:r w:rsidRPr="00EB2576">
        <w:rPr>
          <w:rFonts w:ascii="Times New Roman" w:eastAsia="MS PGothic" w:hAnsi="Times New Roman" w:cs="Times New Roman"/>
          <w:kern w:val="24"/>
          <w:sz w:val="24"/>
          <w:szCs w:val="24"/>
        </w:rPr>
        <w:fldChar w:fldCharType="separate"/>
      </w:r>
      <w:r w:rsidRPr="00EB2576">
        <w:rPr>
          <w:rFonts w:ascii="Times New Roman" w:eastAsia="MS PGothic" w:hAnsi="Times New Roman" w:cs="Times New Roman"/>
          <w:noProof/>
          <w:kern w:val="24"/>
          <w:sz w:val="24"/>
          <w:szCs w:val="24"/>
          <w:vertAlign w:val="superscript"/>
        </w:rPr>
        <w:t>105,153,158</w:t>
      </w:r>
      <w:r w:rsidRPr="00EB2576">
        <w:rPr>
          <w:rFonts w:ascii="Times New Roman" w:eastAsia="MS PGothic" w:hAnsi="Times New Roman" w:cs="Times New Roman"/>
          <w:kern w:val="24"/>
          <w:sz w:val="24"/>
          <w:szCs w:val="24"/>
        </w:rPr>
        <w:fldChar w:fldCharType="end"/>
      </w:r>
      <w:r w:rsidRPr="00EB2576">
        <w:rPr>
          <w:rFonts w:ascii="Times New Roman" w:eastAsia="MS PGothic" w:hAnsi="Times New Roman" w:cs="Times New Roman"/>
          <w:kern w:val="24"/>
          <w:sz w:val="24"/>
          <w:szCs w:val="24"/>
        </w:rPr>
        <w:t>.</w:t>
      </w:r>
      <w:r w:rsidRPr="00EB2576">
        <w:rPr>
          <w:rFonts w:ascii="Times New Roman" w:hAnsi="Times New Roman" w:cs="Times New Roman"/>
          <w:sz w:val="24"/>
          <w:szCs w:val="24"/>
        </w:rPr>
        <w:t xml:space="preserve"> A GFL contain phage with different DNA fragments of an individual gene and therefore is much smaller but specific for a particular selection </w:t>
      </w:r>
      <w:r w:rsidRPr="00EB2576">
        <w:rPr>
          <w:rFonts w:ascii="Times New Roman" w:hAnsi="Times New Roman" w:cs="Times New Roman"/>
          <w:sz w:val="24"/>
          <w:szCs w:val="24"/>
        </w:rPr>
        <w:fldChar w:fldCharType="begin" w:fldLock="1"/>
      </w:r>
      <w:r w:rsidRPr="00EB2576">
        <w:rPr>
          <w:rFonts w:ascii="Times New Roman" w:hAnsi="Times New Roman" w:cs="Times New Roman"/>
          <w:sz w:val="24"/>
          <w:szCs w:val="24"/>
        </w:rPr>
        <w:instrText>ADDIN CSL_CITATION {"citationItems":[{"id":"ITEM-1","itemData":{"author":[{"dropping-particle":"","family":"Kay","given":"Brian K","non-dropping-particle":"","parse-names":false,"suffix":""},{"dropping-particle":"","family":"Hoess","given":"Ronald H","non-dropping-particle":"","parse-names":false,"suffix":""}],"container-title":"Phage Display of Peptides and Proteins: A Laboratory Manual.","id":"ITEM-1","issued":{"date-parts":[["0"]]},"page":"22-24","title":"Principle and applications of phage display.","type":"chapter"},"uris":["http://www.mendeley.com/documents/?uuid=f4c2a7a2-ed22-4cdb-aa2f-89148b04d9cf"]},{"id":"ITEM-2","itemData":{"DOI":"10.2174/1389450043490668","ISBN":"1389-4501","ISSN":"13894501","PMID":"14738215","abstract":"Antigenic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Targets","id":"ITEM-2","issue":"1","issued":{"date-parts":[["2004","1"]]},"page":"1-15","title":"Epitope Identification and Discovery Using Phage Display Libraries: Applications in Vaccine Development and Diagnostics","type":"article-journal","volume":"5"},"uris":["http://www.mendeley.com/documents/?uuid=b07325a6-f039-4c14-8ec6-4e309f86e6c9"]}],"mendeley":{"formattedCitation":"&lt;sup&gt;105,154&lt;/sup&gt;","plainTextFormattedCitation":"105,154","previouslyFormattedCitation":"&lt;sup&gt;105,154&lt;/sup&gt;"},"properties":{"noteIndex":0},"schema":"https://github.com/citation-style-language/schema/raw/master/csl-citation.json"}</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vertAlign w:val="superscript"/>
        </w:rPr>
        <w:t>105,154</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p>
    <w:p w14:paraId="268FDF83" w14:textId="77777777" w:rsidR="0006425B" w:rsidRPr="00EB2576" w:rsidRDefault="0006425B" w:rsidP="00342262">
      <w:pPr>
        <w:spacing w:line="480" w:lineRule="auto"/>
        <w:rPr>
          <w:rFonts w:ascii="Times New Roman" w:hAnsi="Times New Roman" w:cs="Times New Roman"/>
          <w:sz w:val="24"/>
          <w:szCs w:val="24"/>
        </w:rPr>
      </w:pPr>
    </w:p>
    <w:p w14:paraId="7A1E0387" w14:textId="2C56AC12" w:rsidR="00C62ED4" w:rsidRPr="00EB2576" w:rsidRDefault="002176B7" w:rsidP="00342262">
      <w:pPr>
        <w:spacing w:line="480" w:lineRule="auto"/>
        <w:rPr>
          <w:rFonts w:ascii="Times New Roman" w:hAnsi="Times New Roman" w:cs="Times New Roman"/>
          <w:b/>
          <w:bCs/>
          <w:sz w:val="24"/>
          <w:szCs w:val="24"/>
        </w:rPr>
      </w:pPr>
      <w:r w:rsidRPr="00EB2576">
        <w:rPr>
          <w:rFonts w:ascii="Times New Roman" w:hAnsi="Times New Roman" w:cs="Times New Roman"/>
          <w:b/>
          <w:bCs/>
          <w:kern w:val="24"/>
          <w:sz w:val="24"/>
          <w:szCs w:val="24"/>
        </w:rPr>
        <w:t>Generation of an infliximab GFL will provide the basis to identify linear epitopes on infliximab.</w:t>
      </w:r>
      <w:r w:rsidR="006F3D9A" w:rsidRPr="00EB2576">
        <w:rPr>
          <w:rFonts w:ascii="Times New Roman" w:hAnsi="Times New Roman" w:cs="Times New Roman"/>
          <w:b/>
          <w:bCs/>
          <w:kern w:val="24"/>
          <w:sz w:val="24"/>
          <w:szCs w:val="24"/>
        </w:rPr>
        <w:t xml:space="preserve"> </w:t>
      </w:r>
      <w:r w:rsidR="00226971" w:rsidRPr="00EB2576">
        <w:rPr>
          <w:rFonts w:ascii="Times New Roman" w:hAnsi="Times New Roman" w:cs="Times New Roman"/>
          <w:b/>
          <w:bCs/>
          <w:kern w:val="24"/>
          <w:sz w:val="24"/>
          <w:szCs w:val="24"/>
        </w:rPr>
        <w:t>T</w:t>
      </w:r>
      <w:r w:rsidR="00EC5354" w:rsidRPr="00EB2576">
        <w:rPr>
          <w:rFonts w:ascii="Times New Roman" w:hAnsi="Times New Roman" w:cs="Times New Roman"/>
          <w:b/>
          <w:bCs/>
          <w:kern w:val="24"/>
          <w:sz w:val="24"/>
          <w:szCs w:val="24"/>
        </w:rPr>
        <w:t>he aim of this work</w:t>
      </w:r>
      <w:r w:rsidR="00956F4F" w:rsidRPr="00EB2576">
        <w:rPr>
          <w:rFonts w:ascii="Times New Roman" w:hAnsi="Times New Roman" w:cs="Times New Roman"/>
          <w:b/>
          <w:bCs/>
          <w:kern w:val="24"/>
          <w:sz w:val="24"/>
          <w:szCs w:val="24"/>
        </w:rPr>
        <w:t xml:space="preserve"> </w:t>
      </w:r>
      <w:r w:rsidR="00EC5354" w:rsidRPr="00EB2576">
        <w:rPr>
          <w:rFonts w:ascii="Times New Roman" w:hAnsi="Times New Roman" w:cs="Times New Roman"/>
          <w:b/>
          <w:bCs/>
          <w:kern w:val="24"/>
          <w:sz w:val="24"/>
          <w:szCs w:val="24"/>
        </w:rPr>
        <w:t>was to</w:t>
      </w:r>
      <w:r w:rsidR="00226971" w:rsidRPr="00EB2576">
        <w:rPr>
          <w:rFonts w:ascii="Times New Roman" w:hAnsi="Times New Roman" w:cs="Times New Roman"/>
          <w:b/>
          <w:bCs/>
          <w:kern w:val="24"/>
          <w:sz w:val="24"/>
          <w:szCs w:val="24"/>
        </w:rPr>
        <w:t xml:space="preserve"> generate a gene fragment phage display library of the infliximab Fab.</w:t>
      </w:r>
      <w:r w:rsidR="00EC5354" w:rsidRPr="00EB2576">
        <w:rPr>
          <w:rFonts w:ascii="Times New Roman" w:hAnsi="Times New Roman" w:cs="Times New Roman"/>
          <w:b/>
          <w:bCs/>
          <w:kern w:val="24"/>
          <w:sz w:val="24"/>
          <w:szCs w:val="24"/>
        </w:rPr>
        <w:t xml:space="preserve"> In</w:t>
      </w:r>
      <w:r w:rsidR="00226971" w:rsidRPr="00EB2576">
        <w:rPr>
          <w:rFonts w:ascii="Times New Roman" w:hAnsi="Times New Roman" w:cs="Times New Roman"/>
          <w:b/>
          <w:bCs/>
          <w:kern w:val="24"/>
          <w:sz w:val="24"/>
          <w:szCs w:val="24"/>
        </w:rPr>
        <w:t xml:space="preserve"> doing so, I will undertake a </w:t>
      </w:r>
      <w:r w:rsidR="00226971" w:rsidRPr="00EB2576">
        <w:rPr>
          <w:rFonts w:ascii="Times New Roman" w:hAnsi="Times New Roman" w:cs="Times New Roman"/>
          <w:b/>
          <w:bCs/>
          <w:sz w:val="24"/>
          <w:szCs w:val="24"/>
        </w:rPr>
        <w:t xml:space="preserve">strategy to clone sonication generated gene fragments of the infliximab Fab into a </w:t>
      </w:r>
      <w:proofErr w:type="spellStart"/>
      <w:r w:rsidR="00226971" w:rsidRPr="00EB2576">
        <w:rPr>
          <w:rFonts w:ascii="Times New Roman" w:hAnsi="Times New Roman" w:cs="Times New Roman"/>
          <w:b/>
          <w:bCs/>
          <w:sz w:val="24"/>
          <w:szCs w:val="24"/>
        </w:rPr>
        <w:t>pIII</w:t>
      </w:r>
      <w:proofErr w:type="spellEnd"/>
      <w:r w:rsidR="00226971" w:rsidRPr="00EB2576">
        <w:rPr>
          <w:rFonts w:ascii="Times New Roman" w:hAnsi="Times New Roman" w:cs="Times New Roman"/>
          <w:b/>
          <w:bCs/>
          <w:sz w:val="24"/>
          <w:szCs w:val="24"/>
        </w:rPr>
        <w:t xml:space="preserve"> phagemid vector, assessing optimal conditions for ligation. </w:t>
      </w:r>
      <w:bookmarkStart w:id="180" w:name="_Toc87612106"/>
    </w:p>
    <w:p w14:paraId="57A4F1A6" w14:textId="77777777" w:rsidR="00E2160D" w:rsidRPr="00EB2576" w:rsidRDefault="00E2160D" w:rsidP="00E2160D">
      <w:pPr>
        <w:spacing w:line="480" w:lineRule="auto"/>
        <w:rPr>
          <w:rFonts w:ascii="Times New Roman" w:hAnsi="Times New Roman" w:cs="Times New Roman"/>
          <w:kern w:val="24"/>
          <w:sz w:val="24"/>
          <w:szCs w:val="24"/>
        </w:rPr>
      </w:pPr>
    </w:p>
    <w:p w14:paraId="2D7C8B51" w14:textId="5EA3ADA5" w:rsidR="00D30BD3" w:rsidRPr="00EB2576" w:rsidRDefault="00B52111" w:rsidP="00D30BD3">
      <w:pPr>
        <w:pStyle w:val="Heading2"/>
        <w:spacing w:line="480" w:lineRule="auto"/>
        <w:rPr>
          <w:rFonts w:ascii="Times New Roman" w:hAnsi="Times New Roman" w:cs="Times New Roman"/>
          <w:sz w:val="24"/>
          <w:szCs w:val="24"/>
        </w:rPr>
      </w:pPr>
      <w:bookmarkStart w:id="181" w:name="_Toc151020507"/>
      <w:r w:rsidRPr="00EB2576">
        <w:rPr>
          <w:rFonts w:ascii="Times New Roman" w:hAnsi="Times New Roman" w:cs="Times New Roman"/>
          <w:sz w:val="24"/>
          <w:szCs w:val="24"/>
        </w:rPr>
        <w:t>4</w:t>
      </w:r>
      <w:r w:rsidR="00D30BD3" w:rsidRPr="00EB2576">
        <w:rPr>
          <w:rFonts w:ascii="Times New Roman" w:hAnsi="Times New Roman" w:cs="Times New Roman"/>
          <w:sz w:val="24"/>
          <w:szCs w:val="24"/>
        </w:rPr>
        <w:t>.2 Materials and Methods</w:t>
      </w:r>
      <w:bookmarkEnd w:id="180"/>
      <w:bookmarkEnd w:id="181"/>
    </w:p>
    <w:p w14:paraId="1DF96903" w14:textId="43522CAA" w:rsidR="00D30BD3" w:rsidRPr="00EB2576" w:rsidRDefault="00B52111" w:rsidP="00D30BD3">
      <w:pPr>
        <w:pStyle w:val="Heading3"/>
        <w:spacing w:line="480" w:lineRule="auto"/>
        <w:rPr>
          <w:rFonts w:ascii="Times New Roman" w:hAnsi="Times New Roman" w:cs="Times New Roman"/>
          <w:b/>
          <w:bCs/>
        </w:rPr>
      </w:pPr>
      <w:bookmarkStart w:id="182" w:name="_Toc87612063"/>
      <w:bookmarkStart w:id="183" w:name="_Toc151020508"/>
      <w:r w:rsidRPr="00EB2576">
        <w:rPr>
          <w:rFonts w:ascii="Times New Roman" w:hAnsi="Times New Roman" w:cs="Times New Roman"/>
          <w:b/>
          <w:bCs/>
        </w:rPr>
        <w:t>4</w:t>
      </w:r>
      <w:r w:rsidR="00D30BD3" w:rsidRPr="00EB2576">
        <w:rPr>
          <w:rFonts w:ascii="Times New Roman" w:hAnsi="Times New Roman" w:cs="Times New Roman"/>
          <w:b/>
          <w:bCs/>
        </w:rPr>
        <w:t xml:space="preserve">.2.1 </w:t>
      </w:r>
      <w:bookmarkEnd w:id="182"/>
      <w:r w:rsidR="00D30BD3" w:rsidRPr="00EB2576">
        <w:rPr>
          <w:rFonts w:ascii="Times New Roman" w:hAnsi="Times New Roman" w:cs="Times New Roman"/>
          <w:b/>
          <w:bCs/>
        </w:rPr>
        <w:t>Polymerase Chain Reaction (PCR) amplification of infliximab Fab gene</w:t>
      </w:r>
      <w:bookmarkEnd w:id="183"/>
    </w:p>
    <w:p w14:paraId="61045653" w14:textId="2BE13E9F" w:rsidR="003C4FCA" w:rsidRPr="00EB2576" w:rsidRDefault="00235BD5" w:rsidP="00AF08F5">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Separate </w:t>
      </w:r>
      <w:r w:rsidR="00D30BD3" w:rsidRPr="00EB2576">
        <w:rPr>
          <w:rFonts w:ascii="Times New Roman" w:hAnsi="Times New Roman" w:cs="Times New Roman"/>
          <w:sz w:val="24"/>
          <w:szCs w:val="24"/>
        </w:rPr>
        <w:t>PCR amplification of</w:t>
      </w:r>
      <w:r w:rsidR="002D1AC4"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rPr>
        <w:t xml:space="preserve">infliximab light chain in </w:t>
      </w:r>
      <w:proofErr w:type="spellStart"/>
      <w:r w:rsidR="00D30BD3" w:rsidRPr="00EB2576">
        <w:rPr>
          <w:rFonts w:ascii="Times New Roman" w:hAnsi="Times New Roman" w:cs="Times New Roman"/>
          <w:sz w:val="24"/>
          <w:szCs w:val="24"/>
        </w:rPr>
        <w:t>pIDT</w:t>
      </w:r>
      <w:proofErr w:type="spellEnd"/>
      <w:r w:rsidR="00D30BD3" w:rsidRPr="00EB2576">
        <w:rPr>
          <w:rFonts w:ascii="Times New Roman" w:hAnsi="Times New Roman" w:cs="Times New Roman"/>
          <w:sz w:val="24"/>
          <w:szCs w:val="24"/>
        </w:rPr>
        <w:t xml:space="preserve"> smart vector and infliximab Fab heavy chain in </w:t>
      </w:r>
      <w:proofErr w:type="spellStart"/>
      <w:r w:rsidR="00D30BD3" w:rsidRPr="00EB2576">
        <w:rPr>
          <w:rFonts w:ascii="Times New Roman" w:hAnsi="Times New Roman" w:cs="Times New Roman"/>
          <w:sz w:val="24"/>
          <w:szCs w:val="24"/>
        </w:rPr>
        <w:t>pIDT</w:t>
      </w:r>
      <w:proofErr w:type="spellEnd"/>
      <w:r w:rsidR="00D30BD3" w:rsidRPr="00EB2576">
        <w:rPr>
          <w:rFonts w:ascii="Times New Roman" w:hAnsi="Times New Roman" w:cs="Times New Roman"/>
          <w:sz w:val="24"/>
          <w:szCs w:val="24"/>
        </w:rPr>
        <w:t xml:space="preserve"> smart vector</w:t>
      </w:r>
      <w:r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rPr>
        <w:t>I</w:t>
      </w:r>
      <w:r w:rsidR="00D30BD3" w:rsidRPr="00EB2576">
        <w:rPr>
          <w:rFonts w:ascii="Times New Roman" w:hAnsi="Times New Roman" w:cs="Times New Roman"/>
          <w:sz w:val="24"/>
          <w:szCs w:val="24"/>
          <w:shd w:val="clear" w:color="auto" w:fill="FFFFFF"/>
        </w:rPr>
        <w:t>ntegrated DNA Technologies, Leuven</w:t>
      </w:r>
      <w:r w:rsidR="00D30BD3"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shd w:val="clear" w:color="auto" w:fill="FFFFFF"/>
        </w:rPr>
        <w:t xml:space="preserve">Belgium) was </w:t>
      </w:r>
      <w:bookmarkStart w:id="184" w:name="_Hlk80350790"/>
      <w:r w:rsidR="00D30BD3" w:rsidRPr="00EB2576">
        <w:rPr>
          <w:rFonts w:ascii="Times New Roman" w:hAnsi="Times New Roman" w:cs="Times New Roman"/>
          <w:sz w:val="24"/>
          <w:szCs w:val="24"/>
          <w:shd w:val="clear" w:color="auto" w:fill="FFFFFF"/>
        </w:rPr>
        <w:t xml:space="preserve">performed using domain specific primers (Table </w:t>
      </w:r>
      <w:r w:rsidR="00134205" w:rsidRPr="00EB2576">
        <w:rPr>
          <w:rFonts w:ascii="Times New Roman" w:hAnsi="Times New Roman" w:cs="Times New Roman"/>
          <w:sz w:val="24"/>
          <w:szCs w:val="24"/>
          <w:shd w:val="clear" w:color="auto" w:fill="FFFFFF"/>
        </w:rPr>
        <w:t>7</w:t>
      </w:r>
      <w:r w:rsidR="00D30BD3" w:rsidRPr="00EB2576">
        <w:rPr>
          <w:rFonts w:ascii="Times New Roman" w:hAnsi="Times New Roman" w:cs="Times New Roman"/>
          <w:sz w:val="24"/>
          <w:szCs w:val="24"/>
          <w:shd w:val="clear" w:color="auto" w:fill="FFFFFF"/>
        </w:rPr>
        <w:t>)</w:t>
      </w:r>
      <w:r w:rsidR="00D30BD3" w:rsidRPr="00EB2576">
        <w:rPr>
          <w:rFonts w:ascii="Times New Roman" w:hAnsi="Times New Roman" w:cs="Times New Roman"/>
          <w:sz w:val="24"/>
          <w:szCs w:val="24"/>
        </w:rPr>
        <w:t xml:space="preserve"> with Phusion Flash High-Fidelity PCR Master Mix (</w:t>
      </w:r>
      <w:proofErr w:type="spellStart"/>
      <w:r w:rsidR="00D30BD3" w:rsidRPr="00EB2576">
        <w:rPr>
          <w:rFonts w:ascii="Times New Roman" w:hAnsi="Times New Roman" w:cs="Times New Roman"/>
          <w:sz w:val="24"/>
          <w:szCs w:val="24"/>
        </w:rPr>
        <w:t>ThermoFisher</w:t>
      </w:r>
      <w:proofErr w:type="spellEnd"/>
      <w:r w:rsidR="00D30BD3" w:rsidRPr="00EB2576">
        <w:rPr>
          <w:rFonts w:ascii="Times New Roman" w:hAnsi="Times New Roman" w:cs="Times New Roman"/>
          <w:sz w:val="24"/>
          <w:szCs w:val="24"/>
        </w:rPr>
        <w:t xml:space="preserve"> Scientific</w:t>
      </w:r>
      <w:r w:rsidR="00D30BD3" w:rsidRPr="00EB2576">
        <w:rPr>
          <w:rFonts w:ascii="Times New Roman" w:hAnsi="Times New Roman" w:cs="Times New Roman"/>
          <w:b/>
          <w:bCs/>
          <w:sz w:val="24"/>
          <w:szCs w:val="24"/>
          <w:shd w:val="clear" w:color="auto" w:fill="FFFFFF"/>
        </w:rPr>
        <w:t xml:space="preserve">, </w:t>
      </w:r>
      <w:r w:rsidR="00D30BD3" w:rsidRPr="00EB2576">
        <w:rPr>
          <w:rStyle w:val="eq0j8"/>
          <w:rFonts w:ascii="Times New Roman" w:hAnsi="Times New Roman" w:cs="Times New Roman"/>
          <w:sz w:val="24"/>
          <w:szCs w:val="24"/>
          <w:shd w:val="clear" w:color="auto" w:fill="FFFFFF"/>
        </w:rPr>
        <w:t>Massachusetts, United States) and Expand High Fidelity PCR System (Merck, Darmstadt, Germany)</w:t>
      </w:r>
      <w:r w:rsidR="00D30BD3" w:rsidRPr="00EB2576">
        <w:rPr>
          <w:rFonts w:ascii="Times New Roman" w:hAnsi="Times New Roman" w:cs="Times New Roman"/>
          <w:sz w:val="24"/>
          <w:szCs w:val="24"/>
        </w:rPr>
        <w:t>. Using Phusion, 14 PCR reactions of 50</w:t>
      </w:r>
      <w:r w:rsidR="00A0267A" w:rsidRPr="00EB2576">
        <w:rPr>
          <w:rFonts w:ascii="Times New Roman" w:hAnsi="Times New Roman" w:cs="Times New Roman"/>
          <w:sz w:val="24"/>
          <w:szCs w:val="24"/>
        </w:rPr>
        <w:t xml:space="preserve"> </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 xml:space="preserve">L samples: 19 </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 xml:space="preserve">L of </w:t>
      </w:r>
      <w:r w:rsidR="00A0267A" w:rsidRPr="00EB2576">
        <w:rPr>
          <w:rFonts w:ascii="Times New Roman" w:hAnsi="Times New Roman" w:cs="Times New Roman"/>
          <w:sz w:val="24"/>
          <w:szCs w:val="24"/>
        </w:rPr>
        <w:t>H20</w:t>
      </w:r>
      <w:r w:rsidR="00D30BD3" w:rsidRPr="00EB2576">
        <w:rPr>
          <w:rFonts w:ascii="Times New Roman" w:hAnsi="Times New Roman" w:cs="Times New Roman"/>
          <w:sz w:val="24"/>
          <w:szCs w:val="24"/>
        </w:rPr>
        <w:t>, Phusion mix 25</w:t>
      </w:r>
      <w:r w:rsidR="00A0267A" w:rsidRPr="00EB2576">
        <w:rPr>
          <w:rFonts w:ascii="Times New Roman" w:hAnsi="Times New Roman" w:cs="Times New Roman"/>
          <w:sz w:val="24"/>
          <w:szCs w:val="24"/>
        </w:rPr>
        <w:t xml:space="preserve"> </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L, 2.5</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L of forward primer, 2.5</w:t>
      </w:r>
      <w:r w:rsidR="00A0267A" w:rsidRPr="00EB2576">
        <w:rPr>
          <w:rFonts w:ascii="Times New Roman" w:hAnsi="Times New Roman" w:cs="Times New Roman"/>
          <w:sz w:val="24"/>
          <w:szCs w:val="24"/>
        </w:rPr>
        <w:t xml:space="preserve"> </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L of reverse primer and 1</w:t>
      </w:r>
      <w:r w:rsidR="00A0267A" w:rsidRPr="00EB2576">
        <w:rPr>
          <w:rFonts w:ascii="Times New Roman" w:hAnsi="Times New Roman" w:cs="Times New Roman"/>
          <w:sz w:val="24"/>
          <w:szCs w:val="24"/>
        </w:rPr>
        <w:t xml:space="preserve"> </w:t>
      </w:r>
      <w:r w:rsidR="001E5B52" w:rsidRPr="00EB2576">
        <w:rPr>
          <w:rFonts w:ascii="Times New Roman" w:hAnsi="Times New Roman" w:cs="Times New Roman"/>
          <w:sz w:val="24"/>
          <w:szCs w:val="24"/>
        </w:rPr>
        <w:t>µ</w:t>
      </w:r>
      <w:r w:rsidR="00D30BD3" w:rsidRPr="00EB2576">
        <w:rPr>
          <w:rFonts w:ascii="Times New Roman" w:hAnsi="Times New Roman" w:cs="Times New Roman"/>
          <w:sz w:val="24"/>
          <w:szCs w:val="24"/>
        </w:rPr>
        <w:t>L (2</w:t>
      </w:r>
      <w:r w:rsidR="00A0267A"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rPr>
        <w:t xml:space="preserve">ng) of infliximab DNA using annealing temperatures of 61.2°c for heavy chain </w:t>
      </w:r>
      <w:r w:rsidR="00D30BD3" w:rsidRPr="00EB2576">
        <w:rPr>
          <w:rFonts w:ascii="Times New Roman" w:hAnsi="Times New Roman" w:cs="Times New Roman"/>
          <w:sz w:val="24"/>
          <w:szCs w:val="24"/>
        </w:rPr>
        <w:lastRenderedPageBreak/>
        <w:t>primers and 60.2°</w:t>
      </w:r>
      <w:r w:rsidR="006C3150" w:rsidRPr="00EB2576">
        <w:rPr>
          <w:rFonts w:ascii="Times New Roman" w:hAnsi="Times New Roman" w:cs="Times New Roman"/>
          <w:sz w:val="24"/>
          <w:szCs w:val="24"/>
        </w:rPr>
        <w:t>C</w:t>
      </w:r>
      <w:r w:rsidR="00D30BD3" w:rsidRPr="00EB2576">
        <w:rPr>
          <w:rFonts w:ascii="Times New Roman" w:hAnsi="Times New Roman" w:cs="Times New Roman"/>
          <w:sz w:val="24"/>
          <w:szCs w:val="24"/>
        </w:rPr>
        <w:t xml:space="preserve"> for light chain primers to obtain 197</w:t>
      </w:r>
      <w:r w:rsidR="00A0267A"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rPr>
        <w:t>ug of PCR products. Using High-Fidelity, 14 PCR reactions of 50</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1</w:t>
      </w:r>
      <w:r w:rsidR="00A0267A" w:rsidRPr="00EB2576">
        <w:rPr>
          <w:rFonts w:ascii="Times New Roman" w:hAnsi="Times New Roman" w:cs="Times New Roman"/>
          <w:sz w:val="24"/>
          <w:szCs w:val="24"/>
        </w:rPr>
        <w:t xml:space="preserve"> </w:t>
      </w:r>
      <w:proofErr w:type="spellStart"/>
      <w:r w:rsidR="00D30BD3" w:rsidRPr="00EB2576">
        <w:rPr>
          <w:rFonts w:ascii="Times New Roman" w:hAnsi="Times New Roman" w:cs="Times New Roman"/>
          <w:sz w:val="24"/>
          <w:szCs w:val="24"/>
        </w:rPr>
        <w:t>uL</w:t>
      </w:r>
      <w:proofErr w:type="spellEnd"/>
      <w:r w:rsidR="00D30BD3" w:rsidRPr="00EB2576">
        <w:rPr>
          <w:rFonts w:ascii="Times New Roman" w:hAnsi="Times New Roman" w:cs="Times New Roman"/>
          <w:sz w:val="24"/>
          <w:szCs w:val="24"/>
        </w:rPr>
        <w:t xml:space="preserve"> of dNTP, 1</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forward primer, 1</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of reverse primer, 1</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(2</w:t>
      </w:r>
      <w:r w:rsidR="00A0267A" w:rsidRPr="00EB2576">
        <w:rPr>
          <w:rFonts w:ascii="Times New Roman" w:hAnsi="Times New Roman" w:cs="Times New Roman"/>
          <w:sz w:val="24"/>
          <w:szCs w:val="24"/>
        </w:rPr>
        <w:t xml:space="preserve"> </w:t>
      </w:r>
      <w:r w:rsidR="00D30BD3" w:rsidRPr="00EB2576">
        <w:rPr>
          <w:rFonts w:ascii="Times New Roman" w:hAnsi="Times New Roman" w:cs="Times New Roman"/>
          <w:sz w:val="24"/>
          <w:szCs w:val="24"/>
        </w:rPr>
        <w:t>ng) of infliximab DNA, 5</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of PCR buffer, 0.75</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L of enzyme mix and the rest of the volume made up with water to obtain 150</w:t>
      </w:r>
      <w:r w:rsidR="00A0267A" w:rsidRPr="00EB2576">
        <w:rPr>
          <w:rFonts w:ascii="Times New Roman" w:hAnsi="Times New Roman" w:cs="Times New Roman"/>
          <w:sz w:val="24"/>
          <w:szCs w:val="24"/>
        </w:rPr>
        <w:t xml:space="preserve"> </w:t>
      </w:r>
      <w:r w:rsidR="00671CA9" w:rsidRPr="00EB2576">
        <w:rPr>
          <w:rFonts w:ascii="Times New Roman" w:hAnsi="Times New Roman" w:cs="Times New Roman"/>
          <w:sz w:val="24"/>
          <w:szCs w:val="24"/>
        </w:rPr>
        <w:t>µ</w:t>
      </w:r>
      <w:r w:rsidR="00D30BD3" w:rsidRPr="00EB2576">
        <w:rPr>
          <w:rFonts w:ascii="Times New Roman" w:hAnsi="Times New Roman" w:cs="Times New Roman"/>
          <w:sz w:val="24"/>
          <w:szCs w:val="24"/>
        </w:rPr>
        <w:t xml:space="preserve">g of PCR products.   </w:t>
      </w:r>
    </w:p>
    <w:p w14:paraId="53E8357B" w14:textId="77777777" w:rsidR="00E2160D" w:rsidRPr="00EB2576" w:rsidRDefault="00E2160D" w:rsidP="00D30BD3">
      <w:pPr>
        <w:spacing w:line="480" w:lineRule="auto"/>
        <w:jc w:val="left"/>
        <w:rPr>
          <w:rFonts w:ascii="Arial" w:hAnsi="Arial" w:cs="Arial"/>
          <w:sz w:val="21"/>
          <w:szCs w:val="21"/>
          <w:shd w:val="clear" w:color="auto" w:fill="FFFFFF"/>
        </w:rPr>
      </w:pPr>
    </w:p>
    <w:p w14:paraId="1195BBC0" w14:textId="77777777" w:rsidR="00B52111" w:rsidRPr="00EB2576" w:rsidRDefault="00B52111" w:rsidP="00D30BD3">
      <w:pPr>
        <w:spacing w:line="480" w:lineRule="auto"/>
        <w:jc w:val="left"/>
        <w:rPr>
          <w:rFonts w:ascii="Arial" w:hAnsi="Arial" w:cs="Arial"/>
          <w:sz w:val="21"/>
          <w:szCs w:val="21"/>
          <w:shd w:val="clear" w:color="auto" w:fill="FFFFFF"/>
        </w:rPr>
      </w:pPr>
    </w:p>
    <w:tbl>
      <w:tblPr>
        <w:tblStyle w:val="TableGridLight1"/>
        <w:tblW w:w="0" w:type="auto"/>
        <w:tblLook w:val="04A0" w:firstRow="1" w:lastRow="0" w:firstColumn="1" w:lastColumn="0" w:noHBand="0" w:noVBand="1"/>
      </w:tblPr>
      <w:tblGrid>
        <w:gridCol w:w="2689"/>
        <w:gridCol w:w="4301"/>
      </w:tblGrid>
      <w:tr w:rsidR="00EB2576" w:rsidRPr="00EB2576" w14:paraId="7108BDE8" w14:textId="77777777" w:rsidTr="006D4BC4">
        <w:trPr>
          <w:trHeight w:val="430"/>
        </w:trPr>
        <w:tc>
          <w:tcPr>
            <w:tcW w:w="2689" w:type="dxa"/>
          </w:tcPr>
          <w:bookmarkEnd w:id="184"/>
          <w:p w14:paraId="432C9939" w14:textId="77777777" w:rsidR="00D30BD3" w:rsidRPr="00EB2576" w:rsidRDefault="00D30BD3" w:rsidP="00D74BCC">
            <w:pPr>
              <w:spacing w:line="480" w:lineRule="auto"/>
              <w:jc w:val="left"/>
              <w:rPr>
                <w:rFonts w:ascii="Times New Roman" w:hAnsi="Times New Roman" w:cs="Times New Roman"/>
                <w:b/>
                <w:bCs/>
                <w:sz w:val="20"/>
                <w:szCs w:val="20"/>
              </w:rPr>
            </w:pPr>
            <w:r w:rsidRPr="00EB2576">
              <w:rPr>
                <w:rFonts w:ascii="Times New Roman" w:hAnsi="Times New Roman" w:cs="Times New Roman"/>
                <w:b/>
                <w:bCs/>
                <w:sz w:val="20"/>
                <w:szCs w:val="20"/>
              </w:rPr>
              <w:t xml:space="preserve">Primers </w:t>
            </w:r>
          </w:p>
        </w:tc>
        <w:tc>
          <w:tcPr>
            <w:tcW w:w="4301" w:type="dxa"/>
          </w:tcPr>
          <w:p w14:paraId="20FEFBA5" w14:textId="77777777" w:rsidR="00D30BD3" w:rsidRPr="00EB2576" w:rsidRDefault="00D30BD3" w:rsidP="00D74BCC">
            <w:pPr>
              <w:spacing w:line="480" w:lineRule="auto"/>
              <w:jc w:val="left"/>
              <w:rPr>
                <w:rFonts w:ascii="Times New Roman" w:hAnsi="Times New Roman" w:cs="Times New Roman"/>
                <w:b/>
                <w:bCs/>
                <w:sz w:val="20"/>
                <w:szCs w:val="20"/>
              </w:rPr>
            </w:pPr>
            <w:r w:rsidRPr="00EB2576">
              <w:rPr>
                <w:rFonts w:ascii="Times New Roman" w:hAnsi="Times New Roman" w:cs="Times New Roman"/>
                <w:b/>
                <w:bCs/>
                <w:sz w:val="20"/>
                <w:szCs w:val="20"/>
              </w:rPr>
              <w:t>Primer sequence</w:t>
            </w:r>
          </w:p>
        </w:tc>
      </w:tr>
      <w:tr w:rsidR="00EB2576" w:rsidRPr="00EB2576" w14:paraId="77FFCC45" w14:textId="77777777" w:rsidTr="006D4BC4">
        <w:trPr>
          <w:trHeight w:val="875"/>
        </w:trPr>
        <w:tc>
          <w:tcPr>
            <w:tcW w:w="2689" w:type="dxa"/>
          </w:tcPr>
          <w:p w14:paraId="776A6CBB"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Infliximab light chain Forward (5’ to 3’)</w:t>
            </w:r>
          </w:p>
        </w:tc>
        <w:tc>
          <w:tcPr>
            <w:tcW w:w="4301" w:type="dxa"/>
          </w:tcPr>
          <w:p w14:paraId="48DA4116"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GATATTTTGTTGACTCAATCTCCAGCT</w:t>
            </w:r>
          </w:p>
        </w:tc>
      </w:tr>
      <w:tr w:rsidR="00EB2576" w:rsidRPr="00EB2576" w14:paraId="2F80EB4F" w14:textId="77777777" w:rsidTr="006D4BC4">
        <w:trPr>
          <w:trHeight w:val="875"/>
        </w:trPr>
        <w:tc>
          <w:tcPr>
            <w:tcW w:w="2689" w:type="dxa"/>
          </w:tcPr>
          <w:p w14:paraId="2B4C66C2"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Infliximab light chain Reverse (5’ to 3’)</w:t>
            </w:r>
          </w:p>
        </w:tc>
        <w:tc>
          <w:tcPr>
            <w:tcW w:w="4301" w:type="dxa"/>
          </w:tcPr>
          <w:p w14:paraId="2D0EE556"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ACATTCACCTCTATTAAAAGATTTAGT</w:t>
            </w:r>
          </w:p>
        </w:tc>
      </w:tr>
      <w:tr w:rsidR="00EB2576" w:rsidRPr="00EB2576" w14:paraId="3AF9B282" w14:textId="77777777" w:rsidTr="006D4BC4">
        <w:trPr>
          <w:trHeight w:val="875"/>
        </w:trPr>
        <w:tc>
          <w:tcPr>
            <w:tcW w:w="2689" w:type="dxa"/>
          </w:tcPr>
          <w:p w14:paraId="7FD01215"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Infliximab heavy chain Fab Forward (5’ to 3)</w:t>
            </w:r>
          </w:p>
        </w:tc>
        <w:tc>
          <w:tcPr>
            <w:tcW w:w="4301" w:type="dxa"/>
          </w:tcPr>
          <w:p w14:paraId="6C52AE68"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GAAGTTAAATTGGAAGAATCTGGTGGT</w:t>
            </w:r>
          </w:p>
        </w:tc>
      </w:tr>
      <w:tr w:rsidR="00D30BD3" w:rsidRPr="00EB2576" w14:paraId="220AFC79" w14:textId="77777777" w:rsidTr="006D4BC4">
        <w:trPr>
          <w:trHeight w:val="875"/>
        </w:trPr>
        <w:tc>
          <w:tcPr>
            <w:tcW w:w="2689" w:type="dxa"/>
          </w:tcPr>
          <w:p w14:paraId="18420044" w14:textId="77777777" w:rsidR="00D30BD3" w:rsidRPr="00EB2576" w:rsidRDefault="00D30BD3" w:rsidP="00D74BCC">
            <w:pPr>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Infliximab heavy chain Fab Reverse (5’ to 3’)</w:t>
            </w:r>
          </w:p>
        </w:tc>
        <w:tc>
          <w:tcPr>
            <w:tcW w:w="4301" w:type="dxa"/>
          </w:tcPr>
          <w:p w14:paraId="3710FEC7" w14:textId="77777777" w:rsidR="00D30BD3" w:rsidRPr="00EB2576" w:rsidRDefault="00D30BD3" w:rsidP="00134205">
            <w:pPr>
              <w:keepNext/>
              <w:spacing w:line="480" w:lineRule="auto"/>
              <w:jc w:val="left"/>
              <w:rPr>
                <w:rFonts w:ascii="Times New Roman" w:hAnsi="Times New Roman" w:cs="Times New Roman"/>
                <w:sz w:val="20"/>
                <w:szCs w:val="20"/>
              </w:rPr>
            </w:pPr>
            <w:r w:rsidRPr="00EB2576">
              <w:rPr>
                <w:rFonts w:ascii="Times New Roman" w:hAnsi="Times New Roman" w:cs="Times New Roman"/>
                <w:sz w:val="20"/>
                <w:szCs w:val="20"/>
              </w:rPr>
              <w:t>TGGTTCAACTTTTTTATCAACTTTAGT</w:t>
            </w:r>
          </w:p>
        </w:tc>
      </w:tr>
    </w:tbl>
    <w:p w14:paraId="67EF7D5D" w14:textId="77777777" w:rsidR="00134205" w:rsidRPr="00EB2576" w:rsidRDefault="00134205" w:rsidP="00134205">
      <w:pPr>
        <w:pStyle w:val="Caption"/>
        <w:spacing w:line="480" w:lineRule="auto"/>
        <w:rPr>
          <w:rFonts w:ascii="Times New Roman" w:hAnsi="Times New Roman" w:cs="Times New Roman"/>
          <w:sz w:val="24"/>
          <w:szCs w:val="24"/>
        </w:rPr>
      </w:pPr>
    </w:p>
    <w:p w14:paraId="6CE17C74" w14:textId="3109D95D" w:rsidR="00B706A3" w:rsidRPr="00EB2576" w:rsidRDefault="00134205" w:rsidP="00203F7D">
      <w:pPr>
        <w:pStyle w:val="Caption"/>
        <w:spacing w:line="240" w:lineRule="auto"/>
        <w:rPr>
          <w:rFonts w:ascii="Times New Roman" w:hAnsi="Times New Roman" w:cs="Times New Roman"/>
          <w:sz w:val="24"/>
          <w:szCs w:val="24"/>
        </w:rPr>
      </w:pPr>
      <w:bookmarkStart w:id="185" w:name="_Toc139306960"/>
      <w:r w:rsidRPr="00EB2576">
        <w:rPr>
          <w:rFonts w:ascii="Times New Roman" w:hAnsi="Times New Roman" w:cs="Times New Roman"/>
          <w:sz w:val="24"/>
          <w:szCs w:val="24"/>
        </w:rPr>
        <w:t xml:space="preserve">Table </w:t>
      </w:r>
      <w:r w:rsidR="00334B74" w:rsidRPr="00EB2576">
        <w:rPr>
          <w:rFonts w:ascii="Times New Roman" w:hAnsi="Times New Roman" w:cs="Times New Roman"/>
          <w:sz w:val="24"/>
          <w:szCs w:val="24"/>
        </w:rPr>
        <w:fldChar w:fldCharType="begin"/>
      </w:r>
      <w:r w:rsidR="00334B74" w:rsidRPr="00EB2576">
        <w:rPr>
          <w:rFonts w:ascii="Times New Roman" w:hAnsi="Times New Roman" w:cs="Times New Roman"/>
          <w:sz w:val="24"/>
          <w:szCs w:val="24"/>
        </w:rPr>
        <w:instrText xml:space="preserve"> SEQ Table \* ARABIC </w:instrText>
      </w:r>
      <w:r w:rsidR="00334B74" w:rsidRPr="00EB2576">
        <w:rPr>
          <w:rFonts w:ascii="Times New Roman" w:hAnsi="Times New Roman" w:cs="Times New Roman"/>
          <w:sz w:val="24"/>
          <w:szCs w:val="24"/>
        </w:rPr>
        <w:fldChar w:fldCharType="separate"/>
      </w:r>
      <w:r w:rsidR="00F2388D" w:rsidRPr="00EB2576">
        <w:rPr>
          <w:rFonts w:ascii="Times New Roman" w:hAnsi="Times New Roman" w:cs="Times New Roman"/>
          <w:noProof/>
          <w:sz w:val="24"/>
          <w:szCs w:val="24"/>
        </w:rPr>
        <w:t>7</w:t>
      </w:r>
      <w:r w:rsidR="00334B74" w:rsidRPr="00EB2576">
        <w:rPr>
          <w:rFonts w:ascii="Times New Roman" w:hAnsi="Times New Roman" w:cs="Times New Roman"/>
          <w:sz w:val="24"/>
          <w:szCs w:val="24"/>
        </w:rPr>
        <w:fldChar w:fldCharType="end"/>
      </w:r>
      <w:r w:rsidRPr="00EB2576">
        <w:rPr>
          <w:rFonts w:ascii="Times New Roman" w:hAnsi="Times New Roman" w:cs="Times New Roman"/>
          <w:sz w:val="24"/>
          <w:szCs w:val="24"/>
        </w:rPr>
        <w:t>. Domain specific primers used for separate PCR amplification of infliximab light and infliximab Fab heavy chain.</w:t>
      </w:r>
      <w:bookmarkStart w:id="186" w:name="_Toc77853378"/>
      <w:bookmarkEnd w:id="185"/>
    </w:p>
    <w:p w14:paraId="7EF8D943" w14:textId="77777777" w:rsidR="00B706A3" w:rsidRPr="00EB2576" w:rsidRDefault="00B706A3" w:rsidP="00D30BD3">
      <w:pPr>
        <w:spacing w:line="480" w:lineRule="auto"/>
        <w:rPr>
          <w:rFonts w:ascii="Times New Roman" w:hAnsi="Times New Roman" w:cs="Times New Roman"/>
          <w:kern w:val="24"/>
          <w:sz w:val="24"/>
          <w:szCs w:val="24"/>
          <w:lang w:eastAsia="en-GB"/>
        </w:rPr>
      </w:pPr>
    </w:p>
    <w:p w14:paraId="00150F31" w14:textId="77777777" w:rsidR="00B52111" w:rsidRPr="00EB2576" w:rsidRDefault="00B52111" w:rsidP="00D30BD3">
      <w:pPr>
        <w:pStyle w:val="Heading3"/>
        <w:spacing w:line="480" w:lineRule="auto"/>
        <w:rPr>
          <w:rFonts w:ascii="Times New Roman" w:hAnsi="Times New Roman" w:cs="Times New Roman"/>
          <w:b/>
          <w:bCs/>
        </w:rPr>
      </w:pPr>
    </w:p>
    <w:p w14:paraId="3791E77F" w14:textId="77777777" w:rsidR="00B52111" w:rsidRPr="00EB2576" w:rsidRDefault="00B52111" w:rsidP="00D30BD3">
      <w:pPr>
        <w:pStyle w:val="Heading3"/>
        <w:spacing w:line="480" w:lineRule="auto"/>
        <w:rPr>
          <w:rFonts w:ascii="Times New Roman" w:hAnsi="Times New Roman" w:cs="Times New Roman"/>
          <w:b/>
          <w:bCs/>
        </w:rPr>
      </w:pPr>
    </w:p>
    <w:p w14:paraId="5F723097" w14:textId="77777777" w:rsidR="00B52111" w:rsidRPr="00EB2576" w:rsidRDefault="00B52111" w:rsidP="00D30BD3">
      <w:pPr>
        <w:pStyle w:val="Heading3"/>
        <w:spacing w:line="480" w:lineRule="auto"/>
        <w:rPr>
          <w:rFonts w:ascii="Times New Roman" w:hAnsi="Times New Roman" w:cs="Times New Roman"/>
          <w:b/>
          <w:bCs/>
        </w:rPr>
      </w:pPr>
    </w:p>
    <w:p w14:paraId="4CD09736" w14:textId="77777777" w:rsidR="00B52111" w:rsidRPr="00EB2576" w:rsidRDefault="00B52111" w:rsidP="00B52111"/>
    <w:p w14:paraId="04C4818F" w14:textId="77777777" w:rsidR="00B52111" w:rsidRPr="00EB2576" w:rsidRDefault="00B52111" w:rsidP="00B52111"/>
    <w:p w14:paraId="1A7ECFC9" w14:textId="77777777" w:rsidR="00B52111" w:rsidRPr="00EB2576" w:rsidRDefault="00B52111" w:rsidP="00B52111"/>
    <w:p w14:paraId="6AA3C360" w14:textId="736AB36C" w:rsidR="00D30BD3" w:rsidRPr="00EB2576" w:rsidRDefault="00B52111" w:rsidP="00D30BD3">
      <w:pPr>
        <w:pStyle w:val="Heading3"/>
        <w:spacing w:line="480" w:lineRule="auto"/>
        <w:rPr>
          <w:rFonts w:ascii="Times New Roman" w:hAnsi="Times New Roman" w:cs="Times New Roman"/>
          <w:b/>
          <w:bCs/>
        </w:rPr>
      </w:pPr>
      <w:bookmarkStart w:id="187" w:name="_Toc151020509"/>
      <w:r w:rsidRPr="00EB2576">
        <w:rPr>
          <w:rFonts w:ascii="Times New Roman" w:hAnsi="Times New Roman" w:cs="Times New Roman"/>
          <w:b/>
          <w:bCs/>
        </w:rPr>
        <w:lastRenderedPageBreak/>
        <w:t>4</w:t>
      </w:r>
      <w:r w:rsidR="00D30BD3" w:rsidRPr="00EB2576">
        <w:rPr>
          <w:rFonts w:ascii="Times New Roman" w:hAnsi="Times New Roman" w:cs="Times New Roman"/>
          <w:b/>
          <w:bCs/>
        </w:rPr>
        <w:t>.2.2 DNA purification of infliximab light and Fab heavy chain</w:t>
      </w:r>
      <w:bookmarkEnd w:id="187"/>
      <w:r w:rsidR="00D30BD3" w:rsidRPr="00EB2576">
        <w:rPr>
          <w:rFonts w:ascii="Times New Roman" w:hAnsi="Times New Roman" w:cs="Times New Roman"/>
          <w:b/>
          <w:bCs/>
        </w:rPr>
        <w:t xml:space="preserve"> </w:t>
      </w:r>
      <w:bookmarkEnd w:id="186"/>
    </w:p>
    <w:p w14:paraId="278B27A6" w14:textId="7C06354A" w:rsidR="00D30BD3" w:rsidRPr="00EB2576" w:rsidRDefault="00D30BD3" w:rsidP="00D30BD3">
      <w:pPr>
        <w:spacing w:line="480" w:lineRule="auto"/>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After</w:t>
      </w:r>
      <w:r w:rsidR="00823FF7" w:rsidRPr="00EB2576">
        <w:rPr>
          <w:rFonts w:ascii="Times New Roman" w:hAnsi="Times New Roman" w:cs="Times New Roman"/>
          <w:kern w:val="24"/>
          <w:sz w:val="24"/>
          <w:szCs w:val="24"/>
          <w:lang w:eastAsia="en-GB"/>
        </w:rPr>
        <w:t xml:space="preserve"> PCR amplification of the </w:t>
      </w:r>
      <w:r w:rsidRPr="00EB2576">
        <w:rPr>
          <w:rFonts w:ascii="Times New Roman" w:hAnsi="Times New Roman" w:cs="Times New Roman"/>
          <w:kern w:val="24"/>
          <w:sz w:val="24"/>
          <w:szCs w:val="24"/>
          <w:lang w:eastAsia="en-GB"/>
        </w:rPr>
        <w:t>infliximab light and Fab heavy chain</w:t>
      </w:r>
      <w:r w:rsidR="00823FF7" w:rsidRPr="00EB2576">
        <w:rPr>
          <w:rFonts w:ascii="Times New Roman" w:hAnsi="Times New Roman" w:cs="Times New Roman"/>
          <w:kern w:val="24"/>
          <w:sz w:val="24"/>
          <w:szCs w:val="24"/>
          <w:lang w:eastAsia="en-GB"/>
        </w:rPr>
        <w:t>, the DNA</w:t>
      </w:r>
      <w:r w:rsidRPr="00EB2576">
        <w:rPr>
          <w:rFonts w:ascii="Times New Roman" w:hAnsi="Times New Roman" w:cs="Times New Roman"/>
          <w:kern w:val="24"/>
          <w:sz w:val="24"/>
          <w:szCs w:val="24"/>
          <w:lang w:eastAsia="en-GB"/>
        </w:rPr>
        <w:t xml:space="preserve"> products were combined and purified using the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PCR purification kit (Qiagen, Hilden, Germany)</w:t>
      </w:r>
      <w:r w:rsidR="00AF2632" w:rsidRPr="00EB2576">
        <w:rPr>
          <w:rFonts w:ascii="Times New Roman" w:hAnsi="Times New Roman" w:cs="Times New Roman"/>
          <w:kern w:val="24"/>
          <w:sz w:val="24"/>
          <w:szCs w:val="24"/>
          <w:lang w:eastAsia="en-GB"/>
        </w:rPr>
        <w:t xml:space="preserve"> as per manufacturing instructions</w:t>
      </w:r>
      <w:r w:rsidRPr="00EB2576">
        <w:rPr>
          <w:rFonts w:ascii="Times New Roman" w:hAnsi="Times New Roman" w:cs="Times New Roman"/>
          <w:kern w:val="24"/>
          <w:sz w:val="24"/>
          <w:szCs w:val="24"/>
          <w:lang w:eastAsia="en-GB"/>
        </w:rPr>
        <w:t xml:space="preserve">. </w:t>
      </w:r>
      <w:r w:rsidR="008B0AB2" w:rsidRPr="00EB2576">
        <w:rPr>
          <w:rFonts w:ascii="Times New Roman" w:hAnsi="Times New Roman" w:cs="Times New Roman"/>
          <w:kern w:val="24"/>
          <w:sz w:val="24"/>
          <w:szCs w:val="24"/>
          <w:lang w:eastAsia="en-GB"/>
        </w:rPr>
        <w:t xml:space="preserve">Briefly, </w:t>
      </w:r>
      <w:r w:rsidRPr="00EB2576">
        <w:rPr>
          <w:rFonts w:ascii="Times New Roman" w:hAnsi="Times New Roman" w:cs="Times New Roman"/>
          <w:kern w:val="24"/>
          <w:sz w:val="24"/>
          <w:szCs w:val="24"/>
          <w:lang w:eastAsia="en-GB"/>
        </w:rPr>
        <w:t>10 reactions of 25</w:t>
      </w:r>
      <w:r w:rsidR="00A0267A" w:rsidRPr="00EB2576">
        <w:rPr>
          <w:rFonts w:ascii="Times New Roman" w:hAnsi="Times New Roman" w:cs="Times New Roman"/>
          <w:kern w:val="24"/>
          <w:sz w:val="24"/>
          <w:szCs w:val="24"/>
          <w:lang w:eastAsia="en-GB"/>
        </w:rPr>
        <w:t xml:space="preserve"> </w:t>
      </w:r>
      <w:r w:rsidR="006405E0"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of PCR products were added to 125</w:t>
      </w:r>
      <w:r w:rsidR="00A0267A" w:rsidRPr="00EB2576">
        <w:rPr>
          <w:rFonts w:ascii="Times New Roman" w:hAnsi="Times New Roman" w:cs="Times New Roman"/>
          <w:kern w:val="24"/>
          <w:sz w:val="24"/>
          <w:szCs w:val="24"/>
          <w:lang w:eastAsia="en-GB"/>
        </w:rPr>
        <w:t xml:space="preserve"> </w:t>
      </w:r>
      <w:r w:rsidR="006405E0"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of </w:t>
      </w:r>
      <w:r w:rsidR="00823FF7" w:rsidRPr="00EB2576">
        <w:rPr>
          <w:rFonts w:ascii="Times New Roman" w:hAnsi="Times New Roman" w:cs="Times New Roman"/>
          <w:kern w:val="24"/>
          <w:sz w:val="24"/>
          <w:szCs w:val="24"/>
          <w:lang w:eastAsia="en-GB"/>
        </w:rPr>
        <w:t>bu</w:t>
      </w:r>
      <w:r w:rsidRPr="00EB2576">
        <w:rPr>
          <w:rFonts w:ascii="Times New Roman" w:hAnsi="Times New Roman" w:cs="Times New Roman"/>
          <w:kern w:val="24"/>
          <w:sz w:val="24"/>
          <w:szCs w:val="24"/>
          <w:lang w:eastAsia="en-GB"/>
        </w:rPr>
        <w:t xml:space="preserve">ffer PB and mixed. The samples were added to a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column in a 2</w:t>
      </w:r>
      <w:r w:rsidR="002C19B0" w:rsidRPr="00EB2576">
        <w:rPr>
          <w:rFonts w:ascii="Times New Roman" w:hAnsi="Times New Roman" w:cs="Times New Roman"/>
          <w:kern w:val="24"/>
          <w:sz w:val="24"/>
          <w:szCs w:val="24"/>
          <w:lang w:eastAsia="en-GB"/>
        </w:rPr>
        <w:t xml:space="preserve"> </w:t>
      </w:r>
      <w:r w:rsidRPr="00EB2576">
        <w:rPr>
          <w:rFonts w:ascii="Times New Roman" w:hAnsi="Times New Roman" w:cs="Times New Roman"/>
          <w:kern w:val="24"/>
          <w:sz w:val="24"/>
          <w:szCs w:val="24"/>
          <w:lang w:eastAsia="en-GB"/>
        </w:rPr>
        <w:t xml:space="preserve">ml collection tube and centrifuged for 30-60 seconds. Flow through was discarded and the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column washed using Buffer PE, centrifuged for 30-60 seconds and the flow through discarded again.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column was centrifuged for a further minute to remove residual buffer. The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column was placed in a clean 1.5</w:t>
      </w:r>
      <w:r w:rsidR="002C19B0" w:rsidRPr="00EB2576">
        <w:rPr>
          <w:rFonts w:ascii="Times New Roman" w:hAnsi="Times New Roman" w:cs="Times New Roman"/>
          <w:kern w:val="24"/>
          <w:sz w:val="24"/>
          <w:szCs w:val="24"/>
          <w:lang w:eastAsia="en-GB"/>
        </w:rPr>
        <w:t xml:space="preserve"> </w:t>
      </w:r>
      <w:r w:rsidRPr="00EB2576">
        <w:rPr>
          <w:rFonts w:ascii="Times New Roman" w:hAnsi="Times New Roman" w:cs="Times New Roman"/>
          <w:kern w:val="24"/>
          <w:sz w:val="24"/>
          <w:szCs w:val="24"/>
          <w:lang w:eastAsia="en-GB"/>
        </w:rPr>
        <w:t>mL microcentrifuge tube, 50</w:t>
      </w:r>
      <w:r w:rsidR="002C19B0" w:rsidRPr="00EB2576">
        <w:rPr>
          <w:rFonts w:ascii="Times New Roman" w:hAnsi="Times New Roman" w:cs="Times New Roman"/>
          <w:kern w:val="24"/>
          <w:sz w:val="24"/>
          <w:szCs w:val="24"/>
          <w:lang w:eastAsia="en-GB"/>
        </w:rPr>
        <w:t xml:space="preserve"> </w:t>
      </w:r>
      <w:r w:rsidR="006405E0"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of elution buffer was applied to the membrane, left to stand for 1 minute and then centrifuged. 50</w:t>
      </w:r>
      <w:r w:rsidR="002C19B0" w:rsidRPr="00EB2576">
        <w:rPr>
          <w:rFonts w:ascii="Times New Roman" w:hAnsi="Times New Roman" w:cs="Times New Roman"/>
          <w:kern w:val="24"/>
          <w:sz w:val="24"/>
          <w:szCs w:val="24"/>
          <w:lang w:eastAsia="en-GB"/>
        </w:rPr>
        <w:t xml:space="preserve"> </w:t>
      </w:r>
      <w:r w:rsidR="00CE6A39"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g of infliximab DNA was eluted.      </w:t>
      </w:r>
    </w:p>
    <w:p w14:paraId="207CC2C1" w14:textId="77777777" w:rsidR="00D30BD3" w:rsidRPr="00EB2576" w:rsidRDefault="00D30BD3" w:rsidP="00D30BD3">
      <w:pPr>
        <w:spacing w:line="480" w:lineRule="auto"/>
        <w:jc w:val="left"/>
        <w:rPr>
          <w:rFonts w:ascii="Times New Roman" w:hAnsi="Times New Roman" w:cs="Times New Roman"/>
          <w:sz w:val="24"/>
          <w:szCs w:val="24"/>
        </w:rPr>
      </w:pPr>
    </w:p>
    <w:p w14:paraId="6D482979" w14:textId="3517E0F7" w:rsidR="00D30BD3" w:rsidRPr="00EB2576" w:rsidRDefault="00B52111" w:rsidP="00D30BD3">
      <w:pPr>
        <w:pStyle w:val="Heading3"/>
        <w:spacing w:line="480" w:lineRule="auto"/>
        <w:rPr>
          <w:rFonts w:ascii="Times New Roman" w:hAnsi="Times New Roman" w:cs="Times New Roman"/>
          <w:b/>
          <w:bCs/>
        </w:rPr>
      </w:pPr>
      <w:bookmarkStart w:id="188" w:name="_Toc151020510"/>
      <w:r w:rsidRPr="00EB2576">
        <w:rPr>
          <w:rFonts w:ascii="Times New Roman" w:hAnsi="Times New Roman" w:cs="Times New Roman"/>
          <w:b/>
          <w:bCs/>
        </w:rPr>
        <w:t>4</w:t>
      </w:r>
      <w:r w:rsidR="00D30BD3" w:rsidRPr="00EB2576">
        <w:rPr>
          <w:rFonts w:ascii="Times New Roman" w:hAnsi="Times New Roman" w:cs="Times New Roman"/>
          <w:b/>
          <w:bCs/>
        </w:rPr>
        <w:t>.2.3 Production of infliximab Fab gene fragments</w:t>
      </w:r>
      <w:bookmarkEnd w:id="188"/>
      <w:r w:rsidR="00D30BD3" w:rsidRPr="00EB2576">
        <w:rPr>
          <w:rFonts w:ascii="Times New Roman" w:hAnsi="Times New Roman" w:cs="Times New Roman"/>
          <w:b/>
          <w:bCs/>
        </w:rPr>
        <w:t xml:space="preserve"> </w:t>
      </w:r>
    </w:p>
    <w:p w14:paraId="75B13D41" w14:textId="73D8B768" w:rsidR="003B7B07" w:rsidRPr="00EB2576" w:rsidRDefault="00D30BD3" w:rsidP="003B7B07">
      <w:pPr>
        <w:spacing w:line="480" w:lineRule="auto"/>
        <w:rPr>
          <w:rFonts w:ascii="Times New Roman" w:hAnsi="Times New Roman" w:cs="Times New Roman"/>
          <w:kern w:val="24"/>
          <w:sz w:val="24"/>
          <w:szCs w:val="24"/>
        </w:rPr>
      </w:pPr>
      <w:r w:rsidRPr="00EB2576">
        <w:rPr>
          <w:rFonts w:ascii="Times New Roman" w:hAnsi="Times New Roman" w:cs="Times New Roman"/>
          <w:kern w:val="24"/>
          <w:sz w:val="24"/>
          <w:szCs w:val="24"/>
        </w:rPr>
        <w:t xml:space="preserve">Using sonication (MSE </w:t>
      </w:r>
      <w:proofErr w:type="spellStart"/>
      <w:r w:rsidRPr="00EB2576">
        <w:rPr>
          <w:rFonts w:ascii="Times New Roman" w:hAnsi="Times New Roman" w:cs="Times New Roman"/>
          <w:kern w:val="24"/>
          <w:sz w:val="24"/>
          <w:szCs w:val="24"/>
        </w:rPr>
        <w:t>Soniprep</w:t>
      </w:r>
      <w:proofErr w:type="spellEnd"/>
      <w:r w:rsidRPr="00EB2576">
        <w:rPr>
          <w:rFonts w:ascii="Times New Roman" w:hAnsi="Times New Roman" w:cs="Times New Roman"/>
          <w:kern w:val="24"/>
          <w:sz w:val="24"/>
          <w:szCs w:val="24"/>
        </w:rPr>
        <w:t xml:space="preserve"> 150, London, United Kingdom),</w:t>
      </w:r>
      <w:r w:rsidR="001F44C1" w:rsidRPr="00EB2576">
        <w:rPr>
          <w:rFonts w:ascii="Times New Roman" w:hAnsi="Times New Roman" w:cs="Times New Roman"/>
          <w:kern w:val="24"/>
          <w:sz w:val="24"/>
          <w:szCs w:val="24"/>
        </w:rPr>
        <w:t xml:space="preserve"> different conditions</w:t>
      </w:r>
      <w:r w:rsidR="0042500E" w:rsidRPr="00EB2576">
        <w:rPr>
          <w:rFonts w:ascii="Times New Roman" w:hAnsi="Times New Roman" w:cs="Times New Roman"/>
          <w:kern w:val="24"/>
          <w:sz w:val="24"/>
          <w:szCs w:val="24"/>
        </w:rPr>
        <w:t xml:space="preserve"> were assessed to determine optimum conditions for digestion of the infliximab </w:t>
      </w:r>
      <w:r w:rsidR="00C7227B" w:rsidRPr="00EB2576">
        <w:rPr>
          <w:rFonts w:ascii="Times New Roman" w:hAnsi="Times New Roman" w:cs="Times New Roman"/>
          <w:kern w:val="24"/>
          <w:sz w:val="24"/>
          <w:szCs w:val="24"/>
        </w:rPr>
        <w:t>light chain and heavy chain Fab</w:t>
      </w:r>
      <w:r w:rsidR="001F44C1" w:rsidRPr="00EB2576">
        <w:rPr>
          <w:rFonts w:ascii="Times New Roman" w:hAnsi="Times New Roman" w:cs="Times New Roman"/>
          <w:kern w:val="24"/>
          <w:sz w:val="24"/>
          <w:szCs w:val="24"/>
        </w:rPr>
        <w:t>.</w:t>
      </w:r>
      <w:r w:rsidRPr="00EB2576">
        <w:rPr>
          <w:rFonts w:ascii="Times New Roman" w:hAnsi="Times New Roman" w:cs="Times New Roman"/>
          <w:kern w:val="24"/>
          <w:sz w:val="24"/>
          <w:szCs w:val="24"/>
        </w:rPr>
        <w:t xml:space="preserve"> </w:t>
      </w:r>
      <w:r w:rsidR="001565BE" w:rsidRPr="00EB2576">
        <w:rPr>
          <w:rFonts w:ascii="Times New Roman" w:hAnsi="Times New Roman" w:cs="Times New Roman"/>
          <w:kern w:val="24"/>
          <w:sz w:val="24"/>
          <w:szCs w:val="24"/>
        </w:rPr>
        <w:t>Sonication was undertaken</w:t>
      </w:r>
      <w:r w:rsidR="006469E1" w:rsidRPr="00EB2576">
        <w:rPr>
          <w:rFonts w:ascii="Times New Roman" w:hAnsi="Times New Roman" w:cs="Times New Roman"/>
          <w:kern w:val="24"/>
          <w:sz w:val="24"/>
          <w:szCs w:val="24"/>
        </w:rPr>
        <w:t xml:space="preserve"> using d</w:t>
      </w:r>
      <w:r w:rsidRPr="00EB2576">
        <w:rPr>
          <w:rFonts w:ascii="Times New Roman" w:hAnsi="Times New Roman" w:cs="Times New Roman"/>
          <w:kern w:val="24"/>
          <w:sz w:val="24"/>
          <w:szCs w:val="24"/>
        </w:rPr>
        <w:t>ifferent amplitudes</w:t>
      </w:r>
      <w:r w:rsidR="0042500E" w:rsidRPr="00EB2576">
        <w:rPr>
          <w:rFonts w:ascii="Times New Roman" w:hAnsi="Times New Roman" w:cs="Times New Roman"/>
          <w:kern w:val="24"/>
          <w:sz w:val="24"/>
          <w:szCs w:val="24"/>
        </w:rPr>
        <w:t xml:space="preserve"> of </w:t>
      </w:r>
      <w:r w:rsidR="00D87186" w:rsidRPr="00EB2576">
        <w:rPr>
          <w:rFonts w:ascii="Times New Roman" w:hAnsi="Times New Roman" w:cs="Times New Roman"/>
          <w:kern w:val="24"/>
          <w:sz w:val="24"/>
          <w:szCs w:val="24"/>
        </w:rPr>
        <w:t>5</w:t>
      </w:r>
      <w:r w:rsidR="002C19B0" w:rsidRPr="00EB2576">
        <w:rPr>
          <w:rFonts w:ascii="Times New Roman" w:hAnsi="Times New Roman" w:cs="Times New Roman"/>
          <w:kern w:val="24"/>
          <w:sz w:val="24"/>
          <w:szCs w:val="24"/>
        </w:rPr>
        <w:t xml:space="preserve"> </w:t>
      </w:r>
      <w:r w:rsidR="00D87186" w:rsidRPr="00EB2576">
        <w:rPr>
          <w:rFonts w:ascii="Times New Roman" w:hAnsi="Times New Roman" w:cs="Times New Roman"/>
          <w:kern w:val="24"/>
          <w:sz w:val="24"/>
          <w:szCs w:val="24"/>
        </w:rPr>
        <w:t>µM or 10</w:t>
      </w:r>
      <w:r w:rsidR="002C19B0" w:rsidRPr="00EB2576">
        <w:rPr>
          <w:rFonts w:ascii="Times New Roman" w:hAnsi="Times New Roman" w:cs="Times New Roman"/>
          <w:kern w:val="24"/>
          <w:sz w:val="24"/>
          <w:szCs w:val="24"/>
        </w:rPr>
        <w:t xml:space="preserve"> </w:t>
      </w:r>
      <w:r w:rsidR="00D87186" w:rsidRPr="00EB2576">
        <w:rPr>
          <w:rFonts w:ascii="Times New Roman" w:hAnsi="Times New Roman" w:cs="Times New Roman"/>
          <w:kern w:val="24"/>
          <w:sz w:val="24"/>
          <w:szCs w:val="24"/>
        </w:rPr>
        <w:t>µM</w:t>
      </w:r>
      <w:r w:rsidRPr="00EB2576">
        <w:rPr>
          <w:rFonts w:ascii="Times New Roman" w:hAnsi="Times New Roman" w:cs="Times New Roman"/>
          <w:kern w:val="24"/>
          <w:sz w:val="24"/>
          <w:szCs w:val="24"/>
        </w:rPr>
        <w:t>, DNA concentration</w:t>
      </w:r>
      <w:r w:rsidR="0042500E" w:rsidRPr="00EB2576">
        <w:rPr>
          <w:rFonts w:ascii="Times New Roman" w:hAnsi="Times New Roman" w:cs="Times New Roman"/>
          <w:kern w:val="24"/>
          <w:sz w:val="24"/>
          <w:szCs w:val="24"/>
        </w:rPr>
        <w:t xml:space="preserve"> of </w:t>
      </w:r>
      <w:r w:rsidR="000D0CF5" w:rsidRPr="00EB2576">
        <w:rPr>
          <w:rFonts w:ascii="Times New Roman" w:hAnsi="Times New Roman" w:cs="Times New Roman"/>
          <w:kern w:val="24"/>
          <w:sz w:val="24"/>
          <w:szCs w:val="24"/>
        </w:rPr>
        <w:t>1</w:t>
      </w:r>
      <w:r w:rsidR="007D023A" w:rsidRPr="00EB2576">
        <w:rPr>
          <w:rFonts w:ascii="Times New Roman" w:hAnsi="Times New Roman" w:cs="Times New Roman"/>
          <w:kern w:val="24"/>
          <w:sz w:val="24"/>
          <w:szCs w:val="24"/>
        </w:rPr>
        <w:t xml:space="preserve"> or </w:t>
      </w:r>
      <w:r w:rsidR="000D0CF5" w:rsidRPr="00EB2576">
        <w:rPr>
          <w:rFonts w:ascii="Times New Roman" w:hAnsi="Times New Roman" w:cs="Times New Roman"/>
          <w:kern w:val="24"/>
          <w:sz w:val="24"/>
          <w:szCs w:val="24"/>
        </w:rPr>
        <w:t>2</w:t>
      </w:r>
      <w:r w:rsidR="002C19B0" w:rsidRPr="00EB2576">
        <w:rPr>
          <w:rFonts w:ascii="Times New Roman" w:hAnsi="Times New Roman" w:cs="Times New Roman"/>
          <w:kern w:val="24"/>
          <w:sz w:val="24"/>
          <w:szCs w:val="24"/>
        </w:rPr>
        <w:t xml:space="preserve"> </w:t>
      </w:r>
      <w:r w:rsidR="000D0CF5" w:rsidRPr="00EB2576">
        <w:rPr>
          <w:rFonts w:ascii="Times New Roman" w:hAnsi="Times New Roman" w:cs="Times New Roman"/>
          <w:kern w:val="24"/>
          <w:sz w:val="24"/>
          <w:szCs w:val="24"/>
        </w:rPr>
        <w:t>µg</w:t>
      </w:r>
      <w:r w:rsidR="003E2F0C" w:rsidRPr="00EB2576">
        <w:rPr>
          <w:rFonts w:ascii="Times New Roman" w:hAnsi="Times New Roman" w:cs="Times New Roman"/>
          <w:kern w:val="24"/>
          <w:sz w:val="24"/>
          <w:szCs w:val="24"/>
        </w:rPr>
        <w:t xml:space="preserve"> in 100</w:t>
      </w:r>
      <w:r w:rsidR="002C19B0" w:rsidRPr="00EB2576">
        <w:rPr>
          <w:rFonts w:ascii="Times New Roman" w:hAnsi="Times New Roman" w:cs="Times New Roman"/>
          <w:kern w:val="24"/>
          <w:sz w:val="24"/>
          <w:szCs w:val="24"/>
        </w:rPr>
        <w:t xml:space="preserve"> </w:t>
      </w:r>
      <w:r w:rsidR="003E2F0C" w:rsidRPr="00EB2576">
        <w:rPr>
          <w:rFonts w:ascii="Times New Roman" w:hAnsi="Times New Roman" w:cs="Times New Roman"/>
          <w:kern w:val="24"/>
          <w:sz w:val="24"/>
          <w:szCs w:val="24"/>
        </w:rPr>
        <w:t>µL of nuclease fre</w:t>
      </w:r>
      <w:r w:rsidR="00A553F5" w:rsidRPr="00EB2576">
        <w:rPr>
          <w:rFonts w:ascii="Times New Roman" w:hAnsi="Times New Roman" w:cs="Times New Roman"/>
          <w:kern w:val="24"/>
          <w:sz w:val="24"/>
          <w:szCs w:val="24"/>
        </w:rPr>
        <w:t>e H20</w:t>
      </w:r>
      <w:r w:rsidR="007D023A" w:rsidRPr="00EB2576">
        <w:rPr>
          <w:rFonts w:ascii="Times New Roman" w:hAnsi="Times New Roman" w:cs="Times New Roman"/>
          <w:kern w:val="24"/>
          <w:sz w:val="24"/>
          <w:szCs w:val="24"/>
        </w:rPr>
        <w:t xml:space="preserve">, sonication time of 0-13 minutes with varying </w:t>
      </w:r>
      <w:r w:rsidRPr="00EB2576">
        <w:rPr>
          <w:rFonts w:ascii="Times New Roman" w:hAnsi="Times New Roman" w:cs="Times New Roman"/>
          <w:kern w:val="24"/>
          <w:sz w:val="24"/>
          <w:szCs w:val="24"/>
        </w:rPr>
        <w:t xml:space="preserve">time stops </w:t>
      </w:r>
      <w:r w:rsidR="0042500E" w:rsidRPr="00EB2576">
        <w:rPr>
          <w:rFonts w:ascii="Times New Roman" w:hAnsi="Times New Roman" w:cs="Times New Roman"/>
          <w:kern w:val="24"/>
          <w:sz w:val="24"/>
          <w:szCs w:val="24"/>
        </w:rPr>
        <w:t xml:space="preserve">using </w:t>
      </w:r>
      <w:r w:rsidRPr="00EB2576">
        <w:rPr>
          <w:rFonts w:ascii="Times New Roman" w:hAnsi="Times New Roman" w:cs="Times New Roman"/>
          <w:kern w:val="24"/>
          <w:sz w:val="24"/>
          <w:szCs w:val="24"/>
        </w:rPr>
        <w:t>cycles of 1 minute of sonication</w:t>
      </w:r>
      <w:r w:rsidR="0042500E" w:rsidRPr="00EB2576">
        <w:rPr>
          <w:rFonts w:ascii="Times New Roman" w:hAnsi="Times New Roman" w:cs="Times New Roman"/>
          <w:kern w:val="24"/>
          <w:sz w:val="24"/>
          <w:szCs w:val="24"/>
        </w:rPr>
        <w:t xml:space="preserve"> with </w:t>
      </w:r>
      <w:r w:rsidR="00291484" w:rsidRPr="00EB2576">
        <w:rPr>
          <w:rFonts w:ascii="Times New Roman" w:hAnsi="Times New Roman" w:cs="Times New Roman"/>
          <w:kern w:val="24"/>
          <w:sz w:val="24"/>
          <w:szCs w:val="24"/>
        </w:rPr>
        <w:t xml:space="preserve">30 seconds or </w:t>
      </w:r>
      <w:r w:rsidRPr="00EB2576">
        <w:rPr>
          <w:rFonts w:ascii="Times New Roman" w:hAnsi="Times New Roman" w:cs="Times New Roman"/>
          <w:kern w:val="24"/>
          <w:sz w:val="24"/>
          <w:szCs w:val="24"/>
        </w:rPr>
        <w:t>1 minute of cooling with ice</w:t>
      </w:r>
      <w:r w:rsidR="00291484" w:rsidRPr="00EB2576">
        <w:rPr>
          <w:rFonts w:ascii="Times New Roman" w:hAnsi="Times New Roman" w:cs="Times New Roman"/>
          <w:kern w:val="24"/>
          <w:sz w:val="24"/>
          <w:szCs w:val="24"/>
        </w:rPr>
        <w:t xml:space="preserve"> </w:t>
      </w:r>
      <w:r w:rsidR="0042500E" w:rsidRPr="00EB2576">
        <w:rPr>
          <w:rFonts w:ascii="Times New Roman" w:hAnsi="Times New Roman" w:cs="Times New Roman"/>
          <w:kern w:val="24"/>
          <w:sz w:val="24"/>
          <w:szCs w:val="24"/>
        </w:rPr>
        <w:t>were assessed.</w:t>
      </w:r>
      <w:r w:rsidR="0040758F" w:rsidRPr="00EB2576">
        <w:rPr>
          <w:rFonts w:ascii="Times New Roman" w:hAnsi="Times New Roman" w:cs="Times New Roman"/>
          <w:kern w:val="24"/>
          <w:sz w:val="24"/>
          <w:szCs w:val="24"/>
        </w:rPr>
        <w:t xml:space="preserve"> Conditions </w:t>
      </w:r>
      <w:r w:rsidR="00D069F9" w:rsidRPr="00EB2576">
        <w:rPr>
          <w:rFonts w:ascii="Times New Roman" w:hAnsi="Times New Roman" w:cs="Times New Roman"/>
          <w:kern w:val="24"/>
          <w:sz w:val="24"/>
          <w:szCs w:val="24"/>
        </w:rPr>
        <w:t xml:space="preserve">assessed </w:t>
      </w:r>
      <w:r w:rsidR="0040758F" w:rsidRPr="00EB2576">
        <w:rPr>
          <w:rFonts w:ascii="Times New Roman" w:hAnsi="Times New Roman" w:cs="Times New Roman"/>
          <w:kern w:val="24"/>
          <w:sz w:val="24"/>
          <w:szCs w:val="24"/>
        </w:rPr>
        <w:t xml:space="preserve">are shown in table </w:t>
      </w:r>
      <w:r w:rsidR="0032784E" w:rsidRPr="00EB2576">
        <w:rPr>
          <w:rFonts w:ascii="Times New Roman" w:hAnsi="Times New Roman" w:cs="Times New Roman"/>
          <w:kern w:val="24"/>
          <w:sz w:val="24"/>
          <w:szCs w:val="24"/>
        </w:rPr>
        <w:t>8</w:t>
      </w:r>
      <w:r w:rsidR="0040758F" w:rsidRPr="00EB2576">
        <w:rPr>
          <w:rFonts w:ascii="Times New Roman" w:hAnsi="Times New Roman" w:cs="Times New Roman"/>
          <w:kern w:val="24"/>
          <w:sz w:val="24"/>
          <w:szCs w:val="24"/>
        </w:rPr>
        <w:t>.</w:t>
      </w:r>
    </w:p>
    <w:p w14:paraId="38DEDAC1" w14:textId="77777777" w:rsidR="003B7B07" w:rsidRPr="00EB2576" w:rsidRDefault="003B7B07" w:rsidP="003B7B07">
      <w:pPr>
        <w:rPr>
          <w:rFonts w:ascii="Times New Roman" w:hAnsi="Times New Roman" w:cs="Times New Roman"/>
          <w:sz w:val="24"/>
          <w:szCs w:val="24"/>
        </w:rPr>
      </w:pPr>
    </w:p>
    <w:p w14:paraId="501C1F04" w14:textId="77777777" w:rsidR="00B52111" w:rsidRPr="00EB2576" w:rsidRDefault="00B52111" w:rsidP="003B7B07">
      <w:pPr>
        <w:rPr>
          <w:rFonts w:ascii="Times New Roman" w:hAnsi="Times New Roman" w:cs="Times New Roman"/>
          <w:sz w:val="24"/>
          <w:szCs w:val="24"/>
        </w:rPr>
      </w:pPr>
    </w:p>
    <w:p w14:paraId="180D23EA" w14:textId="77777777" w:rsidR="00B52111" w:rsidRPr="00EB2576" w:rsidRDefault="00B52111" w:rsidP="003B7B07">
      <w:pPr>
        <w:rPr>
          <w:rFonts w:ascii="Times New Roman" w:hAnsi="Times New Roman" w:cs="Times New Roman"/>
          <w:sz w:val="24"/>
          <w:szCs w:val="24"/>
        </w:rPr>
      </w:pPr>
    </w:p>
    <w:p w14:paraId="491A2348" w14:textId="77777777" w:rsidR="00B52111" w:rsidRPr="00EB2576" w:rsidRDefault="00B52111" w:rsidP="003B7B07">
      <w:pPr>
        <w:rPr>
          <w:rFonts w:ascii="Times New Roman" w:hAnsi="Times New Roman" w:cs="Times New Roman"/>
          <w:sz w:val="24"/>
          <w:szCs w:val="24"/>
        </w:rPr>
      </w:pPr>
    </w:p>
    <w:p w14:paraId="0E86B04A" w14:textId="77777777" w:rsidR="00712572" w:rsidRPr="00EB2576" w:rsidRDefault="00712572" w:rsidP="003B7B07">
      <w:pPr>
        <w:rPr>
          <w:rFonts w:ascii="Times New Roman" w:hAnsi="Times New Roman" w:cs="Times New Roman"/>
          <w:sz w:val="24"/>
          <w:szCs w:val="24"/>
        </w:rPr>
      </w:pPr>
    </w:p>
    <w:tbl>
      <w:tblPr>
        <w:tblStyle w:val="TableGridLight"/>
        <w:tblpPr w:leftFromText="180" w:rightFromText="180" w:vertAnchor="text" w:horzAnchor="margin" w:tblpY="118"/>
        <w:tblW w:w="0" w:type="auto"/>
        <w:tblLook w:val="04A0" w:firstRow="1" w:lastRow="0" w:firstColumn="1" w:lastColumn="0" w:noHBand="0" w:noVBand="1"/>
      </w:tblPr>
      <w:tblGrid>
        <w:gridCol w:w="3005"/>
        <w:gridCol w:w="4928"/>
      </w:tblGrid>
      <w:tr w:rsidR="00EB2576" w:rsidRPr="00EB2576" w14:paraId="2B8FB47B" w14:textId="77777777" w:rsidTr="0032784E">
        <w:tc>
          <w:tcPr>
            <w:tcW w:w="3005" w:type="dxa"/>
          </w:tcPr>
          <w:p w14:paraId="601A1C09" w14:textId="77777777" w:rsidR="0032784E" w:rsidRPr="00EB2576" w:rsidRDefault="0032784E" w:rsidP="0032784E">
            <w:pPr>
              <w:spacing w:line="48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sz w:val="20"/>
                <w:szCs w:val="20"/>
                <w:lang w:eastAsia="en-GB"/>
              </w:rPr>
              <w:lastRenderedPageBreak/>
              <w:t xml:space="preserve">Conditions </w:t>
            </w:r>
          </w:p>
        </w:tc>
        <w:tc>
          <w:tcPr>
            <w:tcW w:w="4928" w:type="dxa"/>
          </w:tcPr>
          <w:p w14:paraId="64B269BF" w14:textId="77777777" w:rsidR="0032784E" w:rsidRPr="00EB2576" w:rsidRDefault="0032784E" w:rsidP="0032784E">
            <w:pPr>
              <w:spacing w:line="48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sz w:val="20"/>
                <w:szCs w:val="20"/>
                <w:lang w:eastAsia="en-GB"/>
              </w:rPr>
              <w:t xml:space="preserve">Variables </w:t>
            </w:r>
          </w:p>
        </w:tc>
      </w:tr>
      <w:tr w:rsidR="00EB2576" w:rsidRPr="00EB2576" w14:paraId="58EFAEF4" w14:textId="77777777" w:rsidTr="0032784E">
        <w:tc>
          <w:tcPr>
            <w:tcW w:w="3005" w:type="dxa"/>
          </w:tcPr>
          <w:p w14:paraId="430BA255"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Time period of sonication</w:t>
            </w:r>
          </w:p>
        </w:tc>
        <w:tc>
          <w:tcPr>
            <w:tcW w:w="4928" w:type="dxa"/>
          </w:tcPr>
          <w:p w14:paraId="305F73F1"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1 minute intervals from 1-13 minutes</w:t>
            </w:r>
          </w:p>
        </w:tc>
      </w:tr>
      <w:tr w:rsidR="00EB2576" w:rsidRPr="00EB2576" w14:paraId="549D89DB" w14:textId="77777777" w:rsidTr="0032784E">
        <w:tc>
          <w:tcPr>
            <w:tcW w:w="3005" w:type="dxa"/>
          </w:tcPr>
          <w:p w14:paraId="7E17AEA3"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 xml:space="preserve">Time stops </w:t>
            </w:r>
          </w:p>
        </w:tc>
        <w:tc>
          <w:tcPr>
            <w:tcW w:w="4928" w:type="dxa"/>
          </w:tcPr>
          <w:p w14:paraId="6D93A7E9"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30 second or 1 minute of cooling with ice between sonication</w:t>
            </w:r>
          </w:p>
        </w:tc>
      </w:tr>
      <w:tr w:rsidR="00EB2576" w:rsidRPr="00EB2576" w14:paraId="26C1FA4A" w14:textId="77777777" w:rsidTr="0032784E">
        <w:tc>
          <w:tcPr>
            <w:tcW w:w="3005" w:type="dxa"/>
          </w:tcPr>
          <w:p w14:paraId="3ABE8C46"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Amplitudes</w:t>
            </w:r>
          </w:p>
        </w:tc>
        <w:tc>
          <w:tcPr>
            <w:tcW w:w="4928" w:type="dxa"/>
          </w:tcPr>
          <w:p w14:paraId="3B181A9E"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hAnsi="Times New Roman" w:cs="Times New Roman"/>
                <w:kern w:val="24"/>
                <w:sz w:val="20"/>
                <w:szCs w:val="20"/>
              </w:rPr>
              <w:t>5 µM or 10 µM</w:t>
            </w:r>
          </w:p>
        </w:tc>
      </w:tr>
      <w:tr w:rsidR="00EB2576" w:rsidRPr="00EB2576" w14:paraId="1A2224B5" w14:textId="77777777" w:rsidTr="0032784E">
        <w:tc>
          <w:tcPr>
            <w:tcW w:w="3005" w:type="dxa"/>
          </w:tcPr>
          <w:p w14:paraId="7AABA905" w14:textId="77777777" w:rsidR="0032784E" w:rsidRPr="00EB2576" w:rsidRDefault="0032784E" w:rsidP="0032784E">
            <w:pPr>
              <w:spacing w:line="48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sz w:val="20"/>
                <w:szCs w:val="20"/>
                <w:lang w:eastAsia="en-GB"/>
              </w:rPr>
              <w:t>DNA concentration</w:t>
            </w:r>
          </w:p>
        </w:tc>
        <w:tc>
          <w:tcPr>
            <w:tcW w:w="4928" w:type="dxa"/>
          </w:tcPr>
          <w:p w14:paraId="2680113D" w14:textId="77777777" w:rsidR="0032784E" w:rsidRPr="00EB2576" w:rsidRDefault="0032784E" w:rsidP="0032784E">
            <w:pPr>
              <w:keepNext/>
              <w:spacing w:line="480" w:lineRule="auto"/>
              <w:rPr>
                <w:rFonts w:ascii="Times New Roman" w:eastAsia="Times New Roman" w:hAnsi="Times New Roman" w:cs="Times New Roman"/>
                <w:sz w:val="20"/>
                <w:szCs w:val="20"/>
                <w:lang w:eastAsia="en-GB"/>
              </w:rPr>
            </w:pPr>
            <w:r w:rsidRPr="00EB2576">
              <w:rPr>
                <w:rFonts w:ascii="Times New Roman" w:hAnsi="Times New Roman" w:cs="Times New Roman"/>
                <w:kern w:val="24"/>
                <w:sz w:val="20"/>
                <w:szCs w:val="20"/>
              </w:rPr>
              <w:t>1 or 2 µg in 100 µL of nuclease free H20</w:t>
            </w:r>
          </w:p>
        </w:tc>
      </w:tr>
    </w:tbl>
    <w:p w14:paraId="7CB8A927" w14:textId="77777777" w:rsidR="003B7B07" w:rsidRPr="00EB2576" w:rsidRDefault="003B7B07" w:rsidP="003B7B07">
      <w:pPr>
        <w:rPr>
          <w:rFonts w:ascii="Times New Roman" w:hAnsi="Times New Roman" w:cs="Times New Roman"/>
          <w:sz w:val="24"/>
          <w:szCs w:val="24"/>
        </w:rPr>
      </w:pPr>
    </w:p>
    <w:p w14:paraId="12587EC8" w14:textId="77777777" w:rsidR="003B7B07" w:rsidRPr="00EB2576" w:rsidRDefault="003B7B07" w:rsidP="003B7B07">
      <w:pPr>
        <w:rPr>
          <w:rFonts w:ascii="Times New Roman" w:hAnsi="Times New Roman" w:cs="Times New Roman"/>
          <w:kern w:val="24"/>
          <w:sz w:val="24"/>
          <w:szCs w:val="24"/>
        </w:rPr>
      </w:pPr>
    </w:p>
    <w:p w14:paraId="0E44EC66" w14:textId="77777777" w:rsidR="003B7B07" w:rsidRPr="00EB2576" w:rsidRDefault="003B7B07" w:rsidP="003B7B07">
      <w:pPr>
        <w:rPr>
          <w:rFonts w:ascii="Times New Roman" w:hAnsi="Times New Roman" w:cs="Times New Roman"/>
          <w:kern w:val="24"/>
          <w:sz w:val="24"/>
          <w:szCs w:val="24"/>
        </w:rPr>
      </w:pPr>
    </w:p>
    <w:p w14:paraId="440A823A" w14:textId="6232CD3A" w:rsidR="003B7B07" w:rsidRPr="00EB2576" w:rsidRDefault="003B7B07" w:rsidP="003B7B07">
      <w:pPr>
        <w:tabs>
          <w:tab w:val="left" w:pos="1350"/>
        </w:tabs>
        <w:rPr>
          <w:rFonts w:ascii="Times New Roman" w:hAnsi="Times New Roman" w:cs="Times New Roman"/>
          <w:sz w:val="24"/>
          <w:szCs w:val="24"/>
        </w:rPr>
      </w:pPr>
      <w:r w:rsidRPr="00EB2576">
        <w:rPr>
          <w:rFonts w:ascii="Times New Roman" w:hAnsi="Times New Roman" w:cs="Times New Roman"/>
          <w:sz w:val="24"/>
          <w:szCs w:val="24"/>
        </w:rPr>
        <w:tab/>
      </w:r>
    </w:p>
    <w:p w14:paraId="070CB5B2" w14:textId="77777777" w:rsidR="003B7B07" w:rsidRPr="00EB2576" w:rsidRDefault="003B7B07" w:rsidP="00D30BD3">
      <w:pPr>
        <w:spacing w:line="480" w:lineRule="auto"/>
        <w:rPr>
          <w:rFonts w:ascii="Times New Roman" w:hAnsi="Times New Roman" w:cs="Times New Roman"/>
          <w:kern w:val="24"/>
          <w:sz w:val="24"/>
          <w:szCs w:val="24"/>
        </w:rPr>
      </w:pPr>
    </w:p>
    <w:p w14:paraId="1DE1DE0B" w14:textId="77777777" w:rsidR="003B7B07" w:rsidRPr="00EB2576" w:rsidRDefault="003B7B07" w:rsidP="00D30BD3">
      <w:pPr>
        <w:spacing w:line="480" w:lineRule="auto"/>
        <w:rPr>
          <w:rFonts w:ascii="Times New Roman" w:eastAsia="Times New Roman" w:hAnsi="Times New Roman" w:cs="Times New Roman"/>
          <w:b/>
          <w:bCs/>
          <w:sz w:val="24"/>
          <w:szCs w:val="24"/>
          <w:lang w:eastAsia="en-GB"/>
        </w:rPr>
      </w:pPr>
    </w:p>
    <w:p w14:paraId="154DCEBC" w14:textId="77777777" w:rsidR="006D4BC4" w:rsidRPr="00EB2576" w:rsidRDefault="006D4BC4" w:rsidP="00203F7D">
      <w:pPr>
        <w:pStyle w:val="Caption"/>
        <w:framePr w:hSpace="180" w:wrap="around" w:vAnchor="text" w:hAnchor="page" w:x="1426" w:y="120"/>
        <w:spacing w:line="240" w:lineRule="auto"/>
        <w:rPr>
          <w:rFonts w:ascii="Times New Roman" w:hAnsi="Times New Roman" w:cs="Times New Roman"/>
          <w:sz w:val="24"/>
          <w:szCs w:val="24"/>
        </w:rPr>
      </w:pPr>
      <w:bookmarkStart w:id="189" w:name="_Toc139306961"/>
      <w:r w:rsidRPr="00EB2576">
        <w:rPr>
          <w:rFonts w:ascii="Times New Roman" w:hAnsi="Times New Roman" w:cs="Times New Roman"/>
          <w:sz w:val="24"/>
          <w:szCs w:val="24"/>
        </w:rPr>
        <w:t xml:space="preserve">Table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Table \* ARABIC </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rPr>
        <w:t>8</w:t>
      </w:r>
      <w:r w:rsidRPr="00EB2576">
        <w:rPr>
          <w:rFonts w:ascii="Times New Roman" w:hAnsi="Times New Roman" w:cs="Times New Roman"/>
          <w:sz w:val="24"/>
          <w:szCs w:val="24"/>
        </w:rPr>
        <w:fldChar w:fldCharType="end"/>
      </w:r>
      <w:r w:rsidRPr="00EB2576">
        <w:rPr>
          <w:rFonts w:ascii="Times New Roman" w:hAnsi="Times New Roman" w:cs="Times New Roman"/>
          <w:kern w:val="24"/>
          <w:sz w:val="24"/>
          <w:szCs w:val="24"/>
          <w:lang w:val="en-US" w:eastAsia="en-GB"/>
        </w:rPr>
        <w:t>. Sonication conditions assessed in digestion of infliximab light chain and heavy chain Fab.</w:t>
      </w:r>
      <w:bookmarkEnd w:id="189"/>
      <w:r w:rsidRPr="00EB2576">
        <w:rPr>
          <w:rFonts w:ascii="Times New Roman" w:hAnsi="Times New Roman" w:cs="Times New Roman"/>
          <w:sz w:val="24"/>
          <w:szCs w:val="24"/>
        </w:rPr>
        <w:t xml:space="preserve"> </w:t>
      </w:r>
    </w:p>
    <w:p w14:paraId="696F8257" w14:textId="77777777" w:rsidR="003B7B07" w:rsidRPr="00EB2576" w:rsidRDefault="003B7B07" w:rsidP="00D30BD3">
      <w:pPr>
        <w:spacing w:line="480" w:lineRule="auto"/>
        <w:rPr>
          <w:rFonts w:ascii="Times New Roman" w:hAnsi="Times New Roman" w:cs="Times New Roman"/>
          <w:kern w:val="24"/>
          <w:sz w:val="24"/>
          <w:szCs w:val="24"/>
          <w:lang w:val="en-US" w:eastAsia="en-GB"/>
        </w:rPr>
      </w:pPr>
    </w:p>
    <w:p w14:paraId="4DE0C211" w14:textId="25AA4451" w:rsidR="00B706A3" w:rsidRPr="00EB2576" w:rsidRDefault="00D30BD3" w:rsidP="00BA2A5E">
      <w:pPr>
        <w:spacing w:line="480" w:lineRule="auto"/>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val="en-US" w:eastAsia="en-GB"/>
        </w:rPr>
        <w:t>Post sonication, infliximab DNA fragments were converted from 5´or 3´overhangs to compatible blunt-ended 5´phosphorylated DNA</w:t>
      </w:r>
      <w:r w:rsidRPr="00EB2576">
        <w:rPr>
          <w:rFonts w:ascii="Times New Roman" w:hAnsi="Times New Roman" w:cs="Times New Roman"/>
          <w:kern w:val="24"/>
          <w:sz w:val="24"/>
          <w:szCs w:val="24"/>
          <w:lang w:eastAsia="en-GB"/>
        </w:rPr>
        <w:t xml:space="preserve"> using Quick Blunting™ Kit (New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shd w:val="clear" w:color="auto" w:fill="FFFFFF"/>
        </w:rPr>
        <w:t>Massachusetts, United States</w:t>
      </w:r>
      <w:r w:rsidRPr="00EB2576">
        <w:rPr>
          <w:rFonts w:ascii="Times New Roman" w:hAnsi="Times New Roman" w:cs="Times New Roman"/>
          <w:kern w:val="24"/>
          <w:sz w:val="24"/>
          <w:szCs w:val="24"/>
          <w:lang w:eastAsia="en-GB"/>
        </w:rPr>
        <w:t>). 3.2</w:t>
      </w:r>
      <w:r w:rsidR="006400C6" w:rsidRPr="00EB2576">
        <w:rPr>
          <w:rFonts w:ascii="Times New Roman" w:hAnsi="Times New Roman" w:cs="Times New Roman"/>
          <w:kern w:val="24"/>
          <w:sz w:val="24"/>
          <w:szCs w:val="24"/>
          <w:lang w:eastAsia="en-GB"/>
        </w:rPr>
        <w:t xml:space="preserve"> </w:t>
      </w:r>
      <w:r w:rsidR="00583BB0"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g DNA was combined with 2.5</w:t>
      </w:r>
      <w:r w:rsidR="006400C6" w:rsidRPr="00EB2576">
        <w:rPr>
          <w:rFonts w:ascii="Times New Roman" w:hAnsi="Times New Roman" w:cs="Times New Roman"/>
          <w:kern w:val="24"/>
          <w:sz w:val="24"/>
          <w:szCs w:val="24"/>
          <w:lang w:eastAsia="en-GB"/>
        </w:rPr>
        <w:t xml:space="preserve"> </w:t>
      </w:r>
      <w:r w:rsidR="00583BB0"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of blunting buffer, 2.5</w:t>
      </w:r>
      <w:r w:rsidR="006400C6" w:rsidRPr="00EB2576">
        <w:rPr>
          <w:rFonts w:ascii="Times New Roman" w:hAnsi="Times New Roman" w:cs="Times New Roman"/>
          <w:kern w:val="24"/>
          <w:sz w:val="24"/>
          <w:szCs w:val="24"/>
          <w:lang w:eastAsia="en-GB"/>
        </w:rPr>
        <w:t xml:space="preserve"> </w:t>
      </w:r>
      <w:r w:rsidR="0088083B"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of dNTP mix, 1</w:t>
      </w:r>
      <w:r w:rsidR="006400C6" w:rsidRPr="00EB2576">
        <w:rPr>
          <w:rFonts w:ascii="Times New Roman" w:hAnsi="Times New Roman" w:cs="Times New Roman"/>
          <w:kern w:val="24"/>
          <w:sz w:val="24"/>
          <w:szCs w:val="24"/>
          <w:lang w:eastAsia="en-GB"/>
        </w:rPr>
        <w:t xml:space="preserve"> </w:t>
      </w:r>
      <w:r w:rsidR="0088083B"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of blunt enzyme mix and incubated at room temperature for 30 minutes and then at 70°c for 10 minutes to inactive the enzymes</w:t>
      </w:r>
      <w:r w:rsidR="00BE3779" w:rsidRPr="00EB2576">
        <w:rPr>
          <w:rFonts w:ascii="Times New Roman" w:hAnsi="Times New Roman" w:cs="Times New Roman"/>
          <w:kern w:val="24"/>
          <w:sz w:val="24"/>
          <w:szCs w:val="24"/>
          <w:lang w:eastAsia="en-GB"/>
        </w:rPr>
        <w:t xml:space="preserve"> (</w:t>
      </w:r>
      <w:r w:rsidR="004A7BAA" w:rsidRPr="00EB2576">
        <w:rPr>
          <w:rFonts w:ascii="Times New Roman" w:hAnsi="Times New Roman" w:cs="Times New Roman"/>
          <w:kern w:val="24"/>
          <w:sz w:val="24"/>
          <w:szCs w:val="24"/>
          <w:lang w:eastAsia="en-GB"/>
        </w:rPr>
        <w:t xml:space="preserve">New England </w:t>
      </w:r>
      <w:proofErr w:type="spellStart"/>
      <w:r w:rsidR="004A7BAA" w:rsidRPr="00EB2576">
        <w:rPr>
          <w:rFonts w:ascii="Times New Roman" w:hAnsi="Times New Roman" w:cs="Times New Roman"/>
          <w:kern w:val="24"/>
          <w:sz w:val="24"/>
          <w:szCs w:val="24"/>
          <w:lang w:eastAsia="en-GB"/>
        </w:rPr>
        <w:t>BioLabs</w:t>
      </w:r>
      <w:proofErr w:type="spellEnd"/>
      <w:r w:rsidR="004A7BAA" w:rsidRPr="00EB2576">
        <w:rPr>
          <w:rFonts w:ascii="Times New Roman" w:hAnsi="Times New Roman" w:cs="Times New Roman"/>
          <w:kern w:val="24"/>
          <w:sz w:val="24"/>
          <w:szCs w:val="24"/>
          <w:lang w:eastAsia="en-GB"/>
        </w:rPr>
        <w:t xml:space="preserve">, </w:t>
      </w:r>
      <w:r w:rsidR="004A7BAA" w:rsidRPr="00EB2576">
        <w:rPr>
          <w:rFonts w:ascii="Times New Roman" w:hAnsi="Times New Roman" w:cs="Times New Roman"/>
          <w:sz w:val="24"/>
          <w:szCs w:val="24"/>
          <w:shd w:val="clear" w:color="auto" w:fill="FFFFFF"/>
        </w:rPr>
        <w:t>Massachusetts, United States</w:t>
      </w:r>
      <w:r w:rsidR="00BE3779"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lang w:eastAsia="en-GB"/>
        </w:rPr>
        <w:t xml:space="preserve">. The blunt-ended DNA fragments were </w:t>
      </w:r>
      <w:r w:rsidR="002905EF" w:rsidRPr="00EB2576">
        <w:rPr>
          <w:rFonts w:ascii="Times New Roman" w:hAnsi="Times New Roman" w:cs="Times New Roman"/>
          <w:kern w:val="24"/>
          <w:sz w:val="24"/>
          <w:szCs w:val="24"/>
          <w:lang w:eastAsia="en-GB"/>
        </w:rPr>
        <w:t xml:space="preserve">then </w:t>
      </w:r>
      <w:r w:rsidRPr="00EB2576">
        <w:rPr>
          <w:rFonts w:ascii="Times New Roman" w:hAnsi="Times New Roman" w:cs="Times New Roman"/>
          <w:kern w:val="24"/>
          <w:sz w:val="24"/>
          <w:szCs w:val="24"/>
          <w:lang w:eastAsia="en-GB"/>
        </w:rPr>
        <w:t xml:space="preserve">purified </w:t>
      </w:r>
      <w:bookmarkStart w:id="190" w:name="_Hlk67154040"/>
      <w:r w:rsidRPr="00EB2576">
        <w:rPr>
          <w:rFonts w:ascii="Times New Roman" w:hAnsi="Times New Roman" w:cs="Times New Roman"/>
          <w:kern w:val="24"/>
          <w:sz w:val="24"/>
          <w:szCs w:val="24"/>
          <w:lang w:eastAsia="en-GB"/>
        </w:rPr>
        <w:t xml:space="preserve">using the </w:t>
      </w:r>
      <w:proofErr w:type="spellStart"/>
      <w:r w:rsidRPr="00EB2576">
        <w:rPr>
          <w:rFonts w:ascii="Times New Roman" w:hAnsi="Times New Roman" w:cs="Times New Roman"/>
          <w:kern w:val="24"/>
          <w:sz w:val="24"/>
          <w:szCs w:val="24"/>
          <w:lang w:eastAsia="en-GB"/>
        </w:rPr>
        <w:t>QIAquick</w:t>
      </w:r>
      <w:proofErr w:type="spellEnd"/>
      <w:r w:rsidRPr="00EB2576">
        <w:rPr>
          <w:rFonts w:ascii="Times New Roman" w:hAnsi="Times New Roman" w:cs="Times New Roman"/>
          <w:kern w:val="24"/>
          <w:sz w:val="24"/>
          <w:szCs w:val="24"/>
          <w:lang w:eastAsia="en-GB"/>
        </w:rPr>
        <w:t xml:space="preserve"> PCR purification kit</w:t>
      </w:r>
      <w:bookmarkEnd w:id="190"/>
      <w:r w:rsidRPr="00EB2576">
        <w:rPr>
          <w:rFonts w:ascii="Times New Roman" w:hAnsi="Times New Roman" w:cs="Times New Roman"/>
          <w:kern w:val="24"/>
          <w:sz w:val="24"/>
          <w:szCs w:val="24"/>
          <w:lang w:eastAsia="en-GB"/>
        </w:rPr>
        <w:t xml:space="preserve"> </w:t>
      </w:r>
      <w:bookmarkStart w:id="191" w:name="_Hlk67160330"/>
      <w:r w:rsidRPr="00EB2576">
        <w:rPr>
          <w:rFonts w:ascii="Times New Roman" w:hAnsi="Times New Roman" w:cs="Times New Roman"/>
          <w:kern w:val="24"/>
          <w:sz w:val="24"/>
          <w:szCs w:val="24"/>
          <w:lang w:eastAsia="en-GB"/>
        </w:rPr>
        <w:t>(Qiagen, Hilden, Germany)</w:t>
      </w:r>
      <w:r w:rsidR="003278B8" w:rsidRPr="00EB2576">
        <w:rPr>
          <w:rFonts w:ascii="Times New Roman" w:hAnsi="Times New Roman" w:cs="Times New Roman"/>
          <w:kern w:val="24"/>
          <w:sz w:val="24"/>
          <w:szCs w:val="24"/>
          <w:lang w:eastAsia="en-GB"/>
        </w:rPr>
        <w:t xml:space="preserve">, </w:t>
      </w:r>
      <w:r w:rsidR="00F56D75" w:rsidRPr="00EB2576">
        <w:rPr>
          <w:rFonts w:ascii="Times New Roman" w:hAnsi="Times New Roman" w:cs="Times New Roman"/>
          <w:kern w:val="24"/>
          <w:sz w:val="24"/>
          <w:szCs w:val="24"/>
          <w:lang w:eastAsia="en-GB"/>
        </w:rPr>
        <w:t xml:space="preserve">as </w:t>
      </w:r>
      <w:r w:rsidR="003278B8" w:rsidRPr="00EB2576">
        <w:rPr>
          <w:rFonts w:ascii="Times New Roman" w:hAnsi="Times New Roman" w:cs="Times New Roman"/>
          <w:kern w:val="24"/>
          <w:sz w:val="24"/>
          <w:szCs w:val="24"/>
          <w:lang w:eastAsia="en-GB"/>
        </w:rPr>
        <w:t xml:space="preserve">described </w:t>
      </w:r>
      <w:r w:rsidR="00F56D75" w:rsidRPr="00EB2576">
        <w:rPr>
          <w:rFonts w:ascii="Times New Roman" w:hAnsi="Times New Roman" w:cs="Times New Roman"/>
          <w:kern w:val="24"/>
          <w:sz w:val="24"/>
          <w:szCs w:val="24"/>
          <w:lang w:eastAsia="en-GB"/>
        </w:rPr>
        <w:t xml:space="preserve">above </w:t>
      </w:r>
      <w:r w:rsidR="006400C6" w:rsidRPr="00EB2576">
        <w:rPr>
          <w:rFonts w:ascii="Times New Roman" w:hAnsi="Times New Roman" w:cs="Times New Roman"/>
          <w:kern w:val="24"/>
          <w:sz w:val="24"/>
          <w:szCs w:val="24"/>
          <w:lang w:eastAsia="en-GB"/>
        </w:rPr>
        <w:t xml:space="preserve">in </w:t>
      </w:r>
      <w:r w:rsidR="00F56D75" w:rsidRPr="00EB2576">
        <w:rPr>
          <w:rFonts w:ascii="Times New Roman" w:hAnsi="Times New Roman" w:cs="Times New Roman"/>
          <w:kern w:val="24"/>
          <w:sz w:val="24"/>
          <w:szCs w:val="24"/>
          <w:lang w:eastAsia="en-GB"/>
        </w:rPr>
        <w:t>5.2.2</w:t>
      </w:r>
      <w:r w:rsidRPr="00EB2576">
        <w:rPr>
          <w:rFonts w:ascii="Times New Roman" w:hAnsi="Times New Roman" w:cs="Times New Roman"/>
          <w:kern w:val="24"/>
          <w:sz w:val="24"/>
          <w:szCs w:val="24"/>
          <w:lang w:eastAsia="en-GB"/>
        </w:rPr>
        <w:t>.</w:t>
      </w:r>
      <w:bookmarkEnd w:id="191"/>
    </w:p>
    <w:p w14:paraId="00782F0F" w14:textId="77777777" w:rsidR="00712572" w:rsidRPr="00EB2576" w:rsidRDefault="00712572" w:rsidP="00BA2A5E">
      <w:pPr>
        <w:spacing w:line="480" w:lineRule="auto"/>
        <w:rPr>
          <w:rFonts w:ascii="Times New Roman" w:hAnsi="Times New Roman" w:cs="Times New Roman"/>
          <w:kern w:val="24"/>
          <w:sz w:val="24"/>
          <w:szCs w:val="24"/>
          <w:lang w:eastAsia="en-GB"/>
        </w:rPr>
      </w:pPr>
    </w:p>
    <w:p w14:paraId="5A9C21FB" w14:textId="10658216" w:rsidR="00D30BD3" w:rsidRPr="00EB2576" w:rsidRDefault="00B52111" w:rsidP="00D30BD3">
      <w:pPr>
        <w:pStyle w:val="Heading3"/>
        <w:spacing w:line="480" w:lineRule="auto"/>
        <w:rPr>
          <w:rFonts w:ascii="Times New Roman" w:hAnsi="Times New Roman" w:cs="Times New Roman"/>
          <w:b/>
          <w:bCs/>
        </w:rPr>
      </w:pPr>
      <w:bookmarkStart w:id="192" w:name="_Toc151020511"/>
      <w:r w:rsidRPr="00EB2576">
        <w:rPr>
          <w:rFonts w:ascii="Times New Roman" w:hAnsi="Times New Roman" w:cs="Times New Roman"/>
          <w:b/>
          <w:bCs/>
        </w:rPr>
        <w:t>4</w:t>
      </w:r>
      <w:r w:rsidR="00D30BD3" w:rsidRPr="00EB2576">
        <w:rPr>
          <w:rFonts w:ascii="Times New Roman" w:hAnsi="Times New Roman" w:cs="Times New Roman"/>
          <w:b/>
          <w:bCs/>
        </w:rPr>
        <w:t>.2.4 Preparation of phagemid vector</w:t>
      </w:r>
      <w:bookmarkEnd w:id="192"/>
    </w:p>
    <w:p w14:paraId="32D0925F" w14:textId="1B748E3F" w:rsidR="00D30BD3" w:rsidRPr="00EB2576" w:rsidRDefault="00D30BD3" w:rsidP="00D30BD3">
      <w:pPr>
        <w:spacing w:line="480" w:lineRule="auto"/>
        <w:rPr>
          <w:rFonts w:ascii="Times New Roman" w:hAnsi="Times New Roman" w:cs="Times New Roman"/>
          <w:kern w:val="24"/>
          <w:sz w:val="24"/>
          <w:szCs w:val="24"/>
          <w:lang w:eastAsia="en-GB"/>
        </w:rPr>
      </w:pPr>
      <w:bookmarkStart w:id="193" w:name="_Hlk100305803"/>
      <w:r w:rsidRPr="00EB2576">
        <w:rPr>
          <w:rFonts w:ascii="Times New Roman" w:eastAsia="Times New Roman" w:hAnsi="Times New Roman" w:cs="Times New Roman"/>
          <w:sz w:val="24"/>
          <w:szCs w:val="24"/>
          <w:lang w:val="en-US" w:eastAsia="en-GB"/>
        </w:rPr>
        <w:t>PIII phagemid vector pNIBS1</w:t>
      </w:r>
      <w:r w:rsidRPr="00EB2576">
        <w:rPr>
          <w:rFonts w:ascii="Times New Roman" w:hAnsi="Times New Roman" w:cs="Times New Roman"/>
          <w:sz w:val="24"/>
          <w:szCs w:val="24"/>
        </w:rPr>
        <w:t xml:space="preserve"> was </w:t>
      </w:r>
      <w:r w:rsidRPr="00EB2576">
        <w:rPr>
          <w:rFonts w:ascii="Times New Roman" w:eastAsia="Times New Roman" w:hAnsi="Times New Roman" w:cs="Times New Roman"/>
          <w:sz w:val="24"/>
          <w:szCs w:val="24"/>
          <w:lang w:val="en-US" w:eastAsia="en-GB"/>
        </w:rPr>
        <w:t>designed and constructed in-house at National Institute of Biological Standards and Control</w:t>
      </w:r>
      <w:r w:rsidR="0051239F" w:rsidRPr="00EB2576">
        <w:rPr>
          <w:rFonts w:ascii="Times New Roman" w:eastAsia="Times New Roman" w:hAnsi="Times New Roman" w:cs="Times New Roman"/>
          <w:sz w:val="24"/>
          <w:szCs w:val="24"/>
          <w:lang w:val="en-US" w:eastAsia="en-GB"/>
        </w:rPr>
        <w:t xml:space="preserve"> (Figure </w:t>
      </w:r>
      <w:r w:rsidR="00F67981" w:rsidRPr="00EB2576">
        <w:rPr>
          <w:rFonts w:ascii="Times New Roman" w:eastAsia="Times New Roman" w:hAnsi="Times New Roman" w:cs="Times New Roman"/>
          <w:sz w:val="24"/>
          <w:szCs w:val="24"/>
          <w:lang w:val="en-US" w:eastAsia="en-GB"/>
        </w:rPr>
        <w:t>2</w:t>
      </w:r>
      <w:r w:rsidR="00203F7D" w:rsidRPr="00EB2576">
        <w:rPr>
          <w:rFonts w:ascii="Times New Roman" w:eastAsia="Times New Roman" w:hAnsi="Times New Roman" w:cs="Times New Roman"/>
          <w:sz w:val="24"/>
          <w:szCs w:val="24"/>
          <w:lang w:val="en-US" w:eastAsia="en-GB"/>
        </w:rPr>
        <w:t>2</w:t>
      </w:r>
      <w:r w:rsidR="0051239F" w:rsidRPr="00EB2576">
        <w:rPr>
          <w:rFonts w:ascii="Times New Roman" w:eastAsia="Times New Roman" w:hAnsi="Times New Roman" w:cs="Times New Roman"/>
          <w:sz w:val="24"/>
          <w:szCs w:val="24"/>
          <w:lang w:val="en-US" w:eastAsia="en-GB"/>
        </w:rPr>
        <w:t>)</w:t>
      </w:r>
      <w:r w:rsidR="00654E7C" w:rsidRPr="00EB2576">
        <w:rPr>
          <w:rFonts w:ascii="Times New Roman" w:eastAsia="Times New Roman" w:hAnsi="Times New Roman" w:cs="Times New Roman"/>
          <w:sz w:val="24"/>
          <w:szCs w:val="24"/>
          <w:lang w:val="en-US" w:eastAsia="en-GB"/>
        </w:rPr>
        <w:t xml:space="preserve"> </w:t>
      </w:r>
      <w:r w:rsidR="00654E7C" w:rsidRPr="00EB2576">
        <w:rPr>
          <w:rFonts w:ascii="Times New Roman" w:eastAsia="Times New Roman" w:hAnsi="Times New Roman" w:cs="Times New Roman"/>
          <w:sz w:val="24"/>
          <w:szCs w:val="24"/>
          <w:lang w:val="en-US" w:eastAsia="en-GB"/>
        </w:rPr>
        <w:fldChar w:fldCharType="begin" w:fldLock="1"/>
      </w:r>
      <w:r w:rsidR="009577AC" w:rsidRPr="00EB2576">
        <w:rPr>
          <w:rFonts w:ascii="Times New Roman" w:eastAsia="Times New Roman" w:hAnsi="Times New Roman" w:cs="Times New Roman"/>
          <w:sz w:val="24"/>
          <w:szCs w:val="24"/>
          <w:lang w:val="en-US" w:eastAsia="en-GB"/>
        </w:rPr>
        <w:instrText>ADDIN CSL_CITATION {"citationItems":[{"id":"ITEM-1","itemData":{"DOI":"10.1371/journal.pone.0103294","ISSN":"1932-6203","author":[{"dropping-particle":"","family":"Hufton","given":"Simon E.","non-dropping-particle":"","parse-names":false,"suffix":""},{"dropping-particle":"","family":"Risley","given":"Paul","non-dropping-particle":"","parse-names":false,"suffix":""},{"dropping-particle":"","family":"Ball","given":"Christina R.","non-dropping-particle":"","parse-names":false,"suffix":""},{"dropping-particle":"","family":"Major","given":"Diane","non-dropping-particle":"","parse-names":false,"suffix":""},{"dropping-particle":"","family":"Engelhardt","given":"Othmar G.","non-dropping-particle":"","parse-names":false,"suffix":""},{"dropping-particle":"","family":"Poole","given":"Stephen","non-dropping-particle":"","parse-names":false,"suffix":""}],"container-title":"PLoS ONE","editor":[{"dropping-particle":"","family":"Pöhlmann","given":"Stefan","non-dropping-particle":"","parse-names":false,"suffix":""}],"id":"ITEM-1","issue":"8","issued":{"date-parts":[["2014","8","1"]]},"page":"e103294","title":"The Breadth of Cross Sub-Type Neutralisation Activity of a Single Domain Antibody to Influenza Hemagglutinin Can Be Increased by Antibody Valency","type":"article-journal","volume":"9"},"uris":["http://www.mendeley.com/documents/?uuid=814307e6-e8e8-47b5-9c49-50728d394fa7"]}],"mendeley":{"formattedCitation":"&lt;sup&gt;183&lt;/sup&gt;","plainTextFormattedCitation":"183","previouslyFormattedCitation":"&lt;sup&gt;183&lt;/sup&gt;"},"properties":{"noteIndex":0},"schema":"https://github.com/citation-style-language/schema/raw/master/csl-citation.json"}</w:instrText>
      </w:r>
      <w:r w:rsidR="00654E7C" w:rsidRPr="00EB2576">
        <w:rPr>
          <w:rFonts w:ascii="Times New Roman" w:eastAsia="Times New Roman" w:hAnsi="Times New Roman" w:cs="Times New Roman"/>
          <w:sz w:val="24"/>
          <w:szCs w:val="24"/>
          <w:lang w:val="en-US" w:eastAsia="en-GB"/>
        </w:rPr>
        <w:fldChar w:fldCharType="separate"/>
      </w:r>
      <w:r w:rsidR="00201474" w:rsidRPr="00EB2576">
        <w:rPr>
          <w:rFonts w:ascii="Times New Roman" w:eastAsia="Times New Roman" w:hAnsi="Times New Roman" w:cs="Times New Roman"/>
          <w:noProof/>
          <w:sz w:val="24"/>
          <w:szCs w:val="24"/>
          <w:vertAlign w:val="superscript"/>
          <w:lang w:val="en-US" w:eastAsia="en-GB"/>
        </w:rPr>
        <w:t>183</w:t>
      </w:r>
      <w:r w:rsidR="00654E7C" w:rsidRPr="00EB2576">
        <w:rPr>
          <w:rFonts w:ascii="Times New Roman" w:eastAsia="Times New Roman" w:hAnsi="Times New Roman" w:cs="Times New Roman"/>
          <w:sz w:val="24"/>
          <w:szCs w:val="24"/>
          <w:lang w:val="en-US" w:eastAsia="en-GB"/>
        </w:rPr>
        <w:fldChar w:fldCharType="end"/>
      </w:r>
      <w:r w:rsidRPr="00EB2576">
        <w:rPr>
          <w:rFonts w:ascii="Times New Roman" w:eastAsia="Times New Roman" w:hAnsi="Times New Roman" w:cs="Times New Roman"/>
          <w:sz w:val="24"/>
          <w:szCs w:val="24"/>
          <w:lang w:val="en-US" w:eastAsia="en-GB"/>
        </w:rPr>
        <w:t>.</w:t>
      </w:r>
      <w:r w:rsidRPr="00EB2576">
        <w:rPr>
          <w:rFonts w:ascii="Times New Roman" w:hAnsi="Times New Roman" w:cs="Times New Roman"/>
          <w:sz w:val="24"/>
          <w:szCs w:val="24"/>
        </w:rPr>
        <w:t xml:space="preserve"> 4 </w:t>
      </w:r>
      <w:r w:rsidR="0051239F" w:rsidRPr="00EB2576">
        <w:rPr>
          <w:rFonts w:ascii="Times New Roman" w:hAnsi="Times New Roman" w:cs="Times New Roman"/>
          <w:sz w:val="24"/>
          <w:szCs w:val="24"/>
        </w:rPr>
        <w:t>µ</w:t>
      </w:r>
      <w:r w:rsidRPr="00EB2576">
        <w:rPr>
          <w:rFonts w:ascii="Times New Roman" w:hAnsi="Times New Roman" w:cs="Times New Roman"/>
          <w:sz w:val="24"/>
          <w:szCs w:val="24"/>
        </w:rPr>
        <w:t xml:space="preserve">g of </w:t>
      </w:r>
      <w:r w:rsidRPr="00EB2576">
        <w:rPr>
          <w:rFonts w:ascii="Times New Roman" w:eastAsia="Times New Roman" w:hAnsi="Times New Roman" w:cs="Times New Roman"/>
          <w:sz w:val="24"/>
          <w:szCs w:val="24"/>
          <w:lang w:val="en-US" w:eastAsia="en-GB"/>
        </w:rPr>
        <w:t xml:space="preserve">pNIBS1 </w:t>
      </w:r>
      <w:r w:rsidRPr="00EB2576">
        <w:rPr>
          <w:rFonts w:ascii="Times New Roman" w:hAnsi="Times New Roman" w:cs="Times New Roman"/>
          <w:kern w:val="24"/>
          <w:sz w:val="24"/>
          <w:szCs w:val="24"/>
          <w:lang w:eastAsia="en-GB"/>
        </w:rPr>
        <w:t xml:space="preserve">was digested with 2 </w:t>
      </w:r>
      <w:r w:rsidR="0051239F"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(40 units) of </w:t>
      </w:r>
      <w:proofErr w:type="spellStart"/>
      <w:r w:rsidRPr="00EB2576">
        <w:rPr>
          <w:rFonts w:ascii="Times New Roman" w:hAnsi="Times New Roman" w:cs="Times New Roman"/>
          <w:i/>
          <w:kern w:val="24"/>
          <w:sz w:val="24"/>
          <w:szCs w:val="24"/>
          <w:lang w:eastAsia="en-GB"/>
        </w:rPr>
        <w:t>SmaI</w:t>
      </w:r>
      <w:proofErr w:type="spellEnd"/>
      <w:r w:rsidRPr="00EB2576">
        <w:rPr>
          <w:rFonts w:ascii="Times New Roman" w:hAnsi="Times New Roman" w:cs="Times New Roman"/>
          <w:i/>
          <w:kern w:val="24"/>
          <w:sz w:val="24"/>
          <w:szCs w:val="24"/>
          <w:lang w:eastAsia="en-GB"/>
        </w:rPr>
        <w:t xml:space="preserve"> </w:t>
      </w:r>
      <w:r w:rsidRPr="00EB2576">
        <w:rPr>
          <w:rFonts w:ascii="Times New Roman" w:hAnsi="Times New Roman" w:cs="Times New Roman"/>
          <w:kern w:val="24"/>
          <w:sz w:val="24"/>
          <w:szCs w:val="24"/>
          <w:lang w:eastAsia="en-GB"/>
        </w:rPr>
        <w:t xml:space="preserve">(New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w:t>
      </w:r>
      <w:r w:rsidRPr="00EB2576">
        <w:rPr>
          <w:rFonts w:ascii="Times New Roman" w:hAnsi="Times New Roman" w:cs="Times New Roman"/>
          <w:sz w:val="24"/>
          <w:szCs w:val="24"/>
          <w:shd w:val="clear" w:color="auto" w:fill="FFFFFF"/>
        </w:rPr>
        <w:t xml:space="preserve"> Massachusetts, United States</w:t>
      </w:r>
      <w:r w:rsidRPr="00EB2576">
        <w:rPr>
          <w:rFonts w:ascii="Times New Roman" w:hAnsi="Times New Roman" w:cs="Times New Roman"/>
          <w:kern w:val="24"/>
          <w:sz w:val="24"/>
          <w:szCs w:val="24"/>
          <w:lang w:eastAsia="en-GB"/>
        </w:rPr>
        <w:t xml:space="preserve">) in an overall volume of 50 </w:t>
      </w:r>
      <w:r w:rsidR="0051239F"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including </w:t>
      </w:r>
      <w:proofErr w:type="spellStart"/>
      <w:r w:rsidRPr="00EB2576">
        <w:rPr>
          <w:rFonts w:ascii="Times New Roman" w:hAnsi="Times New Roman" w:cs="Times New Roman"/>
          <w:kern w:val="24"/>
          <w:sz w:val="24"/>
          <w:szCs w:val="24"/>
          <w:lang w:eastAsia="en-GB"/>
        </w:rPr>
        <w:t>Cutsmart</w:t>
      </w:r>
      <w:proofErr w:type="spellEnd"/>
      <w:r w:rsidRPr="00EB2576">
        <w:rPr>
          <w:rFonts w:ascii="Times New Roman" w:hAnsi="Times New Roman" w:cs="Times New Roman"/>
          <w:kern w:val="24"/>
          <w:sz w:val="24"/>
          <w:szCs w:val="24"/>
          <w:lang w:eastAsia="en-GB"/>
        </w:rPr>
        <w:t xml:space="preserve"> buffer and water. Four reactions were incubated for 1 hour at 25°c. </w:t>
      </w:r>
      <w:bookmarkStart w:id="194" w:name="_Hlk79677951"/>
    </w:p>
    <w:p w14:paraId="4507994E" w14:textId="484D59AA" w:rsidR="00D30BD3" w:rsidRPr="00EB2576" w:rsidRDefault="00D30BD3" w:rsidP="00D30BD3">
      <w:pPr>
        <w:spacing w:line="480" w:lineRule="auto"/>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 xml:space="preserve">Gel electrophoresis confirmed a linearised vector post blunt-end </w:t>
      </w:r>
      <w:proofErr w:type="spellStart"/>
      <w:r w:rsidRPr="00EB2576">
        <w:rPr>
          <w:rFonts w:ascii="Times New Roman" w:hAnsi="Times New Roman" w:cs="Times New Roman"/>
          <w:i/>
          <w:iCs/>
          <w:kern w:val="24"/>
          <w:sz w:val="24"/>
          <w:szCs w:val="24"/>
          <w:lang w:eastAsia="en-GB"/>
        </w:rPr>
        <w:t>SmaI</w:t>
      </w:r>
      <w:proofErr w:type="spellEnd"/>
      <w:r w:rsidRPr="00EB2576">
        <w:rPr>
          <w:rFonts w:ascii="Times New Roman" w:hAnsi="Times New Roman" w:cs="Times New Roman"/>
          <w:kern w:val="24"/>
          <w:sz w:val="24"/>
          <w:szCs w:val="24"/>
          <w:lang w:eastAsia="en-GB"/>
        </w:rPr>
        <w:t xml:space="preserve"> digestion</w:t>
      </w:r>
      <w:r w:rsidR="0051239F" w:rsidRPr="00EB2576">
        <w:rPr>
          <w:rFonts w:ascii="Times New Roman" w:hAnsi="Times New Roman" w:cs="Times New Roman"/>
          <w:kern w:val="24"/>
          <w:sz w:val="24"/>
          <w:szCs w:val="24"/>
          <w:lang w:eastAsia="en-GB"/>
        </w:rPr>
        <w:t xml:space="preserve"> (Figure </w:t>
      </w:r>
      <w:r w:rsidR="009108A7" w:rsidRPr="00EB2576">
        <w:rPr>
          <w:rFonts w:ascii="Times New Roman" w:hAnsi="Times New Roman" w:cs="Times New Roman"/>
          <w:kern w:val="24"/>
          <w:sz w:val="24"/>
          <w:szCs w:val="24"/>
          <w:lang w:eastAsia="en-GB"/>
        </w:rPr>
        <w:t>2</w:t>
      </w:r>
      <w:r w:rsidR="00203F7D" w:rsidRPr="00EB2576">
        <w:rPr>
          <w:rFonts w:ascii="Times New Roman" w:hAnsi="Times New Roman" w:cs="Times New Roman"/>
          <w:kern w:val="24"/>
          <w:sz w:val="24"/>
          <w:szCs w:val="24"/>
          <w:lang w:eastAsia="en-GB"/>
        </w:rPr>
        <w:t>3</w:t>
      </w:r>
      <w:r w:rsidR="0051239F"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lang w:eastAsia="en-GB"/>
        </w:rPr>
        <w:t xml:space="preserve">. Phagemid DNA was purified using Monarch plasmid miniprep kit (New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shd w:val="clear" w:color="auto" w:fill="FFFFFF"/>
        </w:rPr>
        <w:lastRenderedPageBreak/>
        <w:t>Massachusetts, United States</w:t>
      </w:r>
      <w:r w:rsidRPr="00EB2576">
        <w:rPr>
          <w:rFonts w:ascii="Times New Roman" w:hAnsi="Times New Roman" w:cs="Times New Roman"/>
          <w:kern w:val="24"/>
          <w:sz w:val="24"/>
          <w:szCs w:val="24"/>
          <w:lang w:eastAsia="en-GB"/>
        </w:rPr>
        <w:t xml:space="preserve">). DNA was diluted at a ratio of 1:5 with binding buffer, sample loaded onto column in a collection tube and centrifuged for 1 minute. Flow through discarded </w:t>
      </w:r>
      <w:bookmarkEnd w:id="193"/>
      <w:r w:rsidRPr="00EB2576">
        <w:rPr>
          <w:rFonts w:ascii="Times New Roman" w:hAnsi="Times New Roman" w:cs="Times New Roman"/>
          <w:kern w:val="24"/>
          <w:sz w:val="24"/>
          <w:szCs w:val="24"/>
          <w:lang w:eastAsia="en-GB"/>
        </w:rPr>
        <w:t xml:space="preserve">and 200 </w:t>
      </w:r>
      <w:r w:rsidR="00E6274A"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of wash buffer added and centrifuged twice. </w:t>
      </w:r>
      <w:r w:rsidR="00B00227" w:rsidRPr="00EB2576">
        <w:rPr>
          <w:rFonts w:ascii="Times New Roman" w:hAnsi="Times New Roman" w:cs="Times New Roman"/>
          <w:kern w:val="24"/>
          <w:sz w:val="24"/>
          <w:szCs w:val="24"/>
          <w:lang w:eastAsia="en-GB"/>
        </w:rPr>
        <w:t>The c</w:t>
      </w:r>
      <w:r w:rsidRPr="00EB2576">
        <w:rPr>
          <w:rFonts w:ascii="Times New Roman" w:hAnsi="Times New Roman" w:cs="Times New Roman"/>
          <w:kern w:val="24"/>
          <w:sz w:val="24"/>
          <w:szCs w:val="24"/>
          <w:lang w:eastAsia="en-GB"/>
        </w:rPr>
        <w:t>olumn</w:t>
      </w:r>
      <w:r w:rsidR="00145904" w:rsidRPr="00EB2576">
        <w:rPr>
          <w:rFonts w:ascii="Times New Roman" w:hAnsi="Times New Roman" w:cs="Times New Roman"/>
          <w:kern w:val="24"/>
          <w:sz w:val="24"/>
          <w:szCs w:val="24"/>
          <w:lang w:eastAsia="en-GB"/>
        </w:rPr>
        <w:t xml:space="preserve"> </w:t>
      </w:r>
      <w:r w:rsidR="00B00227" w:rsidRPr="00EB2576">
        <w:rPr>
          <w:rFonts w:ascii="Times New Roman" w:hAnsi="Times New Roman" w:cs="Times New Roman"/>
          <w:kern w:val="24"/>
          <w:sz w:val="24"/>
          <w:szCs w:val="24"/>
          <w:lang w:eastAsia="en-GB"/>
        </w:rPr>
        <w:t xml:space="preserve">was </w:t>
      </w:r>
      <w:r w:rsidRPr="00EB2576">
        <w:rPr>
          <w:rFonts w:ascii="Times New Roman" w:hAnsi="Times New Roman" w:cs="Times New Roman"/>
          <w:kern w:val="24"/>
          <w:sz w:val="24"/>
          <w:szCs w:val="24"/>
          <w:lang w:eastAsia="en-GB"/>
        </w:rPr>
        <w:t xml:space="preserve">transferred to a clean </w:t>
      </w:r>
      <w:r w:rsidR="005A3B6F" w:rsidRPr="00EB2576">
        <w:rPr>
          <w:rFonts w:ascii="Times New Roman" w:hAnsi="Times New Roman" w:cs="Times New Roman"/>
          <w:kern w:val="24"/>
          <w:sz w:val="24"/>
          <w:szCs w:val="24"/>
          <w:lang w:eastAsia="en-GB"/>
        </w:rPr>
        <w:t xml:space="preserve">collection </w:t>
      </w:r>
      <w:r w:rsidRPr="00EB2576">
        <w:rPr>
          <w:rFonts w:ascii="Times New Roman" w:hAnsi="Times New Roman" w:cs="Times New Roman"/>
          <w:kern w:val="24"/>
          <w:sz w:val="24"/>
          <w:szCs w:val="24"/>
          <w:lang w:eastAsia="en-GB"/>
        </w:rPr>
        <w:t xml:space="preserve">tube and centrifuged again. 15 </w:t>
      </w:r>
      <w:r w:rsidR="00B00227"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of elution buffer was added </w:t>
      </w:r>
      <w:r w:rsidR="005A3B6F" w:rsidRPr="00EB2576">
        <w:rPr>
          <w:rFonts w:ascii="Times New Roman" w:hAnsi="Times New Roman" w:cs="Times New Roman"/>
          <w:kern w:val="24"/>
          <w:sz w:val="24"/>
          <w:szCs w:val="24"/>
          <w:lang w:eastAsia="en-GB"/>
        </w:rPr>
        <w:t xml:space="preserve">to the column </w:t>
      </w:r>
      <w:r w:rsidRPr="00EB2576">
        <w:rPr>
          <w:rFonts w:ascii="Times New Roman" w:hAnsi="Times New Roman" w:cs="Times New Roman"/>
          <w:kern w:val="24"/>
          <w:sz w:val="24"/>
          <w:szCs w:val="24"/>
          <w:lang w:eastAsia="en-GB"/>
        </w:rPr>
        <w:t>and left to stand for 1 minute and then centrifuged. 9</w:t>
      </w:r>
      <w:r w:rsidR="004D2505" w:rsidRPr="00EB2576">
        <w:rPr>
          <w:rFonts w:ascii="Times New Roman" w:hAnsi="Times New Roman" w:cs="Times New Roman"/>
          <w:kern w:val="24"/>
          <w:sz w:val="24"/>
          <w:szCs w:val="24"/>
          <w:lang w:eastAsia="en-GB"/>
        </w:rPr>
        <w:t xml:space="preserve"> </w:t>
      </w:r>
      <w:r w:rsidR="005A3B6F" w:rsidRPr="00EB2576">
        <w:rPr>
          <w:rFonts w:ascii="Times New Roman" w:hAnsi="Times New Roman" w:cs="Times New Roman"/>
          <w:kern w:val="24"/>
          <w:sz w:val="24"/>
          <w:szCs w:val="24"/>
          <w:lang w:eastAsia="en-GB"/>
        </w:rPr>
        <w:t>µ</w:t>
      </w:r>
      <w:r w:rsidR="00344D11" w:rsidRPr="00EB2576">
        <w:rPr>
          <w:rFonts w:ascii="Times New Roman" w:hAnsi="Times New Roman" w:cs="Times New Roman"/>
          <w:kern w:val="24"/>
          <w:sz w:val="24"/>
          <w:szCs w:val="24"/>
          <w:lang w:eastAsia="en-GB"/>
        </w:rPr>
        <w:t>g</w:t>
      </w:r>
      <w:r w:rsidRPr="00EB2576">
        <w:rPr>
          <w:rFonts w:ascii="Times New Roman" w:hAnsi="Times New Roman" w:cs="Times New Roman"/>
          <w:kern w:val="24"/>
          <w:sz w:val="24"/>
          <w:szCs w:val="24"/>
          <w:lang w:eastAsia="en-GB"/>
        </w:rPr>
        <w:t xml:space="preserve"> of phagemid DNA was eluted. Phagemid DNA was dephosphorylated using Antarctic Phosphatase </w:t>
      </w:r>
      <w:bookmarkStart w:id="195" w:name="_Hlk67157406"/>
      <w:r w:rsidRPr="00EB2576">
        <w:rPr>
          <w:rFonts w:ascii="Times New Roman" w:hAnsi="Times New Roman" w:cs="Times New Roman"/>
          <w:kern w:val="24"/>
          <w:sz w:val="24"/>
          <w:szCs w:val="24"/>
          <w:lang w:eastAsia="en-GB"/>
        </w:rPr>
        <w:t xml:space="preserve">(New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shd w:val="clear" w:color="auto" w:fill="FFFFFF"/>
        </w:rPr>
        <w:t>Massachusetts, United States</w:t>
      </w:r>
      <w:bookmarkEnd w:id="195"/>
      <w:r w:rsidRPr="00EB2576">
        <w:rPr>
          <w:rFonts w:ascii="Times New Roman" w:hAnsi="Times New Roman" w:cs="Times New Roman"/>
          <w:kern w:val="24"/>
          <w:sz w:val="24"/>
          <w:szCs w:val="24"/>
          <w:lang w:eastAsia="en-GB"/>
        </w:rPr>
        <w:t xml:space="preserve">), a heat labile phosphatase. 1 </w:t>
      </w:r>
      <w:proofErr w:type="spellStart"/>
      <w:r w:rsidRPr="00EB2576">
        <w:rPr>
          <w:rFonts w:ascii="Times New Roman" w:hAnsi="Times New Roman" w:cs="Times New Roman"/>
          <w:kern w:val="24"/>
          <w:sz w:val="24"/>
          <w:szCs w:val="24"/>
          <w:lang w:eastAsia="en-GB"/>
        </w:rPr>
        <w:t>pmol</w:t>
      </w:r>
      <w:proofErr w:type="spellEnd"/>
      <w:r w:rsidRPr="00EB2576">
        <w:rPr>
          <w:rFonts w:ascii="Times New Roman" w:hAnsi="Times New Roman" w:cs="Times New Roman"/>
          <w:kern w:val="24"/>
          <w:sz w:val="24"/>
          <w:szCs w:val="24"/>
          <w:lang w:eastAsia="en-GB"/>
        </w:rPr>
        <w:t xml:space="preserve"> of DNA ends</w:t>
      </w:r>
      <w:r w:rsidR="0091301E" w:rsidRPr="00EB2576">
        <w:rPr>
          <w:rFonts w:ascii="Times New Roman" w:hAnsi="Times New Roman" w:cs="Times New Roman"/>
          <w:kern w:val="24"/>
          <w:sz w:val="24"/>
          <w:szCs w:val="24"/>
          <w:lang w:eastAsia="en-GB"/>
        </w:rPr>
        <w:t xml:space="preserve"> (</w:t>
      </w:r>
      <w:r w:rsidR="006C71D8" w:rsidRPr="00EB2576">
        <w:rPr>
          <w:rFonts w:ascii="Times New Roman" w:hAnsi="Times New Roman" w:cs="Times New Roman"/>
          <w:kern w:val="24"/>
          <w:sz w:val="24"/>
          <w:szCs w:val="24"/>
          <w:lang w:eastAsia="en-GB"/>
        </w:rPr>
        <w:t>calculated based on the size of the vector</w:t>
      </w:r>
      <w:r w:rsidR="00ED3285" w:rsidRPr="00EB2576">
        <w:rPr>
          <w:rFonts w:ascii="Times New Roman" w:hAnsi="Times New Roman" w:cs="Times New Roman"/>
          <w:kern w:val="24"/>
          <w:sz w:val="24"/>
          <w:szCs w:val="24"/>
          <w:lang w:eastAsia="en-GB"/>
        </w:rPr>
        <w:t xml:space="preserve"> using</w:t>
      </w:r>
      <w:r w:rsidR="00ED3285" w:rsidRPr="00EB2576">
        <w:t xml:space="preserve"> </w:t>
      </w:r>
      <w:r w:rsidR="00ED3285" w:rsidRPr="00EB2576">
        <w:rPr>
          <w:rFonts w:ascii="Times New Roman" w:hAnsi="Times New Roman" w:cs="Times New Roman"/>
          <w:kern w:val="24"/>
          <w:sz w:val="24"/>
          <w:szCs w:val="24"/>
          <w:lang w:eastAsia="en-GB"/>
        </w:rPr>
        <w:t>https://nebiocalculator.neb.com/#!/dsdnaends</w:t>
      </w:r>
      <w:r w:rsidR="006C71D8"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lang w:eastAsia="en-GB"/>
        </w:rPr>
        <w:t xml:space="preserve"> was combined with 5 </w:t>
      </w:r>
      <w:r w:rsidR="00434521"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(2 units) of Antar</w:t>
      </w:r>
      <w:r w:rsidR="00A41B6D" w:rsidRPr="00EB2576">
        <w:rPr>
          <w:rFonts w:ascii="Times New Roman" w:hAnsi="Times New Roman" w:cs="Times New Roman"/>
          <w:kern w:val="24"/>
          <w:sz w:val="24"/>
          <w:szCs w:val="24"/>
          <w:lang w:eastAsia="en-GB"/>
        </w:rPr>
        <w:t>c</w:t>
      </w:r>
      <w:r w:rsidRPr="00EB2576">
        <w:rPr>
          <w:rFonts w:ascii="Times New Roman" w:hAnsi="Times New Roman" w:cs="Times New Roman"/>
          <w:kern w:val="24"/>
          <w:sz w:val="24"/>
          <w:szCs w:val="24"/>
          <w:lang w:eastAsia="en-GB"/>
        </w:rPr>
        <w:t xml:space="preserve">tic Phosphatase, reaction buffer and ultrapure </w:t>
      </w:r>
      <w:r w:rsidR="00893723" w:rsidRPr="00EB2576">
        <w:rPr>
          <w:rFonts w:ascii="Times New Roman" w:hAnsi="Times New Roman" w:cs="Times New Roman"/>
          <w:kern w:val="24"/>
          <w:sz w:val="24"/>
          <w:szCs w:val="24"/>
          <w:lang w:eastAsia="en-GB"/>
        </w:rPr>
        <w:t>H20</w:t>
      </w:r>
      <w:r w:rsidRPr="00EB2576">
        <w:rPr>
          <w:rFonts w:ascii="Times New Roman" w:hAnsi="Times New Roman" w:cs="Times New Roman"/>
          <w:kern w:val="24"/>
          <w:sz w:val="24"/>
          <w:szCs w:val="24"/>
          <w:lang w:eastAsia="en-GB"/>
        </w:rPr>
        <w:t xml:space="preserve"> to an overall volume of 20 </w:t>
      </w:r>
      <w:r w:rsidR="00434521"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L for 30 minutes at 37°</w:t>
      </w:r>
      <w:r w:rsidR="007041C7" w:rsidRPr="00EB2576">
        <w:rPr>
          <w:rFonts w:ascii="Times New Roman" w:hAnsi="Times New Roman" w:cs="Times New Roman"/>
          <w:kern w:val="24"/>
          <w:sz w:val="24"/>
          <w:szCs w:val="24"/>
          <w:lang w:eastAsia="en-GB"/>
        </w:rPr>
        <w:t>C</w:t>
      </w:r>
      <w:r w:rsidRPr="00EB2576">
        <w:rPr>
          <w:rFonts w:ascii="Times New Roman" w:hAnsi="Times New Roman" w:cs="Times New Roman"/>
          <w:kern w:val="24"/>
          <w:sz w:val="24"/>
          <w:szCs w:val="24"/>
          <w:lang w:eastAsia="en-GB"/>
        </w:rPr>
        <w:t xml:space="preserve"> and then heat deactivated for 2 minutes at 80°C.</w:t>
      </w:r>
    </w:p>
    <w:p w14:paraId="15DB59D6" w14:textId="77777777" w:rsidR="002E2CAB" w:rsidRPr="00EB2576" w:rsidRDefault="002E2CAB" w:rsidP="00D30BD3">
      <w:pPr>
        <w:spacing w:line="480" w:lineRule="auto"/>
        <w:rPr>
          <w:rFonts w:ascii="Times New Roman" w:hAnsi="Times New Roman" w:cs="Times New Roman"/>
          <w:kern w:val="24"/>
          <w:sz w:val="24"/>
          <w:szCs w:val="24"/>
          <w:lang w:eastAsia="en-GB"/>
        </w:rPr>
      </w:pPr>
    </w:p>
    <w:p w14:paraId="7509A446" w14:textId="77777777" w:rsidR="0032784E" w:rsidRPr="00EB2576" w:rsidRDefault="00B31791" w:rsidP="0032784E">
      <w:pPr>
        <w:keepNext/>
        <w:spacing w:line="480" w:lineRule="auto"/>
      </w:pPr>
      <w:r w:rsidRPr="00EB2576">
        <w:rPr>
          <w:noProof/>
        </w:rPr>
        <w:lastRenderedPageBreak/>
        <w:drawing>
          <wp:inline distT="0" distB="0" distL="0" distR="0" wp14:anchorId="1B8B09C5" wp14:editId="058E054B">
            <wp:extent cx="4846123" cy="5143500"/>
            <wp:effectExtent l="0" t="0" r="0" b="0"/>
            <wp:docPr id="195" name="Content Placeholder 3" descr="Graphical user interface&#10;&#10;Description automatically generated with low confidence">
              <a:extLst xmlns:a="http://schemas.openxmlformats.org/drawingml/2006/main">
                <a:ext uri="{FF2B5EF4-FFF2-40B4-BE49-F238E27FC236}">
                  <a16:creationId xmlns:a16="http://schemas.microsoft.com/office/drawing/2014/main" id="{27C0590C-56DB-4120-9090-0C6F9218674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5" name="Content Placeholder 3" descr="Graphical user interface&#10;&#10;Description automatically generated with low confidence">
                      <a:extLst>
                        <a:ext uri="{FF2B5EF4-FFF2-40B4-BE49-F238E27FC236}">
                          <a16:creationId xmlns:a16="http://schemas.microsoft.com/office/drawing/2014/main" id="{27C0590C-56DB-4120-9090-0C6F9218674B}"/>
                        </a:ext>
                      </a:extLst>
                    </pic:cNvPr>
                    <pic:cNvPicPr>
                      <a:picLocks noGrp="1" noChangeAspect="1"/>
                    </pic:cNvPicPr>
                  </pic:nvPicPr>
                  <pic:blipFill rotWithShape="1">
                    <a:blip r:embed="rId46"/>
                    <a:srcRect l="45974" t="12322" r="32726" b="47488"/>
                    <a:stretch/>
                  </pic:blipFill>
                  <pic:spPr bwMode="auto">
                    <a:xfrm>
                      <a:off x="0" y="0"/>
                      <a:ext cx="4853302" cy="5151119"/>
                    </a:xfrm>
                    <a:prstGeom prst="rect">
                      <a:avLst/>
                    </a:prstGeom>
                    <a:ln>
                      <a:noFill/>
                    </a:ln>
                    <a:extLst>
                      <a:ext uri="{53640926-AAD7-44D8-BBD7-CCE9431645EC}">
                        <a14:shadowObscured xmlns:a14="http://schemas.microsoft.com/office/drawing/2010/main"/>
                      </a:ext>
                    </a:extLst>
                  </pic:spPr>
                </pic:pic>
              </a:graphicData>
            </a:graphic>
          </wp:inline>
        </w:drawing>
      </w:r>
    </w:p>
    <w:p w14:paraId="3909A13D" w14:textId="1AA13820" w:rsidR="0032784E" w:rsidRPr="00EB2576" w:rsidRDefault="0032784E" w:rsidP="002E2CAB">
      <w:pPr>
        <w:keepNext/>
        <w:spacing w:line="240" w:lineRule="auto"/>
      </w:pPr>
      <w:bookmarkStart w:id="196" w:name="_Toc139397320"/>
      <w:bookmarkStart w:id="197" w:name="_Toc151020667"/>
      <w:r w:rsidRPr="00EB2576">
        <w:rPr>
          <w:rFonts w:ascii="Times New Roman" w:hAnsi="Times New Roman" w:cs="Times New Roman"/>
          <w:b/>
          <w:bCs/>
          <w:sz w:val="24"/>
          <w:szCs w:val="24"/>
        </w:rPr>
        <w:t xml:space="preserve">Figure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Figure \* ARABIC </w:instrText>
      </w:r>
      <w:r w:rsidRPr="00EB2576">
        <w:rPr>
          <w:rFonts w:ascii="Times New Roman" w:hAnsi="Times New Roman" w:cs="Times New Roman"/>
          <w:b/>
          <w:bCs/>
          <w:sz w:val="24"/>
          <w:szCs w:val="24"/>
        </w:rPr>
        <w:fldChar w:fldCharType="separate"/>
      </w:r>
      <w:r w:rsidR="00192EAE" w:rsidRPr="00EB2576">
        <w:rPr>
          <w:rFonts w:ascii="Times New Roman" w:hAnsi="Times New Roman" w:cs="Times New Roman"/>
          <w:b/>
          <w:bCs/>
          <w:noProof/>
          <w:sz w:val="24"/>
          <w:szCs w:val="24"/>
        </w:rPr>
        <w:t>22</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Diagrammatic representation of a pNIBS-1 phagemid vector.</w:t>
      </w:r>
      <w:bookmarkEnd w:id="196"/>
      <w:bookmarkEnd w:id="197"/>
    </w:p>
    <w:p w14:paraId="5E12706B" w14:textId="3FD873C1" w:rsidR="002060F3" w:rsidRPr="00EB2576" w:rsidRDefault="0081107A" w:rsidP="002E2CAB">
      <w:pPr>
        <w:spacing w:line="240" w:lineRule="auto"/>
        <w:rPr>
          <w:rFonts w:ascii="Times New Roman" w:hAnsi="Times New Roman" w:cs="Times New Roman"/>
          <w:b/>
          <w:bCs/>
          <w:sz w:val="24"/>
          <w:szCs w:val="24"/>
        </w:rPr>
      </w:pPr>
      <w:r w:rsidRPr="00EB2576">
        <w:rPr>
          <w:rFonts w:ascii="Times New Roman" w:hAnsi="Times New Roman" w:cs="Times New Roman"/>
          <w:sz w:val="24"/>
          <w:szCs w:val="24"/>
        </w:rPr>
        <w:t xml:space="preserve">The pNIBS-1 phagemid vector comprises of 4516 base pairs. </w:t>
      </w:r>
      <w:r w:rsidR="00B31791" w:rsidRPr="00EB2576">
        <w:rPr>
          <w:rFonts w:ascii="Times New Roman" w:hAnsi="Times New Roman" w:cs="Times New Roman"/>
          <w:sz w:val="24"/>
          <w:szCs w:val="24"/>
        </w:rPr>
        <w:t>Important c</w:t>
      </w:r>
      <w:r w:rsidR="00952169" w:rsidRPr="00EB2576">
        <w:rPr>
          <w:rFonts w:ascii="Times New Roman" w:hAnsi="Times New Roman" w:cs="Times New Roman"/>
          <w:sz w:val="24"/>
          <w:szCs w:val="24"/>
        </w:rPr>
        <w:t>omponents of the phagemid vector</w:t>
      </w:r>
      <w:r w:rsidRPr="00EB2576">
        <w:rPr>
          <w:rFonts w:ascii="Times New Roman" w:hAnsi="Times New Roman" w:cs="Times New Roman"/>
          <w:sz w:val="24"/>
          <w:szCs w:val="24"/>
        </w:rPr>
        <w:t xml:space="preserve"> includes</w:t>
      </w:r>
      <w:r w:rsidR="00B31791" w:rsidRPr="00EB2576">
        <w:rPr>
          <w:rFonts w:ascii="Times New Roman" w:hAnsi="Times New Roman" w:cs="Times New Roman"/>
          <w:sz w:val="24"/>
          <w:szCs w:val="24"/>
        </w:rPr>
        <w:t>: pBR322</w:t>
      </w:r>
      <w:r w:rsidRPr="00EB2576">
        <w:rPr>
          <w:rFonts w:ascii="Times New Roman" w:hAnsi="Times New Roman" w:cs="Times New Roman"/>
          <w:sz w:val="24"/>
          <w:szCs w:val="24"/>
        </w:rPr>
        <w:t xml:space="preserve"> </w:t>
      </w:r>
      <w:r w:rsidR="00952169" w:rsidRPr="00EB2576">
        <w:rPr>
          <w:rFonts w:ascii="Times New Roman" w:hAnsi="Times New Roman" w:cs="Times New Roman"/>
          <w:sz w:val="24"/>
          <w:szCs w:val="24"/>
        </w:rPr>
        <w:t xml:space="preserve">origin of replication for a plasmid, </w:t>
      </w:r>
      <w:r w:rsidR="007E46DA" w:rsidRPr="00EB2576">
        <w:rPr>
          <w:rFonts w:ascii="Times New Roman" w:hAnsi="Times New Roman" w:cs="Times New Roman"/>
          <w:sz w:val="24"/>
          <w:szCs w:val="24"/>
        </w:rPr>
        <w:t xml:space="preserve">f1 origin of replication for the filamentous phage, </w:t>
      </w:r>
      <w:r w:rsidR="00952169" w:rsidRPr="00EB2576">
        <w:rPr>
          <w:rFonts w:ascii="Times New Roman" w:hAnsi="Times New Roman" w:cs="Times New Roman"/>
          <w:sz w:val="24"/>
          <w:szCs w:val="24"/>
        </w:rPr>
        <w:t>genetic markers (</w:t>
      </w:r>
      <w:proofErr w:type="spellStart"/>
      <w:r w:rsidR="00952169" w:rsidRPr="00EB2576">
        <w:rPr>
          <w:rFonts w:ascii="Times New Roman" w:hAnsi="Times New Roman" w:cs="Times New Roman"/>
          <w:sz w:val="24"/>
          <w:szCs w:val="24"/>
        </w:rPr>
        <w:t>AmpR</w:t>
      </w:r>
      <w:proofErr w:type="spellEnd"/>
      <w:r w:rsidR="00952169" w:rsidRPr="00EB2576">
        <w:rPr>
          <w:rFonts w:ascii="Times New Roman" w:hAnsi="Times New Roman" w:cs="Times New Roman"/>
          <w:sz w:val="24"/>
          <w:szCs w:val="24"/>
        </w:rPr>
        <w:t xml:space="preserve">: ampicillin resistance gene and LacZ: gene for β-galactosidase, </w:t>
      </w:r>
      <w:r w:rsidR="00117EB6" w:rsidRPr="00EB2576">
        <w:rPr>
          <w:rFonts w:ascii="Times New Roman" w:hAnsi="Times New Roman" w:cs="Times New Roman"/>
          <w:sz w:val="24"/>
          <w:szCs w:val="24"/>
        </w:rPr>
        <w:t xml:space="preserve">which </w:t>
      </w:r>
      <w:r w:rsidR="00952169" w:rsidRPr="00EB2576">
        <w:rPr>
          <w:rFonts w:ascii="Times New Roman" w:hAnsi="Times New Roman" w:cs="Times New Roman"/>
          <w:sz w:val="24"/>
          <w:szCs w:val="24"/>
        </w:rPr>
        <w:t xml:space="preserve">allows bacterial cells to transport and metabolise lactose), </w:t>
      </w:r>
      <w:proofErr w:type="spellStart"/>
      <w:r w:rsidR="007E46DA" w:rsidRPr="00EB2576">
        <w:rPr>
          <w:rFonts w:ascii="Times New Roman" w:hAnsi="Times New Roman" w:cs="Times New Roman"/>
          <w:sz w:val="24"/>
          <w:szCs w:val="24"/>
        </w:rPr>
        <w:t>PelB</w:t>
      </w:r>
      <w:proofErr w:type="spellEnd"/>
      <w:r w:rsidR="007E46DA" w:rsidRPr="00EB2576">
        <w:rPr>
          <w:rFonts w:ascii="Times New Roman" w:hAnsi="Times New Roman" w:cs="Times New Roman"/>
          <w:sz w:val="24"/>
          <w:szCs w:val="24"/>
        </w:rPr>
        <w:t xml:space="preserve"> </w:t>
      </w:r>
      <w:r w:rsidR="00952169" w:rsidRPr="00EB2576">
        <w:rPr>
          <w:rFonts w:ascii="Times New Roman" w:hAnsi="Times New Roman" w:cs="Times New Roman"/>
          <w:sz w:val="24"/>
          <w:szCs w:val="24"/>
        </w:rPr>
        <w:t>signal sequence (</w:t>
      </w:r>
      <w:r w:rsidR="00117EB6" w:rsidRPr="00EB2576">
        <w:rPr>
          <w:rFonts w:ascii="Times New Roman" w:hAnsi="Times New Roman" w:cs="Times New Roman"/>
          <w:sz w:val="24"/>
          <w:szCs w:val="24"/>
        </w:rPr>
        <w:t xml:space="preserve">which </w:t>
      </w:r>
      <w:r w:rsidR="00952169" w:rsidRPr="00EB2576">
        <w:rPr>
          <w:rFonts w:ascii="Times New Roman" w:hAnsi="Times New Roman" w:cs="Times New Roman"/>
          <w:sz w:val="24"/>
          <w:szCs w:val="24"/>
        </w:rPr>
        <w:t>direct</w:t>
      </w:r>
      <w:r w:rsidR="007E46DA" w:rsidRPr="00EB2576">
        <w:rPr>
          <w:rFonts w:ascii="Times New Roman" w:hAnsi="Times New Roman" w:cs="Times New Roman"/>
          <w:sz w:val="24"/>
          <w:szCs w:val="24"/>
        </w:rPr>
        <w:t>s the</w:t>
      </w:r>
      <w:r w:rsidR="00952169" w:rsidRPr="00EB2576">
        <w:rPr>
          <w:rFonts w:ascii="Times New Roman" w:hAnsi="Times New Roman" w:cs="Times New Roman"/>
          <w:sz w:val="24"/>
          <w:szCs w:val="24"/>
        </w:rPr>
        <w:t xml:space="preserve"> p</w:t>
      </w:r>
      <w:r w:rsidR="00117EB6" w:rsidRPr="00EB2576">
        <w:rPr>
          <w:rFonts w:ascii="Times New Roman" w:hAnsi="Times New Roman" w:cs="Times New Roman"/>
          <w:sz w:val="24"/>
          <w:szCs w:val="24"/>
        </w:rPr>
        <w:t>eptide of interest</w:t>
      </w:r>
      <w:r w:rsidR="00952169" w:rsidRPr="00EB2576">
        <w:rPr>
          <w:rFonts w:ascii="Times New Roman" w:hAnsi="Times New Roman" w:cs="Times New Roman"/>
          <w:sz w:val="24"/>
          <w:szCs w:val="24"/>
        </w:rPr>
        <w:t xml:space="preserve"> to secretory pathways), phage coat protein (</w:t>
      </w:r>
      <w:proofErr w:type="spellStart"/>
      <w:r w:rsidR="00952169" w:rsidRPr="00EB2576">
        <w:rPr>
          <w:rFonts w:ascii="Times New Roman" w:hAnsi="Times New Roman" w:cs="Times New Roman"/>
          <w:sz w:val="24"/>
          <w:szCs w:val="24"/>
        </w:rPr>
        <w:t>GeneIII</w:t>
      </w:r>
      <w:proofErr w:type="spellEnd"/>
      <w:r w:rsidR="00952169" w:rsidRPr="00EB2576">
        <w:rPr>
          <w:rFonts w:ascii="Times New Roman" w:hAnsi="Times New Roman" w:cs="Times New Roman"/>
          <w:sz w:val="24"/>
          <w:szCs w:val="24"/>
        </w:rPr>
        <w:t>)</w:t>
      </w:r>
      <w:r w:rsidR="00A850FF" w:rsidRPr="00EB2576">
        <w:rPr>
          <w:rFonts w:ascii="Times New Roman" w:hAnsi="Times New Roman" w:cs="Times New Roman"/>
          <w:sz w:val="24"/>
          <w:szCs w:val="24"/>
        </w:rPr>
        <w:t xml:space="preserve"> for </w:t>
      </w:r>
      <w:r w:rsidR="007E46DA" w:rsidRPr="00EB2576">
        <w:rPr>
          <w:rFonts w:ascii="Times New Roman" w:hAnsi="Times New Roman" w:cs="Times New Roman"/>
          <w:sz w:val="24"/>
          <w:szCs w:val="24"/>
        </w:rPr>
        <w:t>fus</w:t>
      </w:r>
      <w:r w:rsidR="00955219" w:rsidRPr="00EB2576">
        <w:rPr>
          <w:rFonts w:ascii="Times New Roman" w:hAnsi="Times New Roman" w:cs="Times New Roman"/>
          <w:sz w:val="24"/>
          <w:szCs w:val="24"/>
        </w:rPr>
        <w:t>ion</w:t>
      </w:r>
      <w:r w:rsidR="007E46DA" w:rsidRPr="00EB2576">
        <w:rPr>
          <w:rFonts w:ascii="Times New Roman" w:hAnsi="Times New Roman" w:cs="Times New Roman"/>
          <w:sz w:val="24"/>
          <w:szCs w:val="24"/>
        </w:rPr>
        <w:t xml:space="preserve"> </w:t>
      </w:r>
      <w:r w:rsidR="00955219" w:rsidRPr="00EB2576">
        <w:rPr>
          <w:rFonts w:ascii="Times New Roman" w:hAnsi="Times New Roman" w:cs="Times New Roman"/>
          <w:sz w:val="24"/>
          <w:szCs w:val="24"/>
        </w:rPr>
        <w:t>of</w:t>
      </w:r>
      <w:r w:rsidR="007E46DA" w:rsidRPr="00EB2576">
        <w:rPr>
          <w:rFonts w:ascii="Times New Roman" w:hAnsi="Times New Roman" w:cs="Times New Roman"/>
          <w:sz w:val="24"/>
          <w:szCs w:val="24"/>
        </w:rPr>
        <w:t xml:space="preserve"> the </w:t>
      </w:r>
      <w:r w:rsidR="00952169" w:rsidRPr="00EB2576">
        <w:rPr>
          <w:rFonts w:ascii="Times New Roman" w:hAnsi="Times New Roman" w:cs="Times New Roman"/>
          <w:sz w:val="24"/>
          <w:szCs w:val="24"/>
        </w:rPr>
        <w:t xml:space="preserve">gene fragment of interest, intergenic region, molecular tags (HIS, </w:t>
      </w:r>
      <w:proofErr w:type="spellStart"/>
      <w:r w:rsidR="00952169" w:rsidRPr="00EB2576">
        <w:rPr>
          <w:rFonts w:ascii="Times New Roman" w:hAnsi="Times New Roman" w:cs="Times New Roman"/>
          <w:sz w:val="24"/>
          <w:szCs w:val="24"/>
        </w:rPr>
        <w:t>cMyc</w:t>
      </w:r>
      <w:proofErr w:type="spellEnd"/>
      <w:r w:rsidR="00952169" w:rsidRPr="00EB2576">
        <w:rPr>
          <w:rFonts w:ascii="Times New Roman" w:hAnsi="Times New Roman" w:cs="Times New Roman"/>
          <w:sz w:val="24"/>
          <w:szCs w:val="24"/>
        </w:rPr>
        <w:t xml:space="preserve">) and the amber stop codon TAG. </w:t>
      </w:r>
      <w:r w:rsidR="00955219" w:rsidRPr="00EB2576">
        <w:rPr>
          <w:rFonts w:ascii="Times New Roman" w:hAnsi="Times New Roman" w:cs="Times New Roman"/>
          <w:sz w:val="24"/>
          <w:szCs w:val="24"/>
        </w:rPr>
        <w:t>Additional annotations are the recognised sites of restriction enzymes.</w:t>
      </w:r>
    </w:p>
    <w:p w14:paraId="4DB34457" w14:textId="77777777" w:rsidR="00B759B2" w:rsidRPr="00EB2576" w:rsidRDefault="002F5227" w:rsidP="00B759B2">
      <w:pPr>
        <w:keepNext/>
        <w:spacing w:line="480" w:lineRule="auto"/>
      </w:pPr>
      <w:r w:rsidRPr="00EB2576">
        <w:rPr>
          <w:rFonts w:ascii="Times New Roman" w:hAnsi="Times New Roman" w:cs="Times New Roman"/>
          <w:noProof/>
          <w:kern w:val="24"/>
          <w:sz w:val="24"/>
          <w:szCs w:val="24"/>
          <w:lang w:eastAsia="en-GB"/>
        </w:rPr>
        <w:lastRenderedPageBreak/>
        <w:drawing>
          <wp:inline distT="0" distB="0" distL="0" distR="0" wp14:anchorId="2D202CF2" wp14:editId="50E4FE62">
            <wp:extent cx="4288726" cy="37211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l="5624" t="15001" r="41256" b="3055"/>
                    <a:stretch/>
                  </pic:blipFill>
                  <pic:spPr bwMode="auto">
                    <a:xfrm>
                      <a:off x="0" y="0"/>
                      <a:ext cx="4295218" cy="3726733"/>
                    </a:xfrm>
                    <a:prstGeom prst="rect">
                      <a:avLst/>
                    </a:prstGeom>
                    <a:noFill/>
                    <a:ln>
                      <a:noFill/>
                    </a:ln>
                    <a:extLst>
                      <a:ext uri="{53640926-AAD7-44D8-BBD7-CCE9431645EC}">
                        <a14:shadowObscured xmlns:a14="http://schemas.microsoft.com/office/drawing/2010/main"/>
                      </a:ext>
                    </a:extLst>
                  </pic:spPr>
                </pic:pic>
              </a:graphicData>
            </a:graphic>
          </wp:inline>
        </w:drawing>
      </w:r>
    </w:p>
    <w:p w14:paraId="4F47342E" w14:textId="53CAFA42" w:rsidR="002060F3" w:rsidRPr="00EB2576" w:rsidRDefault="00B759B2" w:rsidP="002E2CAB">
      <w:pPr>
        <w:pStyle w:val="NormalWeb"/>
        <w:spacing w:before="0" w:beforeAutospacing="0" w:after="0" w:afterAutospacing="0"/>
        <w:ind w:left="357" w:hanging="357"/>
        <w:rPr>
          <w:b/>
          <w:bCs/>
          <w:kern w:val="24"/>
        </w:rPr>
      </w:pPr>
      <w:bookmarkStart w:id="198" w:name="_Toc139397321"/>
      <w:bookmarkStart w:id="199" w:name="_Toc151020668"/>
      <w:r w:rsidRPr="00EB2576">
        <w:rPr>
          <w:b/>
          <w:bCs/>
        </w:rPr>
        <w:t xml:space="preserve">Figure </w:t>
      </w:r>
      <w:r w:rsidRPr="00EB2576">
        <w:rPr>
          <w:b/>
          <w:bCs/>
        </w:rPr>
        <w:fldChar w:fldCharType="begin"/>
      </w:r>
      <w:r w:rsidRPr="00EB2576">
        <w:rPr>
          <w:b/>
          <w:bCs/>
        </w:rPr>
        <w:instrText xml:space="preserve"> SEQ Figure \* ARABIC </w:instrText>
      </w:r>
      <w:r w:rsidRPr="00EB2576">
        <w:rPr>
          <w:b/>
          <w:bCs/>
        </w:rPr>
        <w:fldChar w:fldCharType="separate"/>
      </w:r>
      <w:r w:rsidR="00192EAE" w:rsidRPr="00EB2576">
        <w:rPr>
          <w:b/>
          <w:bCs/>
          <w:noProof/>
        </w:rPr>
        <w:t>23</w:t>
      </w:r>
      <w:r w:rsidRPr="00EB2576">
        <w:rPr>
          <w:b/>
          <w:bCs/>
        </w:rPr>
        <w:fldChar w:fldCharType="end"/>
      </w:r>
      <w:r w:rsidRPr="00EB2576">
        <w:rPr>
          <w:b/>
          <w:bCs/>
          <w:kern w:val="24"/>
        </w:rPr>
        <w:t xml:space="preserve">. </w:t>
      </w:r>
      <w:r w:rsidRPr="00EB2576">
        <w:rPr>
          <w:b/>
          <w:bCs/>
          <w:shd w:val="clear" w:color="auto" w:fill="FFFFFF"/>
        </w:rPr>
        <w:t xml:space="preserve">Gel electrophoresis </w:t>
      </w:r>
      <w:r w:rsidRPr="00EB2576">
        <w:rPr>
          <w:b/>
          <w:bCs/>
          <w:kern w:val="24"/>
        </w:rPr>
        <w:t xml:space="preserve">of pNIBS-1 phagemid vector after </w:t>
      </w:r>
      <w:proofErr w:type="spellStart"/>
      <w:r w:rsidRPr="00EB2576">
        <w:rPr>
          <w:b/>
          <w:bCs/>
          <w:kern w:val="24"/>
        </w:rPr>
        <w:t>SmaI</w:t>
      </w:r>
      <w:proofErr w:type="spellEnd"/>
      <w:r w:rsidRPr="00EB2576">
        <w:rPr>
          <w:b/>
          <w:bCs/>
          <w:kern w:val="24"/>
        </w:rPr>
        <w:t xml:space="preserve"> digestion.</w:t>
      </w:r>
      <w:bookmarkEnd w:id="198"/>
      <w:bookmarkEnd w:id="199"/>
      <w:r w:rsidRPr="00EB2576">
        <w:rPr>
          <w:b/>
          <w:bCs/>
          <w:kern w:val="24"/>
        </w:rPr>
        <w:t xml:space="preserve"> </w:t>
      </w:r>
    </w:p>
    <w:p w14:paraId="6880D622" w14:textId="77777777" w:rsidR="009C44A4" w:rsidRPr="00EB2576" w:rsidRDefault="00FB229A" w:rsidP="002E2CAB">
      <w:pPr>
        <w:pStyle w:val="NormalWeb"/>
        <w:spacing w:before="0" w:beforeAutospacing="0" w:after="0" w:afterAutospacing="0"/>
        <w:ind w:left="357" w:hanging="357"/>
        <w:rPr>
          <w:rFonts w:eastAsiaTheme="minorEastAsia"/>
          <w:kern w:val="24"/>
        </w:rPr>
      </w:pPr>
      <w:r w:rsidRPr="00EB2576">
        <w:rPr>
          <w:rFonts w:eastAsiaTheme="minorEastAsia"/>
          <w:kern w:val="24"/>
        </w:rPr>
        <w:t>Lane</w:t>
      </w:r>
      <w:r w:rsidR="00F95087" w:rsidRPr="00EB2576">
        <w:rPr>
          <w:rFonts w:eastAsiaTheme="minorEastAsia"/>
          <w:kern w:val="24"/>
        </w:rPr>
        <w:t xml:space="preserve"> 1</w:t>
      </w:r>
      <w:r w:rsidR="00EB5BD8" w:rsidRPr="00EB2576">
        <w:rPr>
          <w:rFonts w:eastAsiaTheme="minorEastAsia"/>
          <w:kern w:val="24"/>
        </w:rPr>
        <w:t xml:space="preserve"> is 1 kb </w:t>
      </w:r>
      <w:proofErr w:type="spellStart"/>
      <w:r w:rsidR="00EB5BD8" w:rsidRPr="00EB2576">
        <w:rPr>
          <w:rFonts w:eastAsiaTheme="minorEastAsia"/>
          <w:kern w:val="24"/>
        </w:rPr>
        <w:t>Bioline</w:t>
      </w:r>
      <w:proofErr w:type="spellEnd"/>
      <w:r w:rsidR="00EB5BD8" w:rsidRPr="00EB2576">
        <w:rPr>
          <w:rFonts w:eastAsiaTheme="minorEastAsia"/>
          <w:kern w:val="24"/>
        </w:rPr>
        <w:t xml:space="preserve"> DNA ladder, lane 2</w:t>
      </w:r>
      <w:r w:rsidR="00F95087" w:rsidRPr="00EB2576">
        <w:rPr>
          <w:rFonts w:eastAsiaTheme="minorEastAsia"/>
          <w:kern w:val="24"/>
        </w:rPr>
        <w:t xml:space="preserve"> shows </w:t>
      </w:r>
      <w:proofErr w:type="spellStart"/>
      <w:r w:rsidR="00D737A8" w:rsidRPr="00EB2576">
        <w:rPr>
          <w:rFonts w:eastAsiaTheme="minorEastAsia"/>
          <w:kern w:val="24"/>
        </w:rPr>
        <w:t>SmaI</w:t>
      </w:r>
      <w:proofErr w:type="spellEnd"/>
      <w:r w:rsidR="00D737A8" w:rsidRPr="00EB2576">
        <w:rPr>
          <w:rFonts w:eastAsiaTheme="minorEastAsia"/>
          <w:kern w:val="24"/>
        </w:rPr>
        <w:t xml:space="preserve"> digest</w:t>
      </w:r>
      <w:r w:rsidR="00EB5BD8" w:rsidRPr="00EB2576">
        <w:rPr>
          <w:rFonts w:eastAsiaTheme="minorEastAsia"/>
          <w:kern w:val="24"/>
        </w:rPr>
        <w:t>ed</w:t>
      </w:r>
      <w:r w:rsidR="00D737A8" w:rsidRPr="00EB2576">
        <w:rPr>
          <w:rFonts w:eastAsiaTheme="minorEastAsia"/>
          <w:kern w:val="24"/>
        </w:rPr>
        <w:t xml:space="preserve"> linearized </w:t>
      </w:r>
      <w:r w:rsidR="00EB5BD8" w:rsidRPr="00EB2576">
        <w:rPr>
          <w:rFonts w:eastAsiaTheme="minorEastAsia"/>
          <w:kern w:val="24"/>
        </w:rPr>
        <w:t xml:space="preserve">pNIBS-1 </w:t>
      </w:r>
      <w:r w:rsidR="00D737A8" w:rsidRPr="00EB2576">
        <w:rPr>
          <w:rFonts w:eastAsiaTheme="minorEastAsia"/>
          <w:kern w:val="24"/>
        </w:rPr>
        <w:t xml:space="preserve">vector </w:t>
      </w:r>
      <w:r w:rsidR="00EB5BD8" w:rsidRPr="00EB2576">
        <w:rPr>
          <w:rFonts w:eastAsiaTheme="minorEastAsia"/>
          <w:kern w:val="24"/>
        </w:rPr>
        <w:t>of</w:t>
      </w:r>
      <w:r w:rsidR="009C44A4" w:rsidRPr="00EB2576">
        <w:rPr>
          <w:rFonts w:eastAsiaTheme="minorEastAsia"/>
          <w:kern w:val="24"/>
        </w:rPr>
        <w:t xml:space="preserve">     </w:t>
      </w:r>
    </w:p>
    <w:p w14:paraId="79E522E0" w14:textId="6D18B912" w:rsidR="002060F3" w:rsidRPr="00EB2576" w:rsidRDefault="00EB5BD8" w:rsidP="002E2CAB">
      <w:pPr>
        <w:pStyle w:val="NormalWeb"/>
        <w:spacing w:before="0" w:beforeAutospacing="0" w:after="0" w:afterAutospacing="0"/>
        <w:ind w:left="357" w:hanging="357"/>
        <w:rPr>
          <w:rFonts w:eastAsiaTheme="minorEastAsia"/>
          <w:kern w:val="24"/>
        </w:rPr>
      </w:pPr>
      <w:r w:rsidRPr="00EB2576">
        <w:rPr>
          <w:rFonts w:eastAsiaTheme="minorEastAsia"/>
          <w:kern w:val="24"/>
        </w:rPr>
        <w:t>4</w:t>
      </w:r>
      <w:r w:rsidR="00516EB1" w:rsidRPr="00EB2576">
        <w:rPr>
          <w:rFonts w:eastAsiaTheme="minorEastAsia"/>
          <w:kern w:val="24"/>
        </w:rPr>
        <w:t>516 base pairs and lane 4 the same vector pre-</w:t>
      </w:r>
      <w:proofErr w:type="spellStart"/>
      <w:r w:rsidR="00516EB1" w:rsidRPr="00EB2576">
        <w:rPr>
          <w:rFonts w:eastAsiaTheme="minorEastAsia"/>
          <w:kern w:val="24"/>
        </w:rPr>
        <w:t>SmaI</w:t>
      </w:r>
      <w:proofErr w:type="spellEnd"/>
      <w:r w:rsidR="00516EB1" w:rsidRPr="00EB2576">
        <w:rPr>
          <w:rFonts w:eastAsiaTheme="minorEastAsia"/>
          <w:kern w:val="24"/>
        </w:rPr>
        <w:t xml:space="preserve"> digestion.</w:t>
      </w:r>
    </w:p>
    <w:p w14:paraId="740E5658" w14:textId="5FE93F2D" w:rsidR="009C44A4" w:rsidRPr="00EB2576" w:rsidRDefault="009C44A4" w:rsidP="002E2CAB">
      <w:pPr>
        <w:pStyle w:val="NormalWeb"/>
        <w:spacing w:before="0" w:beforeAutospacing="0" w:after="0" w:afterAutospacing="0"/>
        <w:ind w:left="357" w:hanging="357"/>
        <w:rPr>
          <w:i/>
          <w:iCs/>
        </w:rPr>
      </w:pPr>
      <w:r w:rsidRPr="00EB2576">
        <w:rPr>
          <w:i/>
          <w:iCs/>
          <w:kern w:val="24"/>
        </w:rPr>
        <w:t>(bp: base pairs)</w:t>
      </w:r>
    </w:p>
    <w:p w14:paraId="1714F052" w14:textId="2F062E7C" w:rsidR="002060F3" w:rsidRPr="00EB2576" w:rsidRDefault="002060F3" w:rsidP="00D30BD3">
      <w:pPr>
        <w:spacing w:line="480" w:lineRule="auto"/>
        <w:rPr>
          <w:rFonts w:ascii="Times New Roman" w:hAnsi="Times New Roman" w:cs="Times New Roman"/>
          <w:kern w:val="24"/>
          <w:sz w:val="24"/>
          <w:szCs w:val="24"/>
          <w:lang w:eastAsia="en-GB"/>
        </w:rPr>
      </w:pPr>
    </w:p>
    <w:p w14:paraId="1B321E85" w14:textId="6CC99521" w:rsidR="00B706A3" w:rsidRPr="00EB2576" w:rsidRDefault="00B706A3" w:rsidP="00D30BD3">
      <w:pPr>
        <w:spacing w:line="480" w:lineRule="auto"/>
        <w:rPr>
          <w:rFonts w:ascii="Times New Roman" w:hAnsi="Times New Roman" w:cs="Times New Roman"/>
          <w:kern w:val="24"/>
          <w:sz w:val="24"/>
          <w:szCs w:val="24"/>
          <w:lang w:eastAsia="en-GB"/>
        </w:rPr>
      </w:pPr>
    </w:p>
    <w:p w14:paraId="0C6AF167" w14:textId="7DBBAACC" w:rsidR="00B706A3" w:rsidRPr="00EB2576" w:rsidRDefault="00B706A3" w:rsidP="00D30BD3">
      <w:pPr>
        <w:spacing w:line="480" w:lineRule="auto"/>
        <w:rPr>
          <w:rFonts w:ascii="Times New Roman" w:hAnsi="Times New Roman" w:cs="Times New Roman"/>
          <w:kern w:val="24"/>
          <w:sz w:val="24"/>
          <w:szCs w:val="24"/>
          <w:lang w:eastAsia="en-GB"/>
        </w:rPr>
      </w:pPr>
    </w:p>
    <w:p w14:paraId="23943EA9" w14:textId="09349843" w:rsidR="00B706A3" w:rsidRPr="00EB2576" w:rsidRDefault="00B706A3" w:rsidP="00D30BD3">
      <w:pPr>
        <w:spacing w:line="480" w:lineRule="auto"/>
        <w:rPr>
          <w:rFonts w:ascii="Times New Roman" w:hAnsi="Times New Roman" w:cs="Times New Roman"/>
          <w:kern w:val="24"/>
          <w:sz w:val="24"/>
          <w:szCs w:val="24"/>
          <w:lang w:eastAsia="en-GB"/>
        </w:rPr>
      </w:pPr>
    </w:p>
    <w:p w14:paraId="55B93FF5" w14:textId="77777777" w:rsidR="009C44A4" w:rsidRPr="00EB2576" w:rsidRDefault="009C44A4" w:rsidP="00D30BD3">
      <w:pPr>
        <w:spacing w:line="480" w:lineRule="auto"/>
        <w:rPr>
          <w:rFonts w:ascii="Times New Roman" w:hAnsi="Times New Roman" w:cs="Times New Roman"/>
          <w:kern w:val="24"/>
          <w:sz w:val="24"/>
          <w:szCs w:val="24"/>
          <w:lang w:eastAsia="en-GB"/>
        </w:rPr>
      </w:pPr>
    </w:p>
    <w:p w14:paraId="333FC33A" w14:textId="77777777" w:rsidR="00241286" w:rsidRPr="00EB2576" w:rsidRDefault="00241286" w:rsidP="00D30BD3">
      <w:pPr>
        <w:spacing w:line="480" w:lineRule="auto"/>
        <w:rPr>
          <w:rFonts w:ascii="Times New Roman" w:hAnsi="Times New Roman" w:cs="Times New Roman"/>
          <w:kern w:val="24"/>
          <w:sz w:val="24"/>
          <w:szCs w:val="24"/>
          <w:lang w:eastAsia="en-GB"/>
        </w:rPr>
      </w:pPr>
    </w:p>
    <w:p w14:paraId="2AD21247" w14:textId="77777777" w:rsidR="002E2CAB" w:rsidRPr="00EB2576" w:rsidRDefault="002E2CAB" w:rsidP="00D30BD3">
      <w:pPr>
        <w:spacing w:line="480" w:lineRule="auto"/>
        <w:rPr>
          <w:rFonts w:ascii="Times New Roman" w:hAnsi="Times New Roman" w:cs="Times New Roman"/>
          <w:kern w:val="24"/>
          <w:sz w:val="24"/>
          <w:szCs w:val="24"/>
          <w:lang w:eastAsia="en-GB"/>
        </w:rPr>
      </w:pPr>
    </w:p>
    <w:p w14:paraId="016368D4" w14:textId="77777777" w:rsidR="002E2CAB" w:rsidRPr="00EB2576" w:rsidRDefault="002E2CAB" w:rsidP="00D30BD3">
      <w:pPr>
        <w:spacing w:line="480" w:lineRule="auto"/>
        <w:rPr>
          <w:rFonts w:ascii="Times New Roman" w:hAnsi="Times New Roman" w:cs="Times New Roman"/>
          <w:kern w:val="24"/>
          <w:sz w:val="24"/>
          <w:szCs w:val="24"/>
          <w:lang w:eastAsia="en-GB"/>
        </w:rPr>
      </w:pPr>
    </w:p>
    <w:p w14:paraId="4F9111D6" w14:textId="2F7911FE" w:rsidR="00D30BD3" w:rsidRPr="00EB2576" w:rsidRDefault="00780B3F" w:rsidP="00D30BD3">
      <w:pPr>
        <w:pStyle w:val="Heading3"/>
        <w:spacing w:line="480" w:lineRule="auto"/>
        <w:rPr>
          <w:rFonts w:ascii="Times New Roman" w:hAnsi="Times New Roman" w:cs="Times New Roman"/>
          <w:b/>
          <w:bCs/>
          <w:lang w:eastAsia="en-GB"/>
        </w:rPr>
      </w:pPr>
      <w:bookmarkStart w:id="200" w:name="_Hlk67161855"/>
      <w:bookmarkStart w:id="201" w:name="_Toc151020512"/>
      <w:bookmarkEnd w:id="194"/>
      <w:r w:rsidRPr="00EB2576">
        <w:rPr>
          <w:rFonts w:ascii="Times New Roman" w:hAnsi="Times New Roman" w:cs="Times New Roman"/>
          <w:b/>
          <w:bCs/>
          <w:lang w:eastAsia="en-GB"/>
        </w:rPr>
        <w:lastRenderedPageBreak/>
        <w:t>4</w:t>
      </w:r>
      <w:r w:rsidR="00D30BD3" w:rsidRPr="00EB2576">
        <w:rPr>
          <w:rFonts w:ascii="Times New Roman" w:hAnsi="Times New Roman" w:cs="Times New Roman"/>
          <w:b/>
          <w:bCs/>
          <w:lang w:eastAsia="en-GB"/>
        </w:rPr>
        <w:t>.2.5 Construction of infliximab Fab gene fragment library</w:t>
      </w:r>
      <w:bookmarkEnd w:id="200"/>
      <w:bookmarkEnd w:id="201"/>
    </w:p>
    <w:p w14:paraId="4979A318" w14:textId="32BA7681" w:rsidR="00CB4D1B" w:rsidRPr="00EB2576" w:rsidRDefault="00D30BD3" w:rsidP="008F56EB">
      <w:pPr>
        <w:spacing w:line="480" w:lineRule="auto"/>
        <w:rPr>
          <w:rFonts w:ascii="Times New Roman" w:hAnsi="Times New Roman" w:cs="Times New Roman"/>
          <w:sz w:val="24"/>
          <w:szCs w:val="24"/>
        </w:rPr>
      </w:pPr>
      <w:r w:rsidRPr="00EB2576">
        <w:rPr>
          <w:rFonts w:ascii="Times New Roman" w:hAnsi="Times New Roman" w:cs="Times New Roman"/>
          <w:kern w:val="24"/>
          <w:sz w:val="24"/>
          <w:szCs w:val="24"/>
          <w:lang w:eastAsia="en-GB"/>
        </w:rPr>
        <w:t xml:space="preserve">Test ligations assessed different condition for efficient </w:t>
      </w:r>
      <w:r w:rsidR="00E81054" w:rsidRPr="00EB2576">
        <w:rPr>
          <w:rFonts w:ascii="Times New Roman" w:hAnsi="Times New Roman" w:cs="Times New Roman"/>
          <w:kern w:val="24"/>
          <w:sz w:val="24"/>
          <w:szCs w:val="24"/>
          <w:lang w:eastAsia="en-GB"/>
        </w:rPr>
        <w:t>ligation</w:t>
      </w:r>
      <w:r w:rsidRPr="00EB2576">
        <w:rPr>
          <w:rFonts w:ascii="Times New Roman" w:hAnsi="Times New Roman" w:cs="Times New Roman"/>
          <w:kern w:val="24"/>
          <w:sz w:val="24"/>
          <w:szCs w:val="24"/>
          <w:lang w:eastAsia="en-GB"/>
        </w:rPr>
        <w:t xml:space="preserve"> using 1) dephosphorylated digested vector 2) dephosphorylated digested vector and </w:t>
      </w:r>
      <w:proofErr w:type="spellStart"/>
      <w:r w:rsidRPr="00EB2576">
        <w:rPr>
          <w:rFonts w:ascii="Times New Roman" w:hAnsi="Times New Roman" w:cs="Times New Roman"/>
          <w:kern w:val="24"/>
          <w:sz w:val="24"/>
          <w:szCs w:val="24"/>
          <w:lang w:eastAsia="en-GB"/>
        </w:rPr>
        <w:t>SrfI</w:t>
      </w:r>
      <w:proofErr w:type="spellEnd"/>
      <w:r w:rsidRPr="00EB2576">
        <w:rPr>
          <w:rFonts w:ascii="Times New Roman" w:hAnsi="Times New Roman" w:cs="Times New Roman"/>
          <w:kern w:val="24"/>
          <w:sz w:val="24"/>
          <w:szCs w:val="24"/>
          <w:lang w:eastAsia="en-GB"/>
        </w:rPr>
        <w:t xml:space="preserve"> restriction enzyme and 3) different </w:t>
      </w:r>
      <w:proofErr w:type="spellStart"/>
      <w:r w:rsidRPr="00EB2576">
        <w:rPr>
          <w:rFonts w:ascii="Times New Roman" w:hAnsi="Times New Roman" w:cs="Times New Roman"/>
          <w:kern w:val="24"/>
          <w:sz w:val="24"/>
          <w:szCs w:val="24"/>
          <w:lang w:eastAsia="en-GB"/>
        </w:rPr>
        <w:t>vector:insert</w:t>
      </w:r>
      <w:proofErr w:type="spellEnd"/>
      <w:r w:rsidRPr="00EB2576">
        <w:rPr>
          <w:rFonts w:ascii="Times New Roman" w:hAnsi="Times New Roman" w:cs="Times New Roman"/>
          <w:kern w:val="24"/>
          <w:sz w:val="24"/>
          <w:szCs w:val="24"/>
          <w:lang w:eastAsia="en-GB"/>
        </w:rPr>
        <w:t xml:space="preserve"> ratios. Using 20 </w:t>
      </w:r>
      <w:r w:rsidR="000A0E03"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volumes, the digested vector was combined with infliximab fragments, T4 buffer, T4 ligase (New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shd w:val="clear" w:color="auto" w:fill="FFFFFF"/>
        </w:rPr>
        <w:t>Ipswich, Massachusetts, United States)</w:t>
      </w:r>
      <w:r w:rsidRPr="00EB2576">
        <w:rPr>
          <w:rFonts w:ascii="Times New Roman" w:hAnsi="Times New Roman" w:cs="Times New Roman"/>
          <w:kern w:val="24"/>
          <w:sz w:val="24"/>
          <w:szCs w:val="24"/>
          <w:lang w:eastAsia="en-GB"/>
        </w:rPr>
        <w:t xml:space="preserve"> +/- </w:t>
      </w:r>
      <w:proofErr w:type="spellStart"/>
      <w:r w:rsidRPr="00EB2576">
        <w:rPr>
          <w:rFonts w:ascii="Times New Roman" w:hAnsi="Times New Roman" w:cs="Times New Roman"/>
          <w:kern w:val="24"/>
          <w:sz w:val="24"/>
          <w:szCs w:val="24"/>
          <w:lang w:eastAsia="en-GB"/>
        </w:rPr>
        <w:t>SrfI</w:t>
      </w:r>
      <w:proofErr w:type="spellEnd"/>
      <w:r w:rsidRPr="00EB2576">
        <w:rPr>
          <w:rFonts w:ascii="Times New Roman" w:hAnsi="Times New Roman" w:cs="Times New Roman"/>
          <w:kern w:val="24"/>
          <w:sz w:val="24"/>
          <w:szCs w:val="24"/>
          <w:lang w:eastAsia="en-GB"/>
        </w:rPr>
        <w:t xml:space="preserve"> (Agilent Technologies, California, United States). A control of digested dephosphorylated vector only with no infliximab fragments was used to assess for self-ligation. The ligation </w:t>
      </w:r>
      <w:r w:rsidR="006A191E" w:rsidRPr="00EB2576">
        <w:rPr>
          <w:rFonts w:ascii="Times New Roman" w:hAnsi="Times New Roman" w:cs="Times New Roman"/>
          <w:kern w:val="24"/>
          <w:sz w:val="24"/>
          <w:szCs w:val="24"/>
          <w:lang w:eastAsia="en-GB"/>
        </w:rPr>
        <w:t>reagents</w:t>
      </w:r>
      <w:r w:rsidRPr="00EB2576">
        <w:rPr>
          <w:rFonts w:ascii="Times New Roman" w:hAnsi="Times New Roman" w:cs="Times New Roman"/>
          <w:kern w:val="24"/>
          <w:sz w:val="24"/>
          <w:szCs w:val="24"/>
          <w:lang w:eastAsia="en-GB"/>
        </w:rPr>
        <w:t xml:space="preserve"> were incubated for 16 hours at 16 °c and deactivated </w:t>
      </w:r>
      <w:r w:rsidR="00033F63" w:rsidRPr="00EB2576">
        <w:rPr>
          <w:rFonts w:ascii="Times New Roman" w:hAnsi="Times New Roman" w:cs="Times New Roman"/>
          <w:kern w:val="24"/>
          <w:sz w:val="24"/>
          <w:szCs w:val="24"/>
          <w:lang w:eastAsia="en-GB"/>
        </w:rPr>
        <w:t>by further incubation at</w:t>
      </w:r>
      <w:r w:rsidRPr="00EB2576">
        <w:rPr>
          <w:rFonts w:ascii="Times New Roman" w:hAnsi="Times New Roman" w:cs="Times New Roman"/>
          <w:kern w:val="24"/>
          <w:sz w:val="24"/>
          <w:szCs w:val="24"/>
          <w:lang w:eastAsia="en-GB"/>
        </w:rPr>
        <w:t xml:space="preserve"> 10 minutes at 65°</w:t>
      </w:r>
      <w:r w:rsidR="00033F63" w:rsidRPr="00EB2576">
        <w:rPr>
          <w:rFonts w:ascii="Times New Roman" w:hAnsi="Times New Roman" w:cs="Times New Roman"/>
          <w:kern w:val="24"/>
          <w:sz w:val="24"/>
          <w:szCs w:val="24"/>
          <w:lang w:eastAsia="en-GB"/>
        </w:rPr>
        <w:t>C</w:t>
      </w:r>
      <w:r w:rsidRPr="00EB2576">
        <w:rPr>
          <w:rFonts w:ascii="Times New Roman" w:hAnsi="Times New Roman" w:cs="Times New Roman"/>
          <w:kern w:val="24"/>
          <w:sz w:val="24"/>
          <w:szCs w:val="24"/>
          <w:lang w:eastAsia="en-GB"/>
        </w:rPr>
        <w:t xml:space="preserve">. The ligated </w:t>
      </w:r>
      <w:r w:rsidR="006A191E" w:rsidRPr="00EB2576">
        <w:rPr>
          <w:rFonts w:ascii="Times New Roman" w:hAnsi="Times New Roman" w:cs="Times New Roman"/>
          <w:kern w:val="24"/>
          <w:sz w:val="24"/>
          <w:szCs w:val="24"/>
          <w:lang w:eastAsia="en-GB"/>
        </w:rPr>
        <w:t>rea</w:t>
      </w:r>
      <w:r w:rsidR="00383043" w:rsidRPr="00EB2576">
        <w:rPr>
          <w:rFonts w:ascii="Times New Roman" w:hAnsi="Times New Roman" w:cs="Times New Roman"/>
          <w:kern w:val="24"/>
          <w:sz w:val="24"/>
          <w:szCs w:val="24"/>
          <w:lang w:eastAsia="en-GB"/>
        </w:rPr>
        <w:t xml:space="preserve">ctions </w:t>
      </w:r>
      <w:r w:rsidRPr="00EB2576">
        <w:rPr>
          <w:rFonts w:ascii="Times New Roman" w:hAnsi="Times New Roman" w:cs="Times New Roman"/>
          <w:kern w:val="24"/>
          <w:sz w:val="24"/>
          <w:szCs w:val="24"/>
          <w:lang w:eastAsia="en-GB"/>
        </w:rPr>
        <w:t>w</w:t>
      </w:r>
      <w:r w:rsidR="00295856" w:rsidRPr="00EB2576">
        <w:rPr>
          <w:rFonts w:ascii="Times New Roman" w:hAnsi="Times New Roman" w:cs="Times New Roman"/>
          <w:kern w:val="24"/>
          <w:sz w:val="24"/>
          <w:szCs w:val="24"/>
          <w:lang w:eastAsia="en-GB"/>
        </w:rPr>
        <w:t>ere</w:t>
      </w:r>
      <w:r w:rsidRPr="00EB2576">
        <w:rPr>
          <w:rFonts w:ascii="Times New Roman" w:hAnsi="Times New Roman" w:cs="Times New Roman"/>
          <w:kern w:val="24"/>
          <w:sz w:val="24"/>
          <w:szCs w:val="24"/>
          <w:lang w:eastAsia="en-GB"/>
        </w:rPr>
        <w:t xml:space="preserve"> purified </w:t>
      </w:r>
      <w:r w:rsidR="008A07C1"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lang w:eastAsia="en-GB"/>
        </w:rPr>
        <w:t>Monarch PCR and DNA clean up kit</w:t>
      </w:r>
      <w:r w:rsidR="008A07C1"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lang w:eastAsia="en-GB"/>
        </w:rPr>
        <w:t xml:space="preserve"> New England </w:t>
      </w:r>
      <w:proofErr w:type="spellStart"/>
      <w:r w:rsidRPr="00EB2576">
        <w:rPr>
          <w:rFonts w:ascii="Times New Roman" w:hAnsi="Times New Roman" w:cs="Times New Roman"/>
          <w:kern w:val="24"/>
          <w:sz w:val="24"/>
          <w:szCs w:val="24"/>
          <w:lang w:eastAsia="en-GB"/>
        </w:rPr>
        <w:t>BioLabs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shd w:val="clear" w:color="auto" w:fill="FFFFFF"/>
        </w:rPr>
        <w:t>Massachusetts, United States)</w:t>
      </w:r>
      <w:r w:rsidR="00CB4D1B" w:rsidRPr="00EB2576">
        <w:rPr>
          <w:rFonts w:ascii="Times New Roman" w:hAnsi="Times New Roman" w:cs="Times New Roman"/>
          <w:sz w:val="24"/>
          <w:szCs w:val="24"/>
          <w:shd w:val="clear" w:color="auto" w:fill="FFFFFF"/>
        </w:rPr>
        <w:t>.</w:t>
      </w:r>
      <w:r w:rsidRPr="00EB2576">
        <w:rPr>
          <w:rFonts w:ascii="Times New Roman" w:hAnsi="Times New Roman" w:cs="Times New Roman"/>
          <w:sz w:val="24"/>
          <w:szCs w:val="24"/>
          <w:shd w:val="clear" w:color="auto" w:fill="FFFFFF"/>
        </w:rPr>
        <w:t xml:space="preserve"> </w:t>
      </w:r>
      <w:r w:rsidR="00CB4D1B" w:rsidRPr="00EB2576">
        <w:rPr>
          <w:rFonts w:ascii="Times New Roman" w:hAnsi="Times New Roman" w:cs="Times New Roman"/>
          <w:sz w:val="24"/>
          <w:szCs w:val="24"/>
          <w:shd w:val="clear" w:color="auto" w:fill="FFFFFF"/>
        </w:rPr>
        <w:t>E</w:t>
      </w:r>
      <w:r w:rsidRPr="00EB2576">
        <w:rPr>
          <w:rFonts w:ascii="Times New Roman" w:hAnsi="Times New Roman" w:cs="Times New Roman"/>
          <w:sz w:val="24"/>
          <w:szCs w:val="24"/>
          <w:shd w:val="clear" w:color="auto" w:fill="FFFFFF"/>
        </w:rPr>
        <w:t>ach ligation</w:t>
      </w:r>
      <w:r w:rsidR="00C744BB" w:rsidRPr="00EB2576">
        <w:rPr>
          <w:rFonts w:ascii="Times New Roman" w:hAnsi="Times New Roman" w:cs="Times New Roman"/>
          <w:sz w:val="24"/>
          <w:szCs w:val="24"/>
          <w:shd w:val="clear" w:color="auto" w:fill="FFFFFF"/>
        </w:rPr>
        <w:t xml:space="preserve"> product</w:t>
      </w:r>
      <w:r w:rsidRPr="00EB2576">
        <w:rPr>
          <w:rFonts w:ascii="Times New Roman" w:hAnsi="Times New Roman" w:cs="Times New Roman"/>
          <w:sz w:val="24"/>
          <w:szCs w:val="24"/>
          <w:shd w:val="clear" w:color="auto" w:fill="FFFFFF"/>
        </w:rPr>
        <w:t xml:space="preserve"> </w:t>
      </w:r>
      <w:r w:rsidR="00CB4D1B" w:rsidRPr="00EB2576">
        <w:rPr>
          <w:rFonts w:ascii="Times New Roman" w:hAnsi="Times New Roman" w:cs="Times New Roman"/>
          <w:sz w:val="24"/>
          <w:szCs w:val="24"/>
          <w:shd w:val="clear" w:color="auto" w:fill="FFFFFF"/>
        </w:rPr>
        <w:t xml:space="preserve">was </w:t>
      </w:r>
      <w:r w:rsidRPr="00EB2576">
        <w:rPr>
          <w:rFonts w:ascii="Times New Roman" w:hAnsi="Times New Roman" w:cs="Times New Roman"/>
          <w:sz w:val="24"/>
          <w:szCs w:val="24"/>
          <w:shd w:val="clear" w:color="auto" w:fill="FFFFFF"/>
        </w:rPr>
        <w:t>eluted in 6</w:t>
      </w:r>
      <w:r w:rsidR="00383043" w:rsidRPr="00EB2576">
        <w:rPr>
          <w:rFonts w:ascii="Times New Roman" w:hAnsi="Times New Roman" w:cs="Times New Roman"/>
          <w:sz w:val="24"/>
          <w:szCs w:val="24"/>
          <w:shd w:val="clear" w:color="auto" w:fill="FFFFFF"/>
        </w:rPr>
        <w:t xml:space="preserve"> </w:t>
      </w:r>
      <w:r w:rsidR="00ED09FF" w:rsidRPr="00EB2576">
        <w:rPr>
          <w:rFonts w:ascii="Times New Roman" w:hAnsi="Times New Roman" w:cs="Times New Roman"/>
          <w:sz w:val="24"/>
          <w:szCs w:val="24"/>
          <w:shd w:val="clear" w:color="auto" w:fill="FFFFFF"/>
        </w:rPr>
        <w:t>µ</w:t>
      </w:r>
      <w:r w:rsidRPr="00EB2576">
        <w:rPr>
          <w:rFonts w:ascii="Times New Roman" w:hAnsi="Times New Roman" w:cs="Times New Roman"/>
          <w:sz w:val="24"/>
          <w:szCs w:val="24"/>
          <w:shd w:val="clear" w:color="auto" w:fill="FFFFFF"/>
        </w:rPr>
        <w:t>L buffer.</w:t>
      </w:r>
      <w:r w:rsidRPr="00EB2576">
        <w:rPr>
          <w:rFonts w:ascii="Times New Roman" w:hAnsi="Times New Roman" w:cs="Times New Roman"/>
          <w:sz w:val="24"/>
          <w:szCs w:val="24"/>
        </w:rPr>
        <w:t xml:space="preserve"> </w:t>
      </w:r>
    </w:p>
    <w:p w14:paraId="047ADDA9" w14:textId="77777777" w:rsidR="001A1CE4" w:rsidRPr="00EB2576" w:rsidRDefault="001A1CE4" w:rsidP="008F56EB">
      <w:pPr>
        <w:spacing w:line="480" w:lineRule="auto"/>
        <w:rPr>
          <w:rFonts w:ascii="Times New Roman" w:hAnsi="Times New Roman" w:cs="Times New Roman"/>
          <w:sz w:val="24"/>
          <w:szCs w:val="24"/>
        </w:rPr>
      </w:pPr>
    </w:p>
    <w:p w14:paraId="7CB73AEB" w14:textId="6A271A66" w:rsidR="00CB4D1B" w:rsidRPr="00EB2576" w:rsidRDefault="00A674B3" w:rsidP="008F56EB">
      <w:pPr>
        <w:spacing w:line="480" w:lineRule="auto"/>
        <w:rPr>
          <w:rFonts w:ascii="Times New Roman" w:hAnsi="Times New Roman" w:cs="Times New Roman"/>
          <w:i/>
          <w:iCs/>
          <w:sz w:val="24"/>
          <w:szCs w:val="24"/>
        </w:rPr>
      </w:pPr>
      <w:r w:rsidRPr="00EB2576">
        <w:rPr>
          <w:rFonts w:ascii="Times New Roman" w:hAnsi="Times New Roman" w:cs="Times New Roman"/>
          <w:i/>
          <w:iCs/>
          <w:sz w:val="24"/>
          <w:szCs w:val="24"/>
        </w:rPr>
        <w:t>Transformation of Escherichia</w:t>
      </w:r>
      <w:r w:rsidR="00F67981" w:rsidRPr="00EB2576">
        <w:rPr>
          <w:rFonts w:ascii="Times New Roman" w:hAnsi="Times New Roman" w:cs="Times New Roman"/>
          <w:i/>
          <w:iCs/>
          <w:sz w:val="24"/>
          <w:szCs w:val="24"/>
        </w:rPr>
        <w:t>.</w:t>
      </w:r>
      <w:r w:rsidRPr="00EB2576">
        <w:rPr>
          <w:rFonts w:ascii="Times New Roman" w:hAnsi="Times New Roman" w:cs="Times New Roman"/>
          <w:i/>
          <w:iCs/>
          <w:sz w:val="24"/>
          <w:szCs w:val="24"/>
        </w:rPr>
        <w:t xml:space="preserve"> </w:t>
      </w:r>
      <w:r w:rsidR="00E30810" w:rsidRPr="00EB2576">
        <w:rPr>
          <w:rFonts w:ascii="Times New Roman" w:hAnsi="Times New Roman" w:cs="Times New Roman"/>
          <w:i/>
          <w:iCs/>
          <w:sz w:val="24"/>
          <w:szCs w:val="24"/>
        </w:rPr>
        <w:t>c</w:t>
      </w:r>
      <w:r w:rsidRPr="00EB2576">
        <w:rPr>
          <w:rFonts w:ascii="Times New Roman" w:hAnsi="Times New Roman" w:cs="Times New Roman"/>
          <w:i/>
          <w:iCs/>
          <w:sz w:val="24"/>
          <w:szCs w:val="24"/>
        </w:rPr>
        <w:t>oli</w:t>
      </w:r>
      <w:r w:rsidR="00E30810" w:rsidRPr="00EB2576">
        <w:rPr>
          <w:rFonts w:ascii="Times New Roman" w:hAnsi="Times New Roman" w:cs="Times New Roman"/>
          <w:i/>
          <w:iCs/>
          <w:sz w:val="24"/>
          <w:szCs w:val="24"/>
        </w:rPr>
        <w:t xml:space="preserve"> (E. coli)</w:t>
      </w:r>
    </w:p>
    <w:p w14:paraId="5F538E43" w14:textId="3EAC2358" w:rsidR="00042636" w:rsidRPr="00EB2576" w:rsidRDefault="00D30BD3" w:rsidP="008F56EB">
      <w:pPr>
        <w:shd w:val="clear" w:color="auto" w:fill="FFFFFF"/>
        <w:spacing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 xml:space="preserve">The </w:t>
      </w:r>
      <w:r w:rsidR="006B5BB5" w:rsidRPr="00EB2576">
        <w:rPr>
          <w:rFonts w:ascii="Times New Roman" w:hAnsi="Times New Roman" w:cs="Times New Roman"/>
          <w:sz w:val="24"/>
          <w:szCs w:val="24"/>
        </w:rPr>
        <w:t xml:space="preserve">products of the </w:t>
      </w:r>
      <w:r w:rsidRPr="00EB2576">
        <w:rPr>
          <w:rFonts w:ascii="Times New Roman" w:hAnsi="Times New Roman" w:cs="Times New Roman"/>
          <w:sz w:val="24"/>
          <w:szCs w:val="24"/>
        </w:rPr>
        <w:t xml:space="preserve">ligation reactions were transformed into TG1 </w:t>
      </w:r>
      <w:r w:rsidR="0095297E" w:rsidRPr="00EB2576">
        <w:rPr>
          <w:rFonts w:ascii="Times New Roman" w:hAnsi="Times New Roman" w:cs="Times New Roman"/>
          <w:i/>
          <w:iCs/>
          <w:sz w:val="24"/>
          <w:szCs w:val="24"/>
        </w:rPr>
        <w:t>E</w:t>
      </w:r>
      <w:r w:rsidR="008A4462" w:rsidRPr="00EB2576">
        <w:rPr>
          <w:rFonts w:ascii="Times New Roman" w:hAnsi="Times New Roman" w:cs="Times New Roman"/>
          <w:i/>
          <w:iCs/>
          <w:sz w:val="24"/>
          <w:szCs w:val="24"/>
        </w:rPr>
        <w:t>.</w:t>
      </w:r>
      <w:r w:rsidR="00CB4D1B" w:rsidRPr="00EB2576">
        <w:rPr>
          <w:rFonts w:ascii="Times New Roman" w:hAnsi="Times New Roman" w:cs="Times New Roman"/>
          <w:i/>
          <w:iCs/>
          <w:sz w:val="24"/>
          <w:szCs w:val="24"/>
        </w:rPr>
        <w:t xml:space="preserve"> c</w:t>
      </w:r>
      <w:r w:rsidR="0095297E" w:rsidRPr="00EB2576">
        <w:rPr>
          <w:rFonts w:ascii="Times New Roman" w:hAnsi="Times New Roman" w:cs="Times New Roman"/>
          <w:i/>
          <w:iCs/>
          <w:sz w:val="24"/>
          <w:szCs w:val="24"/>
        </w:rPr>
        <w:t>oli</w:t>
      </w:r>
      <w:r w:rsidR="0095297E"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lang w:eastAsia="en-GB"/>
        </w:rPr>
        <w:t>(Agilent Technologies, California, United States)</w:t>
      </w:r>
      <w:r w:rsidRPr="00EB2576">
        <w:rPr>
          <w:rFonts w:ascii="Times New Roman" w:hAnsi="Times New Roman" w:cs="Times New Roman"/>
          <w:sz w:val="24"/>
          <w:szCs w:val="24"/>
        </w:rPr>
        <w:t xml:space="preserve"> using electroporation of 1700 volts. After </w:t>
      </w:r>
      <w:r w:rsidR="006C7914" w:rsidRPr="00EB2576">
        <w:rPr>
          <w:rFonts w:ascii="Times New Roman" w:hAnsi="Times New Roman" w:cs="Times New Roman"/>
          <w:sz w:val="24"/>
          <w:szCs w:val="24"/>
        </w:rPr>
        <w:t>electroporation</w:t>
      </w:r>
      <w:r w:rsidRPr="00EB2576">
        <w:rPr>
          <w:rFonts w:ascii="Times New Roman" w:hAnsi="Times New Roman" w:cs="Times New Roman"/>
          <w:sz w:val="24"/>
          <w:szCs w:val="24"/>
        </w:rPr>
        <w:t>, the cells were immediately regenerated in 950</w:t>
      </w:r>
      <w:r w:rsidR="001A1CE4" w:rsidRPr="00EB2576">
        <w:rPr>
          <w:rFonts w:ascii="Times New Roman" w:hAnsi="Times New Roman" w:cs="Times New Roman"/>
          <w:sz w:val="24"/>
          <w:szCs w:val="24"/>
        </w:rPr>
        <w:t xml:space="preserve"> </w:t>
      </w:r>
      <w:r w:rsidR="00ED09FF" w:rsidRPr="00EB2576">
        <w:rPr>
          <w:rFonts w:ascii="Times New Roman" w:hAnsi="Times New Roman" w:cs="Times New Roman"/>
          <w:sz w:val="24"/>
          <w:szCs w:val="24"/>
        </w:rPr>
        <w:t>µ</w:t>
      </w:r>
      <w:r w:rsidRPr="00EB2576">
        <w:rPr>
          <w:rFonts w:ascii="Times New Roman" w:hAnsi="Times New Roman" w:cs="Times New Roman"/>
          <w:sz w:val="24"/>
          <w:szCs w:val="24"/>
        </w:rPr>
        <w:t>L of S</w:t>
      </w:r>
      <w:r w:rsidR="003204EE" w:rsidRPr="00EB2576">
        <w:rPr>
          <w:rFonts w:ascii="Times New Roman" w:hAnsi="Times New Roman" w:cs="Times New Roman"/>
          <w:sz w:val="24"/>
          <w:szCs w:val="24"/>
        </w:rPr>
        <w:t>.</w:t>
      </w:r>
      <w:r w:rsidRPr="00EB2576">
        <w:rPr>
          <w:rFonts w:ascii="Times New Roman" w:hAnsi="Times New Roman" w:cs="Times New Roman"/>
          <w:sz w:val="24"/>
          <w:szCs w:val="24"/>
        </w:rPr>
        <w:t>O</w:t>
      </w:r>
      <w:r w:rsidR="003204EE" w:rsidRPr="00EB2576">
        <w:rPr>
          <w:rFonts w:ascii="Times New Roman" w:hAnsi="Times New Roman" w:cs="Times New Roman"/>
          <w:sz w:val="24"/>
          <w:szCs w:val="24"/>
        </w:rPr>
        <w:t>.</w:t>
      </w:r>
      <w:r w:rsidRPr="00EB2576">
        <w:rPr>
          <w:rFonts w:ascii="Times New Roman" w:hAnsi="Times New Roman" w:cs="Times New Roman"/>
          <w:sz w:val="24"/>
          <w:szCs w:val="24"/>
        </w:rPr>
        <w:t>C</w:t>
      </w:r>
      <w:r w:rsidR="003204EE" w:rsidRPr="00EB2576">
        <w:rPr>
          <w:rFonts w:ascii="Times New Roman" w:hAnsi="Times New Roman" w:cs="Times New Roman"/>
          <w:sz w:val="24"/>
          <w:szCs w:val="24"/>
        </w:rPr>
        <w:t>.</w:t>
      </w:r>
      <w:r w:rsidRPr="00EB2576">
        <w:rPr>
          <w:rFonts w:ascii="Times New Roman" w:hAnsi="Times New Roman" w:cs="Times New Roman"/>
          <w:sz w:val="24"/>
          <w:szCs w:val="24"/>
        </w:rPr>
        <w:t xml:space="preserve"> </w:t>
      </w:r>
      <w:r w:rsidR="003204EE" w:rsidRPr="00EB2576">
        <w:rPr>
          <w:rFonts w:ascii="Times New Roman" w:hAnsi="Times New Roman" w:cs="Times New Roman"/>
          <w:sz w:val="24"/>
          <w:szCs w:val="24"/>
        </w:rPr>
        <w:t xml:space="preserve">medium </w:t>
      </w:r>
      <w:r w:rsidR="008205F0" w:rsidRPr="00EB2576">
        <w:rPr>
          <w:rFonts w:ascii="Times New Roman" w:hAnsi="Times New Roman" w:cs="Times New Roman"/>
          <w:sz w:val="24"/>
          <w:szCs w:val="24"/>
        </w:rPr>
        <w:t>(</w:t>
      </w:r>
      <w:r w:rsidR="003204EE" w:rsidRPr="00EB2576">
        <w:rPr>
          <w:rFonts w:ascii="Times New Roman" w:eastAsia="Times New Roman" w:hAnsi="Times New Roman" w:cs="Times New Roman"/>
          <w:sz w:val="24"/>
          <w:szCs w:val="24"/>
          <w:lang w:eastAsia="en-GB"/>
        </w:rPr>
        <w:t>Super Optimal broth with Catabolite repression</w:t>
      </w:r>
      <w:r w:rsidR="008F56EB" w:rsidRPr="00EB2576">
        <w:rPr>
          <w:rFonts w:ascii="Times New Roman" w:eastAsia="Times New Roman" w:hAnsi="Times New Roman" w:cs="Times New Roman"/>
          <w:sz w:val="24"/>
          <w:szCs w:val="24"/>
          <w:lang w:eastAsia="en-GB"/>
        </w:rPr>
        <w:t>:</w:t>
      </w:r>
      <w:r w:rsidR="00F84B36" w:rsidRPr="00EB2576">
        <w:rPr>
          <w:rFonts w:ascii="Times New Roman" w:eastAsia="Times New Roman" w:hAnsi="Times New Roman" w:cs="Times New Roman"/>
          <w:sz w:val="24"/>
          <w:szCs w:val="24"/>
          <w:lang w:eastAsia="en-GB"/>
        </w:rPr>
        <w:t xml:space="preserve"> a nutrient rich bacterial culture medium</w:t>
      </w:r>
      <w:r w:rsidR="008205F0" w:rsidRPr="00EB2576">
        <w:rPr>
          <w:rFonts w:ascii="Times New Roman" w:hAnsi="Times New Roman" w:cs="Times New Roman"/>
          <w:sz w:val="24"/>
          <w:szCs w:val="24"/>
        </w:rPr>
        <w:t>)</w:t>
      </w:r>
      <w:r w:rsidRPr="00EB2576">
        <w:rPr>
          <w:rFonts w:ascii="Times New Roman" w:hAnsi="Times New Roman" w:cs="Times New Roman"/>
          <w:sz w:val="24"/>
          <w:szCs w:val="24"/>
        </w:rPr>
        <w:t xml:space="preserve"> and incubated for 1 hour at 37°C with shaking 225-250 rpm. The transform</w:t>
      </w:r>
      <w:r w:rsidR="008205F0" w:rsidRPr="00EB2576">
        <w:rPr>
          <w:rFonts w:ascii="Times New Roman" w:hAnsi="Times New Roman" w:cs="Times New Roman"/>
          <w:sz w:val="24"/>
          <w:szCs w:val="24"/>
        </w:rPr>
        <w:t xml:space="preserve">ed </w:t>
      </w:r>
      <w:r w:rsidR="008205F0" w:rsidRPr="00EB2576">
        <w:rPr>
          <w:rFonts w:ascii="Times New Roman" w:hAnsi="Times New Roman" w:cs="Times New Roman"/>
          <w:i/>
          <w:iCs/>
          <w:sz w:val="24"/>
          <w:szCs w:val="24"/>
        </w:rPr>
        <w:t>E.</w:t>
      </w:r>
      <w:r w:rsidR="00E30810" w:rsidRPr="00EB2576">
        <w:rPr>
          <w:rFonts w:ascii="Times New Roman" w:hAnsi="Times New Roman" w:cs="Times New Roman"/>
          <w:i/>
          <w:iCs/>
          <w:sz w:val="24"/>
          <w:szCs w:val="24"/>
        </w:rPr>
        <w:t xml:space="preserve"> </w:t>
      </w:r>
      <w:r w:rsidR="008205F0" w:rsidRPr="00EB2576">
        <w:rPr>
          <w:rFonts w:ascii="Times New Roman" w:hAnsi="Times New Roman" w:cs="Times New Roman"/>
          <w:i/>
          <w:iCs/>
          <w:sz w:val="24"/>
          <w:szCs w:val="24"/>
        </w:rPr>
        <w:t>coli</w:t>
      </w:r>
      <w:r w:rsidRPr="00EB2576">
        <w:rPr>
          <w:rFonts w:ascii="Times New Roman" w:hAnsi="Times New Roman" w:cs="Times New Roman"/>
          <w:sz w:val="24"/>
          <w:szCs w:val="24"/>
        </w:rPr>
        <w:t xml:space="preserve"> were plated onto 2 x YT</w:t>
      </w:r>
      <w:r w:rsidR="008205F0" w:rsidRPr="00EB2576">
        <w:rPr>
          <w:rFonts w:ascii="Times New Roman" w:hAnsi="Times New Roman" w:cs="Times New Roman"/>
          <w:sz w:val="24"/>
          <w:szCs w:val="24"/>
        </w:rPr>
        <w:t xml:space="preserve"> (</w:t>
      </w:r>
      <w:r w:rsidR="00E3289E" w:rsidRPr="00EB2576">
        <w:rPr>
          <w:rFonts w:ascii="Times New Roman" w:hAnsi="Times New Roman" w:cs="Times New Roman"/>
          <w:sz w:val="24"/>
          <w:szCs w:val="24"/>
        </w:rPr>
        <w:t>Yeast Extract Tryptone</w:t>
      </w:r>
      <w:r w:rsidR="0048632E" w:rsidRPr="00EB2576">
        <w:rPr>
          <w:rFonts w:ascii="Times New Roman" w:hAnsi="Times New Roman" w:cs="Times New Roman"/>
          <w:sz w:val="24"/>
          <w:szCs w:val="24"/>
        </w:rPr>
        <w:t>)</w:t>
      </w:r>
      <w:r w:rsidRPr="00EB2576">
        <w:rPr>
          <w:rFonts w:ascii="Times New Roman" w:hAnsi="Times New Roman" w:cs="Times New Roman"/>
          <w:sz w:val="24"/>
          <w:szCs w:val="24"/>
        </w:rPr>
        <w:t xml:space="preserve"> carbenicillin containing agar plates overnight at 37°</w:t>
      </w:r>
      <w:r w:rsidR="00042636" w:rsidRPr="00EB2576">
        <w:rPr>
          <w:rFonts w:ascii="Times New Roman" w:hAnsi="Times New Roman" w:cs="Times New Roman"/>
          <w:sz w:val="24"/>
          <w:szCs w:val="24"/>
        </w:rPr>
        <w:t>C</w:t>
      </w:r>
      <w:r w:rsidRPr="00EB2576">
        <w:rPr>
          <w:rFonts w:ascii="Times New Roman" w:hAnsi="Times New Roman" w:cs="Times New Roman"/>
          <w:sz w:val="24"/>
          <w:szCs w:val="24"/>
        </w:rPr>
        <w:t xml:space="preserve">. </w:t>
      </w:r>
    </w:p>
    <w:p w14:paraId="53C3DBD6" w14:textId="77777777" w:rsidR="00042636" w:rsidRPr="00EB2576" w:rsidRDefault="00042636" w:rsidP="008F56EB">
      <w:pPr>
        <w:spacing w:line="480" w:lineRule="auto"/>
        <w:rPr>
          <w:rFonts w:ascii="Times New Roman" w:hAnsi="Times New Roman" w:cs="Times New Roman"/>
          <w:sz w:val="24"/>
          <w:szCs w:val="24"/>
        </w:rPr>
      </w:pPr>
    </w:p>
    <w:p w14:paraId="661FE5C7" w14:textId="67C9E561" w:rsidR="009F000A" w:rsidRPr="00EB2576" w:rsidRDefault="009F000A" w:rsidP="00D30BD3">
      <w:pPr>
        <w:spacing w:line="480" w:lineRule="auto"/>
        <w:rPr>
          <w:rFonts w:ascii="Times New Roman" w:hAnsi="Times New Roman" w:cs="Times New Roman"/>
          <w:i/>
          <w:iCs/>
          <w:sz w:val="24"/>
          <w:szCs w:val="24"/>
        </w:rPr>
      </w:pPr>
      <w:r w:rsidRPr="00EB2576">
        <w:rPr>
          <w:rFonts w:ascii="Times New Roman" w:hAnsi="Times New Roman" w:cs="Times New Roman"/>
          <w:i/>
          <w:iCs/>
          <w:sz w:val="24"/>
          <w:szCs w:val="24"/>
        </w:rPr>
        <w:t>Production of large-scale phage display library</w:t>
      </w:r>
    </w:p>
    <w:p w14:paraId="0B662A0B" w14:textId="176DB0AF" w:rsidR="00D30BD3" w:rsidRPr="00EB2576" w:rsidRDefault="00D30BD3" w:rsidP="00D30BD3">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After identifying optimal ligation conditions, the reaction was repeated in 10 x 20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L volumes to produce a large-scale library.</w:t>
      </w:r>
    </w:p>
    <w:p w14:paraId="47653B63" w14:textId="21DDE408" w:rsidR="00D30BD3" w:rsidRPr="00EB2576" w:rsidRDefault="00B57237" w:rsidP="00D30BD3">
      <w:pPr>
        <w:pStyle w:val="Heading3"/>
        <w:spacing w:line="480" w:lineRule="auto"/>
        <w:rPr>
          <w:rFonts w:ascii="Times New Roman" w:hAnsi="Times New Roman" w:cs="Times New Roman"/>
          <w:b/>
          <w:bCs/>
        </w:rPr>
      </w:pPr>
      <w:bookmarkStart w:id="202" w:name="_Toc151020513"/>
      <w:r w:rsidRPr="00EB2576">
        <w:rPr>
          <w:rFonts w:ascii="Times New Roman" w:hAnsi="Times New Roman" w:cs="Times New Roman"/>
          <w:b/>
          <w:bCs/>
          <w:lang w:eastAsia="en-GB"/>
        </w:rPr>
        <w:lastRenderedPageBreak/>
        <w:t>4</w:t>
      </w:r>
      <w:r w:rsidR="00D30BD3" w:rsidRPr="00EB2576">
        <w:rPr>
          <w:rFonts w:ascii="Times New Roman" w:hAnsi="Times New Roman" w:cs="Times New Roman"/>
          <w:b/>
          <w:bCs/>
          <w:lang w:eastAsia="en-GB"/>
        </w:rPr>
        <w:t xml:space="preserve">.2.6 </w:t>
      </w:r>
      <w:r w:rsidR="00D30BD3" w:rsidRPr="00EB2576">
        <w:rPr>
          <w:rFonts w:ascii="Times New Roman" w:hAnsi="Times New Roman" w:cs="Times New Roman"/>
          <w:b/>
          <w:bCs/>
        </w:rPr>
        <w:t xml:space="preserve">Analysis of </w:t>
      </w:r>
      <w:r w:rsidR="00BA2A5E" w:rsidRPr="00EB2576">
        <w:rPr>
          <w:rFonts w:ascii="Times New Roman" w:hAnsi="Times New Roman" w:cs="Times New Roman"/>
          <w:b/>
          <w:bCs/>
        </w:rPr>
        <w:t>phage c</w:t>
      </w:r>
      <w:r w:rsidR="00D30BD3" w:rsidRPr="00EB2576">
        <w:rPr>
          <w:rFonts w:ascii="Times New Roman" w:hAnsi="Times New Roman" w:cs="Times New Roman"/>
          <w:b/>
          <w:bCs/>
        </w:rPr>
        <w:t>lones</w:t>
      </w:r>
      <w:bookmarkEnd w:id="202"/>
      <w:r w:rsidR="00D30BD3" w:rsidRPr="00EB2576">
        <w:rPr>
          <w:rFonts w:ascii="Times New Roman" w:hAnsi="Times New Roman" w:cs="Times New Roman"/>
          <w:b/>
          <w:bCs/>
        </w:rPr>
        <w:t xml:space="preserve"> </w:t>
      </w:r>
    </w:p>
    <w:p w14:paraId="11A41DC2" w14:textId="77777777" w:rsidR="00D30BD3" w:rsidRPr="00EB2576" w:rsidRDefault="00D30BD3" w:rsidP="00D30BD3">
      <w:pPr>
        <w:spacing w:line="480" w:lineRule="auto"/>
        <w:rPr>
          <w:rFonts w:ascii="Times New Roman" w:hAnsi="Times New Roman" w:cs="Times New Roman"/>
          <w:sz w:val="24"/>
          <w:szCs w:val="24"/>
        </w:rPr>
      </w:pPr>
      <w:r w:rsidRPr="00EB2576">
        <w:rPr>
          <w:rFonts w:ascii="Times New Roman" w:hAnsi="Times New Roman" w:cs="Times New Roman"/>
          <w:sz w:val="24"/>
          <w:szCs w:val="24"/>
        </w:rPr>
        <w:t>PCR and colony PCR were used in assessing optimal ligation conditions and in screening and</w:t>
      </w:r>
    </w:p>
    <w:p w14:paraId="60165851" w14:textId="77777777" w:rsidR="00D30BD3" w:rsidRPr="00EB2576" w:rsidRDefault="00D30BD3" w:rsidP="00D30BD3">
      <w:pPr>
        <w:spacing w:line="480" w:lineRule="auto"/>
        <w:rPr>
          <w:rFonts w:ascii="Times New Roman" w:hAnsi="Times New Roman" w:cs="Times New Roman"/>
          <w:kern w:val="24"/>
          <w:sz w:val="24"/>
          <w:szCs w:val="24"/>
          <w:lang w:eastAsia="en-GB"/>
        </w:rPr>
      </w:pPr>
      <w:r w:rsidRPr="00EB2576">
        <w:rPr>
          <w:rFonts w:ascii="Times New Roman" w:hAnsi="Times New Roman" w:cs="Times New Roman"/>
          <w:sz w:val="24"/>
          <w:szCs w:val="24"/>
        </w:rPr>
        <w:t xml:space="preserve">sequencing of the large-scale library. For PCR, </w:t>
      </w:r>
      <w:proofErr w:type="spellStart"/>
      <w:r w:rsidRPr="00EB2576">
        <w:rPr>
          <w:rFonts w:ascii="Times New Roman" w:hAnsi="Times New Roman" w:cs="Times New Roman"/>
          <w:sz w:val="24"/>
          <w:szCs w:val="24"/>
        </w:rPr>
        <w:t>QIAprep</w:t>
      </w:r>
      <w:proofErr w:type="spellEnd"/>
      <w:r w:rsidRPr="00EB2576">
        <w:rPr>
          <w:rFonts w:ascii="Times New Roman" w:hAnsi="Times New Roman" w:cs="Times New Roman"/>
          <w:sz w:val="24"/>
          <w:szCs w:val="24"/>
        </w:rPr>
        <w:t xml:space="preserve"> Spin Miniprep kit </w:t>
      </w:r>
      <w:r w:rsidRPr="00EB2576">
        <w:rPr>
          <w:rFonts w:ascii="Times New Roman" w:hAnsi="Times New Roman" w:cs="Times New Roman"/>
          <w:kern w:val="24"/>
          <w:sz w:val="24"/>
          <w:szCs w:val="24"/>
          <w:lang w:eastAsia="en-GB"/>
        </w:rPr>
        <w:t xml:space="preserve">(Qiagen, Hilden, </w:t>
      </w:r>
    </w:p>
    <w:p w14:paraId="54470825" w14:textId="77777777" w:rsidR="00D30BD3" w:rsidRPr="00EB2576" w:rsidRDefault="00D30BD3" w:rsidP="00D30BD3">
      <w:pPr>
        <w:spacing w:line="480" w:lineRule="auto"/>
        <w:rPr>
          <w:rFonts w:ascii="Times New Roman" w:hAnsi="Times New Roman" w:cs="Times New Roman"/>
          <w:sz w:val="24"/>
          <w:szCs w:val="24"/>
        </w:rPr>
      </w:pPr>
      <w:r w:rsidRPr="00EB2576">
        <w:rPr>
          <w:rFonts w:ascii="Times New Roman" w:hAnsi="Times New Roman" w:cs="Times New Roman"/>
          <w:kern w:val="24"/>
          <w:sz w:val="24"/>
          <w:szCs w:val="24"/>
          <w:lang w:eastAsia="en-GB"/>
        </w:rPr>
        <w:t>Germany) was used for DNA extraction.</w:t>
      </w:r>
      <w:r w:rsidRPr="00EB2576">
        <w:rPr>
          <w:rFonts w:ascii="Times New Roman" w:hAnsi="Times New Roman" w:cs="Times New Roman"/>
          <w:sz w:val="24"/>
          <w:szCs w:val="24"/>
        </w:rPr>
        <w:t xml:space="preserve"> For colony PCR, individual colonies were picked </w:t>
      </w:r>
    </w:p>
    <w:p w14:paraId="441062C9" w14:textId="72E9FD15" w:rsidR="00D30BD3" w:rsidRPr="00EB2576" w:rsidRDefault="00D30BD3" w:rsidP="00D30BD3">
      <w:pPr>
        <w:spacing w:line="480" w:lineRule="auto"/>
        <w:rPr>
          <w:rFonts w:ascii="Times New Roman" w:eastAsia="MS PGothic" w:hAnsi="Times New Roman" w:cs="Times New Roman"/>
          <w:kern w:val="24"/>
          <w:sz w:val="24"/>
          <w:szCs w:val="24"/>
        </w:rPr>
      </w:pPr>
      <w:r w:rsidRPr="00EB2576">
        <w:rPr>
          <w:rFonts w:ascii="Times New Roman" w:hAnsi="Times New Roman" w:cs="Times New Roman"/>
          <w:sz w:val="24"/>
          <w:szCs w:val="24"/>
        </w:rPr>
        <w:t xml:space="preserve">with a sterile pipette. For both, template DNA was combined with 0.5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L of 10</w:t>
      </w:r>
      <w:r w:rsidR="00B068A4" w:rsidRPr="00EB2576">
        <w:rPr>
          <w:rFonts w:ascii="Times New Roman" w:hAnsi="Times New Roman" w:cs="Times New Roman"/>
          <w:sz w:val="24"/>
          <w:szCs w:val="24"/>
        </w:rPr>
        <w:t xml:space="preserve">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 xml:space="preserve">M forward primer, 0.5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 xml:space="preserve">L of 10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 xml:space="preserve">M reverse primer, 2.5 </w:t>
      </w:r>
      <w:r w:rsidR="006B6F81" w:rsidRPr="00EB2576">
        <w:rPr>
          <w:rFonts w:ascii="Times New Roman" w:hAnsi="Times New Roman" w:cs="Times New Roman"/>
          <w:sz w:val="24"/>
          <w:szCs w:val="24"/>
        </w:rPr>
        <w:t>µ</w:t>
      </w:r>
      <w:r w:rsidRPr="00EB2576">
        <w:rPr>
          <w:rFonts w:ascii="Times New Roman" w:hAnsi="Times New Roman" w:cs="Times New Roman"/>
          <w:sz w:val="24"/>
          <w:szCs w:val="24"/>
        </w:rPr>
        <w:t>L of 10</w:t>
      </w:r>
      <w:r w:rsidR="00B068A4"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x </w:t>
      </w:r>
      <w:proofErr w:type="spellStart"/>
      <w:r w:rsidRPr="00EB2576">
        <w:rPr>
          <w:rFonts w:ascii="Times New Roman" w:hAnsi="Times New Roman" w:cs="Times New Roman"/>
          <w:sz w:val="24"/>
          <w:szCs w:val="24"/>
        </w:rPr>
        <w:t>ThermoPol</w:t>
      </w:r>
      <w:proofErr w:type="spellEnd"/>
      <w:r w:rsidRPr="00EB2576">
        <w:rPr>
          <w:rFonts w:ascii="Times New Roman" w:hAnsi="Times New Roman" w:cs="Times New Roman"/>
          <w:sz w:val="24"/>
          <w:szCs w:val="24"/>
        </w:rPr>
        <w:t xml:space="preserve"> reaction buffer, Taq DNA Polymerase (New England </w:t>
      </w:r>
      <w:proofErr w:type="spellStart"/>
      <w:r w:rsidRPr="00EB2576">
        <w:rPr>
          <w:rFonts w:ascii="Times New Roman" w:hAnsi="Times New Roman" w:cs="Times New Roman"/>
          <w:sz w:val="24"/>
          <w:szCs w:val="24"/>
        </w:rPr>
        <w:t>BioLabs</w:t>
      </w:r>
      <w:proofErr w:type="spellEnd"/>
      <w:r w:rsidRPr="00EB2576">
        <w:rPr>
          <w:rFonts w:ascii="Times New Roman" w:hAnsi="Times New Roman" w:cs="Times New Roman"/>
          <w:sz w:val="24"/>
          <w:szCs w:val="24"/>
        </w:rPr>
        <w:t>,</w:t>
      </w:r>
      <w:r w:rsidRPr="00EB2576">
        <w:rPr>
          <w:rFonts w:ascii="Times New Roman" w:hAnsi="Times New Roman" w:cs="Times New Roman"/>
          <w:sz w:val="24"/>
          <w:szCs w:val="24"/>
          <w:shd w:val="clear" w:color="auto" w:fill="FFFFFF"/>
        </w:rPr>
        <w:t xml:space="preserve"> Massachusetts, United States</w:t>
      </w:r>
      <w:r w:rsidRPr="00EB2576">
        <w:rPr>
          <w:rFonts w:ascii="Times New Roman" w:hAnsi="Times New Roman" w:cs="Times New Roman"/>
          <w:sz w:val="24"/>
          <w:szCs w:val="24"/>
        </w:rPr>
        <w:t xml:space="preserve">) and nuclease free water made up to 25 </w:t>
      </w:r>
      <w:r w:rsidR="00F0253A" w:rsidRPr="00EB2576">
        <w:rPr>
          <w:rFonts w:ascii="Times New Roman" w:hAnsi="Times New Roman" w:cs="Times New Roman"/>
          <w:sz w:val="24"/>
          <w:szCs w:val="24"/>
        </w:rPr>
        <w:t>µ</w:t>
      </w:r>
      <w:r w:rsidRPr="00EB2576">
        <w:rPr>
          <w:rFonts w:ascii="Times New Roman" w:hAnsi="Times New Roman" w:cs="Times New Roman"/>
          <w:sz w:val="24"/>
          <w:szCs w:val="24"/>
        </w:rPr>
        <w:t>L volume. 30 cycles of PCR were completed. Amplification of the vector</w:t>
      </w:r>
      <w:r w:rsidR="00683786" w:rsidRPr="00EB2576">
        <w:rPr>
          <w:rFonts w:ascii="Times New Roman" w:hAnsi="Times New Roman" w:cs="Times New Roman"/>
          <w:sz w:val="24"/>
          <w:szCs w:val="24"/>
        </w:rPr>
        <w:t>:</w:t>
      </w:r>
      <w:r w:rsidRPr="00EB2576">
        <w:rPr>
          <w:rFonts w:ascii="Times New Roman" w:hAnsi="Times New Roman" w:cs="Times New Roman"/>
          <w:sz w:val="24"/>
          <w:szCs w:val="24"/>
        </w:rPr>
        <w:t xml:space="preserve"> pNIBS1 without a foreign insert resulted in</w:t>
      </w:r>
      <w:r w:rsidRPr="00EB2576">
        <w:rPr>
          <w:rFonts w:ascii="Times New Roman" w:hAnsi="Times New Roman" w:cs="Times New Roman"/>
          <w:kern w:val="24"/>
          <w:sz w:val="24"/>
          <w:szCs w:val="24"/>
          <w:lang w:eastAsia="en-GB"/>
        </w:rPr>
        <w:t xml:space="preserve"> 181 base pairs. Using gel electrophoresis, </w:t>
      </w:r>
      <w:r w:rsidRPr="00EB2576">
        <w:rPr>
          <w:rFonts w:ascii="Times New Roman" w:hAnsi="Times New Roman" w:cs="Times New Roman"/>
          <w:sz w:val="24"/>
          <w:szCs w:val="24"/>
        </w:rPr>
        <w:t xml:space="preserve">clones producing fragments greater than 181 base pairs were considered as recombinants. DNA sequencing of individual colonies from the large-scale library was assessed </w:t>
      </w:r>
      <w:r w:rsidRPr="00EB2576">
        <w:rPr>
          <w:rFonts w:ascii="Times New Roman" w:eastAsia="MS PGothic" w:hAnsi="Times New Roman" w:cs="Times New Roman"/>
          <w:kern w:val="24"/>
          <w:sz w:val="24"/>
          <w:szCs w:val="24"/>
        </w:rPr>
        <w:t>using pairwise sequence alignment on Vector NTI (</w:t>
      </w:r>
      <w:proofErr w:type="spellStart"/>
      <w:r w:rsidRPr="00EB2576">
        <w:rPr>
          <w:rFonts w:ascii="Times New Roman" w:eastAsia="MS PGothic" w:hAnsi="Times New Roman" w:cs="Times New Roman"/>
          <w:kern w:val="24"/>
          <w:sz w:val="24"/>
          <w:szCs w:val="24"/>
        </w:rPr>
        <w:t>ThermoFisher</w:t>
      </w:r>
      <w:proofErr w:type="spellEnd"/>
      <w:r w:rsidRPr="00EB2576">
        <w:rPr>
          <w:rFonts w:ascii="Times New Roman" w:eastAsia="MS PGothic" w:hAnsi="Times New Roman" w:cs="Times New Roman"/>
          <w:kern w:val="24"/>
          <w:sz w:val="24"/>
          <w:szCs w:val="24"/>
        </w:rPr>
        <w:t xml:space="preserve"> Scientific</w:t>
      </w:r>
      <w:r w:rsidRPr="00EB2576">
        <w:rPr>
          <w:rStyle w:val="eq0j8"/>
          <w:rFonts w:ascii="Times New Roman" w:hAnsi="Times New Roman" w:cs="Times New Roman"/>
          <w:sz w:val="24"/>
          <w:szCs w:val="24"/>
          <w:shd w:val="clear" w:color="auto" w:fill="FFFFFF"/>
        </w:rPr>
        <w:t xml:space="preserve"> Massachusetts, United States)</w:t>
      </w:r>
      <w:r w:rsidRPr="00EB2576">
        <w:rPr>
          <w:rFonts w:ascii="Times New Roman" w:eastAsia="MS PGothic" w:hAnsi="Times New Roman" w:cs="Times New Roman"/>
          <w:kern w:val="24"/>
          <w:sz w:val="24"/>
          <w:szCs w:val="24"/>
        </w:rPr>
        <w:t>.</w:t>
      </w:r>
    </w:p>
    <w:p w14:paraId="1181C36F" w14:textId="77777777" w:rsidR="00AF48E4" w:rsidRPr="00EB2576" w:rsidRDefault="00AF48E4" w:rsidP="00094E3C">
      <w:pPr>
        <w:spacing w:line="480" w:lineRule="auto"/>
        <w:rPr>
          <w:rFonts w:ascii="Times New Roman" w:eastAsia="MS PGothic" w:hAnsi="Times New Roman" w:cs="Times New Roman"/>
          <w:kern w:val="24"/>
          <w:sz w:val="24"/>
          <w:szCs w:val="24"/>
        </w:rPr>
      </w:pPr>
    </w:p>
    <w:p w14:paraId="2E77F44F"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31B1E4A8"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0EB51ECC"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0B292E88"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5A342042"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0126AB4F"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04E18A18" w14:textId="77777777" w:rsidR="003711E4" w:rsidRPr="00EB2576" w:rsidRDefault="003711E4" w:rsidP="00094E3C">
      <w:pPr>
        <w:spacing w:line="480" w:lineRule="auto"/>
        <w:rPr>
          <w:rFonts w:ascii="Times New Roman" w:eastAsia="MS PGothic" w:hAnsi="Times New Roman" w:cs="Times New Roman"/>
          <w:kern w:val="24"/>
          <w:sz w:val="24"/>
          <w:szCs w:val="24"/>
        </w:rPr>
      </w:pPr>
    </w:p>
    <w:p w14:paraId="5BE81C80" w14:textId="054522DA" w:rsidR="00AF48E4" w:rsidRPr="00EB2576" w:rsidRDefault="00B57237" w:rsidP="00094E3C">
      <w:pPr>
        <w:pStyle w:val="Heading3"/>
        <w:spacing w:line="480" w:lineRule="auto"/>
        <w:rPr>
          <w:rFonts w:ascii="Times New Roman" w:eastAsia="MS PGothic" w:hAnsi="Times New Roman" w:cs="Times New Roman"/>
          <w:b/>
          <w:bCs/>
        </w:rPr>
      </w:pPr>
      <w:bookmarkStart w:id="203" w:name="_Toc151020514"/>
      <w:r w:rsidRPr="00EB2576">
        <w:rPr>
          <w:rFonts w:ascii="Times New Roman" w:eastAsia="MS PGothic" w:hAnsi="Times New Roman" w:cs="Times New Roman"/>
          <w:b/>
          <w:bCs/>
        </w:rPr>
        <w:lastRenderedPageBreak/>
        <w:t>4</w:t>
      </w:r>
      <w:r w:rsidR="00AF48E4" w:rsidRPr="00EB2576">
        <w:rPr>
          <w:rFonts w:ascii="Times New Roman" w:eastAsia="MS PGothic" w:hAnsi="Times New Roman" w:cs="Times New Roman"/>
          <w:b/>
          <w:bCs/>
        </w:rPr>
        <w:t xml:space="preserve">.2.7 Summary </w:t>
      </w:r>
      <w:r w:rsidR="000371BA" w:rsidRPr="00EB2576">
        <w:rPr>
          <w:rFonts w:ascii="Times New Roman" w:eastAsia="MS PGothic" w:hAnsi="Times New Roman" w:cs="Times New Roman"/>
          <w:b/>
          <w:bCs/>
        </w:rPr>
        <w:t>of the generation of the infliximab Fab GFL</w:t>
      </w:r>
      <w:bookmarkEnd w:id="203"/>
    </w:p>
    <w:p w14:paraId="43865C71" w14:textId="761F825D" w:rsidR="00094E3C" w:rsidRPr="00EB2576" w:rsidRDefault="00094E3C" w:rsidP="00094E3C">
      <w:pPr>
        <w:spacing w:line="480" w:lineRule="auto"/>
        <w:rPr>
          <w:rFonts w:ascii="Times New Roman" w:eastAsia="MS PGothic" w:hAnsi="Times New Roman" w:cs="Times New Roman"/>
          <w:kern w:val="24"/>
          <w:sz w:val="24"/>
          <w:szCs w:val="24"/>
        </w:rPr>
      </w:pPr>
      <w:r w:rsidRPr="00EB2576">
        <w:rPr>
          <w:rFonts w:ascii="Times New Roman" w:eastAsia="MS PGothic" w:hAnsi="Times New Roman" w:cs="Times New Roman"/>
          <w:kern w:val="24"/>
          <w:sz w:val="24"/>
          <w:szCs w:val="24"/>
        </w:rPr>
        <w:t xml:space="preserve">Figure </w:t>
      </w:r>
      <w:r w:rsidR="00241286" w:rsidRPr="00EB2576">
        <w:rPr>
          <w:rFonts w:ascii="Times New Roman" w:eastAsia="MS PGothic" w:hAnsi="Times New Roman" w:cs="Times New Roman"/>
          <w:kern w:val="24"/>
          <w:sz w:val="24"/>
          <w:szCs w:val="24"/>
        </w:rPr>
        <w:t>2</w:t>
      </w:r>
      <w:r w:rsidR="002E2CAB" w:rsidRPr="00EB2576">
        <w:rPr>
          <w:rFonts w:ascii="Times New Roman" w:eastAsia="MS PGothic" w:hAnsi="Times New Roman" w:cs="Times New Roman"/>
          <w:kern w:val="24"/>
          <w:sz w:val="24"/>
          <w:szCs w:val="24"/>
        </w:rPr>
        <w:t>4</w:t>
      </w:r>
      <w:r w:rsidRPr="00EB2576">
        <w:rPr>
          <w:rFonts w:ascii="Times New Roman" w:eastAsia="MS PGothic" w:hAnsi="Times New Roman" w:cs="Times New Roman"/>
          <w:kern w:val="24"/>
          <w:sz w:val="24"/>
          <w:szCs w:val="24"/>
        </w:rPr>
        <w:t xml:space="preserve"> summarises the methodology used in the generation of the infliximab Fab GFL</w:t>
      </w:r>
    </w:p>
    <w:p w14:paraId="2C581E9C" w14:textId="77777777" w:rsidR="0046154A" w:rsidRPr="00EB2576" w:rsidRDefault="0046154A" w:rsidP="00094E3C">
      <w:pPr>
        <w:spacing w:line="480" w:lineRule="auto"/>
        <w:rPr>
          <w:rFonts w:ascii="Times New Roman" w:eastAsia="MS PGothic" w:hAnsi="Times New Roman" w:cs="Times New Roman"/>
          <w:kern w:val="24"/>
          <w:sz w:val="24"/>
          <w:szCs w:val="24"/>
        </w:rPr>
      </w:pPr>
    </w:p>
    <w:p w14:paraId="12579417" w14:textId="77777777" w:rsidR="006D1DB7" w:rsidRPr="00EB2576" w:rsidRDefault="002246C0" w:rsidP="006D1DB7">
      <w:pPr>
        <w:keepNext/>
        <w:spacing w:line="480" w:lineRule="auto"/>
      </w:pPr>
      <w:r w:rsidRPr="00EB2576">
        <w:rPr>
          <w:noProof/>
        </w:rPr>
        <w:drawing>
          <wp:inline distT="0" distB="0" distL="0" distR="0" wp14:anchorId="6120CD4D" wp14:editId="2AEA2666">
            <wp:extent cx="5609332" cy="358140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96DAC541-7B7A-43D3-8B79-37D633B846F1}">
                          <asvg:svgBlip xmlns:asvg="http://schemas.microsoft.com/office/drawing/2016/SVG/main" r:embed="rId49"/>
                        </a:ext>
                      </a:extLst>
                    </a:blip>
                    <a:srcRect l="13189" r="-1285"/>
                    <a:stretch/>
                  </pic:blipFill>
                  <pic:spPr bwMode="auto">
                    <a:xfrm>
                      <a:off x="0" y="0"/>
                      <a:ext cx="5628971" cy="3593939"/>
                    </a:xfrm>
                    <a:prstGeom prst="rect">
                      <a:avLst/>
                    </a:prstGeom>
                    <a:ln>
                      <a:noFill/>
                    </a:ln>
                    <a:extLst>
                      <a:ext uri="{53640926-AAD7-44D8-BBD7-CCE9431645EC}">
                        <a14:shadowObscured xmlns:a14="http://schemas.microsoft.com/office/drawing/2010/main"/>
                      </a:ext>
                    </a:extLst>
                  </pic:spPr>
                </pic:pic>
              </a:graphicData>
            </a:graphic>
          </wp:inline>
        </w:drawing>
      </w:r>
    </w:p>
    <w:p w14:paraId="1AD4E504" w14:textId="77777777" w:rsidR="002E2CAB" w:rsidRPr="00EB2576" w:rsidRDefault="002E2CAB" w:rsidP="002E2CAB">
      <w:pPr>
        <w:spacing w:line="240" w:lineRule="auto"/>
        <w:rPr>
          <w:rFonts w:ascii="Times New Roman" w:hAnsi="Times New Roman" w:cs="Times New Roman"/>
          <w:b/>
          <w:bCs/>
          <w:sz w:val="24"/>
          <w:szCs w:val="24"/>
        </w:rPr>
      </w:pPr>
      <w:bookmarkStart w:id="204" w:name="_Toc139397322"/>
    </w:p>
    <w:p w14:paraId="0B7C8CFF" w14:textId="677551ED" w:rsidR="006D1DB7" w:rsidRPr="00EB2576" w:rsidRDefault="006D1DB7" w:rsidP="002E2CAB">
      <w:pPr>
        <w:spacing w:line="240" w:lineRule="auto"/>
        <w:rPr>
          <w:rFonts w:ascii="Times New Roman" w:hAnsi="Times New Roman" w:cs="Times New Roman"/>
          <w:b/>
          <w:bCs/>
          <w:sz w:val="24"/>
          <w:szCs w:val="24"/>
        </w:rPr>
      </w:pPr>
      <w:bookmarkStart w:id="205" w:name="_Toc151020669"/>
      <w:r w:rsidRPr="00EB2576">
        <w:rPr>
          <w:rFonts w:ascii="Times New Roman" w:hAnsi="Times New Roman" w:cs="Times New Roman"/>
          <w:b/>
          <w:bCs/>
          <w:sz w:val="24"/>
          <w:szCs w:val="24"/>
        </w:rPr>
        <w:t xml:space="preserve">Figure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Figure \* ARABIC </w:instrText>
      </w:r>
      <w:r w:rsidRPr="00EB2576">
        <w:rPr>
          <w:rFonts w:ascii="Times New Roman" w:hAnsi="Times New Roman" w:cs="Times New Roman"/>
          <w:b/>
          <w:bCs/>
          <w:sz w:val="24"/>
          <w:szCs w:val="24"/>
        </w:rPr>
        <w:fldChar w:fldCharType="separate"/>
      </w:r>
      <w:r w:rsidR="00192EAE" w:rsidRPr="00EB2576">
        <w:rPr>
          <w:rFonts w:ascii="Times New Roman" w:hAnsi="Times New Roman" w:cs="Times New Roman"/>
          <w:b/>
          <w:bCs/>
          <w:noProof/>
          <w:sz w:val="24"/>
          <w:szCs w:val="24"/>
        </w:rPr>
        <w:t>24</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Diagrammatic summary of the generation on the infliximab Fab GFL.</w:t>
      </w:r>
      <w:bookmarkEnd w:id="204"/>
      <w:bookmarkEnd w:id="205"/>
    </w:p>
    <w:p w14:paraId="10B24745" w14:textId="59CF2302" w:rsidR="00F0253A" w:rsidRPr="00EB2576" w:rsidRDefault="003711E4" w:rsidP="002E2CAB">
      <w:pPr>
        <w:spacing w:line="240" w:lineRule="auto"/>
        <w:rPr>
          <w:rFonts w:ascii="Times New Roman" w:hAnsi="Times New Roman" w:cs="Times New Roman"/>
          <w:sz w:val="24"/>
          <w:szCs w:val="24"/>
        </w:rPr>
      </w:pPr>
      <w:r w:rsidRPr="00EB2576">
        <w:rPr>
          <w:rFonts w:ascii="Times New Roman" w:hAnsi="Times New Roman" w:cs="Times New Roman"/>
          <w:sz w:val="24"/>
          <w:szCs w:val="24"/>
        </w:rPr>
        <w:t xml:space="preserve">Using </w:t>
      </w:r>
      <w:r w:rsidR="00D43090" w:rsidRPr="00EB2576">
        <w:rPr>
          <w:rFonts w:ascii="Times New Roman" w:hAnsi="Times New Roman" w:cs="Times New Roman"/>
          <w:sz w:val="24"/>
          <w:szCs w:val="24"/>
        </w:rPr>
        <w:t>domain specific primers</w:t>
      </w:r>
      <w:r w:rsidR="00602BA9" w:rsidRPr="00EB2576">
        <w:rPr>
          <w:rFonts w:ascii="Times New Roman" w:hAnsi="Times New Roman" w:cs="Times New Roman"/>
          <w:sz w:val="24"/>
          <w:szCs w:val="24"/>
        </w:rPr>
        <w:t>,</w:t>
      </w:r>
      <w:r w:rsidR="00D43090" w:rsidRPr="00EB2576">
        <w:rPr>
          <w:rFonts w:ascii="Times New Roman" w:hAnsi="Times New Roman" w:cs="Times New Roman"/>
          <w:sz w:val="24"/>
          <w:szCs w:val="24"/>
        </w:rPr>
        <w:t xml:space="preserve"> PCR amplification of the infliximab Fab heavy chain and light chain </w:t>
      </w:r>
      <w:r w:rsidR="00D02897" w:rsidRPr="00EB2576">
        <w:rPr>
          <w:rFonts w:ascii="Times New Roman" w:hAnsi="Times New Roman" w:cs="Times New Roman"/>
          <w:sz w:val="24"/>
          <w:szCs w:val="24"/>
        </w:rPr>
        <w:t xml:space="preserve">was </w:t>
      </w:r>
      <w:r w:rsidR="00602BA9" w:rsidRPr="00EB2576">
        <w:rPr>
          <w:rFonts w:ascii="Times New Roman" w:hAnsi="Times New Roman" w:cs="Times New Roman"/>
          <w:sz w:val="24"/>
          <w:szCs w:val="24"/>
        </w:rPr>
        <w:t>performed</w:t>
      </w:r>
      <w:r w:rsidR="00D02897" w:rsidRPr="00EB2576">
        <w:rPr>
          <w:rFonts w:ascii="Times New Roman" w:hAnsi="Times New Roman" w:cs="Times New Roman"/>
          <w:sz w:val="24"/>
          <w:szCs w:val="24"/>
        </w:rPr>
        <w:t>. After DNA purification, the infliximab genes were fragmented using sonication</w:t>
      </w:r>
      <w:r w:rsidR="008C6864" w:rsidRPr="00EB2576">
        <w:rPr>
          <w:rFonts w:ascii="Times New Roman" w:hAnsi="Times New Roman" w:cs="Times New Roman"/>
          <w:sz w:val="24"/>
          <w:szCs w:val="24"/>
        </w:rPr>
        <w:t xml:space="preserve"> </w:t>
      </w:r>
      <w:r w:rsidR="00683786" w:rsidRPr="00EB2576">
        <w:rPr>
          <w:rFonts w:ascii="Times New Roman" w:hAnsi="Times New Roman" w:cs="Times New Roman"/>
          <w:sz w:val="24"/>
          <w:szCs w:val="24"/>
        </w:rPr>
        <w:t>with</w:t>
      </w:r>
      <w:r w:rsidR="008C6864" w:rsidRPr="00EB2576">
        <w:rPr>
          <w:rFonts w:ascii="Times New Roman" w:hAnsi="Times New Roman" w:cs="Times New Roman"/>
          <w:sz w:val="24"/>
          <w:szCs w:val="24"/>
        </w:rPr>
        <w:t xml:space="preserve"> different conditions to identify optimal </w:t>
      </w:r>
      <w:r w:rsidR="0059493E" w:rsidRPr="00EB2576">
        <w:rPr>
          <w:rFonts w:ascii="Times New Roman" w:hAnsi="Times New Roman" w:cs="Times New Roman"/>
          <w:sz w:val="24"/>
          <w:szCs w:val="24"/>
        </w:rPr>
        <w:t>fragmentation</w:t>
      </w:r>
      <w:r w:rsidR="00F76706" w:rsidRPr="00EB2576">
        <w:rPr>
          <w:rFonts w:ascii="Times New Roman" w:hAnsi="Times New Roman" w:cs="Times New Roman"/>
          <w:sz w:val="24"/>
          <w:szCs w:val="24"/>
        </w:rPr>
        <w:t xml:space="preserve">. </w:t>
      </w:r>
      <w:r w:rsidR="008C6864" w:rsidRPr="00EB2576">
        <w:rPr>
          <w:rFonts w:ascii="Times New Roman" w:eastAsia="Times New Roman" w:hAnsi="Times New Roman" w:cs="Times New Roman"/>
          <w:sz w:val="24"/>
          <w:szCs w:val="24"/>
          <w:lang w:val="en-US" w:eastAsia="en-GB"/>
        </w:rPr>
        <w:t>PIII phagemid vector pNIBS1</w:t>
      </w:r>
      <w:r w:rsidR="008C6864" w:rsidRPr="00EB2576">
        <w:rPr>
          <w:rFonts w:ascii="Times New Roman" w:hAnsi="Times New Roman" w:cs="Times New Roman"/>
          <w:sz w:val="24"/>
          <w:szCs w:val="24"/>
        </w:rPr>
        <w:t xml:space="preserve"> </w:t>
      </w:r>
      <w:r w:rsidR="00BA1691" w:rsidRPr="00EB2576">
        <w:rPr>
          <w:rFonts w:ascii="Times New Roman" w:eastAsia="Times New Roman" w:hAnsi="Times New Roman" w:cs="Times New Roman"/>
          <w:sz w:val="24"/>
          <w:szCs w:val="24"/>
          <w:lang w:val="en-US" w:eastAsia="en-GB"/>
        </w:rPr>
        <w:t xml:space="preserve">was prepared with </w:t>
      </w:r>
      <w:r w:rsidR="008C6864" w:rsidRPr="00EB2576">
        <w:rPr>
          <w:rFonts w:ascii="Times New Roman" w:hAnsi="Times New Roman" w:cs="Times New Roman"/>
          <w:kern w:val="24"/>
          <w:sz w:val="24"/>
          <w:szCs w:val="24"/>
          <w:lang w:eastAsia="en-GB"/>
        </w:rPr>
        <w:t xml:space="preserve">blunt-end </w:t>
      </w:r>
      <w:proofErr w:type="spellStart"/>
      <w:r w:rsidR="008C6864" w:rsidRPr="00EB2576">
        <w:rPr>
          <w:rFonts w:ascii="Times New Roman" w:hAnsi="Times New Roman" w:cs="Times New Roman"/>
          <w:i/>
          <w:iCs/>
          <w:kern w:val="24"/>
          <w:sz w:val="24"/>
          <w:szCs w:val="24"/>
          <w:lang w:eastAsia="en-GB"/>
        </w:rPr>
        <w:t>SmaI</w:t>
      </w:r>
      <w:proofErr w:type="spellEnd"/>
      <w:r w:rsidR="008C6864" w:rsidRPr="00EB2576">
        <w:rPr>
          <w:rFonts w:ascii="Times New Roman" w:hAnsi="Times New Roman" w:cs="Times New Roman"/>
          <w:kern w:val="24"/>
          <w:sz w:val="24"/>
          <w:szCs w:val="24"/>
          <w:lang w:eastAsia="en-GB"/>
        </w:rPr>
        <w:t xml:space="preserve"> digestion </w:t>
      </w:r>
      <w:r w:rsidR="00BA1691" w:rsidRPr="00EB2576">
        <w:rPr>
          <w:rFonts w:ascii="Times New Roman" w:hAnsi="Times New Roman" w:cs="Times New Roman"/>
          <w:kern w:val="24"/>
          <w:sz w:val="24"/>
          <w:szCs w:val="24"/>
          <w:lang w:eastAsia="en-GB"/>
        </w:rPr>
        <w:t>and then</w:t>
      </w:r>
      <w:r w:rsidR="008C6864" w:rsidRPr="00EB2576">
        <w:rPr>
          <w:rFonts w:ascii="Times New Roman" w:hAnsi="Times New Roman" w:cs="Times New Roman"/>
          <w:kern w:val="24"/>
          <w:sz w:val="24"/>
          <w:szCs w:val="24"/>
          <w:lang w:eastAsia="en-GB"/>
        </w:rPr>
        <w:t xml:space="preserve"> purified</w:t>
      </w:r>
      <w:r w:rsidR="00BA1691" w:rsidRPr="00EB2576">
        <w:rPr>
          <w:rFonts w:ascii="Times New Roman" w:hAnsi="Times New Roman" w:cs="Times New Roman"/>
          <w:kern w:val="24"/>
          <w:sz w:val="24"/>
          <w:szCs w:val="24"/>
          <w:lang w:eastAsia="en-GB"/>
        </w:rPr>
        <w:t>.</w:t>
      </w:r>
      <w:r w:rsidR="00D43C74" w:rsidRPr="00EB2576">
        <w:rPr>
          <w:rFonts w:ascii="Times New Roman" w:hAnsi="Times New Roman" w:cs="Times New Roman"/>
          <w:kern w:val="24"/>
          <w:sz w:val="24"/>
          <w:szCs w:val="24"/>
          <w:lang w:eastAsia="en-GB"/>
        </w:rPr>
        <w:t xml:space="preserve"> </w:t>
      </w:r>
      <w:r w:rsidR="00572AD2" w:rsidRPr="00EB2576">
        <w:rPr>
          <w:rFonts w:ascii="Times New Roman" w:hAnsi="Times New Roman" w:cs="Times New Roman"/>
          <w:kern w:val="24"/>
          <w:sz w:val="24"/>
          <w:szCs w:val="24"/>
          <w:lang w:eastAsia="en-GB"/>
        </w:rPr>
        <w:t xml:space="preserve">The infliximab Fab fragments were cloned into the phagemid vector after assessment of </w:t>
      </w:r>
      <w:r w:rsidR="00D43C74" w:rsidRPr="00EB2576">
        <w:rPr>
          <w:rFonts w:ascii="Times New Roman" w:hAnsi="Times New Roman" w:cs="Times New Roman"/>
          <w:kern w:val="24"/>
          <w:sz w:val="24"/>
          <w:szCs w:val="24"/>
          <w:lang w:eastAsia="en-GB"/>
        </w:rPr>
        <w:t>different condition</w:t>
      </w:r>
      <w:r w:rsidR="000161C2" w:rsidRPr="00EB2576">
        <w:rPr>
          <w:rFonts w:ascii="Times New Roman" w:hAnsi="Times New Roman" w:cs="Times New Roman"/>
          <w:kern w:val="24"/>
          <w:sz w:val="24"/>
          <w:szCs w:val="24"/>
          <w:lang w:eastAsia="en-GB"/>
        </w:rPr>
        <w:t>s</w:t>
      </w:r>
      <w:r w:rsidR="00D43C74" w:rsidRPr="00EB2576">
        <w:rPr>
          <w:rFonts w:ascii="Times New Roman" w:hAnsi="Times New Roman" w:cs="Times New Roman"/>
          <w:kern w:val="24"/>
          <w:sz w:val="24"/>
          <w:szCs w:val="24"/>
          <w:lang w:eastAsia="en-GB"/>
        </w:rPr>
        <w:t xml:space="preserve"> for efficient </w:t>
      </w:r>
      <w:r w:rsidR="000161C2" w:rsidRPr="00EB2576">
        <w:rPr>
          <w:rFonts w:ascii="Times New Roman" w:hAnsi="Times New Roman" w:cs="Times New Roman"/>
          <w:kern w:val="24"/>
          <w:sz w:val="24"/>
          <w:szCs w:val="24"/>
          <w:lang w:eastAsia="en-GB"/>
        </w:rPr>
        <w:t>ligation</w:t>
      </w:r>
      <w:r w:rsidR="00D43C74" w:rsidRPr="00EB2576">
        <w:rPr>
          <w:rFonts w:ascii="Times New Roman" w:hAnsi="Times New Roman" w:cs="Times New Roman"/>
          <w:kern w:val="24"/>
          <w:sz w:val="24"/>
          <w:szCs w:val="24"/>
          <w:lang w:eastAsia="en-GB"/>
        </w:rPr>
        <w:t xml:space="preserve"> using 1) dephosphorylated digested vector 2) dephosphorylated digested vector and </w:t>
      </w:r>
      <w:proofErr w:type="spellStart"/>
      <w:r w:rsidR="00D43C74" w:rsidRPr="00EB2576">
        <w:rPr>
          <w:rFonts w:ascii="Times New Roman" w:hAnsi="Times New Roman" w:cs="Times New Roman"/>
          <w:kern w:val="24"/>
          <w:sz w:val="24"/>
          <w:szCs w:val="24"/>
          <w:lang w:eastAsia="en-GB"/>
        </w:rPr>
        <w:t>SrfI</w:t>
      </w:r>
      <w:proofErr w:type="spellEnd"/>
      <w:r w:rsidR="00D43C74" w:rsidRPr="00EB2576">
        <w:rPr>
          <w:rFonts w:ascii="Times New Roman" w:hAnsi="Times New Roman" w:cs="Times New Roman"/>
          <w:kern w:val="24"/>
          <w:sz w:val="24"/>
          <w:szCs w:val="24"/>
          <w:lang w:eastAsia="en-GB"/>
        </w:rPr>
        <w:t xml:space="preserve"> restriction enzyme and 3) different </w:t>
      </w:r>
      <w:proofErr w:type="spellStart"/>
      <w:r w:rsidR="00D43C74" w:rsidRPr="00EB2576">
        <w:rPr>
          <w:rFonts w:ascii="Times New Roman" w:hAnsi="Times New Roman" w:cs="Times New Roman"/>
          <w:kern w:val="24"/>
          <w:sz w:val="24"/>
          <w:szCs w:val="24"/>
          <w:lang w:eastAsia="en-GB"/>
        </w:rPr>
        <w:t>vector:insert</w:t>
      </w:r>
      <w:proofErr w:type="spellEnd"/>
      <w:r w:rsidR="00D43C74" w:rsidRPr="00EB2576">
        <w:rPr>
          <w:rFonts w:ascii="Times New Roman" w:hAnsi="Times New Roman" w:cs="Times New Roman"/>
          <w:kern w:val="24"/>
          <w:sz w:val="24"/>
          <w:szCs w:val="24"/>
          <w:lang w:eastAsia="en-GB"/>
        </w:rPr>
        <w:t xml:space="preserve"> ratios. </w:t>
      </w:r>
      <w:r w:rsidR="00D43C74" w:rsidRPr="00EB2576">
        <w:rPr>
          <w:rFonts w:ascii="Times New Roman" w:hAnsi="Times New Roman" w:cs="Times New Roman"/>
          <w:sz w:val="24"/>
          <w:szCs w:val="24"/>
        </w:rPr>
        <w:t xml:space="preserve">The ligation reactions were transformed into </w:t>
      </w:r>
      <w:r w:rsidR="000161C2" w:rsidRPr="00EB2576">
        <w:rPr>
          <w:rFonts w:ascii="Times New Roman" w:hAnsi="Times New Roman" w:cs="Times New Roman"/>
          <w:i/>
          <w:iCs/>
          <w:sz w:val="24"/>
          <w:szCs w:val="24"/>
        </w:rPr>
        <w:t>Escherichia</w:t>
      </w:r>
      <w:r w:rsidR="000161C2" w:rsidRPr="00EB2576">
        <w:rPr>
          <w:rFonts w:ascii="Times New Roman" w:hAnsi="Times New Roman" w:cs="Times New Roman"/>
          <w:sz w:val="24"/>
          <w:szCs w:val="24"/>
        </w:rPr>
        <w:t xml:space="preserve"> coli </w:t>
      </w:r>
      <w:r w:rsidR="00D43C74" w:rsidRPr="00EB2576">
        <w:rPr>
          <w:rFonts w:ascii="Times New Roman" w:hAnsi="Times New Roman" w:cs="Times New Roman"/>
          <w:sz w:val="24"/>
          <w:szCs w:val="24"/>
        </w:rPr>
        <w:t>cells</w:t>
      </w:r>
      <w:r w:rsidR="0059493E" w:rsidRPr="00EB2576">
        <w:rPr>
          <w:rFonts w:ascii="Times New Roman" w:hAnsi="Times New Roman" w:cs="Times New Roman"/>
          <w:sz w:val="24"/>
          <w:szCs w:val="24"/>
        </w:rPr>
        <w:t xml:space="preserve"> </w:t>
      </w:r>
      <w:r w:rsidR="00D43C74" w:rsidRPr="00EB2576">
        <w:rPr>
          <w:rFonts w:ascii="Times New Roman" w:hAnsi="Times New Roman" w:cs="Times New Roman"/>
          <w:sz w:val="24"/>
          <w:szCs w:val="24"/>
        </w:rPr>
        <w:t xml:space="preserve">using electroporation of 1700 volts. </w:t>
      </w:r>
      <w:bookmarkStart w:id="206" w:name="_Toc87612108"/>
    </w:p>
    <w:p w14:paraId="01830544" w14:textId="77777777" w:rsidR="002E2CAB" w:rsidRPr="00EB2576" w:rsidRDefault="002E2CAB" w:rsidP="002E2CAB">
      <w:pPr>
        <w:spacing w:line="240" w:lineRule="auto"/>
        <w:rPr>
          <w:rFonts w:ascii="Times New Roman" w:hAnsi="Times New Roman" w:cs="Times New Roman"/>
          <w:sz w:val="24"/>
          <w:szCs w:val="24"/>
        </w:rPr>
      </w:pPr>
    </w:p>
    <w:p w14:paraId="33689BE6" w14:textId="77777777" w:rsidR="002E2CAB" w:rsidRPr="00EB2576" w:rsidRDefault="002E2CAB" w:rsidP="002E2CAB">
      <w:pPr>
        <w:spacing w:line="240" w:lineRule="auto"/>
        <w:rPr>
          <w:rFonts w:ascii="Times New Roman" w:hAnsi="Times New Roman" w:cs="Times New Roman"/>
          <w:sz w:val="24"/>
          <w:szCs w:val="24"/>
        </w:rPr>
      </w:pPr>
    </w:p>
    <w:p w14:paraId="712B6386" w14:textId="77777777" w:rsidR="002E2CAB" w:rsidRPr="00EB2576" w:rsidRDefault="002E2CAB" w:rsidP="002E2CAB">
      <w:pPr>
        <w:spacing w:line="240" w:lineRule="auto"/>
        <w:rPr>
          <w:rFonts w:ascii="Times New Roman" w:hAnsi="Times New Roman" w:cs="Times New Roman"/>
          <w:sz w:val="24"/>
          <w:szCs w:val="24"/>
        </w:rPr>
      </w:pPr>
    </w:p>
    <w:p w14:paraId="01581908" w14:textId="4F4308F4" w:rsidR="00D30BD3" w:rsidRPr="00EB2576" w:rsidRDefault="00B21968" w:rsidP="00D30BD3">
      <w:pPr>
        <w:pStyle w:val="Heading2"/>
        <w:spacing w:line="480" w:lineRule="auto"/>
        <w:rPr>
          <w:rFonts w:ascii="Times New Roman" w:hAnsi="Times New Roman" w:cs="Times New Roman"/>
          <w:sz w:val="24"/>
          <w:szCs w:val="24"/>
          <w:lang w:eastAsia="en-GB"/>
        </w:rPr>
      </w:pPr>
      <w:bookmarkStart w:id="207" w:name="_Toc151020515"/>
      <w:r w:rsidRPr="00EB2576">
        <w:rPr>
          <w:rFonts w:ascii="Times New Roman" w:hAnsi="Times New Roman" w:cs="Times New Roman"/>
          <w:sz w:val="24"/>
          <w:szCs w:val="24"/>
          <w:lang w:eastAsia="en-GB"/>
        </w:rPr>
        <w:lastRenderedPageBreak/>
        <w:t>4</w:t>
      </w:r>
      <w:r w:rsidR="00D30BD3" w:rsidRPr="00EB2576">
        <w:rPr>
          <w:rFonts w:ascii="Times New Roman" w:hAnsi="Times New Roman" w:cs="Times New Roman"/>
          <w:sz w:val="24"/>
          <w:szCs w:val="24"/>
          <w:lang w:eastAsia="en-GB"/>
        </w:rPr>
        <w:t>.3 Results</w:t>
      </w:r>
      <w:bookmarkEnd w:id="206"/>
      <w:bookmarkEnd w:id="207"/>
    </w:p>
    <w:p w14:paraId="2BC4E834" w14:textId="04E1AD22" w:rsidR="00D30BD3" w:rsidRPr="00EB2576" w:rsidRDefault="00B21968" w:rsidP="00D30BD3">
      <w:pPr>
        <w:pStyle w:val="Heading3"/>
        <w:spacing w:line="480" w:lineRule="auto"/>
        <w:rPr>
          <w:rFonts w:ascii="Times New Roman" w:hAnsi="Times New Roman" w:cs="Times New Roman"/>
          <w:b/>
          <w:bCs/>
        </w:rPr>
      </w:pPr>
      <w:bookmarkStart w:id="208" w:name="_Toc87612109"/>
      <w:bookmarkStart w:id="209" w:name="_Toc151020516"/>
      <w:r w:rsidRPr="00EB2576">
        <w:rPr>
          <w:rFonts w:ascii="Times New Roman" w:hAnsi="Times New Roman" w:cs="Times New Roman"/>
          <w:b/>
          <w:bCs/>
        </w:rPr>
        <w:t>4</w:t>
      </w:r>
      <w:r w:rsidR="00D30BD3" w:rsidRPr="00EB2576">
        <w:rPr>
          <w:rFonts w:ascii="Times New Roman" w:hAnsi="Times New Roman" w:cs="Times New Roman"/>
          <w:b/>
          <w:bCs/>
        </w:rPr>
        <w:t>.3.1 Production of infliximab Fab gene fragments</w:t>
      </w:r>
      <w:bookmarkEnd w:id="208"/>
      <w:bookmarkEnd w:id="209"/>
      <w:r w:rsidR="00D30BD3" w:rsidRPr="00EB2576">
        <w:rPr>
          <w:rFonts w:ascii="Times New Roman" w:hAnsi="Times New Roman" w:cs="Times New Roman"/>
          <w:b/>
          <w:bCs/>
        </w:rPr>
        <w:t xml:space="preserve"> </w:t>
      </w:r>
    </w:p>
    <w:p w14:paraId="1499BCCB" w14:textId="31A7B396" w:rsidR="00D30BD3" w:rsidRPr="00EB2576" w:rsidRDefault="00D30BD3" w:rsidP="00C1605D">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PCR amplification of the infliximab fab heavy chain and light chain were confirmed on gel electrophoresis (Figure </w:t>
      </w:r>
      <w:r w:rsidR="00E404E3" w:rsidRPr="00EB2576">
        <w:rPr>
          <w:rFonts w:ascii="Times New Roman" w:hAnsi="Times New Roman" w:cs="Times New Roman"/>
          <w:sz w:val="24"/>
          <w:szCs w:val="24"/>
        </w:rPr>
        <w:t>2</w:t>
      </w:r>
      <w:r w:rsidR="008A4462" w:rsidRPr="00EB2576">
        <w:rPr>
          <w:rFonts w:ascii="Times New Roman" w:hAnsi="Times New Roman" w:cs="Times New Roman"/>
          <w:sz w:val="24"/>
          <w:szCs w:val="24"/>
        </w:rPr>
        <w:t>3</w:t>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rPr>
        <w:t xml:space="preserve">Sonication of the PCR products at 5 </w:t>
      </w:r>
      <w:r w:rsidR="00A02CB1" w:rsidRPr="00EB2576">
        <w:rPr>
          <w:rFonts w:ascii="Times New Roman" w:hAnsi="Times New Roman" w:cs="Times New Roman"/>
          <w:kern w:val="24"/>
          <w:sz w:val="24"/>
          <w:szCs w:val="24"/>
        </w:rPr>
        <w:t>µ</w:t>
      </w:r>
      <w:r w:rsidRPr="00EB2576">
        <w:rPr>
          <w:rFonts w:ascii="Times New Roman" w:hAnsi="Times New Roman" w:cs="Times New Roman"/>
          <w:kern w:val="24"/>
          <w:sz w:val="24"/>
          <w:szCs w:val="24"/>
        </w:rPr>
        <w:t xml:space="preserve">M amplitude, </w:t>
      </w:r>
      <w:r w:rsidRPr="00EB2576">
        <w:rPr>
          <w:rFonts w:ascii="Times New Roman" w:hAnsi="Times New Roman" w:cs="Times New Roman"/>
          <w:kern w:val="24"/>
          <w:sz w:val="24"/>
          <w:szCs w:val="24"/>
          <w:lang w:eastAsia="en-GB"/>
        </w:rPr>
        <w:t xml:space="preserve">200 </w:t>
      </w:r>
      <w:r w:rsidR="00A02CB1" w:rsidRPr="00EB2576">
        <w:rPr>
          <w:rFonts w:ascii="Times New Roman" w:hAnsi="Times New Roman" w:cs="Times New Roman"/>
          <w:kern w:val="24"/>
          <w:sz w:val="24"/>
          <w:szCs w:val="24"/>
          <w:lang w:eastAsia="en-GB"/>
        </w:rPr>
        <w:t>µ</w:t>
      </w:r>
      <w:r w:rsidRPr="00EB2576">
        <w:rPr>
          <w:rFonts w:ascii="Times New Roman" w:hAnsi="Times New Roman" w:cs="Times New Roman"/>
          <w:kern w:val="24"/>
          <w:sz w:val="24"/>
          <w:szCs w:val="24"/>
          <w:lang w:eastAsia="en-GB"/>
        </w:rPr>
        <w:t xml:space="preserve">l volumes </w:t>
      </w:r>
      <w:r w:rsidRPr="00EB2576">
        <w:rPr>
          <w:rFonts w:ascii="Times New Roman" w:eastAsia="Times New Roman" w:hAnsi="Times New Roman" w:cs="Times New Roman"/>
          <w:sz w:val="24"/>
          <w:szCs w:val="24"/>
          <w:lang w:eastAsia="en-GB"/>
        </w:rPr>
        <w:t>(</w:t>
      </w:r>
      <w:r w:rsidRPr="00EB2576">
        <w:rPr>
          <w:rFonts w:ascii="Times New Roman" w:hAnsi="Times New Roman" w:cs="Times New Roman"/>
          <w:kern w:val="24"/>
          <w:sz w:val="24"/>
          <w:szCs w:val="24"/>
        </w:rPr>
        <w:t>1</w:t>
      </w:r>
      <w:r w:rsidR="00A02CB1" w:rsidRPr="00EB2576">
        <w:rPr>
          <w:rFonts w:ascii="Times New Roman" w:hAnsi="Times New Roman" w:cs="Times New Roman"/>
          <w:kern w:val="24"/>
          <w:sz w:val="24"/>
          <w:szCs w:val="24"/>
        </w:rPr>
        <w:t>µ</w:t>
      </w:r>
      <w:r w:rsidRPr="00EB2576">
        <w:rPr>
          <w:rFonts w:ascii="Times New Roman" w:hAnsi="Times New Roman" w:cs="Times New Roman"/>
          <w:kern w:val="24"/>
          <w:sz w:val="24"/>
          <w:szCs w:val="24"/>
        </w:rPr>
        <w:t xml:space="preserve">g DNA in 100 </w:t>
      </w:r>
      <w:r w:rsidR="00A02CB1" w:rsidRPr="00EB2576">
        <w:rPr>
          <w:rFonts w:ascii="Times New Roman" w:hAnsi="Times New Roman" w:cs="Times New Roman"/>
          <w:kern w:val="24"/>
          <w:sz w:val="24"/>
          <w:szCs w:val="24"/>
        </w:rPr>
        <w:t>µ</w:t>
      </w:r>
      <w:r w:rsidRPr="00EB2576">
        <w:rPr>
          <w:rFonts w:ascii="Times New Roman" w:hAnsi="Times New Roman" w:cs="Times New Roman"/>
          <w:kern w:val="24"/>
          <w:sz w:val="24"/>
          <w:szCs w:val="24"/>
        </w:rPr>
        <w:t>L</w:t>
      </w:r>
      <w:r w:rsidR="00071A84" w:rsidRPr="00EB2576">
        <w:rPr>
          <w:rFonts w:ascii="Times New Roman" w:hAnsi="Times New Roman" w:cs="Times New Roman"/>
          <w:kern w:val="24"/>
          <w:sz w:val="24"/>
          <w:szCs w:val="24"/>
        </w:rPr>
        <w:t xml:space="preserve"> of nuclease free </w:t>
      </w:r>
      <w:r w:rsidR="00A02CB1" w:rsidRPr="00EB2576">
        <w:rPr>
          <w:rFonts w:ascii="Times New Roman" w:hAnsi="Times New Roman" w:cs="Times New Roman"/>
          <w:kern w:val="24"/>
          <w:sz w:val="24"/>
          <w:szCs w:val="24"/>
        </w:rPr>
        <w:t>H2O</w:t>
      </w:r>
      <w:r w:rsidRPr="00EB2576">
        <w:rPr>
          <w:rFonts w:ascii="Times New Roman" w:hAnsi="Times New Roman" w:cs="Times New Roman"/>
          <w:kern w:val="24"/>
          <w:sz w:val="24"/>
          <w:szCs w:val="24"/>
        </w:rPr>
        <w:t xml:space="preserve">) for 6 minutes and above led to full digestion and produced </w:t>
      </w:r>
      <w:r w:rsidRPr="00EB2576">
        <w:rPr>
          <w:rFonts w:ascii="Times New Roman" w:eastAsia="Times New Roman" w:hAnsi="Times New Roman" w:cs="Times New Roman"/>
          <w:sz w:val="24"/>
          <w:szCs w:val="24"/>
          <w:lang w:eastAsia="en-GB"/>
        </w:rPr>
        <w:t xml:space="preserve">DNA fragments </w:t>
      </w:r>
      <w:r w:rsidRPr="00EB2576">
        <w:rPr>
          <w:rFonts w:ascii="Times New Roman" w:hAnsi="Times New Roman" w:cs="Times New Roman"/>
          <w:kern w:val="24"/>
          <w:sz w:val="24"/>
          <w:szCs w:val="24"/>
          <w:lang w:eastAsia="en-GB"/>
        </w:rPr>
        <w:t xml:space="preserve">up to 400 base pairs (~up to 130 amino acid length peptides) (Figure </w:t>
      </w:r>
      <w:r w:rsidR="00E404E3" w:rsidRPr="00EB2576">
        <w:rPr>
          <w:rFonts w:ascii="Times New Roman" w:hAnsi="Times New Roman" w:cs="Times New Roman"/>
          <w:kern w:val="24"/>
          <w:sz w:val="24"/>
          <w:szCs w:val="24"/>
          <w:lang w:eastAsia="en-GB"/>
        </w:rPr>
        <w:t>2</w:t>
      </w:r>
      <w:r w:rsidR="009720B2" w:rsidRPr="00EB2576">
        <w:rPr>
          <w:rFonts w:ascii="Times New Roman" w:hAnsi="Times New Roman" w:cs="Times New Roman"/>
          <w:kern w:val="24"/>
          <w:sz w:val="24"/>
          <w:szCs w:val="24"/>
          <w:lang w:eastAsia="en-GB"/>
        </w:rPr>
        <w:t>5</w:t>
      </w:r>
      <w:r w:rsidRPr="00EB2576">
        <w:rPr>
          <w:rFonts w:ascii="Times New Roman" w:hAnsi="Times New Roman" w:cs="Times New Roman"/>
          <w:kern w:val="24"/>
          <w:sz w:val="24"/>
          <w:szCs w:val="24"/>
          <w:lang w:eastAsia="en-GB"/>
        </w:rPr>
        <w:t>).</w:t>
      </w:r>
    </w:p>
    <w:p w14:paraId="613D4827" w14:textId="77777777" w:rsidR="00E404E3" w:rsidRPr="00EB2576" w:rsidRDefault="00D30BD3" w:rsidP="00E404E3">
      <w:pPr>
        <w:keepNext/>
        <w:autoSpaceDE w:val="0"/>
        <w:autoSpaceDN w:val="0"/>
        <w:adjustRightInd w:val="0"/>
        <w:spacing w:after="0" w:line="480" w:lineRule="auto"/>
      </w:pPr>
      <w:r w:rsidRPr="00EB2576">
        <w:rPr>
          <w:rFonts w:ascii="Times New Roman" w:hAnsi="Times New Roman" w:cs="Times New Roman"/>
          <w:sz w:val="24"/>
          <w:szCs w:val="24"/>
          <w:lang w:eastAsia="en-GB"/>
        </w:rPr>
        <w:tab/>
      </w:r>
      <w:r w:rsidRPr="00EB2576">
        <w:rPr>
          <w:rFonts w:ascii="Times New Roman" w:hAnsi="Times New Roman" w:cs="Times New Roman"/>
          <w:b/>
          <w:noProof/>
          <w:sz w:val="24"/>
          <w:szCs w:val="24"/>
        </w:rPr>
        <w:drawing>
          <wp:inline distT="0" distB="0" distL="0" distR="0" wp14:anchorId="60797F0F" wp14:editId="40DE5ECC">
            <wp:extent cx="5596255" cy="1781109"/>
            <wp:effectExtent l="0" t="0" r="4445" b="0"/>
            <wp:docPr id="21" name="Picture 2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phical user interface&#10;&#10;Description automatically generated"/>
                    <pic:cNvPicPr/>
                  </pic:nvPicPr>
                  <pic:blipFill rotWithShape="1">
                    <a:blip r:embed="rId50"/>
                    <a:srcRect l="3751" t="44025" r="11870" b="24522"/>
                    <a:stretch/>
                  </pic:blipFill>
                  <pic:spPr bwMode="auto">
                    <a:xfrm>
                      <a:off x="0" y="0"/>
                      <a:ext cx="5796917" cy="1844973"/>
                    </a:xfrm>
                    <a:prstGeom prst="rect">
                      <a:avLst/>
                    </a:prstGeom>
                    <a:ln>
                      <a:noFill/>
                    </a:ln>
                    <a:extLst>
                      <a:ext uri="{53640926-AAD7-44D8-BBD7-CCE9431645EC}">
                        <a14:shadowObscured xmlns:a14="http://schemas.microsoft.com/office/drawing/2010/main"/>
                      </a:ext>
                    </a:extLst>
                  </pic:spPr>
                </pic:pic>
              </a:graphicData>
            </a:graphic>
          </wp:inline>
        </w:drawing>
      </w:r>
    </w:p>
    <w:p w14:paraId="1805BDD5" w14:textId="77777777" w:rsidR="00B21968" w:rsidRPr="00EB2576" w:rsidRDefault="00B21968" w:rsidP="009720B2">
      <w:pPr>
        <w:spacing w:after="0" w:line="240" w:lineRule="auto"/>
        <w:rPr>
          <w:rFonts w:ascii="Times New Roman" w:hAnsi="Times New Roman" w:cs="Times New Roman"/>
          <w:b/>
          <w:bCs/>
          <w:sz w:val="24"/>
          <w:szCs w:val="24"/>
        </w:rPr>
      </w:pPr>
      <w:bookmarkStart w:id="210" w:name="_Toc139397323"/>
    </w:p>
    <w:p w14:paraId="56905884" w14:textId="60BB99BC" w:rsidR="00D30BD3" w:rsidRPr="00EB2576" w:rsidRDefault="00E404E3" w:rsidP="009720B2">
      <w:pPr>
        <w:spacing w:after="0" w:line="240" w:lineRule="auto"/>
        <w:rPr>
          <w:rFonts w:ascii="Times New Roman" w:hAnsi="Times New Roman" w:cs="Times New Roman"/>
          <w:b/>
          <w:bCs/>
          <w:kern w:val="24"/>
          <w:sz w:val="24"/>
          <w:szCs w:val="24"/>
          <w:lang w:eastAsia="en-GB"/>
        </w:rPr>
      </w:pPr>
      <w:bookmarkStart w:id="211" w:name="_Toc151020670"/>
      <w:r w:rsidRPr="00EB2576">
        <w:rPr>
          <w:rFonts w:ascii="Times New Roman" w:hAnsi="Times New Roman" w:cs="Times New Roman"/>
          <w:b/>
          <w:bCs/>
          <w:sz w:val="24"/>
          <w:szCs w:val="24"/>
        </w:rPr>
        <w:t xml:space="preserve">Figure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Figure \* ARABIC </w:instrText>
      </w:r>
      <w:r w:rsidRPr="00EB2576">
        <w:rPr>
          <w:rFonts w:ascii="Times New Roman" w:hAnsi="Times New Roman" w:cs="Times New Roman"/>
          <w:b/>
          <w:bCs/>
          <w:sz w:val="24"/>
          <w:szCs w:val="24"/>
        </w:rPr>
        <w:fldChar w:fldCharType="separate"/>
      </w:r>
      <w:r w:rsidR="00192EAE" w:rsidRPr="00EB2576">
        <w:rPr>
          <w:rFonts w:ascii="Times New Roman" w:hAnsi="Times New Roman" w:cs="Times New Roman"/>
          <w:b/>
          <w:bCs/>
          <w:noProof/>
          <w:sz w:val="24"/>
          <w:szCs w:val="24"/>
        </w:rPr>
        <w:t>25</w:t>
      </w:r>
      <w:r w:rsidRPr="00EB2576">
        <w:rPr>
          <w:rFonts w:ascii="Times New Roman" w:hAnsi="Times New Roman" w:cs="Times New Roman"/>
          <w:b/>
          <w:bCs/>
          <w:sz w:val="24"/>
          <w:szCs w:val="24"/>
        </w:rPr>
        <w:fldChar w:fldCharType="end"/>
      </w:r>
      <w:r w:rsidR="00EF5C69" w:rsidRPr="00EB2576">
        <w:rPr>
          <w:rFonts w:ascii="Times New Roman" w:hAnsi="Times New Roman" w:cs="Times New Roman"/>
          <w:b/>
          <w:bCs/>
          <w:sz w:val="24"/>
          <w:szCs w:val="24"/>
        </w:rPr>
        <w:t xml:space="preserve">. </w:t>
      </w:r>
      <w:r w:rsidR="00EF5C69" w:rsidRPr="00EB2576">
        <w:rPr>
          <w:rFonts w:ascii="Times New Roman" w:hAnsi="Times New Roman" w:cs="Times New Roman"/>
          <w:b/>
          <w:bCs/>
          <w:kern w:val="24"/>
          <w:sz w:val="24"/>
          <w:szCs w:val="24"/>
          <w:lang w:eastAsia="en-GB"/>
        </w:rPr>
        <w:t>Gel electrophoresis to confirm PCR amplification of infliximab light chain (LC) and Fab heavy chain (HC) with DNA digestion using sonication at different time stops (0-7 m).</w:t>
      </w:r>
      <w:bookmarkEnd w:id="210"/>
      <w:bookmarkEnd w:id="211"/>
    </w:p>
    <w:p w14:paraId="7AA0A7F3" w14:textId="77464D84" w:rsidR="00D30BD3" w:rsidRPr="00EB2576" w:rsidRDefault="00D30BD3" w:rsidP="009720B2">
      <w:pPr>
        <w:spacing w:before="200" w:after="0" w:line="240" w:lineRule="auto"/>
        <w:rPr>
          <w:rFonts w:ascii="Times New Roman" w:eastAsia="Times New Roman" w:hAnsi="Times New Roman" w:cs="Times New Roman"/>
          <w:sz w:val="24"/>
          <w:szCs w:val="24"/>
          <w:lang w:eastAsia="en-GB"/>
        </w:rPr>
      </w:pPr>
      <w:r w:rsidRPr="00EB2576">
        <w:rPr>
          <w:rFonts w:ascii="Times New Roman" w:hAnsi="Times New Roman" w:cs="Times New Roman"/>
          <w:kern w:val="24"/>
          <w:sz w:val="24"/>
          <w:szCs w:val="24"/>
          <w:lang w:eastAsia="en-GB"/>
        </w:rPr>
        <w:t>Infliximab fab heavy chain is 663 base pairs and infliximab light chain 642 base pairs.</w:t>
      </w:r>
      <w:r w:rsidRPr="00EB2576">
        <w:rPr>
          <w:rFonts w:ascii="Times New Roman" w:eastAsia="Times New Roman" w:hAnsi="Times New Roman" w:cs="Times New Roman"/>
          <w:sz w:val="24"/>
          <w:szCs w:val="24"/>
          <w:lang w:eastAsia="en-GB"/>
        </w:rPr>
        <w:t xml:space="preserve"> Post PCR, DNA was combined. Column 0 m - 7 m (0-7 minutes) confirm DNA digestion using sonication at different time stops</w:t>
      </w:r>
      <w:r w:rsidRPr="00EB2576">
        <w:rPr>
          <w:rFonts w:ascii="Times New Roman" w:hAnsi="Times New Roman" w:cs="Times New Roman"/>
          <w:kern w:val="24"/>
          <w:sz w:val="24"/>
          <w:szCs w:val="24"/>
          <w:lang w:eastAsia="en-GB"/>
        </w:rPr>
        <w:t>.</w:t>
      </w:r>
    </w:p>
    <w:p w14:paraId="005819FB" w14:textId="77777777" w:rsidR="00D30BD3" w:rsidRPr="00EB2576" w:rsidRDefault="00D30BD3" w:rsidP="009720B2">
      <w:pPr>
        <w:spacing w:after="0" w:line="240" w:lineRule="auto"/>
        <w:rPr>
          <w:rFonts w:ascii="Times New Roman" w:hAnsi="Times New Roman" w:cs="Times New Roman"/>
          <w:i/>
          <w:iCs/>
          <w:kern w:val="24"/>
          <w:sz w:val="24"/>
          <w:szCs w:val="24"/>
          <w:lang w:eastAsia="en-GB"/>
        </w:rPr>
      </w:pPr>
      <w:r w:rsidRPr="00EB2576">
        <w:rPr>
          <w:rFonts w:ascii="Times New Roman" w:hAnsi="Times New Roman" w:cs="Times New Roman"/>
          <w:i/>
          <w:iCs/>
          <w:kern w:val="24"/>
          <w:sz w:val="24"/>
          <w:szCs w:val="24"/>
          <w:lang w:eastAsia="en-GB"/>
        </w:rPr>
        <w:t>(LC: light chain, HC: heavy chain fab</w:t>
      </w:r>
      <w:bookmarkStart w:id="212" w:name="_Hlk99974103"/>
      <w:r w:rsidRPr="00EB2576">
        <w:rPr>
          <w:rFonts w:ascii="Times New Roman" w:hAnsi="Times New Roman" w:cs="Times New Roman"/>
          <w:i/>
          <w:iCs/>
          <w:kern w:val="24"/>
          <w:sz w:val="24"/>
          <w:szCs w:val="24"/>
          <w:lang w:eastAsia="en-GB"/>
        </w:rPr>
        <w:t>, bp: base pairs</w:t>
      </w:r>
      <w:bookmarkEnd w:id="212"/>
      <w:r w:rsidRPr="00EB2576">
        <w:rPr>
          <w:rFonts w:ascii="Times New Roman" w:hAnsi="Times New Roman" w:cs="Times New Roman"/>
          <w:i/>
          <w:iCs/>
          <w:kern w:val="24"/>
          <w:sz w:val="24"/>
          <w:szCs w:val="24"/>
          <w:lang w:eastAsia="en-GB"/>
        </w:rPr>
        <w:t>, m: minutes)</w:t>
      </w:r>
    </w:p>
    <w:p w14:paraId="47A1CCF6" w14:textId="77777777" w:rsidR="009720B2" w:rsidRPr="00EB2576" w:rsidRDefault="009720B2" w:rsidP="009720B2">
      <w:pPr>
        <w:spacing w:after="0" w:line="240" w:lineRule="auto"/>
        <w:rPr>
          <w:rFonts w:ascii="Times New Roman" w:hAnsi="Times New Roman" w:cs="Times New Roman"/>
          <w:i/>
          <w:iCs/>
          <w:kern w:val="24"/>
          <w:sz w:val="24"/>
          <w:szCs w:val="24"/>
          <w:lang w:eastAsia="en-GB"/>
        </w:rPr>
      </w:pPr>
    </w:p>
    <w:p w14:paraId="433E2690" w14:textId="77777777" w:rsidR="009720B2" w:rsidRPr="00EB2576" w:rsidRDefault="009720B2" w:rsidP="009720B2">
      <w:pPr>
        <w:spacing w:after="0" w:line="240" w:lineRule="auto"/>
        <w:rPr>
          <w:rFonts w:ascii="Times New Roman" w:hAnsi="Times New Roman" w:cs="Times New Roman"/>
          <w:i/>
          <w:iCs/>
          <w:kern w:val="24"/>
          <w:sz w:val="24"/>
          <w:szCs w:val="24"/>
          <w:lang w:eastAsia="en-GB"/>
        </w:rPr>
      </w:pPr>
    </w:p>
    <w:p w14:paraId="1BE1E8E9" w14:textId="77777777" w:rsidR="009720B2" w:rsidRPr="00EB2576" w:rsidRDefault="009720B2" w:rsidP="009720B2">
      <w:pPr>
        <w:spacing w:after="0" w:line="240" w:lineRule="auto"/>
        <w:rPr>
          <w:rFonts w:ascii="Times New Roman" w:hAnsi="Times New Roman" w:cs="Times New Roman"/>
          <w:i/>
          <w:iCs/>
          <w:kern w:val="24"/>
          <w:sz w:val="24"/>
          <w:szCs w:val="24"/>
          <w:lang w:eastAsia="en-GB"/>
        </w:rPr>
      </w:pPr>
    </w:p>
    <w:p w14:paraId="4EE959AC" w14:textId="77777777" w:rsidR="00D30BD3" w:rsidRPr="00EB2576" w:rsidRDefault="00D30BD3" w:rsidP="00D30BD3">
      <w:pPr>
        <w:spacing w:line="480" w:lineRule="auto"/>
        <w:rPr>
          <w:rFonts w:ascii="Times New Roman" w:hAnsi="Times New Roman" w:cs="Times New Roman"/>
          <w:sz w:val="24"/>
          <w:szCs w:val="24"/>
          <w:lang w:eastAsia="en-GB"/>
        </w:rPr>
      </w:pPr>
    </w:p>
    <w:p w14:paraId="52E334A3" w14:textId="77777777" w:rsidR="009720B2" w:rsidRPr="00EB2576" w:rsidRDefault="009720B2" w:rsidP="00D30BD3">
      <w:pPr>
        <w:tabs>
          <w:tab w:val="left" w:pos="6100"/>
        </w:tabs>
        <w:rPr>
          <w:rFonts w:ascii="Times New Roman" w:hAnsi="Times New Roman" w:cs="Times New Roman"/>
          <w:sz w:val="24"/>
          <w:szCs w:val="24"/>
          <w:lang w:eastAsia="en-GB"/>
        </w:rPr>
      </w:pPr>
    </w:p>
    <w:p w14:paraId="20866BC2" w14:textId="77777777" w:rsidR="009720B2" w:rsidRPr="00EB2576" w:rsidRDefault="009720B2" w:rsidP="00D30BD3">
      <w:pPr>
        <w:tabs>
          <w:tab w:val="left" w:pos="6100"/>
        </w:tabs>
        <w:rPr>
          <w:rFonts w:ascii="Times New Roman" w:hAnsi="Times New Roman" w:cs="Times New Roman"/>
          <w:sz w:val="24"/>
          <w:szCs w:val="24"/>
          <w:lang w:eastAsia="en-GB"/>
        </w:rPr>
      </w:pPr>
    </w:p>
    <w:p w14:paraId="6921EAC2" w14:textId="71673C6F" w:rsidR="00D30BD3" w:rsidRPr="00EB2576" w:rsidRDefault="00D30BD3" w:rsidP="00D30BD3">
      <w:pPr>
        <w:tabs>
          <w:tab w:val="left" w:pos="6100"/>
        </w:tabs>
        <w:rPr>
          <w:rFonts w:ascii="Times New Roman" w:hAnsi="Times New Roman" w:cs="Times New Roman"/>
          <w:sz w:val="24"/>
          <w:szCs w:val="24"/>
          <w:lang w:eastAsia="en-GB"/>
        </w:rPr>
      </w:pPr>
      <w:r w:rsidRPr="00EB2576">
        <w:rPr>
          <w:rFonts w:ascii="Times New Roman" w:hAnsi="Times New Roman" w:cs="Times New Roman"/>
          <w:sz w:val="24"/>
          <w:szCs w:val="24"/>
          <w:lang w:eastAsia="en-GB"/>
        </w:rPr>
        <w:tab/>
      </w:r>
    </w:p>
    <w:p w14:paraId="55380372" w14:textId="353AB5BB" w:rsidR="00D30BD3" w:rsidRPr="00EB2576" w:rsidRDefault="00B21968" w:rsidP="00D30BD3">
      <w:pPr>
        <w:pStyle w:val="Heading3"/>
        <w:spacing w:line="480" w:lineRule="auto"/>
        <w:rPr>
          <w:rFonts w:ascii="Times New Roman" w:eastAsia="Times New Roman" w:hAnsi="Times New Roman" w:cs="Times New Roman"/>
          <w:spacing w:val="0"/>
          <w:lang w:val="en-US" w:eastAsia="en-GB"/>
        </w:rPr>
      </w:pPr>
      <w:bookmarkStart w:id="213" w:name="_Toc87612110"/>
      <w:bookmarkStart w:id="214" w:name="_Toc151020517"/>
      <w:r w:rsidRPr="00EB2576">
        <w:rPr>
          <w:rFonts w:ascii="Times New Roman" w:hAnsi="Times New Roman" w:cs="Times New Roman"/>
          <w:b/>
          <w:bCs/>
          <w:lang w:eastAsia="en-GB"/>
        </w:rPr>
        <w:lastRenderedPageBreak/>
        <w:t>4</w:t>
      </w:r>
      <w:r w:rsidR="00D30BD3" w:rsidRPr="00EB2576">
        <w:rPr>
          <w:rFonts w:ascii="Times New Roman" w:hAnsi="Times New Roman" w:cs="Times New Roman"/>
          <w:b/>
          <w:bCs/>
          <w:lang w:eastAsia="en-GB"/>
        </w:rPr>
        <w:t>.3.2 Construction of infliximab Fab gene fragment library</w:t>
      </w:r>
      <w:bookmarkStart w:id="215" w:name="_Hlk80349589"/>
      <w:bookmarkEnd w:id="213"/>
      <w:bookmarkEnd w:id="214"/>
    </w:p>
    <w:p w14:paraId="60E906A0" w14:textId="6F0D7EE4" w:rsidR="00D30BD3" w:rsidRPr="00EB2576" w:rsidRDefault="00D30BD3" w:rsidP="00D30BD3">
      <w:pPr>
        <w:spacing w:line="480" w:lineRule="auto"/>
        <w:rPr>
          <w:rFonts w:ascii="Times New Roman" w:hAnsi="Times New Roman" w:cs="Times New Roman"/>
          <w:sz w:val="24"/>
          <w:szCs w:val="24"/>
          <w:lang w:eastAsia="en-GB"/>
        </w:rPr>
      </w:pPr>
      <w:r w:rsidRPr="00EB2576">
        <w:rPr>
          <w:rFonts w:ascii="Times New Roman" w:hAnsi="Times New Roman" w:cs="Times New Roman"/>
          <w:sz w:val="24"/>
          <w:szCs w:val="24"/>
          <w:lang w:eastAsia="en-GB"/>
        </w:rPr>
        <w:t xml:space="preserve">Dephosphorylated vector and </w:t>
      </w:r>
      <w:proofErr w:type="spellStart"/>
      <w:r w:rsidRPr="00EB2576">
        <w:rPr>
          <w:rFonts w:ascii="Times New Roman" w:hAnsi="Times New Roman" w:cs="Times New Roman"/>
          <w:sz w:val="24"/>
          <w:szCs w:val="24"/>
          <w:lang w:eastAsia="en-GB"/>
        </w:rPr>
        <w:t>SrfI</w:t>
      </w:r>
      <w:proofErr w:type="spellEnd"/>
      <w:r w:rsidRPr="00EB2576">
        <w:rPr>
          <w:rFonts w:ascii="Times New Roman" w:hAnsi="Times New Roman" w:cs="Times New Roman"/>
          <w:sz w:val="24"/>
          <w:szCs w:val="24"/>
          <w:lang w:eastAsia="en-GB"/>
        </w:rPr>
        <w:t xml:space="preserve"> restriction enzyme with </w:t>
      </w:r>
      <w:proofErr w:type="spellStart"/>
      <w:r w:rsidRPr="00EB2576">
        <w:rPr>
          <w:rFonts w:ascii="Times New Roman" w:hAnsi="Times New Roman" w:cs="Times New Roman"/>
          <w:sz w:val="24"/>
          <w:szCs w:val="24"/>
          <w:lang w:eastAsia="en-GB"/>
        </w:rPr>
        <w:t>vector:insert</w:t>
      </w:r>
      <w:proofErr w:type="spellEnd"/>
      <w:r w:rsidRPr="00EB2576">
        <w:rPr>
          <w:rFonts w:ascii="Times New Roman" w:hAnsi="Times New Roman" w:cs="Times New Roman"/>
          <w:sz w:val="24"/>
          <w:szCs w:val="24"/>
          <w:lang w:eastAsia="en-GB"/>
        </w:rPr>
        <w:t xml:space="preserve"> ratio of 1:3 was the most effective at transformation (Table </w:t>
      </w:r>
      <w:r w:rsidR="00064E72" w:rsidRPr="00EB2576">
        <w:rPr>
          <w:rFonts w:ascii="Times New Roman" w:hAnsi="Times New Roman" w:cs="Times New Roman"/>
          <w:sz w:val="24"/>
          <w:szCs w:val="24"/>
          <w:lang w:eastAsia="en-GB"/>
        </w:rPr>
        <w:t>9</w:t>
      </w:r>
      <w:r w:rsidRPr="00EB2576">
        <w:rPr>
          <w:rFonts w:ascii="Times New Roman" w:hAnsi="Times New Roman" w:cs="Times New Roman"/>
          <w:sz w:val="24"/>
          <w:szCs w:val="24"/>
          <w:lang w:eastAsia="en-GB"/>
        </w:rPr>
        <w:t xml:space="preserve">). </w:t>
      </w:r>
      <w:bookmarkEnd w:id="215"/>
      <w:r w:rsidRPr="00EB2576">
        <w:rPr>
          <w:rFonts w:ascii="Times New Roman" w:hAnsi="Times New Roman" w:cs="Times New Roman"/>
          <w:sz w:val="24"/>
          <w:szCs w:val="24"/>
        </w:rPr>
        <w:t xml:space="preserve">This reaction was repeated in 10 x 20 </w:t>
      </w:r>
      <w:r w:rsidR="00C1605D" w:rsidRPr="00EB2576">
        <w:rPr>
          <w:rFonts w:ascii="Times New Roman" w:hAnsi="Times New Roman" w:cs="Times New Roman"/>
          <w:sz w:val="24"/>
          <w:szCs w:val="24"/>
        </w:rPr>
        <w:t>µ</w:t>
      </w:r>
      <w:r w:rsidRPr="00EB2576">
        <w:rPr>
          <w:rFonts w:ascii="Times New Roman" w:hAnsi="Times New Roman" w:cs="Times New Roman"/>
          <w:sz w:val="24"/>
          <w:szCs w:val="24"/>
        </w:rPr>
        <w:t xml:space="preserve">L volumes </w:t>
      </w:r>
      <w:r w:rsidRPr="00EB2576">
        <w:rPr>
          <w:rFonts w:ascii="Times New Roman" w:eastAsia="Times New Roman" w:hAnsi="Times New Roman" w:cs="Times New Roman"/>
          <w:sz w:val="24"/>
          <w:szCs w:val="24"/>
          <w:lang w:val="en-US" w:eastAsia="en-GB"/>
        </w:rPr>
        <w:t>to transform</w:t>
      </w:r>
      <w:r w:rsidRPr="00EB2576">
        <w:rPr>
          <w:rFonts w:ascii="Times New Roman" w:hAnsi="Times New Roman" w:cs="Times New Roman"/>
          <w:sz w:val="24"/>
          <w:szCs w:val="24"/>
          <w:lang w:eastAsia="en-GB"/>
        </w:rPr>
        <w:t xml:space="preserve"> TG1 cells by electroporation to obtain a library of 2.9 x 10</w:t>
      </w:r>
      <w:r w:rsidRPr="00EB2576">
        <w:rPr>
          <w:rFonts w:ascii="Times New Roman" w:hAnsi="Times New Roman" w:cs="Times New Roman"/>
          <w:position w:val="7"/>
          <w:sz w:val="24"/>
          <w:szCs w:val="24"/>
          <w:vertAlign w:val="superscript"/>
          <w:lang w:eastAsia="en-GB"/>
        </w:rPr>
        <w:t>5</w:t>
      </w:r>
      <w:r w:rsidRPr="00EB2576">
        <w:rPr>
          <w:rFonts w:ascii="Times New Roman" w:hAnsi="Times New Roman" w:cs="Times New Roman"/>
          <w:sz w:val="24"/>
          <w:szCs w:val="24"/>
          <w:lang w:eastAsia="en-GB"/>
        </w:rPr>
        <w:t xml:space="preserve">. </w:t>
      </w:r>
      <w:r w:rsidRPr="00EB2576">
        <w:rPr>
          <w:rFonts w:ascii="Times New Roman" w:hAnsi="Times New Roman" w:cs="Times New Roman"/>
          <w:sz w:val="24"/>
          <w:szCs w:val="24"/>
        </w:rPr>
        <w:t>Amplification of the vector only pNIBS1 without a foreign insert was</w:t>
      </w:r>
      <w:r w:rsidRPr="00EB2576">
        <w:rPr>
          <w:rFonts w:ascii="Times New Roman" w:hAnsi="Times New Roman" w:cs="Times New Roman"/>
          <w:kern w:val="24"/>
          <w:sz w:val="24"/>
          <w:szCs w:val="24"/>
          <w:lang w:eastAsia="en-GB"/>
        </w:rPr>
        <w:t xml:space="preserve"> 181 base pairs. Using gel electrophoresis, </w:t>
      </w:r>
      <w:r w:rsidRPr="00EB2576">
        <w:rPr>
          <w:rFonts w:ascii="Times New Roman" w:hAnsi="Times New Roman" w:cs="Times New Roman"/>
          <w:sz w:val="24"/>
          <w:szCs w:val="24"/>
        </w:rPr>
        <w:t xml:space="preserve">clones producing </w:t>
      </w:r>
      <w:r w:rsidR="00A02CB1" w:rsidRPr="00EB2576">
        <w:rPr>
          <w:rFonts w:ascii="Times New Roman" w:hAnsi="Times New Roman" w:cs="Times New Roman"/>
          <w:sz w:val="24"/>
          <w:szCs w:val="24"/>
        </w:rPr>
        <w:t xml:space="preserve">DNA </w:t>
      </w:r>
      <w:r w:rsidRPr="00EB2576">
        <w:rPr>
          <w:rFonts w:ascii="Times New Roman" w:hAnsi="Times New Roman" w:cs="Times New Roman"/>
          <w:sz w:val="24"/>
          <w:szCs w:val="24"/>
        </w:rPr>
        <w:t xml:space="preserve">fragments greater than 181 base pairs were considered as recombinants. </w:t>
      </w:r>
      <w:r w:rsidRPr="00EB2576">
        <w:rPr>
          <w:rFonts w:ascii="Times New Roman" w:hAnsi="Times New Roman" w:cs="Times New Roman"/>
          <w:sz w:val="24"/>
          <w:szCs w:val="24"/>
          <w:lang w:eastAsia="en-GB"/>
        </w:rPr>
        <w:t xml:space="preserve">Colony PCR of 20 colonies showed 15/20 (75%) had an insert (Figure </w:t>
      </w:r>
      <w:r w:rsidR="00064E72" w:rsidRPr="00EB2576">
        <w:rPr>
          <w:rFonts w:ascii="Times New Roman" w:hAnsi="Times New Roman" w:cs="Times New Roman"/>
          <w:sz w:val="24"/>
          <w:szCs w:val="24"/>
          <w:lang w:eastAsia="en-GB"/>
        </w:rPr>
        <w:t>2</w:t>
      </w:r>
      <w:r w:rsidR="007E5C7A" w:rsidRPr="00EB2576">
        <w:rPr>
          <w:rFonts w:ascii="Times New Roman" w:hAnsi="Times New Roman" w:cs="Times New Roman"/>
          <w:sz w:val="24"/>
          <w:szCs w:val="24"/>
          <w:lang w:eastAsia="en-GB"/>
        </w:rPr>
        <w:t>6</w:t>
      </w:r>
      <w:r w:rsidRPr="00EB2576">
        <w:rPr>
          <w:rFonts w:ascii="Times New Roman" w:hAnsi="Times New Roman" w:cs="Times New Roman"/>
          <w:sz w:val="24"/>
          <w:szCs w:val="24"/>
          <w:lang w:eastAsia="en-GB"/>
        </w:rPr>
        <w:t xml:space="preserve">). </w:t>
      </w:r>
      <w:r w:rsidRPr="00EB2576">
        <w:rPr>
          <w:rFonts w:ascii="Times New Roman" w:hAnsi="Times New Roman" w:cs="Times New Roman"/>
          <w:kern w:val="24"/>
          <w:sz w:val="24"/>
          <w:szCs w:val="24"/>
          <w:lang w:eastAsia="en-GB"/>
        </w:rPr>
        <w:t xml:space="preserve">On colony PCR, insert size ranged from ~100-400 base pairs.  </w:t>
      </w:r>
    </w:p>
    <w:p w14:paraId="66B01CA3" w14:textId="77777777" w:rsidR="00D30BD3" w:rsidRPr="00EB2576" w:rsidRDefault="00D30BD3" w:rsidP="00D30BD3">
      <w:pPr>
        <w:spacing w:line="480" w:lineRule="auto"/>
        <w:rPr>
          <w:rFonts w:ascii="Times New Roman" w:hAnsi="Times New Roman" w:cs="Times New Roman"/>
          <w:sz w:val="24"/>
          <w:szCs w:val="24"/>
        </w:rPr>
      </w:pPr>
    </w:p>
    <w:tbl>
      <w:tblPr>
        <w:tblStyle w:val="TableGridLight"/>
        <w:tblW w:w="9067" w:type="dxa"/>
        <w:tblLayout w:type="fixed"/>
        <w:tblLook w:val="04A0" w:firstRow="1" w:lastRow="0" w:firstColumn="1" w:lastColumn="0" w:noHBand="0" w:noVBand="1"/>
      </w:tblPr>
      <w:tblGrid>
        <w:gridCol w:w="1040"/>
        <w:gridCol w:w="1082"/>
        <w:gridCol w:w="1134"/>
        <w:gridCol w:w="1134"/>
        <w:gridCol w:w="1275"/>
        <w:gridCol w:w="1134"/>
        <w:gridCol w:w="1134"/>
        <w:gridCol w:w="1134"/>
      </w:tblGrid>
      <w:tr w:rsidR="00EB2576" w:rsidRPr="00EB2576" w14:paraId="19253EA3" w14:textId="77777777" w:rsidTr="00D74BCC">
        <w:trPr>
          <w:trHeight w:val="2349"/>
        </w:trPr>
        <w:tc>
          <w:tcPr>
            <w:tcW w:w="1040" w:type="dxa"/>
          </w:tcPr>
          <w:p w14:paraId="0D47845E"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Number of colonies </w:t>
            </w:r>
          </w:p>
        </w:tc>
        <w:tc>
          <w:tcPr>
            <w:tcW w:w="1082" w:type="dxa"/>
          </w:tcPr>
          <w:p w14:paraId="0BADB3E3"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D pNIBS1 V:I ratio 1:3</w:t>
            </w:r>
          </w:p>
        </w:tc>
        <w:tc>
          <w:tcPr>
            <w:tcW w:w="1134" w:type="dxa"/>
          </w:tcPr>
          <w:p w14:paraId="21DAC59D"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D pNIBS1 V:I ratio 1:5</w:t>
            </w:r>
          </w:p>
        </w:tc>
        <w:tc>
          <w:tcPr>
            <w:tcW w:w="1134" w:type="dxa"/>
          </w:tcPr>
          <w:p w14:paraId="60DBC9B6"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D pNIBS1 V:I ratio 1:20</w:t>
            </w:r>
          </w:p>
        </w:tc>
        <w:tc>
          <w:tcPr>
            <w:tcW w:w="1275" w:type="dxa"/>
            <w:shd w:val="clear" w:color="auto" w:fill="F2F2F2" w:themeFill="background1" w:themeFillShade="F2"/>
          </w:tcPr>
          <w:p w14:paraId="6AD6355D"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D pNIBS1</w:t>
            </w:r>
          </w:p>
          <w:p w14:paraId="36CA205B"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 </w:t>
            </w:r>
            <w:proofErr w:type="spellStart"/>
            <w:r w:rsidRPr="00EB2576">
              <w:rPr>
                <w:rFonts w:ascii="Times New Roman" w:hAnsi="Times New Roman" w:cs="Times New Roman"/>
                <w:b/>
                <w:bCs/>
                <w:sz w:val="20"/>
                <w:szCs w:val="20"/>
              </w:rPr>
              <w:t>SrfI</w:t>
            </w:r>
            <w:proofErr w:type="spellEnd"/>
            <w:r w:rsidRPr="00EB2576">
              <w:rPr>
                <w:rFonts w:ascii="Times New Roman" w:hAnsi="Times New Roman" w:cs="Times New Roman"/>
                <w:b/>
                <w:bCs/>
                <w:sz w:val="20"/>
                <w:szCs w:val="20"/>
              </w:rPr>
              <w:t xml:space="preserve"> </w:t>
            </w:r>
          </w:p>
          <w:p w14:paraId="0348085F"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V:I ratio 1:3</w:t>
            </w:r>
          </w:p>
        </w:tc>
        <w:tc>
          <w:tcPr>
            <w:tcW w:w="1134" w:type="dxa"/>
          </w:tcPr>
          <w:p w14:paraId="7D75D8A9"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D pNIBS1 + </w:t>
            </w:r>
            <w:proofErr w:type="spellStart"/>
            <w:r w:rsidRPr="00EB2576">
              <w:rPr>
                <w:rFonts w:ascii="Times New Roman" w:hAnsi="Times New Roman" w:cs="Times New Roman"/>
                <w:b/>
                <w:bCs/>
                <w:sz w:val="20"/>
                <w:szCs w:val="20"/>
              </w:rPr>
              <w:t>SrfI</w:t>
            </w:r>
            <w:proofErr w:type="spellEnd"/>
            <w:r w:rsidRPr="00EB2576">
              <w:rPr>
                <w:rFonts w:ascii="Times New Roman" w:hAnsi="Times New Roman" w:cs="Times New Roman"/>
                <w:b/>
                <w:bCs/>
                <w:sz w:val="20"/>
                <w:szCs w:val="20"/>
              </w:rPr>
              <w:t xml:space="preserve"> </w:t>
            </w:r>
          </w:p>
          <w:p w14:paraId="2D05B56C"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 V:I ratio 1:5</w:t>
            </w:r>
          </w:p>
        </w:tc>
        <w:tc>
          <w:tcPr>
            <w:tcW w:w="1134" w:type="dxa"/>
          </w:tcPr>
          <w:p w14:paraId="4F0DBB89"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D pNIBS1 + </w:t>
            </w:r>
            <w:proofErr w:type="spellStart"/>
            <w:r w:rsidRPr="00EB2576">
              <w:rPr>
                <w:rFonts w:ascii="Times New Roman" w:hAnsi="Times New Roman" w:cs="Times New Roman"/>
                <w:b/>
                <w:bCs/>
                <w:sz w:val="20"/>
                <w:szCs w:val="20"/>
              </w:rPr>
              <w:t>SrfI</w:t>
            </w:r>
            <w:proofErr w:type="spellEnd"/>
            <w:r w:rsidRPr="00EB2576">
              <w:rPr>
                <w:rFonts w:ascii="Times New Roman" w:hAnsi="Times New Roman" w:cs="Times New Roman"/>
                <w:b/>
                <w:bCs/>
                <w:sz w:val="20"/>
                <w:szCs w:val="20"/>
              </w:rPr>
              <w:t xml:space="preserve"> </w:t>
            </w:r>
          </w:p>
          <w:p w14:paraId="5CE065A9"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V:I ratio 1:20</w:t>
            </w:r>
          </w:p>
        </w:tc>
        <w:tc>
          <w:tcPr>
            <w:tcW w:w="1134" w:type="dxa"/>
          </w:tcPr>
          <w:p w14:paraId="27A8FE01" w14:textId="77777777" w:rsidR="00D30BD3" w:rsidRPr="00EB2576" w:rsidRDefault="00D30BD3" w:rsidP="00D74BCC">
            <w:pPr>
              <w:autoSpaceDE w:val="0"/>
              <w:autoSpaceDN w:val="0"/>
              <w:adjustRightInd w:val="0"/>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D pNIBS1 vector only</w:t>
            </w:r>
          </w:p>
        </w:tc>
      </w:tr>
      <w:tr w:rsidR="00EB2576" w:rsidRPr="00EB2576" w14:paraId="7F8BEA52" w14:textId="77777777" w:rsidTr="00D74BCC">
        <w:trPr>
          <w:trHeight w:val="460"/>
        </w:trPr>
        <w:tc>
          <w:tcPr>
            <w:tcW w:w="1040" w:type="dxa"/>
          </w:tcPr>
          <w:p w14:paraId="44E0B7A0"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Neat</w:t>
            </w:r>
          </w:p>
        </w:tc>
        <w:tc>
          <w:tcPr>
            <w:tcW w:w="1082" w:type="dxa"/>
          </w:tcPr>
          <w:p w14:paraId="7BF148BE"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134" w:type="dxa"/>
          </w:tcPr>
          <w:p w14:paraId="72809622"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60</w:t>
            </w:r>
          </w:p>
        </w:tc>
        <w:tc>
          <w:tcPr>
            <w:tcW w:w="1134" w:type="dxa"/>
          </w:tcPr>
          <w:p w14:paraId="4A0C92F5"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275" w:type="dxa"/>
            <w:shd w:val="clear" w:color="auto" w:fill="F2F2F2" w:themeFill="background1" w:themeFillShade="F2"/>
          </w:tcPr>
          <w:p w14:paraId="5F6E9D8A"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&gt;1000</w:t>
            </w:r>
          </w:p>
        </w:tc>
        <w:tc>
          <w:tcPr>
            <w:tcW w:w="1134" w:type="dxa"/>
          </w:tcPr>
          <w:p w14:paraId="319E9D7C"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&gt;1000</w:t>
            </w:r>
          </w:p>
        </w:tc>
        <w:tc>
          <w:tcPr>
            <w:tcW w:w="1134" w:type="dxa"/>
          </w:tcPr>
          <w:p w14:paraId="2D0C7C88"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&gt;1000</w:t>
            </w:r>
          </w:p>
        </w:tc>
        <w:tc>
          <w:tcPr>
            <w:tcW w:w="1134" w:type="dxa"/>
          </w:tcPr>
          <w:p w14:paraId="5312491E"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~1000</w:t>
            </w:r>
          </w:p>
        </w:tc>
      </w:tr>
      <w:tr w:rsidR="00EB2576" w:rsidRPr="00EB2576" w14:paraId="094E5BC1" w14:textId="77777777" w:rsidTr="00D74BCC">
        <w:trPr>
          <w:trHeight w:val="475"/>
        </w:trPr>
        <w:tc>
          <w:tcPr>
            <w:tcW w:w="1040" w:type="dxa"/>
          </w:tcPr>
          <w:p w14:paraId="35A9579B"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-1</w:t>
            </w:r>
          </w:p>
        </w:tc>
        <w:tc>
          <w:tcPr>
            <w:tcW w:w="1082" w:type="dxa"/>
          </w:tcPr>
          <w:p w14:paraId="3C92AD0D"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134" w:type="dxa"/>
          </w:tcPr>
          <w:p w14:paraId="62059A19"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7</w:t>
            </w:r>
          </w:p>
        </w:tc>
        <w:tc>
          <w:tcPr>
            <w:tcW w:w="1134" w:type="dxa"/>
          </w:tcPr>
          <w:p w14:paraId="0BF58AC6"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275" w:type="dxa"/>
            <w:shd w:val="clear" w:color="auto" w:fill="F2F2F2" w:themeFill="background1" w:themeFillShade="F2"/>
          </w:tcPr>
          <w:p w14:paraId="65D991AA"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312</w:t>
            </w:r>
          </w:p>
        </w:tc>
        <w:tc>
          <w:tcPr>
            <w:tcW w:w="1134" w:type="dxa"/>
          </w:tcPr>
          <w:p w14:paraId="66B60863"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320</w:t>
            </w:r>
          </w:p>
        </w:tc>
        <w:tc>
          <w:tcPr>
            <w:tcW w:w="1134" w:type="dxa"/>
          </w:tcPr>
          <w:p w14:paraId="706CB1CD"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208</w:t>
            </w:r>
          </w:p>
        </w:tc>
        <w:tc>
          <w:tcPr>
            <w:tcW w:w="1134" w:type="dxa"/>
          </w:tcPr>
          <w:p w14:paraId="14EDFEA2"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130</w:t>
            </w:r>
          </w:p>
        </w:tc>
      </w:tr>
      <w:tr w:rsidR="00EB2576" w:rsidRPr="00EB2576" w14:paraId="2C1A9FC7" w14:textId="77777777" w:rsidTr="00D74BCC">
        <w:trPr>
          <w:trHeight w:val="460"/>
        </w:trPr>
        <w:tc>
          <w:tcPr>
            <w:tcW w:w="1040" w:type="dxa"/>
          </w:tcPr>
          <w:p w14:paraId="1E22B8DB"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-2</w:t>
            </w:r>
          </w:p>
        </w:tc>
        <w:tc>
          <w:tcPr>
            <w:tcW w:w="1082" w:type="dxa"/>
          </w:tcPr>
          <w:p w14:paraId="351A76D0"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134" w:type="dxa"/>
          </w:tcPr>
          <w:p w14:paraId="534CC774"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134" w:type="dxa"/>
          </w:tcPr>
          <w:p w14:paraId="438C8854"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Blank</w:t>
            </w:r>
          </w:p>
        </w:tc>
        <w:tc>
          <w:tcPr>
            <w:tcW w:w="1275" w:type="dxa"/>
            <w:shd w:val="clear" w:color="auto" w:fill="F2F2F2" w:themeFill="background1" w:themeFillShade="F2"/>
          </w:tcPr>
          <w:p w14:paraId="0156DA88"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54</w:t>
            </w:r>
          </w:p>
        </w:tc>
        <w:tc>
          <w:tcPr>
            <w:tcW w:w="1134" w:type="dxa"/>
          </w:tcPr>
          <w:p w14:paraId="7C0A48FA"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32</w:t>
            </w:r>
          </w:p>
        </w:tc>
        <w:tc>
          <w:tcPr>
            <w:tcW w:w="1134" w:type="dxa"/>
          </w:tcPr>
          <w:p w14:paraId="319E9A28" w14:textId="77777777" w:rsidR="00D30BD3" w:rsidRPr="00EB2576" w:rsidRDefault="00D30BD3" w:rsidP="00D74BCC">
            <w:pPr>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32</w:t>
            </w:r>
          </w:p>
        </w:tc>
        <w:tc>
          <w:tcPr>
            <w:tcW w:w="1134" w:type="dxa"/>
          </w:tcPr>
          <w:p w14:paraId="2C8CAECC" w14:textId="77777777" w:rsidR="00D30BD3" w:rsidRPr="00EB2576" w:rsidRDefault="00D30BD3" w:rsidP="00EF5C69">
            <w:pPr>
              <w:keepNext/>
              <w:autoSpaceDE w:val="0"/>
              <w:autoSpaceDN w:val="0"/>
              <w:adjustRightInd w:val="0"/>
              <w:spacing w:line="480" w:lineRule="auto"/>
              <w:rPr>
                <w:rFonts w:ascii="Times New Roman" w:hAnsi="Times New Roman" w:cs="Times New Roman"/>
                <w:sz w:val="20"/>
                <w:szCs w:val="20"/>
              </w:rPr>
            </w:pPr>
            <w:r w:rsidRPr="00EB2576">
              <w:rPr>
                <w:rFonts w:ascii="Times New Roman" w:hAnsi="Times New Roman" w:cs="Times New Roman"/>
                <w:sz w:val="20"/>
                <w:szCs w:val="20"/>
              </w:rPr>
              <w:t>10</w:t>
            </w:r>
          </w:p>
        </w:tc>
      </w:tr>
    </w:tbl>
    <w:p w14:paraId="23C16A4A" w14:textId="77777777" w:rsidR="00EF5C69" w:rsidRPr="00EB2576" w:rsidRDefault="00EF5C69" w:rsidP="00EF5C69">
      <w:pPr>
        <w:spacing w:line="480" w:lineRule="auto"/>
        <w:rPr>
          <w:rFonts w:ascii="Times New Roman" w:hAnsi="Times New Roman" w:cs="Times New Roman"/>
          <w:b/>
          <w:bCs/>
          <w:sz w:val="24"/>
          <w:szCs w:val="24"/>
        </w:rPr>
      </w:pPr>
    </w:p>
    <w:p w14:paraId="4E77C0CC" w14:textId="18C41DFD" w:rsidR="00EF5C69" w:rsidRPr="00EB2576" w:rsidRDefault="00EF5C69" w:rsidP="00B606E5">
      <w:pPr>
        <w:spacing w:line="240" w:lineRule="auto"/>
        <w:rPr>
          <w:rFonts w:ascii="Times New Roman" w:hAnsi="Times New Roman" w:cs="Times New Roman"/>
          <w:b/>
          <w:bCs/>
          <w:kern w:val="24"/>
          <w:sz w:val="24"/>
          <w:szCs w:val="24"/>
          <w:lang w:eastAsia="en-GB"/>
        </w:rPr>
      </w:pPr>
      <w:bookmarkStart w:id="216" w:name="_Toc139306962"/>
      <w:r w:rsidRPr="00EB2576">
        <w:rPr>
          <w:rFonts w:ascii="Times New Roman" w:hAnsi="Times New Roman" w:cs="Times New Roman"/>
          <w:b/>
          <w:bCs/>
          <w:sz w:val="24"/>
          <w:szCs w:val="24"/>
        </w:rPr>
        <w:t xml:space="preserve">Table </w:t>
      </w:r>
      <w:r w:rsidR="00334B74" w:rsidRPr="00EB2576">
        <w:rPr>
          <w:rFonts w:ascii="Times New Roman" w:hAnsi="Times New Roman" w:cs="Times New Roman"/>
          <w:b/>
          <w:bCs/>
          <w:sz w:val="24"/>
          <w:szCs w:val="24"/>
        </w:rPr>
        <w:fldChar w:fldCharType="begin"/>
      </w:r>
      <w:r w:rsidR="00334B74" w:rsidRPr="00EB2576">
        <w:rPr>
          <w:rFonts w:ascii="Times New Roman" w:hAnsi="Times New Roman" w:cs="Times New Roman"/>
          <w:b/>
          <w:bCs/>
          <w:sz w:val="24"/>
          <w:szCs w:val="24"/>
        </w:rPr>
        <w:instrText xml:space="preserve"> SEQ Table \* ARABIC </w:instrText>
      </w:r>
      <w:r w:rsidR="00334B74" w:rsidRPr="00EB2576">
        <w:rPr>
          <w:rFonts w:ascii="Times New Roman" w:hAnsi="Times New Roman" w:cs="Times New Roman"/>
          <w:b/>
          <w:bCs/>
          <w:sz w:val="24"/>
          <w:szCs w:val="24"/>
        </w:rPr>
        <w:fldChar w:fldCharType="separate"/>
      </w:r>
      <w:r w:rsidR="00F2388D" w:rsidRPr="00EB2576">
        <w:rPr>
          <w:rFonts w:ascii="Times New Roman" w:hAnsi="Times New Roman" w:cs="Times New Roman"/>
          <w:b/>
          <w:bCs/>
          <w:noProof/>
          <w:sz w:val="24"/>
          <w:szCs w:val="24"/>
        </w:rPr>
        <w:t>9</w:t>
      </w:r>
      <w:r w:rsidR="00334B74"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xml:space="preserve">. Transformation results following different ligation conditions: </w:t>
      </w:r>
      <w:r w:rsidRPr="00EB2576">
        <w:rPr>
          <w:rFonts w:ascii="Times New Roman" w:hAnsi="Times New Roman" w:cs="Times New Roman"/>
          <w:b/>
          <w:bCs/>
          <w:kern w:val="24"/>
          <w:sz w:val="24"/>
          <w:szCs w:val="24"/>
          <w:lang w:eastAsia="en-GB"/>
        </w:rPr>
        <w:t>1) dephosphorylated digested pNIBS1 vector</w:t>
      </w:r>
      <w:r w:rsidRPr="00EB2576">
        <w:rPr>
          <w:rFonts w:ascii="Times New Roman" w:hAnsi="Times New Roman" w:cs="Times New Roman"/>
          <w:b/>
          <w:bCs/>
          <w:sz w:val="24"/>
          <w:szCs w:val="24"/>
        </w:rPr>
        <w:t xml:space="preserve"> (D pNIBS1),</w:t>
      </w:r>
      <w:r w:rsidRPr="00EB2576">
        <w:rPr>
          <w:rFonts w:ascii="Times New Roman" w:hAnsi="Times New Roman" w:cs="Times New Roman"/>
          <w:b/>
          <w:bCs/>
          <w:kern w:val="24"/>
          <w:sz w:val="24"/>
          <w:szCs w:val="24"/>
          <w:lang w:eastAsia="en-GB"/>
        </w:rPr>
        <w:t xml:space="preserve"> 2) dephosphorylated digested pNIBS1 vector (D pNIBS1) and </w:t>
      </w:r>
      <w:proofErr w:type="spellStart"/>
      <w:r w:rsidRPr="00EB2576">
        <w:rPr>
          <w:rFonts w:ascii="Times New Roman" w:hAnsi="Times New Roman" w:cs="Times New Roman"/>
          <w:b/>
          <w:bCs/>
          <w:kern w:val="24"/>
          <w:sz w:val="24"/>
          <w:szCs w:val="24"/>
          <w:lang w:eastAsia="en-GB"/>
        </w:rPr>
        <w:t>SrfI</w:t>
      </w:r>
      <w:proofErr w:type="spellEnd"/>
      <w:r w:rsidRPr="00EB2576">
        <w:rPr>
          <w:rFonts w:ascii="Times New Roman" w:hAnsi="Times New Roman" w:cs="Times New Roman"/>
          <w:b/>
          <w:bCs/>
          <w:kern w:val="24"/>
          <w:sz w:val="24"/>
          <w:szCs w:val="24"/>
          <w:lang w:eastAsia="en-GB"/>
        </w:rPr>
        <w:t xml:space="preserve"> restriction enzyme using different vector: insert ratios.</w:t>
      </w:r>
      <w:bookmarkEnd w:id="216"/>
      <w:r w:rsidRPr="00EB2576">
        <w:rPr>
          <w:rFonts w:ascii="Times New Roman" w:hAnsi="Times New Roman" w:cs="Times New Roman"/>
          <w:b/>
          <w:bCs/>
          <w:kern w:val="24"/>
          <w:sz w:val="24"/>
          <w:szCs w:val="24"/>
          <w:lang w:eastAsia="en-GB"/>
        </w:rPr>
        <w:t xml:space="preserve"> </w:t>
      </w:r>
    </w:p>
    <w:p w14:paraId="00DC2778" w14:textId="133E8755" w:rsidR="00D30BD3" w:rsidRPr="00EB2576" w:rsidRDefault="00D30BD3" w:rsidP="00B606E5">
      <w:pPr>
        <w:spacing w:line="240" w:lineRule="auto"/>
        <w:rPr>
          <w:rFonts w:ascii="Times New Roman" w:hAnsi="Times New Roman" w:cs="Times New Roman"/>
          <w:b/>
          <w:bCs/>
          <w:kern w:val="24"/>
          <w:sz w:val="24"/>
          <w:szCs w:val="24"/>
          <w:lang w:eastAsia="en-GB"/>
        </w:rPr>
      </w:pPr>
      <w:r w:rsidRPr="00EB2576">
        <w:rPr>
          <w:rFonts w:ascii="Times New Roman" w:hAnsi="Times New Roman" w:cs="Times New Roman"/>
          <w:kern w:val="24"/>
          <w:sz w:val="24"/>
          <w:szCs w:val="24"/>
          <w:lang w:eastAsia="en-GB"/>
        </w:rPr>
        <w:t xml:space="preserve">Highlighted column indicates that </w:t>
      </w:r>
      <w:r w:rsidRPr="00EB2576">
        <w:rPr>
          <w:rFonts w:ascii="Times New Roman" w:hAnsi="Times New Roman" w:cs="Times New Roman"/>
          <w:sz w:val="24"/>
          <w:szCs w:val="24"/>
          <w:lang w:eastAsia="en-GB"/>
        </w:rPr>
        <w:t xml:space="preserve">dephosphorylated vector and </w:t>
      </w:r>
      <w:proofErr w:type="spellStart"/>
      <w:r w:rsidRPr="00EB2576">
        <w:rPr>
          <w:rFonts w:ascii="Times New Roman" w:hAnsi="Times New Roman" w:cs="Times New Roman"/>
          <w:sz w:val="24"/>
          <w:szCs w:val="24"/>
          <w:lang w:eastAsia="en-GB"/>
        </w:rPr>
        <w:t>SrfI</w:t>
      </w:r>
      <w:proofErr w:type="spellEnd"/>
      <w:r w:rsidRPr="00EB2576">
        <w:rPr>
          <w:rFonts w:ascii="Times New Roman" w:hAnsi="Times New Roman" w:cs="Times New Roman"/>
          <w:sz w:val="24"/>
          <w:szCs w:val="24"/>
          <w:lang w:eastAsia="en-GB"/>
        </w:rPr>
        <w:t xml:space="preserve"> restriction enzyme with </w:t>
      </w:r>
      <w:proofErr w:type="spellStart"/>
      <w:r w:rsidRPr="00EB2576">
        <w:rPr>
          <w:rFonts w:ascii="Times New Roman" w:hAnsi="Times New Roman" w:cs="Times New Roman"/>
          <w:sz w:val="24"/>
          <w:szCs w:val="24"/>
          <w:lang w:eastAsia="en-GB"/>
        </w:rPr>
        <w:t>vector:insert</w:t>
      </w:r>
      <w:proofErr w:type="spellEnd"/>
      <w:r w:rsidRPr="00EB2576">
        <w:rPr>
          <w:rFonts w:ascii="Times New Roman" w:hAnsi="Times New Roman" w:cs="Times New Roman"/>
          <w:sz w:val="24"/>
          <w:szCs w:val="24"/>
          <w:lang w:eastAsia="en-GB"/>
        </w:rPr>
        <w:t xml:space="preserve"> ratio of 1:3 was the most effective at transformation. </w:t>
      </w:r>
    </w:p>
    <w:p w14:paraId="158C18AF" w14:textId="7C0FA43E" w:rsidR="00D30BD3" w:rsidRPr="00EB2576" w:rsidRDefault="00557D49" w:rsidP="00B606E5">
      <w:pPr>
        <w:spacing w:line="240" w:lineRule="auto"/>
        <w:rPr>
          <w:rFonts w:ascii="Times New Roman" w:hAnsi="Times New Roman" w:cs="Times New Roman"/>
          <w:b/>
          <w:bCs/>
          <w:i/>
          <w:iCs/>
          <w:sz w:val="24"/>
          <w:szCs w:val="24"/>
        </w:rPr>
      </w:pPr>
      <w:r w:rsidRPr="00EB2576">
        <w:rPr>
          <w:rFonts w:ascii="Times New Roman" w:hAnsi="Times New Roman" w:cs="Times New Roman"/>
          <w:i/>
          <w:iCs/>
          <w:sz w:val="24"/>
          <w:szCs w:val="24"/>
        </w:rPr>
        <w:t>(</w:t>
      </w:r>
      <w:r w:rsidR="00D30BD3" w:rsidRPr="00EB2576">
        <w:rPr>
          <w:rFonts w:ascii="Times New Roman" w:hAnsi="Times New Roman" w:cs="Times New Roman"/>
          <w:i/>
          <w:iCs/>
          <w:sz w:val="24"/>
          <w:szCs w:val="24"/>
        </w:rPr>
        <w:t>D pNIBS1: dephosphorylated pNIBS1 vector, V:I: vector: insert</w:t>
      </w:r>
      <w:r w:rsidRPr="00EB2576">
        <w:rPr>
          <w:rFonts w:ascii="Times New Roman" w:hAnsi="Times New Roman" w:cs="Times New Roman"/>
          <w:i/>
          <w:iCs/>
          <w:sz w:val="24"/>
          <w:szCs w:val="24"/>
        </w:rPr>
        <w:t>)</w:t>
      </w:r>
    </w:p>
    <w:p w14:paraId="3A9BAC8B"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p>
    <w:p w14:paraId="43554D67" w14:textId="77777777" w:rsidR="00064E72" w:rsidRPr="00EB2576" w:rsidRDefault="00D30BD3" w:rsidP="00064E72">
      <w:pPr>
        <w:keepNext/>
        <w:autoSpaceDE w:val="0"/>
        <w:autoSpaceDN w:val="0"/>
        <w:adjustRightInd w:val="0"/>
        <w:spacing w:after="0" w:line="480" w:lineRule="auto"/>
      </w:pPr>
      <w:r w:rsidRPr="00EB2576">
        <w:rPr>
          <w:rFonts w:ascii="Times New Roman" w:hAnsi="Times New Roman" w:cs="Times New Roman"/>
          <w:noProof/>
          <w:sz w:val="24"/>
          <w:szCs w:val="24"/>
        </w:rPr>
        <w:lastRenderedPageBreak/>
        <w:drawing>
          <wp:inline distT="0" distB="0" distL="0" distR="0" wp14:anchorId="6376F1C4" wp14:editId="6525C990">
            <wp:extent cx="5688000" cy="1591945"/>
            <wp:effectExtent l="0" t="0" r="8255" b="8255"/>
            <wp:docPr id="22" name="Picture 22"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screenshot&#10;&#10;Description automatically generated"/>
                    <pic:cNvPicPr/>
                  </pic:nvPicPr>
                  <pic:blipFill rotWithShape="1">
                    <a:blip r:embed="rId51"/>
                    <a:srcRect l="4684" t="31549" r="26936" b="39360"/>
                    <a:stretch/>
                  </pic:blipFill>
                  <pic:spPr bwMode="auto">
                    <a:xfrm>
                      <a:off x="0" y="0"/>
                      <a:ext cx="5748083" cy="1608761"/>
                    </a:xfrm>
                    <a:prstGeom prst="rect">
                      <a:avLst/>
                    </a:prstGeom>
                    <a:ln>
                      <a:noFill/>
                    </a:ln>
                    <a:extLst>
                      <a:ext uri="{53640926-AAD7-44D8-BBD7-CCE9431645EC}">
                        <a14:shadowObscured xmlns:a14="http://schemas.microsoft.com/office/drawing/2010/main"/>
                      </a:ext>
                    </a:extLst>
                  </pic:spPr>
                </pic:pic>
              </a:graphicData>
            </a:graphic>
          </wp:inline>
        </w:drawing>
      </w:r>
    </w:p>
    <w:p w14:paraId="5B8B7860" w14:textId="77777777" w:rsidR="006279E2" w:rsidRPr="00EB2576" w:rsidRDefault="006279E2" w:rsidP="00B606E5">
      <w:pPr>
        <w:autoSpaceDE w:val="0"/>
        <w:autoSpaceDN w:val="0"/>
        <w:adjustRightInd w:val="0"/>
        <w:spacing w:after="0" w:line="240" w:lineRule="auto"/>
        <w:rPr>
          <w:rFonts w:ascii="Times New Roman" w:hAnsi="Times New Roman" w:cs="Times New Roman"/>
          <w:b/>
          <w:bCs/>
          <w:sz w:val="24"/>
          <w:szCs w:val="24"/>
        </w:rPr>
      </w:pPr>
      <w:bookmarkStart w:id="217" w:name="_Toc139397324"/>
    </w:p>
    <w:p w14:paraId="03AFF123" w14:textId="21ABEC0D" w:rsidR="00D30BD3" w:rsidRPr="00EB2576" w:rsidRDefault="00064E72" w:rsidP="00B606E5">
      <w:pPr>
        <w:autoSpaceDE w:val="0"/>
        <w:autoSpaceDN w:val="0"/>
        <w:adjustRightInd w:val="0"/>
        <w:spacing w:after="0" w:line="240" w:lineRule="auto"/>
        <w:rPr>
          <w:rFonts w:ascii="Times New Roman" w:hAnsi="Times New Roman" w:cs="Times New Roman"/>
          <w:b/>
          <w:bCs/>
          <w:sz w:val="24"/>
          <w:szCs w:val="24"/>
        </w:rPr>
      </w:pPr>
      <w:bookmarkStart w:id="218" w:name="_Toc151020671"/>
      <w:r w:rsidRPr="00EB2576">
        <w:rPr>
          <w:rFonts w:ascii="Times New Roman" w:hAnsi="Times New Roman" w:cs="Times New Roman"/>
          <w:b/>
          <w:bCs/>
          <w:sz w:val="24"/>
          <w:szCs w:val="24"/>
        </w:rPr>
        <w:t xml:space="preserve">Figure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Figure \* ARABIC </w:instrText>
      </w:r>
      <w:r w:rsidRPr="00EB2576">
        <w:rPr>
          <w:rFonts w:ascii="Times New Roman" w:hAnsi="Times New Roman" w:cs="Times New Roman"/>
          <w:b/>
          <w:bCs/>
          <w:sz w:val="24"/>
          <w:szCs w:val="24"/>
        </w:rPr>
        <w:fldChar w:fldCharType="separate"/>
      </w:r>
      <w:r w:rsidR="00192EAE" w:rsidRPr="00EB2576">
        <w:rPr>
          <w:rFonts w:ascii="Times New Roman" w:hAnsi="Times New Roman" w:cs="Times New Roman"/>
          <w:b/>
          <w:bCs/>
          <w:noProof/>
          <w:sz w:val="24"/>
          <w:szCs w:val="24"/>
        </w:rPr>
        <w:t>26</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Colony PCR of 20 clones from the large-scale infliximab fab gene fragment library.</w:t>
      </w:r>
      <w:bookmarkEnd w:id="217"/>
      <w:bookmarkEnd w:id="218"/>
    </w:p>
    <w:p w14:paraId="0FC275AE" w14:textId="77777777" w:rsidR="00D30BD3" w:rsidRPr="00EB2576" w:rsidRDefault="00D30BD3" w:rsidP="00B606E5">
      <w:pPr>
        <w:spacing w:line="240" w:lineRule="auto"/>
        <w:rPr>
          <w:rFonts w:ascii="Times New Roman" w:hAnsi="Times New Roman" w:cs="Times New Roman"/>
          <w:kern w:val="24"/>
          <w:sz w:val="24"/>
          <w:szCs w:val="24"/>
          <w:lang w:eastAsia="en-GB"/>
        </w:rPr>
      </w:pPr>
      <w:r w:rsidRPr="00EB2576">
        <w:rPr>
          <w:rFonts w:ascii="Times New Roman" w:hAnsi="Times New Roman" w:cs="Times New Roman"/>
          <w:sz w:val="24"/>
          <w:szCs w:val="24"/>
        </w:rPr>
        <w:t>Amplification of the vector pNIBS1 without a foreign insert is</w:t>
      </w:r>
      <w:r w:rsidRPr="00EB2576">
        <w:rPr>
          <w:rFonts w:ascii="Times New Roman" w:hAnsi="Times New Roman" w:cs="Times New Roman"/>
          <w:kern w:val="24"/>
          <w:sz w:val="24"/>
          <w:szCs w:val="24"/>
          <w:lang w:eastAsia="en-GB"/>
        </w:rPr>
        <w:t xml:space="preserve"> 181 base pairs as shown by </w:t>
      </w:r>
      <w:bookmarkStart w:id="219" w:name="_Hlk67724559"/>
      <w:r w:rsidRPr="00EB2576">
        <w:rPr>
          <w:rFonts w:ascii="Times New Roman" w:hAnsi="Times New Roman" w:cs="Times New Roman"/>
          <w:kern w:val="24"/>
          <w:sz w:val="24"/>
          <w:szCs w:val="24"/>
          <w:lang w:eastAsia="en-GB"/>
        </w:rPr>
        <w:t>VO (vector only) column on the gel electrophoresis.</w:t>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lang w:eastAsia="en-GB"/>
        </w:rPr>
        <w:t xml:space="preserve">15/20 (75 %) of the selected colonies have an insert, with insert size ranging from ~100-400 base pairs after taking into consideration vector size.  </w:t>
      </w:r>
      <w:bookmarkEnd w:id="219"/>
    </w:p>
    <w:p w14:paraId="32293CE6" w14:textId="77777777" w:rsidR="00D30BD3" w:rsidRPr="00EB2576" w:rsidRDefault="00D30BD3" w:rsidP="00B606E5">
      <w:pPr>
        <w:autoSpaceDE w:val="0"/>
        <w:autoSpaceDN w:val="0"/>
        <w:adjustRightInd w:val="0"/>
        <w:spacing w:after="0" w:line="240" w:lineRule="auto"/>
        <w:rPr>
          <w:rFonts w:ascii="Times New Roman" w:hAnsi="Times New Roman" w:cs="Times New Roman"/>
          <w:i/>
          <w:iCs/>
          <w:kern w:val="24"/>
          <w:sz w:val="24"/>
          <w:szCs w:val="24"/>
          <w:lang w:eastAsia="en-GB"/>
        </w:rPr>
      </w:pPr>
      <w:r w:rsidRPr="00EB2576">
        <w:rPr>
          <w:rFonts w:ascii="Times New Roman" w:hAnsi="Times New Roman" w:cs="Times New Roman"/>
          <w:i/>
          <w:iCs/>
          <w:kern w:val="24"/>
          <w:sz w:val="24"/>
          <w:szCs w:val="24"/>
          <w:lang w:eastAsia="en-GB"/>
        </w:rPr>
        <w:t xml:space="preserve">(VO: vector only, PO: primers only) </w:t>
      </w:r>
    </w:p>
    <w:p w14:paraId="73120F3B" w14:textId="77777777" w:rsidR="00D30BD3" w:rsidRPr="00EB2576" w:rsidRDefault="00D30BD3" w:rsidP="00D30BD3">
      <w:pPr>
        <w:spacing w:line="480" w:lineRule="auto"/>
        <w:rPr>
          <w:rFonts w:ascii="Times New Roman" w:hAnsi="Times New Roman" w:cs="Times New Roman"/>
          <w:sz w:val="24"/>
          <w:szCs w:val="24"/>
          <w:lang w:eastAsia="en-GB"/>
        </w:rPr>
      </w:pPr>
    </w:p>
    <w:p w14:paraId="437B048F" w14:textId="77777777" w:rsidR="006279E2" w:rsidRPr="00EB2576" w:rsidRDefault="006279E2" w:rsidP="00D30BD3">
      <w:pPr>
        <w:spacing w:line="480" w:lineRule="auto"/>
        <w:rPr>
          <w:rFonts w:ascii="Times New Roman" w:hAnsi="Times New Roman" w:cs="Times New Roman"/>
          <w:sz w:val="24"/>
          <w:szCs w:val="24"/>
          <w:lang w:eastAsia="en-GB"/>
        </w:rPr>
      </w:pPr>
    </w:p>
    <w:p w14:paraId="16DF35CF" w14:textId="623BBD8D" w:rsidR="00D30BD3" w:rsidRPr="00EB2576" w:rsidRDefault="006279E2" w:rsidP="00D30BD3">
      <w:pPr>
        <w:pStyle w:val="Heading3"/>
        <w:spacing w:line="480" w:lineRule="auto"/>
        <w:rPr>
          <w:rFonts w:ascii="Times New Roman" w:hAnsi="Times New Roman" w:cs="Times New Roman"/>
          <w:b/>
          <w:bCs/>
          <w:lang w:eastAsia="en-GB"/>
        </w:rPr>
      </w:pPr>
      <w:bookmarkStart w:id="220" w:name="_Toc87612111"/>
      <w:bookmarkStart w:id="221" w:name="_Toc151020518"/>
      <w:r w:rsidRPr="00EB2576">
        <w:rPr>
          <w:rFonts w:ascii="Times New Roman" w:hAnsi="Times New Roman" w:cs="Times New Roman"/>
          <w:b/>
          <w:bCs/>
          <w:lang w:eastAsia="en-GB"/>
        </w:rPr>
        <w:t>4</w:t>
      </w:r>
      <w:r w:rsidR="00D30BD3" w:rsidRPr="00EB2576">
        <w:rPr>
          <w:rFonts w:ascii="Times New Roman" w:hAnsi="Times New Roman" w:cs="Times New Roman"/>
          <w:b/>
          <w:bCs/>
          <w:lang w:eastAsia="en-GB"/>
        </w:rPr>
        <w:t>.3.3 DNA sequencing</w:t>
      </w:r>
      <w:bookmarkEnd w:id="220"/>
      <w:bookmarkEnd w:id="221"/>
    </w:p>
    <w:p w14:paraId="0C2004EB" w14:textId="22E0C897" w:rsidR="00D30BD3" w:rsidRPr="00EB2576" w:rsidRDefault="00D30BD3" w:rsidP="00D30BD3">
      <w:pPr>
        <w:spacing w:line="480" w:lineRule="auto"/>
        <w:rPr>
          <w:rFonts w:ascii="Times New Roman" w:hAnsi="Times New Roman" w:cs="Times New Roman"/>
          <w:kern w:val="24"/>
          <w:sz w:val="24"/>
          <w:szCs w:val="24"/>
          <w:lang w:eastAsia="en-GB"/>
        </w:rPr>
      </w:pPr>
      <w:bookmarkStart w:id="222" w:name="_Hlk151018752"/>
      <w:r w:rsidRPr="00EB2576">
        <w:rPr>
          <w:rFonts w:ascii="Times New Roman" w:eastAsia="Times New Roman" w:hAnsi="Times New Roman" w:cs="Times New Roman"/>
          <w:sz w:val="24"/>
          <w:szCs w:val="24"/>
          <w:lang w:eastAsia="en-GB"/>
        </w:rPr>
        <w:t>Colonies selected for colony PCR were DNA sequenced</w:t>
      </w:r>
      <w:r w:rsidRPr="00EB2576">
        <w:rPr>
          <w:rFonts w:ascii="Times New Roman" w:hAnsi="Times New Roman" w:cs="Times New Roman"/>
          <w:sz w:val="24"/>
          <w:szCs w:val="24"/>
        </w:rPr>
        <w:t xml:space="preserve">. </w:t>
      </w:r>
      <w:r w:rsidRPr="00EB2576">
        <w:rPr>
          <w:rFonts w:ascii="Times New Roman" w:eastAsia="Times New Roman" w:hAnsi="Times New Roman" w:cs="Times New Roman"/>
          <w:sz w:val="24"/>
          <w:szCs w:val="24"/>
          <w:lang w:eastAsia="en-GB"/>
        </w:rPr>
        <w:t xml:space="preserve">Of 12 sequenced, 3 sequences aligned to infliximab light chain nucleotides sequence and 5 to infliximab heavy chain nucleotide sequence (Table </w:t>
      </w:r>
      <w:r w:rsidR="00647B61" w:rsidRPr="00EB2576">
        <w:rPr>
          <w:rFonts w:ascii="Times New Roman" w:eastAsia="Times New Roman" w:hAnsi="Times New Roman" w:cs="Times New Roman"/>
          <w:sz w:val="24"/>
          <w:szCs w:val="24"/>
          <w:lang w:eastAsia="en-GB"/>
        </w:rPr>
        <w:t>10</w:t>
      </w:r>
      <w:r w:rsidRPr="00EB2576">
        <w:rPr>
          <w:rFonts w:ascii="Times New Roman" w:eastAsia="Times New Roman" w:hAnsi="Times New Roman" w:cs="Times New Roman"/>
          <w:sz w:val="24"/>
          <w:szCs w:val="24"/>
          <w:lang w:eastAsia="en-GB"/>
        </w:rPr>
        <w:t xml:space="preserve">). There was no insert present on one of the sequences. 3 inserts (sequence 9-11) did not illustrate an exact match to infliximab heavy or light chain but did show a close partial match to infliximab heavy chain nucleotide sequences. None of the sequences were in frame which is not unexpected with the number of colonies sequenced. The median nucleotide sequence was </w:t>
      </w:r>
      <w:r w:rsidRPr="00EB2576">
        <w:rPr>
          <w:rFonts w:ascii="Times New Roman" w:hAnsi="Times New Roman" w:cs="Times New Roman"/>
          <w:sz w:val="24"/>
          <w:szCs w:val="24"/>
        </w:rPr>
        <w:t>110 nucleotides (range 52-275)</w:t>
      </w:r>
      <w:r w:rsidRPr="00EB2576">
        <w:rPr>
          <w:rFonts w:ascii="Times New Roman" w:eastAsia="Times New Roman" w:hAnsi="Times New Roman" w:cs="Times New Roman"/>
          <w:sz w:val="24"/>
          <w:szCs w:val="24"/>
          <w:lang w:eastAsia="en-GB"/>
        </w:rPr>
        <w:t>, median amino acid sequence was 37 residues (range 17-92).</w:t>
      </w:r>
    </w:p>
    <w:p w14:paraId="4369601F"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bookmarkStart w:id="223" w:name="_Hlk67159778"/>
      <w:bookmarkEnd w:id="222"/>
    </w:p>
    <w:p w14:paraId="4AEF5920" w14:textId="77777777" w:rsidR="00A25873" w:rsidRPr="00EB2576" w:rsidRDefault="00A25873" w:rsidP="00D30BD3">
      <w:pPr>
        <w:autoSpaceDE w:val="0"/>
        <w:autoSpaceDN w:val="0"/>
        <w:adjustRightInd w:val="0"/>
        <w:spacing w:after="0" w:line="480" w:lineRule="auto"/>
        <w:rPr>
          <w:rFonts w:ascii="Times New Roman" w:hAnsi="Times New Roman" w:cs="Times New Roman"/>
          <w:sz w:val="24"/>
          <w:szCs w:val="24"/>
        </w:rPr>
      </w:pPr>
    </w:p>
    <w:p w14:paraId="5A32517E" w14:textId="77777777" w:rsidR="00A25873" w:rsidRPr="00EB2576" w:rsidRDefault="00A25873" w:rsidP="00D30BD3">
      <w:pPr>
        <w:autoSpaceDE w:val="0"/>
        <w:autoSpaceDN w:val="0"/>
        <w:adjustRightInd w:val="0"/>
        <w:spacing w:after="0" w:line="480" w:lineRule="auto"/>
        <w:rPr>
          <w:rFonts w:ascii="Times New Roman" w:hAnsi="Times New Roman" w:cs="Times New Roman"/>
          <w:sz w:val="24"/>
          <w:szCs w:val="24"/>
        </w:rPr>
      </w:pPr>
    </w:p>
    <w:p w14:paraId="66C120C9" w14:textId="77777777" w:rsidR="00A25873" w:rsidRPr="00EB2576" w:rsidRDefault="00A25873" w:rsidP="00D30BD3">
      <w:pPr>
        <w:autoSpaceDE w:val="0"/>
        <w:autoSpaceDN w:val="0"/>
        <w:adjustRightInd w:val="0"/>
        <w:spacing w:after="0" w:line="480" w:lineRule="auto"/>
        <w:rPr>
          <w:rFonts w:ascii="Times New Roman" w:hAnsi="Times New Roman" w:cs="Times New Roman"/>
          <w:sz w:val="24"/>
          <w:szCs w:val="24"/>
        </w:rPr>
      </w:pPr>
    </w:p>
    <w:tbl>
      <w:tblPr>
        <w:tblStyle w:val="TableGridLight"/>
        <w:tblW w:w="0" w:type="auto"/>
        <w:tblLook w:val="04A0" w:firstRow="1" w:lastRow="0" w:firstColumn="1" w:lastColumn="0" w:noHBand="0" w:noVBand="1"/>
      </w:tblPr>
      <w:tblGrid>
        <w:gridCol w:w="2254"/>
        <w:gridCol w:w="3128"/>
        <w:gridCol w:w="2835"/>
      </w:tblGrid>
      <w:tr w:rsidR="00EB2576" w:rsidRPr="00EB2576" w14:paraId="1ED25A22" w14:textId="77777777" w:rsidTr="00D74BCC">
        <w:tc>
          <w:tcPr>
            <w:tcW w:w="2254" w:type="dxa"/>
          </w:tcPr>
          <w:bookmarkEnd w:id="223"/>
          <w:p w14:paraId="3C995A4E" w14:textId="77777777" w:rsidR="00D30BD3" w:rsidRPr="00EB2576" w:rsidRDefault="00D30BD3" w:rsidP="00D74BCC">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lastRenderedPageBreak/>
              <w:t xml:space="preserve">Colony sequenced  </w:t>
            </w:r>
          </w:p>
        </w:tc>
        <w:tc>
          <w:tcPr>
            <w:tcW w:w="3128" w:type="dxa"/>
          </w:tcPr>
          <w:p w14:paraId="622A4264" w14:textId="77777777" w:rsidR="00D30BD3" w:rsidRPr="00EB2576" w:rsidRDefault="00D30BD3" w:rsidP="00D74BCC">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 xml:space="preserve">Infliximab chain aligned to </w:t>
            </w:r>
          </w:p>
        </w:tc>
        <w:tc>
          <w:tcPr>
            <w:tcW w:w="2835" w:type="dxa"/>
          </w:tcPr>
          <w:p w14:paraId="0A41F14A" w14:textId="646D336B" w:rsidR="00D30BD3" w:rsidRPr="00EB2576" w:rsidRDefault="007E146F" w:rsidP="00D74BCC">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Position on n</w:t>
            </w:r>
            <w:r w:rsidR="00D30BD3" w:rsidRPr="00EB2576">
              <w:rPr>
                <w:rFonts w:ascii="Times New Roman" w:hAnsi="Times New Roman" w:cs="Times New Roman"/>
                <w:b/>
                <w:bCs/>
                <w:sz w:val="20"/>
                <w:szCs w:val="20"/>
              </w:rPr>
              <w:t>ucleotide sequence</w:t>
            </w:r>
          </w:p>
        </w:tc>
      </w:tr>
      <w:tr w:rsidR="00EB2576" w:rsidRPr="00EB2576" w14:paraId="19F2C576" w14:textId="77777777" w:rsidTr="00D74BCC">
        <w:tc>
          <w:tcPr>
            <w:tcW w:w="2254" w:type="dxa"/>
          </w:tcPr>
          <w:p w14:paraId="06D89150"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1</w:t>
            </w:r>
          </w:p>
        </w:tc>
        <w:tc>
          <w:tcPr>
            <w:tcW w:w="3128" w:type="dxa"/>
          </w:tcPr>
          <w:p w14:paraId="3D4B5E10"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 xml:space="preserve">Light chain </w:t>
            </w:r>
          </w:p>
        </w:tc>
        <w:tc>
          <w:tcPr>
            <w:tcW w:w="2835" w:type="dxa"/>
          </w:tcPr>
          <w:p w14:paraId="0F6467E7"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547-643</w:t>
            </w:r>
          </w:p>
        </w:tc>
      </w:tr>
      <w:tr w:rsidR="00EB2576" w:rsidRPr="00EB2576" w14:paraId="52728BCD" w14:textId="77777777" w:rsidTr="00D74BCC">
        <w:tc>
          <w:tcPr>
            <w:tcW w:w="2254" w:type="dxa"/>
          </w:tcPr>
          <w:p w14:paraId="118E10B8"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2</w:t>
            </w:r>
          </w:p>
        </w:tc>
        <w:tc>
          <w:tcPr>
            <w:tcW w:w="3128" w:type="dxa"/>
          </w:tcPr>
          <w:p w14:paraId="122415F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w:t>
            </w:r>
          </w:p>
        </w:tc>
        <w:tc>
          <w:tcPr>
            <w:tcW w:w="2835" w:type="dxa"/>
          </w:tcPr>
          <w:p w14:paraId="0D6ABA1C"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326-460</w:t>
            </w:r>
          </w:p>
        </w:tc>
      </w:tr>
      <w:tr w:rsidR="00EB2576" w:rsidRPr="00EB2576" w14:paraId="4CAE158E" w14:textId="77777777" w:rsidTr="00D74BCC">
        <w:tc>
          <w:tcPr>
            <w:tcW w:w="2254" w:type="dxa"/>
          </w:tcPr>
          <w:p w14:paraId="0F6A2A31"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3</w:t>
            </w:r>
          </w:p>
        </w:tc>
        <w:tc>
          <w:tcPr>
            <w:tcW w:w="3128" w:type="dxa"/>
          </w:tcPr>
          <w:p w14:paraId="76E150CC"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 xml:space="preserve">Light chain </w:t>
            </w:r>
          </w:p>
        </w:tc>
        <w:tc>
          <w:tcPr>
            <w:tcW w:w="2835" w:type="dxa"/>
          </w:tcPr>
          <w:p w14:paraId="3CE5886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527-642</w:t>
            </w:r>
          </w:p>
        </w:tc>
      </w:tr>
      <w:tr w:rsidR="00EB2576" w:rsidRPr="00EB2576" w14:paraId="2FF062F5" w14:textId="77777777" w:rsidTr="00D74BCC">
        <w:tc>
          <w:tcPr>
            <w:tcW w:w="2254" w:type="dxa"/>
          </w:tcPr>
          <w:p w14:paraId="4D7DCF6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4</w:t>
            </w:r>
          </w:p>
        </w:tc>
        <w:tc>
          <w:tcPr>
            <w:tcW w:w="3128" w:type="dxa"/>
          </w:tcPr>
          <w:p w14:paraId="6E89EAE5"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Light chain</w:t>
            </w:r>
          </w:p>
        </w:tc>
        <w:tc>
          <w:tcPr>
            <w:tcW w:w="2835" w:type="dxa"/>
          </w:tcPr>
          <w:p w14:paraId="3C053C8B"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3-116</w:t>
            </w:r>
          </w:p>
        </w:tc>
      </w:tr>
      <w:tr w:rsidR="00EB2576" w:rsidRPr="00EB2576" w14:paraId="769A4DC7" w14:textId="77777777" w:rsidTr="00D74BCC">
        <w:tc>
          <w:tcPr>
            <w:tcW w:w="2254" w:type="dxa"/>
          </w:tcPr>
          <w:p w14:paraId="34112F44"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5</w:t>
            </w:r>
          </w:p>
        </w:tc>
        <w:tc>
          <w:tcPr>
            <w:tcW w:w="3128" w:type="dxa"/>
          </w:tcPr>
          <w:p w14:paraId="124F0A8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 xml:space="preserve">Heavy chain </w:t>
            </w:r>
          </w:p>
        </w:tc>
        <w:tc>
          <w:tcPr>
            <w:tcW w:w="2835" w:type="dxa"/>
          </w:tcPr>
          <w:p w14:paraId="7D53100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612-664</w:t>
            </w:r>
          </w:p>
        </w:tc>
      </w:tr>
      <w:tr w:rsidR="00EB2576" w:rsidRPr="00EB2576" w14:paraId="2DC0EDAF" w14:textId="77777777" w:rsidTr="00D74BCC">
        <w:tc>
          <w:tcPr>
            <w:tcW w:w="2254" w:type="dxa"/>
          </w:tcPr>
          <w:p w14:paraId="18A6D3E4"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6</w:t>
            </w:r>
          </w:p>
        </w:tc>
        <w:tc>
          <w:tcPr>
            <w:tcW w:w="3128" w:type="dxa"/>
          </w:tcPr>
          <w:p w14:paraId="531B8A66"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w:t>
            </w:r>
          </w:p>
        </w:tc>
        <w:tc>
          <w:tcPr>
            <w:tcW w:w="2835" w:type="dxa"/>
          </w:tcPr>
          <w:p w14:paraId="62994A36"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389-664</w:t>
            </w:r>
          </w:p>
        </w:tc>
      </w:tr>
      <w:tr w:rsidR="00EB2576" w:rsidRPr="00EB2576" w14:paraId="40DB7784" w14:textId="77777777" w:rsidTr="00D74BCC">
        <w:tc>
          <w:tcPr>
            <w:tcW w:w="2254" w:type="dxa"/>
          </w:tcPr>
          <w:p w14:paraId="5D6B13E9" w14:textId="77777777" w:rsidR="00D30BD3" w:rsidRPr="00EB2576" w:rsidRDefault="00D30BD3" w:rsidP="00D74BCC">
            <w:pPr>
              <w:tabs>
                <w:tab w:val="center" w:pos="1019"/>
              </w:tabs>
              <w:spacing w:line="480" w:lineRule="auto"/>
              <w:rPr>
                <w:rFonts w:ascii="Times New Roman" w:hAnsi="Times New Roman" w:cs="Times New Roman"/>
                <w:sz w:val="20"/>
                <w:szCs w:val="20"/>
              </w:rPr>
            </w:pPr>
            <w:r w:rsidRPr="00EB2576">
              <w:rPr>
                <w:rFonts w:ascii="Times New Roman" w:hAnsi="Times New Roman" w:cs="Times New Roman"/>
                <w:sz w:val="20"/>
                <w:szCs w:val="20"/>
              </w:rPr>
              <w:t>7</w:t>
            </w:r>
            <w:r w:rsidRPr="00EB2576">
              <w:rPr>
                <w:rFonts w:ascii="Times New Roman" w:hAnsi="Times New Roman" w:cs="Times New Roman"/>
                <w:sz w:val="20"/>
                <w:szCs w:val="20"/>
              </w:rPr>
              <w:tab/>
            </w:r>
          </w:p>
        </w:tc>
        <w:tc>
          <w:tcPr>
            <w:tcW w:w="3128" w:type="dxa"/>
          </w:tcPr>
          <w:p w14:paraId="6FE7BA77"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w:t>
            </w:r>
          </w:p>
        </w:tc>
        <w:tc>
          <w:tcPr>
            <w:tcW w:w="2835" w:type="dxa"/>
          </w:tcPr>
          <w:p w14:paraId="27E96BDB"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3-110</w:t>
            </w:r>
          </w:p>
        </w:tc>
      </w:tr>
      <w:tr w:rsidR="00EB2576" w:rsidRPr="00EB2576" w14:paraId="71AB54FB" w14:textId="77777777" w:rsidTr="00D74BCC">
        <w:tc>
          <w:tcPr>
            <w:tcW w:w="2254" w:type="dxa"/>
          </w:tcPr>
          <w:p w14:paraId="3E84DD51"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8</w:t>
            </w:r>
          </w:p>
        </w:tc>
        <w:tc>
          <w:tcPr>
            <w:tcW w:w="3128" w:type="dxa"/>
          </w:tcPr>
          <w:p w14:paraId="0A2B4884"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w:t>
            </w:r>
          </w:p>
        </w:tc>
        <w:tc>
          <w:tcPr>
            <w:tcW w:w="2835" w:type="dxa"/>
          </w:tcPr>
          <w:p w14:paraId="3989AC7F"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577-664</w:t>
            </w:r>
          </w:p>
        </w:tc>
      </w:tr>
      <w:tr w:rsidR="00EB2576" w:rsidRPr="00EB2576" w14:paraId="4D737D4D" w14:textId="77777777" w:rsidTr="00D74BCC">
        <w:tc>
          <w:tcPr>
            <w:tcW w:w="2254" w:type="dxa"/>
          </w:tcPr>
          <w:p w14:paraId="54E8210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9</w:t>
            </w:r>
          </w:p>
        </w:tc>
        <w:tc>
          <w:tcPr>
            <w:tcW w:w="3128" w:type="dxa"/>
          </w:tcPr>
          <w:p w14:paraId="6847456E"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 (partial match of sequence)</w:t>
            </w:r>
          </w:p>
        </w:tc>
        <w:tc>
          <w:tcPr>
            <w:tcW w:w="2835" w:type="dxa"/>
          </w:tcPr>
          <w:p w14:paraId="113F88E5"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175-334</w:t>
            </w:r>
          </w:p>
        </w:tc>
      </w:tr>
      <w:tr w:rsidR="00EB2576" w:rsidRPr="00EB2576" w14:paraId="7EA39738" w14:textId="77777777" w:rsidTr="00D74BCC">
        <w:tc>
          <w:tcPr>
            <w:tcW w:w="2254" w:type="dxa"/>
          </w:tcPr>
          <w:p w14:paraId="629AD115"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10</w:t>
            </w:r>
          </w:p>
        </w:tc>
        <w:tc>
          <w:tcPr>
            <w:tcW w:w="3128" w:type="dxa"/>
          </w:tcPr>
          <w:p w14:paraId="6853F1DC"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 (partial match of sequence)</w:t>
            </w:r>
          </w:p>
        </w:tc>
        <w:tc>
          <w:tcPr>
            <w:tcW w:w="2835" w:type="dxa"/>
          </w:tcPr>
          <w:p w14:paraId="77727FF3"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148-260</w:t>
            </w:r>
          </w:p>
        </w:tc>
      </w:tr>
      <w:tr w:rsidR="00D30BD3" w:rsidRPr="00EB2576" w14:paraId="15E7652E" w14:textId="77777777" w:rsidTr="00D74BCC">
        <w:tc>
          <w:tcPr>
            <w:tcW w:w="2254" w:type="dxa"/>
          </w:tcPr>
          <w:p w14:paraId="64ED289E"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11</w:t>
            </w:r>
          </w:p>
        </w:tc>
        <w:tc>
          <w:tcPr>
            <w:tcW w:w="3128" w:type="dxa"/>
          </w:tcPr>
          <w:p w14:paraId="793C172D" w14:textId="77777777" w:rsidR="00D30BD3" w:rsidRPr="00EB2576" w:rsidRDefault="00D30BD3" w:rsidP="00D74BCC">
            <w:pPr>
              <w:spacing w:line="480" w:lineRule="auto"/>
              <w:rPr>
                <w:rFonts w:ascii="Times New Roman" w:hAnsi="Times New Roman" w:cs="Times New Roman"/>
                <w:sz w:val="20"/>
                <w:szCs w:val="20"/>
              </w:rPr>
            </w:pPr>
            <w:r w:rsidRPr="00EB2576">
              <w:rPr>
                <w:rFonts w:ascii="Times New Roman" w:hAnsi="Times New Roman" w:cs="Times New Roman"/>
                <w:sz w:val="20"/>
                <w:szCs w:val="20"/>
              </w:rPr>
              <w:t>Heavy chain (partial match of sequence)</w:t>
            </w:r>
          </w:p>
        </w:tc>
        <w:tc>
          <w:tcPr>
            <w:tcW w:w="2835" w:type="dxa"/>
          </w:tcPr>
          <w:p w14:paraId="11521B20" w14:textId="77777777" w:rsidR="00D30BD3" w:rsidRPr="00EB2576" w:rsidRDefault="00D30BD3" w:rsidP="00647B61">
            <w:pPr>
              <w:keepNext/>
              <w:spacing w:line="480" w:lineRule="auto"/>
              <w:rPr>
                <w:rFonts w:ascii="Times New Roman" w:hAnsi="Times New Roman" w:cs="Times New Roman"/>
                <w:sz w:val="20"/>
                <w:szCs w:val="20"/>
              </w:rPr>
            </w:pPr>
            <w:r w:rsidRPr="00EB2576">
              <w:rPr>
                <w:rFonts w:ascii="Times New Roman" w:hAnsi="Times New Roman" w:cs="Times New Roman"/>
                <w:sz w:val="20"/>
                <w:szCs w:val="20"/>
              </w:rPr>
              <w:t>100-286</w:t>
            </w:r>
          </w:p>
        </w:tc>
      </w:tr>
    </w:tbl>
    <w:p w14:paraId="09898E08" w14:textId="77777777" w:rsidR="00647B61" w:rsidRPr="00EB2576" w:rsidRDefault="00647B61" w:rsidP="00647B61">
      <w:pPr>
        <w:spacing w:line="480" w:lineRule="auto"/>
        <w:rPr>
          <w:rFonts w:ascii="Times New Roman" w:hAnsi="Times New Roman" w:cs="Times New Roman"/>
          <w:b/>
          <w:bCs/>
          <w:sz w:val="24"/>
          <w:szCs w:val="24"/>
        </w:rPr>
      </w:pPr>
    </w:p>
    <w:p w14:paraId="121D2DF4" w14:textId="0413AB0F" w:rsidR="00647B61" w:rsidRPr="00EB2576" w:rsidRDefault="00647B61" w:rsidP="00E44C1C">
      <w:pPr>
        <w:spacing w:line="240" w:lineRule="auto"/>
        <w:rPr>
          <w:rFonts w:ascii="Times New Roman" w:hAnsi="Times New Roman" w:cs="Times New Roman"/>
          <w:b/>
          <w:bCs/>
          <w:sz w:val="24"/>
          <w:szCs w:val="24"/>
        </w:rPr>
      </w:pPr>
      <w:bookmarkStart w:id="224" w:name="_Toc139306963"/>
      <w:r w:rsidRPr="00EB2576">
        <w:rPr>
          <w:rFonts w:ascii="Times New Roman" w:hAnsi="Times New Roman" w:cs="Times New Roman"/>
          <w:b/>
          <w:bCs/>
          <w:sz w:val="24"/>
          <w:szCs w:val="24"/>
        </w:rPr>
        <w:t xml:space="preserve">Table </w:t>
      </w:r>
      <w:r w:rsidR="00334B74" w:rsidRPr="00EB2576">
        <w:rPr>
          <w:rFonts w:ascii="Times New Roman" w:hAnsi="Times New Roman" w:cs="Times New Roman"/>
          <w:b/>
          <w:bCs/>
          <w:sz w:val="24"/>
          <w:szCs w:val="24"/>
        </w:rPr>
        <w:fldChar w:fldCharType="begin"/>
      </w:r>
      <w:r w:rsidR="00334B74" w:rsidRPr="00EB2576">
        <w:rPr>
          <w:rFonts w:ascii="Times New Roman" w:hAnsi="Times New Roman" w:cs="Times New Roman"/>
          <w:b/>
          <w:bCs/>
          <w:sz w:val="24"/>
          <w:szCs w:val="24"/>
        </w:rPr>
        <w:instrText xml:space="preserve"> SEQ Table \* ARABIC </w:instrText>
      </w:r>
      <w:r w:rsidR="00334B74" w:rsidRPr="00EB2576">
        <w:rPr>
          <w:rFonts w:ascii="Times New Roman" w:hAnsi="Times New Roman" w:cs="Times New Roman"/>
          <w:b/>
          <w:bCs/>
          <w:sz w:val="24"/>
          <w:szCs w:val="24"/>
        </w:rPr>
        <w:fldChar w:fldCharType="separate"/>
      </w:r>
      <w:r w:rsidR="00F2388D" w:rsidRPr="00EB2576">
        <w:rPr>
          <w:rFonts w:ascii="Times New Roman" w:hAnsi="Times New Roman" w:cs="Times New Roman"/>
          <w:b/>
          <w:bCs/>
          <w:noProof/>
          <w:sz w:val="24"/>
          <w:szCs w:val="24"/>
        </w:rPr>
        <w:t>10</w:t>
      </w:r>
      <w:r w:rsidR="00334B74"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DNA sequencing of randomly selected colonies from infliximab Fab gene fragment library.</w:t>
      </w:r>
      <w:bookmarkEnd w:id="224"/>
      <w:r w:rsidRPr="00EB2576">
        <w:rPr>
          <w:rFonts w:ascii="Times New Roman" w:hAnsi="Times New Roman" w:cs="Times New Roman"/>
          <w:b/>
          <w:bCs/>
          <w:sz w:val="24"/>
          <w:szCs w:val="24"/>
        </w:rPr>
        <w:t xml:space="preserve"> </w:t>
      </w:r>
    </w:p>
    <w:p w14:paraId="55BB439A" w14:textId="136E8242" w:rsidR="009B6C7F" w:rsidRPr="00EB2576" w:rsidRDefault="000A5B84" w:rsidP="00E44C1C">
      <w:pPr>
        <w:spacing w:line="240" w:lineRule="auto"/>
        <w:rPr>
          <w:rFonts w:ascii="Times New Roman" w:hAnsi="Times New Roman" w:cs="Times New Roman"/>
          <w:kern w:val="24"/>
          <w:sz w:val="24"/>
          <w:szCs w:val="24"/>
          <w:lang w:eastAsia="en-GB"/>
        </w:rPr>
      </w:pPr>
      <w:r w:rsidRPr="00EB2576">
        <w:rPr>
          <w:rFonts w:ascii="Times New Roman" w:eastAsia="Times New Roman" w:hAnsi="Times New Roman" w:cs="Times New Roman"/>
          <w:sz w:val="24"/>
          <w:szCs w:val="24"/>
          <w:lang w:eastAsia="en-GB"/>
        </w:rPr>
        <w:t xml:space="preserve">Of the </w:t>
      </w:r>
      <w:r w:rsidR="009B6C7F" w:rsidRPr="00EB2576">
        <w:rPr>
          <w:rFonts w:ascii="Times New Roman" w:eastAsia="Times New Roman" w:hAnsi="Times New Roman" w:cs="Times New Roman"/>
          <w:sz w:val="24"/>
          <w:szCs w:val="24"/>
          <w:lang w:eastAsia="en-GB"/>
        </w:rPr>
        <w:t xml:space="preserve">12 </w:t>
      </w:r>
      <w:r w:rsidRPr="00EB2576">
        <w:rPr>
          <w:rFonts w:ascii="Times New Roman" w:eastAsia="Times New Roman" w:hAnsi="Times New Roman" w:cs="Times New Roman"/>
          <w:sz w:val="24"/>
          <w:szCs w:val="24"/>
          <w:lang w:eastAsia="en-GB"/>
        </w:rPr>
        <w:t xml:space="preserve">colonies </w:t>
      </w:r>
      <w:r w:rsidR="009B6C7F" w:rsidRPr="00EB2576">
        <w:rPr>
          <w:rFonts w:ascii="Times New Roman" w:eastAsia="Times New Roman" w:hAnsi="Times New Roman" w:cs="Times New Roman"/>
          <w:sz w:val="24"/>
          <w:szCs w:val="24"/>
          <w:lang w:eastAsia="en-GB"/>
        </w:rPr>
        <w:t xml:space="preserve">sequenced, </w:t>
      </w:r>
      <w:r w:rsidR="000807F2" w:rsidRPr="00EB2576">
        <w:rPr>
          <w:rFonts w:ascii="Times New Roman" w:eastAsia="Times New Roman" w:hAnsi="Times New Roman" w:cs="Times New Roman"/>
          <w:sz w:val="24"/>
          <w:szCs w:val="24"/>
          <w:lang w:eastAsia="en-GB"/>
        </w:rPr>
        <w:t>three</w:t>
      </w:r>
      <w:r w:rsidR="009B6C7F" w:rsidRPr="00EB2576">
        <w:rPr>
          <w:rFonts w:ascii="Times New Roman" w:eastAsia="Times New Roman" w:hAnsi="Times New Roman" w:cs="Times New Roman"/>
          <w:sz w:val="24"/>
          <w:szCs w:val="24"/>
          <w:lang w:eastAsia="en-GB"/>
        </w:rPr>
        <w:t xml:space="preserve"> sequences aligned to infliximab light chain and </w:t>
      </w:r>
      <w:r w:rsidR="000807F2" w:rsidRPr="00EB2576">
        <w:rPr>
          <w:rFonts w:ascii="Times New Roman" w:eastAsia="Times New Roman" w:hAnsi="Times New Roman" w:cs="Times New Roman"/>
          <w:sz w:val="24"/>
          <w:szCs w:val="24"/>
          <w:lang w:eastAsia="en-GB"/>
        </w:rPr>
        <w:t>five</w:t>
      </w:r>
      <w:r w:rsidR="009B6C7F" w:rsidRPr="00EB2576">
        <w:rPr>
          <w:rFonts w:ascii="Times New Roman" w:eastAsia="Times New Roman" w:hAnsi="Times New Roman" w:cs="Times New Roman"/>
          <w:sz w:val="24"/>
          <w:szCs w:val="24"/>
          <w:lang w:eastAsia="en-GB"/>
        </w:rPr>
        <w:t xml:space="preserve"> to infliximab heavy chain nucleotide sequence (Table 10). </w:t>
      </w:r>
      <w:r w:rsidR="00E44C1C" w:rsidRPr="00EB2576">
        <w:rPr>
          <w:rFonts w:ascii="Times New Roman" w:eastAsia="Times New Roman" w:hAnsi="Times New Roman" w:cs="Times New Roman"/>
          <w:sz w:val="24"/>
          <w:szCs w:val="24"/>
          <w:lang w:eastAsia="en-GB"/>
        </w:rPr>
        <w:t>S</w:t>
      </w:r>
      <w:r w:rsidR="009B6C7F" w:rsidRPr="00EB2576">
        <w:rPr>
          <w:rFonts w:ascii="Times New Roman" w:eastAsia="Times New Roman" w:hAnsi="Times New Roman" w:cs="Times New Roman"/>
          <w:sz w:val="24"/>
          <w:szCs w:val="24"/>
          <w:lang w:eastAsia="en-GB"/>
        </w:rPr>
        <w:t>equence</w:t>
      </w:r>
      <w:r w:rsidR="00E44C1C" w:rsidRPr="00EB2576">
        <w:rPr>
          <w:rFonts w:ascii="Times New Roman" w:eastAsia="Times New Roman" w:hAnsi="Times New Roman" w:cs="Times New Roman"/>
          <w:sz w:val="24"/>
          <w:szCs w:val="24"/>
          <w:lang w:eastAsia="en-GB"/>
        </w:rPr>
        <w:t>s</w:t>
      </w:r>
      <w:r w:rsidR="009B6C7F" w:rsidRPr="00EB2576">
        <w:rPr>
          <w:rFonts w:ascii="Times New Roman" w:eastAsia="Times New Roman" w:hAnsi="Times New Roman" w:cs="Times New Roman"/>
          <w:sz w:val="24"/>
          <w:szCs w:val="24"/>
          <w:lang w:eastAsia="en-GB"/>
        </w:rPr>
        <w:t xml:space="preserve"> 9-11 did not illustrate an exact match to infliximab heavy or light chain but did show a close partial match to infliximab heavy chain nucleotide sequence. The median nucleotide sequence was </w:t>
      </w:r>
      <w:r w:rsidR="009B6C7F" w:rsidRPr="00EB2576">
        <w:rPr>
          <w:rFonts w:ascii="Times New Roman" w:hAnsi="Times New Roman" w:cs="Times New Roman"/>
          <w:sz w:val="24"/>
          <w:szCs w:val="24"/>
        </w:rPr>
        <w:t>110 nucleotides (range 52-275)</w:t>
      </w:r>
      <w:r w:rsidR="009B6C7F" w:rsidRPr="00EB2576">
        <w:rPr>
          <w:rFonts w:ascii="Times New Roman" w:eastAsia="Times New Roman" w:hAnsi="Times New Roman" w:cs="Times New Roman"/>
          <w:sz w:val="24"/>
          <w:szCs w:val="24"/>
          <w:lang w:eastAsia="en-GB"/>
        </w:rPr>
        <w:t>, median amino acid sequence was 37 residues (range 17-92).</w:t>
      </w:r>
    </w:p>
    <w:p w14:paraId="07F49090" w14:textId="5E9CE95E" w:rsidR="00D30BD3" w:rsidRPr="00EB2576" w:rsidRDefault="00D30BD3" w:rsidP="00D30BD3">
      <w:pPr>
        <w:spacing w:line="480" w:lineRule="auto"/>
        <w:rPr>
          <w:rFonts w:ascii="Times New Roman" w:hAnsi="Times New Roman" w:cs="Times New Roman"/>
          <w:sz w:val="24"/>
          <w:szCs w:val="24"/>
        </w:rPr>
      </w:pPr>
    </w:p>
    <w:p w14:paraId="4C5AA593" w14:textId="77777777" w:rsidR="00D30BD3" w:rsidRPr="00EB2576" w:rsidRDefault="00D30BD3" w:rsidP="00D30BD3">
      <w:pPr>
        <w:spacing w:line="480" w:lineRule="auto"/>
        <w:rPr>
          <w:rFonts w:ascii="Times New Roman" w:hAnsi="Times New Roman" w:cs="Times New Roman"/>
          <w:b/>
          <w:bCs/>
          <w:sz w:val="24"/>
          <w:szCs w:val="24"/>
        </w:rPr>
      </w:pPr>
    </w:p>
    <w:p w14:paraId="4C8EDA42" w14:textId="77777777" w:rsidR="00D30BD3" w:rsidRPr="00EB2576" w:rsidRDefault="00D30BD3" w:rsidP="00D30BD3">
      <w:pPr>
        <w:spacing w:line="480" w:lineRule="auto"/>
        <w:rPr>
          <w:rFonts w:ascii="Times New Roman" w:hAnsi="Times New Roman" w:cs="Times New Roman"/>
          <w:b/>
          <w:bCs/>
          <w:sz w:val="24"/>
          <w:szCs w:val="24"/>
        </w:rPr>
      </w:pPr>
    </w:p>
    <w:p w14:paraId="70CB3A17" w14:textId="77777777" w:rsidR="00647B61" w:rsidRPr="00EB2576" w:rsidRDefault="00647B61" w:rsidP="00D30BD3">
      <w:pPr>
        <w:spacing w:line="480" w:lineRule="auto"/>
        <w:rPr>
          <w:rFonts w:ascii="Times New Roman" w:hAnsi="Times New Roman" w:cs="Times New Roman"/>
          <w:b/>
          <w:bCs/>
          <w:sz w:val="24"/>
          <w:szCs w:val="24"/>
        </w:rPr>
      </w:pPr>
    </w:p>
    <w:p w14:paraId="137EE9CD" w14:textId="77777777" w:rsidR="00D30BD3" w:rsidRPr="00EB2576" w:rsidRDefault="00D30BD3" w:rsidP="00D30BD3">
      <w:pPr>
        <w:spacing w:line="480" w:lineRule="auto"/>
        <w:rPr>
          <w:rFonts w:ascii="Times New Roman" w:hAnsi="Times New Roman" w:cs="Times New Roman"/>
          <w:b/>
          <w:bCs/>
          <w:sz w:val="24"/>
          <w:szCs w:val="24"/>
        </w:rPr>
      </w:pPr>
    </w:p>
    <w:p w14:paraId="06DC178C" w14:textId="130F219C" w:rsidR="00D30BD3" w:rsidRPr="00EB2576" w:rsidRDefault="00994D82" w:rsidP="00D30BD3">
      <w:pPr>
        <w:pStyle w:val="Heading2"/>
        <w:spacing w:line="480" w:lineRule="auto"/>
        <w:rPr>
          <w:rFonts w:ascii="Times New Roman" w:hAnsi="Times New Roman" w:cs="Times New Roman"/>
          <w:sz w:val="24"/>
          <w:szCs w:val="24"/>
        </w:rPr>
      </w:pPr>
      <w:bookmarkStart w:id="225" w:name="_Toc87612112"/>
      <w:bookmarkStart w:id="226" w:name="_Toc151020519"/>
      <w:r w:rsidRPr="00EB2576">
        <w:rPr>
          <w:rFonts w:ascii="Times New Roman" w:hAnsi="Times New Roman" w:cs="Times New Roman"/>
          <w:sz w:val="24"/>
          <w:szCs w:val="24"/>
        </w:rPr>
        <w:lastRenderedPageBreak/>
        <w:t>4</w:t>
      </w:r>
      <w:r w:rsidR="00D30BD3" w:rsidRPr="00EB2576">
        <w:rPr>
          <w:rFonts w:ascii="Times New Roman" w:hAnsi="Times New Roman" w:cs="Times New Roman"/>
          <w:sz w:val="24"/>
          <w:szCs w:val="24"/>
        </w:rPr>
        <w:t>.4 Discussion</w:t>
      </w:r>
      <w:bookmarkEnd w:id="225"/>
      <w:bookmarkEnd w:id="226"/>
    </w:p>
    <w:p w14:paraId="37A488C3" w14:textId="3DCF661B" w:rsidR="00F205C9" w:rsidRPr="00EB2576" w:rsidRDefault="00D30BD3" w:rsidP="00D30BD3">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Phage display is a systematic </w:t>
      </w:r>
      <w:r w:rsidR="000756CF" w:rsidRPr="00EB2576">
        <w:rPr>
          <w:rFonts w:ascii="Times New Roman" w:hAnsi="Times New Roman" w:cs="Times New Roman"/>
          <w:sz w:val="24"/>
          <w:szCs w:val="24"/>
        </w:rPr>
        <w:t xml:space="preserve">method due to the </w:t>
      </w:r>
      <w:r w:rsidR="001E4682" w:rsidRPr="00EB2576">
        <w:rPr>
          <w:rFonts w:ascii="Times New Roman" w:hAnsi="Times New Roman" w:cs="Times New Roman"/>
          <w:sz w:val="24"/>
          <w:szCs w:val="24"/>
        </w:rPr>
        <w:t>r</w:t>
      </w:r>
      <w:r w:rsidR="0068427B" w:rsidRPr="00EB2576">
        <w:rPr>
          <w:rFonts w:ascii="Times New Roman" w:hAnsi="Times New Roman" w:cs="Times New Roman"/>
          <w:sz w:val="24"/>
          <w:szCs w:val="24"/>
        </w:rPr>
        <w:t>epeated c</w:t>
      </w:r>
      <w:r w:rsidR="00977D5E" w:rsidRPr="00EB2576">
        <w:rPr>
          <w:rFonts w:ascii="Times New Roman" w:hAnsi="Times New Roman" w:cs="Times New Roman"/>
          <w:sz w:val="24"/>
          <w:szCs w:val="24"/>
        </w:rPr>
        <w:t xml:space="preserve">ycles of biopanning </w:t>
      </w:r>
      <w:r w:rsidR="0068427B" w:rsidRPr="00EB2576">
        <w:rPr>
          <w:rFonts w:ascii="Times New Roman" w:hAnsi="Times New Roman" w:cs="Times New Roman"/>
          <w:sz w:val="24"/>
          <w:szCs w:val="24"/>
        </w:rPr>
        <w:t>with washing, elution and amplification</w:t>
      </w:r>
      <w:r w:rsidR="000756CF" w:rsidRPr="00EB2576">
        <w:rPr>
          <w:rFonts w:ascii="Times New Roman" w:hAnsi="Times New Roman" w:cs="Times New Roman"/>
          <w:sz w:val="24"/>
          <w:szCs w:val="24"/>
        </w:rPr>
        <w:t>. Its ability to</w:t>
      </w:r>
      <w:r w:rsidR="0068427B" w:rsidRPr="00EB2576">
        <w:rPr>
          <w:rFonts w:ascii="Times New Roman" w:hAnsi="Times New Roman" w:cs="Times New Roman"/>
          <w:sz w:val="24"/>
          <w:szCs w:val="24"/>
        </w:rPr>
        <w:t xml:space="preserve"> </w:t>
      </w:r>
      <w:r w:rsidR="00D17D50" w:rsidRPr="00EB2576">
        <w:rPr>
          <w:rFonts w:ascii="Times New Roman" w:hAnsi="Times New Roman" w:cs="Times New Roman"/>
          <w:sz w:val="24"/>
          <w:szCs w:val="24"/>
        </w:rPr>
        <w:t>identify</w:t>
      </w:r>
      <w:r w:rsidR="0068427B" w:rsidRPr="00EB2576">
        <w:rPr>
          <w:rFonts w:ascii="Times New Roman" w:hAnsi="Times New Roman" w:cs="Times New Roman"/>
          <w:sz w:val="24"/>
          <w:szCs w:val="24"/>
        </w:rPr>
        <w:t xml:space="preserve"> protein-protein and </w:t>
      </w:r>
      <w:r w:rsidR="001761C6" w:rsidRPr="00EB2576">
        <w:rPr>
          <w:rFonts w:ascii="Times New Roman" w:hAnsi="Times New Roman" w:cs="Times New Roman"/>
          <w:sz w:val="24"/>
          <w:szCs w:val="24"/>
        </w:rPr>
        <w:t>high affinity antigen-antibody interactions</w:t>
      </w:r>
      <w:r w:rsidR="000756CF" w:rsidRPr="00EB2576">
        <w:rPr>
          <w:rFonts w:ascii="Times New Roman" w:hAnsi="Times New Roman" w:cs="Times New Roman"/>
          <w:sz w:val="24"/>
          <w:szCs w:val="24"/>
        </w:rPr>
        <w:t xml:space="preserve"> lends itself to functional epitope mapping- the identification of amino acids in</w:t>
      </w:r>
      <w:r w:rsidR="00D17D50" w:rsidRPr="00EB2576">
        <w:rPr>
          <w:rFonts w:ascii="Times New Roman" w:hAnsi="Times New Roman" w:cs="Times New Roman"/>
          <w:sz w:val="24"/>
          <w:szCs w:val="24"/>
        </w:rPr>
        <w:t>volved in the binding interaction between an epitope and paratope</w:t>
      </w:r>
      <w:r w:rsidR="001761C6" w:rsidRPr="00EB2576">
        <w:rPr>
          <w:rFonts w:ascii="Times New Roman" w:hAnsi="Times New Roman" w:cs="Times New Roman"/>
          <w:sz w:val="24"/>
          <w:szCs w:val="24"/>
        </w:rPr>
        <w:t>. However, it</w:t>
      </w:r>
      <w:r w:rsidRPr="00EB2576">
        <w:rPr>
          <w:rFonts w:ascii="Times New Roman" w:hAnsi="Times New Roman" w:cs="Times New Roman"/>
          <w:sz w:val="24"/>
          <w:szCs w:val="24"/>
        </w:rPr>
        <w:t xml:space="preserve"> has rarely been used to identify epitopes to anti-drug antibodies </w:t>
      </w:r>
      <w:r w:rsidRPr="00EB2576">
        <w:rPr>
          <w:rFonts w:ascii="Times New Roman" w:hAnsi="Times New Roman" w:cs="Times New Roman"/>
          <w:sz w:val="24"/>
          <w:szCs w:val="24"/>
        </w:rPr>
        <w:fldChar w:fldCharType="begin" w:fldLock="1"/>
      </w:r>
      <w:r w:rsidR="00A00D49" w:rsidRPr="00EB2576">
        <w:rPr>
          <w:rFonts w:ascii="Times New Roman" w:hAnsi="Times New Roman" w:cs="Times New Roman"/>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C80274" w:rsidRPr="00EB2576">
        <w:rPr>
          <w:rFonts w:ascii="Times New Roman" w:hAnsi="Times New Roman" w:cs="Times New Roman"/>
          <w:noProof/>
          <w:sz w:val="24"/>
          <w:szCs w:val="24"/>
          <w:vertAlign w:val="superscript"/>
        </w:rPr>
        <w:t>160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p>
    <w:p w14:paraId="585BFAC3" w14:textId="77777777" w:rsidR="00F205C9" w:rsidRPr="00EB2576" w:rsidRDefault="00F205C9" w:rsidP="00D30BD3">
      <w:pPr>
        <w:spacing w:line="480" w:lineRule="auto"/>
        <w:rPr>
          <w:rFonts w:ascii="Times New Roman" w:hAnsi="Times New Roman" w:cs="Times New Roman"/>
          <w:sz w:val="24"/>
          <w:szCs w:val="24"/>
        </w:rPr>
      </w:pPr>
      <w:bookmarkStart w:id="227" w:name="_Hlk150946183"/>
    </w:p>
    <w:p w14:paraId="7DA2A90B" w14:textId="328A52CB" w:rsidR="00D30BD3" w:rsidRPr="00EB2576" w:rsidRDefault="00332910" w:rsidP="00D30BD3">
      <w:pPr>
        <w:spacing w:line="480" w:lineRule="auto"/>
        <w:rPr>
          <w:rFonts w:ascii="Times New Roman" w:hAnsi="Times New Roman" w:cs="Times New Roman"/>
          <w:sz w:val="24"/>
          <w:szCs w:val="24"/>
        </w:rPr>
      </w:pPr>
      <w:r w:rsidRPr="00EB2576">
        <w:rPr>
          <w:rFonts w:ascii="Times New Roman" w:hAnsi="Times New Roman" w:cs="Times New Roman"/>
          <w:sz w:val="24"/>
          <w:szCs w:val="24"/>
        </w:rPr>
        <w:t>My</w:t>
      </w:r>
      <w:r w:rsidR="00D30BD3" w:rsidRPr="00EB2576">
        <w:rPr>
          <w:rFonts w:ascii="Times New Roman" w:hAnsi="Times New Roman" w:cs="Times New Roman"/>
          <w:sz w:val="24"/>
          <w:szCs w:val="24"/>
        </w:rPr>
        <w:t xml:space="preserve"> phage display library was designed to focus on the Fab fragment of infliximab, which, as the variable murine region, </w:t>
      </w:r>
      <w:r w:rsidR="00AC25A5" w:rsidRPr="00EB2576">
        <w:rPr>
          <w:rFonts w:ascii="Times New Roman" w:hAnsi="Times New Roman" w:cs="Times New Roman"/>
          <w:sz w:val="24"/>
          <w:szCs w:val="24"/>
        </w:rPr>
        <w:t xml:space="preserve">was thought </w:t>
      </w:r>
      <w:r w:rsidR="00D30BD3" w:rsidRPr="00EB2576">
        <w:rPr>
          <w:rFonts w:ascii="Times New Roman" w:hAnsi="Times New Roman" w:cs="Times New Roman"/>
          <w:sz w:val="24"/>
          <w:szCs w:val="24"/>
        </w:rPr>
        <w:t>to contain the antigenic region or regions to which ATI form. The size of the library was 2.9 x 10</w:t>
      </w:r>
      <w:r w:rsidR="00D30BD3" w:rsidRPr="00EB2576">
        <w:rPr>
          <w:rFonts w:ascii="Times New Roman" w:hAnsi="Times New Roman" w:cs="Times New Roman"/>
          <w:sz w:val="24"/>
          <w:szCs w:val="24"/>
          <w:vertAlign w:val="superscript"/>
        </w:rPr>
        <w:t xml:space="preserve"> 5</w:t>
      </w:r>
      <w:r w:rsidR="00D30BD3" w:rsidRPr="00EB2576">
        <w:rPr>
          <w:rFonts w:ascii="Times New Roman" w:hAnsi="Times New Roman" w:cs="Times New Roman"/>
          <w:sz w:val="24"/>
          <w:szCs w:val="24"/>
        </w:rPr>
        <w:t xml:space="preserve"> clones: a large library in relation to the size of the gen</w:t>
      </w:r>
      <w:r w:rsidR="00E23035" w:rsidRPr="00EB2576">
        <w:rPr>
          <w:rFonts w:ascii="Times New Roman" w:hAnsi="Times New Roman" w:cs="Times New Roman"/>
          <w:sz w:val="24"/>
          <w:szCs w:val="24"/>
        </w:rPr>
        <w:t>ome</w:t>
      </w:r>
      <w:r w:rsidR="00D30BD3" w:rsidRPr="00EB2576">
        <w:rPr>
          <w:rFonts w:ascii="Times New Roman" w:hAnsi="Times New Roman" w:cs="Times New Roman"/>
          <w:sz w:val="24"/>
          <w:szCs w:val="24"/>
        </w:rPr>
        <w:t xml:space="preserve"> of interest</w:t>
      </w:r>
      <w:r w:rsidR="002246C0" w:rsidRPr="00EB2576">
        <w:rPr>
          <w:rFonts w:ascii="Times New Roman" w:hAnsi="Times New Roman" w:cs="Times New Roman"/>
          <w:sz w:val="24"/>
          <w:szCs w:val="24"/>
        </w:rPr>
        <w:t>:</w:t>
      </w:r>
      <w:r w:rsidR="0046275A" w:rsidRPr="00EB2576">
        <w:rPr>
          <w:rFonts w:ascii="Times New Roman" w:hAnsi="Times New Roman" w:cs="Times New Roman"/>
          <w:sz w:val="24"/>
          <w:szCs w:val="24"/>
        </w:rPr>
        <w:t xml:space="preserve"> </w:t>
      </w:r>
      <w:r w:rsidR="00A14E9E" w:rsidRPr="00EB2576">
        <w:rPr>
          <w:rFonts w:ascii="Times New Roman" w:hAnsi="Times New Roman" w:cs="Times New Roman"/>
          <w:sz w:val="24"/>
          <w:szCs w:val="24"/>
        </w:rPr>
        <w:t>infliximab Fab genome</w:t>
      </w:r>
      <w:r w:rsidR="002246C0" w:rsidRPr="00EB2576">
        <w:rPr>
          <w:rFonts w:ascii="Times New Roman" w:hAnsi="Times New Roman" w:cs="Times New Roman"/>
          <w:sz w:val="24"/>
          <w:szCs w:val="24"/>
        </w:rPr>
        <w:t>, which is</w:t>
      </w:r>
      <w:r w:rsidR="00A14E9E" w:rsidRPr="00EB2576">
        <w:rPr>
          <w:rFonts w:ascii="Times New Roman" w:hAnsi="Times New Roman" w:cs="Times New Roman"/>
          <w:sz w:val="24"/>
          <w:szCs w:val="24"/>
        </w:rPr>
        <w:t xml:space="preserve"> </w:t>
      </w:r>
      <w:r w:rsidR="001B4DC5" w:rsidRPr="00EB2576">
        <w:rPr>
          <w:rFonts w:ascii="Times New Roman" w:hAnsi="Times New Roman" w:cs="Times New Roman"/>
          <w:sz w:val="24"/>
          <w:szCs w:val="24"/>
        </w:rPr>
        <w:t>1305 base pairs</w:t>
      </w:r>
      <w:r w:rsidR="00D30BD3" w:rsidRPr="00EB2576">
        <w:rPr>
          <w:rFonts w:ascii="Times New Roman" w:hAnsi="Times New Roman" w:cs="Times New Roman"/>
          <w:sz w:val="24"/>
          <w:szCs w:val="24"/>
        </w:rPr>
        <w:t>. C</w:t>
      </w:r>
      <w:r w:rsidR="00D30BD3" w:rsidRPr="00EB2576">
        <w:rPr>
          <w:rFonts w:ascii="Times New Roman" w:hAnsi="Times New Roman" w:cs="Times New Roman"/>
          <w:sz w:val="24"/>
          <w:szCs w:val="24"/>
          <w:lang w:eastAsia="en-GB"/>
        </w:rPr>
        <w:t>olony PCR of 20 colonies showed 15/20 (75%) had an insert when compared to vector only DNA</w:t>
      </w:r>
      <w:r w:rsidR="00A14E9E" w:rsidRPr="00EB2576">
        <w:rPr>
          <w:rFonts w:ascii="Times New Roman" w:hAnsi="Times New Roman" w:cs="Times New Roman"/>
          <w:sz w:val="24"/>
          <w:szCs w:val="24"/>
          <w:lang w:eastAsia="en-GB"/>
        </w:rPr>
        <w:t>. This is</w:t>
      </w:r>
      <w:r w:rsidR="00D30BD3" w:rsidRPr="00EB2576">
        <w:rPr>
          <w:rFonts w:ascii="Times New Roman" w:hAnsi="Times New Roman" w:cs="Times New Roman"/>
          <w:sz w:val="24"/>
          <w:szCs w:val="24"/>
          <w:lang w:eastAsia="en-GB"/>
        </w:rPr>
        <w:t xml:space="preserve"> an adequate insert ratio</w:t>
      </w:r>
      <w:r w:rsidR="001D4BD8" w:rsidRPr="00EB2576">
        <w:rPr>
          <w:rFonts w:ascii="Times New Roman" w:hAnsi="Times New Roman" w:cs="Times New Roman"/>
          <w:sz w:val="24"/>
          <w:szCs w:val="24"/>
          <w:lang w:eastAsia="en-GB"/>
        </w:rPr>
        <w:t>,</w:t>
      </w:r>
      <w:r w:rsidR="00727706" w:rsidRPr="00EB2576">
        <w:rPr>
          <w:rFonts w:ascii="Times New Roman" w:hAnsi="Times New Roman" w:cs="Times New Roman"/>
          <w:sz w:val="24"/>
          <w:szCs w:val="24"/>
          <w:lang w:eastAsia="en-GB"/>
        </w:rPr>
        <w:t xml:space="preserve"> as</w:t>
      </w:r>
      <w:r w:rsidR="00A170B0" w:rsidRPr="00EB2576">
        <w:rPr>
          <w:rFonts w:ascii="Times New Roman" w:hAnsi="Times New Roman" w:cs="Times New Roman"/>
          <w:sz w:val="24"/>
          <w:szCs w:val="24"/>
          <w:lang w:eastAsia="en-GB"/>
        </w:rPr>
        <w:t xml:space="preserve"> </w:t>
      </w:r>
      <w:r w:rsidR="00F82381" w:rsidRPr="00EB2576">
        <w:rPr>
          <w:rFonts w:ascii="Times New Roman" w:hAnsi="Times New Roman" w:cs="Times New Roman"/>
          <w:sz w:val="24"/>
          <w:szCs w:val="24"/>
          <w:lang w:eastAsia="en-GB"/>
        </w:rPr>
        <w:t xml:space="preserve">considering </w:t>
      </w:r>
      <w:r w:rsidR="00FC4FCA" w:rsidRPr="00EB2576">
        <w:rPr>
          <w:rFonts w:ascii="Times New Roman" w:hAnsi="Times New Roman" w:cs="Times New Roman"/>
          <w:sz w:val="24"/>
          <w:szCs w:val="24"/>
          <w:lang w:eastAsia="en-GB"/>
        </w:rPr>
        <w:t xml:space="preserve">1) </w:t>
      </w:r>
      <w:r w:rsidR="00F82381" w:rsidRPr="00EB2576">
        <w:rPr>
          <w:rFonts w:ascii="Times New Roman" w:hAnsi="Times New Roman" w:cs="Times New Roman"/>
          <w:sz w:val="24"/>
          <w:szCs w:val="24"/>
          <w:lang w:eastAsia="en-GB"/>
        </w:rPr>
        <w:t>the size o</w:t>
      </w:r>
      <w:r w:rsidR="008F601D" w:rsidRPr="00EB2576">
        <w:rPr>
          <w:rFonts w:ascii="Times New Roman" w:hAnsi="Times New Roman" w:cs="Times New Roman"/>
          <w:sz w:val="24"/>
          <w:szCs w:val="24"/>
          <w:lang w:eastAsia="en-GB"/>
        </w:rPr>
        <w:t>f</w:t>
      </w:r>
      <w:r w:rsidR="00F7199C" w:rsidRPr="00EB2576">
        <w:rPr>
          <w:rFonts w:ascii="Times New Roman" w:hAnsi="Times New Roman" w:cs="Times New Roman"/>
          <w:sz w:val="24"/>
          <w:szCs w:val="24"/>
          <w:lang w:eastAsia="en-GB"/>
        </w:rPr>
        <w:t xml:space="preserve"> the </w:t>
      </w:r>
      <w:r w:rsidR="008F601D" w:rsidRPr="00EB2576">
        <w:rPr>
          <w:rFonts w:ascii="Times New Roman" w:hAnsi="Times New Roman" w:cs="Times New Roman"/>
          <w:sz w:val="24"/>
          <w:szCs w:val="24"/>
          <w:lang w:eastAsia="en-GB"/>
        </w:rPr>
        <w:t xml:space="preserve">infliximab Fab </w:t>
      </w:r>
      <w:r w:rsidR="00F7199C" w:rsidRPr="00EB2576">
        <w:rPr>
          <w:rFonts w:ascii="Times New Roman" w:hAnsi="Times New Roman" w:cs="Times New Roman"/>
          <w:sz w:val="24"/>
          <w:szCs w:val="24"/>
          <w:lang w:eastAsia="en-GB"/>
        </w:rPr>
        <w:t xml:space="preserve">genome, </w:t>
      </w:r>
      <w:r w:rsidR="00FC4FCA" w:rsidRPr="00EB2576">
        <w:rPr>
          <w:rFonts w:ascii="Times New Roman" w:hAnsi="Times New Roman" w:cs="Times New Roman"/>
          <w:sz w:val="24"/>
          <w:szCs w:val="24"/>
          <w:lang w:eastAsia="en-GB"/>
        </w:rPr>
        <w:t xml:space="preserve">2) </w:t>
      </w:r>
      <w:r w:rsidR="00F7199C" w:rsidRPr="00EB2576">
        <w:rPr>
          <w:rFonts w:ascii="Times New Roman" w:hAnsi="Times New Roman" w:cs="Times New Roman"/>
          <w:sz w:val="24"/>
          <w:szCs w:val="24"/>
          <w:lang w:eastAsia="en-GB"/>
        </w:rPr>
        <w:t xml:space="preserve">the </w:t>
      </w:r>
      <w:r w:rsidR="002246C0" w:rsidRPr="00EB2576">
        <w:rPr>
          <w:rFonts w:ascii="Times New Roman" w:hAnsi="Times New Roman" w:cs="Times New Roman"/>
          <w:sz w:val="24"/>
          <w:szCs w:val="24"/>
          <w:lang w:eastAsia="en-GB"/>
        </w:rPr>
        <w:t>length</w:t>
      </w:r>
      <w:r w:rsidR="00F7199C" w:rsidRPr="00EB2576">
        <w:rPr>
          <w:rFonts w:ascii="Times New Roman" w:hAnsi="Times New Roman" w:cs="Times New Roman"/>
          <w:sz w:val="24"/>
          <w:szCs w:val="24"/>
          <w:lang w:eastAsia="en-GB"/>
        </w:rPr>
        <w:t xml:space="preserve"> of the infliximab fragments</w:t>
      </w:r>
      <w:r w:rsidR="00FC4FCA" w:rsidRPr="00EB2576">
        <w:rPr>
          <w:rFonts w:ascii="Times New Roman" w:hAnsi="Times New Roman" w:cs="Times New Roman"/>
          <w:sz w:val="24"/>
          <w:szCs w:val="24"/>
          <w:lang w:eastAsia="en-GB"/>
        </w:rPr>
        <w:t>,</w:t>
      </w:r>
      <w:r w:rsidR="00F7199C" w:rsidRPr="00EB2576">
        <w:rPr>
          <w:rFonts w:ascii="Times New Roman" w:hAnsi="Times New Roman" w:cs="Times New Roman"/>
          <w:sz w:val="24"/>
          <w:szCs w:val="24"/>
          <w:lang w:eastAsia="en-GB"/>
        </w:rPr>
        <w:t xml:space="preserve"> and </w:t>
      </w:r>
      <w:r w:rsidR="00FC4FCA" w:rsidRPr="00EB2576">
        <w:rPr>
          <w:rFonts w:ascii="Times New Roman" w:hAnsi="Times New Roman" w:cs="Times New Roman"/>
          <w:sz w:val="24"/>
          <w:szCs w:val="24"/>
          <w:lang w:eastAsia="en-GB"/>
        </w:rPr>
        <w:t xml:space="preserve">3) </w:t>
      </w:r>
      <w:r w:rsidR="00F7199C" w:rsidRPr="00EB2576">
        <w:rPr>
          <w:rFonts w:ascii="Times New Roman" w:hAnsi="Times New Roman" w:cs="Times New Roman"/>
          <w:sz w:val="24"/>
          <w:szCs w:val="24"/>
          <w:lang w:eastAsia="en-GB"/>
        </w:rPr>
        <w:t>the overall size of the library</w:t>
      </w:r>
      <w:r w:rsidR="00BD474C" w:rsidRPr="00EB2576">
        <w:rPr>
          <w:rFonts w:ascii="Times New Roman" w:hAnsi="Times New Roman" w:cs="Times New Roman"/>
          <w:sz w:val="24"/>
          <w:szCs w:val="24"/>
          <w:lang w:eastAsia="en-GB"/>
        </w:rPr>
        <w:t>, the genome will still be represented 1000 fold</w:t>
      </w:r>
      <w:r w:rsidR="00555BBC" w:rsidRPr="00EB2576">
        <w:rPr>
          <w:rFonts w:ascii="Times New Roman" w:hAnsi="Times New Roman" w:cs="Times New Roman"/>
          <w:sz w:val="24"/>
          <w:szCs w:val="24"/>
          <w:lang w:eastAsia="en-GB"/>
        </w:rPr>
        <w:t>.</w:t>
      </w:r>
      <w:r w:rsidR="002C19C1" w:rsidRPr="00EB2576">
        <w:rPr>
          <w:rFonts w:ascii="Times New Roman" w:hAnsi="Times New Roman" w:cs="Times New Roman"/>
          <w:sz w:val="24"/>
          <w:szCs w:val="24"/>
          <w:lang w:eastAsia="en-GB"/>
        </w:rPr>
        <w:t xml:space="preserve"> </w:t>
      </w:r>
      <w:r w:rsidR="00555BBC" w:rsidRPr="00EB2576">
        <w:rPr>
          <w:rFonts w:ascii="Times New Roman" w:hAnsi="Times New Roman" w:cs="Times New Roman"/>
          <w:sz w:val="24"/>
          <w:szCs w:val="24"/>
          <w:lang w:eastAsia="en-GB"/>
        </w:rPr>
        <w:t>B</w:t>
      </w:r>
      <w:r w:rsidR="009D280B" w:rsidRPr="00EB2576">
        <w:rPr>
          <w:rFonts w:ascii="Times New Roman" w:hAnsi="Times New Roman" w:cs="Times New Roman"/>
          <w:sz w:val="24"/>
          <w:szCs w:val="24"/>
          <w:lang w:eastAsia="en-GB"/>
        </w:rPr>
        <w:t>y using a theoretical formula</w:t>
      </w:r>
      <w:r w:rsidR="00C12BCB" w:rsidRPr="00EB2576">
        <w:rPr>
          <w:rFonts w:ascii="Times New Roman" w:hAnsi="Times New Roman" w:cs="Times New Roman"/>
          <w:sz w:val="24"/>
          <w:szCs w:val="24"/>
          <w:lang w:eastAsia="en-GB"/>
        </w:rPr>
        <w:t>:</w:t>
      </w:r>
      <w:r w:rsidR="00161686" w:rsidRPr="00EB2576">
        <w:rPr>
          <w:rFonts w:ascii="Times New Roman" w:hAnsi="Times New Roman" w:cs="Times New Roman"/>
          <w:sz w:val="24"/>
          <w:szCs w:val="24"/>
          <w:lang w:eastAsia="en-GB"/>
        </w:rPr>
        <w:t xml:space="preserve"> Clarke and Carbon equation</w:t>
      </w:r>
      <w:r w:rsidR="007A6087" w:rsidRPr="00EB2576">
        <w:rPr>
          <w:rFonts w:ascii="Times New Roman" w:hAnsi="Times New Roman" w:cs="Times New Roman"/>
          <w:sz w:val="24"/>
          <w:szCs w:val="24"/>
          <w:lang w:eastAsia="en-GB"/>
        </w:rPr>
        <w:t xml:space="preserve">, 4000 clones are </w:t>
      </w:r>
      <w:r w:rsidR="00C12BCB" w:rsidRPr="00EB2576">
        <w:rPr>
          <w:rFonts w:ascii="Times New Roman" w:hAnsi="Times New Roman" w:cs="Times New Roman"/>
          <w:sz w:val="24"/>
          <w:szCs w:val="24"/>
          <w:lang w:eastAsia="en-GB"/>
        </w:rPr>
        <w:t>needed to ensure representation of the gen</w:t>
      </w:r>
      <w:r w:rsidR="00161686" w:rsidRPr="00EB2576">
        <w:rPr>
          <w:rFonts w:ascii="Times New Roman" w:hAnsi="Times New Roman" w:cs="Times New Roman"/>
          <w:sz w:val="24"/>
          <w:szCs w:val="24"/>
          <w:lang w:eastAsia="en-GB"/>
        </w:rPr>
        <w:t>ome</w:t>
      </w:r>
      <w:r w:rsidR="00C12BCB" w:rsidRPr="00EB2576">
        <w:rPr>
          <w:rFonts w:ascii="Times New Roman" w:hAnsi="Times New Roman" w:cs="Times New Roman"/>
          <w:sz w:val="24"/>
          <w:szCs w:val="24"/>
          <w:lang w:eastAsia="en-GB"/>
        </w:rPr>
        <w:t xml:space="preserve"> of interest</w:t>
      </w:r>
      <w:r w:rsidR="00A931ED" w:rsidRPr="00EB2576">
        <w:rPr>
          <w:rFonts w:ascii="Times New Roman" w:hAnsi="Times New Roman" w:cs="Times New Roman"/>
          <w:sz w:val="24"/>
          <w:szCs w:val="24"/>
          <w:lang w:eastAsia="en-GB"/>
        </w:rPr>
        <w:t xml:space="preserve"> </w:t>
      </w:r>
      <w:r w:rsidR="00A931ED" w:rsidRPr="00EB2576">
        <w:rPr>
          <w:rFonts w:ascii="Times New Roman" w:hAnsi="Times New Roman" w:cs="Times New Roman"/>
          <w:sz w:val="24"/>
          <w:szCs w:val="24"/>
          <w:lang w:eastAsia="en-GB"/>
        </w:rPr>
        <w:fldChar w:fldCharType="begin" w:fldLock="1"/>
      </w:r>
      <w:r w:rsidR="009577AC" w:rsidRPr="00EB2576">
        <w:rPr>
          <w:rFonts w:ascii="Times New Roman" w:hAnsi="Times New Roman" w:cs="Times New Roman"/>
          <w:sz w:val="24"/>
          <w:szCs w:val="24"/>
          <w:lang w:eastAsia="en-GB"/>
        </w:rPr>
        <w:instrText>ADDIN CSL_CITATION {"citationItems":[{"id":"ITEM-1","itemData":{"DOI":"10.2307/1400418","ISSN":"10857117","author":[{"dropping-particle":"","family":"Gardner","given":"C. O.","non-dropping-particle":"","parse-names":false,"suffix":""},{"dropping-particle":"","family":"Eskridge","given":"K. M.","non-dropping-particle":"","parse-names":false,"suffix":""},{"dropping-particle":"","family":"Zhang","given":"H. T.","non-dropping-particle":"","parse-names":false,"suffix":""},{"dropping-particle":"","family":"Weeks","given":"D. P.","non-dropping-particle":"","parse-names":false,"suffix":""}],"container-title":"Journal of Agricultural, Biological, and Environmental Statistics","id":"ITEM-1","issue":"1","issued":{"date-parts":[["1999","3"]]},"page":"1","title":"Estimating the Probability That a Genomic Library Contains a Specific DNA Sequence","type":"article-journal","volume":"4"},"uris":["http://www.mendeley.com/documents/?uuid=5dc73468-cfc0-4782-9c40-41a384b32fcc"]},{"id":"ITEM-2","itemData":{"author":[{"dropping-particle":"V","family":"Pirez-ortin JE, Li Del Olmo M, Matallana E","given":"Tordera","non-dropping-particle":"","parse-names":false,"suffix":""}],"container-title":"BIOCHEMICAL EDUCATION","id":"ITEM-2","issue":"4","issued":{"date-parts":[["1997"]]},"page":"237-241","title":"Making Your Own Gene Library","type":"article-journal","volume":"25"},"uris":["http://www.mendeley.com/documents/?uuid=c1fda7e9-eb59-4e8d-ac88-25b46befa6c3"]}],"mendeley":{"formattedCitation":"&lt;sup&gt;184,185&lt;/sup&gt;","plainTextFormattedCitation":"184,185","previouslyFormattedCitation":"&lt;sup&gt;184,185&lt;/sup&gt;"},"properties":{"noteIndex":0},"schema":"https://github.com/citation-style-language/schema/raw/master/csl-citation.json"}</w:instrText>
      </w:r>
      <w:r w:rsidR="00A931ED" w:rsidRPr="00EB2576">
        <w:rPr>
          <w:rFonts w:ascii="Times New Roman" w:hAnsi="Times New Roman" w:cs="Times New Roman"/>
          <w:sz w:val="24"/>
          <w:szCs w:val="24"/>
          <w:lang w:eastAsia="en-GB"/>
        </w:rPr>
        <w:fldChar w:fldCharType="separate"/>
      </w:r>
      <w:r w:rsidR="00201474" w:rsidRPr="00EB2576">
        <w:rPr>
          <w:rFonts w:ascii="Times New Roman" w:hAnsi="Times New Roman" w:cs="Times New Roman"/>
          <w:noProof/>
          <w:sz w:val="24"/>
          <w:szCs w:val="24"/>
          <w:vertAlign w:val="superscript"/>
          <w:lang w:eastAsia="en-GB"/>
        </w:rPr>
        <w:t>184,185</w:t>
      </w:r>
      <w:r w:rsidR="00A931ED" w:rsidRPr="00EB2576">
        <w:rPr>
          <w:rFonts w:ascii="Times New Roman" w:hAnsi="Times New Roman" w:cs="Times New Roman"/>
          <w:sz w:val="24"/>
          <w:szCs w:val="24"/>
          <w:lang w:eastAsia="en-GB"/>
        </w:rPr>
        <w:fldChar w:fldCharType="end"/>
      </w:r>
      <w:r w:rsidR="00D30BD3" w:rsidRPr="00EB2576">
        <w:rPr>
          <w:rFonts w:ascii="Times New Roman" w:hAnsi="Times New Roman" w:cs="Times New Roman"/>
          <w:sz w:val="24"/>
          <w:szCs w:val="24"/>
          <w:lang w:eastAsia="en-GB"/>
        </w:rPr>
        <w:t xml:space="preserve">. </w:t>
      </w:r>
      <w:r w:rsidR="00D30BD3" w:rsidRPr="00EB2576">
        <w:rPr>
          <w:rFonts w:ascii="Times New Roman" w:hAnsi="Times New Roman" w:cs="Times New Roman"/>
          <w:sz w:val="24"/>
          <w:szCs w:val="24"/>
        </w:rPr>
        <w:t xml:space="preserve">Of the 12 </w:t>
      </w:r>
      <w:r w:rsidR="00C97094" w:rsidRPr="00EB2576">
        <w:rPr>
          <w:rFonts w:ascii="Times New Roman" w:hAnsi="Times New Roman" w:cs="Times New Roman"/>
          <w:sz w:val="24"/>
          <w:szCs w:val="24"/>
        </w:rPr>
        <w:t xml:space="preserve">random </w:t>
      </w:r>
      <w:r w:rsidR="00D30BD3" w:rsidRPr="00EB2576">
        <w:rPr>
          <w:rFonts w:ascii="Times New Roman" w:hAnsi="Times New Roman" w:cs="Times New Roman"/>
          <w:sz w:val="24"/>
          <w:szCs w:val="24"/>
        </w:rPr>
        <w:t>colonies</w:t>
      </w:r>
      <w:r w:rsidR="00C97094" w:rsidRPr="00EB2576">
        <w:rPr>
          <w:rFonts w:ascii="Times New Roman" w:hAnsi="Times New Roman" w:cs="Times New Roman"/>
          <w:sz w:val="24"/>
          <w:szCs w:val="24"/>
        </w:rPr>
        <w:t xml:space="preserve">, from which </w:t>
      </w:r>
      <w:r w:rsidR="00D30BD3" w:rsidRPr="00EB2576">
        <w:rPr>
          <w:rFonts w:ascii="Times New Roman" w:hAnsi="Times New Roman" w:cs="Times New Roman"/>
          <w:sz w:val="24"/>
          <w:szCs w:val="24"/>
        </w:rPr>
        <w:t xml:space="preserve">DNA was sequenced, </w:t>
      </w:r>
      <w:r w:rsidR="00243220" w:rsidRPr="00EB2576">
        <w:rPr>
          <w:rFonts w:ascii="Times New Roman" w:hAnsi="Times New Roman" w:cs="Times New Roman"/>
          <w:sz w:val="24"/>
          <w:szCs w:val="24"/>
        </w:rPr>
        <w:t>eight</w:t>
      </w:r>
      <w:r w:rsidR="00D30BD3" w:rsidRPr="00EB2576">
        <w:rPr>
          <w:rFonts w:ascii="Times New Roman" w:hAnsi="Times New Roman" w:cs="Times New Roman"/>
          <w:sz w:val="24"/>
          <w:szCs w:val="24"/>
        </w:rPr>
        <w:t xml:space="preserve"> showed exact alignment of the whole insert to either infliximab light or Fab heavy chain. For the three inserts which showed a partial match to infliximab Fab heavy chain, this</w:t>
      </w:r>
      <w:r w:rsidR="00C97094" w:rsidRPr="00EB2576">
        <w:rPr>
          <w:rFonts w:ascii="Times New Roman" w:hAnsi="Times New Roman" w:cs="Times New Roman"/>
          <w:sz w:val="24"/>
          <w:szCs w:val="24"/>
        </w:rPr>
        <w:t xml:space="preserve"> would</w:t>
      </w:r>
      <w:r w:rsidR="00D30BD3" w:rsidRPr="00EB2576">
        <w:rPr>
          <w:rFonts w:ascii="Times New Roman" w:hAnsi="Times New Roman" w:cs="Times New Roman"/>
          <w:sz w:val="24"/>
          <w:szCs w:val="24"/>
        </w:rPr>
        <w:t xml:space="preserve"> suggest that sonication generated some very short fragments</w:t>
      </w:r>
      <w:r w:rsidR="001519D5" w:rsidRPr="00EB2576">
        <w:rPr>
          <w:rFonts w:ascii="Times New Roman" w:hAnsi="Times New Roman" w:cs="Times New Roman"/>
          <w:sz w:val="24"/>
          <w:szCs w:val="24"/>
        </w:rPr>
        <w:t>,</w:t>
      </w:r>
      <w:r w:rsidR="00D30BD3" w:rsidRPr="00EB2576">
        <w:rPr>
          <w:rFonts w:ascii="Times New Roman" w:hAnsi="Times New Roman" w:cs="Times New Roman"/>
          <w:sz w:val="24"/>
          <w:szCs w:val="24"/>
        </w:rPr>
        <w:t xml:space="preserve"> </w:t>
      </w:r>
      <w:r w:rsidR="00243220" w:rsidRPr="00EB2576">
        <w:rPr>
          <w:rFonts w:ascii="Times New Roman" w:hAnsi="Times New Roman" w:cs="Times New Roman"/>
          <w:sz w:val="24"/>
          <w:szCs w:val="24"/>
        </w:rPr>
        <w:t xml:space="preserve">and that </w:t>
      </w:r>
      <w:r w:rsidR="00D30BD3" w:rsidRPr="00EB2576">
        <w:rPr>
          <w:rFonts w:ascii="Times New Roman" w:hAnsi="Times New Roman" w:cs="Times New Roman"/>
          <w:sz w:val="24"/>
          <w:szCs w:val="24"/>
        </w:rPr>
        <w:t xml:space="preserve">during ligation, multiple gene fragments may have been inserted into the </w:t>
      </w:r>
      <w:r w:rsidR="00243220" w:rsidRPr="00EB2576">
        <w:rPr>
          <w:rFonts w:ascii="Times New Roman" w:hAnsi="Times New Roman" w:cs="Times New Roman"/>
          <w:sz w:val="24"/>
          <w:szCs w:val="24"/>
        </w:rPr>
        <w:t xml:space="preserve">phagemid </w:t>
      </w:r>
      <w:r w:rsidR="00D30BD3" w:rsidRPr="00EB2576">
        <w:rPr>
          <w:rFonts w:ascii="Times New Roman" w:hAnsi="Times New Roman" w:cs="Times New Roman"/>
          <w:sz w:val="24"/>
          <w:szCs w:val="24"/>
        </w:rPr>
        <w:t xml:space="preserve">vector. </w:t>
      </w:r>
    </w:p>
    <w:p w14:paraId="643BFA30" w14:textId="77777777" w:rsidR="00D30BD3" w:rsidRPr="00EB2576" w:rsidRDefault="00D30BD3" w:rsidP="00D30BD3">
      <w:pPr>
        <w:spacing w:line="480" w:lineRule="auto"/>
        <w:rPr>
          <w:rFonts w:ascii="Times New Roman" w:hAnsi="Times New Roman" w:cs="Times New Roman"/>
          <w:sz w:val="24"/>
          <w:szCs w:val="24"/>
        </w:rPr>
      </w:pPr>
    </w:p>
    <w:p w14:paraId="6BF9F28E" w14:textId="333776E4" w:rsidR="00D30BD3" w:rsidRPr="00EB2576" w:rsidRDefault="00D30BD3" w:rsidP="00D30BD3">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In this chapter, I have described how </w:t>
      </w:r>
      <w:r w:rsidR="006F5785" w:rsidRPr="00EB2576">
        <w:rPr>
          <w:rFonts w:ascii="Times New Roman" w:hAnsi="Times New Roman" w:cs="Times New Roman"/>
          <w:sz w:val="24"/>
          <w:szCs w:val="24"/>
        </w:rPr>
        <w:t xml:space="preserve">I </w:t>
      </w:r>
      <w:r w:rsidRPr="00EB2576">
        <w:rPr>
          <w:rFonts w:ascii="Times New Roman" w:hAnsi="Times New Roman" w:cs="Times New Roman"/>
          <w:sz w:val="24"/>
          <w:szCs w:val="24"/>
        </w:rPr>
        <w:t>generat</w:t>
      </w:r>
      <w:r w:rsidR="006F5785" w:rsidRPr="00EB2576">
        <w:rPr>
          <w:rFonts w:ascii="Times New Roman" w:hAnsi="Times New Roman" w:cs="Times New Roman"/>
          <w:sz w:val="24"/>
          <w:szCs w:val="24"/>
        </w:rPr>
        <w:t>ed</w:t>
      </w:r>
      <w:r w:rsidRPr="00EB2576">
        <w:rPr>
          <w:rFonts w:ascii="Times New Roman" w:hAnsi="Times New Roman" w:cs="Times New Roman"/>
          <w:sz w:val="24"/>
          <w:szCs w:val="24"/>
        </w:rPr>
        <w:t xml:space="preserve"> a</w:t>
      </w:r>
      <w:r w:rsidR="006F5785" w:rsidRPr="00EB2576">
        <w:rPr>
          <w:rFonts w:ascii="Times New Roman" w:hAnsi="Times New Roman" w:cs="Times New Roman"/>
          <w:sz w:val="24"/>
          <w:szCs w:val="24"/>
        </w:rPr>
        <w:t xml:space="preserve">n </w:t>
      </w:r>
      <w:r w:rsidR="00310920" w:rsidRPr="00EB2576">
        <w:rPr>
          <w:rFonts w:ascii="Times New Roman" w:hAnsi="Times New Roman" w:cs="Times New Roman"/>
          <w:sz w:val="24"/>
          <w:szCs w:val="24"/>
        </w:rPr>
        <w:t xml:space="preserve">infliximab </w:t>
      </w:r>
      <w:r w:rsidR="006F5785" w:rsidRPr="00EB2576">
        <w:rPr>
          <w:rFonts w:ascii="Times New Roman" w:hAnsi="Times New Roman" w:cs="Times New Roman"/>
          <w:sz w:val="24"/>
          <w:szCs w:val="24"/>
        </w:rPr>
        <w:t xml:space="preserve">Fab </w:t>
      </w:r>
      <w:r w:rsidRPr="00EB2576">
        <w:rPr>
          <w:rFonts w:ascii="Times New Roman" w:hAnsi="Times New Roman" w:cs="Times New Roman"/>
          <w:sz w:val="24"/>
          <w:szCs w:val="24"/>
        </w:rPr>
        <w:t>gene fragment</w:t>
      </w:r>
      <w:r w:rsidR="006F5785" w:rsidRPr="00EB2576">
        <w:rPr>
          <w:rFonts w:ascii="Times New Roman" w:hAnsi="Times New Roman" w:cs="Times New Roman"/>
          <w:sz w:val="24"/>
          <w:szCs w:val="24"/>
        </w:rPr>
        <w:t xml:space="preserve"> phage display library</w:t>
      </w:r>
      <w:r w:rsidRPr="00EB2576">
        <w:rPr>
          <w:rFonts w:ascii="Times New Roman" w:hAnsi="Times New Roman" w:cs="Times New Roman"/>
          <w:sz w:val="24"/>
          <w:szCs w:val="24"/>
        </w:rPr>
        <w:t>. I have described a strategy to</w:t>
      </w:r>
      <w:r w:rsidR="00FC4C18" w:rsidRPr="00EB2576">
        <w:rPr>
          <w:rFonts w:ascii="Times New Roman" w:hAnsi="Times New Roman" w:cs="Times New Roman"/>
          <w:sz w:val="24"/>
          <w:szCs w:val="24"/>
        </w:rPr>
        <w:t xml:space="preserve"> assess optimal conditions to</w:t>
      </w:r>
      <w:r w:rsidRPr="00EB2576">
        <w:rPr>
          <w:rFonts w:ascii="Times New Roman" w:hAnsi="Times New Roman" w:cs="Times New Roman"/>
          <w:sz w:val="24"/>
          <w:szCs w:val="24"/>
        </w:rPr>
        <w:t xml:space="preserve"> clone sonication </w:t>
      </w:r>
      <w:r w:rsidRPr="00EB2576">
        <w:rPr>
          <w:rFonts w:ascii="Times New Roman" w:hAnsi="Times New Roman" w:cs="Times New Roman"/>
          <w:sz w:val="24"/>
          <w:szCs w:val="24"/>
        </w:rPr>
        <w:lastRenderedPageBreak/>
        <w:t xml:space="preserve">generated gene fragments of the infliximab Fab into a </w:t>
      </w:r>
      <w:proofErr w:type="spellStart"/>
      <w:r w:rsidRPr="00EB2576">
        <w:rPr>
          <w:rFonts w:ascii="Times New Roman" w:hAnsi="Times New Roman" w:cs="Times New Roman"/>
          <w:sz w:val="24"/>
          <w:szCs w:val="24"/>
        </w:rPr>
        <w:t>pIII</w:t>
      </w:r>
      <w:proofErr w:type="spellEnd"/>
      <w:r w:rsidRPr="00EB2576">
        <w:rPr>
          <w:rFonts w:ascii="Times New Roman" w:hAnsi="Times New Roman" w:cs="Times New Roman"/>
          <w:sz w:val="24"/>
          <w:szCs w:val="24"/>
        </w:rPr>
        <w:t xml:space="preserve"> phagemid vector. </w:t>
      </w:r>
      <w:r w:rsidR="00B479E8" w:rsidRPr="00EB2576">
        <w:rPr>
          <w:rFonts w:ascii="Times New Roman" w:hAnsi="Times New Roman" w:cs="Times New Roman"/>
          <w:sz w:val="24"/>
          <w:szCs w:val="24"/>
        </w:rPr>
        <w:t xml:space="preserve">I have </w:t>
      </w:r>
      <w:r w:rsidRPr="00EB2576">
        <w:rPr>
          <w:rFonts w:ascii="Times New Roman" w:hAnsi="Times New Roman" w:cs="Times New Roman"/>
          <w:sz w:val="24"/>
          <w:szCs w:val="24"/>
        </w:rPr>
        <w:t>utilise</w:t>
      </w:r>
      <w:r w:rsidR="00B479E8" w:rsidRPr="00EB2576">
        <w:rPr>
          <w:rFonts w:ascii="Times New Roman" w:hAnsi="Times New Roman" w:cs="Times New Roman"/>
          <w:sz w:val="24"/>
          <w:szCs w:val="24"/>
        </w:rPr>
        <w:t>d</w:t>
      </w:r>
      <w:r w:rsidRPr="00EB2576">
        <w:rPr>
          <w:rFonts w:ascii="Times New Roman" w:hAnsi="Times New Roman" w:cs="Times New Roman"/>
          <w:sz w:val="24"/>
          <w:szCs w:val="24"/>
        </w:rPr>
        <w:t xml:space="preserve"> </w:t>
      </w:r>
      <w:r w:rsidR="003B4208" w:rsidRPr="00EB2576">
        <w:rPr>
          <w:rFonts w:ascii="Times New Roman" w:hAnsi="Times New Roman" w:cs="Times New Roman"/>
          <w:sz w:val="24"/>
          <w:szCs w:val="24"/>
        </w:rPr>
        <w:t>Antarctic</w:t>
      </w:r>
      <w:r w:rsidRPr="00EB2576">
        <w:rPr>
          <w:rFonts w:ascii="Times New Roman" w:hAnsi="Times New Roman" w:cs="Times New Roman"/>
          <w:sz w:val="24"/>
          <w:szCs w:val="24"/>
        </w:rPr>
        <w:t xml:space="preserve"> Phosphatase, a heat labile phosphatase that can be deactivated with high temperature and </w:t>
      </w:r>
      <w:proofErr w:type="spellStart"/>
      <w:r w:rsidRPr="00EB2576">
        <w:rPr>
          <w:rFonts w:ascii="Times New Roman" w:hAnsi="Times New Roman" w:cs="Times New Roman"/>
          <w:sz w:val="24"/>
          <w:szCs w:val="24"/>
        </w:rPr>
        <w:t>SrfI</w:t>
      </w:r>
      <w:proofErr w:type="spellEnd"/>
      <w:r w:rsidRPr="00EB2576">
        <w:rPr>
          <w:rFonts w:ascii="Times New Roman" w:hAnsi="Times New Roman" w:cs="Times New Roman"/>
          <w:sz w:val="24"/>
          <w:szCs w:val="24"/>
        </w:rPr>
        <w:t xml:space="preserve"> </w:t>
      </w:r>
      <w:r w:rsidR="003B4208" w:rsidRPr="00EB2576">
        <w:rPr>
          <w:rFonts w:ascii="Times New Roman" w:hAnsi="Times New Roman" w:cs="Times New Roman"/>
          <w:sz w:val="24"/>
          <w:szCs w:val="24"/>
        </w:rPr>
        <w:t xml:space="preserve">restriction enzyme </w:t>
      </w:r>
      <w:r w:rsidRPr="00EB2576">
        <w:rPr>
          <w:rFonts w:ascii="Times New Roman" w:hAnsi="Times New Roman" w:cs="Times New Roman"/>
          <w:sz w:val="24"/>
          <w:szCs w:val="24"/>
        </w:rPr>
        <w:t>to reduce self-ligation.</w:t>
      </w:r>
      <w:r w:rsidR="00146BF4" w:rsidRPr="00EB2576">
        <w:rPr>
          <w:rFonts w:ascii="Times New Roman" w:hAnsi="Times New Roman" w:cs="Times New Roman"/>
          <w:sz w:val="24"/>
          <w:szCs w:val="24"/>
        </w:rPr>
        <w:t xml:space="preserve"> </w:t>
      </w:r>
      <w:r w:rsidR="00AD4235" w:rsidRPr="00EB2576">
        <w:rPr>
          <w:rFonts w:ascii="Times New Roman" w:hAnsi="Times New Roman" w:cs="Times New Roman"/>
          <w:sz w:val="24"/>
          <w:szCs w:val="24"/>
        </w:rPr>
        <w:t xml:space="preserve">The generated </w:t>
      </w:r>
      <w:r w:rsidR="004C331E" w:rsidRPr="00EB2576">
        <w:rPr>
          <w:rFonts w:ascii="Times New Roman" w:hAnsi="Times New Roman" w:cs="Times New Roman"/>
          <w:sz w:val="24"/>
          <w:szCs w:val="24"/>
        </w:rPr>
        <w:t xml:space="preserve">infliximab Fab gene </w:t>
      </w:r>
      <w:r w:rsidR="00A20EFD" w:rsidRPr="00EB2576">
        <w:rPr>
          <w:rFonts w:ascii="Times New Roman" w:hAnsi="Times New Roman" w:cs="Times New Roman"/>
          <w:sz w:val="24"/>
          <w:szCs w:val="24"/>
        </w:rPr>
        <w:t>GFL</w:t>
      </w:r>
      <w:r w:rsidR="00AD4235" w:rsidRPr="00EB2576">
        <w:rPr>
          <w:rFonts w:ascii="Times New Roman" w:hAnsi="Times New Roman" w:cs="Times New Roman"/>
          <w:sz w:val="24"/>
          <w:szCs w:val="24"/>
        </w:rPr>
        <w:t xml:space="preserve"> </w:t>
      </w:r>
      <w:r w:rsidR="00D53335" w:rsidRPr="00EB2576">
        <w:rPr>
          <w:rFonts w:ascii="Times New Roman" w:hAnsi="Times New Roman" w:cs="Times New Roman"/>
          <w:sz w:val="24"/>
          <w:szCs w:val="24"/>
        </w:rPr>
        <w:t>was</w:t>
      </w:r>
      <w:r w:rsidR="004C331E" w:rsidRPr="00EB2576">
        <w:rPr>
          <w:rFonts w:ascii="Times New Roman" w:hAnsi="Times New Roman" w:cs="Times New Roman"/>
          <w:sz w:val="24"/>
          <w:szCs w:val="24"/>
        </w:rPr>
        <w:t xml:space="preserve"> to </w:t>
      </w:r>
      <w:r w:rsidR="00D53335" w:rsidRPr="00EB2576">
        <w:rPr>
          <w:rFonts w:ascii="Times New Roman" w:hAnsi="Times New Roman" w:cs="Times New Roman"/>
          <w:sz w:val="24"/>
          <w:szCs w:val="24"/>
        </w:rPr>
        <w:t xml:space="preserve">be used to </w:t>
      </w:r>
      <w:r w:rsidR="004C331E" w:rsidRPr="00EB2576">
        <w:rPr>
          <w:rFonts w:ascii="Times New Roman" w:hAnsi="Times New Roman" w:cs="Times New Roman"/>
          <w:sz w:val="24"/>
          <w:szCs w:val="24"/>
        </w:rPr>
        <w:t xml:space="preserve">identify linear B cell epitopes </w:t>
      </w:r>
      <w:r w:rsidR="00AD4235" w:rsidRPr="00EB2576">
        <w:rPr>
          <w:rFonts w:ascii="Times New Roman" w:hAnsi="Times New Roman" w:cs="Times New Roman"/>
          <w:sz w:val="24"/>
          <w:szCs w:val="24"/>
        </w:rPr>
        <w:t xml:space="preserve">to which </w:t>
      </w:r>
      <w:r w:rsidR="00B479E8" w:rsidRPr="00EB2576">
        <w:rPr>
          <w:rFonts w:ascii="Times New Roman" w:hAnsi="Times New Roman" w:cs="Times New Roman"/>
          <w:sz w:val="24"/>
          <w:szCs w:val="24"/>
        </w:rPr>
        <w:t>ATI</w:t>
      </w:r>
      <w:r w:rsidR="00D16660" w:rsidRPr="00EB2576">
        <w:rPr>
          <w:rFonts w:ascii="Times New Roman" w:hAnsi="Times New Roman" w:cs="Times New Roman"/>
          <w:sz w:val="24"/>
          <w:szCs w:val="24"/>
        </w:rPr>
        <w:t xml:space="preserve"> form and bind to. </w:t>
      </w:r>
      <w:r w:rsidR="00EB0856" w:rsidRPr="00EB2576">
        <w:rPr>
          <w:rFonts w:ascii="Times New Roman" w:hAnsi="Times New Roman" w:cs="Times New Roman"/>
          <w:sz w:val="24"/>
          <w:szCs w:val="24"/>
        </w:rPr>
        <w:t>H</w:t>
      </w:r>
      <w:r w:rsidR="00D53335" w:rsidRPr="00EB2576">
        <w:rPr>
          <w:rFonts w:ascii="Times New Roman" w:hAnsi="Times New Roman" w:cs="Times New Roman"/>
          <w:sz w:val="24"/>
          <w:szCs w:val="24"/>
        </w:rPr>
        <w:t>owever, a novel infliximab full GFL with cloned overlapping in-frame fragments of the whole infliximab peptide</w:t>
      </w:r>
      <w:r w:rsidR="00C23DB4" w:rsidRPr="00EB2576">
        <w:rPr>
          <w:rFonts w:ascii="Times New Roman" w:hAnsi="Times New Roman" w:cs="Times New Roman"/>
          <w:sz w:val="24"/>
          <w:szCs w:val="24"/>
        </w:rPr>
        <w:t xml:space="preserve"> was developed</w:t>
      </w:r>
      <w:r w:rsidR="003C3797" w:rsidRPr="00EB2576">
        <w:rPr>
          <w:rFonts w:ascii="Times New Roman" w:hAnsi="Times New Roman" w:cs="Times New Roman"/>
          <w:sz w:val="24"/>
          <w:szCs w:val="24"/>
        </w:rPr>
        <w:t xml:space="preserve">. </w:t>
      </w:r>
      <w:r w:rsidR="00C23DB4" w:rsidRPr="00EB2576">
        <w:rPr>
          <w:rFonts w:ascii="Times New Roman" w:hAnsi="Times New Roman" w:cs="Times New Roman"/>
          <w:sz w:val="24"/>
          <w:szCs w:val="24"/>
        </w:rPr>
        <w:t>Due to all DNA fragments being in</w:t>
      </w:r>
      <w:r w:rsidR="00157652" w:rsidRPr="00EB2576">
        <w:rPr>
          <w:rFonts w:ascii="Times New Roman" w:hAnsi="Times New Roman" w:cs="Times New Roman"/>
          <w:sz w:val="24"/>
          <w:szCs w:val="24"/>
        </w:rPr>
        <w:t>-</w:t>
      </w:r>
      <w:r w:rsidR="00C23DB4" w:rsidRPr="00EB2576">
        <w:rPr>
          <w:rFonts w:ascii="Times New Roman" w:hAnsi="Times New Roman" w:cs="Times New Roman"/>
          <w:sz w:val="24"/>
          <w:szCs w:val="24"/>
        </w:rPr>
        <w:t xml:space="preserve">frame, this </w:t>
      </w:r>
      <w:r w:rsidR="00157652" w:rsidRPr="00EB2576">
        <w:rPr>
          <w:rFonts w:ascii="Times New Roman" w:hAnsi="Times New Roman" w:cs="Times New Roman"/>
          <w:sz w:val="24"/>
          <w:szCs w:val="24"/>
        </w:rPr>
        <w:t>would increase the</w:t>
      </w:r>
      <w:r w:rsidR="000B09C6" w:rsidRPr="00EB2576">
        <w:rPr>
          <w:rFonts w:ascii="Times New Roman" w:hAnsi="Times New Roman" w:cs="Times New Roman"/>
          <w:sz w:val="24"/>
          <w:szCs w:val="24"/>
        </w:rPr>
        <w:t xml:space="preserve"> likelihood of linear epitope selection and </w:t>
      </w:r>
      <w:r w:rsidR="00AD7310" w:rsidRPr="00EB2576">
        <w:rPr>
          <w:rFonts w:ascii="Times New Roman" w:hAnsi="Times New Roman" w:cs="Times New Roman"/>
          <w:sz w:val="24"/>
          <w:szCs w:val="24"/>
        </w:rPr>
        <w:t xml:space="preserve">this, </w:t>
      </w:r>
      <w:r w:rsidR="00157652" w:rsidRPr="00EB2576">
        <w:rPr>
          <w:rFonts w:ascii="Times New Roman" w:hAnsi="Times New Roman" w:cs="Times New Roman"/>
          <w:sz w:val="24"/>
          <w:szCs w:val="24"/>
        </w:rPr>
        <w:t>therefore</w:t>
      </w:r>
      <w:r w:rsidR="00AD7310" w:rsidRPr="00EB2576">
        <w:rPr>
          <w:rFonts w:ascii="Times New Roman" w:hAnsi="Times New Roman" w:cs="Times New Roman"/>
          <w:sz w:val="24"/>
          <w:szCs w:val="24"/>
        </w:rPr>
        <w:t>,</w:t>
      </w:r>
      <w:r w:rsidR="00157652" w:rsidRPr="00EB2576">
        <w:rPr>
          <w:rFonts w:ascii="Times New Roman" w:hAnsi="Times New Roman" w:cs="Times New Roman"/>
          <w:sz w:val="24"/>
          <w:szCs w:val="24"/>
        </w:rPr>
        <w:t xml:space="preserve"> </w:t>
      </w:r>
      <w:r w:rsidR="00A33C2A" w:rsidRPr="00EB2576">
        <w:rPr>
          <w:rFonts w:ascii="Times New Roman" w:hAnsi="Times New Roman" w:cs="Times New Roman"/>
          <w:sz w:val="24"/>
          <w:szCs w:val="24"/>
        </w:rPr>
        <w:t xml:space="preserve">this </w:t>
      </w:r>
      <w:r w:rsidR="00157652" w:rsidRPr="00EB2576">
        <w:rPr>
          <w:rFonts w:ascii="Times New Roman" w:hAnsi="Times New Roman" w:cs="Times New Roman"/>
          <w:sz w:val="24"/>
          <w:szCs w:val="24"/>
        </w:rPr>
        <w:t>was</w:t>
      </w:r>
      <w:r w:rsidR="000B09C6" w:rsidRPr="00EB2576">
        <w:rPr>
          <w:rFonts w:ascii="Times New Roman" w:hAnsi="Times New Roman" w:cs="Times New Roman"/>
          <w:sz w:val="24"/>
          <w:szCs w:val="24"/>
        </w:rPr>
        <w:t xml:space="preserve"> </w:t>
      </w:r>
      <w:r w:rsidR="00A60C13" w:rsidRPr="00EB2576">
        <w:rPr>
          <w:rFonts w:ascii="Times New Roman" w:hAnsi="Times New Roman" w:cs="Times New Roman"/>
          <w:sz w:val="24"/>
          <w:szCs w:val="24"/>
        </w:rPr>
        <w:t>used.</w:t>
      </w:r>
      <w:r w:rsidR="000B09C6" w:rsidRPr="00EB2576">
        <w:rPr>
          <w:rFonts w:ascii="Times New Roman" w:hAnsi="Times New Roman" w:cs="Times New Roman"/>
          <w:sz w:val="24"/>
          <w:szCs w:val="24"/>
        </w:rPr>
        <w:t xml:space="preserve"> </w:t>
      </w:r>
    </w:p>
    <w:bookmarkEnd w:id="227"/>
    <w:p w14:paraId="6EDB19BC"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p>
    <w:p w14:paraId="66772DB7"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p>
    <w:bookmarkEnd w:id="174"/>
    <w:p w14:paraId="0521BF65"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p>
    <w:p w14:paraId="795FCD75"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75B89D3E"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1AC13EDC"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31A03BB3"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237A1C74"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56ACE32A" w14:textId="77777777" w:rsidR="003B66DB" w:rsidRPr="00EB2576" w:rsidRDefault="003B66DB" w:rsidP="00D30BD3">
      <w:pPr>
        <w:autoSpaceDE w:val="0"/>
        <w:autoSpaceDN w:val="0"/>
        <w:adjustRightInd w:val="0"/>
        <w:spacing w:after="0" w:line="480" w:lineRule="auto"/>
        <w:rPr>
          <w:rFonts w:ascii="Times New Roman" w:hAnsi="Times New Roman" w:cs="Times New Roman"/>
          <w:sz w:val="24"/>
          <w:szCs w:val="24"/>
        </w:rPr>
      </w:pPr>
    </w:p>
    <w:p w14:paraId="7AB8271B" w14:textId="77777777" w:rsidR="00D30BD3" w:rsidRPr="00EB2576" w:rsidRDefault="00D30BD3" w:rsidP="00D30BD3">
      <w:pPr>
        <w:autoSpaceDE w:val="0"/>
        <w:autoSpaceDN w:val="0"/>
        <w:adjustRightInd w:val="0"/>
        <w:spacing w:after="0" w:line="480" w:lineRule="auto"/>
        <w:rPr>
          <w:rFonts w:ascii="Times New Roman" w:hAnsi="Times New Roman" w:cs="Times New Roman"/>
          <w:sz w:val="24"/>
          <w:szCs w:val="24"/>
        </w:rPr>
      </w:pPr>
    </w:p>
    <w:bookmarkEnd w:id="175"/>
    <w:p w14:paraId="05C13777" w14:textId="77777777" w:rsidR="00D30BD3" w:rsidRPr="00EB2576" w:rsidRDefault="00D30BD3" w:rsidP="00D30BD3"/>
    <w:p w14:paraId="5AFFCCE7" w14:textId="77777777" w:rsidR="003B66DB" w:rsidRPr="00EB2576" w:rsidRDefault="003B66DB" w:rsidP="00D30BD3"/>
    <w:p w14:paraId="08E9BB1E" w14:textId="77777777" w:rsidR="003B66DB" w:rsidRPr="00EB2576" w:rsidRDefault="003B66DB" w:rsidP="00D30BD3"/>
    <w:p w14:paraId="0F708789" w14:textId="77777777" w:rsidR="003B66DB" w:rsidRPr="00EB2576" w:rsidRDefault="003B66DB" w:rsidP="00D30BD3"/>
    <w:p w14:paraId="525FA001" w14:textId="77777777" w:rsidR="003B66DB" w:rsidRPr="00EB2576" w:rsidRDefault="003B66DB" w:rsidP="00D30BD3"/>
    <w:p w14:paraId="0466AC88" w14:textId="77777777" w:rsidR="003B66DB" w:rsidRPr="00EB2576" w:rsidRDefault="003B66DB" w:rsidP="00D30BD3"/>
    <w:p w14:paraId="72DB55C2" w14:textId="77777777" w:rsidR="003B66DB" w:rsidRPr="00EB2576" w:rsidRDefault="003B66DB" w:rsidP="00D30BD3"/>
    <w:p w14:paraId="3AC25D9F" w14:textId="77777777" w:rsidR="003B66DB" w:rsidRPr="00EB2576" w:rsidRDefault="003B66DB" w:rsidP="00D30BD3"/>
    <w:bookmarkEnd w:id="176"/>
    <w:p w14:paraId="6C1E1C12" w14:textId="77777777" w:rsidR="00FE1B67" w:rsidRPr="00EB2576" w:rsidRDefault="00FE1B67" w:rsidP="00B02586">
      <w:pPr>
        <w:autoSpaceDE w:val="0"/>
        <w:autoSpaceDN w:val="0"/>
        <w:adjustRightInd w:val="0"/>
        <w:spacing w:after="0" w:line="480" w:lineRule="auto"/>
        <w:rPr>
          <w:rFonts w:ascii="Times New Roman" w:hAnsi="Times New Roman" w:cs="Times New Roman"/>
          <w:sz w:val="24"/>
          <w:szCs w:val="24"/>
        </w:rPr>
      </w:pPr>
    </w:p>
    <w:p w14:paraId="2942684B" w14:textId="5C387EB0" w:rsidR="0048487E" w:rsidRPr="00EB2576" w:rsidRDefault="0048487E" w:rsidP="0048487E">
      <w:pPr>
        <w:pStyle w:val="Heading1"/>
        <w:spacing w:line="480" w:lineRule="auto"/>
        <w:rPr>
          <w:rFonts w:ascii="Times New Roman" w:hAnsi="Times New Roman" w:cs="Times New Roman"/>
          <w:sz w:val="32"/>
          <w:szCs w:val="32"/>
          <w:u w:val="single"/>
        </w:rPr>
      </w:pPr>
      <w:bookmarkStart w:id="228" w:name="_Toc151020520"/>
      <w:r w:rsidRPr="00EB2576">
        <w:rPr>
          <w:rFonts w:ascii="Times New Roman" w:hAnsi="Times New Roman" w:cs="Times New Roman"/>
          <w:sz w:val="32"/>
          <w:szCs w:val="32"/>
          <w:u w:val="single"/>
        </w:rPr>
        <w:lastRenderedPageBreak/>
        <w:t xml:space="preserve">Chapter </w:t>
      </w:r>
      <w:r w:rsidR="00056FD5" w:rsidRPr="00EB2576">
        <w:rPr>
          <w:rFonts w:ascii="Times New Roman" w:hAnsi="Times New Roman" w:cs="Times New Roman"/>
          <w:sz w:val="32"/>
          <w:szCs w:val="32"/>
          <w:u w:val="single"/>
        </w:rPr>
        <w:t>5</w:t>
      </w:r>
      <w:r w:rsidRPr="00EB2576">
        <w:rPr>
          <w:rFonts w:ascii="Times New Roman" w:hAnsi="Times New Roman" w:cs="Times New Roman"/>
          <w:sz w:val="32"/>
          <w:szCs w:val="32"/>
          <w:u w:val="single"/>
        </w:rPr>
        <w:t>: The identification of infl</w:t>
      </w:r>
      <w:r w:rsidR="00266AA5" w:rsidRPr="00EB2576">
        <w:rPr>
          <w:rFonts w:ascii="Times New Roman" w:hAnsi="Times New Roman" w:cs="Times New Roman"/>
          <w:sz w:val="32"/>
          <w:szCs w:val="32"/>
          <w:u w:val="single"/>
        </w:rPr>
        <w:t>i</w:t>
      </w:r>
      <w:r w:rsidRPr="00EB2576">
        <w:rPr>
          <w:rFonts w:ascii="Times New Roman" w:hAnsi="Times New Roman" w:cs="Times New Roman"/>
          <w:sz w:val="32"/>
          <w:szCs w:val="32"/>
          <w:u w:val="single"/>
        </w:rPr>
        <w:t xml:space="preserve">ximab linear epitopes using an </w:t>
      </w:r>
      <w:r w:rsidR="00ED1EBE" w:rsidRPr="00EB2576">
        <w:rPr>
          <w:rFonts w:ascii="Times New Roman" w:hAnsi="Times New Roman" w:cs="Times New Roman"/>
          <w:sz w:val="32"/>
          <w:szCs w:val="32"/>
          <w:u w:val="single"/>
        </w:rPr>
        <w:t>novel</w:t>
      </w:r>
      <w:r w:rsidRPr="00EB2576">
        <w:rPr>
          <w:rFonts w:ascii="Times New Roman" w:hAnsi="Times New Roman" w:cs="Times New Roman"/>
          <w:sz w:val="32"/>
          <w:szCs w:val="32"/>
          <w:u w:val="single"/>
        </w:rPr>
        <w:t xml:space="preserve"> gene fragment phage display library</w:t>
      </w:r>
      <w:bookmarkEnd w:id="228"/>
      <w:r w:rsidRPr="00EB2576">
        <w:rPr>
          <w:rFonts w:ascii="Times New Roman" w:hAnsi="Times New Roman" w:cs="Times New Roman"/>
          <w:sz w:val="32"/>
          <w:szCs w:val="32"/>
          <w:u w:val="single"/>
        </w:rPr>
        <w:t xml:space="preserve"> </w:t>
      </w:r>
    </w:p>
    <w:p w14:paraId="73A7BB7E" w14:textId="77777777" w:rsidR="0048487E" w:rsidRPr="00EB2576" w:rsidRDefault="0048487E" w:rsidP="0048487E">
      <w:pPr>
        <w:spacing w:line="480" w:lineRule="auto"/>
        <w:rPr>
          <w:rFonts w:ascii="Times New Roman" w:hAnsi="Times New Roman" w:cs="Times New Roman"/>
          <w:b/>
          <w:bCs/>
          <w:sz w:val="32"/>
          <w:szCs w:val="32"/>
        </w:rPr>
      </w:pPr>
    </w:p>
    <w:p w14:paraId="04D0BE19" w14:textId="6BFED2EB" w:rsidR="0048487E" w:rsidRPr="00EB2576" w:rsidRDefault="00056FD5" w:rsidP="0048487E">
      <w:pPr>
        <w:pStyle w:val="Heading2"/>
        <w:spacing w:line="480" w:lineRule="auto"/>
        <w:rPr>
          <w:rFonts w:ascii="Times New Roman" w:hAnsi="Times New Roman" w:cs="Times New Roman"/>
          <w:sz w:val="24"/>
          <w:szCs w:val="24"/>
        </w:rPr>
      </w:pPr>
      <w:bookmarkStart w:id="229" w:name="_Toc151020521"/>
      <w:bookmarkStart w:id="230" w:name="_Hlk113284930"/>
      <w:r w:rsidRPr="00EB2576">
        <w:rPr>
          <w:rFonts w:ascii="Times New Roman" w:hAnsi="Times New Roman" w:cs="Times New Roman"/>
          <w:sz w:val="24"/>
          <w:szCs w:val="24"/>
        </w:rPr>
        <w:t>5</w:t>
      </w:r>
      <w:r w:rsidR="0048487E" w:rsidRPr="00EB2576">
        <w:rPr>
          <w:rFonts w:ascii="Times New Roman" w:hAnsi="Times New Roman" w:cs="Times New Roman"/>
          <w:sz w:val="24"/>
          <w:szCs w:val="24"/>
        </w:rPr>
        <w:t>.1 Introduction</w:t>
      </w:r>
      <w:bookmarkStart w:id="231" w:name="_Hlk88570741"/>
      <w:bookmarkEnd w:id="229"/>
    </w:p>
    <w:p w14:paraId="3CEC4123" w14:textId="0E016CEE" w:rsidR="006D2F2F" w:rsidRPr="00EB2576" w:rsidRDefault="00C92605" w:rsidP="005B3688">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This thesis has demonstrated that anti-drug antibodies during infliximab treatment are associated with reduced drug levels, loss of </w:t>
      </w:r>
      <w:r w:rsidR="000A3CD9" w:rsidRPr="00EB2576">
        <w:rPr>
          <w:rFonts w:ascii="Times New Roman" w:hAnsi="Times New Roman" w:cs="Times New Roman"/>
          <w:sz w:val="24"/>
          <w:szCs w:val="24"/>
        </w:rPr>
        <w:t>clinical remission</w:t>
      </w:r>
      <w:r w:rsidRPr="00EB2576">
        <w:rPr>
          <w:rFonts w:ascii="Times New Roman" w:hAnsi="Times New Roman" w:cs="Times New Roman"/>
          <w:sz w:val="24"/>
          <w:szCs w:val="24"/>
        </w:rPr>
        <w:t xml:space="preserve"> and increased risk of infusion reactions. In addition, some patients with anti-drug antibodies appear to remain clinically stable with trough drug levels that remain within a therapeutic range. Anti-drug antibodies detected in commercial assays are therefore associated with differing clinical outcomes.</w:t>
      </w:r>
      <w:r w:rsidR="005B3688"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The association of differing clinical outcomes with ATI could </w:t>
      </w:r>
      <w:r w:rsidR="00FE1B7E" w:rsidRPr="00EB2576">
        <w:rPr>
          <w:rFonts w:ascii="Times New Roman" w:hAnsi="Times New Roman" w:cs="Times New Roman"/>
          <w:sz w:val="24"/>
          <w:szCs w:val="24"/>
        </w:rPr>
        <w:t xml:space="preserve">be </w:t>
      </w:r>
      <w:r w:rsidRPr="00EB2576">
        <w:rPr>
          <w:rFonts w:ascii="Times New Roman" w:hAnsi="Times New Roman" w:cs="Times New Roman"/>
          <w:sz w:val="24"/>
          <w:szCs w:val="24"/>
        </w:rPr>
        <w:t>potentially explained by the presence of ATI that bind to different epitopes</w:t>
      </w:r>
      <w:r w:rsidR="00FE1B7E" w:rsidRPr="00EB2576">
        <w:rPr>
          <w:rFonts w:ascii="Times New Roman" w:hAnsi="Times New Roman" w:cs="Times New Roman"/>
          <w:sz w:val="24"/>
          <w:szCs w:val="24"/>
        </w:rPr>
        <w:t>:</w:t>
      </w:r>
      <w:r w:rsidRPr="00EB2576">
        <w:rPr>
          <w:rFonts w:ascii="Times New Roman" w:hAnsi="Times New Roman" w:cs="Times New Roman"/>
          <w:sz w:val="24"/>
          <w:szCs w:val="24"/>
        </w:rPr>
        <w:t xml:space="preserve"> different phenotypes of ATI.</w:t>
      </w:r>
      <w:r w:rsidR="00A21D44" w:rsidRPr="00EB2576">
        <w:rPr>
          <w:rFonts w:ascii="Times New Roman" w:hAnsi="Times New Roman" w:cs="Times New Roman"/>
          <w:sz w:val="24"/>
          <w:szCs w:val="24"/>
        </w:rPr>
        <w:t xml:space="preserve"> </w:t>
      </w:r>
    </w:p>
    <w:p w14:paraId="3BFC4D2A" w14:textId="77777777" w:rsidR="005939CA" w:rsidRPr="00EB2576" w:rsidRDefault="005939CA" w:rsidP="005B3688">
      <w:pPr>
        <w:spacing w:line="480" w:lineRule="auto"/>
        <w:rPr>
          <w:rFonts w:ascii="Times New Roman" w:hAnsi="Times New Roman" w:cs="Times New Roman"/>
          <w:sz w:val="24"/>
          <w:szCs w:val="24"/>
        </w:rPr>
      </w:pPr>
    </w:p>
    <w:p w14:paraId="1CE81567" w14:textId="416EF5D4" w:rsidR="0050468B" w:rsidRPr="00EB2576" w:rsidRDefault="005939CA" w:rsidP="0050468B">
      <w:pPr>
        <w:autoSpaceDE w:val="0"/>
        <w:autoSpaceDN w:val="0"/>
        <w:adjustRightInd w:val="0"/>
        <w:spacing w:after="0"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 xml:space="preserve">Phage display allows </w:t>
      </w:r>
      <w:r w:rsidR="0050468B" w:rsidRPr="00EB2576">
        <w:rPr>
          <w:rFonts w:ascii="Times New Roman" w:hAnsi="Times New Roman" w:cs="Times New Roman"/>
          <w:sz w:val="24"/>
          <w:szCs w:val="24"/>
        </w:rPr>
        <w:t xml:space="preserve">the identification of protein-protein interactions including </w:t>
      </w:r>
      <w:r w:rsidRPr="00EB2576">
        <w:rPr>
          <w:rFonts w:ascii="Times New Roman" w:hAnsi="Times New Roman" w:cs="Times New Roman"/>
          <w:sz w:val="24"/>
          <w:szCs w:val="24"/>
        </w:rPr>
        <w:t xml:space="preserve">functional epitope mapping. </w:t>
      </w:r>
      <w:r w:rsidR="0050468B" w:rsidRPr="00EB2576">
        <w:rPr>
          <w:rFonts w:ascii="Times New Roman" w:hAnsi="Times New Roman" w:cs="Times New Roman"/>
          <w:sz w:val="24"/>
          <w:szCs w:val="24"/>
        </w:rPr>
        <w:t xml:space="preserve">By using </w:t>
      </w:r>
      <w:r w:rsidR="00DF7017" w:rsidRPr="00EB2576">
        <w:rPr>
          <w:rFonts w:ascii="Times New Roman" w:hAnsi="Times New Roman" w:cs="Times New Roman"/>
          <w:sz w:val="24"/>
          <w:szCs w:val="24"/>
        </w:rPr>
        <w:t xml:space="preserve">an infliximab </w:t>
      </w:r>
      <w:r w:rsidR="0050468B" w:rsidRPr="00EB2576">
        <w:rPr>
          <w:rFonts w:ascii="Times New Roman" w:hAnsi="Times New Roman" w:cs="Times New Roman"/>
          <w:sz w:val="24"/>
          <w:szCs w:val="24"/>
        </w:rPr>
        <w:t>GFL</w:t>
      </w:r>
      <w:r w:rsidR="00DF7017" w:rsidRPr="00EB2576">
        <w:rPr>
          <w:rFonts w:ascii="Times New Roman" w:hAnsi="Times New Roman" w:cs="Times New Roman"/>
          <w:sz w:val="24"/>
          <w:szCs w:val="24"/>
        </w:rPr>
        <w:t>,</w:t>
      </w:r>
      <w:r w:rsidR="0050468B" w:rsidRPr="00EB2576">
        <w:rPr>
          <w:rFonts w:ascii="Times New Roman" w:hAnsi="Times New Roman" w:cs="Times New Roman"/>
          <w:sz w:val="24"/>
          <w:szCs w:val="24"/>
        </w:rPr>
        <w:t xml:space="preserve"> </w:t>
      </w:r>
      <w:r w:rsidR="00DF7017" w:rsidRPr="00EB2576">
        <w:rPr>
          <w:rFonts w:ascii="Times New Roman" w:hAnsi="Times New Roman" w:cs="Times New Roman"/>
          <w:sz w:val="24"/>
          <w:szCs w:val="24"/>
        </w:rPr>
        <w:t>a</w:t>
      </w:r>
      <w:r w:rsidR="0050468B" w:rsidRPr="00EB2576">
        <w:rPr>
          <w:rFonts w:ascii="Times New Roman" w:hAnsi="Times New Roman" w:cs="Times New Roman"/>
          <w:sz w:val="24"/>
          <w:szCs w:val="24"/>
        </w:rPr>
        <w:t xml:space="preserve"> phage</w:t>
      </w:r>
      <w:r w:rsidR="00DF7017" w:rsidRPr="00EB2576">
        <w:rPr>
          <w:rFonts w:ascii="Times New Roman" w:hAnsi="Times New Roman" w:cs="Times New Roman"/>
          <w:sz w:val="24"/>
          <w:szCs w:val="24"/>
        </w:rPr>
        <w:t xml:space="preserve"> </w:t>
      </w:r>
      <w:r w:rsidR="000E624C" w:rsidRPr="00EB2576">
        <w:rPr>
          <w:rFonts w:ascii="Times New Roman" w:hAnsi="Times New Roman" w:cs="Times New Roman"/>
          <w:sz w:val="24"/>
          <w:szCs w:val="24"/>
        </w:rPr>
        <w:t xml:space="preserve">display </w:t>
      </w:r>
      <w:r w:rsidR="00DF7017" w:rsidRPr="00EB2576">
        <w:rPr>
          <w:rFonts w:ascii="Times New Roman" w:hAnsi="Times New Roman" w:cs="Times New Roman"/>
          <w:sz w:val="24"/>
          <w:szCs w:val="24"/>
        </w:rPr>
        <w:t>library</w:t>
      </w:r>
      <w:r w:rsidR="0050468B" w:rsidRPr="00EB2576">
        <w:rPr>
          <w:rFonts w:ascii="Times New Roman" w:hAnsi="Times New Roman" w:cs="Times New Roman"/>
          <w:sz w:val="24"/>
          <w:szCs w:val="24"/>
        </w:rPr>
        <w:t xml:space="preserve"> </w:t>
      </w:r>
      <w:r w:rsidR="000E624C" w:rsidRPr="00EB2576">
        <w:rPr>
          <w:rFonts w:ascii="Times New Roman" w:hAnsi="Times New Roman" w:cs="Times New Roman"/>
          <w:sz w:val="24"/>
          <w:szCs w:val="24"/>
        </w:rPr>
        <w:t>comprising</w:t>
      </w:r>
      <w:r w:rsidR="00DF7017" w:rsidRPr="00EB2576">
        <w:rPr>
          <w:rFonts w:ascii="Times New Roman" w:hAnsi="Times New Roman" w:cs="Times New Roman"/>
          <w:sz w:val="24"/>
          <w:szCs w:val="24"/>
        </w:rPr>
        <w:t xml:space="preserve"> thousands of phage variants </w:t>
      </w:r>
      <w:r w:rsidR="000E624C" w:rsidRPr="00EB2576">
        <w:rPr>
          <w:rFonts w:ascii="Times New Roman" w:hAnsi="Times New Roman" w:cs="Times New Roman"/>
          <w:sz w:val="24"/>
          <w:szCs w:val="24"/>
        </w:rPr>
        <w:t xml:space="preserve">containing </w:t>
      </w:r>
      <w:r w:rsidR="0050468B" w:rsidRPr="00EB2576">
        <w:rPr>
          <w:rFonts w:ascii="Times New Roman" w:hAnsi="Times New Roman" w:cs="Times New Roman"/>
          <w:sz w:val="24"/>
          <w:szCs w:val="24"/>
        </w:rPr>
        <w:t xml:space="preserve">DNA fragments of </w:t>
      </w:r>
      <w:r w:rsidR="00DF7017" w:rsidRPr="00EB2576">
        <w:rPr>
          <w:rFonts w:ascii="Times New Roman" w:hAnsi="Times New Roman" w:cs="Times New Roman"/>
          <w:sz w:val="24"/>
          <w:szCs w:val="24"/>
        </w:rPr>
        <w:t xml:space="preserve">the infliximab gene and displaying the corresponding infliximab peptides, we can identify </w:t>
      </w:r>
      <w:r w:rsidR="000E624C" w:rsidRPr="00EB2576">
        <w:rPr>
          <w:rFonts w:ascii="Times New Roman" w:hAnsi="Times New Roman" w:cs="Times New Roman"/>
          <w:sz w:val="24"/>
          <w:szCs w:val="24"/>
        </w:rPr>
        <w:t xml:space="preserve">linear </w:t>
      </w:r>
      <w:r w:rsidR="00DF7017" w:rsidRPr="00EB2576">
        <w:rPr>
          <w:rFonts w:ascii="Times New Roman" w:hAnsi="Times New Roman" w:cs="Times New Roman"/>
          <w:sz w:val="24"/>
          <w:szCs w:val="24"/>
        </w:rPr>
        <w:t>epit</w:t>
      </w:r>
      <w:r w:rsidR="000E624C" w:rsidRPr="00EB2576">
        <w:rPr>
          <w:rFonts w:ascii="Times New Roman" w:hAnsi="Times New Roman" w:cs="Times New Roman"/>
          <w:sz w:val="24"/>
          <w:szCs w:val="24"/>
        </w:rPr>
        <w:t>o</w:t>
      </w:r>
      <w:r w:rsidR="00DF7017" w:rsidRPr="00EB2576">
        <w:rPr>
          <w:rFonts w:ascii="Times New Roman" w:hAnsi="Times New Roman" w:cs="Times New Roman"/>
          <w:sz w:val="24"/>
          <w:szCs w:val="24"/>
        </w:rPr>
        <w:t>pes on infl</w:t>
      </w:r>
      <w:r w:rsidR="000E624C" w:rsidRPr="00EB2576">
        <w:rPr>
          <w:rFonts w:ascii="Times New Roman" w:hAnsi="Times New Roman" w:cs="Times New Roman"/>
          <w:sz w:val="24"/>
          <w:szCs w:val="24"/>
        </w:rPr>
        <w:t>i</w:t>
      </w:r>
      <w:r w:rsidR="00DF7017" w:rsidRPr="00EB2576">
        <w:rPr>
          <w:rFonts w:ascii="Times New Roman" w:hAnsi="Times New Roman" w:cs="Times New Roman"/>
          <w:sz w:val="24"/>
          <w:szCs w:val="24"/>
        </w:rPr>
        <w:t>x</w:t>
      </w:r>
      <w:r w:rsidR="00CD2EAC" w:rsidRPr="00EB2576">
        <w:rPr>
          <w:rFonts w:ascii="Times New Roman" w:hAnsi="Times New Roman" w:cs="Times New Roman"/>
          <w:sz w:val="24"/>
          <w:szCs w:val="24"/>
        </w:rPr>
        <w:t>i</w:t>
      </w:r>
      <w:r w:rsidR="00DF7017" w:rsidRPr="00EB2576">
        <w:rPr>
          <w:rFonts w:ascii="Times New Roman" w:hAnsi="Times New Roman" w:cs="Times New Roman"/>
          <w:sz w:val="24"/>
          <w:szCs w:val="24"/>
        </w:rPr>
        <w:t>m</w:t>
      </w:r>
      <w:r w:rsidR="000E624C" w:rsidRPr="00EB2576">
        <w:rPr>
          <w:rFonts w:ascii="Times New Roman" w:hAnsi="Times New Roman" w:cs="Times New Roman"/>
          <w:sz w:val="24"/>
          <w:szCs w:val="24"/>
        </w:rPr>
        <w:t>a</w:t>
      </w:r>
      <w:r w:rsidR="00DF7017" w:rsidRPr="00EB2576">
        <w:rPr>
          <w:rFonts w:ascii="Times New Roman" w:hAnsi="Times New Roman" w:cs="Times New Roman"/>
          <w:sz w:val="24"/>
          <w:szCs w:val="24"/>
        </w:rPr>
        <w:t>b using sera from patients with ATI</w:t>
      </w:r>
      <w:r w:rsidR="00A433A1" w:rsidRPr="00EB2576">
        <w:rPr>
          <w:rFonts w:ascii="Times New Roman" w:hAnsi="Times New Roman" w:cs="Times New Roman"/>
          <w:sz w:val="24"/>
          <w:szCs w:val="24"/>
        </w:rPr>
        <w:t>.</w:t>
      </w:r>
      <w:r w:rsidR="0050468B" w:rsidRPr="00EB2576">
        <w:rPr>
          <w:rFonts w:ascii="Times New Roman" w:hAnsi="Times New Roman" w:cs="Times New Roman"/>
          <w:sz w:val="24"/>
          <w:szCs w:val="24"/>
        </w:rPr>
        <w:t xml:space="preserve"> </w:t>
      </w:r>
    </w:p>
    <w:p w14:paraId="3D6D03B6" w14:textId="0E89DB59" w:rsidR="005939CA" w:rsidRPr="00EB2576" w:rsidRDefault="005939CA" w:rsidP="005939CA">
      <w:pPr>
        <w:spacing w:line="480" w:lineRule="auto"/>
        <w:rPr>
          <w:rFonts w:ascii="Times New Roman" w:hAnsi="Times New Roman" w:cs="Times New Roman"/>
          <w:sz w:val="24"/>
          <w:szCs w:val="24"/>
        </w:rPr>
      </w:pPr>
    </w:p>
    <w:p w14:paraId="1C1BD005" w14:textId="6EC5619F" w:rsidR="0048487E" w:rsidRPr="00EB2576" w:rsidRDefault="00CD2EAC"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In chapter 5, I </w:t>
      </w:r>
      <w:r w:rsidR="00D06533" w:rsidRPr="00EB2576">
        <w:rPr>
          <w:rFonts w:ascii="Times New Roman" w:hAnsi="Times New Roman" w:cs="Times New Roman"/>
          <w:sz w:val="24"/>
          <w:szCs w:val="24"/>
        </w:rPr>
        <w:t>presented</w:t>
      </w:r>
      <w:r w:rsidRPr="00EB2576">
        <w:rPr>
          <w:rFonts w:ascii="Times New Roman" w:hAnsi="Times New Roman" w:cs="Times New Roman"/>
          <w:sz w:val="24"/>
          <w:szCs w:val="24"/>
        </w:rPr>
        <w:t xml:space="preserve"> </w:t>
      </w:r>
      <w:r w:rsidR="00D06533" w:rsidRPr="00EB2576">
        <w:rPr>
          <w:rFonts w:ascii="Times New Roman" w:hAnsi="Times New Roman" w:cs="Times New Roman"/>
          <w:sz w:val="24"/>
          <w:szCs w:val="24"/>
        </w:rPr>
        <w:t>my</w:t>
      </w:r>
      <w:r w:rsidRPr="00EB2576">
        <w:rPr>
          <w:rFonts w:ascii="Times New Roman" w:hAnsi="Times New Roman" w:cs="Times New Roman"/>
          <w:sz w:val="24"/>
          <w:szCs w:val="24"/>
        </w:rPr>
        <w:t xml:space="preserve"> methodology for producing an infliximab </w:t>
      </w:r>
      <w:r w:rsidR="005939CA" w:rsidRPr="00EB2576">
        <w:rPr>
          <w:rFonts w:ascii="Times New Roman" w:hAnsi="Times New Roman" w:cs="Times New Roman"/>
          <w:sz w:val="24"/>
          <w:szCs w:val="24"/>
        </w:rPr>
        <w:t>Fab</w:t>
      </w:r>
      <w:r w:rsidRPr="00EB2576">
        <w:rPr>
          <w:rFonts w:ascii="Times New Roman" w:hAnsi="Times New Roman" w:cs="Times New Roman"/>
          <w:sz w:val="24"/>
          <w:szCs w:val="24"/>
        </w:rPr>
        <w:t xml:space="preserve"> GFL.</w:t>
      </w:r>
      <w:r w:rsidR="005939CA" w:rsidRPr="00EB2576">
        <w:rPr>
          <w:rFonts w:ascii="Times New Roman" w:hAnsi="Times New Roman" w:cs="Times New Roman"/>
          <w:sz w:val="24"/>
          <w:szCs w:val="24"/>
        </w:rPr>
        <w:t xml:space="preserve"> </w:t>
      </w:r>
      <w:r w:rsidRPr="00EB2576">
        <w:rPr>
          <w:rFonts w:ascii="Times New Roman" w:hAnsi="Times New Roman" w:cs="Times New Roman"/>
          <w:sz w:val="24"/>
          <w:szCs w:val="24"/>
        </w:rPr>
        <w:t>The Fab</w:t>
      </w:r>
      <w:r w:rsidR="00237760" w:rsidRPr="00EB2576">
        <w:rPr>
          <w:rFonts w:ascii="Times New Roman" w:hAnsi="Times New Roman" w:cs="Times New Roman"/>
          <w:sz w:val="24"/>
          <w:szCs w:val="24"/>
        </w:rPr>
        <w:t xml:space="preserve"> region was focused upon</w:t>
      </w:r>
      <w:r w:rsidR="00954115" w:rsidRPr="00EB2576">
        <w:rPr>
          <w:rFonts w:ascii="Times New Roman" w:hAnsi="Times New Roman" w:cs="Times New Roman"/>
          <w:sz w:val="24"/>
          <w:szCs w:val="24"/>
        </w:rPr>
        <w:t xml:space="preserve"> </w:t>
      </w:r>
      <w:r w:rsidR="00237760" w:rsidRPr="00EB2576">
        <w:rPr>
          <w:rFonts w:ascii="Times New Roman" w:hAnsi="Times New Roman" w:cs="Times New Roman"/>
          <w:sz w:val="24"/>
          <w:szCs w:val="24"/>
        </w:rPr>
        <w:t>as it contain</w:t>
      </w:r>
      <w:r w:rsidR="003A52EE" w:rsidRPr="00EB2576">
        <w:rPr>
          <w:rFonts w:ascii="Times New Roman" w:hAnsi="Times New Roman" w:cs="Times New Roman"/>
          <w:sz w:val="24"/>
          <w:szCs w:val="24"/>
        </w:rPr>
        <w:t>s</w:t>
      </w:r>
      <w:r w:rsidR="005939CA" w:rsidRPr="00EB2576">
        <w:rPr>
          <w:rFonts w:ascii="Times New Roman" w:hAnsi="Times New Roman" w:cs="Times New Roman"/>
          <w:sz w:val="24"/>
          <w:szCs w:val="24"/>
        </w:rPr>
        <w:t xml:space="preserve"> murine </w:t>
      </w:r>
      <w:r w:rsidR="003A52EE" w:rsidRPr="00EB2576">
        <w:rPr>
          <w:rFonts w:ascii="Times New Roman" w:hAnsi="Times New Roman" w:cs="Times New Roman"/>
          <w:sz w:val="24"/>
          <w:szCs w:val="24"/>
        </w:rPr>
        <w:t>amino acids</w:t>
      </w:r>
      <w:r w:rsidR="00954115" w:rsidRPr="00EB2576">
        <w:rPr>
          <w:rFonts w:ascii="Times New Roman" w:hAnsi="Times New Roman" w:cs="Times New Roman"/>
          <w:sz w:val="24"/>
          <w:szCs w:val="24"/>
        </w:rPr>
        <w:t xml:space="preserve"> and was deemed to be the most antigenic region</w:t>
      </w:r>
      <w:r w:rsidR="00714C5B" w:rsidRPr="00EB2576">
        <w:rPr>
          <w:rFonts w:ascii="Times New Roman" w:hAnsi="Times New Roman" w:cs="Times New Roman"/>
          <w:sz w:val="24"/>
          <w:szCs w:val="24"/>
        </w:rPr>
        <w:t xml:space="preserve">. However, after consideration, </w:t>
      </w:r>
      <w:r w:rsidR="00D06533" w:rsidRPr="00EB2576">
        <w:rPr>
          <w:rFonts w:ascii="Times New Roman" w:hAnsi="Times New Roman" w:cs="Times New Roman"/>
          <w:sz w:val="24"/>
          <w:szCs w:val="24"/>
        </w:rPr>
        <w:t>I wanted to utilise a</w:t>
      </w:r>
      <w:r w:rsidR="00B81857" w:rsidRPr="00EB2576">
        <w:rPr>
          <w:rFonts w:ascii="Times New Roman" w:hAnsi="Times New Roman" w:cs="Times New Roman"/>
          <w:sz w:val="24"/>
          <w:szCs w:val="24"/>
        </w:rPr>
        <w:t>n</w:t>
      </w:r>
      <w:r w:rsidR="00140472" w:rsidRPr="00EB2576">
        <w:rPr>
          <w:rFonts w:ascii="Times New Roman" w:hAnsi="Times New Roman" w:cs="Times New Roman"/>
          <w:sz w:val="24"/>
          <w:szCs w:val="24"/>
        </w:rPr>
        <w:t xml:space="preserve"> infliximab</w:t>
      </w:r>
      <w:r w:rsidR="00D06533" w:rsidRPr="00EB2576">
        <w:rPr>
          <w:rFonts w:ascii="Times New Roman" w:hAnsi="Times New Roman" w:cs="Times New Roman"/>
          <w:sz w:val="24"/>
          <w:szCs w:val="24"/>
        </w:rPr>
        <w:t xml:space="preserve"> </w:t>
      </w:r>
      <w:r w:rsidR="005962AA" w:rsidRPr="00EB2576">
        <w:rPr>
          <w:rFonts w:ascii="Times New Roman" w:hAnsi="Times New Roman" w:cs="Times New Roman"/>
          <w:sz w:val="24"/>
          <w:szCs w:val="24"/>
        </w:rPr>
        <w:t xml:space="preserve">whole </w:t>
      </w:r>
      <w:r w:rsidR="00D06533" w:rsidRPr="00EB2576">
        <w:rPr>
          <w:rFonts w:ascii="Times New Roman" w:hAnsi="Times New Roman" w:cs="Times New Roman"/>
          <w:sz w:val="24"/>
          <w:szCs w:val="24"/>
        </w:rPr>
        <w:t>GFL</w:t>
      </w:r>
      <w:r w:rsidR="00140472" w:rsidRPr="00EB2576">
        <w:rPr>
          <w:rFonts w:ascii="Times New Roman" w:hAnsi="Times New Roman" w:cs="Times New Roman"/>
          <w:sz w:val="24"/>
          <w:szCs w:val="24"/>
        </w:rPr>
        <w:t xml:space="preserve"> as </w:t>
      </w:r>
      <w:r w:rsidR="00140472" w:rsidRPr="00EB2576">
        <w:rPr>
          <w:rFonts w:ascii="Times New Roman" w:hAnsi="Times New Roman" w:cs="Times New Roman"/>
          <w:sz w:val="24"/>
          <w:szCs w:val="24"/>
        </w:rPr>
        <w:lastRenderedPageBreak/>
        <w:t xml:space="preserve">the different clinical phenotypes seen with ATI </w:t>
      </w:r>
      <w:r w:rsidR="00B22FD5" w:rsidRPr="00EB2576">
        <w:rPr>
          <w:rFonts w:ascii="Times New Roman" w:hAnsi="Times New Roman" w:cs="Times New Roman"/>
          <w:sz w:val="24"/>
          <w:szCs w:val="24"/>
        </w:rPr>
        <w:t>could</w:t>
      </w:r>
      <w:r w:rsidR="00140472" w:rsidRPr="00EB2576">
        <w:rPr>
          <w:rFonts w:ascii="Times New Roman" w:hAnsi="Times New Roman" w:cs="Times New Roman"/>
          <w:sz w:val="24"/>
          <w:szCs w:val="24"/>
        </w:rPr>
        <w:t xml:space="preserve"> suggest epitopes outside of the Fab region</w:t>
      </w:r>
      <w:r w:rsidR="005962AA" w:rsidRPr="00EB2576">
        <w:rPr>
          <w:rFonts w:ascii="Times New Roman" w:hAnsi="Times New Roman" w:cs="Times New Roman"/>
          <w:sz w:val="24"/>
          <w:szCs w:val="24"/>
        </w:rPr>
        <w:t>.</w:t>
      </w:r>
      <w:r w:rsidR="003F0050" w:rsidRPr="00EB2576">
        <w:rPr>
          <w:rFonts w:ascii="Times New Roman" w:hAnsi="Times New Roman" w:cs="Times New Roman"/>
          <w:sz w:val="24"/>
          <w:szCs w:val="24"/>
        </w:rPr>
        <w:t xml:space="preserve"> </w:t>
      </w:r>
      <w:r w:rsidR="005962AA" w:rsidRPr="00EB2576">
        <w:rPr>
          <w:rFonts w:ascii="Times New Roman" w:hAnsi="Times New Roman" w:cs="Times New Roman"/>
          <w:sz w:val="24"/>
          <w:szCs w:val="24"/>
        </w:rPr>
        <w:t>Therefore</w:t>
      </w:r>
      <w:r w:rsidR="003F0050" w:rsidRPr="00EB2576">
        <w:rPr>
          <w:rFonts w:ascii="Times New Roman" w:hAnsi="Times New Roman" w:cs="Times New Roman"/>
          <w:sz w:val="24"/>
          <w:szCs w:val="24"/>
        </w:rPr>
        <w:t>,</w:t>
      </w:r>
      <w:r w:rsidR="005939CA" w:rsidRPr="00EB2576">
        <w:rPr>
          <w:rFonts w:ascii="Times New Roman" w:hAnsi="Times New Roman" w:cs="Times New Roman"/>
          <w:sz w:val="24"/>
          <w:szCs w:val="24"/>
        </w:rPr>
        <w:t xml:space="preserve"> a novel infliximab </w:t>
      </w:r>
      <w:r w:rsidR="005962AA" w:rsidRPr="00EB2576">
        <w:rPr>
          <w:rFonts w:ascii="Times New Roman" w:hAnsi="Times New Roman" w:cs="Times New Roman"/>
          <w:sz w:val="24"/>
          <w:szCs w:val="24"/>
        </w:rPr>
        <w:t xml:space="preserve">whole </w:t>
      </w:r>
      <w:r w:rsidR="005939CA" w:rsidRPr="00EB2576">
        <w:rPr>
          <w:rFonts w:ascii="Times New Roman" w:hAnsi="Times New Roman" w:cs="Times New Roman"/>
          <w:sz w:val="24"/>
          <w:szCs w:val="24"/>
        </w:rPr>
        <w:t xml:space="preserve">GFL with </w:t>
      </w:r>
      <w:r w:rsidR="003F0050" w:rsidRPr="00EB2576">
        <w:rPr>
          <w:rFonts w:ascii="Times New Roman" w:hAnsi="Times New Roman" w:cs="Times New Roman"/>
          <w:sz w:val="24"/>
          <w:szCs w:val="24"/>
        </w:rPr>
        <w:t>produced using s</w:t>
      </w:r>
      <w:r w:rsidR="00AB0CA6" w:rsidRPr="00EB2576">
        <w:rPr>
          <w:rFonts w:ascii="Times New Roman" w:hAnsi="Times New Roman" w:cs="Times New Roman"/>
          <w:sz w:val="24"/>
          <w:szCs w:val="24"/>
        </w:rPr>
        <w:t xml:space="preserve">ynthesised </w:t>
      </w:r>
      <w:r w:rsidR="005939CA" w:rsidRPr="00EB2576">
        <w:rPr>
          <w:rFonts w:ascii="Times New Roman" w:hAnsi="Times New Roman" w:cs="Times New Roman"/>
          <w:sz w:val="24"/>
          <w:szCs w:val="24"/>
        </w:rPr>
        <w:t xml:space="preserve">overlapping in-frame </w:t>
      </w:r>
      <w:r w:rsidR="008B5ACA" w:rsidRPr="00EB2576">
        <w:rPr>
          <w:rFonts w:ascii="Times New Roman" w:hAnsi="Times New Roman" w:cs="Times New Roman"/>
          <w:sz w:val="24"/>
          <w:szCs w:val="24"/>
        </w:rPr>
        <w:t xml:space="preserve">infliximab gene </w:t>
      </w:r>
      <w:r w:rsidR="005939CA" w:rsidRPr="00EB2576">
        <w:rPr>
          <w:rFonts w:ascii="Times New Roman" w:hAnsi="Times New Roman" w:cs="Times New Roman"/>
          <w:sz w:val="24"/>
          <w:szCs w:val="24"/>
        </w:rPr>
        <w:t xml:space="preserve">fragments. Due to all </w:t>
      </w:r>
      <w:r w:rsidR="00DF035C" w:rsidRPr="00EB2576">
        <w:rPr>
          <w:rFonts w:ascii="Times New Roman" w:hAnsi="Times New Roman" w:cs="Times New Roman"/>
          <w:sz w:val="24"/>
          <w:szCs w:val="24"/>
        </w:rPr>
        <w:t xml:space="preserve">the </w:t>
      </w:r>
      <w:r w:rsidR="005939CA" w:rsidRPr="00EB2576">
        <w:rPr>
          <w:rFonts w:ascii="Times New Roman" w:hAnsi="Times New Roman" w:cs="Times New Roman"/>
          <w:sz w:val="24"/>
          <w:szCs w:val="24"/>
        </w:rPr>
        <w:t>DNA fragments being in-frame, this</w:t>
      </w:r>
      <w:r w:rsidR="008B5ACA" w:rsidRPr="00EB2576">
        <w:rPr>
          <w:rFonts w:ascii="Times New Roman" w:hAnsi="Times New Roman" w:cs="Times New Roman"/>
          <w:sz w:val="24"/>
          <w:szCs w:val="24"/>
        </w:rPr>
        <w:t xml:space="preserve"> </w:t>
      </w:r>
      <w:r w:rsidR="005939CA" w:rsidRPr="00EB2576">
        <w:rPr>
          <w:rFonts w:ascii="Times New Roman" w:hAnsi="Times New Roman" w:cs="Times New Roman"/>
          <w:sz w:val="24"/>
          <w:szCs w:val="24"/>
        </w:rPr>
        <w:t xml:space="preserve">would </w:t>
      </w:r>
      <w:r w:rsidR="008B5ACA" w:rsidRPr="00EB2576">
        <w:rPr>
          <w:rFonts w:ascii="Times New Roman" w:hAnsi="Times New Roman" w:cs="Times New Roman"/>
          <w:sz w:val="24"/>
          <w:szCs w:val="24"/>
        </w:rPr>
        <w:t xml:space="preserve">ensure all the phage variants in the library displayed infliximab peptides and increase the likelihood of successful </w:t>
      </w:r>
      <w:r w:rsidR="005939CA" w:rsidRPr="00EB2576">
        <w:rPr>
          <w:rFonts w:ascii="Times New Roman" w:hAnsi="Times New Roman" w:cs="Times New Roman"/>
          <w:sz w:val="24"/>
          <w:szCs w:val="24"/>
        </w:rPr>
        <w:t xml:space="preserve">of linear epitope selection. </w:t>
      </w:r>
    </w:p>
    <w:p w14:paraId="626E19BC" w14:textId="77777777" w:rsidR="00B81857" w:rsidRPr="00EB2576" w:rsidRDefault="00B81857" w:rsidP="0048487E">
      <w:pPr>
        <w:spacing w:line="480" w:lineRule="auto"/>
        <w:rPr>
          <w:rFonts w:ascii="Times New Roman" w:hAnsi="Times New Roman" w:cs="Times New Roman"/>
          <w:sz w:val="24"/>
          <w:szCs w:val="24"/>
        </w:rPr>
      </w:pPr>
    </w:p>
    <w:p w14:paraId="7207FF65" w14:textId="626A28AE" w:rsidR="0048487E" w:rsidRPr="00EB2576" w:rsidRDefault="0048487E" w:rsidP="0048487E">
      <w:pPr>
        <w:spacing w:line="480" w:lineRule="auto"/>
        <w:rPr>
          <w:rFonts w:ascii="Times New Roman" w:hAnsi="Times New Roman" w:cs="Times New Roman"/>
          <w:b/>
          <w:bCs/>
          <w:sz w:val="24"/>
          <w:szCs w:val="24"/>
        </w:rPr>
      </w:pPr>
      <w:bookmarkStart w:id="232" w:name="_Hlk114676956"/>
      <w:r w:rsidRPr="00EB2576">
        <w:rPr>
          <w:rFonts w:ascii="Times New Roman" w:hAnsi="Times New Roman" w:cs="Times New Roman"/>
          <w:b/>
          <w:bCs/>
          <w:sz w:val="24"/>
          <w:szCs w:val="24"/>
        </w:rPr>
        <w:t xml:space="preserve">The aim of this study was to use </w:t>
      </w:r>
      <w:r w:rsidR="00DB45EF" w:rsidRPr="00EB2576">
        <w:rPr>
          <w:rFonts w:ascii="Times New Roman" w:hAnsi="Times New Roman" w:cs="Times New Roman"/>
          <w:b/>
          <w:bCs/>
          <w:sz w:val="24"/>
          <w:szCs w:val="24"/>
        </w:rPr>
        <w:t xml:space="preserve">an infliximab gene fragment </w:t>
      </w:r>
      <w:r w:rsidRPr="00EB2576">
        <w:rPr>
          <w:rFonts w:ascii="Times New Roman" w:hAnsi="Times New Roman" w:cs="Times New Roman"/>
          <w:b/>
          <w:bCs/>
          <w:sz w:val="24"/>
          <w:szCs w:val="24"/>
        </w:rPr>
        <w:t xml:space="preserve">phage display </w:t>
      </w:r>
      <w:r w:rsidR="00DB45EF" w:rsidRPr="00EB2576">
        <w:rPr>
          <w:rFonts w:ascii="Times New Roman" w:hAnsi="Times New Roman" w:cs="Times New Roman"/>
          <w:b/>
          <w:bCs/>
          <w:sz w:val="24"/>
          <w:szCs w:val="24"/>
        </w:rPr>
        <w:t xml:space="preserve">library </w:t>
      </w:r>
      <w:r w:rsidRPr="00EB2576">
        <w:rPr>
          <w:rFonts w:ascii="Times New Roman" w:hAnsi="Times New Roman" w:cs="Times New Roman"/>
          <w:b/>
          <w:bCs/>
          <w:sz w:val="24"/>
          <w:szCs w:val="24"/>
        </w:rPr>
        <w:t>to identify linear epitopes in IBD patients treated with infliximab</w:t>
      </w:r>
      <w:r w:rsidR="00214999" w:rsidRPr="00EB2576">
        <w:rPr>
          <w:rFonts w:ascii="Times New Roman" w:hAnsi="Times New Roman" w:cs="Times New Roman"/>
          <w:b/>
          <w:bCs/>
          <w:sz w:val="24"/>
          <w:szCs w:val="24"/>
        </w:rPr>
        <w:t>. Patients with ATI</w:t>
      </w:r>
      <w:r w:rsidRPr="00EB2576">
        <w:rPr>
          <w:rFonts w:ascii="Times New Roman" w:hAnsi="Times New Roman" w:cs="Times New Roman"/>
          <w:b/>
          <w:bCs/>
          <w:sz w:val="24"/>
          <w:szCs w:val="24"/>
        </w:rPr>
        <w:t xml:space="preserve"> with different clinical outcomes </w:t>
      </w:r>
      <w:r w:rsidR="00214999" w:rsidRPr="00EB2576">
        <w:rPr>
          <w:rFonts w:ascii="Times New Roman" w:hAnsi="Times New Roman" w:cs="Times New Roman"/>
          <w:b/>
          <w:bCs/>
          <w:sz w:val="24"/>
          <w:szCs w:val="24"/>
        </w:rPr>
        <w:t>would be included to</w:t>
      </w:r>
      <w:r w:rsidRPr="00EB2576">
        <w:rPr>
          <w:rFonts w:ascii="Times New Roman" w:hAnsi="Times New Roman" w:cs="Times New Roman"/>
          <w:b/>
          <w:bCs/>
          <w:sz w:val="24"/>
          <w:szCs w:val="24"/>
        </w:rPr>
        <w:t xml:space="preserve"> identify clinically relevant </w:t>
      </w:r>
      <w:r w:rsidR="00214999" w:rsidRPr="00EB2576">
        <w:rPr>
          <w:rFonts w:ascii="Times New Roman" w:hAnsi="Times New Roman" w:cs="Times New Roman"/>
          <w:b/>
          <w:bCs/>
          <w:sz w:val="24"/>
          <w:szCs w:val="24"/>
        </w:rPr>
        <w:t xml:space="preserve">linear </w:t>
      </w:r>
      <w:r w:rsidRPr="00EB2576">
        <w:rPr>
          <w:rFonts w:ascii="Times New Roman" w:hAnsi="Times New Roman" w:cs="Times New Roman"/>
          <w:b/>
          <w:bCs/>
          <w:sz w:val="24"/>
          <w:szCs w:val="24"/>
        </w:rPr>
        <w:t xml:space="preserve">epitopes. </w:t>
      </w:r>
    </w:p>
    <w:bookmarkEnd w:id="231"/>
    <w:p w14:paraId="37DDACA5" w14:textId="77777777" w:rsidR="0048487E" w:rsidRPr="00EB2576" w:rsidRDefault="0048487E" w:rsidP="0048487E">
      <w:pPr>
        <w:spacing w:line="480" w:lineRule="auto"/>
        <w:rPr>
          <w:rFonts w:ascii="Times New Roman" w:hAnsi="Times New Roman" w:cs="Times New Roman"/>
          <w:sz w:val="24"/>
          <w:szCs w:val="24"/>
        </w:rPr>
      </w:pPr>
    </w:p>
    <w:p w14:paraId="4E34FF98" w14:textId="7C7E07E0" w:rsidR="0048487E" w:rsidRPr="00EB2576" w:rsidRDefault="00DF035C" w:rsidP="0048487E">
      <w:pPr>
        <w:pStyle w:val="Heading2"/>
        <w:spacing w:line="480" w:lineRule="auto"/>
        <w:rPr>
          <w:rFonts w:ascii="Times New Roman" w:hAnsi="Times New Roman" w:cs="Times New Roman"/>
          <w:sz w:val="24"/>
          <w:szCs w:val="24"/>
        </w:rPr>
      </w:pPr>
      <w:bookmarkStart w:id="233" w:name="_Toc151020522"/>
      <w:bookmarkEnd w:id="230"/>
      <w:r w:rsidRPr="00EB2576">
        <w:rPr>
          <w:rFonts w:ascii="Times New Roman" w:hAnsi="Times New Roman" w:cs="Times New Roman"/>
          <w:sz w:val="24"/>
          <w:szCs w:val="24"/>
        </w:rPr>
        <w:t>5</w:t>
      </w:r>
      <w:r w:rsidR="0048487E" w:rsidRPr="00EB2576">
        <w:rPr>
          <w:rFonts w:ascii="Times New Roman" w:hAnsi="Times New Roman" w:cs="Times New Roman"/>
          <w:sz w:val="24"/>
          <w:szCs w:val="24"/>
        </w:rPr>
        <w:t>.2 Method</w:t>
      </w:r>
      <w:bookmarkEnd w:id="233"/>
    </w:p>
    <w:p w14:paraId="623E5943" w14:textId="66399C61" w:rsidR="0048487E" w:rsidRPr="00EB2576" w:rsidRDefault="00DF035C" w:rsidP="0048487E">
      <w:pPr>
        <w:pStyle w:val="Heading3"/>
        <w:spacing w:line="480" w:lineRule="auto"/>
        <w:rPr>
          <w:rFonts w:ascii="Times New Roman" w:hAnsi="Times New Roman" w:cs="Times New Roman"/>
          <w:b/>
          <w:bCs/>
        </w:rPr>
      </w:pPr>
      <w:bookmarkStart w:id="234" w:name="_Toc151020523"/>
      <w:r w:rsidRPr="00EB2576">
        <w:rPr>
          <w:rFonts w:ascii="Times New Roman" w:hAnsi="Times New Roman" w:cs="Times New Roman"/>
          <w:b/>
          <w:bCs/>
        </w:rPr>
        <w:t>5</w:t>
      </w:r>
      <w:r w:rsidR="0048487E" w:rsidRPr="00EB2576">
        <w:rPr>
          <w:rFonts w:ascii="Times New Roman" w:hAnsi="Times New Roman" w:cs="Times New Roman"/>
          <w:b/>
          <w:bCs/>
        </w:rPr>
        <w:t>.2.1 Patient</w:t>
      </w:r>
      <w:r w:rsidR="00041CA5" w:rsidRPr="00EB2576">
        <w:rPr>
          <w:rFonts w:ascii="Times New Roman" w:hAnsi="Times New Roman" w:cs="Times New Roman"/>
          <w:b/>
          <w:bCs/>
        </w:rPr>
        <w:t>s</w:t>
      </w:r>
      <w:bookmarkEnd w:id="234"/>
    </w:p>
    <w:p w14:paraId="7DDFE360" w14:textId="1C8762C6" w:rsidR="00D73B2A" w:rsidRPr="00EB2576" w:rsidRDefault="006F318B" w:rsidP="008A3D18">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From May 2016, patients receiving infliximab for IBD of Sheffield Teaching Hospitals IBD service underwent therapeutic drug monitoring (TDM) comprising measurement of trough infliximab and ATI levels, prior to each infusion after the first.</w:t>
      </w:r>
      <w:r w:rsidR="008A3D18" w:rsidRPr="00EB2576">
        <w:rPr>
          <w:rFonts w:ascii="Times New Roman" w:hAnsi="Times New Roman" w:cs="Times New Roman"/>
          <w:sz w:val="24"/>
          <w:szCs w:val="24"/>
        </w:rPr>
        <w:t xml:space="preserve"> Infliximab was administered during induction as 5 mg/kg at 0, 2 and 6 weeks and continued every 8 weeks at 5 mg/kg for maintenance therapy. </w:t>
      </w:r>
      <w:r w:rsidR="00FA6AB6" w:rsidRPr="00EB2576">
        <w:rPr>
          <w:rFonts w:ascii="Times New Roman" w:eastAsiaTheme="minorHAnsi" w:hAnsi="Times New Roman" w:cs="Times New Roman"/>
          <w:sz w:val="24"/>
          <w:szCs w:val="24"/>
        </w:rPr>
        <w:t>During this period, all patients receiving infliximab have been transferred onto the biosimilar, CT-P13 (</w:t>
      </w:r>
      <w:proofErr w:type="spellStart"/>
      <w:r w:rsidR="00FA6AB6" w:rsidRPr="00EB2576">
        <w:rPr>
          <w:rFonts w:ascii="Times New Roman" w:eastAsiaTheme="minorHAnsi" w:hAnsi="Times New Roman" w:cs="Times New Roman"/>
          <w:sz w:val="24"/>
          <w:szCs w:val="24"/>
        </w:rPr>
        <w:t>Remsima</w:t>
      </w:r>
      <w:proofErr w:type="spellEnd"/>
      <w:r w:rsidR="00FA6AB6" w:rsidRPr="00EB2576">
        <w:rPr>
          <w:rFonts w:ascii="Times New Roman" w:hAnsi="Times New Roman" w:cs="Times New Roman"/>
          <w:sz w:val="24"/>
          <w:szCs w:val="24"/>
          <w:shd w:val="clear" w:color="auto" w:fill="FFFFFF"/>
        </w:rPr>
        <w:t xml:space="preserve"> ®, </w:t>
      </w:r>
      <w:proofErr w:type="spellStart"/>
      <w:r w:rsidR="00FA6AB6" w:rsidRPr="00EB2576">
        <w:rPr>
          <w:rFonts w:ascii="Times New Roman" w:hAnsi="Times New Roman" w:cs="Times New Roman"/>
          <w:sz w:val="24"/>
          <w:szCs w:val="24"/>
          <w:shd w:val="clear" w:color="auto" w:fill="FFFFFF"/>
        </w:rPr>
        <w:t>Celltrion</w:t>
      </w:r>
      <w:proofErr w:type="spellEnd"/>
      <w:r w:rsidR="00FA6AB6" w:rsidRPr="00EB2576">
        <w:rPr>
          <w:rFonts w:ascii="Times New Roman" w:hAnsi="Times New Roman" w:cs="Times New Roman"/>
          <w:sz w:val="24"/>
          <w:szCs w:val="24"/>
          <w:shd w:val="clear" w:color="auto" w:fill="FFFFFF"/>
        </w:rPr>
        <w:t>, South Korea</w:t>
      </w:r>
      <w:r w:rsidR="00FA6AB6" w:rsidRPr="00EB2576">
        <w:rPr>
          <w:rFonts w:ascii="Times New Roman" w:eastAsiaTheme="minorHAnsi" w:hAnsi="Times New Roman" w:cs="Times New Roman"/>
          <w:sz w:val="24"/>
          <w:szCs w:val="24"/>
        </w:rPr>
        <w:t>), from the originator drug, Remicade</w:t>
      </w:r>
      <w:r w:rsidR="006A1687" w:rsidRPr="00EB2576">
        <w:rPr>
          <w:rFonts w:ascii="Times New Roman" w:eastAsiaTheme="minorHAnsi" w:hAnsi="Times New Roman" w:cs="Times New Roman"/>
          <w:sz w:val="24"/>
          <w:szCs w:val="24"/>
        </w:rPr>
        <w:t xml:space="preserve"> (Janssen Biotech Inc, United States)</w:t>
      </w:r>
      <w:r w:rsidR="00FA6AB6" w:rsidRPr="00EB2576">
        <w:rPr>
          <w:rFonts w:ascii="Times New Roman" w:eastAsiaTheme="minorHAnsi" w:hAnsi="Times New Roman" w:cs="Times New Roman"/>
          <w:sz w:val="24"/>
          <w:szCs w:val="24"/>
        </w:rPr>
        <w:t>.</w:t>
      </w:r>
      <w:r w:rsidR="00FA6AB6" w:rsidRPr="00EB2576">
        <w:rPr>
          <w:rFonts w:ascii="Times New Roman" w:hAnsi="Times New Roman" w:cs="Times New Roman"/>
          <w:sz w:val="24"/>
          <w:szCs w:val="24"/>
        </w:rPr>
        <w:t xml:space="preserve"> </w:t>
      </w:r>
    </w:p>
    <w:p w14:paraId="0037AD0D" w14:textId="77777777" w:rsidR="00D73B2A" w:rsidRPr="00EB2576" w:rsidRDefault="00D73B2A" w:rsidP="008A3D18">
      <w:pPr>
        <w:autoSpaceDE w:val="0"/>
        <w:autoSpaceDN w:val="0"/>
        <w:adjustRightInd w:val="0"/>
        <w:spacing w:after="0" w:line="480" w:lineRule="auto"/>
        <w:jc w:val="left"/>
        <w:rPr>
          <w:rFonts w:ascii="Times New Roman" w:hAnsi="Times New Roman" w:cs="Times New Roman"/>
          <w:sz w:val="24"/>
          <w:szCs w:val="24"/>
        </w:rPr>
      </w:pPr>
    </w:p>
    <w:p w14:paraId="650FAD62" w14:textId="1E76F97A" w:rsidR="008A3D18" w:rsidRPr="00EB2576" w:rsidRDefault="00DF2C91" w:rsidP="008A3D18">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IBD patients receiving infliximab</w:t>
      </w:r>
      <w:r w:rsidR="0048487E" w:rsidRPr="00EB2576">
        <w:rPr>
          <w:rFonts w:ascii="Times New Roman" w:hAnsi="Times New Roman" w:cs="Times New Roman"/>
          <w:sz w:val="24"/>
          <w:szCs w:val="24"/>
        </w:rPr>
        <w:t xml:space="preserve"> </w:t>
      </w:r>
      <w:r w:rsidR="00DC7C4C" w:rsidRPr="00EB2576">
        <w:rPr>
          <w:rFonts w:ascii="Times New Roman" w:hAnsi="Times New Roman" w:cs="Times New Roman"/>
          <w:sz w:val="24"/>
          <w:szCs w:val="24"/>
        </w:rPr>
        <w:t>were identified</w:t>
      </w:r>
      <w:r w:rsidRPr="00EB2576">
        <w:rPr>
          <w:rFonts w:ascii="Times New Roman" w:hAnsi="Times New Roman" w:cs="Times New Roman"/>
          <w:sz w:val="24"/>
          <w:szCs w:val="24"/>
        </w:rPr>
        <w:t xml:space="preserve"> using the biologic</w:t>
      </w:r>
      <w:r w:rsidR="0048487E" w:rsidRPr="00EB2576">
        <w:rPr>
          <w:rFonts w:ascii="Times New Roman" w:hAnsi="Times New Roman" w:cs="Times New Roman"/>
          <w:sz w:val="24"/>
          <w:szCs w:val="24"/>
        </w:rPr>
        <w:t xml:space="preserve"> database of IBD patie</w:t>
      </w:r>
      <w:r w:rsidRPr="00EB2576">
        <w:rPr>
          <w:rFonts w:ascii="Times New Roman" w:hAnsi="Times New Roman" w:cs="Times New Roman"/>
          <w:sz w:val="24"/>
          <w:szCs w:val="24"/>
        </w:rPr>
        <w:t>nts</w:t>
      </w:r>
      <w:r w:rsidR="007E6CB3" w:rsidRPr="00EB2576">
        <w:rPr>
          <w:rFonts w:ascii="Times New Roman" w:hAnsi="Times New Roman" w:cs="Times New Roman"/>
          <w:sz w:val="24"/>
          <w:szCs w:val="24"/>
        </w:rPr>
        <w:t xml:space="preserve"> (a database of all IBD patients receiving biologics)</w:t>
      </w:r>
      <w:r w:rsidRPr="00EB2576">
        <w:rPr>
          <w:rFonts w:ascii="Times New Roman" w:hAnsi="Times New Roman" w:cs="Times New Roman"/>
          <w:sz w:val="24"/>
          <w:szCs w:val="24"/>
        </w:rPr>
        <w:t>.</w:t>
      </w:r>
      <w:r w:rsidR="0048487E" w:rsidRPr="00EB2576">
        <w:rPr>
          <w:rFonts w:ascii="Times New Roman" w:hAnsi="Times New Roman" w:cs="Times New Roman"/>
          <w:sz w:val="24"/>
          <w:szCs w:val="24"/>
        </w:rPr>
        <w:t xml:space="preserve"> </w:t>
      </w:r>
      <w:r w:rsidRPr="00EB2576">
        <w:rPr>
          <w:rFonts w:ascii="Times New Roman" w:hAnsi="Times New Roman" w:cs="Times New Roman"/>
          <w:sz w:val="24"/>
          <w:szCs w:val="24"/>
        </w:rPr>
        <w:t>P</w:t>
      </w:r>
      <w:r w:rsidR="0048487E" w:rsidRPr="00EB2576">
        <w:rPr>
          <w:rFonts w:ascii="Times New Roman" w:hAnsi="Times New Roman" w:cs="Times New Roman"/>
          <w:sz w:val="24"/>
          <w:szCs w:val="24"/>
        </w:rPr>
        <w:t xml:space="preserve">atients who were ATI positive were identified </w:t>
      </w:r>
      <w:r w:rsidR="005F0D5F" w:rsidRPr="00EB2576">
        <w:rPr>
          <w:rFonts w:ascii="Times New Roman" w:hAnsi="Times New Roman" w:cs="Times New Roman"/>
          <w:sz w:val="24"/>
          <w:szCs w:val="24"/>
        </w:rPr>
        <w:t xml:space="preserve">as possible candidates for </w:t>
      </w:r>
      <w:r w:rsidR="0048487E" w:rsidRPr="00EB2576">
        <w:rPr>
          <w:rFonts w:ascii="Times New Roman" w:hAnsi="Times New Roman" w:cs="Times New Roman"/>
          <w:sz w:val="24"/>
          <w:szCs w:val="24"/>
        </w:rPr>
        <w:t xml:space="preserve">storage of sera for selection of B cell epitopes on </w:t>
      </w:r>
      <w:r w:rsidR="0048487E" w:rsidRPr="00EB2576">
        <w:rPr>
          <w:rFonts w:ascii="Times New Roman" w:hAnsi="Times New Roman" w:cs="Times New Roman"/>
          <w:sz w:val="24"/>
          <w:szCs w:val="24"/>
        </w:rPr>
        <w:lastRenderedPageBreak/>
        <w:t>infliximab. An information leaflet and consent forms (Appendix</w:t>
      </w:r>
      <w:r w:rsidR="00C34C46" w:rsidRPr="00EB2576">
        <w:rPr>
          <w:rFonts w:ascii="Times New Roman" w:hAnsi="Times New Roman" w:cs="Times New Roman"/>
          <w:sz w:val="24"/>
          <w:szCs w:val="24"/>
        </w:rPr>
        <w:t xml:space="preserve"> 2 and 3</w:t>
      </w:r>
      <w:r w:rsidR="0048487E" w:rsidRPr="00EB2576">
        <w:rPr>
          <w:rFonts w:ascii="Times New Roman" w:hAnsi="Times New Roman" w:cs="Times New Roman"/>
          <w:sz w:val="24"/>
          <w:szCs w:val="24"/>
        </w:rPr>
        <w:t>) were sent to the patients at least 24 hours before enrolment. At their attendance for the infliximab infusion, the research was explained by the researcher, and questions answered before written consent</w:t>
      </w:r>
      <w:r w:rsidR="00BA67A7" w:rsidRPr="00EB2576">
        <w:rPr>
          <w:rFonts w:ascii="Times New Roman" w:hAnsi="Times New Roman" w:cs="Times New Roman"/>
          <w:sz w:val="24"/>
          <w:szCs w:val="24"/>
        </w:rPr>
        <w:t xml:space="preserve"> </w:t>
      </w:r>
      <w:r w:rsidR="0048487E" w:rsidRPr="00EB2576">
        <w:rPr>
          <w:rFonts w:ascii="Times New Roman" w:hAnsi="Times New Roman" w:cs="Times New Roman"/>
          <w:sz w:val="24"/>
          <w:szCs w:val="24"/>
        </w:rPr>
        <w:t xml:space="preserve">was gained. Three copies of the consent form were completed: one for the patient to keep, one for the patient’s notes and one to be kept on file by for possible inspection by the </w:t>
      </w:r>
      <w:r w:rsidR="007C0C6D" w:rsidRPr="00EB2576">
        <w:rPr>
          <w:rFonts w:ascii="Times New Roman" w:hAnsi="Times New Roman" w:cs="Times New Roman"/>
          <w:sz w:val="24"/>
          <w:szCs w:val="24"/>
        </w:rPr>
        <w:t>r</w:t>
      </w:r>
      <w:r w:rsidR="0048487E" w:rsidRPr="00EB2576">
        <w:rPr>
          <w:rFonts w:ascii="Times New Roman" w:hAnsi="Times New Roman" w:cs="Times New Roman"/>
          <w:sz w:val="24"/>
          <w:szCs w:val="24"/>
        </w:rPr>
        <w:t xml:space="preserve">egulatory </w:t>
      </w:r>
      <w:r w:rsidR="007C0C6D" w:rsidRPr="00EB2576">
        <w:rPr>
          <w:rFonts w:ascii="Times New Roman" w:hAnsi="Times New Roman" w:cs="Times New Roman"/>
          <w:sz w:val="24"/>
          <w:szCs w:val="24"/>
        </w:rPr>
        <w:t>a</w:t>
      </w:r>
      <w:r w:rsidR="0048487E" w:rsidRPr="00EB2576">
        <w:rPr>
          <w:rFonts w:ascii="Times New Roman" w:hAnsi="Times New Roman" w:cs="Times New Roman"/>
          <w:sz w:val="24"/>
          <w:szCs w:val="24"/>
        </w:rPr>
        <w:t>uthorities.</w:t>
      </w:r>
    </w:p>
    <w:p w14:paraId="18ECBCC4" w14:textId="77777777" w:rsidR="007C0C6D" w:rsidRPr="00EB2576" w:rsidRDefault="007C0C6D" w:rsidP="00CC0321">
      <w:pPr>
        <w:spacing w:line="480" w:lineRule="auto"/>
        <w:rPr>
          <w:rFonts w:ascii="Times New Roman" w:hAnsi="Times New Roman" w:cs="Times New Roman"/>
          <w:sz w:val="24"/>
          <w:szCs w:val="24"/>
        </w:rPr>
      </w:pPr>
      <w:bookmarkStart w:id="235" w:name="_Hlk88588235"/>
    </w:p>
    <w:p w14:paraId="47D37C03" w14:textId="37E367A2" w:rsidR="003978AB" w:rsidRPr="00EB2576" w:rsidRDefault="00CC0321" w:rsidP="00CC0321">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Patients were prospectively followed up and carefully clinically </w:t>
      </w:r>
      <w:proofErr w:type="spellStart"/>
      <w:r w:rsidRPr="00EB2576">
        <w:rPr>
          <w:rFonts w:ascii="Times New Roman" w:hAnsi="Times New Roman" w:cs="Times New Roman"/>
          <w:sz w:val="24"/>
          <w:szCs w:val="24"/>
        </w:rPr>
        <w:t>phenotype</w:t>
      </w:r>
      <w:r w:rsidR="005A7F74" w:rsidRPr="00EB2576">
        <w:rPr>
          <w:rFonts w:ascii="Times New Roman" w:hAnsi="Times New Roman" w:cs="Times New Roman"/>
          <w:sz w:val="24"/>
          <w:szCs w:val="24"/>
        </w:rPr>
        <w:t>d</w:t>
      </w:r>
      <w:proofErr w:type="spellEnd"/>
      <w:r w:rsidRPr="00EB2576">
        <w:rPr>
          <w:rFonts w:ascii="Times New Roman" w:hAnsi="Times New Roman" w:cs="Times New Roman"/>
          <w:sz w:val="24"/>
          <w:szCs w:val="24"/>
        </w:rPr>
        <w:t xml:space="preserve"> based on TDM and clinical </w:t>
      </w:r>
      <w:r w:rsidR="005A7F74" w:rsidRPr="00EB2576">
        <w:rPr>
          <w:rFonts w:ascii="Times New Roman" w:hAnsi="Times New Roman" w:cs="Times New Roman"/>
          <w:sz w:val="24"/>
          <w:szCs w:val="24"/>
        </w:rPr>
        <w:t>assessment</w:t>
      </w:r>
      <w:r w:rsidRPr="00EB2576">
        <w:rPr>
          <w:rFonts w:ascii="Times New Roman" w:hAnsi="Times New Roman" w:cs="Times New Roman"/>
          <w:sz w:val="24"/>
          <w:szCs w:val="24"/>
        </w:rPr>
        <w:t xml:space="preserve"> into the clinical outcomes of subtherapeutic infliximab levels, therapeutic/supratherapeutic infliximab levels, loss of response and adverse drug reactio</w:t>
      </w:r>
      <w:bookmarkEnd w:id="235"/>
      <w:r w:rsidR="005A7F74" w:rsidRPr="00EB2576">
        <w:rPr>
          <w:rFonts w:ascii="Times New Roman" w:hAnsi="Times New Roman" w:cs="Times New Roman"/>
          <w:sz w:val="24"/>
          <w:szCs w:val="24"/>
        </w:rPr>
        <w:t>n (</w:t>
      </w:r>
      <w:r w:rsidRPr="00EB2576">
        <w:rPr>
          <w:rFonts w:ascii="Times New Roman" w:hAnsi="Times New Roman" w:cs="Times New Roman"/>
          <w:sz w:val="24"/>
          <w:szCs w:val="24"/>
        </w:rPr>
        <w:t>Table 11</w:t>
      </w:r>
      <w:r w:rsidR="005A7F74" w:rsidRPr="00EB2576">
        <w:rPr>
          <w:rFonts w:ascii="Times New Roman" w:hAnsi="Times New Roman" w:cs="Times New Roman"/>
          <w:sz w:val="24"/>
          <w:szCs w:val="24"/>
        </w:rPr>
        <w:t>)</w:t>
      </w:r>
      <w:r w:rsidRPr="00EB2576">
        <w:rPr>
          <w:rFonts w:ascii="Times New Roman" w:hAnsi="Times New Roman" w:cs="Times New Roman"/>
          <w:sz w:val="24"/>
          <w:szCs w:val="24"/>
        </w:rPr>
        <w:t>.</w:t>
      </w:r>
    </w:p>
    <w:p w14:paraId="52EE2523" w14:textId="77777777" w:rsidR="003978AB" w:rsidRPr="00EB2576" w:rsidRDefault="003978AB" w:rsidP="00CC0321">
      <w:pPr>
        <w:spacing w:line="480" w:lineRule="auto"/>
        <w:rPr>
          <w:rFonts w:ascii="Times New Roman" w:hAnsi="Times New Roman" w:cs="Times New Roman"/>
          <w:sz w:val="24"/>
          <w:szCs w:val="24"/>
        </w:rPr>
      </w:pPr>
    </w:p>
    <w:tbl>
      <w:tblPr>
        <w:tblStyle w:val="GridTable1Light-Accent1"/>
        <w:tblW w:w="9351" w:type="dxa"/>
        <w:tblLook w:val="04A0" w:firstRow="1" w:lastRow="0" w:firstColumn="1" w:lastColumn="0" w:noHBand="0" w:noVBand="1"/>
      </w:tblPr>
      <w:tblGrid>
        <w:gridCol w:w="3296"/>
        <w:gridCol w:w="6055"/>
      </w:tblGrid>
      <w:tr w:rsidR="00EB2576" w:rsidRPr="00EB2576" w14:paraId="58F2F3D6" w14:textId="77777777" w:rsidTr="002672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6" w:type="dxa"/>
          </w:tcPr>
          <w:p w14:paraId="436F68BC" w14:textId="77777777" w:rsidR="007F04F7" w:rsidRPr="00EB2576" w:rsidRDefault="007F04F7" w:rsidP="0026720D">
            <w:pPr>
              <w:spacing w:line="480" w:lineRule="auto"/>
              <w:rPr>
                <w:rFonts w:ascii="Times New Roman" w:hAnsi="Times New Roman" w:cs="Times New Roman"/>
                <w:b w:val="0"/>
                <w:bCs w:val="0"/>
                <w:sz w:val="20"/>
                <w:szCs w:val="20"/>
              </w:rPr>
            </w:pPr>
            <w:r w:rsidRPr="00EB2576">
              <w:rPr>
                <w:rFonts w:ascii="Times New Roman" w:hAnsi="Times New Roman" w:cs="Times New Roman"/>
                <w:sz w:val="20"/>
                <w:szCs w:val="20"/>
              </w:rPr>
              <w:t>Clinical phenotype of antibody positive patients</w:t>
            </w:r>
          </w:p>
        </w:tc>
        <w:tc>
          <w:tcPr>
            <w:tcW w:w="6055" w:type="dxa"/>
          </w:tcPr>
          <w:p w14:paraId="2411C658" w14:textId="77777777" w:rsidR="007F04F7" w:rsidRPr="00EB2576" w:rsidRDefault="007F04F7" w:rsidP="0026720D">
            <w:pPr>
              <w:tabs>
                <w:tab w:val="right" w:pos="5231"/>
              </w:tabs>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EB2576">
              <w:rPr>
                <w:rFonts w:ascii="Times New Roman" w:hAnsi="Times New Roman" w:cs="Times New Roman"/>
                <w:sz w:val="20"/>
                <w:szCs w:val="20"/>
              </w:rPr>
              <w:t xml:space="preserve">Definition </w:t>
            </w:r>
            <w:r w:rsidRPr="00EB2576">
              <w:rPr>
                <w:rFonts w:ascii="Times New Roman" w:hAnsi="Times New Roman" w:cs="Times New Roman"/>
                <w:sz w:val="20"/>
                <w:szCs w:val="20"/>
              </w:rPr>
              <w:tab/>
            </w:r>
          </w:p>
        </w:tc>
      </w:tr>
      <w:tr w:rsidR="00EB2576" w:rsidRPr="00EB2576" w14:paraId="29562FE6" w14:textId="77777777" w:rsidTr="0026720D">
        <w:tc>
          <w:tcPr>
            <w:cnfStyle w:val="001000000000" w:firstRow="0" w:lastRow="0" w:firstColumn="1" w:lastColumn="0" w:oddVBand="0" w:evenVBand="0" w:oddHBand="0" w:evenHBand="0" w:firstRowFirstColumn="0" w:firstRowLastColumn="0" w:lastRowFirstColumn="0" w:lastRowLastColumn="0"/>
            <w:tcW w:w="3296" w:type="dxa"/>
          </w:tcPr>
          <w:p w14:paraId="7B8138B9" w14:textId="77777777" w:rsidR="007F04F7" w:rsidRPr="00EB2576" w:rsidRDefault="007F04F7" w:rsidP="0026720D">
            <w:pPr>
              <w:spacing w:line="480" w:lineRule="auto"/>
              <w:rPr>
                <w:rFonts w:ascii="Times New Roman" w:hAnsi="Times New Roman" w:cs="Times New Roman"/>
                <w:b w:val="0"/>
                <w:bCs w:val="0"/>
                <w:sz w:val="20"/>
                <w:szCs w:val="20"/>
              </w:rPr>
            </w:pPr>
            <w:r w:rsidRPr="00EB2576">
              <w:rPr>
                <w:rFonts w:ascii="Times New Roman" w:hAnsi="Times New Roman" w:cs="Times New Roman"/>
                <w:sz w:val="20"/>
                <w:szCs w:val="20"/>
              </w:rPr>
              <w:t>Reduced therapeutic drug levels</w:t>
            </w:r>
          </w:p>
        </w:tc>
        <w:tc>
          <w:tcPr>
            <w:tcW w:w="6055" w:type="dxa"/>
          </w:tcPr>
          <w:p w14:paraId="276A0533" w14:textId="7C113984" w:rsidR="007F04F7" w:rsidRPr="00EB2576" w:rsidRDefault="007F04F7" w:rsidP="0026720D">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Below target therapeutic levels (&lt; 3 mg/L)</w:t>
            </w:r>
            <w:r w:rsidRPr="00EB2576">
              <w:rPr>
                <w:rFonts w:ascii="Times New Roman" w:hAnsi="Times New Roman" w:cs="Times New Roman"/>
                <w:sz w:val="20"/>
                <w:szCs w:val="20"/>
              </w:rPr>
              <w:fldChar w:fldCharType="begin" w:fldLock="1"/>
            </w:r>
            <w:r w:rsidR="00A00D49" w:rsidRPr="00EB2576">
              <w:rPr>
                <w:rFonts w:ascii="Times New Roman" w:hAnsi="Times New Roman" w:cs="Times New Roman"/>
                <w:sz w:val="20"/>
                <w:szCs w:val="20"/>
              </w:rPr>
              <w:instrText>ADDIN CSL_CITATION {"citationItems":[{"id":"ITEM-1","itemData":{"DOI":"10.1136/gutjnl-2016-313071","ISSN":"0017-5749","author":[{"dropping-particle":"","family":"Stappen","given":"Thomas","non-dropping-particle":"Van","parse-names":false,"suffix":""},{"dropping-particle":"","family":"Casteele","given":"Niels","non-dropping-particle":"Vande","parse-names":false,"suffix":""},{"dropping-particle":"","family":"Assche","given":"Gert","non-dropping-particle":"Van","parse-names":false,"suffix":""},{"dropping-particle":"","family":"Ferrante","given":"Marc","non-dropping-particle":"","parse-names":false,"suffix":""},{"dropping-particle":"","family":"Vermeire","given":"Séverine","non-dropping-particle":"","parse-names":false,"suffix":""},{"dropping-particle":"","family":"Gils","given":"Ann","non-dropping-particle":"","parse-names":false,"suffix":""}],"container-title":"Gut","id":"ITEM-1","issue":"5","issued":{"date-parts":[["2018","5"]]},"page":"818-826","title":"Clinical relevance of detecting anti-infliximab antibodies with a drug-tolerant assay: post hoc analysis of the TAXIT trial","type":"article-journal","volume":"67"},"uris":["http://www.mendeley.com/documents/?uuid=9ecabd84-b848-448d-b8ca-f726066e7974"]}],"mendeley":{"formattedCitation":"&lt;sup&gt;161&lt;/sup&gt;","plainTextFormattedCitation":"161","previouslyFormattedCitation":"&lt;sup&gt;161&lt;/sup&gt;"},"properties":{"noteIndex":0},"schema":"https://github.com/citation-style-language/schema/raw/master/csl-citation.json"}</w:instrText>
            </w:r>
            <w:r w:rsidRPr="00EB2576">
              <w:rPr>
                <w:rFonts w:ascii="Times New Roman" w:hAnsi="Times New Roman" w:cs="Times New Roman"/>
                <w:sz w:val="20"/>
                <w:szCs w:val="20"/>
              </w:rPr>
              <w:fldChar w:fldCharType="separate"/>
            </w:r>
            <w:r w:rsidR="00C80274" w:rsidRPr="00EB2576">
              <w:rPr>
                <w:rFonts w:ascii="Times New Roman" w:hAnsi="Times New Roman" w:cs="Times New Roman"/>
                <w:noProof/>
                <w:sz w:val="20"/>
                <w:szCs w:val="20"/>
                <w:vertAlign w:val="superscript"/>
              </w:rPr>
              <w:t>161</w:t>
            </w:r>
            <w:r w:rsidRPr="00EB2576">
              <w:rPr>
                <w:rFonts w:ascii="Times New Roman" w:hAnsi="Times New Roman" w:cs="Times New Roman"/>
                <w:sz w:val="20"/>
                <w:szCs w:val="20"/>
              </w:rPr>
              <w:fldChar w:fldCharType="end"/>
            </w:r>
          </w:p>
        </w:tc>
      </w:tr>
      <w:tr w:rsidR="00EB2576" w:rsidRPr="00EB2576" w14:paraId="7C24A345" w14:textId="77777777" w:rsidTr="0026720D">
        <w:tc>
          <w:tcPr>
            <w:cnfStyle w:val="001000000000" w:firstRow="0" w:lastRow="0" w:firstColumn="1" w:lastColumn="0" w:oddVBand="0" w:evenVBand="0" w:oddHBand="0" w:evenHBand="0" w:firstRowFirstColumn="0" w:firstRowLastColumn="0" w:lastRowFirstColumn="0" w:lastRowLastColumn="0"/>
            <w:tcW w:w="3296" w:type="dxa"/>
          </w:tcPr>
          <w:p w14:paraId="6A785123" w14:textId="77777777" w:rsidR="007F04F7" w:rsidRPr="00EB2576" w:rsidRDefault="007F04F7" w:rsidP="0026720D">
            <w:pPr>
              <w:spacing w:line="480" w:lineRule="auto"/>
              <w:rPr>
                <w:rFonts w:ascii="Times New Roman" w:hAnsi="Times New Roman" w:cs="Times New Roman"/>
                <w:b w:val="0"/>
                <w:bCs w:val="0"/>
                <w:sz w:val="20"/>
                <w:szCs w:val="20"/>
              </w:rPr>
            </w:pPr>
            <w:r w:rsidRPr="00EB2576">
              <w:rPr>
                <w:rFonts w:ascii="Times New Roman" w:hAnsi="Times New Roman" w:cs="Times New Roman"/>
                <w:sz w:val="20"/>
                <w:szCs w:val="20"/>
              </w:rPr>
              <w:t>Therapeutic/supratherapeutic drug levels</w:t>
            </w:r>
          </w:p>
        </w:tc>
        <w:tc>
          <w:tcPr>
            <w:tcW w:w="6055" w:type="dxa"/>
          </w:tcPr>
          <w:p w14:paraId="24CD899A" w14:textId="4DEA1C18" w:rsidR="007F04F7" w:rsidRPr="00EB2576" w:rsidRDefault="007F04F7" w:rsidP="0026720D">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Within and above therapeutic levels (≥ 3 mg/L)</w:t>
            </w:r>
            <w:r w:rsidRPr="00EB2576">
              <w:rPr>
                <w:rFonts w:ascii="Times New Roman" w:hAnsi="Times New Roman" w:cs="Times New Roman"/>
                <w:sz w:val="20"/>
                <w:szCs w:val="20"/>
              </w:rPr>
              <w:fldChar w:fldCharType="begin" w:fldLock="1"/>
            </w:r>
            <w:r w:rsidR="00A00D49" w:rsidRPr="00EB2576">
              <w:rPr>
                <w:rFonts w:ascii="Times New Roman" w:hAnsi="Times New Roman" w:cs="Times New Roman"/>
                <w:sz w:val="20"/>
                <w:szCs w:val="20"/>
              </w:rPr>
              <w:instrText>ADDIN CSL_CITATION {"citationItems":[{"id":"ITEM-1","itemData":{"DOI":"10.1136/gutjnl-2016-313071","ISSN":"0017-5749","author":[{"dropping-particle":"","family":"Stappen","given":"Thomas","non-dropping-particle":"Van","parse-names":false,"suffix":""},{"dropping-particle":"","family":"Casteele","given":"Niels","non-dropping-particle":"Vande","parse-names":false,"suffix":""},{"dropping-particle":"","family":"Assche","given":"Gert","non-dropping-particle":"Van","parse-names":false,"suffix":""},{"dropping-particle":"","family":"Ferrante","given":"Marc","non-dropping-particle":"","parse-names":false,"suffix":""},{"dropping-particle":"","family":"Vermeire","given":"Séverine","non-dropping-particle":"","parse-names":false,"suffix":""},{"dropping-particle":"","family":"Gils","given":"Ann","non-dropping-particle":"","parse-names":false,"suffix":""}],"container-title":"Gut","id":"ITEM-1","issue":"5","issued":{"date-parts":[["2018","5"]]},"page":"818-826","title":"Clinical relevance of detecting anti-infliximab antibodies with a drug-tolerant assay: post hoc analysis of the TAXIT trial","type":"article-journal","volume":"67"},"uris":["http://www.mendeley.com/documents/?uuid=9ecabd84-b848-448d-b8ca-f726066e7974"]}],"mendeley":{"formattedCitation":"&lt;sup&gt;161&lt;/sup&gt;","plainTextFormattedCitation":"161","previouslyFormattedCitation":"&lt;sup&gt;161&lt;/sup&gt;"},"properties":{"noteIndex":0},"schema":"https://github.com/citation-style-language/schema/raw/master/csl-citation.json"}</w:instrText>
            </w:r>
            <w:r w:rsidRPr="00EB2576">
              <w:rPr>
                <w:rFonts w:ascii="Times New Roman" w:hAnsi="Times New Roman" w:cs="Times New Roman"/>
                <w:sz w:val="20"/>
                <w:szCs w:val="20"/>
              </w:rPr>
              <w:fldChar w:fldCharType="separate"/>
            </w:r>
            <w:r w:rsidR="00C80274" w:rsidRPr="00EB2576">
              <w:rPr>
                <w:rFonts w:ascii="Times New Roman" w:hAnsi="Times New Roman" w:cs="Times New Roman"/>
                <w:noProof/>
                <w:sz w:val="20"/>
                <w:szCs w:val="20"/>
                <w:vertAlign w:val="superscript"/>
              </w:rPr>
              <w:t>161</w:t>
            </w:r>
            <w:r w:rsidRPr="00EB2576">
              <w:rPr>
                <w:rFonts w:ascii="Times New Roman" w:hAnsi="Times New Roman" w:cs="Times New Roman"/>
                <w:sz w:val="20"/>
                <w:szCs w:val="20"/>
              </w:rPr>
              <w:fldChar w:fldCharType="end"/>
            </w:r>
          </w:p>
        </w:tc>
      </w:tr>
      <w:tr w:rsidR="00EB2576" w:rsidRPr="00EB2576" w14:paraId="6611684D" w14:textId="77777777" w:rsidTr="0026720D">
        <w:tc>
          <w:tcPr>
            <w:cnfStyle w:val="001000000000" w:firstRow="0" w:lastRow="0" w:firstColumn="1" w:lastColumn="0" w:oddVBand="0" w:evenVBand="0" w:oddHBand="0" w:evenHBand="0" w:firstRowFirstColumn="0" w:firstRowLastColumn="0" w:lastRowFirstColumn="0" w:lastRowLastColumn="0"/>
            <w:tcW w:w="3296" w:type="dxa"/>
          </w:tcPr>
          <w:p w14:paraId="24989577" w14:textId="77777777" w:rsidR="007F04F7" w:rsidRPr="00EB2576" w:rsidRDefault="007F04F7" w:rsidP="0026720D">
            <w:pPr>
              <w:spacing w:line="480" w:lineRule="auto"/>
              <w:rPr>
                <w:rFonts w:ascii="Times New Roman" w:hAnsi="Times New Roman" w:cs="Times New Roman"/>
                <w:b w:val="0"/>
                <w:bCs w:val="0"/>
                <w:sz w:val="20"/>
                <w:szCs w:val="20"/>
              </w:rPr>
            </w:pPr>
            <w:r w:rsidRPr="00EB2576">
              <w:rPr>
                <w:rFonts w:ascii="Times New Roman" w:hAnsi="Times New Roman" w:cs="Times New Roman"/>
                <w:sz w:val="20"/>
                <w:szCs w:val="20"/>
              </w:rPr>
              <w:t>Loss of response</w:t>
            </w:r>
          </w:p>
          <w:p w14:paraId="0CAAB267" w14:textId="77777777" w:rsidR="007F04F7" w:rsidRPr="00EB2576" w:rsidRDefault="007F04F7" w:rsidP="0026720D">
            <w:pPr>
              <w:spacing w:line="480" w:lineRule="auto"/>
              <w:rPr>
                <w:rFonts w:ascii="Times New Roman" w:hAnsi="Times New Roman" w:cs="Times New Roman"/>
                <w:b w:val="0"/>
                <w:bCs w:val="0"/>
                <w:sz w:val="20"/>
                <w:szCs w:val="20"/>
              </w:rPr>
            </w:pPr>
          </w:p>
        </w:tc>
        <w:tc>
          <w:tcPr>
            <w:tcW w:w="6055" w:type="dxa"/>
          </w:tcPr>
          <w:p w14:paraId="0B8AC76D" w14:textId="77777777" w:rsidR="007F04F7" w:rsidRPr="00EB2576" w:rsidRDefault="007F04F7" w:rsidP="0026720D">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Previous clinical response, but now loss of response with consideration of change in medication (including reduction in dose interval or increase in infliximab dose)</w:t>
            </w:r>
          </w:p>
        </w:tc>
      </w:tr>
      <w:tr w:rsidR="00EB2576" w:rsidRPr="00EB2576" w14:paraId="3ED0BCD7" w14:textId="77777777" w:rsidTr="0026720D">
        <w:tc>
          <w:tcPr>
            <w:cnfStyle w:val="001000000000" w:firstRow="0" w:lastRow="0" w:firstColumn="1" w:lastColumn="0" w:oddVBand="0" w:evenVBand="0" w:oddHBand="0" w:evenHBand="0" w:firstRowFirstColumn="0" w:firstRowLastColumn="0" w:lastRowFirstColumn="0" w:lastRowLastColumn="0"/>
            <w:tcW w:w="3296" w:type="dxa"/>
          </w:tcPr>
          <w:p w14:paraId="44DB4BA8" w14:textId="77777777" w:rsidR="007F04F7" w:rsidRPr="00EB2576" w:rsidRDefault="007F04F7" w:rsidP="0026720D">
            <w:pPr>
              <w:spacing w:line="480" w:lineRule="auto"/>
              <w:rPr>
                <w:rFonts w:ascii="Times New Roman" w:hAnsi="Times New Roman" w:cs="Times New Roman"/>
                <w:b w:val="0"/>
                <w:bCs w:val="0"/>
                <w:sz w:val="20"/>
                <w:szCs w:val="20"/>
              </w:rPr>
            </w:pPr>
            <w:r w:rsidRPr="00EB2576">
              <w:rPr>
                <w:rFonts w:ascii="Times New Roman" w:hAnsi="Times New Roman" w:cs="Times New Roman"/>
                <w:sz w:val="20"/>
                <w:szCs w:val="20"/>
              </w:rPr>
              <w:t xml:space="preserve">Adverse reaction </w:t>
            </w:r>
          </w:p>
        </w:tc>
        <w:tc>
          <w:tcPr>
            <w:tcW w:w="6055" w:type="dxa"/>
          </w:tcPr>
          <w:p w14:paraId="2BF24546" w14:textId="77777777" w:rsidR="007F04F7" w:rsidRPr="00EB2576" w:rsidRDefault="007F04F7" w:rsidP="0026720D">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bookmarkStart w:id="236" w:name="_Hlk87601948"/>
            <w:r w:rsidRPr="00EB2576">
              <w:rPr>
                <w:rFonts w:ascii="Times New Roman" w:hAnsi="Times New Roman" w:cs="Times New Roman"/>
                <w:sz w:val="20"/>
                <w:szCs w:val="20"/>
              </w:rPr>
              <w:t>Immediate: during or within 1 hour of completing infusion requiring slowing or cessation of infusion e.g. rash, wheezing, anaphylaxis.</w:t>
            </w:r>
          </w:p>
          <w:p w14:paraId="08584EB9" w14:textId="77777777" w:rsidR="007F04F7" w:rsidRPr="00EB2576" w:rsidRDefault="007F04F7" w:rsidP="0026720D">
            <w:pPr>
              <w:keepNext/>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Reported serum sickness type reaction e.g. arthralgia, jaw pain, fever.</w:t>
            </w:r>
            <w:bookmarkEnd w:id="236"/>
          </w:p>
        </w:tc>
      </w:tr>
    </w:tbl>
    <w:p w14:paraId="45F97DF5" w14:textId="77777777" w:rsidR="00CC0321" w:rsidRPr="00EB2576" w:rsidRDefault="00CC0321" w:rsidP="008A3D18">
      <w:pPr>
        <w:autoSpaceDE w:val="0"/>
        <w:autoSpaceDN w:val="0"/>
        <w:adjustRightInd w:val="0"/>
        <w:spacing w:after="0" w:line="480" w:lineRule="auto"/>
        <w:jc w:val="left"/>
        <w:rPr>
          <w:rFonts w:ascii="Times New Roman" w:hAnsi="Times New Roman" w:cs="Times New Roman"/>
          <w:sz w:val="24"/>
          <w:szCs w:val="24"/>
        </w:rPr>
      </w:pPr>
    </w:p>
    <w:p w14:paraId="40E79D75" w14:textId="3FDCFC17" w:rsidR="008D1AB4" w:rsidRPr="00EB2576" w:rsidRDefault="00F044ED" w:rsidP="00A433A1">
      <w:pPr>
        <w:spacing w:line="240" w:lineRule="auto"/>
        <w:rPr>
          <w:rFonts w:ascii="Times New Roman" w:hAnsi="Times New Roman" w:cs="Times New Roman"/>
          <w:b/>
          <w:bCs/>
          <w:sz w:val="24"/>
          <w:szCs w:val="24"/>
        </w:rPr>
      </w:pPr>
      <w:bookmarkStart w:id="237" w:name="_Toc139306964"/>
      <w:r w:rsidRPr="00EB2576">
        <w:rPr>
          <w:rFonts w:ascii="Times New Roman" w:hAnsi="Times New Roman" w:cs="Times New Roman"/>
          <w:b/>
          <w:bCs/>
          <w:sz w:val="24"/>
          <w:szCs w:val="24"/>
        </w:rPr>
        <w:t xml:space="preserve">Table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Table \* ARABIC </w:instrText>
      </w:r>
      <w:r w:rsidRPr="00EB2576">
        <w:rPr>
          <w:rFonts w:ascii="Times New Roman" w:hAnsi="Times New Roman" w:cs="Times New Roman"/>
          <w:b/>
          <w:bCs/>
          <w:sz w:val="24"/>
          <w:szCs w:val="24"/>
        </w:rPr>
        <w:fldChar w:fldCharType="separate"/>
      </w:r>
      <w:r w:rsidRPr="00EB2576">
        <w:rPr>
          <w:rFonts w:ascii="Times New Roman" w:hAnsi="Times New Roman" w:cs="Times New Roman"/>
          <w:b/>
          <w:bCs/>
          <w:noProof/>
          <w:sz w:val="24"/>
          <w:szCs w:val="24"/>
        </w:rPr>
        <w:t>11</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Definition of the clinical phenotypes of patients’ sera used for selection of B cell epitopes.</w:t>
      </w:r>
      <w:bookmarkEnd w:id="237"/>
    </w:p>
    <w:p w14:paraId="257B6E6E" w14:textId="21D57FED" w:rsidR="008A3D18" w:rsidRPr="00EB2576" w:rsidRDefault="00A24E29" w:rsidP="007559A0">
      <w:pPr>
        <w:pStyle w:val="Heading3"/>
        <w:spacing w:line="480" w:lineRule="auto"/>
        <w:rPr>
          <w:rFonts w:ascii="Times New Roman" w:hAnsi="Times New Roman" w:cs="Times New Roman"/>
          <w:b/>
          <w:bCs/>
        </w:rPr>
      </w:pPr>
      <w:bookmarkStart w:id="238" w:name="_Toc151020524"/>
      <w:r w:rsidRPr="00EB2576">
        <w:rPr>
          <w:rFonts w:ascii="Times New Roman" w:hAnsi="Times New Roman" w:cs="Times New Roman"/>
          <w:b/>
          <w:bCs/>
        </w:rPr>
        <w:lastRenderedPageBreak/>
        <w:t>5</w:t>
      </w:r>
      <w:r w:rsidR="008A3D18" w:rsidRPr="00EB2576">
        <w:rPr>
          <w:rFonts w:ascii="Times New Roman" w:hAnsi="Times New Roman" w:cs="Times New Roman"/>
          <w:b/>
          <w:bCs/>
        </w:rPr>
        <w:t>.2.2 Clinical assessment</w:t>
      </w:r>
      <w:bookmarkEnd w:id="238"/>
    </w:p>
    <w:p w14:paraId="21D1BEFE" w14:textId="18E33526" w:rsidR="008A3D18" w:rsidRPr="00EB2576" w:rsidRDefault="00C95B67" w:rsidP="008A3D18">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This is discussed in </w:t>
      </w:r>
      <w:r w:rsidR="00A24E29" w:rsidRPr="00EB2576">
        <w:rPr>
          <w:rFonts w:ascii="Times New Roman" w:hAnsi="Times New Roman" w:cs="Times New Roman"/>
          <w:sz w:val="24"/>
          <w:szCs w:val="24"/>
        </w:rPr>
        <w:t>2</w:t>
      </w:r>
      <w:r w:rsidR="001A2B8C" w:rsidRPr="00EB2576">
        <w:rPr>
          <w:rFonts w:ascii="Times New Roman" w:hAnsi="Times New Roman" w:cs="Times New Roman"/>
          <w:sz w:val="24"/>
          <w:szCs w:val="24"/>
        </w:rPr>
        <w:t>.2.2.</w:t>
      </w:r>
    </w:p>
    <w:p w14:paraId="1FFB19D4" w14:textId="77777777" w:rsidR="00C95B67" w:rsidRPr="00EB2576" w:rsidRDefault="00C95B67" w:rsidP="008A3D18">
      <w:pPr>
        <w:spacing w:line="480" w:lineRule="auto"/>
        <w:rPr>
          <w:rFonts w:ascii="Times New Roman" w:hAnsi="Times New Roman" w:cs="Times New Roman"/>
          <w:sz w:val="24"/>
          <w:szCs w:val="24"/>
        </w:rPr>
      </w:pPr>
    </w:p>
    <w:p w14:paraId="0698E4BA" w14:textId="7E26D008" w:rsidR="008A3D18" w:rsidRPr="00EB2576" w:rsidRDefault="002A294A" w:rsidP="007559A0">
      <w:pPr>
        <w:pStyle w:val="Heading3"/>
        <w:spacing w:line="480" w:lineRule="auto"/>
        <w:rPr>
          <w:rFonts w:ascii="Times New Roman" w:hAnsi="Times New Roman" w:cs="Times New Roman"/>
          <w:b/>
          <w:bCs/>
        </w:rPr>
      </w:pPr>
      <w:bookmarkStart w:id="239" w:name="_Toc151020525"/>
      <w:r w:rsidRPr="00EB2576">
        <w:rPr>
          <w:rFonts w:ascii="Times New Roman" w:hAnsi="Times New Roman" w:cs="Times New Roman"/>
          <w:b/>
          <w:bCs/>
        </w:rPr>
        <w:t>5</w:t>
      </w:r>
      <w:r w:rsidR="008A3D18" w:rsidRPr="00EB2576">
        <w:rPr>
          <w:rFonts w:ascii="Times New Roman" w:hAnsi="Times New Roman" w:cs="Times New Roman"/>
          <w:b/>
          <w:bCs/>
        </w:rPr>
        <w:t>.2.3 TDM</w:t>
      </w:r>
      <w:bookmarkEnd w:id="239"/>
    </w:p>
    <w:p w14:paraId="4370F303" w14:textId="6E92BDD1" w:rsidR="0088309C" w:rsidRPr="00EB2576" w:rsidRDefault="0088309C" w:rsidP="008A3D18">
      <w:pPr>
        <w:autoSpaceDE w:val="0"/>
        <w:autoSpaceDN w:val="0"/>
        <w:adjustRightInd w:val="0"/>
        <w:spacing w:after="0" w:line="480" w:lineRule="auto"/>
        <w:rPr>
          <w:rFonts w:ascii="Times New Roman" w:hAnsi="Times New Roman" w:cs="Times New Roman"/>
          <w:bCs/>
          <w:iCs/>
          <w:sz w:val="24"/>
          <w:szCs w:val="24"/>
        </w:rPr>
      </w:pPr>
      <w:r w:rsidRPr="00EB2576">
        <w:rPr>
          <w:rFonts w:ascii="Times New Roman" w:hAnsi="Times New Roman" w:cs="Times New Roman"/>
          <w:bCs/>
          <w:iCs/>
          <w:sz w:val="24"/>
          <w:szCs w:val="24"/>
        </w:rPr>
        <w:t xml:space="preserve">This is discussed in </w:t>
      </w:r>
      <w:r w:rsidR="002A294A" w:rsidRPr="00EB2576">
        <w:rPr>
          <w:rFonts w:ascii="Times New Roman" w:hAnsi="Times New Roman" w:cs="Times New Roman"/>
          <w:bCs/>
          <w:iCs/>
          <w:sz w:val="24"/>
          <w:szCs w:val="24"/>
        </w:rPr>
        <w:t>2</w:t>
      </w:r>
      <w:r w:rsidR="001A2B8C" w:rsidRPr="00EB2576">
        <w:rPr>
          <w:rFonts w:ascii="Times New Roman" w:hAnsi="Times New Roman" w:cs="Times New Roman"/>
          <w:bCs/>
          <w:iCs/>
          <w:sz w:val="24"/>
          <w:szCs w:val="24"/>
        </w:rPr>
        <w:t>.2.3.</w:t>
      </w:r>
    </w:p>
    <w:p w14:paraId="49E536B2" w14:textId="77777777" w:rsidR="0088309C" w:rsidRPr="00EB2576" w:rsidRDefault="0088309C" w:rsidP="00FA6AB6">
      <w:pPr>
        <w:pStyle w:val="Heading2"/>
        <w:spacing w:line="480" w:lineRule="auto"/>
        <w:rPr>
          <w:rFonts w:ascii="Times New Roman" w:hAnsi="Times New Roman" w:cs="Times New Roman"/>
          <w:sz w:val="24"/>
          <w:szCs w:val="24"/>
        </w:rPr>
      </w:pPr>
    </w:p>
    <w:p w14:paraId="211D4F82" w14:textId="34FAB6A2" w:rsidR="007E6CB3" w:rsidRPr="00EB2576" w:rsidRDefault="002A294A" w:rsidP="007559A0">
      <w:pPr>
        <w:pStyle w:val="Heading3"/>
        <w:spacing w:line="480" w:lineRule="auto"/>
        <w:rPr>
          <w:rFonts w:ascii="Times New Roman" w:hAnsi="Times New Roman" w:cs="Times New Roman"/>
          <w:b/>
          <w:bCs/>
        </w:rPr>
      </w:pPr>
      <w:bookmarkStart w:id="240" w:name="_Toc151020526"/>
      <w:r w:rsidRPr="00EB2576">
        <w:rPr>
          <w:rFonts w:ascii="Times New Roman" w:hAnsi="Times New Roman" w:cs="Times New Roman"/>
          <w:b/>
          <w:bCs/>
        </w:rPr>
        <w:t>5</w:t>
      </w:r>
      <w:r w:rsidR="008A3D18" w:rsidRPr="00EB2576">
        <w:rPr>
          <w:rFonts w:ascii="Times New Roman" w:hAnsi="Times New Roman" w:cs="Times New Roman"/>
          <w:b/>
          <w:bCs/>
        </w:rPr>
        <w:t xml:space="preserve">.2.4 </w:t>
      </w:r>
      <w:r w:rsidR="00A7095D" w:rsidRPr="00EB2576">
        <w:rPr>
          <w:rFonts w:ascii="Times New Roman" w:hAnsi="Times New Roman" w:cs="Times New Roman"/>
          <w:b/>
          <w:bCs/>
        </w:rPr>
        <w:t xml:space="preserve">Blood </w:t>
      </w:r>
      <w:r w:rsidR="00FA6AB6" w:rsidRPr="00EB2576">
        <w:rPr>
          <w:rFonts w:ascii="Times New Roman" w:hAnsi="Times New Roman" w:cs="Times New Roman"/>
          <w:b/>
          <w:bCs/>
        </w:rPr>
        <w:t>samples</w:t>
      </w:r>
      <w:r w:rsidR="00A7095D" w:rsidRPr="00EB2576">
        <w:rPr>
          <w:rFonts w:ascii="Times New Roman" w:hAnsi="Times New Roman" w:cs="Times New Roman"/>
          <w:b/>
          <w:bCs/>
        </w:rPr>
        <w:t xml:space="preserve"> for epitope mapping</w:t>
      </w:r>
      <w:bookmarkEnd w:id="240"/>
    </w:p>
    <w:p w14:paraId="107951C8" w14:textId="3CFED0F7" w:rsidR="00FA6AB6" w:rsidRPr="00EB2576" w:rsidRDefault="001E000F" w:rsidP="007559A0">
      <w:pPr>
        <w:autoSpaceDE w:val="0"/>
        <w:autoSpaceDN w:val="0"/>
        <w:adjustRightInd w:val="0"/>
        <w:spacing w:after="0" w:line="480" w:lineRule="auto"/>
        <w:rPr>
          <w:rFonts w:ascii="Times New Roman" w:hAnsi="Times New Roman" w:cs="Times New Roman"/>
          <w:bCs/>
          <w:iCs/>
          <w:sz w:val="24"/>
          <w:szCs w:val="24"/>
        </w:rPr>
      </w:pPr>
      <w:r w:rsidRPr="00EB2576">
        <w:rPr>
          <w:rFonts w:ascii="Times New Roman" w:hAnsi="Times New Roman" w:cs="Times New Roman"/>
          <w:sz w:val="24"/>
          <w:szCs w:val="24"/>
        </w:rPr>
        <w:t xml:space="preserve">After </w:t>
      </w:r>
      <w:r w:rsidR="009436E9" w:rsidRPr="00EB2576">
        <w:rPr>
          <w:rFonts w:ascii="Times New Roman" w:hAnsi="Times New Roman" w:cs="Times New Roman"/>
          <w:sz w:val="24"/>
          <w:szCs w:val="24"/>
        </w:rPr>
        <w:t>informed consent</w:t>
      </w:r>
      <w:r w:rsidRPr="00EB2576">
        <w:rPr>
          <w:rFonts w:ascii="Times New Roman" w:hAnsi="Times New Roman" w:cs="Times New Roman"/>
          <w:sz w:val="24"/>
          <w:szCs w:val="24"/>
        </w:rPr>
        <w:t xml:space="preserve">, </w:t>
      </w:r>
      <w:r w:rsidR="00B4062B" w:rsidRPr="00EB2576">
        <w:rPr>
          <w:rFonts w:ascii="Times New Roman" w:hAnsi="Times New Roman" w:cs="Times New Roman"/>
          <w:sz w:val="24"/>
          <w:szCs w:val="24"/>
        </w:rPr>
        <w:t>at</w:t>
      </w:r>
      <w:r w:rsidR="009436E9" w:rsidRPr="00EB2576">
        <w:rPr>
          <w:rFonts w:ascii="Times New Roman" w:hAnsi="Times New Roman" w:cs="Times New Roman"/>
          <w:sz w:val="24"/>
          <w:szCs w:val="24"/>
        </w:rPr>
        <w:t xml:space="preserve"> </w:t>
      </w:r>
      <w:r w:rsidR="00B4062B" w:rsidRPr="00EB2576">
        <w:rPr>
          <w:rFonts w:ascii="Times New Roman" w:hAnsi="Times New Roman" w:cs="Times New Roman"/>
          <w:sz w:val="24"/>
          <w:szCs w:val="24"/>
        </w:rPr>
        <w:t>least 1 mL of whole blood was collected from patients</w:t>
      </w:r>
      <w:r w:rsidRPr="00EB2576">
        <w:rPr>
          <w:rFonts w:ascii="Times New Roman" w:hAnsi="Times New Roman" w:cs="Times New Roman"/>
          <w:sz w:val="24"/>
          <w:szCs w:val="24"/>
        </w:rPr>
        <w:t xml:space="preserve"> prior to </w:t>
      </w:r>
      <w:r w:rsidR="009436E9" w:rsidRPr="00EB2576">
        <w:rPr>
          <w:rFonts w:ascii="Times New Roman" w:hAnsi="Times New Roman" w:cs="Times New Roman"/>
          <w:sz w:val="24"/>
          <w:szCs w:val="24"/>
        </w:rPr>
        <w:t xml:space="preserve">their </w:t>
      </w:r>
      <w:r w:rsidRPr="00EB2576">
        <w:rPr>
          <w:rFonts w:ascii="Times New Roman" w:hAnsi="Times New Roman" w:cs="Times New Roman"/>
          <w:sz w:val="24"/>
          <w:szCs w:val="24"/>
        </w:rPr>
        <w:t>infliximab infusion</w:t>
      </w:r>
      <w:r w:rsidR="001A2B8C" w:rsidRPr="00EB2576">
        <w:rPr>
          <w:rFonts w:ascii="Times New Roman" w:hAnsi="Times New Roman" w:cs="Times New Roman"/>
          <w:sz w:val="24"/>
          <w:szCs w:val="24"/>
        </w:rPr>
        <w:t>.</w:t>
      </w:r>
      <w:r w:rsidR="001A2B8C" w:rsidRPr="00EB2576">
        <w:rPr>
          <w:rFonts w:ascii="Times New Roman" w:hAnsi="Times New Roman" w:cs="Times New Roman"/>
          <w:bCs/>
          <w:iCs/>
          <w:sz w:val="24"/>
          <w:szCs w:val="24"/>
        </w:rPr>
        <w:t xml:space="preserve"> Serum was separated following centrifugation</w:t>
      </w:r>
      <w:r w:rsidR="00F5327B" w:rsidRPr="00EB2576">
        <w:rPr>
          <w:rFonts w:ascii="Times New Roman" w:hAnsi="Times New Roman" w:cs="Times New Roman"/>
          <w:bCs/>
          <w:iCs/>
          <w:sz w:val="24"/>
          <w:szCs w:val="24"/>
        </w:rPr>
        <w:t xml:space="preserve">. </w:t>
      </w:r>
      <w:r w:rsidR="005D422D" w:rsidRPr="00EB2576">
        <w:rPr>
          <w:rFonts w:ascii="Times New Roman" w:hAnsi="Times New Roman" w:cs="Times New Roman"/>
          <w:bCs/>
          <w:iCs/>
          <w:sz w:val="24"/>
          <w:szCs w:val="24"/>
        </w:rPr>
        <w:t xml:space="preserve">35 µL </w:t>
      </w:r>
      <w:r w:rsidR="00F91692" w:rsidRPr="00EB2576">
        <w:rPr>
          <w:rFonts w:ascii="Times New Roman" w:hAnsi="Times New Roman" w:cs="Times New Roman"/>
          <w:bCs/>
          <w:iCs/>
          <w:sz w:val="24"/>
          <w:szCs w:val="24"/>
        </w:rPr>
        <w:t xml:space="preserve">of the serum was used </w:t>
      </w:r>
      <w:r w:rsidR="005D422D" w:rsidRPr="00EB2576">
        <w:rPr>
          <w:rFonts w:ascii="Times New Roman" w:hAnsi="Times New Roman" w:cs="Times New Roman"/>
          <w:bCs/>
          <w:iCs/>
          <w:sz w:val="24"/>
          <w:szCs w:val="24"/>
        </w:rPr>
        <w:t>for TDM</w:t>
      </w:r>
      <w:r w:rsidR="00F91692" w:rsidRPr="00EB2576">
        <w:rPr>
          <w:rFonts w:ascii="Times New Roman" w:hAnsi="Times New Roman" w:cs="Times New Roman"/>
          <w:bCs/>
          <w:iCs/>
          <w:sz w:val="24"/>
          <w:szCs w:val="24"/>
        </w:rPr>
        <w:t xml:space="preserve"> and t</w:t>
      </w:r>
      <w:r w:rsidR="005D422D" w:rsidRPr="00EB2576">
        <w:rPr>
          <w:rFonts w:ascii="Times New Roman" w:hAnsi="Times New Roman" w:cs="Times New Roman"/>
          <w:bCs/>
          <w:iCs/>
          <w:sz w:val="24"/>
          <w:szCs w:val="24"/>
        </w:rPr>
        <w:t xml:space="preserve">he remaining sample was stored for </w:t>
      </w:r>
      <w:r w:rsidR="002867EC" w:rsidRPr="00EB2576">
        <w:rPr>
          <w:rFonts w:ascii="Times New Roman" w:hAnsi="Times New Roman" w:cs="Times New Roman"/>
          <w:bCs/>
          <w:iCs/>
          <w:sz w:val="24"/>
          <w:szCs w:val="24"/>
        </w:rPr>
        <w:t>epitope mapping</w:t>
      </w:r>
      <w:r w:rsidR="00F91692" w:rsidRPr="00EB2576">
        <w:rPr>
          <w:rFonts w:ascii="Times New Roman" w:hAnsi="Times New Roman" w:cs="Times New Roman"/>
          <w:bCs/>
          <w:iCs/>
          <w:sz w:val="24"/>
          <w:szCs w:val="24"/>
        </w:rPr>
        <w:t xml:space="preserve"> at 20-40°c.</w:t>
      </w:r>
    </w:p>
    <w:p w14:paraId="28A5158C" w14:textId="77777777" w:rsidR="00A433A1" w:rsidRPr="00EB2576" w:rsidRDefault="00A433A1" w:rsidP="007559A0">
      <w:pPr>
        <w:autoSpaceDE w:val="0"/>
        <w:autoSpaceDN w:val="0"/>
        <w:adjustRightInd w:val="0"/>
        <w:spacing w:after="0" w:line="480" w:lineRule="auto"/>
        <w:rPr>
          <w:rFonts w:ascii="Times New Roman" w:hAnsi="Times New Roman" w:cs="Times New Roman"/>
          <w:bCs/>
          <w:iCs/>
          <w:sz w:val="24"/>
          <w:szCs w:val="24"/>
        </w:rPr>
      </w:pPr>
    </w:p>
    <w:p w14:paraId="51701758" w14:textId="7638F6DB" w:rsidR="00FA6AB6" w:rsidRPr="00EB2576" w:rsidRDefault="002A294A" w:rsidP="00FA6AB6">
      <w:pPr>
        <w:pStyle w:val="Heading3"/>
        <w:spacing w:line="480" w:lineRule="auto"/>
        <w:rPr>
          <w:rFonts w:ascii="Times New Roman" w:hAnsi="Times New Roman" w:cs="Times New Roman"/>
          <w:b/>
          <w:bCs/>
        </w:rPr>
      </w:pPr>
      <w:bookmarkStart w:id="241" w:name="_Toc151020527"/>
      <w:r w:rsidRPr="00EB2576">
        <w:rPr>
          <w:rFonts w:ascii="Times New Roman" w:hAnsi="Times New Roman" w:cs="Times New Roman"/>
          <w:b/>
          <w:bCs/>
        </w:rPr>
        <w:t>5</w:t>
      </w:r>
      <w:r w:rsidR="00FA6AB6" w:rsidRPr="00EB2576">
        <w:rPr>
          <w:rFonts w:ascii="Times New Roman" w:hAnsi="Times New Roman" w:cs="Times New Roman"/>
          <w:b/>
          <w:bCs/>
        </w:rPr>
        <w:t>.2.5 Study cohort</w:t>
      </w:r>
      <w:bookmarkEnd w:id="241"/>
      <w:r w:rsidR="00FA6AB6" w:rsidRPr="00EB2576">
        <w:rPr>
          <w:rFonts w:ascii="Times New Roman" w:hAnsi="Times New Roman" w:cs="Times New Roman"/>
          <w:b/>
          <w:bCs/>
        </w:rPr>
        <w:t xml:space="preserve"> </w:t>
      </w:r>
    </w:p>
    <w:p w14:paraId="2B21B6B7" w14:textId="3F74074F" w:rsidR="003978AB" w:rsidRPr="00EB2576" w:rsidRDefault="00FA6AB6" w:rsidP="00036AE8">
      <w:pPr>
        <w:tabs>
          <w:tab w:val="left" w:pos="567"/>
          <w:tab w:val="left" w:pos="3544"/>
          <w:tab w:val="left" w:pos="3686"/>
        </w:tabs>
        <w:spacing w:line="480" w:lineRule="auto"/>
        <w:rPr>
          <w:rFonts w:ascii="Times New Roman" w:hAnsi="Times New Roman" w:cs="Times New Roman"/>
          <w:sz w:val="24"/>
          <w:szCs w:val="24"/>
        </w:rPr>
      </w:pPr>
      <w:bookmarkStart w:id="242" w:name="_Hlk88588281"/>
      <w:r w:rsidRPr="00EB2576">
        <w:rPr>
          <w:rFonts w:ascii="Times New Roman" w:hAnsi="Times New Roman" w:cs="Times New Roman"/>
          <w:sz w:val="24"/>
          <w:szCs w:val="24"/>
        </w:rPr>
        <w:t xml:space="preserve">Sera from </w:t>
      </w:r>
      <w:r w:rsidR="007559A0" w:rsidRPr="00EB2576">
        <w:rPr>
          <w:rFonts w:ascii="Times New Roman" w:hAnsi="Times New Roman" w:cs="Times New Roman"/>
          <w:sz w:val="24"/>
          <w:szCs w:val="24"/>
        </w:rPr>
        <w:t>eight</w:t>
      </w:r>
      <w:r w:rsidRPr="00EB2576">
        <w:rPr>
          <w:rFonts w:ascii="Times New Roman" w:hAnsi="Times New Roman" w:cs="Times New Roman"/>
          <w:sz w:val="24"/>
          <w:szCs w:val="24"/>
        </w:rPr>
        <w:t xml:space="preserve"> antibody positive IBD patients with different clinical outcomes were pooled for selection. The clinical details of the 8 patients are shown in Table </w:t>
      </w:r>
      <w:r w:rsidR="00B1773D" w:rsidRPr="00EB2576">
        <w:rPr>
          <w:rFonts w:ascii="Times New Roman" w:hAnsi="Times New Roman" w:cs="Times New Roman"/>
          <w:sz w:val="24"/>
          <w:szCs w:val="24"/>
        </w:rPr>
        <w:t>12</w:t>
      </w:r>
      <w:r w:rsidRPr="00EB2576">
        <w:rPr>
          <w:rFonts w:ascii="Times New Roman" w:hAnsi="Times New Roman" w:cs="Times New Roman"/>
          <w:sz w:val="24"/>
          <w:szCs w:val="24"/>
        </w:rPr>
        <w:t xml:space="preserve">. Sera was chosen from patients with different clinical outcomes as the aim was to identify epitopes associated with different clinical outcomes in IBD patients. </w:t>
      </w:r>
      <w:bookmarkEnd w:id="242"/>
    </w:p>
    <w:p w14:paraId="50C31736" w14:textId="77777777" w:rsidR="00B5225A" w:rsidRPr="00EB2576" w:rsidRDefault="00B5225A" w:rsidP="00036AE8">
      <w:pPr>
        <w:tabs>
          <w:tab w:val="left" w:pos="567"/>
          <w:tab w:val="left" w:pos="3544"/>
          <w:tab w:val="left" w:pos="3686"/>
        </w:tabs>
        <w:spacing w:line="480" w:lineRule="auto"/>
        <w:rPr>
          <w:rFonts w:ascii="Times New Roman" w:hAnsi="Times New Roman" w:cs="Times New Roman"/>
          <w:sz w:val="24"/>
          <w:szCs w:val="24"/>
        </w:rPr>
      </w:pPr>
    </w:p>
    <w:p w14:paraId="277CD81E" w14:textId="77777777" w:rsidR="00B5225A" w:rsidRPr="00EB2576" w:rsidRDefault="00B5225A" w:rsidP="00036AE8">
      <w:pPr>
        <w:tabs>
          <w:tab w:val="left" w:pos="567"/>
          <w:tab w:val="left" w:pos="3544"/>
          <w:tab w:val="left" w:pos="3686"/>
        </w:tabs>
        <w:spacing w:line="480" w:lineRule="auto"/>
        <w:rPr>
          <w:rFonts w:ascii="Times New Roman" w:hAnsi="Times New Roman" w:cs="Times New Roman"/>
          <w:sz w:val="24"/>
          <w:szCs w:val="24"/>
        </w:rPr>
      </w:pPr>
    </w:p>
    <w:p w14:paraId="3E599D98" w14:textId="77777777" w:rsidR="00B5225A" w:rsidRPr="00EB2576" w:rsidRDefault="00B5225A" w:rsidP="00036AE8">
      <w:pPr>
        <w:tabs>
          <w:tab w:val="left" w:pos="567"/>
          <w:tab w:val="left" w:pos="3544"/>
          <w:tab w:val="left" w:pos="3686"/>
        </w:tabs>
        <w:spacing w:line="480" w:lineRule="auto"/>
        <w:rPr>
          <w:rFonts w:ascii="Times New Roman" w:hAnsi="Times New Roman" w:cs="Times New Roman"/>
          <w:sz w:val="24"/>
          <w:szCs w:val="24"/>
        </w:rPr>
      </w:pPr>
    </w:p>
    <w:p w14:paraId="00DB6996" w14:textId="77777777" w:rsidR="00B5225A" w:rsidRPr="00EB2576" w:rsidRDefault="00B5225A" w:rsidP="00036AE8">
      <w:pPr>
        <w:tabs>
          <w:tab w:val="left" w:pos="567"/>
          <w:tab w:val="left" w:pos="3544"/>
          <w:tab w:val="left" w:pos="3686"/>
        </w:tabs>
        <w:spacing w:line="480" w:lineRule="auto"/>
        <w:rPr>
          <w:rFonts w:ascii="Times New Roman" w:hAnsi="Times New Roman" w:cs="Times New Roman"/>
          <w:sz w:val="24"/>
          <w:szCs w:val="24"/>
        </w:rPr>
      </w:pPr>
    </w:p>
    <w:p w14:paraId="79EC5E4E" w14:textId="77777777" w:rsidR="00B5225A" w:rsidRPr="00EB2576" w:rsidRDefault="00B5225A" w:rsidP="00036AE8">
      <w:pPr>
        <w:tabs>
          <w:tab w:val="left" w:pos="567"/>
          <w:tab w:val="left" w:pos="3544"/>
          <w:tab w:val="left" w:pos="3686"/>
        </w:tabs>
        <w:spacing w:line="480" w:lineRule="auto"/>
        <w:rPr>
          <w:rFonts w:ascii="Times New Roman" w:hAnsi="Times New Roman" w:cs="Times New Roman"/>
          <w:sz w:val="24"/>
          <w:szCs w:val="24"/>
        </w:rPr>
      </w:pPr>
    </w:p>
    <w:p w14:paraId="2C13D782" w14:textId="77777777" w:rsidR="006E412C" w:rsidRPr="00EB2576" w:rsidRDefault="006E412C" w:rsidP="00036AE8">
      <w:pPr>
        <w:tabs>
          <w:tab w:val="left" w:pos="567"/>
          <w:tab w:val="left" w:pos="3544"/>
          <w:tab w:val="left" w:pos="3686"/>
        </w:tabs>
        <w:spacing w:line="480" w:lineRule="auto"/>
        <w:rPr>
          <w:rFonts w:ascii="Times New Roman" w:hAnsi="Times New Roman" w:cs="Times New Roman"/>
          <w:sz w:val="24"/>
          <w:szCs w:val="24"/>
        </w:rPr>
      </w:pPr>
    </w:p>
    <w:tbl>
      <w:tblPr>
        <w:tblStyle w:val="GridTable1Light-Accent1"/>
        <w:tblpPr w:leftFromText="180" w:rightFromText="180" w:vertAnchor="text" w:horzAnchor="margin" w:tblpY="332"/>
        <w:tblW w:w="8856" w:type="dxa"/>
        <w:tblLook w:val="04A0" w:firstRow="1" w:lastRow="0" w:firstColumn="1" w:lastColumn="0" w:noHBand="0" w:noVBand="1"/>
      </w:tblPr>
      <w:tblGrid>
        <w:gridCol w:w="868"/>
        <w:gridCol w:w="1202"/>
        <w:gridCol w:w="1939"/>
        <w:gridCol w:w="1125"/>
        <w:gridCol w:w="940"/>
        <w:gridCol w:w="1129"/>
        <w:gridCol w:w="1653"/>
      </w:tblGrid>
      <w:tr w:rsidR="00EB2576" w:rsidRPr="00EB2576" w14:paraId="19F8A8E9" w14:textId="77777777" w:rsidTr="000B619F">
        <w:trPr>
          <w:cnfStyle w:val="100000000000" w:firstRow="1" w:lastRow="0" w:firstColumn="0" w:lastColumn="0" w:oddVBand="0" w:evenVBand="0" w:oddHBand="0"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880" w:type="dxa"/>
          </w:tcPr>
          <w:p w14:paraId="2669E5ED" w14:textId="77777777" w:rsidR="00FA6AB6" w:rsidRPr="00EB2576" w:rsidRDefault="00FA6AB6" w:rsidP="000B619F">
            <w:pPr>
              <w:spacing w:line="480" w:lineRule="auto"/>
              <w:rPr>
                <w:rFonts w:ascii="Times New Roman" w:hAnsi="Times New Roman" w:cs="Times New Roman"/>
                <w:sz w:val="20"/>
                <w:szCs w:val="20"/>
              </w:rPr>
            </w:pPr>
            <w:bookmarkStart w:id="243" w:name="_Hlk82439458"/>
            <w:r w:rsidRPr="00EB2576">
              <w:rPr>
                <w:rFonts w:ascii="Times New Roman" w:hAnsi="Times New Roman" w:cs="Times New Roman"/>
                <w:sz w:val="20"/>
                <w:szCs w:val="20"/>
              </w:rPr>
              <w:lastRenderedPageBreak/>
              <w:t>Patient</w:t>
            </w:r>
          </w:p>
        </w:tc>
        <w:tc>
          <w:tcPr>
            <w:tcW w:w="1247" w:type="dxa"/>
          </w:tcPr>
          <w:p w14:paraId="47A684D2"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IBD sub-type</w:t>
            </w:r>
          </w:p>
        </w:tc>
        <w:tc>
          <w:tcPr>
            <w:tcW w:w="1756" w:type="dxa"/>
          </w:tcPr>
          <w:p w14:paraId="5A425051"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Concomitant immunosuppression</w:t>
            </w:r>
          </w:p>
        </w:tc>
        <w:tc>
          <w:tcPr>
            <w:tcW w:w="1128" w:type="dxa"/>
          </w:tcPr>
          <w:p w14:paraId="3D102013"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Infliximab dose number</w:t>
            </w:r>
          </w:p>
        </w:tc>
        <w:tc>
          <w:tcPr>
            <w:tcW w:w="980" w:type="dxa"/>
          </w:tcPr>
          <w:p w14:paraId="2EAB3AEA"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ADA level (mg/L)</w:t>
            </w:r>
          </w:p>
        </w:tc>
        <w:tc>
          <w:tcPr>
            <w:tcW w:w="1132" w:type="dxa"/>
          </w:tcPr>
          <w:p w14:paraId="79FFFDD1"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Infliximab level (mg/L)</w:t>
            </w:r>
          </w:p>
        </w:tc>
        <w:tc>
          <w:tcPr>
            <w:tcW w:w="1733" w:type="dxa"/>
          </w:tcPr>
          <w:p w14:paraId="6CB940D2" w14:textId="77777777" w:rsidR="00FA6AB6" w:rsidRPr="00EB2576" w:rsidRDefault="00FA6AB6" w:rsidP="000B619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Clinical phenotype</w:t>
            </w:r>
          </w:p>
        </w:tc>
      </w:tr>
      <w:tr w:rsidR="00EB2576" w:rsidRPr="00EB2576" w14:paraId="15509875" w14:textId="77777777" w:rsidTr="000B619F">
        <w:trPr>
          <w:trHeight w:val="1278"/>
        </w:trPr>
        <w:tc>
          <w:tcPr>
            <w:cnfStyle w:val="001000000000" w:firstRow="0" w:lastRow="0" w:firstColumn="1" w:lastColumn="0" w:oddVBand="0" w:evenVBand="0" w:oddHBand="0" w:evenHBand="0" w:firstRowFirstColumn="0" w:firstRowLastColumn="0" w:lastRowFirstColumn="0" w:lastRowLastColumn="0"/>
            <w:tcW w:w="880" w:type="dxa"/>
          </w:tcPr>
          <w:p w14:paraId="7374A66B"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1</w:t>
            </w:r>
          </w:p>
        </w:tc>
        <w:tc>
          <w:tcPr>
            <w:tcW w:w="1247" w:type="dxa"/>
          </w:tcPr>
          <w:p w14:paraId="5D21446A"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Crohn’s disease</w:t>
            </w:r>
          </w:p>
        </w:tc>
        <w:tc>
          <w:tcPr>
            <w:tcW w:w="1756" w:type="dxa"/>
          </w:tcPr>
          <w:p w14:paraId="604A85E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None</w:t>
            </w:r>
          </w:p>
        </w:tc>
        <w:tc>
          <w:tcPr>
            <w:tcW w:w="1128" w:type="dxa"/>
          </w:tcPr>
          <w:p w14:paraId="2600B2C3"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110</w:t>
            </w:r>
          </w:p>
        </w:tc>
        <w:tc>
          <w:tcPr>
            <w:tcW w:w="980" w:type="dxa"/>
          </w:tcPr>
          <w:p w14:paraId="03D69845"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17</w:t>
            </w:r>
          </w:p>
        </w:tc>
        <w:tc>
          <w:tcPr>
            <w:tcW w:w="1132" w:type="dxa"/>
          </w:tcPr>
          <w:p w14:paraId="5A9C2FBC"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4.6</w:t>
            </w:r>
          </w:p>
        </w:tc>
        <w:tc>
          <w:tcPr>
            <w:tcW w:w="1733" w:type="dxa"/>
          </w:tcPr>
          <w:p w14:paraId="34E020A1"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In response with therapeutic infliximab levels</w:t>
            </w:r>
          </w:p>
        </w:tc>
      </w:tr>
      <w:tr w:rsidR="00EB2576" w:rsidRPr="00EB2576" w14:paraId="4A14424E" w14:textId="77777777" w:rsidTr="000B619F">
        <w:trPr>
          <w:trHeight w:val="852"/>
        </w:trPr>
        <w:tc>
          <w:tcPr>
            <w:cnfStyle w:val="001000000000" w:firstRow="0" w:lastRow="0" w:firstColumn="1" w:lastColumn="0" w:oddVBand="0" w:evenVBand="0" w:oddHBand="0" w:evenHBand="0" w:firstRowFirstColumn="0" w:firstRowLastColumn="0" w:lastRowFirstColumn="0" w:lastRowLastColumn="0"/>
            <w:tcW w:w="880" w:type="dxa"/>
          </w:tcPr>
          <w:p w14:paraId="4FF57D6C"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2</w:t>
            </w:r>
          </w:p>
        </w:tc>
        <w:tc>
          <w:tcPr>
            <w:tcW w:w="1247" w:type="dxa"/>
          </w:tcPr>
          <w:p w14:paraId="17D96590"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Crohn’s disease</w:t>
            </w:r>
          </w:p>
        </w:tc>
        <w:tc>
          <w:tcPr>
            <w:tcW w:w="1756" w:type="dxa"/>
          </w:tcPr>
          <w:p w14:paraId="0A1A0A2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Azathioprine</w:t>
            </w:r>
          </w:p>
        </w:tc>
        <w:tc>
          <w:tcPr>
            <w:tcW w:w="1128" w:type="dxa"/>
          </w:tcPr>
          <w:p w14:paraId="2405110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6</w:t>
            </w:r>
          </w:p>
        </w:tc>
        <w:tc>
          <w:tcPr>
            <w:tcW w:w="980" w:type="dxa"/>
          </w:tcPr>
          <w:p w14:paraId="716BFC1B"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167</w:t>
            </w:r>
          </w:p>
        </w:tc>
        <w:tc>
          <w:tcPr>
            <w:tcW w:w="1132" w:type="dxa"/>
          </w:tcPr>
          <w:p w14:paraId="56B39696"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&lt;0.8</w:t>
            </w:r>
          </w:p>
        </w:tc>
        <w:tc>
          <w:tcPr>
            <w:tcW w:w="1733" w:type="dxa"/>
          </w:tcPr>
          <w:p w14:paraId="42A4DF38"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Loss of response</w:t>
            </w:r>
          </w:p>
        </w:tc>
      </w:tr>
      <w:tr w:rsidR="00EB2576" w:rsidRPr="00EB2576" w14:paraId="6A30B951" w14:textId="77777777" w:rsidTr="000B619F">
        <w:trPr>
          <w:trHeight w:val="839"/>
        </w:trPr>
        <w:tc>
          <w:tcPr>
            <w:cnfStyle w:val="001000000000" w:firstRow="0" w:lastRow="0" w:firstColumn="1" w:lastColumn="0" w:oddVBand="0" w:evenVBand="0" w:oddHBand="0" w:evenHBand="0" w:firstRowFirstColumn="0" w:firstRowLastColumn="0" w:lastRowFirstColumn="0" w:lastRowLastColumn="0"/>
            <w:tcW w:w="880" w:type="dxa"/>
          </w:tcPr>
          <w:p w14:paraId="064097CF"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3</w:t>
            </w:r>
          </w:p>
        </w:tc>
        <w:tc>
          <w:tcPr>
            <w:tcW w:w="1247" w:type="dxa"/>
          </w:tcPr>
          <w:p w14:paraId="770CA222"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Ulcerative colitis</w:t>
            </w:r>
          </w:p>
        </w:tc>
        <w:tc>
          <w:tcPr>
            <w:tcW w:w="1756" w:type="dxa"/>
          </w:tcPr>
          <w:p w14:paraId="3AB4EC8F"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Mercaptopurine</w:t>
            </w:r>
          </w:p>
        </w:tc>
        <w:tc>
          <w:tcPr>
            <w:tcW w:w="1128" w:type="dxa"/>
          </w:tcPr>
          <w:p w14:paraId="49E40DA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5</w:t>
            </w:r>
          </w:p>
        </w:tc>
        <w:tc>
          <w:tcPr>
            <w:tcW w:w="980" w:type="dxa"/>
          </w:tcPr>
          <w:p w14:paraId="4CED9CFC"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124</w:t>
            </w:r>
          </w:p>
        </w:tc>
        <w:tc>
          <w:tcPr>
            <w:tcW w:w="1132" w:type="dxa"/>
          </w:tcPr>
          <w:p w14:paraId="52AC420B"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0.9</w:t>
            </w:r>
          </w:p>
        </w:tc>
        <w:tc>
          <w:tcPr>
            <w:tcW w:w="1733" w:type="dxa"/>
          </w:tcPr>
          <w:p w14:paraId="356E7950"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Loss of response</w:t>
            </w:r>
          </w:p>
        </w:tc>
      </w:tr>
      <w:tr w:rsidR="00EB2576" w:rsidRPr="00EB2576" w14:paraId="25164AD8" w14:textId="77777777" w:rsidTr="000B619F">
        <w:trPr>
          <w:trHeight w:val="839"/>
        </w:trPr>
        <w:tc>
          <w:tcPr>
            <w:cnfStyle w:val="001000000000" w:firstRow="0" w:lastRow="0" w:firstColumn="1" w:lastColumn="0" w:oddVBand="0" w:evenVBand="0" w:oddHBand="0" w:evenHBand="0" w:firstRowFirstColumn="0" w:firstRowLastColumn="0" w:lastRowFirstColumn="0" w:lastRowLastColumn="0"/>
            <w:tcW w:w="880" w:type="dxa"/>
          </w:tcPr>
          <w:p w14:paraId="6A424EA9"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4</w:t>
            </w:r>
          </w:p>
        </w:tc>
        <w:tc>
          <w:tcPr>
            <w:tcW w:w="1247" w:type="dxa"/>
          </w:tcPr>
          <w:p w14:paraId="0CD09B5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 xml:space="preserve">Ulcerative colitis </w:t>
            </w:r>
          </w:p>
        </w:tc>
        <w:tc>
          <w:tcPr>
            <w:tcW w:w="1756" w:type="dxa"/>
          </w:tcPr>
          <w:p w14:paraId="39E4FCD4"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None</w:t>
            </w:r>
          </w:p>
        </w:tc>
        <w:tc>
          <w:tcPr>
            <w:tcW w:w="1128" w:type="dxa"/>
          </w:tcPr>
          <w:p w14:paraId="20C413C7"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5</w:t>
            </w:r>
          </w:p>
        </w:tc>
        <w:tc>
          <w:tcPr>
            <w:tcW w:w="980" w:type="dxa"/>
          </w:tcPr>
          <w:p w14:paraId="1D378D11"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142</w:t>
            </w:r>
          </w:p>
        </w:tc>
        <w:tc>
          <w:tcPr>
            <w:tcW w:w="1132" w:type="dxa"/>
          </w:tcPr>
          <w:p w14:paraId="772B7B7F"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0.8</w:t>
            </w:r>
          </w:p>
        </w:tc>
        <w:tc>
          <w:tcPr>
            <w:tcW w:w="1733" w:type="dxa"/>
          </w:tcPr>
          <w:p w14:paraId="5A2DAB6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Loss of response</w:t>
            </w:r>
          </w:p>
        </w:tc>
      </w:tr>
      <w:tr w:rsidR="00EB2576" w:rsidRPr="00EB2576" w14:paraId="56C58291" w14:textId="77777777" w:rsidTr="000B619F">
        <w:trPr>
          <w:trHeight w:val="852"/>
        </w:trPr>
        <w:tc>
          <w:tcPr>
            <w:cnfStyle w:val="001000000000" w:firstRow="0" w:lastRow="0" w:firstColumn="1" w:lastColumn="0" w:oddVBand="0" w:evenVBand="0" w:oddHBand="0" w:evenHBand="0" w:firstRowFirstColumn="0" w:firstRowLastColumn="0" w:lastRowFirstColumn="0" w:lastRowLastColumn="0"/>
            <w:tcW w:w="880" w:type="dxa"/>
          </w:tcPr>
          <w:p w14:paraId="6341F691" w14:textId="77777777" w:rsidR="00FA6AB6" w:rsidRPr="00EB2576" w:rsidRDefault="00FA6AB6" w:rsidP="000B619F">
            <w:pPr>
              <w:spacing w:line="480" w:lineRule="auto"/>
              <w:rPr>
                <w:rFonts w:ascii="Times New Roman" w:hAnsi="Times New Roman" w:cs="Times New Roman"/>
                <w:sz w:val="20"/>
                <w:szCs w:val="20"/>
              </w:rPr>
            </w:pPr>
            <w:bookmarkStart w:id="244" w:name="_Hlk82444955"/>
            <w:r w:rsidRPr="00EB2576">
              <w:rPr>
                <w:rFonts w:ascii="Times New Roman" w:hAnsi="Times New Roman" w:cs="Times New Roman"/>
                <w:sz w:val="20"/>
                <w:szCs w:val="20"/>
              </w:rPr>
              <w:t>5</w:t>
            </w:r>
          </w:p>
        </w:tc>
        <w:tc>
          <w:tcPr>
            <w:tcW w:w="1247" w:type="dxa"/>
          </w:tcPr>
          <w:p w14:paraId="749CF80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Crohn’s disease</w:t>
            </w:r>
          </w:p>
        </w:tc>
        <w:tc>
          <w:tcPr>
            <w:tcW w:w="1756" w:type="dxa"/>
          </w:tcPr>
          <w:p w14:paraId="44E53A0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Azathioprine</w:t>
            </w:r>
          </w:p>
        </w:tc>
        <w:tc>
          <w:tcPr>
            <w:tcW w:w="1128" w:type="dxa"/>
          </w:tcPr>
          <w:p w14:paraId="28F1066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6</w:t>
            </w:r>
          </w:p>
        </w:tc>
        <w:tc>
          <w:tcPr>
            <w:tcW w:w="980" w:type="dxa"/>
          </w:tcPr>
          <w:p w14:paraId="4190472F"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&gt;600</w:t>
            </w:r>
          </w:p>
        </w:tc>
        <w:tc>
          <w:tcPr>
            <w:tcW w:w="1132" w:type="dxa"/>
          </w:tcPr>
          <w:p w14:paraId="5707A9C5"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&lt;0.8</w:t>
            </w:r>
          </w:p>
        </w:tc>
        <w:tc>
          <w:tcPr>
            <w:tcW w:w="1733" w:type="dxa"/>
          </w:tcPr>
          <w:p w14:paraId="5C08C048"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 xml:space="preserve">Adverse drug reaction </w:t>
            </w:r>
          </w:p>
        </w:tc>
      </w:tr>
      <w:tr w:rsidR="00EB2576" w:rsidRPr="00EB2576" w14:paraId="4DA95037" w14:textId="77777777" w:rsidTr="000B619F">
        <w:trPr>
          <w:trHeight w:val="1265"/>
        </w:trPr>
        <w:tc>
          <w:tcPr>
            <w:cnfStyle w:val="001000000000" w:firstRow="0" w:lastRow="0" w:firstColumn="1" w:lastColumn="0" w:oddVBand="0" w:evenVBand="0" w:oddHBand="0" w:evenHBand="0" w:firstRowFirstColumn="0" w:firstRowLastColumn="0" w:lastRowFirstColumn="0" w:lastRowLastColumn="0"/>
            <w:tcW w:w="880" w:type="dxa"/>
          </w:tcPr>
          <w:p w14:paraId="722ECA8A"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6</w:t>
            </w:r>
          </w:p>
        </w:tc>
        <w:tc>
          <w:tcPr>
            <w:tcW w:w="1247" w:type="dxa"/>
          </w:tcPr>
          <w:p w14:paraId="081D167C"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Ulcerative colitis</w:t>
            </w:r>
          </w:p>
        </w:tc>
        <w:tc>
          <w:tcPr>
            <w:tcW w:w="1756" w:type="dxa"/>
          </w:tcPr>
          <w:p w14:paraId="5EF43A62"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Azathioprine</w:t>
            </w:r>
          </w:p>
        </w:tc>
        <w:tc>
          <w:tcPr>
            <w:tcW w:w="1128" w:type="dxa"/>
          </w:tcPr>
          <w:p w14:paraId="5A70A94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17</w:t>
            </w:r>
          </w:p>
        </w:tc>
        <w:tc>
          <w:tcPr>
            <w:tcW w:w="980" w:type="dxa"/>
          </w:tcPr>
          <w:p w14:paraId="2F1BD7CC"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177</w:t>
            </w:r>
          </w:p>
        </w:tc>
        <w:tc>
          <w:tcPr>
            <w:tcW w:w="1132" w:type="dxa"/>
          </w:tcPr>
          <w:p w14:paraId="5A328B5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0.8</w:t>
            </w:r>
          </w:p>
        </w:tc>
        <w:tc>
          <w:tcPr>
            <w:tcW w:w="1733" w:type="dxa"/>
          </w:tcPr>
          <w:p w14:paraId="60198251"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In response with subtherapeutic infliximab levels</w:t>
            </w:r>
          </w:p>
        </w:tc>
      </w:tr>
      <w:tr w:rsidR="00EB2576" w:rsidRPr="00EB2576" w14:paraId="405F56AE" w14:textId="77777777" w:rsidTr="000B619F">
        <w:trPr>
          <w:trHeight w:val="1278"/>
        </w:trPr>
        <w:tc>
          <w:tcPr>
            <w:cnfStyle w:val="001000000000" w:firstRow="0" w:lastRow="0" w:firstColumn="1" w:lastColumn="0" w:oddVBand="0" w:evenVBand="0" w:oddHBand="0" w:evenHBand="0" w:firstRowFirstColumn="0" w:firstRowLastColumn="0" w:lastRowFirstColumn="0" w:lastRowLastColumn="0"/>
            <w:tcW w:w="880" w:type="dxa"/>
          </w:tcPr>
          <w:p w14:paraId="7377324E"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7</w:t>
            </w:r>
          </w:p>
        </w:tc>
        <w:tc>
          <w:tcPr>
            <w:tcW w:w="1247" w:type="dxa"/>
          </w:tcPr>
          <w:p w14:paraId="3ED1E2DB"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Crohn’s disease</w:t>
            </w:r>
          </w:p>
        </w:tc>
        <w:tc>
          <w:tcPr>
            <w:tcW w:w="1756" w:type="dxa"/>
          </w:tcPr>
          <w:p w14:paraId="14F8C39A"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Azathioprine</w:t>
            </w:r>
          </w:p>
        </w:tc>
        <w:tc>
          <w:tcPr>
            <w:tcW w:w="1128" w:type="dxa"/>
          </w:tcPr>
          <w:p w14:paraId="2674AED5"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18</w:t>
            </w:r>
          </w:p>
        </w:tc>
        <w:tc>
          <w:tcPr>
            <w:tcW w:w="980" w:type="dxa"/>
          </w:tcPr>
          <w:p w14:paraId="6563EA95"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156</w:t>
            </w:r>
          </w:p>
        </w:tc>
        <w:tc>
          <w:tcPr>
            <w:tcW w:w="1132" w:type="dxa"/>
          </w:tcPr>
          <w:p w14:paraId="452B41BA"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0.9</w:t>
            </w:r>
          </w:p>
        </w:tc>
        <w:tc>
          <w:tcPr>
            <w:tcW w:w="1733" w:type="dxa"/>
          </w:tcPr>
          <w:p w14:paraId="2785501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In response with subtherapeutic infliximab levels</w:t>
            </w:r>
          </w:p>
        </w:tc>
      </w:tr>
      <w:bookmarkEnd w:id="244"/>
      <w:tr w:rsidR="00EB2576" w:rsidRPr="00EB2576" w14:paraId="4B1DE255" w14:textId="77777777" w:rsidTr="000B619F">
        <w:trPr>
          <w:trHeight w:val="1265"/>
        </w:trPr>
        <w:tc>
          <w:tcPr>
            <w:cnfStyle w:val="001000000000" w:firstRow="0" w:lastRow="0" w:firstColumn="1" w:lastColumn="0" w:oddVBand="0" w:evenVBand="0" w:oddHBand="0" w:evenHBand="0" w:firstRowFirstColumn="0" w:firstRowLastColumn="0" w:lastRowFirstColumn="0" w:lastRowLastColumn="0"/>
            <w:tcW w:w="880" w:type="dxa"/>
          </w:tcPr>
          <w:p w14:paraId="248D2B80" w14:textId="77777777" w:rsidR="00FA6AB6" w:rsidRPr="00EB2576" w:rsidRDefault="00FA6AB6" w:rsidP="000B619F">
            <w:pPr>
              <w:spacing w:line="480" w:lineRule="auto"/>
              <w:rPr>
                <w:rFonts w:ascii="Times New Roman" w:hAnsi="Times New Roman" w:cs="Times New Roman"/>
                <w:sz w:val="20"/>
                <w:szCs w:val="20"/>
              </w:rPr>
            </w:pPr>
            <w:r w:rsidRPr="00EB2576">
              <w:rPr>
                <w:rFonts w:ascii="Times New Roman" w:hAnsi="Times New Roman" w:cs="Times New Roman"/>
                <w:sz w:val="20"/>
                <w:szCs w:val="20"/>
              </w:rPr>
              <w:t>8</w:t>
            </w:r>
          </w:p>
        </w:tc>
        <w:tc>
          <w:tcPr>
            <w:tcW w:w="1247" w:type="dxa"/>
          </w:tcPr>
          <w:p w14:paraId="56CAA29E"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Ulcerative colitis</w:t>
            </w:r>
          </w:p>
        </w:tc>
        <w:tc>
          <w:tcPr>
            <w:tcW w:w="1756" w:type="dxa"/>
          </w:tcPr>
          <w:p w14:paraId="36CD6E6D"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None</w:t>
            </w:r>
          </w:p>
        </w:tc>
        <w:tc>
          <w:tcPr>
            <w:tcW w:w="1128" w:type="dxa"/>
          </w:tcPr>
          <w:p w14:paraId="02121C13"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5</w:t>
            </w:r>
          </w:p>
        </w:tc>
        <w:tc>
          <w:tcPr>
            <w:tcW w:w="980" w:type="dxa"/>
          </w:tcPr>
          <w:p w14:paraId="0BCBBB87"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93</w:t>
            </w:r>
          </w:p>
        </w:tc>
        <w:tc>
          <w:tcPr>
            <w:tcW w:w="1132" w:type="dxa"/>
          </w:tcPr>
          <w:p w14:paraId="21E5ED7C" w14:textId="77777777" w:rsidR="00FA6AB6" w:rsidRPr="00EB2576" w:rsidRDefault="00FA6AB6" w:rsidP="000B619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1.7</w:t>
            </w:r>
          </w:p>
        </w:tc>
        <w:tc>
          <w:tcPr>
            <w:tcW w:w="1733" w:type="dxa"/>
          </w:tcPr>
          <w:p w14:paraId="0CD46470" w14:textId="77777777" w:rsidR="00FA6AB6" w:rsidRPr="00EB2576" w:rsidRDefault="00FA6AB6" w:rsidP="00B1773D">
            <w:pPr>
              <w:keepNext/>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2576">
              <w:rPr>
                <w:rFonts w:ascii="Times New Roman" w:hAnsi="Times New Roman" w:cs="Times New Roman"/>
                <w:sz w:val="20"/>
                <w:szCs w:val="20"/>
              </w:rPr>
              <w:t xml:space="preserve">In response with subtherapeutic infliximab levels  </w:t>
            </w:r>
          </w:p>
        </w:tc>
      </w:tr>
      <w:bookmarkEnd w:id="243"/>
    </w:tbl>
    <w:p w14:paraId="5480BD91" w14:textId="77777777" w:rsidR="00FA6AB6" w:rsidRPr="00EB2576" w:rsidRDefault="00FA6AB6" w:rsidP="00FA6AB6">
      <w:pPr>
        <w:spacing w:line="480" w:lineRule="auto"/>
        <w:rPr>
          <w:rFonts w:ascii="Times New Roman" w:hAnsi="Times New Roman" w:cs="Times New Roman"/>
          <w:sz w:val="24"/>
          <w:szCs w:val="24"/>
        </w:rPr>
      </w:pPr>
    </w:p>
    <w:p w14:paraId="18FFC411" w14:textId="647917DC" w:rsidR="009A2F2D" w:rsidRPr="00EB2576" w:rsidRDefault="009A2F2D" w:rsidP="0022701F">
      <w:pPr>
        <w:pStyle w:val="Caption"/>
        <w:framePr w:hSpace="180" w:wrap="around" w:vAnchor="text" w:hAnchor="page" w:x="1441" w:y="10644"/>
        <w:spacing w:line="240" w:lineRule="auto"/>
        <w:rPr>
          <w:rFonts w:ascii="Times New Roman" w:hAnsi="Times New Roman" w:cs="Times New Roman"/>
          <w:sz w:val="24"/>
          <w:szCs w:val="24"/>
        </w:rPr>
      </w:pPr>
      <w:bookmarkStart w:id="245" w:name="_Toc139306965"/>
      <w:r w:rsidRPr="00EB2576">
        <w:rPr>
          <w:rFonts w:ascii="Times New Roman" w:hAnsi="Times New Roman" w:cs="Times New Roman"/>
          <w:sz w:val="24"/>
          <w:szCs w:val="24"/>
        </w:rPr>
        <w:t xml:space="preserve">Table </w:t>
      </w:r>
      <w:r w:rsidR="00334B74" w:rsidRPr="00EB2576">
        <w:rPr>
          <w:rFonts w:ascii="Times New Roman" w:hAnsi="Times New Roman" w:cs="Times New Roman"/>
          <w:sz w:val="24"/>
          <w:szCs w:val="24"/>
        </w:rPr>
        <w:fldChar w:fldCharType="begin"/>
      </w:r>
      <w:r w:rsidR="00334B74" w:rsidRPr="00EB2576">
        <w:rPr>
          <w:rFonts w:ascii="Times New Roman" w:hAnsi="Times New Roman" w:cs="Times New Roman"/>
          <w:sz w:val="24"/>
          <w:szCs w:val="24"/>
        </w:rPr>
        <w:instrText xml:space="preserve"> SEQ Table \* ARABIC </w:instrText>
      </w:r>
      <w:r w:rsidR="00334B74" w:rsidRPr="00EB2576">
        <w:rPr>
          <w:rFonts w:ascii="Times New Roman" w:hAnsi="Times New Roman" w:cs="Times New Roman"/>
          <w:sz w:val="24"/>
          <w:szCs w:val="24"/>
        </w:rPr>
        <w:fldChar w:fldCharType="separate"/>
      </w:r>
      <w:r w:rsidR="00F2388D" w:rsidRPr="00EB2576">
        <w:rPr>
          <w:rFonts w:ascii="Times New Roman" w:hAnsi="Times New Roman" w:cs="Times New Roman"/>
          <w:noProof/>
          <w:sz w:val="24"/>
          <w:szCs w:val="24"/>
        </w:rPr>
        <w:t>12</w:t>
      </w:r>
      <w:r w:rsidR="00334B74" w:rsidRPr="00EB2576">
        <w:rPr>
          <w:rFonts w:ascii="Times New Roman" w:hAnsi="Times New Roman" w:cs="Times New Roman"/>
          <w:sz w:val="24"/>
          <w:szCs w:val="24"/>
        </w:rPr>
        <w:fldChar w:fldCharType="end"/>
      </w:r>
      <w:r w:rsidRPr="00EB2576">
        <w:rPr>
          <w:rFonts w:ascii="Times New Roman" w:hAnsi="Times New Roman" w:cs="Times New Roman"/>
          <w:sz w:val="24"/>
          <w:szCs w:val="24"/>
        </w:rPr>
        <w:t>. Clinical details of antibody to infliximab positive IBD patients used for pooled serological selection.</w:t>
      </w:r>
      <w:bookmarkEnd w:id="245"/>
    </w:p>
    <w:p w14:paraId="69F54E5F" w14:textId="77777777" w:rsidR="00FA6AB6" w:rsidRPr="00EB2576" w:rsidRDefault="00FA6AB6" w:rsidP="00FA6AB6">
      <w:pPr>
        <w:spacing w:line="480" w:lineRule="auto"/>
        <w:rPr>
          <w:rFonts w:ascii="Times New Roman" w:hAnsi="Times New Roman" w:cs="Times New Roman"/>
          <w:b/>
          <w:bCs/>
          <w:sz w:val="24"/>
          <w:szCs w:val="24"/>
        </w:rPr>
      </w:pPr>
    </w:p>
    <w:p w14:paraId="107C8BC5" w14:textId="77777777" w:rsidR="0048487E" w:rsidRPr="00EB2576" w:rsidRDefault="0048487E" w:rsidP="0048487E">
      <w:pPr>
        <w:spacing w:line="480" w:lineRule="auto"/>
        <w:rPr>
          <w:rFonts w:ascii="Times New Roman" w:hAnsi="Times New Roman" w:cs="Times New Roman"/>
          <w:sz w:val="24"/>
          <w:szCs w:val="24"/>
          <w:lang w:eastAsia="en-GB"/>
        </w:rPr>
      </w:pPr>
    </w:p>
    <w:p w14:paraId="5693F78E" w14:textId="32A1F836" w:rsidR="0048487E" w:rsidRPr="00EB2576" w:rsidRDefault="002A294A" w:rsidP="000F4215">
      <w:pPr>
        <w:pStyle w:val="Heading3"/>
        <w:spacing w:line="480" w:lineRule="auto"/>
        <w:rPr>
          <w:rFonts w:ascii="Times New Roman" w:hAnsi="Times New Roman" w:cs="Times New Roman"/>
          <w:b/>
          <w:bCs/>
        </w:rPr>
      </w:pPr>
      <w:bookmarkStart w:id="246" w:name="_Toc77853380"/>
      <w:bookmarkStart w:id="247" w:name="_Toc151020528"/>
      <w:r w:rsidRPr="00EB2576">
        <w:rPr>
          <w:rFonts w:ascii="Times New Roman" w:hAnsi="Times New Roman" w:cs="Times New Roman"/>
          <w:b/>
          <w:bCs/>
        </w:rPr>
        <w:lastRenderedPageBreak/>
        <w:t>5</w:t>
      </w:r>
      <w:r w:rsidR="0048487E" w:rsidRPr="00EB2576">
        <w:rPr>
          <w:rFonts w:ascii="Times New Roman" w:hAnsi="Times New Roman" w:cs="Times New Roman"/>
          <w:b/>
          <w:bCs/>
        </w:rPr>
        <w:t>.2.</w:t>
      </w:r>
      <w:r w:rsidR="00000ADA" w:rsidRPr="00EB2576">
        <w:rPr>
          <w:rFonts w:ascii="Times New Roman" w:hAnsi="Times New Roman" w:cs="Times New Roman"/>
          <w:b/>
          <w:bCs/>
        </w:rPr>
        <w:t>6</w:t>
      </w:r>
      <w:r w:rsidR="0048487E" w:rsidRPr="00EB2576">
        <w:rPr>
          <w:rFonts w:ascii="Times New Roman" w:hAnsi="Times New Roman" w:cs="Times New Roman"/>
          <w:b/>
          <w:bCs/>
        </w:rPr>
        <w:t xml:space="preserve"> </w:t>
      </w:r>
      <w:bookmarkStart w:id="248" w:name="_Toc77853382"/>
      <w:bookmarkEnd w:id="246"/>
      <w:r w:rsidR="0048487E" w:rsidRPr="00EB2576">
        <w:rPr>
          <w:rFonts w:ascii="Times New Roman" w:hAnsi="Times New Roman" w:cs="Times New Roman"/>
          <w:b/>
          <w:bCs/>
        </w:rPr>
        <w:t>Construction of infliximab designer full gene fragment phage display library</w:t>
      </w:r>
      <w:bookmarkEnd w:id="247"/>
      <w:bookmarkEnd w:id="248"/>
    </w:p>
    <w:p w14:paraId="00793470" w14:textId="226D8803" w:rsidR="00A92951" w:rsidRPr="00EB2576" w:rsidRDefault="0048487E" w:rsidP="009C7E81">
      <w:pPr>
        <w:pStyle w:val="NormalWeb"/>
        <w:shd w:val="clear" w:color="auto" w:fill="FFFFFF"/>
        <w:spacing w:before="0" w:beforeAutospacing="0" w:after="0" w:afterAutospacing="0" w:line="480" w:lineRule="auto"/>
        <w:textAlignment w:val="baseline"/>
      </w:pPr>
      <w:r w:rsidRPr="00EB2576">
        <w:t xml:space="preserve">~400 infliximab in-frame gene fragments (38 amino acid length infliximab peptides plus primer) with overlapping amino acids were generated (Twist Bioscience, California, United States) to produce a sliding window of in-frame gene fragments that moved along the infliximab sequence. The DNA was amplified using </w:t>
      </w:r>
      <w:r w:rsidR="005E565D" w:rsidRPr="00EB2576">
        <w:t>PCR and</w:t>
      </w:r>
      <w:r w:rsidRPr="00EB2576">
        <w:t xml:space="preserve"> modified to allow in-frame sequencing with gene III on the phagemid vector and purified.  </w:t>
      </w:r>
    </w:p>
    <w:p w14:paraId="78F05D42" w14:textId="77777777" w:rsidR="00A92951" w:rsidRPr="00EB2576" w:rsidRDefault="00A92951" w:rsidP="009C7E81">
      <w:pPr>
        <w:pStyle w:val="NormalWeb"/>
        <w:shd w:val="clear" w:color="auto" w:fill="FFFFFF"/>
        <w:spacing w:before="0" w:beforeAutospacing="0" w:after="0" w:afterAutospacing="0" w:line="480" w:lineRule="auto"/>
        <w:textAlignment w:val="baseline"/>
      </w:pPr>
    </w:p>
    <w:p w14:paraId="7EAFF995" w14:textId="1E55F8A2" w:rsidR="00231CC8" w:rsidRPr="00EB2576" w:rsidRDefault="0048487E" w:rsidP="009C7E81">
      <w:pPr>
        <w:pStyle w:val="Default"/>
        <w:spacing w:line="480" w:lineRule="auto"/>
        <w:rPr>
          <w:rFonts w:ascii="Times New Roman" w:hAnsi="Times New Roman" w:cs="Times New Roman"/>
          <w:color w:val="auto"/>
          <w:kern w:val="24"/>
        </w:rPr>
      </w:pPr>
      <w:r w:rsidRPr="00EB2576">
        <w:rPr>
          <w:rFonts w:ascii="Times New Roman" w:hAnsi="Times New Roman" w:cs="Times New Roman"/>
          <w:color w:val="auto"/>
          <w:lang w:val="en-US"/>
        </w:rPr>
        <w:t xml:space="preserve">Post modifications, next generation sequencing </w:t>
      </w:r>
      <w:r w:rsidR="007257A9" w:rsidRPr="00EB2576">
        <w:rPr>
          <w:rFonts w:ascii="Times New Roman" w:hAnsi="Times New Roman" w:cs="Times New Roman"/>
          <w:color w:val="auto"/>
          <w:lang w:val="en-US"/>
        </w:rPr>
        <w:t xml:space="preserve">(NGS) was performed </w:t>
      </w:r>
      <w:r w:rsidR="0060654F" w:rsidRPr="00EB2576">
        <w:rPr>
          <w:rFonts w:ascii="Times New Roman" w:hAnsi="Times New Roman" w:cs="Times New Roman"/>
          <w:color w:val="auto"/>
          <w:lang w:val="en-US"/>
        </w:rPr>
        <w:t>in-house at NIBS</w:t>
      </w:r>
      <w:r w:rsidR="0077439E" w:rsidRPr="00EB2576">
        <w:rPr>
          <w:rFonts w:ascii="Times New Roman" w:hAnsi="Times New Roman" w:cs="Times New Roman"/>
          <w:color w:val="auto"/>
          <w:lang w:val="en-US"/>
        </w:rPr>
        <w:t xml:space="preserve">C. </w:t>
      </w:r>
      <w:r w:rsidR="007257A9" w:rsidRPr="00EB2576">
        <w:rPr>
          <w:rFonts w:ascii="Times New Roman" w:hAnsi="Times New Roman" w:cs="Times New Roman"/>
          <w:color w:val="auto"/>
          <w:shd w:val="clear" w:color="auto" w:fill="FFFFFF"/>
        </w:rPr>
        <w:t xml:space="preserve">NGS allows parallel sequencing of </w:t>
      </w:r>
      <w:r w:rsidR="003C7F76" w:rsidRPr="00EB2576">
        <w:rPr>
          <w:rFonts w:ascii="Times New Roman" w:hAnsi="Times New Roman" w:cs="Times New Roman"/>
          <w:color w:val="auto"/>
          <w:shd w:val="clear" w:color="auto" w:fill="FFFFFF"/>
        </w:rPr>
        <w:t xml:space="preserve">up to </w:t>
      </w:r>
      <w:r w:rsidR="007257A9" w:rsidRPr="00EB2576">
        <w:rPr>
          <w:rFonts w:ascii="Times New Roman" w:hAnsi="Times New Roman" w:cs="Times New Roman"/>
          <w:color w:val="auto"/>
          <w:shd w:val="clear" w:color="auto" w:fill="FFFFFF"/>
        </w:rPr>
        <w:t>millions of small fragments of DNA</w:t>
      </w:r>
      <w:r w:rsidR="00310E4A" w:rsidRPr="00EB2576">
        <w:rPr>
          <w:rFonts w:ascii="Times New Roman" w:hAnsi="Times New Roman" w:cs="Times New Roman"/>
          <w:color w:val="auto"/>
          <w:shd w:val="clear" w:color="auto" w:fill="FFFFFF"/>
        </w:rPr>
        <w:t xml:space="preserve"> </w:t>
      </w:r>
      <w:r w:rsidR="00310E4A" w:rsidRPr="00EB2576">
        <w:rPr>
          <w:rFonts w:ascii="Times New Roman" w:hAnsi="Times New Roman" w:cs="Times New Roman"/>
          <w:color w:val="auto"/>
          <w:shd w:val="clear" w:color="auto" w:fill="FFFFFF"/>
        </w:rPr>
        <w:fldChar w:fldCharType="begin" w:fldLock="1"/>
      </w:r>
      <w:r w:rsidR="009577AC" w:rsidRPr="00EB2576">
        <w:rPr>
          <w:rFonts w:ascii="Times New Roman" w:hAnsi="Times New Roman" w:cs="Times New Roman"/>
          <w:color w:val="auto"/>
          <w:shd w:val="clear" w:color="auto" w:fill="FFFFFF"/>
        </w:rPr>
        <w:instrText>ADDIN CSL_CITATION {"citationItems":[{"id":"ITEM-1","itemData":{"DOI":"10.1136/archdischild-2013-304340","ISSN":"1743-0585","author":[{"dropping-particle":"","family":"Behjati","given":"Sam","non-dropping-particle":"","parse-names":false,"suffix":""},{"dropping-particle":"","family":"Tarpey","given":"Patrick S","non-dropping-particle":"","parse-names":false,"suffix":""}],"container-title":"Archives of disease in childhood - Education &amp; practice edition","id":"ITEM-1","issue":"6","issued":{"date-parts":[["2013","12"]]},"page":"236-238","title":"What is next generation sequencing?","type":"article-journal","volume":"98"},"uris":["http://www.mendeley.com/documents/?uuid=cf37eb79-97ea-4155-aa20-d54298f73493"]},{"id":"ITEM-2","itemData":{"DOI":"10.4103/2153-3539.103013","ISSN":"21533539","author":[{"dropping-particle":"","family":"Gullapalli","given":"Rama R.","non-dropping-particle":"","parse-names":false,"suffix":""},{"dropping-particle":"V.","family":"Desai","given":"Ketaki","non-dropping-particle":"","parse-names":false,"suffix":""},{"dropping-particle":"","family":"Santana-Santos","given":"Lucas","non-dropping-particle":"","parse-names":false,"suffix":""},{"dropping-particle":"","family":"Kant","given":"Jeffrey A.","non-dropping-particle":"","parse-names":false,"suffix":""},{"dropping-particle":"","family":"Becich","given":"Michael J.","non-dropping-particle":"","parse-names":false,"suffix":""}],"container-title":"Journal of Pathology Informatics","id":"ITEM-2","issue":"1","issued":{"date-parts":[["2012","1"]]},"page":"40","title":"Next generation sequencing in clinical medicine: Challenges and lessons for pathology and biomedical informatics","type":"article-journal","volume":"3"},"uris":["http://www.mendeley.com/documents/?uuid=ea46c753-29c8-45be-bc71-2a1fe181ccc2"]}],"mendeley":{"formattedCitation":"&lt;sup&gt;186,187&lt;/sup&gt;","plainTextFormattedCitation":"186,187","previouslyFormattedCitation":"&lt;sup&gt;186,187&lt;/sup&gt;"},"properties":{"noteIndex":0},"schema":"https://github.com/citation-style-language/schema/raw/master/csl-citation.json"}</w:instrText>
      </w:r>
      <w:r w:rsidR="00310E4A" w:rsidRPr="00EB2576">
        <w:rPr>
          <w:rFonts w:ascii="Times New Roman" w:hAnsi="Times New Roman" w:cs="Times New Roman"/>
          <w:color w:val="auto"/>
          <w:shd w:val="clear" w:color="auto" w:fill="FFFFFF"/>
        </w:rPr>
        <w:fldChar w:fldCharType="separate"/>
      </w:r>
      <w:r w:rsidR="00201474" w:rsidRPr="00EB2576">
        <w:rPr>
          <w:rFonts w:ascii="Times New Roman" w:hAnsi="Times New Roman" w:cs="Times New Roman"/>
          <w:noProof/>
          <w:color w:val="auto"/>
          <w:shd w:val="clear" w:color="auto" w:fill="FFFFFF"/>
          <w:vertAlign w:val="superscript"/>
        </w:rPr>
        <w:t>186,187</w:t>
      </w:r>
      <w:r w:rsidR="00310E4A" w:rsidRPr="00EB2576">
        <w:rPr>
          <w:rFonts w:ascii="Times New Roman" w:hAnsi="Times New Roman" w:cs="Times New Roman"/>
          <w:color w:val="auto"/>
          <w:shd w:val="clear" w:color="auto" w:fill="FFFFFF"/>
        </w:rPr>
        <w:fldChar w:fldCharType="end"/>
      </w:r>
      <w:r w:rsidR="003C7F76" w:rsidRPr="00EB2576">
        <w:rPr>
          <w:rFonts w:ascii="Times New Roman" w:hAnsi="Times New Roman" w:cs="Times New Roman"/>
          <w:color w:val="auto"/>
          <w:shd w:val="clear" w:color="auto" w:fill="FFFFFF"/>
        </w:rPr>
        <w:t>. These individual sequences</w:t>
      </w:r>
      <w:r w:rsidR="0077439E" w:rsidRPr="00EB2576">
        <w:rPr>
          <w:rFonts w:ascii="Times New Roman" w:hAnsi="Times New Roman" w:cs="Times New Roman"/>
          <w:color w:val="auto"/>
          <w:shd w:val="clear" w:color="auto" w:fill="FFFFFF"/>
        </w:rPr>
        <w:t xml:space="preserve"> can then be mapped onto the reference genome of interest using</w:t>
      </w:r>
      <w:r w:rsidR="007257A9" w:rsidRPr="00EB2576">
        <w:rPr>
          <w:rFonts w:ascii="Times New Roman" w:hAnsi="Times New Roman" w:cs="Times New Roman"/>
          <w:color w:val="auto"/>
          <w:shd w:val="clear" w:color="auto" w:fill="FFFFFF"/>
        </w:rPr>
        <w:t xml:space="preserve"> </w:t>
      </w:r>
      <w:r w:rsidR="0077439E" w:rsidRPr="00EB2576">
        <w:rPr>
          <w:rFonts w:ascii="Times New Roman" w:hAnsi="Times New Roman" w:cs="Times New Roman"/>
          <w:color w:val="auto"/>
          <w:shd w:val="clear" w:color="auto" w:fill="FFFFFF"/>
        </w:rPr>
        <w:t>b</w:t>
      </w:r>
      <w:r w:rsidR="007257A9" w:rsidRPr="00EB2576">
        <w:rPr>
          <w:rFonts w:ascii="Times New Roman" w:hAnsi="Times New Roman" w:cs="Times New Roman"/>
          <w:color w:val="auto"/>
          <w:shd w:val="clear" w:color="auto" w:fill="FFFFFF"/>
        </w:rPr>
        <w:t>ioinformatic tools</w:t>
      </w:r>
      <w:r w:rsidR="00310E4A" w:rsidRPr="00EB2576">
        <w:rPr>
          <w:rFonts w:ascii="Times New Roman" w:hAnsi="Times New Roman" w:cs="Times New Roman"/>
          <w:color w:val="auto"/>
          <w:shd w:val="clear" w:color="auto" w:fill="FFFFFF"/>
        </w:rPr>
        <w:t xml:space="preserve"> </w:t>
      </w:r>
      <w:r w:rsidR="00310E4A" w:rsidRPr="00EB2576">
        <w:rPr>
          <w:rFonts w:ascii="Times New Roman" w:hAnsi="Times New Roman" w:cs="Times New Roman"/>
          <w:color w:val="auto"/>
          <w:shd w:val="clear" w:color="auto" w:fill="FFFFFF"/>
        </w:rPr>
        <w:fldChar w:fldCharType="begin" w:fldLock="1"/>
      </w:r>
      <w:r w:rsidR="009577AC" w:rsidRPr="00EB2576">
        <w:rPr>
          <w:rFonts w:ascii="Times New Roman" w:hAnsi="Times New Roman" w:cs="Times New Roman"/>
          <w:color w:val="auto"/>
          <w:shd w:val="clear" w:color="auto" w:fill="FFFFFF"/>
        </w:rPr>
        <w:instrText>ADDIN CSL_CITATION {"citationItems":[{"id":"ITEM-1","itemData":{"DOI":"10.1136/archdischild-2013-304340","ISSN":"1743-0585","author":[{"dropping-particle":"","family":"Behjati","given":"Sam","non-dropping-particle":"","parse-names":false,"suffix":""},{"dropping-particle":"","family":"Tarpey","given":"Patrick S","non-dropping-particle":"","parse-names":false,"suffix":""}],"container-title":"Archives of disease in childhood - Education &amp; practice edition","id":"ITEM-1","issue":"6","issued":{"date-parts":[["2013","12"]]},"page":"236-238","title":"What is next generation sequencing?","type":"article-journal","volume":"98"},"uris":["http://www.mendeley.com/documents/?uuid=cf37eb79-97ea-4155-aa20-d54298f73493"]},{"id":"ITEM-2","itemData":{"DOI":"10.4103/2153-3539.103013","ISSN":"21533539","author":[{"dropping-particle":"","family":"Gullapalli","given":"Rama R.","non-dropping-particle":"","parse-names":false,"suffix":""},{"dropping-particle":"V.","family":"Desai","given":"Ketaki","non-dropping-particle":"","parse-names":false,"suffix":""},{"dropping-particle":"","family":"Santana-Santos","given":"Lucas","non-dropping-particle":"","parse-names":false,"suffix":""},{"dropping-particle":"","family":"Kant","given":"Jeffrey A.","non-dropping-particle":"","parse-names":false,"suffix":""},{"dropping-particle":"","family":"Becich","given":"Michael J.","non-dropping-particle":"","parse-names":false,"suffix":""}],"container-title":"Journal of Pathology Informatics","id":"ITEM-2","issue":"1","issued":{"date-parts":[["2012","1"]]},"page":"40","title":"Next generation sequencing in clinical medicine: Challenges and lessons for pathology and biomedical informatics","type":"article-journal","volume":"3"},"uris":["http://www.mendeley.com/documents/?uuid=ea46c753-29c8-45be-bc71-2a1fe181ccc2"]}],"mendeley":{"formattedCitation":"&lt;sup&gt;186,187&lt;/sup&gt;","plainTextFormattedCitation":"186,187","previouslyFormattedCitation":"&lt;sup&gt;186,187&lt;/sup&gt;"},"properties":{"noteIndex":0},"schema":"https://github.com/citation-style-language/schema/raw/master/csl-citation.json"}</w:instrText>
      </w:r>
      <w:r w:rsidR="00310E4A" w:rsidRPr="00EB2576">
        <w:rPr>
          <w:rFonts w:ascii="Times New Roman" w:hAnsi="Times New Roman" w:cs="Times New Roman"/>
          <w:color w:val="auto"/>
          <w:shd w:val="clear" w:color="auto" w:fill="FFFFFF"/>
        </w:rPr>
        <w:fldChar w:fldCharType="separate"/>
      </w:r>
      <w:r w:rsidR="00201474" w:rsidRPr="00EB2576">
        <w:rPr>
          <w:rFonts w:ascii="Times New Roman" w:hAnsi="Times New Roman" w:cs="Times New Roman"/>
          <w:noProof/>
          <w:color w:val="auto"/>
          <w:shd w:val="clear" w:color="auto" w:fill="FFFFFF"/>
          <w:vertAlign w:val="superscript"/>
        </w:rPr>
        <w:t>186,187</w:t>
      </w:r>
      <w:r w:rsidR="00310E4A" w:rsidRPr="00EB2576">
        <w:rPr>
          <w:rFonts w:ascii="Times New Roman" w:hAnsi="Times New Roman" w:cs="Times New Roman"/>
          <w:color w:val="auto"/>
          <w:shd w:val="clear" w:color="auto" w:fill="FFFFFF"/>
        </w:rPr>
        <w:fldChar w:fldCharType="end"/>
      </w:r>
      <w:r w:rsidR="007257A9" w:rsidRPr="00EB2576">
        <w:rPr>
          <w:rFonts w:ascii="Times New Roman" w:hAnsi="Times New Roman" w:cs="Times New Roman"/>
          <w:color w:val="auto"/>
          <w:shd w:val="clear" w:color="auto" w:fill="FFFFFF"/>
        </w:rPr>
        <w:t>.</w:t>
      </w:r>
      <w:r w:rsidR="00310E4A" w:rsidRPr="00EB2576">
        <w:rPr>
          <w:rFonts w:ascii="Times New Roman" w:hAnsi="Times New Roman" w:cs="Times New Roman"/>
          <w:color w:val="auto"/>
          <w:shd w:val="clear" w:color="auto" w:fill="FFFFFF"/>
        </w:rPr>
        <w:t xml:space="preserve"> </w:t>
      </w:r>
      <w:r w:rsidR="003C7F76" w:rsidRPr="00EB2576">
        <w:rPr>
          <w:rFonts w:ascii="Times New Roman" w:hAnsi="Times New Roman" w:cs="Times New Roman"/>
          <w:color w:val="auto"/>
          <w:shd w:val="clear" w:color="auto" w:fill="FFFFFF"/>
        </w:rPr>
        <w:t xml:space="preserve">Infliximab designer full </w:t>
      </w:r>
      <w:r w:rsidR="00AE1EBE" w:rsidRPr="00EB2576">
        <w:rPr>
          <w:rFonts w:ascii="Times New Roman" w:hAnsi="Times New Roman" w:cs="Times New Roman"/>
          <w:color w:val="auto"/>
          <w:shd w:val="clear" w:color="auto" w:fill="FFFFFF"/>
        </w:rPr>
        <w:t>GFL</w:t>
      </w:r>
      <w:r w:rsidR="00310E4A" w:rsidRPr="00EB2576">
        <w:rPr>
          <w:rFonts w:ascii="Times New Roman" w:hAnsi="Times New Roman" w:cs="Times New Roman"/>
          <w:color w:val="auto"/>
          <w:shd w:val="clear" w:color="auto" w:fill="FFFFFF"/>
        </w:rPr>
        <w:t xml:space="preserve"> p</w:t>
      </w:r>
      <w:r w:rsidR="00AE1EBE" w:rsidRPr="00EB2576">
        <w:rPr>
          <w:rFonts w:ascii="Times New Roman" w:hAnsi="Times New Roman" w:cs="Times New Roman"/>
          <w:color w:val="auto"/>
          <w:shd w:val="clear" w:color="auto" w:fill="FFFFFF"/>
        </w:rPr>
        <w:t>h</w:t>
      </w:r>
      <w:r w:rsidR="00310E4A" w:rsidRPr="00EB2576">
        <w:rPr>
          <w:rFonts w:ascii="Times New Roman" w:hAnsi="Times New Roman" w:cs="Times New Roman"/>
          <w:color w:val="auto"/>
          <w:shd w:val="clear" w:color="auto" w:fill="FFFFFF"/>
        </w:rPr>
        <w:t>a</w:t>
      </w:r>
      <w:r w:rsidR="00A92951" w:rsidRPr="00EB2576">
        <w:rPr>
          <w:rFonts w:ascii="Times New Roman" w:hAnsi="Times New Roman" w:cs="Times New Roman"/>
          <w:color w:val="auto"/>
          <w:shd w:val="clear" w:color="auto" w:fill="FFFFFF"/>
        </w:rPr>
        <w:t>gemid</w:t>
      </w:r>
      <w:r w:rsidR="00310E4A" w:rsidRPr="00EB2576">
        <w:rPr>
          <w:rFonts w:ascii="Times New Roman" w:hAnsi="Times New Roman" w:cs="Times New Roman"/>
          <w:color w:val="auto"/>
          <w:shd w:val="clear" w:color="auto" w:fill="FFFFFF"/>
        </w:rPr>
        <w:t xml:space="preserve"> DNA</w:t>
      </w:r>
      <w:r w:rsidR="003C7F76" w:rsidRPr="00EB2576">
        <w:rPr>
          <w:rFonts w:ascii="Times New Roman" w:hAnsi="Times New Roman" w:cs="Times New Roman"/>
          <w:color w:val="auto"/>
          <w:shd w:val="clear" w:color="auto" w:fill="FFFFFF"/>
        </w:rPr>
        <w:t xml:space="preserve"> </w:t>
      </w:r>
      <w:r w:rsidR="001B757D" w:rsidRPr="00EB2576">
        <w:rPr>
          <w:rFonts w:ascii="Times New Roman" w:hAnsi="Times New Roman" w:cs="Times New Roman"/>
          <w:color w:val="auto"/>
          <w:shd w:val="clear" w:color="auto" w:fill="FFFFFF"/>
        </w:rPr>
        <w:t>was extracted from </w:t>
      </w:r>
      <w:r w:rsidR="001B757D" w:rsidRPr="00EB2576">
        <w:rPr>
          <w:rFonts w:ascii="Times New Roman" w:hAnsi="Times New Roman" w:cs="Times New Roman"/>
          <w:i/>
          <w:iCs/>
          <w:color w:val="auto"/>
          <w:shd w:val="clear" w:color="auto" w:fill="FFFFFF"/>
        </w:rPr>
        <w:t>E. coli </w:t>
      </w:r>
      <w:r w:rsidR="001B757D" w:rsidRPr="00EB2576">
        <w:rPr>
          <w:rFonts w:ascii="Times New Roman" w:hAnsi="Times New Roman" w:cs="Times New Roman"/>
          <w:color w:val="auto"/>
          <w:shd w:val="clear" w:color="auto" w:fill="FFFFFF"/>
        </w:rPr>
        <w:t xml:space="preserve">cultures to obtain template DNA for NGS. PCR </w:t>
      </w:r>
      <w:r w:rsidR="00231CC8" w:rsidRPr="00EB2576">
        <w:rPr>
          <w:rFonts w:ascii="Times New Roman" w:hAnsi="Times New Roman" w:cs="Times New Roman"/>
          <w:color w:val="auto"/>
          <w:shd w:val="clear" w:color="auto" w:fill="FFFFFF"/>
        </w:rPr>
        <w:t xml:space="preserve">of the DNA </w:t>
      </w:r>
      <w:r w:rsidR="001B757D" w:rsidRPr="00EB2576">
        <w:rPr>
          <w:rFonts w:ascii="Times New Roman" w:hAnsi="Times New Roman" w:cs="Times New Roman"/>
          <w:color w:val="auto"/>
          <w:shd w:val="clear" w:color="auto" w:fill="FFFFFF"/>
        </w:rPr>
        <w:t>was performed</w:t>
      </w:r>
      <w:r w:rsidR="00310E4A" w:rsidRPr="00EB2576">
        <w:rPr>
          <w:rFonts w:ascii="Times New Roman" w:hAnsi="Times New Roman" w:cs="Times New Roman"/>
          <w:color w:val="auto"/>
          <w:shd w:val="clear" w:color="auto" w:fill="FFFFFF"/>
        </w:rPr>
        <w:t xml:space="preserve">, </w:t>
      </w:r>
      <w:r w:rsidR="00A92951" w:rsidRPr="00EB2576">
        <w:rPr>
          <w:rFonts w:ascii="Times New Roman" w:hAnsi="Times New Roman" w:cs="Times New Roman"/>
          <w:color w:val="auto"/>
          <w:shd w:val="clear" w:color="auto" w:fill="FFFFFF"/>
        </w:rPr>
        <w:t xml:space="preserve">the </w:t>
      </w:r>
      <w:r w:rsidR="001B757D" w:rsidRPr="00EB2576">
        <w:rPr>
          <w:rFonts w:ascii="Times New Roman" w:hAnsi="Times New Roman" w:cs="Times New Roman"/>
          <w:color w:val="auto"/>
          <w:shd w:val="clear" w:color="auto" w:fill="FFFFFF"/>
        </w:rPr>
        <w:t xml:space="preserve">resulting PCR products purified, multiplexed and ran on the Illumina </w:t>
      </w:r>
      <w:proofErr w:type="spellStart"/>
      <w:r w:rsidR="001B757D" w:rsidRPr="00EB2576">
        <w:rPr>
          <w:rFonts w:ascii="Times New Roman" w:hAnsi="Times New Roman" w:cs="Times New Roman"/>
          <w:color w:val="auto"/>
          <w:shd w:val="clear" w:color="auto" w:fill="FFFFFF"/>
        </w:rPr>
        <w:t>MiSeq</w:t>
      </w:r>
      <w:proofErr w:type="spellEnd"/>
      <w:r w:rsidR="001B757D" w:rsidRPr="00EB2576">
        <w:rPr>
          <w:rFonts w:ascii="Times New Roman" w:hAnsi="Times New Roman" w:cs="Times New Roman"/>
          <w:color w:val="auto"/>
          <w:shd w:val="clear" w:color="auto" w:fill="FFFFFF"/>
        </w:rPr>
        <w:t xml:space="preserve"> (Illumina, San Diego, United States) according to the manufacturer’s protocol.</w:t>
      </w:r>
      <w:r w:rsidR="00310E4A" w:rsidRPr="00EB2576">
        <w:rPr>
          <w:rFonts w:ascii="Times New Roman" w:hAnsi="Times New Roman" w:cs="Times New Roman"/>
          <w:color w:val="auto"/>
          <w:shd w:val="clear" w:color="auto" w:fill="FFFFFF"/>
        </w:rPr>
        <w:t xml:space="preserve"> </w:t>
      </w:r>
      <w:bookmarkStart w:id="249" w:name="_Hlk67146874"/>
    </w:p>
    <w:p w14:paraId="5C8C7479" w14:textId="77777777" w:rsidR="00231CC8" w:rsidRPr="00EB2576" w:rsidRDefault="00231CC8" w:rsidP="00310E4A">
      <w:pPr>
        <w:pStyle w:val="NormalWeb"/>
        <w:shd w:val="clear" w:color="auto" w:fill="FFFFFF"/>
        <w:spacing w:before="0" w:beforeAutospacing="0" w:after="0" w:afterAutospacing="0" w:line="480" w:lineRule="auto"/>
        <w:textAlignment w:val="baseline"/>
        <w:rPr>
          <w:kern w:val="24"/>
        </w:rPr>
      </w:pPr>
    </w:p>
    <w:p w14:paraId="058CF12F" w14:textId="7A9F424E" w:rsidR="0048487E" w:rsidRPr="00EB2576" w:rsidRDefault="0048487E" w:rsidP="00310E4A">
      <w:pPr>
        <w:pStyle w:val="NormalWeb"/>
        <w:shd w:val="clear" w:color="auto" w:fill="FFFFFF"/>
        <w:spacing w:before="0" w:beforeAutospacing="0" w:after="0" w:afterAutospacing="0" w:line="480" w:lineRule="auto"/>
        <w:textAlignment w:val="baseline"/>
        <w:rPr>
          <w:b/>
          <w:bCs/>
          <w:bdr w:val="none" w:sz="0" w:space="0" w:color="auto" w:frame="1"/>
        </w:rPr>
      </w:pPr>
      <w:r w:rsidRPr="00EB2576">
        <w:rPr>
          <w:lang w:val="en-US"/>
        </w:rPr>
        <w:t>PIII phagemid vector pNIBS1</w:t>
      </w:r>
      <w:r w:rsidR="00310E4A" w:rsidRPr="00EB2576">
        <w:rPr>
          <w:lang w:val="en-US"/>
        </w:rPr>
        <w:t xml:space="preserve"> </w:t>
      </w:r>
      <w:r w:rsidR="00052761" w:rsidRPr="00EB2576">
        <w:rPr>
          <w:lang w:val="en-US"/>
        </w:rPr>
        <w:fldChar w:fldCharType="begin" w:fldLock="1"/>
      </w:r>
      <w:r w:rsidR="009577AC" w:rsidRPr="00EB2576">
        <w:rPr>
          <w:lang w:val="en-US"/>
        </w:rPr>
        <w:instrText>ADDIN CSL_CITATION {"citationItems":[{"id":"ITEM-1","itemData":{"DOI":"10.1371/journal.pone.0103294","ISSN":"1932-6203","author":[{"dropping-particle":"","family":"Hufton","given":"Simon E.","non-dropping-particle":"","parse-names":false,"suffix":""},{"dropping-particle":"","family":"Risley","given":"Paul","non-dropping-particle":"","parse-names":false,"suffix":""},{"dropping-particle":"","family":"Ball","given":"Christina R.","non-dropping-particle":"","parse-names":false,"suffix":""},{"dropping-particle":"","family":"Major","given":"Diane","non-dropping-particle":"","parse-names":false,"suffix":""},{"dropping-particle":"","family":"Engelhardt","given":"Othmar G.","non-dropping-particle":"","parse-names":false,"suffix":""},{"dropping-particle":"","family":"Poole","given":"Stephen","non-dropping-particle":"","parse-names":false,"suffix":""}],"container-title":"PLoS ONE","editor":[{"dropping-particle":"","family":"Pöhlmann","given":"Stefan","non-dropping-particle":"","parse-names":false,"suffix":""}],"id":"ITEM-1","issue":"8","issued":{"date-parts":[["2014","8","1"]]},"page":"e103294","title":"The Breadth of Cross Sub-Type Neutralisation Activity of a Single Domain Antibody to Influenza Hemagglutinin Can Be Increased by Antibody Valency","type":"article-journal","volume":"9"},"uris":["http://www.mendeley.com/documents/?uuid=814307e6-e8e8-47b5-9c49-50728d394fa7"]}],"mendeley":{"formattedCitation":"&lt;sup&gt;183&lt;/sup&gt;","plainTextFormattedCitation":"183","previouslyFormattedCitation":"&lt;sup&gt;183&lt;/sup&gt;"},"properties":{"noteIndex":0},"schema":"https://github.com/citation-style-language/schema/raw/master/csl-citation.json"}</w:instrText>
      </w:r>
      <w:r w:rsidR="00052761" w:rsidRPr="00EB2576">
        <w:rPr>
          <w:lang w:val="en-US"/>
        </w:rPr>
        <w:fldChar w:fldCharType="separate"/>
      </w:r>
      <w:r w:rsidR="00201474" w:rsidRPr="00EB2576">
        <w:rPr>
          <w:noProof/>
          <w:vertAlign w:val="superscript"/>
          <w:lang w:val="en-US"/>
        </w:rPr>
        <w:t>183</w:t>
      </w:r>
      <w:r w:rsidR="00052761" w:rsidRPr="00EB2576">
        <w:rPr>
          <w:lang w:val="en-US"/>
        </w:rPr>
        <w:fldChar w:fldCharType="end"/>
      </w:r>
      <w:bookmarkStart w:id="250" w:name="_Hlk74918039"/>
      <w:r w:rsidR="00586BF5" w:rsidRPr="00EB2576">
        <w:rPr>
          <w:lang w:val="en-US"/>
        </w:rPr>
        <w:t xml:space="preserve"> </w:t>
      </w:r>
      <w:r w:rsidRPr="00EB2576">
        <w:t>(</w:t>
      </w:r>
      <w:r w:rsidRPr="00EB2576">
        <w:rPr>
          <w:lang w:val="en-US"/>
        </w:rPr>
        <w:t xml:space="preserve">designed and constructed in house at National Institute of Biological Standards and Control) </w:t>
      </w:r>
      <w:bookmarkEnd w:id="249"/>
      <w:bookmarkEnd w:id="250"/>
      <w:r w:rsidRPr="00EB2576">
        <w:rPr>
          <w:kern w:val="24"/>
        </w:rPr>
        <w:t xml:space="preserve">was digested with </w:t>
      </w:r>
      <w:proofErr w:type="spellStart"/>
      <w:r w:rsidRPr="00EB2576">
        <w:rPr>
          <w:i/>
          <w:kern w:val="24"/>
        </w:rPr>
        <w:t>SmaI</w:t>
      </w:r>
      <w:proofErr w:type="spellEnd"/>
      <w:r w:rsidRPr="00EB2576">
        <w:rPr>
          <w:kern w:val="24"/>
        </w:rPr>
        <w:t xml:space="preserve"> </w:t>
      </w:r>
      <w:r w:rsidRPr="00EB2576">
        <w:t>(</w:t>
      </w:r>
      <w:r w:rsidRPr="00EB2576">
        <w:rPr>
          <w:kern w:val="24"/>
        </w:rPr>
        <w:t xml:space="preserve">New England </w:t>
      </w:r>
      <w:proofErr w:type="spellStart"/>
      <w:r w:rsidRPr="00EB2576">
        <w:rPr>
          <w:kern w:val="24"/>
        </w:rPr>
        <w:t>BioLabs</w:t>
      </w:r>
      <w:proofErr w:type="spellEnd"/>
      <w:r w:rsidRPr="00EB2576">
        <w:rPr>
          <w:kern w:val="24"/>
        </w:rPr>
        <w:t xml:space="preserve">, </w:t>
      </w:r>
      <w:r w:rsidRPr="00EB2576">
        <w:rPr>
          <w:shd w:val="clear" w:color="auto" w:fill="FFFFFF"/>
        </w:rPr>
        <w:t>Massachusetts, United States</w:t>
      </w:r>
      <w:r w:rsidRPr="00EB2576">
        <w:t>),</w:t>
      </w:r>
      <w:r w:rsidRPr="00EB2576">
        <w:rPr>
          <w:kern w:val="24"/>
        </w:rPr>
        <w:t xml:space="preserve">) and purified. The infliximab fragments were ligated into </w:t>
      </w:r>
      <w:r w:rsidRPr="00EB2576">
        <w:rPr>
          <w:lang w:val="en-US"/>
        </w:rPr>
        <w:t>pNIBS1</w:t>
      </w:r>
      <w:r w:rsidRPr="00EB2576">
        <w:t xml:space="preserve">. </w:t>
      </w:r>
      <w:r w:rsidRPr="00EB2576">
        <w:rPr>
          <w:lang w:val="en-US"/>
        </w:rPr>
        <w:t xml:space="preserve">The ligation mixture was used to transform </w:t>
      </w:r>
      <w:r w:rsidRPr="00EB2576">
        <w:rPr>
          <w:i/>
          <w:kern w:val="24"/>
        </w:rPr>
        <w:t>E</w:t>
      </w:r>
      <w:r w:rsidR="00CD51BF" w:rsidRPr="00EB2576">
        <w:rPr>
          <w:i/>
          <w:kern w:val="24"/>
        </w:rPr>
        <w:t xml:space="preserve">. </w:t>
      </w:r>
      <w:r w:rsidRPr="00EB2576">
        <w:rPr>
          <w:i/>
          <w:kern w:val="24"/>
        </w:rPr>
        <w:t>coli</w:t>
      </w:r>
      <w:r w:rsidRPr="00EB2576">
        <w:rPr>
          <w:kern w:val="24"/>
        </w:rPr>
        <w:t xml:space="preserve"> TG1 cells (Agilent Technologies, California, United States) by electroporation to obtain two libraries of &gt; 10</w:t>
      </w:r>
      <w:r w:rsidRPr="00EB2576">
        <w:rPr>
          <w:kern w:val="24"/>
          <w:vertAlign w:val="superscript"/>
        </w:rPr>
        <w:t>6</w:t>
      </w:r>
      <w:r w:rsidRPr="00EB2576">
        <w:rPr>
          <w:kern w:val="24"/>
        </w:rPr>
        <w:t xml:space="preserve">, which were combined. </w:t>
      </w:r>
    </w:p>
    <w:p w14:paraId="10D5A41C" w14:textId="77777777" w:rsidR="00000ADA" w:rsidRPr="00EB2576" w:rsidRDefault="00000ADA" w:rsidP="0048487E">
      <w:pPr>
        <w:spacing w:line="480" w:lineRule="auto"/>
        <w:rPr>
          <w:rFonts w:ascii="Times New Roman" w:eastAsia="Times New Roman" w:hAnsi="Times New Roman" w:cs="Times New Roman"/>
          <w:sz w:val="24"/>
          <w:szCs w:val="24"/>
          <w:lang w:val="en-US" w:eastAsia="en-GB"/>
        </w:rPr>
      </w:pPr>
    </w:p>
    <w:p w14:paraId="48607700" w14:textId="685F71B9" w:rsidR="0048487E" w:rsidRPr="00EB2576" w:rsidRDefault="002A294A" w:rsidP="0048487E">
      <w:pPr>
        <w:pStyle w:val="Heading3"/>
        <w:spacing w:line="480" w:lineRule="auto"/>
        <w:rPr>
          <w:rFonts w:ascii="Times New Roman" w:hAnsi="Times New Roman" w:cs="Times New Roman"/>
          <w:b/>
          <w:bCs/>
        </w:rPr>
      </w:pPr>
      <w:bookmarkStart w:id="251" w:name="_Toc151020529"/>
      <w:r w:rsidRPr="00EB2576">
        <w:rPr>
          <w:rFonts w:ascii="Times New Roman" w:hAnsi="Times New Roman" w:cs="Times New Roman"/>
          <w:b/>
          <w:bCs/>
        </w:rPr>
        <w:t>5</w:t>
      </w:r>
      <w:r w:rsidR="0048487E" w:rsidRPr="00EB2576">
        <w:rPr>
          <w:rFonts w:ascii="Times New Roman" w:hAnsi="Times New Roman" w:cs="Times New Roman"/>
          <w:b/>
          <w:bCs/>
        </w:rPr>
        <w:t>.2.</w:t>
      </w:r>
      <w:r w:rsidR="00000ADA" w:rsidRPr="00EB2576">
        <w:rPr>
          <w:rFonts w:ascii="Times New Roman" w:hAnsi="Times New Roman" w:cs="Times New Roman"/>
          <w:b/>
          <w:bCs/>
        </w:rPr>
        <w:t>7</w:t>
      </w:r>
      <w:r w:rsidR="0048487E" w:rsidRPr="00EB2576">
        <w:rPr>
          <w:rFonts w:ascii="Times New Roman" w:hAnsi="Times New Roman" w:cs="Times New Roman"/>
          <w:b/>
          <w:bCs/>
        </w:rPr>
        <w:t xml:space="preserve"> Serological selection of infliximab phage display libraries</w:t>
      </w:r>
      <w:bookmarkEnd w:id="251"/>
    </w:p>
    <w:p w14:paraId="29FCE0EB" w14:textId="41FA86BA" w:rsidR="0048487E" w:rsidRPr="00EB2576" w:rsidRDefault="0048487E" w:rsidP="0048487E">
      <w:pPr>
        <w:tabs>
          <w:tab w:val="left" w:pos="567"/>
          <w:tab w:val="left" w:pos="3544"/>
          <w:tab w:val="left" w:pos="3686"/>
        </w:tabs>
        <w:spacing w:line="480" w:lineRule="auto"/>
        <w:rPr>
          <w:rFonts w:ascii="Times New Roman" w:hAnsi="Times New Roman" w:cs="Times New Roman"/>
          <w:sz w:val="24"/>
          <w:szCs w:val="24"/>
        </w:rPr>
      </w:pPr>
      <w:bookmarkStart w:id="252" w:name="_Hlk82431881"/>
      <w:r w:rsidRPr="00EB2576">
        <w:rPr>
          <w:rFonts w:ascii="Times New Roman" w:hAnsi="Times New Roman" w:cs="Times New Roman"/>
          <w:sz w:val="24"/>
          <w:szCs w:val="24"/>
        </w:rPr>
        <w:t>Sera</w:t>
      </w:r>
      <w:r w:rsidR="00000ADA" w:rsidRPr="00EB2576">
        <w:rPr>
          <w:rFonts w:ascii="Times New Roman" w:hAnsi="Times New Roman" w:cs="Times New Roman"/>
          <w:sz w:val="24"/>
          <w:szCs w:val="24"/>
        </w:rPr>
        <w:t xml:space="preserve"> from the 8 antibody positive patients as shown in Table </w:t>
      </w:r>
      <w:r w:rsidR="007E7866" w:rsidRPr="00EB2576">
        <w:rPr>
          <w:rFonts w:ascii="Times New Roman" w:hAnsi="Times New Roman" w:cs="Times New Roman"/>
          <w:sz w:val="24"/>
          <w:szCs w:val="24"/>
        </w:rPr>
        <w:t>12</w:t>
      </w:r>
      <w:r w:rsidR="00000ADA" w:rsidRPr="00EB2576">
        <w:rPr>
          <w:rFonts w:ascii="Times New Roman" w:hAnsi="Times New Roman" w:cs="Times New Roman"/>
          <w:sz w:val="24"/>
          <w:szCs w:val="24"/>
        </w:rPr>
        <w:t xml:space="preserve"> </w:t>
      </w:r>
      <w:r w:rsidRPr="00EB2576">
        <w:rPr>
          <w:rFonts w:ascii="Times New Roman" w:hAnsi="Times New Roman" w:cs="Times New Roman"/>
          <w:sz w:val="24"/>
          <w:szCs w:val="24"/>
        </w:rPr>
        <w:t>were pooled for biopanning of the infliximab designer full gene fragment phage display library.</w:t>
      </w:r>
      <w:bookmarkEnd w:id="252"/>
    </w:p>
    <w:p w14:paraId="654D6CDD" w14:textId="25E30992" w:rsidR="0048487E" w:rsidRPr="00EB2576" w:rsidRDefault="0048487E" w:rsidP="0048487E">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10 µL of phage library stock was used for each round of selection. The library was packaged using </w:t>
      </w:r>
      <w:bookmarkStart w:id="253" w:name="_Hlk137627233"/>
      <w:proofErr w:type="spellStart"/>
      <w:r w:rsidR="003C7F76" w:rsidRPr="00EB2576">
        <w:rPr>
          <w:rFonts w:ascii="Times New Roman" w:hAnsi="Times New Roman" w:cs="Times New Roman"/>
          <w:sz w:val="24"/>
          <w:szCs w:val="24"/>
        </w:rPr>
        <w:t>H</w:t>
      </w:r>
      <w:r w:rsidRPr="00EB2576">
        <w:rPr>
          <w:rFonts w:ascii="Times New Roman" w:hAnsi="Times New Roman" w:cs="Times New Roman"/>
          <w:sz w:val="24"/>
          <w:szCs w:val="24"/>
        </w:rPr>
        <w:t>yperphage</w:t>
      </w:r>
      <w:proofErr w:type="spellEnd"/>
      <w:r w:rsidRPr="00EB2576">
        <w:rPr>
          <w:rFonts w:ascii="Times New Roman" w:hAnsi="Times New Roman" w:cs="Times New Roman"/>
          <w:sz w:val="24"/>
          <w:szCs w:val="24"/>
        </w:rPr>
        <w:t xml:space="preserve"> </w:t>
      </w:r>
      <w:r w:rsidR="006455EB" w:rsidRPr="00EB2576">
        <w:rPr>
          <w:rFonts w:ascii="Times New Roman" w:hAnsi="Times New Roman" w:cs="Times New Roman"/>
          <w:sz w:val="24"/>
          <w:szCs w:val="24"/>
        </w:rPr>
        <w:t>as the helper phage</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978-3-642-01144-3_14","author":[{"dropping-particle":"","family":"Breitling","given":"Frank","non-dropping-particle":"","parse-names":false,"suffix":""},{"dropping-particle":"","family":"Broders","given":"Olaf","non-dropping-particle":"","parse-names":false,"suffix":""},{"dropping-particle":"","family":"Helmsing","given":"Saskia","non-dropping-particle":"","parse-names":false,"suffix":""},{"dropping-particle":"","family":"Hust","given":"Michael","non-dropping-particle":"","parse-names":false,"suffix":""},{"dropping-particle":"","family":"Dübel","given":"Stefan","non-dropping-particle":"","parse-names":false,"suffix":""}],"container-title":"Antibody Engineering","id":"ITEM-1","issued":{"date-parts":[["2010"]]},"page":"197-206","publisher":"Springer Berlin Heidelberg","publisher-place":"Berlin, Heidelberg","title":"Improving Phage Display Throughput by Using Hyperphage, Miniaturized Titration and pVIII (g8p) ELISA","type":"chapter"},"uris":["http://www.mendeley.com/documents/?uuid=1c55873a-4e6a-41e0-a5fd-de10791f0f4e"]},{"id":"ITEM-2","itemData":{"DOI":"10.1371/journal.pntd.0007131","ISSN":"1935-2735","author":[{"dropping-particle":"","family":"Ramli","given":"Siti Roszilawati","non-dropping-particle":"","parse-names":false,"suffix":""},{"dropping-particle":"","family":"Moreira","given":"Gustavo M. S. G.","non-dropping-particle":"","parse-names":false,"suffix":""},{"dropping-particle":"","family":"Zantow","given":"Jonas","non-dropping-particle":"","parse-names":false,"suffix":""},{"dropping-particle":"","family":"Goris","given":"Marga G. A.","non-dropping-particle":"","parse-names":false,"suffix":""},{"dropping-particle":"","family":"Nguyen","given":"Van Kinh","non-dropping-particle":"","parse-names":false,"suffix":""},{"dropping-particle":"","family":"Novoselova","given":"Natalia","non-dropping-particle":"","parse-names":false,"suffix":""},{"dropping-particle":"","family":"Pessler","given":"Frank","non-dropping-particle":"","parse-names":false,"suffix":""},{"dropping-particle":"","family":"Hust","given":"Michael","non-dropping-particle":"","parse-names":false,"suffix":""}],"container-title":"PLOS Neglected Tropical Diseases","editor":[{"dropping-particle":"","family":"Coburn","given":"Jenifer","non-dropping-particle":"","parse-names":false,"suffix":""}],"id":"ITEM-2","issue":"1","issued":{"date-parts":[["2019","1","24"]]},"page":"e0007131","title":"Discovery of Leptospira spp. seroreactive peptides using ORFeome phage display","type":"article-journal","volume":"13"},"uris":["http://www.mendeley.com/documents/?uuid=647a8814-c834-4af8-9364-e6b04cff1680"]}],"mendeley":{"formattedCitation":"&lt;sup&gt;188,189&lt;/sup&gt;","plainTextFormattedCitation":"188,189","previouslyFormattedCitation":"&lt;sup&gt;188,189&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188,189</w:t>
      </w:r>
      <w:r w:rsidRPr="00EB2576">
        <w:rPr>
          <w:rFonts w:ascii="Times New Roman" w:hAnsi="Times New Roman" w:cs="Times New Roman"/>
          <w:sz w:val="24"/>
          <w:szCs w:val="24"/>
        </w:rPr>
        <w:fldChar w:fldCharType="end"/>
      </w:r>
      <w:bookmarkEnd w:id="253"/>
      <w:r w:rsidR="00ED080E" w:rsidRPr="00EB2576">
        <w:rPr>
          <w:rFonts w:ascii="Times New Roman" w:hAnsi="Times New Roman" w:cs="Times New Roman"/>
          <w:sz w:val="24"/>
          <w:szCs w:val="24"/>
        </w:rPr>
        <w:t xml:space="preserve">. </w:t>
      </w:r>
      <w:proofErr w:type="spellStart"/>
      <w:r w:rsidR="00ED080E" w:rsidRPr="00EB2576">
        <w:rPr>
          <w:rFonts w:ascii="Times New Roman" w:hAnsi="Times New Roman" w:cs="Times New Roman"/>
          <w:sz w:val="24"/>
          <w:szCs w:val="24"/>
        </w:rPr>
        <w:t>Hyperphage</w:t>
      </w:r>
      <w:proofErr w:type="spellEnd"/>
      <w:r w:rsidR="00ED080E" w:rsidRPr="00EB2576">
        <w:rPr>
          <w:rFonts w:ascii="Times New Roman" w:hAnsi="Times New Roman" w:cs="Times New Roman"/>
          <w:sz w:val="24"/>
          <w:szCs w:val="24"/>
        </w:rPr>
        <w:t xml:space="preserve"> has a deletion in the </w:t>
      </w:r>
      <w:proofErr w:type="spellStart"/>
      <w:r w:rsidR="00ED080E" w:rsidRPr="00EB2576">
        <w:rPr>
          <w:rFonts w:ascii="Times New Roman" w:hAnsi="Times New Roman" w:cs="Times New Roman"/>
          <w:sz w:val="24"/>
          <w:szCs w:val="24"/>
        </w:rPr>
        <w:t>pIII</w:t>
      </w:r>
      <w:proofErr w:type="spellEnd"/>
      <w:r w:rsidR="00ED080E" w:rsidRPr="00EB2576">
        <w:rPr>
          <w:rFonts w:ascii="Times New Roman" w:hAnsi="Times New Roman" w:cs="Times New Roman"/>
          <w:sz w:val="24"/>
          <w:szCs w:val="24"/>
        </w:rPr>
        <w:t xml:space="preserve"> gene ensuring there is no wild type </w:t>
      </w:r>
      <w:proofErr w:type="spellStart"/>
      <w:r w:rsidR="00ED080E" w:rsidRPr="00EB2576">
        <w:rPr>
          <w:rFonts w:ascii="Times New Roman" w:hAnsi="Times New Roman" w:cs="Times New Roman"/>
          <w:sz w:val="24"/>
          <w:szCs w:val="24"/>
        </w:rPr>
        <w:t>pIII</w:t>
      </w:r>
      <w:proofErr w:type="spellEnd"/>
      <w:r w:rsidR="00ED080E" w:rsidRPr="00EB2576">
        <w:rPr>
          <w:rFonts w:ascii="Times New Roman" w:hAnsi="Times New Roman" w:cs="Times New Roman"/>
          <w:sz w:val="24"/>
          <w:szCs w:val="24"/>
        </w:rPr>
        <w:t xml:space="preserve"> gene for competition with the phagemid </w:t>
      </w:r>
      <w:proofErr w:type="spellStart"/>
      <w:r w:rsidR="00ED080E" w:rsidRPr="00EB2576">
        <w:rPr>
          <w:rFonts w:ascii="Times New Roman" w:hAnsi="Times New Roman" w:cs="Times New Roman"/>
          <w:sz w:val="24"/>
          <w:szCs w:val="24"/>
        </w:rPr>
        <w:t>pIII</w:t>
      </w:r>
      <w:proofErr w:type="spellEnd"/>
      <w:r w:rsidR="00ED080E" w:rsidRPr="00EB2576">
        <w:rPr>
          <w:rFonts w:ascii="Times New Roman" w:hAnsi="Times New Roman" w:cs="Times New Roman"/>
          <w:sz w:val="24"/>
          <w:szCs w:val="24"/>
        </w:rPr>
        <w:t xml:space="preserve">. Therefore, the latter with its </w:t>
      </w:r>
      <w:r w:rsidR="003C7F76" w:rsidRPr="00EB2576">
        <w:rPr>
          <w:rFonts w:ascii="Times New Roman" w:hAnsi="Times New Roman" w:cs="Times New Roman"/>
          <w:sz w:val="24"/>
          <w:szCs w:val="24"/>
        </w:rPr>
        <w:t xml:space="preserve">fused </w:t>
      </w:r>
      <w:r w:rsidR="00ED080E" w:rsidRPr="00EB2576">
        <w:rPr>
          <w:rFonts w:ascii="Times New Roman" w:hAnsi="Times New Roman" w:cs="Times New Roman"/>
          <w:sz w:val="24"/>
          <w:szCs w:val="24"/>
        </w:rPr>
        <w:t xml:space="preserve">gene fragment of interest will be used in phage assembly allowing the </w:t>
      </w:r>
      <w:proofErr w:type="spellStart"/>
      <w:r w:rsidR="00ED080E" w:rsidRPr="00EB2576">
        <w:rPr>
          <w:rFonts w:ascii="Times New Roman" w:hAnsi="Times New Roman" w:cs="Times New Roman"/>
          <w:sz w:val="24"/>
          <w:szCs w:val="24"/>
        </w:rPr>
        <w:t>pIII</w:t>
      </w:r>
      <w:proofErr w:type="spellEnd"/>
      <w:r w:rsidR="00ED080E" w:rsidRPr="00EB2576">
        <w:rPr>
          <w:rFonts w:ascii="Times New Roman" w:hAnsi="Times New Roman" w:cs="Times New Roman"/>
          <w:sz w:val="24"/>
          <w:szCs w:val="24"/>
        </w:rPr>
        <w:t xml:space="preserve">-antibody product to be displayed on all phage particles </w:t>
      </w:r>
      <w:r w:rsidR="00ED080E"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978-3-642-01144-3_14","author":[{"dropping-particle":"","family":"Breitling","given":"Frank","non-dropping-particle":"","parse-names":false,"suffix":""},{"dropping-particle":"","family":"Broders","given":"Olaf","non-dropping-particle":"","parse-names":false,"suffix":""},{"dropping-particle":"","family":"Helmsing","given":"Saskia","non-dropping-particle":"","parse-names":false,"suffix":""},{"dropping-particle":"","family":"Hust","given":"Michael","non-dropping-particle":"","parse-names":false,"suffix":""},{"dropping-particle":"","family":"Dübel","given":"Stefan","non-dropping-particle":"","parse-names":false,"suffix":""}],"container-title":"Antibody Engineering","id":"ITEM-1","issued":{"date-parts":[["2010"]]},"page":"197-206","publisher":"Springer Berlin Heidelberg","publisher-place":"Berlin, Heidelberg","title":"Improving Phage Display Throughput by Using Hyperphage, Miniaturized Titration and pVIII (g8p) ELISA","type":"chapter"},"uris":["http://www.mendeley.com/documents/?uuid=1c55873a-4e6a-41e0-a5fd-de10791f0f4e"]}],"mendeley":{"formattedCitation":"&lt;sup&gt;188&lt;/sup&gt;","plainTextFormattedCitation":"188","previouslyFormattedCitation":"&lt;sup&gt;188&lt;/sup&gt;"},"properties":{"noteIndex":0},"schema":"https://github.com/citation-style-language/schema/raw/master/csl-citation.json"}</w:instrText>
      </w:r>
      <w:r w:rsidR="00ED080E"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188</w:t>
      </w:r>
      <w:r w:rsidR="00ED080E" w:rsidRPr="00EB2576">
        <w:rPr>
          <w:rFonts w:ascii="Times New Roman" w:hAnsi="Times New Roman" w:cs="Times New Roman"/>
          <w:sz w:val="24"/>
          <w:szCs w:val="24"/>
        </w:rPr>
        <w:fldChar w:fldCharType="end"/>
      </w:r>
      <w:r w:rsidR="00ED080E" w:rsidRPr="00EB2576">
        <w:rPr>
          <w:rFonts w:ascii="Times New Roman" w:hAnsi="Times New Roman" w:cs="Times New Roman"/>
          <w:sz w:val="24"/>
          <w:szCs w:val="24"/>
        </w:rPr>
        <w:t xml:space="preserve">. The phage library was </w:t>
      </w:r>
      <w:r w:rsidRPr="00EB2576">
        <w:rPr>
          <w:rFonts w:ascii="Times New Roman" w:hAnsi="Times New Roman" w:cs="Times New Roman"/>
          <w:sz w:val="24"/>
          <w:szCs w:val="24"/>
        </w:rPr>
        <w:t xml:space="preserve">harvested after polyethylene glycol (PEG) precipitation. The input phage was pre-blocked with 2% marvel in phosphate buffered saline (PBS). </w:t>
      </w:r>
    </w:p>
    <w:p w14:paraId="66563DCA" w14:textId="77777777" w:rsidR="0048487E" w:rsidRPr="00EB2576" w:rsidRDefault="0048487E" w:rsidP="0048487E">
      <w:pPr>
        <w:tabs>
          <w:tab w:val="left" w:pos="567"/>
          <w:tab w:val="left" w:pos="3544"/>
          <w:tab w:val="left" w:pos="3686"/>
        </w:tabs>
        <w:spacing w:line="480" w:lineRule="auto"/>
        <w:rPr>
          <w:rFonts w:ascii="Times New Roman" w:hAnsi="Times New Roman" w:cs="Times New Roman"/>
          <w:sz w:val="24"/>
          <w:szCs w:val="24"/>
        </w:rPr>
      </w:pPr>
    </w:p>
    <w:p w14:paraId="5F41096B" w14:textId="655A65FD" w:rsidR="005A641A" w:rsidRPr="00EB2576" w:rsidRDefault="0048487E" w:rsidP="005A641A">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For selection of the infliximab </w:t>
      </w:r>
      <w:r w:rsidR="00F45674" w:rsidRPr="00EB2576">
        <w:rPr>
          <w:rFonts w:ascii="Times New Roman" w:hAnsi="Times New Roman" w:cs="Times New Roman"/>
          <w:sz w:val="24"/>
          <w:szCs w:val="24"/>
        </w:rPr>
        <w:t>GFL</w:t>
      </w:r>
      <w:r w:rsidRPr="00EB2576">
        <w:rPr>
          <w:rFonts w:ascii="Times New Roman" w:hAnsi="Times New Roman" w:cs="Times New Roman"/>
          <w:sz w:val="24"/>
          <w:szCs w:val="24"/>
        </w:rPr>
        <w:t xml:space="preserve"> 8 µL of pooled sera: 1 µL from each antibody positive patient in 100 µL of PBS was applied to the wells of Nunc polystyrene 96-well </w:t>
      </w:r>
      <w:proofErr w:type="spellStart"/>
      <w:r w:rsidRPr="00EB2576">
        <w:rPr>
          <w:rFonts w:ascii="Times New Roman" w:hAnsi="Times New Roman" w:cs="Times New Roman"/>
          <w:sz w:val="24"/>
          <w:szCs w:val="24"/>
        </w:rPr>
        <w:t>microtitre</w:t>
      </w:r>
      <w:proofErr w:type="spellEnd"/>
      <w:r w:rsidRPr="00EB2576">
        <w:rPr>
          <w:rFonts w:ascii="Times New Roman" w:hAnsi="Times New Roman" w:cs="Times New Roman"/>
          <w:sz w:val="24"/>
          <w:szCs w:val="24"/>
        </w:rPr>
        <w:t xml:space="preserve"> plates (Nunc, Roskilde, Denmark). For the blank selection, only PBS was used. </w:t>
      </w:r>
      <w:bookmarkStart w:id="254" w:name="_Hlk115347281"/>
      <w:r w:rsidRPr="00EB2576">
        <w:rPr>
          <w:rFonts w:ascii="Times New Roman" w:hAnsi="Times New Roman" w:cs="Times New Roman"/>
          <w:sz w:val="24"/>
          <w:szCs w:val="24"/>
        </w:rPr>
        <w:t>Plates were incubated overnight at 4</w:t>
      </w:r>
      <w:r w:rsidRPr="00EB2576">
        <w:rPr>
          <w:rFonts w:ascii="Times New Roman" w:hAnsi="Times New Roman" w:cs="Times New Roman"/>
          <w:sz w:val="24"/>
          <w:szCs w:val="24"/>
          <w:vertAlign w:val="superscript"/>
        </w:rPr>
        <w:t>o</w:t>
      </w:r>
      <w:r w:rsidR="00000ADA" w:rsidRPr="00EB2576">
        <w:rPr>
          <w:rFonts w:ascii="Times New Roman" w:hAnsi="Times New Roman" w:cs="Times New Roman"/>
          <w:sz w:val="24"/>
          <w:szCs w:val="24"/>
        </w:rPr>
        <w:t>c</w:t>
      </w:r>
      <w:r w:rsidRPr="00EB2576">
        <w:rPr>
          <w:rFonts w:ascii="Times New Roman" w:hAnsi="Times New Roman" w:cs="Times New Roman"/>
          <w:sz w:val="24"/>
          <w:szCs w:val="24"/>
        </w:rPr>
        <w:t xml:space="preserve"> to allow antibody binding before washing x 3 with PBS then blocked with 2% marvel in PBS-Tween. After washing, the pre-blocked input phage was added and incubated for 1.5 hour with agitation at room temperature and then 0.5 hour standing to allow binding of antibodies to displayed peptides. The wells were washed for sequentially increasing times from round 1 to 3 with PBS-Tween to remove unbound phage. Bound phage was eluted with Triethylamine for 10 minutes and then rebalanced with 1M Tris hydrochloride pH 7.5.  </w:t>
      </w:r>
    </w:p>
    <w:p w14:paraId="433A9F0A" w14:textId="77777777" w:rsidR="005A641A" w:rsidRPr="00EB2576" w:rsidRDefault="005A641A" w:rsidP="005A641A">
      <w:pPr>
        <w:tabs>
          <w:tab w:val="left" w:pos="567"/>
          <w:tab w:val="left" w:pos="3544"/>
          <w:tab w:val="left" w:pos="3686"/>
        </w:tabs>
        <w:spacing w:line="480" w:lineRule="auto"/>
        <w:rPr>
          <w:rFonts w:ascii="Times New Roman" w:hAnsi="Times New Roman" w:cs="Times New Roman"/>
          <w:sz w:val="24"/>
          <w:szCs w:val="24"/>
        </w:rPr>
      </w:pPr>
    </w:p>
    <w:bookmarkEnd w:id="254"/>
    <w:p w14:paraId="6ACE6738" w14:textId="5690AD3E" w:rsidR="005A641A" w:rsidRPr="00EB2576" w:rsidRDefault="005A641A" w:rsidP="005A641A">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A negative selection was added in rounds 2 and 3: the pre-blocked input phage was incubated with normal sera prior to incubation with the pooled </w:t>
      </w:r>
      <w:r w:rsidR="00F45674" w:rsidRPr="00EB2576">
        <w:rPr>
          <w:rFonts w:ascii="Times New Roman" w:hAnsi="Times New Roman" w:cs="Times New Roman"/>
          <w:sz w:val="24"/>
          <w:szCs w:val="24"/>
        </w:rPr>
        <w:t>ATI positive</w:t>
      </w:r>
      <w:r w:rsidRPr="00EB2576">
        <w:rPr>
          <w:rFonts w:ascii="Times New Roman" w:hAnsi="Times New Roman" w:cs="Times New Roman"/>
          <w:sz w:val="24"/>
          <w:szCs w:val="24"/>
        </w:rPr>
        <w:t xml:space="preserve"> sera. </w:t>
      </w:r>
    </w:p>
    <w:p w14:paraId="413A4809" w14:textId="77777777" w:rsidR="005A641A" w:rsidRPr="00EB2576" w:rsidRDefault="005A641A" w:rsidP="0048487E">
      <w:pPr>
        <w:tabs>
          <w:tab w:val="left" w:pos="567"/>
          <w:tab w:val="left" w:pos="3544"/>
          <w:tab w:val="left" w:pos="3686"/>
        </w:tabs>
        <w:spacing w:line="480" w:lineRule="auto"/>
        <w:rPr>
          <w:rFonts w:ascii="Times New Roman" w:hAnsi="Times New Roman" w:cs="Times New Roman"/>
          <w:sz w:val="24"/>
          <w:szCs w:val="24"/>
        </w:rPr>
      </w:pPr>
    </w:p>
    <w:p w14:paraId="74FBD4C5" w14:textId="7C1E7F93" w:rsidR="006425D1" w:rsidRPr="00EB2576" w:rsidRDefault="006425D1" w:rsidP="006425D1">
      <w:pPr>
        <w:tabs>
          <w:tab w:val="left" w:pos="7950"/>
        </w:tabs>
        <w:rPr>
          <w:rFonts w:ascii="Times New Roman" w:hAnsi="Times New Roman" w:cs="Times New Roman"/>
          <w:sz w:val="24"/>
          <w:szCs w:val="24"/>
        </w:rPr>
      </w:pPr>
      <w:r w:rsidRPr="00EB2576">
        <w:rPr>
          <w:rFonts w:ascii="Times New Roman" w:hAnsi="Times New Roman" w:cs="Times New Roman"/>
          <w:sz w:val="24"/>
          <w:szCs w:val="24"/>
        </w:rPr>
        <w:tab/>
      </w:r>
    </w:p>
    <w:p w14:paraId="695A75E4" w14:textId="631AC85D" w:rsidR="0048487E" w:rsidRPr="00EB2576" w:rsidRDefault="0048487E" w:rsidP="005A641A">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The input phage and selected phage libraries were titrated onto 2 x YT Carbenicillin Glucose </w:t>
      </w:r>
      <w:proofErr w:type="spellStart"/>
      <w:r w:rsidR="006425D1" w:rsidRPr="00EB2576">
        <w:rPr>
          <w:rFonts w:ascii="Times New Roman" w:hAnsi="Times New Roman" w:cs="Times New Roman"/>
          <w:sz w:val="24"/>
          <w:szCs w:val="24"/>
        </w:rPr>
        <w:t>oc</w:t>
      </w:r>
      <w:r w:rsidRPr="00EB2576">
        <w:rPr>
          <w:rFonts w:ascii="Times New Roman" w:hAnsi="Times New Roman" w:cs="Times New Roman"/>
          <w:sz w:val="24"/>
          <w:szCs w:val="24"/>
        </w:rPr>
        <w:t>plates</w:t>
      </w:r>
      <w:proofErr w:type="spellEnd"/>
      <w:r w:rsidRPr="00EB2576">
        <w:rPr>
          <w:rFonts w:ascii="Times New Roman" w:hAnsi="Times New Roman" w:cs="Times New Roman"/>
          <w:sz w:val="24"/>
          <w:szCs w:val="24"/>
        </w:rPr>
        <w:t xml:space="preserve"> and </w:t>
      </w:r>
      <w:bookmarkStart w:id="255" w:name="_Hlk58785581"/>
      <w:r w:rsidRPr="00EB2576">
        <w:rPr>
          <w:rFonts w:ascii="Times New Roman" w:hAnsi="Times New Roman" w:cs="Times New Roman"/>
          <w:sz w:val="24"/>
          <w:szCs w:val="24"/>
        </w:rPr>
        <w:t>incubated overnight at 30°c</w:t>
      </w:r>
      <w:bookmarkEnd w:id="255"/>
      <w:r w:rsidRPr="00EB2576">
        <w:rPr>
          <w:rFonts w:ascii="Times New Roman" w:hAnsi="Times New Roman" w:cs="Times New Roman"/>
          <w:sz w:val="24"/>
          <w:szCs w:val="24"/>
        </w:rPr>
        <w:t xml:space="preserve">. The selected phage mix was also plated and incubated overnight at 30°c, to be scraped and made into glycerol stocks for the next round of selection. </w:t>
      </w:r>
    </w:p>
    <w:p w14:paraId="2C6E890C" w14:textId="77777777" w:rsidR="005A641A" w:rsidRPr="00EB2576" w:rsidRDefault="005A641A" w:rsidP="005A641A">
      <w:pPr>
        <w:tabs>
          <w:tab w:val="left" w:pos="567"/>
          <w:tab w:val="left" w:pos="3544"/>
          <w:tab w:val="left" w:pos="3686"/>
        </w:tabs>
        <w:spacing w:line="480" w:lineRule="auto"/>
        <w:rPr>
          <w:rFonts w:ascii="Times New Roman" w:hAnsi="Times New Roman" w:cs="Times New Roman"/>
          <w:sz w:val="24"/>
          <w:szCs w:val="24"/>
        </w:rPr>
      </w:pPr>
    </w:p>
    <w:p w14:paraId="4E69AA62" w14:textId="3A9E1421" w:rsidR="0048487E" w:rsidRPr="00EB2576" w:rsidRDefault="002A294A" w:rsidP="0048487E">
      <w:pPr>
        <w:pStyle w:val="Heading3"/>
        <w:spacing w:line="480" w:lineRule="auto"/>
        <w:rPr>
          <w:rFonts w:ascii="Times New Roman" w:hAnsi="Times New Roman" w:cs="Times New Roman"/>
          <w:b/>
          <w:bCs/>
        </w:rPr>
      </w:pPr>
      <w:bookmarkStart w:id="256" w:name="_Toc151020530"/>
      <w:r w:rsidRPr="00EB2576">
        <w:rPr>
          <w:rFonts w:ascii="Times New Roman" w:hAnsi="Times New Roman" w:cs="Times New Roman"/>
          <w:b/>
          <w:bCs/>
          <w:lang w:eastAsia="en-GB"/>
        </w:rPr>
        <w:t>5</w:t>
      </w:r>
      <w:r w:rsidR="0048487E" w:rsidRPr="00EB2576">
        <w:rPr>
          <w:rFonts w:ascii="Times New Roman" w:hAnsi="Times New Roman" w:cs="Times New Roman"/>
          <w:b/>
          <w:bCs/>
          <w:lang w:eastAsia="en-GB"/>
        </w:rPr>
        <w:t>.2.</w:t>
      </w:r>
      <w:r w:rsidR="00000ADA" w:rsidRPr="00EB2576">
        <w:rPr>
          <w:rFonts w:ascii="Times New Roman" w:hAnsi="Times New Roman" w:cs="Times New Roman"/>
          <w:b/>
          <w:bCs/>
          <w:lang w:eastAsia="en-GB"/>
        </w:rPr>
        <w:t>8</w:t>
      </w:r>
      <w:r w:rsidR="0048487E" w:rsidRPr="00EB2576">
        <w:rPr>
          <w:rFonts w:ascii="Times New Roman" w:hAnsi="Times New Roman" w:cs="Times New Roman"/>
          <w:b/>
          <w:bCs/>
          <w:lang w:eastAsia="en-GB"/>
        </w:rPr>
        <w:t xml:space="preserve"> </w:t>
      </w:r>
      <w:r w:rsidR="0048487E" w:rsidRPr="00EB2576">
        <w:rPr>
          <w:rFonts w:ascii="Times New Roman" w:hAnsi="Times New Roman" w:cs="Times New Roman"/>
          <w:b/>
          <w:bCs/>
        </w:rPr>
        <w:t>Analysis of Clones</w:t>
      </w:r>
      <w:bookmarkEnd w:id="256"/>
      <w:r w:rsidR="0048487E" w:rsidRPr="00EB2576">
        <w:rPr>
          <w:rFonts w:ascii="Times New Roman" w:hAnsi="Times New Roman" w:cs="Times New Roman"/>
          <w:b/>
          <w:bCs/>
        </w:rPr>
        <w:t xml:space="preserve"> </w:t>
      </w:r>
    </w:p>
    <w:p w14:paraId="46BA436C" w14:textId="77777777" w:rsidR="0048487E" w:rsidRPr="00EB2576" w:rsidRDefault="0048487E"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Colony PCR was performed on rounds 2 and 3 of the infliximab antibody positive selection. </w:t>
      </w:r>
    </w:p>
    <w:p w14:paraId="72B96D8F" w14:textId="6378EA85" w:rsidR="0048487E" w:rsidRPr="00EB2576" w:rsidRDefault="0048487E"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For colony PCR, individual colonies were picked with a sterile pipette. Template DNA was combined with 0.5 </w:t>
      </w:r>
      <w:r w:rsidR="00000ADA" w:rsidRPr="00EB2576">
        <w:rPr>
          <w:rFonts w:ascii="Times New Roman" w:hAnsi="Times New Roman" w:cs="Times New Roman"/>
          <w:sz w:val="24"/>
          <w:szCs w:val="24"/>
        </w:rPr>
        <w:t>µ</w:t>
      </w:r>
      <w:r w:rsidRPr="00EB2576">
        <w:rPr>
          <w:rFonts w:ascii="Times New Roman" w:hAnsi="Times New Roman" w:cs="Times New Roman"/>
          <w:sz w:val="24"/>
          <w:szCs w:val="24"/>
        </w:rPr>
        <w:t>L of 10</w:t>
      </w:r>
      <w:r w:rsidR="00000ADA" w:rsidRPr="00EB2576">
        <w:rPr>
          <w:rFonts w:ascii="Times New Roman" w:hAnsi="Times New Roman" w:cs="Times New Roman"/>
          <w:sz w:val="24"/>
          <w:szCs w:val="24"/>
        </w:rPr>
        <w:t xml:space="preserve"> µ</w:t>
      </w:r>
      <w:r w:rsidRPr="00EB2576">
        <w:rPr>
          <w:rFonts w:ascii="Times New Roman" w:hAnsi="Times New Roman" w:cs="Times New Roman"/>
          <w:sz w:val="24"/>
          <w:szCs w:val="24"/>
        </w:rPr>
        <w:t xml:space="preserve">M forward primer, 0.5 </w:t>
      </w:r>
      <w:r w:rsidR="00000ADA" w:rsidRPr="00EB2576">
        <w:rPr>
          <w:rFonts w:ascii="Times New Roman" w:hAnsi="Times New Roman" w:cs="Times New Roman"/>
          <w:sz w:val="24"/>
          <w:szCs w:val="24"/>
        </w:rPr>
        <w:t>µ</w:t>
      </w:r>
      <w:r w:rsidRPr="00EB2576">
        <w:rPr>
          <w:rFonts w:ascii="Times New Roman" w:hAnsi="Times New Roman" w:cs="Times New Roman"/>
          <w:sz w:val="24"/>
          <w:szCs w:val="24"/>
        </w:rPr>
        <w:t xml:space="preserve">L of 10 </w:t>
      </w:r>
      <w:r w:rsidR="00000ADA" w:rsidRPr="00EB2576">
        <w:rPr>
          <w:rFonts w:ascii="Times New Roman" w:hAnsi="Times New Roman" w:cs="Times New Roman"/>
          <w:sz w:val="24"/>
          <w:szCs w:val="24"/>
        </w:rPr>
        <w:t>µ</w:t>
      </w:r>
      <w:r w:rsidRPr="00EB2576">
        <w:rPr>
          <w:rFonts w:ascii="Times New Roman" w:hAnsi="Times New Roman" w:cs="Times New Roman"/>
          <w:sz w:val="24"/>
          <w:szCs w:val="24"/>
        </w:rPr>
        <w:t xml:space="preserve">M reverse primer, 2.5 </w:t>
      </w:r>
      <w:r w:rsidR="00000ADA" w:rsidRPr="00EB2576">
        <w:rPr>
          <w:rFonts w:ascii="Times New Roman" w:hAnsi="Times New Roman" w:cs="Times New Roman"/>
          <w:sz w:val="24"/>
          <w:szCs w:val="24"/>
        </w:rPr>
        <w:t>µ</w:t>
      </w:r>
      <w:r w:rsidRPr="00EB2576">
        <w:rPr>
          <w:rFonts w:ascii="Times New Roman" w:hAnsi="Times New Roman" w:cs="Times New Roman"/>
          <w:sz w:val="24"/>
          <w:szCs w:val="24"/>
        </w:rPr>
        <w:t xml:space="preserve">L of 10x </w:t>
      </w:r>
      <w:proofErr w:type="spellStart"/>
      <w:r w:rsidRPr="00EB2576">
        <w:rPr>
          <w:rFonts w:ascii="Times New Roman" w:hAnsi="Times New Roman" w:cs="Times New Roman"/>
          <w:sz w:val="24"/>
          <w:szCs w:val="24"/>
        </w:rPr>
        <w:t>ThermoPol</w:t>
      </w:r>
      <w:proofErr w:type="spellEnd"/>
      <w:r w:rsidRPr="00EB2576">
        <w:rPr>
          <w:rFonts w:ascii="Times New Roman" w:hAnsi="Times New Roman" w:cs="Times New Roman"/>
          <w:sz w:val="24"/>
          <w:szCs w:val="24"/>
        </w:rPr>
        <w:t xml:space="preserve"> reaction buffer, Taq DNA Polymerase (New England </w:t>
      </w:r>
      <w:proofErr w:type="spellStart"/>
      <w:r w:rsidRPr="00EB2576">
        <w:rPr>
          <w:rFonts w:ascii="Times New Roman" w:hAnsi="Times New Roman" w:cs="Times New Roman"/>
          <w:sz w:val="24"/>
          <w:szCs w:val="24"/>
        </w:rPr>
        <w:t>BioLabs</w:t>
      </w:r>
      <w:proofErr w:type="spellEnd"/>
      <w:r w:rsidRPr="00EB2576">
        <w:rPr>
          <w:rFonts w:ascii="Times New Roman" w:hAnsi="Times New Roman" w:cs="Times New Roman"/>
          <w:sz w:val="24"/>
          <w:szCs w:val="24"/>
        </w:rPr>
        <w:t>,</w:t>
      </w:r>
      <w:r w:rsidRPr="00EB2576">
        <w:rPr>
          <w:rFonts w:ascii="Times New Roman" w:hAnsi="Times New Roman" w:cs="Times New Roman"/>
          <w:sz w:val="24"/>
          <w:szCs w:val="24"/>
          <w:shd w:val="clear" w:color="auto" w:fill="FFFFFF"/>
        </w:rPr>
        <w:t xml:space="preserve"> Massachusetts, United States</w:t>
      </w:r>
      <w:r w:rsidRPr="00EB2576">
        <w:rPr>
          <w:rFonts w:ascii="Times New Roman" w:hAnsi="Times New Roman" w:cs="Times New Roman"/>
          <w:sz w:val="24"/>
          <w:szCs w:val="24"/>
        </w:rPr>
        <w:t xml:space="preserve">) and nuclease free </w:t>
      </w:r>
      <w:r w:rsidR="006162D9" w:rsidRPr="00EB2576">
        <w:rPr>
          <w:rFonts w:ascii="Times New Roman" w:hAnsi="Times New Roman" w:cs="Times New Roman"/>
          <w:sz w:val="24"/>
          <w:szCs w:val="24"/>
        </w:rPr>
        <w:t>H2O</w:t>
      </w:r>
      <w:r w:rsidRPr="00EB2576">
        <w:rPr>
          <w:rFonts w:ascii="Times New Roman" w:hAnsi="Times New Roman" w:cs="Times New Roman"/>
          <w:sz w:val="24"/>
          <w:szCs w:val="24"/>
        </w:rPr>
        <w:t xml:space="preserve"> made up to 25 </w:t>
      </w:r>
      <w:r w:rsidR="006162D9" w:rsidRPr="00EB2576">
        <w:rPr>
          <w:rFonts w:ascii="Times New Roman" w:hAnsi="Times New Roman" w:cs="Times New Roman"/>
          <w:sz w:val="24"/>
          <w:szCs w:val="24"/>
        </w:rPr>
        <w:t>µ</w:t>
      </w:r>
      <w:r w:rsidRPr="00EB2576">
        <w:rPr>
          <w:rFonts w:ascii="Times New Roman" w:hAnsi="Times New Roman" w:cs="Times New Roman"/>
          <w:sz w:val="24"/>
          <w:szCs w:val="24"/>
        </w:rPr>
        <w:t>L volume. 30 cycles of PCR were completed. Agarose gel electrophoresis was used to confirm the presence of infliximab gene fragment inserts in the selected phagemid clones. After confirmation of inserts, DNA was extracted and purified (</w:t>
      </w:r>
      <w:proofErr w:type="spellStart"/>
      <w:r w:rsidRPr="00EB2576">
        <w:rPr>
          <w:rFonts w:ascii="Times New Roman" w:hAnsi="Times New Roman" w:cs="Times New Roman"/>
          <w:sz w:val="24"/>
          <w:szCs w:val="24"/>
        </w:rPr>
        <w:t>QIAamp</w:t>
      </w:r>
      <w:proofErr w:type="spellEnd"/>
      <w:r w:rsidRPr="00EB2576">
        <w:rPr>
          <w:rFonts w:ascii="Times New Roman" w:hAnsi="Times New Roman" w:cs="Times New Roman"/>
          <w:sz w:val="24"/>
          <w:szCs w:val="24"/>
        </w:rPr>
        <w:t xml:space="preserve"> DNA Blood Midi Kit, Qiagen) from 122 phagemid clones: 24 clones from the input library, 24 clones from round 1, 24 clones from round 2 and 48 clones from round 3. Insert DNA from 122 phagemid clones underwent Sanger sequencing (DBS genomics, Durham University, UK) and </w:t>
      </w:r>
      <w:r w:rsidR="006162D9" w:rsidRPr="00EB2576">
        <w:rPr>
          <w:rFonts w:ascii="Times New Roman" w:hAnsi="Times New Roman" w:cs="Times New Roman"/>
          <w:sz w:val="24"/>
          <w:szCs w:val="24"/>
        </w:rPr>
        <w:t>the amino acid sequences were</w:t>
      </w:r>
      <w:r w:rsidRPr="00EB2576">
        <w:rPr>
          <w:rFonts w:ascii="Times New Roman" w:hAnsi="Times New Roman" w:cs="Times New Roman"/>
          <w:sz w:val="24"/>
          <w:szCs w:val="24"/>
        </w:rPr>
        <w:t xml:space="preserve"> compared with the full-length infliximab peptide </w:t>
      </w:r>
      <w:r w:rsidRPr="00EB2576">
        <w:rPr>
          <w:rFonts w:ascii="Times New Roman" w:eastAsia="MS PGothic" w:hAnsi="Times New Roman" w:cs="Times New Roman"/>
          <w:kern w:val="24"/>
          <w:sz w:val="24"/>
          <w:szCs w:val="24"/>
        </w:rPr>
        <w:t>using pairwise sequence alignment on Vector NTI (</w:t>
      </w:r>
      <w:proofErr w:type="spellStart"/>
      <w:r w:rsidRPr="00EB2576">
        <w:rPr>
          <w:rFonts w:ascii="Times New Roman" w:eastAsia="MS PGothic" w:hAnsi="Times New Roman" w:cs="Times New Roman"/>
          <w:kern w:val="24"/>
          <w:sz w:val="24"/>
          <w:szCs w:val="24"/>
        </w:rPr>
        <w:t>ThermoFisher</w:t>
      </w:r>
      <w:proofErr w:type="spellEnd"/>
      <w:r w:rsidRPr="00EB2576">
        <w:rPr>
          <w:rFonts w:ascii="Times New Roman" w:eastAsia="MS PGothic" w:hAnsi="Times New Roman" w:cs="Times New Roman"/>
          <w:kern w:val="24"/>
          <w:sz w:val="24"/>
          <w:szCs w:val="24"/>
        </w:rPr>
        <w:t xml:space="preserve"> Scientific</w:t>
      </w:r>
      <w:r w:rsidRPr="00EB2576">
        <w:rPr>
          <w:rStyle w:val="eq0j8"/>
          <w:rFonts w:ascii="Times New Roman" w:hAnsi="Times New Roman" w:cs="Times New Roman"/>
          <w:sz w:val="24"/>
          <w:szCs w:val="24"/>
          <w:shd w:val="clear" w:color="auto" w:fill="FFFFFF"/>
        </w:rPr>
        <w:t xml:space="preserve"> Massachusetts, United States)</w:t>
      </w:r>
      <w:r w:rsidRPr="00EB2576">
        <w:rPr>
          <w:rFonts w:ascii="Times New Roman" w:eastAsia="MS PGothic" w:hAnsi="Times New Roman" w:cs="Times New Roman"/>
          <w:kern w:val="24"/>
          <w:sz w:val="24"/>
          <w:szCs w:val="24"/>
        </w:rPr>
        <w:t>.</w:t>
      </w:r>
    </w:p>
    <w:p w14:paraId="4EACF34C" w14:textId="77777777" w:rsidR="0048487E" w:rsidRPr="00EB2576" w:rsidRDefault="0048487E" w:rsidP="0048487E">
      <w:pPr>
        <w:spacing w:line="480" w:lineRule="auto"/>
        <w:rPr>
          <w:rFonts w:ascii="Times New Roman" w:hAnsi="Times New Roman" w:cs="Times New Roman"/>
          <w:sz w:val="24"/>
          <w:szCs w:val="24"/>
        </w:rPr>
      </w:pPr>
    </w:p>
    <w:p w14:paraId="5BFE7742" w14:textId="049F28EA" w:rsidR="0048487E" w:rsidRPr="00EB2576" w:rsidRDefault="002A294A" w:rsidP="0048487E">
      <w:pPr>
        <w:pStyle w:val="Heading3"/>
        <w:spacing w:line="480" w:lineRule="auto"/>
        <w:rPr>
          <w:rFonts w:ascii="Times New Roman" w:hAnsi="Times New Roman" w:cs="Times New Roman"/>
          <w:b/>
          <w:bCs/>
        </w:rPr>
      </w:pPr>
      <w:bookmarkStart w:id="257" w:name="_Toc151020531"/>
      <w:r w:rsidRPr="00EB2576">
        <w:rPr>
          <w:rFonts w:ascii="Times New Roman" w:hAnsi="Times New Roman" w:cs="Times New Roman"/>
          <w:b/>
          <w:bCs/>
        </w:rPr>
        <w:t>5</w:t>
      </w:r>
      <w:r w:rsidR="0048487E" w:rsidRPr="00EB2576">
        <w:rPr>
          <w:rFonts w:ascii="Times New Roman" w:hAnsi="Times New Roman" w:cs="Times New Roman"/>
          <w:b/>
          <w:bCs/>
        </w:rPr>
        <w:t>.2.</w:t>
      </w:r>
      <w:r w:rsidR="003A065B" w:rsidRPr="00EB2576">
        <w:rPr>
          <w:rFonts w:ascii="Times New Roman" w:hAnsi="Times New Roman" w:cs="Times New Roman"/>
          <w:b/>
          <w:bCs/>
        </w:rPr>
        <w:t>9</w:t>
      </w:r>
      <w:r w:rsidR="0048487E" w:rsidRPr="00EB2576">
        <w:rPr>
          <w:rFonts w:ascii="Times New Roman" w:hAnsi="Times New Roman" w:cs="Times New Roman"/>
          <w:b/>
          <w:bCs/>
        </w:rPr>
        <w:t xml:space="preserve"> Monoclonal phage ELISA</w:t>
      </w:r>
      <w:bookmarkEnd w:id="257"/>
    </w:p>
    <w:p w14:paraId="4C321836" w14:textId="4BDBB8A9" w:rsidR="0048487E" w:rsidRPr="00EB2576" w:rsidRDefault="0048487E"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Selected infliximab peptides and a control peptide (which was not enriched on patient serum, amino acid sequence TVPSSS) was PEG purified. The phage was filtered using a 0.2</w:t>
      </w:r>
      <w:r w:rsidR="006162D9" w:rsidRPr="00EB2576">
        <w:rPr>
          <w:rFonts w:ascii="Times New Roman" w:hAnsi="Times New Roman" w:cs="Times New Roman"/>
          <w:sz w:val="24"/>
          <w:szCs w:val="24"/>
        </w:rPr>
        <w:t xml:space="preserve"> µ</w:t>
      </w:r>
      <w:r w:rsidRPr="00EB2576">
        <w:rPr>
          <w:rFonts w:ascii="Times New Roman" w:hAnsi="Times New Roman" w:cs="Times New Roman"/>
          <w:sz w:val="24"/>
          <w:szCs w:val="24"/>
        </w:rPr>
        <w:t>m filter to give a final stock of 200</w:t>
      </w:r>
      <w:r w:rsidR="006162D9" w:rsidRPr="00EB2576">
        <w:rPr>
          <w:rFonts w:ascii="Times New Roman" w:hAnsi="Times New Roman" w:cs="Times New Roman"/>
          <w:sz w:val="24"/>
          <w:szCs w:val="24"/>
        </w:rPr>
        <w:t xml:space="preserve"> µ</w:t>
      </w:r>
      <w:r w:rsidRPr="00EB2576">
        <w:rPr>
          <w:rFonts w:ascii="Times New Roman" w:hAnsi="Times New Roman" w:cs="Times New Roman"/>
          <w:sz w:val="24"/>
          <w:szCs w:val="24"/>
        </w:rPr>
        <w:t>l which was then diluted to 2</w:t>
      </w:r>
      <w:r w:rsidR="006162D9" w:rsidRPr="00EB2576">
        <w:rPr>
          <w:rFonts w:ascii="Times New Roman" w:hAnsi="Times New Roman" w:cs="Times New Roman"/>
          <w:sz w:val="24"/>
          <w:szCs w:val="24"/>
        </w:rPr>
        <w:t xml:space="preserve"> </w:t>
      </w:r>
      <w:proofErr w:type="spellStart"/>
      <w:r w:rsidRPr="00EB2576">
        <w:rPr>
          <w:rFonts w:ascii="Times New Roman" w:hAnsi="Times New Roman" w:cs="Times New Roman"/>
          <w:sz w:val="24"/>
          <w:szCs w:val="24"/>
        </w:rPr>
        <w:t>mls</w:t>
      </w:r>
      <w:proofErr w:type="spellEnd"/>
      <w:r w:rsidRPr="00EB2576">
        <w:rPr>
          <w:rFonts w:ascii="Times New Roman" w:hAnsi="Times New Roman" w:cs="Times New Roman"/>
          <w:sz w:val="24"/>
          <w:szCs w:val="24"/>
        </w:rPr>
        <w:t xml:space="preserve"> in PBS. 100ul each phage stock was coated onto wells and incubated overnight at 4°C. Wells were washed, blocked with 200 </w:t>
      </w:r>
      <w:r w:rsidRPr="00EB2576">
        <w:rPr>
          <w:rFonts w:ascii="Times New Roman" w:hAnsi="Times New Roman" w:cs="Times New Roman"/>
          <w:sz w:val="24"/>
          <w:szCs w:val="24"/>
        </w:rPr>
        <w:lastRenderedPageBreak/>
        <w:t>µL of 2% Marvel-PBS for 1-2 hours, and then washed with PBS-Tween and PBS. Individual patient serum (serum 1 – 8) was diluted 1:100 in PBS and incubated with phage for 2 hours at room temperature with agitation. All sera were tested in duplicates. Wells were washed three times with PBS-Tween and PBS. Antibody binding was detected by incubating with HRP-conjugated anti-human Fc IgG diluted 1:40 000 in 2% Marvel-PBS-Tween for an hour with agitation. Wells were washed 5 times</w:t>
      </w:r>
      <w:r w:rsidR="006162D9" w:rsidRPr="00EB2576">
        <w:rPr>
          <w:rFonts w:ascii="Times New Roman" w:hAnsi="Times New Roman" w:cs="Times New Roman"/>
          <w:sz w:val="24"/>
          <w:szCs w:val="24"/>
        </w:rPr>
        <w:t>.</w:t>
      </w:r>
      <w:r w:rsidRPr="00EB2576">
        <w:rPr>
          <w:rFonts w:ascii="Times New Roman" w:hAnsi="Times New Roman" w:cs="Times New Roman"/>
          <w:sz w:val="24"/>
          <w:szCs w:val="24"/>
        </w:rPr>
        <w:t xml:space="preserve"> ELISA plate was developed and read at 450 nm. </w:t>
      </w:r>
    </w:p>
    <w:p w14:paraId="641D07EF" w14:textId="77777777" w:rsidR="0048487E" w:rsidRPr="00EB2576" w:rsidRDefault="0048487E" w:rsidP="0048487E">
      <w:pPr>
        <w:spacing w:line="480" w:lineRule="auto"/>
        <w:rPr>
          <w:rFonts w:ascii="Times New Roman" w:eastAsiaTheme="minorHAnsi" w:hAnsi="Times New Roman" w:cs="Times New Roman"/>
          <w:sz w:val="24"/>
          <w:szCs w:val="24"/>
        </w:rPr>
      </w:pPr>
    </w:p>
    <w:p w14:paraId="48C64C4B" w14:textId="09E81B8E" w:rsidR="0048487E" w:rsidRPr="00EB2576" w:rsidRDefault="003A065B" w:rsidP="0048487E">
      <w:pPr>
        <w:pStyle w:val="Heading2"/>
        <w:spacing w:line="480" w:lineRule="auto"/>
        <w:rPr>
          <w:rFonts w:ascii="Times New Roman" w:hAnsi="Times New Roman" w:cs="Times New Roman"/>
          <w:sz w:val="24"/>
          <w:szCs w:val="24"/>
        </w:rPr>
      </w:pPr>
      <w:bookmarkStart w:id="258" w:name="_Toc151020532"/>
      <w:r w:rsidRPr="00EB2576">
        <w:rPr>
          <w:rFonts w:ascii="Times New Roman" w:hAnsi="Times New Roman" w:cs="Times New Roman"/>
          <w:sz w:val="24"/>
          <w:szCs w:val="24"/>
        </w:rPr>
        <w:t>5</w:t>
      </w:r>
      <w:r w:rsidR="0048487E" w:rsidRPr="00EB2576">
        <w:rPr>
          <w:rFonts w:ascii="Times New Roman" w:hAnsi="Times New Roman" w:cs="Times New Roman"/>
          <w:sz w:val="24"/>
          <w:szCs w:val="24"/>
        </w:rPr>
        <w:t>.3 Results</w:t>
      </w:r>
      <w:bookmarkEnd w:id="258"/>
    </w:p>
    <w:p w14:paraId="747E4A17" w14:textId="479C7317" w:rsidR="00EB2957" w:rsidRPr="00EB2576" w:rsidRDefault="003A065B" w:rsidP="00EB2957">
      <w:pPr>
        <w:pStyle w:val="Heading3"/>
        <w:spacing w:line="480" w:lineRule="auto"/>
      </w:pPr>
      <w:bookmarkStart w:id="259" w:name="_Toc151020533"/>
      <w:r w:rsidRPr="00EB2576">
        <w:rPr>
          <w:rFonts w:ascii="Times New Roman" w:hAnsi="Times New Roman" w:cs="Times New Roman"/>
          <w:b/>
          <w:bCs/>
        </w:rPr>
        <w:t>5</w:t>
      </w:r>
      <w:r w:rsidR="00EB2957" w:rsidRPr="00EB2576">
        <w:rPr>
          <w:rFonts w:ascii="Times New Roman" w:hAnsi="Times New Roman" w:cs="Times New Roman"/>
          <w:b/>
          <w:bCs/>
        </w:rPr>
        <w:t>.3.1 NGS of infliximab designer full gene fragment phage display library</w:t>
      </w:r>
      <w:bookmarkEnd w:id="259"/>
    </w:p>
    <w:p w14:paraId="02B7B0A7" w14:textId="44C29856" w:rsidR="00D97EFE" w:rsidRPr="00EB2576" w:rsidRDefault="009C7E81" w:rsidP="00454253">
      <w:pPr>
        <w:pStyle w:val="NormalWeb"/>
        <w:shd w:val="clear" w:color="auto" w:fill="FFFFFF"/>
        <w:spacing w:before="0" w:beforeAutospacing="0" w:after="0" w:afterAutospacing="0" w:line="480" w:lineRule="auto"/>
        <w:textAlignment w:val="baseline"/>
        <w:rPr>
          <w:kern w:val="24"/>
        </w:rPr>
      </w:pPr>
      <w:bookmarkStart w:id="260" w:name="_Hlk137576972"/>
      <w:r w:rsidRPr="00EB2576">
        <w:rPr>
          <w:rFonts w:eastAsiaTheme="minorEastAsia"/>
          <w:lang w:eastAsia="en-US"/>
        </w:rPr>
        <w:t xml:space="preserve">A total of 23,383 gene sequences </w:t>
      </w:r>
      <w:r w:rsidR="00D97EFE" w:rsidRPr="00EB2576">
        <w:rPr>
          <w:rFonts w:eastAsiaTheme="minorEastAsia"/>
          <w:lang w:eastAsia="en-US"/>
        </w:rPr>
        <w:t xml:space="preserve">from the input library were </w:t>
      </w:r>
      <w:r w:rsidRPr="00EB2576">
        <w:rPr>
          <w:rFonts w:eastAsiaTheme="minorEastAsia"/>
          <w:lang w:eastAsia="en-US"/>
        </w:rPr>
        <w:t>analysed</w:t>
      </w:r>
      <w:r w:rsidR="00D97EFE" w:rsidRPr="00EB2576">
        <w:rPr>
          <w:rFonts w:eastAsiaTheme="minorEastAsia"/>
          <w:lang w:eastAsia="en-US"/>
        </w:rPr>
        <w:t>. There was c</w:t>
      </w:r>
      <w:r w:rsidRPr="00EB2576">
        <w:rPr>
          <w:rFonts w:eastAsiaTheme="minorEastAsia"/>
          <w:lang w:eastAsia="en-US"/>
        </w:rPr>
        <w:t xml:space="preserve">omplete coverage of </w:t>
      </w:r>
      <w:r w:rsidR="00D97EFE" w:rsidRPr="00EB2576">
        <w:rPr>
          <w:rFonts w:eastAsiaTheme="minorEastAsia"/>
          <w:lang w:eastAsia="en-US"/>
        </w:rPr>
        <w:t>infliximab heavy and</w:t>
      </w:r>
      <w:r w:rsidRPr="00EB2576">
        <w:rPr>
          <w:rFonts w:eastAsiaTheme="minorEastAsia"/>
          <w:lang w:eastAsia="en-US"/>
        </w:rPr>
        <w:t xml:space="preserve"> </w:t>
      </w:r>
      <w:r w:rsidR="00D97EFE" w:rsidRPr="00EB2576">
        <w:rPr>
          <w:rFonts w:eastAsiaTheme="minorEastAsia"/>
          <w:lang w:eastAsia="en-US"/>
        </w:rPr>
        <w:t xml:space="preserve">light chain </w:t>
      </w:r>
      <w:r w:rsidRPr="00EB2576">
        <w:rPr>
          <w:rFonts w:eastAsiaTheme="minorEastAsia"/>
          <w:lang w:eastAsia="en-US"/>
        </w:rPr>
        <w:t>genes</w:t>
      </w:r>
      <w:r w:rsidR="00D97EFE" w:rsidRPr="00EB2576">
        <w:rPr>
          <w:rFonts w:eastAsiaTheme="minorEastAsia"/>
          <w:lang w:eastAsia="en-US"/>
        </w:rPr>
        <w:t>.</w:t>
      </w:r>
      <w:r w:rsidRPr="00EB2576">
        <w:rPr>
          <w:rFonts w:eastAsiaTheme="minorEastAsia"/>
          <w:lang w:eastAsia="en-US"/>
        </w:rPr>
        <w:t xml:space="preserve"> </w:t>
      </w:r>
      <w:r w:rsidR="00D97EFE" w:rsidRPr="00EB2576">
        <w:t xml:space="preserve">There were gene fragments of different sizes </w:t>
      </w:r>
      <w:r w:rsidR="00454253" w:rsidRPr="00EB2576">
        <w:rPr>
          <w:rFonts w:eastAsiaTheme="minorEastAsia"/>
          <w:lang w:eastAsia="en-US"/>
        </w:rPr>
        <w:t xml:space="preserve">and all fragments were in correct orientation so have the potential to be displayed on the surface of phage. </w:t>
      </w:r>
      <w:r w:rsidR="00EB2957" w:rsidRPr="00EB2576">
        <w:rPr>
          <w:rFonts w:eastAsiaTheme="minorEastAsia"/>
          <w:lang w:eastAsia="en-US"/>
        </w:rPr>
        <w:t>I</w:t>
      </w:r>
      <w:proofErr w:type="spellStart"/>
      <w:r w:rsidR="00D97EFE" w:rsidRPr="00EB2576">
        <w:rPr>
          <w:lang w:val="en-US"/>
        </w:rPr>
        <w:t>nfliximab</w:t>
      </w:r>
      <w:proofErr w:type="spellEnd"/>
      <w:r w:rsidR="00D97EFE" w:rsidRPr="00EB2576">
        <w:rPr>
          <w:lang w:val="en-US"/>
        </w:rPr>
        <w:t xml:space="preserve"> peptides of 20-30 amino acid lengt</w:t>
      </w:r>
      <w:r w:rsidR="00EB2957" w:rsidRPr="00EB2576">
        <w:rPr>
          <w:lang w:val="en-US"/>
        </w:rPr>
        <w:t>h were</w:t>
      </w:r>
      <w:r w:rsidR="00454253" w:rsidRPr="00EB2576">
        <w:rPr>
          <w:lang w:val="en-US"/>
        </w:rPr>
        <w:t xml:space="preserve"> </w:t>
      </w:r>
      <w:r w:rsidR="00D97EFE" w:rsidRPr="00EB2576">
        <w:rPr>
          <w:lang w:val="en-US"/>
        </w:rPr>
        <w:t>represented more than 100 times</w:t>
      </w:r>
      <w:r w:rsidR="00454253" w:rsidRPr="00EB2576">
        <w:rPr>
          <w:lang w:val="en-US"/>
        </w:rPr>
        <w:t>.</w:t>
      </w:r>
    </w:p>
    <w:bookmarkEnd w:id="260"/>
    <w:p w14:paraId="014FD690" w14:textId="77777777" w:rsidR="009C7E81" w:rsidRPr="00EB2576" w:rsidRDefault="009C7E81" w:rsidP="009C7E81"/>
    <w:p w14:paraId="40B2E9D0" w14:textId="6480A5C3" w:rsidR="0048487E" w:rsidRPr="00EB2576" w:rsidRDefault="003A065B" w:rsidP="0048487E">
      <w:pPr>
        <w:pStyle w:val="Heading3"/>
        <w:spacing w:line="480" w:lineRule="auto"/>
        <w:rPr>
          <w:rFonts w:ascii="Times New Roman" w:hAnsi="Times New Roman" w:cs="Times New Roman"/>
          <w:b/>
          <w:bCs/>
        </w:rPr>
      </w:pPr>
      <w:bookmarkStart w:id="261" w:name="_Toc151020534"/>
      <w:bookmarkStart w:id="262" w:name="_Hlk135657815"/>
      <w:bookmarkStart w:id="263" w:name="_Hlk64642280"/>
      <w:r w:rsidRPr="00EB2576">
        <w:rPr>
          <w:rFonts w:ascii="Times New Roman" w:hAnsi="Times New Roman" w:cs="Times New Roman"/>
          <w:b/>
          <w:bCs/>
        </w:rPr>
        <w:t>5</w:t>
      </w:r>
      <w:r w:rsidR="0048487E" w:rsidRPr="00EB2576">
        <w:rPr>
          <w:rFonts w:ascii="Times New Roman" w:hAnsi="Times New Roman" w:cs="Times New Roman"/>
          <w:b/>
          <w:bCs/>
        </w:rPr>
        <w:t>.3.</w:t>
      </w:r>
      <w:r w:rsidR="00EB2957" w:rsidRPr="00EB2576">
        <w:rPr>
          <w:rFonts w:ascii="Times New Roman" w:hAnsi="Times New Roman" w:cs="Times New Roman"/>
          <w:b/>
          <w:bCs/>
        </w:rPr>
        <w:t>2</w:t>
      </w:r>
      <w:r w:rsidR="0048487E" w:rsidRPr="00EB2576">
        <w:rPr>
          <w:rFonts w:ascii="Times New Roman" w:hAnsi="Times New Roman" w:cs="Times New Roman"/>
          <w:b/>
          <w:bCs/>
        </w:rPr>
        <w:t xml:space="preserve"> Mapping of infliximab epitopes</w:t>
      </w:r>
      <w:bookmarkEnd w:id="261"/>
      <w:r w:rsidR="0048487E" w:rsidRPr="00EB2576">
        <w:rPr>
          <w:rFonts w:ascii="Times New Roman" w:hAnsi="Times New Roman" w:cs="Times New Roman"/>
          <w:b/>
          <w:bCs/>
        </w:rPr>
        <w:t xml:space="preserve"> </w:t>
      </w:r>
    </w:p>
    <w:bookmarkEnd w:id="262"/>
    <w:p w14:paraId="19B4641B" w14:textId="413C61CE" w:rsidR="00036AE8" w:rsidRPr="00EB2576" w:rsidRDefault="0048487E" w:rsidP="0048487E">
      <w:pPr>
        <w:spacing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Insert DNA from 122 phagemid clones: 24 clones from the input library, 24 clones from round 1, 24 clones from round 2 and 48 clones from round 3 w</w:t>
      </w:r>
      <w:r w:rsidR="006162D9" w:rsidRPr="00EB2576">
        <w:rPr>
          <w:rFonts w:ascii="Times New Roman" w:hAnsi="Times New Roman" w:cs="Times New Roman"/>
          <w:sz w:val="24"/>
          <w:szCs w:val="24"/>
        </w:rPr>
        <w:t>ere DNA</w:t>
      </w:r>
      <w:r w:rsidRPr="00EB2576">
        <w:rPr>
          <w:rFonts w:ascii="Times New Roman" w:hAnsi="Times New Roman" w:cs="Times New Roman"/>
          <w:sz w:val="24"/>
          <w:szCs w:val="24"/>
        </w:rPr>
        <w:t xml:space="preserve"> sequenced</w:t>
      </w:r>
      <w:r w:rsidR="006162D9" w:rsidRPr="00EB2576">
        <w:rPr>
          <w:rFonts w:ascii="Times New Roman" w:hAnsi="Times New Roman" w:cs="Times New Roman"/>
          <w:sz w:val="24"/>
          <w:szCs w:val="24"/>
        </w:rPr>
        <w:t xml:space="preserve">. The corresponding amino acid sequences were </w:t>
      </w:r>
      <w:r w:rsidR="007F3C5E" w:rsidRPr="00EB2576">
        <w:rPr>
          <w:rFonts w:ascii="Times New Roman" w:hAnsi="Times New Roman" w:cs="Times New Roman"/>
          <w:sz w:val="24"/>
          <w:szCs w:val="24"/>
        </w:rPr>
        <w:t>aligned</w:t>
      </w:r>
      <w:r w:rsidRPr="00EB2576">
        <w:rPr>
          <w:rFonts w:ascii="Times New Roman" w:hAnsi="Times New Roman" w:cs="Times New Roman"/>
          <w:sz w:val="24"/>
          <w:szCs w:val="24"/>
        </w:rPr>
        <w:t xml:space="preserve"> with the full-length infliximab peptide. </w:t>
      </w:r>
      <w:r w:rsidRPr="00EB2576">
        <w:rPr>
          <w:rFonts w:ascii="Times New Roman" w:eastAsia="Times New Roman" w:hAnsi="Times New Roman" w:cs="Times New Roman"/>
          <w:sz w:val="24"/>
          <w:szCs w:val="24"/>
          <w:lang w:eastAsia="en-GB"/>
        </w:rPr>
        <w:t>Sequencing showed that the input library had diverse peptides sequences with subsequent enrichment of 3 candidate peptides from round 1 to round 3 (Fig</w:t>
      </w:r>
      <w:r w:rsidR="00EB3AFA" w:rsidRPr="00EB2576">
        <w:rPr>
          <w:rFonts w:ascii="Times New Roman" w:eastAsia="Times New Roman" w:hAnsi="Times New Roman" w:cs="Times New Roman"/>
          <w:sz w:val="24"/>
          <w:szCs w:val="24"/>
          <w:lang w:eastAsia="en-GB"/>
        </w:rPr>
        <w:t>ure 2</w:t>
      </w:r>
      <w:r w:rsidR="00016847" w:rsidRPr="00EB2576">
        <w:rPr>
          <w:rFonts w:ascii="Times New Roman" w:eastAsia="Times New Roman" w:hAnsi="Times New Roman" w:cs="Times New Roman"/>
          <w:sz w:val="24"/>
          <w:szCs w:val="24"/>
          <w:lang w:eastAsia="en-GB"/>
        </w:rPr>
        <w:t>7</w:t>
      </w:r>
      <w:r w:rsidRPr="00EB2576">
        <w:rPr>
          <w:rFonts w:ascii="Times New Roman" w:eastAsia="Times New Roman" w:hAnsi="Times New Roman" w:cs="Times New Roman"/>
          <w:sz w:val="24"/>
          <w:szCs w:val="24"/>
          <w:lang w:eastAsia="en-GB"/>
        </w:rPr>
        <w:t xml:space="preserve">). The 3 candidate peptides: GFL heavy chain peptide 1 (amino acid residue 25-36), GFL light chain peptide 2 (amino acid residue 30-37) and GFL light chain peptide 3 (amino acid residue 55-64) were </w:t>
      </w:r>
      <w:r w:rsidRPr="00EB2576">
        <w:rPr>
          <w:rFonts w:ascii="Times New Roman" w:eastAsia="Times New Roman" w:hAnsi="Times New Roman" w:cs="Times New Roman"/>
          <w:sz w:val="24"/>
          <w:szCs w:val="24"/>
          <w:lang w:eastAsia="en-GB"/>
        </w:rPr>
        <w:lastRenderedPageBreak/>
        <w:t xml:space="preserve">localised to the infliximab Fab fragment (Figure </w:t>
      </w:r>
      <w:r w:rsidR="00EB3AFA" w:rsidRPr="00EB2576">
        <w:rPr>
          <w:rFonts w:ascii="Times New Roman" w:eastAsia="Times New Roman" w:hAnsi="Times New Roman" w:cs="Times New Roman"/>
          <w:sz w:val="24"/>
          <w:szCs w:val="24"/>
          <w:lang w:eastAsia="en-GB"/>
        </w:rPr>
        <w:t>2</w:t>
      </w:r>
      <w:r w:rsidR="00016847" w:rsidRPr="00EB2576">
        <w:rPr>
          <w:rFonts w:ascii="Times New Roman" w:eastAsia="Times New Roman" w:hAnsi="Times New Roman" w:cs="Times New Roman"/>
          <w:sz w:val="24"/>
          <w:szCs w:val="24"/>
          <w:lang w:eastAsia="en-GB"/>
        </w:rPr>
        <w:t>8</w:t>
      </w:r>
      <w:r w:rsidRPr="00EB2576">
        <w:rPr>
          <w:rFonts w:ascii="Times New Roman" w:eastAsia="Times New Roman" w:hAnsi="Times New Roman" w:cs="Times New Roman"/>
          <w:sz w:val="24"/>
          <w:szCs w:val="24"/>
          <w:lang w:eastAsia="en-GB"/>
        </w:rPr>
        <w:t xml:space="preserve">). All three selected peptides overlapped with the </w:t>
      </w:r>
      <w:bookmarkStart w:id="264" w:name="_Hlk83307496"/>
      <w:r w:rsidRPr="00EB2576">
        <w:rPr>
          <w:rFonts w:ascii="Times New Roman" w:eastAsia="Times New Roman" w:hAnsi="Times New Roman" w:cs="Times New Roman"/>
          <w:sz w:val="24"/>
          <w:szCs w:val="24"/>
          <w:lang w:eastAsia="en-GB"/>
        </w:rPr>
        <w:t>complementary determining regions (CDR</w:t>
      </w:r>
      <w:bookmarkEnd w:id="263"/>
      <w:bookmarkEnd w:id="264"/>
      <w:r w:rsidRPr="00EB2576">
        <w:rPr>
          <w:rFonts w:ascii="Times New Roman" w:eastAsia="Times New Roman" w:hAnsi="Times New Roman" w:cs="Times New Roman"/>
          <w:sz w:val="24"/>
          <w:szCs w:val="24"/>
          <w:lang w:eastAsia="en-GB"/>
        </w:rPr>
        <w:t>).</w:t>
      </w:r>
    </w:p>
    <w:p w14:paraId="0F0ABA33" w14:textId="77777777" w:rsidR="00016847" w:rsidRPr="00EB2576" w:rsidRDefault="00016847" w:rsidP="0048487E">
      <w:pPr>
        <w:spacing w:line="480" w:lineRule="auto"/>
        <w:rPr>
          <w:rFonts w:ascii="Times New Roman" w:eastAsia="Times New Roman" w:hAnsi="Times New Roman" w:cs="Times New Roman"/>
          <w:sz w:val="24"/>
          <w:szCs w:val="24"/>
          <w:lang w:eastAsia="en-GB"/>
        </w:rPr>
      </w:pPr>
    </w:p>
    <w:bookmarkEnd w:id="232"/>
    <w:p w14:paraId="04AF81AC" w14:textId="77777777" w:rsidR="007E7866" w:rsidRPr="00EB2576" w:rsidRDefault="0048487E" w:rsidP="007E7866">
      <w:pPr>
        <w:keepNext/>
        <w:spacing w:line="480" w:lineRule="auto"/>
      </w:pPr>
      <w:r w:rsidRPr="00EB2576">
        <w:rPr>
          <w:noProof/>
        </w:rPr>
        <w:drawing>
          <wp:inline distT="0" distB="0" distL="0" distR="0" wp14:anchorId="188FA9C7" wp14:editId="5A70FABA">
            <wp:extent cx="5772517" cy="4648200"/>
            <wp:effectExtent l="0" t="0" r="0" b="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2884" cy="4648496"/>
                    </a:xfrm>
                    <a:prstGeom prst="rect">
                      <a:avLst/>
                    </a:prstGeom>
                    <a:noFill/>
                    <a:ln>
                      <a:noFill/>
                    </a:ln>
                  </pic:spPr>
                </pic:pic>
              </a:graphicData>
            </a:graphic>
          </wp:inline>
        </w:drawing>
      </w:r>
    </w:p>
    <w:p w14:paraId="6D87A646" w14:textId="29F3ED48" w:rsidR="0048487E" w:rsidRPr="00EB2576" w:rsidRDefault="007E7866" w:rsidP="00016847">
      <w:pPr>
        <w:pStyle w:val="Caption"/>
        <w:spacing w:line="240" w:lineRule="auto"/>
        <w:rPr>
          <w:rFonts w:ascii="Times New Roman" w:hAnsi="Times New Roman" w:cs="Times New Roman"/>
          <w:b w:val="0"/>
          <w:bCs w:val="0"/>
          <w:sz w:val="24"/>
          <w:szCs w:val="24"/>
        </w:rPr>
      </w:pPr>
      <w:bookmarkStart w:id="265" w:name="_Toc139397325"/>
      <w:bookmarkStart w:id="266" w:name="_Toc151020672"/>
      <w:r w:rsidRPr="00EB2576">
        <w:rPr>
          <w:rFonts w:ascii="Times New Roman" w:hAnsi="Times New Roman" w:cs="Times New Roman"/>
          <w:sz w:val="24"/>
          <w:szCs w:val="24"/>
        </w:rPr>
        <w:t xml:space="preserve">Figure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Figure \* ARABIC </w:instrText>
      </w:r>
      <w:r w:rsidRPr="00EB2576">
        <w:rPr>
          <w:rFonts w:ascii="Times New Roman" w:hAnsi="Times New Roman" w:cs="Times New Roman"/>
          <w:sz w:val="24"/>
          <w:szCs w:val="24"/>
        </w:rPr>
        <w:fldChar w:fldCharType="separate"/>
      </w:r>
      <w:r w:rsidR="00192EAE" w:rsidRPr="00EB2576">
        <w:rPr>
          <w:rFonts w:ascii="Times New Roman" w:hAnsi="Times New Roman" w:cs="Times New Roman"/>
          <w:noProof/>
          <w:sz w:val="24"/>
          <w:szCs w:val="24"/>
        </w:rPr>
        <w:t>27</w:t>
      </w:r>
      <w:r w:rsidRPr="00EB2576">
        <w:rPr>
          <w:rFonts w:ascii="Times New Roman" w:hAnsi="Times New Roman" w:cs="Times New Roman"/>
          <w:sz w:val="24"/>
          <w:szCs w:val="24"/>
        </w:rPr>
        <w:fldChar w:fldCharType="end"/>
      </w:r>
      <w:r w:rsidRPr="00EB2576">
        <w:rPr>
          <w:rFonts w:ascii="Times New Roman" w:eastAsia="Times New Roman" w:hAnsi="Times New Roman" w:cs="Times New Roman"/>
          <w:i/>
          <w:iCs/>
          <w:sz w:val="24"/>
          <w:szCs w:val="24"/>
          <w:lang w:eastAsia="en-GB"/>
        </w:rPr>
        <w:t>. All</w:t>
      </w:r>
      <w:r w:rsidRPr="00EB2576">
        <w:rPr>
          <w:rFonts w:ascii="Times New Roman" w:hAnsi="Times New Roman" w:cs="Times New Roman"/>
          <w:sz w:val="24"/>
          <w:szCs w:val="24"/>
        </w:rPr>
        <w:t xml:space="preserve"> peptide sequences selected from round 3 of inf</w:t>
      </w:r>
      <w:r w:rsidR="0008759A" w:rsidRPr="00EB2576">
        <w:rPr>
          <w:rFonts w:ascii="Times New Roman" w:hAnsi="Times New Roman" w:cs="Times New Roman"/>
          <w:sz w:val="24"/>
          <w:szCs w:val="24"/>
        </w:rPr>
        <w:t xml:space="preserve">liximab </w:t>
      </w:r>
      <w:r w:rsidRPr="00EB2576">
        <w:rPr>
          <w:rFonts w:ascii="Times New Roman" w:hAnsi="Times New Roman" w:cs="Times New Roman"/>
          <w:sz w:val="24"/>
          <w:szCs w:val="24"/>
        </w:rPr>
        <w:t xml:space="preserve">whole gene fragment library showing enrichment of three peptides mapped to </w:t>
      </w:r>
      <w:bookmarkStart w:id="267" w:name="_Hlk137756791"/>
      <w:r w:rsidRPr="00EB2576">
        <w:rPr>
          <w:rFonts w:ascii="Times New Roman" w:hAnsi="Times New Roman" w:cs="Times New Roman"/>
          <w:sz w:val="24"/>
          <w:szCs w:val="24"/>
        </w:rPr>
        <w:t xml:space="preserve">complementarity determining regions </w:t>
      </w:r>
      <w:bookmarkEnd w:id="267"/>
      <w:r w:rsidRPr="00EB2576">
        <w:rPr>
          <w:rFonts w:ascii="Times New Roman" w:hAnsi="Times New Roman" w:cs="Times New Roman"/>
          <w:sz w:val="24"/>
          <w:szCs w:val="24"/>
        </w:rPr>
        <w:t>of infliximab.</w:t>
      </w:r>
      <w:bookmarkEnd w:id="265"/>
      <w:bookmarkEnd w:id="266"/>
    </w:p>
    <w:p w14:paraId="01579082" w14:textId="3EF90A07" w:rsidR="0048487E" w:rsidRPr="00EB2576" w:rsidRDefault="0048487E" w:rsidP="00016847">
      <w:pPr>
        <w:spacing w:line="240" w:lineRule="auto"/>
        <w:rPr>
          <w:rFonts w:ascii="Times New Roman" w:hAnsi="Times New Roman" w:cs="Times New Roman"/>
          <w:b/>
          <w:bCs/>
          <w:sz w:val="24"/>
          <w:szCs w:val="24"/>
        </w:rPr>
      </w:pPr>
      <w:r w:rsidRPr="00EB2576">
        <w:rPr>
          <w:rFonts w:ascii="Times New Roman" w:hAnsi="Times New Roman" w:cs="Times New Roman"/>
          <w:sz w:val="24"/>
          <w:szCs w:val="24"/>
        </w:rPr>
        <w:t>Three peptides identified as shown</w:t>
      </w:r>
      <w:bookmarkStart w:id="268" w:name="_Hlk138938773"/>
      <w:r w:rsidRPr="00EB2576">
        <w:rPr>
          <w:rFonts w:ascii="Times New Roman" w:hAnsi="Times New Roman" w:cs="Times New Roman"/>
          <w:sz w:val="24"/>
          <w:szCs w:val="24"/>
        </w:rPr>
        <w:t>: GFL heavy chain peptide 1 overlapping heavy chain CDR 1, GFL light chain peptide 2 overlapping light chain CDR 1 and GFL light chain peptide 3 overlapping light chain CDR 2.</w:t>
      </w:r>
      <w:bookmarkEnd w:id="268"/>
      <w:r w:rsidRPr="00EB2576">
        <w:rPr>
          <w:rFonts w:ascii="Times New Roman" w:hAnsi="Times New Roman" w:cs="Times New Roman"/>
          <w:sz w:val="24"/>
          <w:szCs w:val="24"/>
        </w:rPr>
        <w:t xml:space="preserve"> The amino acids that are part of the CDRs are highlighted in red on the sequences. </w:t>
      </w:r>
    </w:p>
    <w:p w14:paraId="174F709E" w14:textId="3ADF53CE" w:rsidR="0048487E" w:rsidRPr="00EB2576" w:rsidRDefault="0008759A" w:rsidP="00016847">
      <w:pPr>
        <w:spacing w:line="240" w:lineRule="auto"/>
        <w:rPr>
          <w:rFonts w:ascii="Times New Roman" w:hAnsi="Times New Roman" w:cs="Times New Roman"/>
          <w:i/>
          <w:iCs/>
          <w:sz w:val="24"/>
          <w:szCs w:val="24"/>
        </w:rPr>
      </w:pPr>
      <w:r w:rsidRPr="00EB2576">
        <w:rPr>
          <w:rFonts w:ascii="Times New Roman" w:hAnsi="Times New Roman" w:cs="Times New Roman"/>
          <w:i/>
          <w:iCs/>
          <w:sz w:val="24"/>
          <w:szCs w:val="24"/>
        </w:rPr>
        <w:t>(CDR: complementarity determining regions)</w:t>
      </w:r>
      <w:bookmarkStart w:id="269" w:name="_Hlk60314597"/>
    </w:p>
    <w:p w14:paraId="71CA1FAC" w14:textId="77777777" w:rsidR="00EB3AFA" w:rsidRPr="00EB2576" w:rsidRDefault="0048487E" w:rsidP="00EB3AFA">
      <w:pPr>
        <w:keepNext/>
        <w:spacing w:line="480" w:lineRule="auto"/>
      </w:pPr>
      <w:r w:rsidRPr="00EB2576">
        <w:rPr>
          <w:noProof/>
        </w:rPr>
        <w:lastRenderedPageBreak/>
        <w:drawing>
          <wp:inline distT="0" distB="0" distL="0" distR="0" wp14:anchorId="3B4F9DB1" wp14:editId="78616D42">
            <wp:extent cx="5438775" cy="3735871"/>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96DAC541-7B7A-43D3-8B79-37D633B846F1}">
                          <asvg:svgBlip xmlns:asvg="http://schemas.microsoft.com/office/drawing/2016/SVG/main" r:embed="rId54"/>
                        </a:ext>
                      </a:extLst>
                    </a:blip>
                    <a:srcRect l="6915" r="11204"/>
                    <a:stretch/>
                  </pic:blipFill>
                  <pic:spPr bwMode="auto">
                    <a:xfrm>
                      <a:off x="0" y="0"/>
                      <a:ext cx="5460875" cy="3751052"/>
                    </a:xfrm>
                    <a:prstGeom prst="rect">
                      <a:avLst/>
                    </a:prstGeom>
                    <a:ln>
                      <a:noFill/>
                    </a:ln>
                    <a:extLst>
                      <a:ext uri="{53640926-AAD7-44D8-BBD7-CCE9431645EC}">
                        <a14:shadowObscured xmlns:a14="http://schemas.microsoft.com/office/drawing/2010/main"/>
                      </a:ext>
                    </a:extLst>
                  </pic:spPr>
                </pic:pic>
              </a:graphicData>
            </a:graphic>
          </wp:inline>
        </w:drawing>
      </w:r>
    </w:p>
    <w:p w14:paraId="5DA02960" w14:textId="4F2F49DA" w:rsidR="0048487E" w:rsidRPr="00EB2576" w:rsidRDefault="00EB3AFA" w:rsidP="00016847">
      <w:pPr>
        <w:pStyle w:val="Caption"/>
        <w:spacing w:line="240" w:lineRule="auto"/>
        <w:rPr>
          <w:rFonts w:ascii="Times New Roman" w:hAnsi="Times New Roman" w:cs="Times New Roman"/>
          <w:b w:val="0"/>
          <w:bCs w:val="0"/>
          <w:sz w:val="24"/>
          <w:szCs w:val="24"/>
        </w:rPr>
      </w:pPr>
      <w:bookmarkStart w:id="270" w:name="_Toc139397326"/>
      <w:bookmarkStart w:id="271" w:name="_Toc151020673"/>
      <w:r w:rsidRPr="00EB2576">
        <w:rPr>
          <w:rFonts w:ascii="Times New Roman" w:hAnsi="Times New Roman" w:cs="Times New Roman"/>
          <w:sz w:val="24"/>
          <w:szCs w:val="24"/>
        </w:rPr>
        <w:t xml:space="preserve">Figure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Figure \* ARABIC </w:instrText>
      </w:r>
      <w:r w:rsidRPr="00EB2576">
        <w:rPr>
          <w:rFonts w:ascii="Times New Roman" w:hAnsi="Times New Roman" w:cs="Times New Roman"/>
          <w:sz w:val="24"/>
          <w:szCs w:val="24"/>
        </w:rPr>
        <w:fldChar w:fldCharType="separate"/>
      </w:r>
      <w:r w:rsidR="00192EAE" w:rsidRPr="00EB2576">
        <w:rPr>
          <w:rFonts w:ascii="Times New Roman" w:hAnsi="Times New Roman" w:cs="Times New Roman"/>
          <w:noProof/>
          <w:sz w:val="24"/>
          <w:szCs w:val="24"/>
        </w:rPr>
        <w:t>28</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Model of infliximab Fab fragment bound to tumour necrosis factor-α with mapped peptides.</w:t>
      </w:r>
      <w:bookmarkEnd w:id="270"/>
      <w:bookmarkEnd w:id="271"/>
    </w:p>
    <w:p w14:paraId="59C1AB2E" w14:textId="77777777" w:rsidR="0048487E" w:rsidRPr="00EB2576" w:rsidRDefault="0048487E" w:rsidP="00016847">
      <w:pPr>
        <w:spacing w:line="240" w:lineRule="auto"/>
        <w:rPr>
          <w:rFonts w:ascii="Times New Roman" w:hAnsi="Times New Roman" w:cs="Times New Roman"/>
          <w:sz w:val="24"/>
          <w:szCs w:val="24"/>
        </w:rPr>
      </w:pPr>
      <w:bookmarkStart w:id="272" w:name="_Hlk88592485"/>
      <w:r w:rsidRPr="00EB2576">
        <w:rPr>
          <w:rFonts w:ascii="Times New Roman" w:hAnsi="Times New Roman" w:cs="Times New Roman"/>
          <w:sz w:val="24"/>
          <w:szCs w:val="24"/>
        </w:rPr>
        <w:t xml:space="preserve">Infliximab Fab heavy chain in red and infliximab light chain in dark green are bound to tumour necrosis factor-α (purple). The three mapped epitopes are highlighted in light green on the infliximab Fab. The amino acids that are part of the complementary determining region are highlighted in red on the epitope sequences. </w:t>
      </w:r>
    </w:p>
    <w:bookmarkEnd w:id="269"/>
    <w:bookmarkEnd w:id="272"/>
    <w:p w14:paraId="75D0F06E" w14:textId="4B0F5E58" w:rsidR="0048487E" w:rsidRPr="00EB2576" w:rsidRDefault="00787DEC" w:rsidP="00016847">
      <w:pPr>
        <w:pStyle w:val="NoSpacing"/>
        <w:rPr>
          <w:rFonts w:ascii="Times New Roman" w:hAnsi="Times New Roman" w:cs="Times New Roman"/>
          <w:i/>
          <w:iCs/>
          <w:sz w:val="24"/>
          <w:szCs w:val="24"/>
        </w:rPr>
      </w:pPr>
      <w:r w:rsidRPr="00EB2576">
        <w:rPr>
          <w:rFonts w:ascii="Times New Roman" w:hAnsi="Times New Roman" w:cs="Times New Roman"/>
          <w:i/>
          <w:iCs/>
          <w:sz w:val="24"/>
          <w:szCs w:val="24"/>
        </w:rPr>
        <w:t>(</w:t>
      </w:r>
      <w:r w:rsidR="0048487E" w:rsidRPr="00EB2576">
        <w:rPr>
          <w:rFonts w:ascii="Times New Roman" w:hAnsi="Times New Roman" w:cs="Times New Roman"/>
          <w:i/>
          <w:iCs/>
          <w:sz w:val="24"/>
          <w:szCs w:val="24"/>
        </w:rPr>
        <w:t>GFL: gene fragment library, HC: heavy chain, LC: light chain</w:t>
      </w:r>
      <w:r w:rsidRPr="00EB2576">
        <w:rPr>
          <w:rFonts w:ascii="Times New Roman" w:hAnsi="Times New Roman" w:cs="Times New Roman"/>
          <w:i/>
          <w:iCs/>
          <w:sz w:val="24"/>
          <w:szCs w:val="24"/>
        </w:rPr>
        <w:t>)</w:t>
      </w:r>
    </w:p>
    <w:p w14:paraId="6C009E73" w14:textId="57DB8222" w:rsidR="0048487E" w:rsidRPr="00EB2576" w:rsidRDefault="0048487E" w:rsidP="00016847">
      <w:pPr>
        <w:pStyle w:val="NoSpacing"/>
        <w:rPr>
          <w:rFonts w:ascii="Times New Roman" w:eastAsia="Times New Roman" w:hAnsi="Times New Roman" w:cs="Times New Roman"/>
          <w:sz w:val="24"/>
          <w:szCs w:val="24"/>
          <w:lang w:eastAsia="en-GB"/>
        </w:rPr>
      </w:pPr>
      <w:r w:rsidRPr="00EB2576">
        <w:rPr>
          <w:rFonts w:ascii="Times New Roman" w:eastAsia="Times New Roman" w:hAnsi="Times New Roman" w:cs="Times New Roman"/>
          <w:sz w:val="24"/>
          <w:szCs w:val="24"/>
          <w:lang w:eastAsia="en-GB"/>
        </w:rPr>
        <w:t>Images created using Mol* PDB ID 4G3Y</w:t>
      </w:r>
    </w:p>
    <w:p w14:paraId="4F03E656" w14:textId="77777777" w:rsidR="007F3C5E" w:rsidRPr="00EB2576" w:rsidRDefault="007F3C5E" w:rsidP="00016847">
      <w:pPr>
        <w:pStyle w:val="Heading3"/>
        <w:spacing w:line="240" w:lineRule="auto"/>
        <w:rPr>
          <w:rFonts w:ascii="Times New Roman" w:hAnsi="Times New Roman" w:cs="Times New Roman"/>
          <w:b/>
          <w:bCs/>
        </w:rPr>
      </w:pPr>
    </w:p>
    <w:p w14:paraId="56D35629" w14:textId="77777777" w:rsidR="007F3C5E" w:rsidRPr="00EB2576" w:rsidRDefault="007F3C5E" w:rsidP="00016847">
      <w:pPr>
        <w:spacing w:line="240" w:lineRule="auto"/>
      </w:pPr>
    </w:p>
    <w:p w14:paraId="228E232C" w14:textId="77777777" w:rsidR="007F3C5E" w:rsidRPr="00EB2576" w:rsidRDefault="007F3C5E" w:rsidP="00016847">
      <w:pPr>
        <w:spacing w:line="240" w:lineRule="auto"/>
      </w:pPr>
    </w:p>
    <w:p w14:paraId="590FAEE5" w14:textId="77777777" w:rsidR="00016847" w:rsidRPr="00EB2576" w:rsidRDefault="00016847" w:rsidP="00016847">
      <w:pPr>
        <w:spacing w:line="240" w:lineRule="auto"/>
      </w:pPr>
    </w:p>
    <w:p w14:paraId="059713CD" w14:textId="77777777" w:rsidR="00016847" w:rsidRPr="00EB2576" w:rsidRDefault="00016847" w:rsidP="00016847">
      <w:pPr>
        <w:spacing w:line="240" w:lineRule="auto"/>
      </w:pPr>
    </w:p>
    <w:p w14:paraId="10ADBCE9" w14:textId="77777777" w:rsidR="00016847" w:rsidRPr="00EB2576" w:rsidRDefault="00016847" w:rsidP="00016847">
      <w:pPr>
        <w:spacing w:line="240" w:lineRule="auto"/>
      </w:pPr>
    </w:p>
    <w:p w14:paraId="45E10FCF" w14:textId="77777777" w:rsidR="00016847" w:rsidRPr="00EB2576" w:rsidRDefault="00016847" w:rsidP="0048487E">
      <w:pPr>
        <w:pStyle w:val="Heading3"/>
        <w:spacing w:line="480" w:lineRule="auto"/>
        <w:rPr>
          <w:rFonts w:ascii="Times New Roman" w:hAnsi="Times New Roman" w:cs="Times New Roman"/>
          <w:b/>
          <w:bCs/>
        </w:rPr>
      </w:pPr>
    </w:p>
    <w:p w14:paraId="27B66BDD" w14:textId="77777777" w:rsidR="00016847" w:rsidRPr="00EB2576" w:rsidRDefault="00016847" w:rsidP="00016847"/>
    <w:p w14:paraId="7895146E" w14:textId="77777777" w:rsidR="00016847" w:rsidRPr="00EB2576" w:rsidRDefault="00016847" w:rsidP="00016847"/>
    <w:p w14:paraId="6ECB8342" w14:textId="2D2C24C1" w:rsidR="0048487E" w:rsidRPr="00EB2576" w:rsidRDefault="003A065B" w:rsidP="0048487E">
      <w:pPr>
        <w:pStyle w:val="Heading3"/>
        <w:spacing w:line="480" w:lineRule="auto"/>
        <w:rPr>
          <w:rFonts w:ascii="Times New Roman" w:hAnsi="Times New Roman" w:cs="Times New Roman"/>
          <w:b/>
          <w:bCs/>
        </w:rPr>
      </w:pPr>
      <w:bookmarkStart w:id="273" w:name="_Toc151020535"/>
      <w:r w:rsidRPr="00EB2576">
        <w:rPr>
          <w:rFonts w:ascii="Times New Roman" w:hAnsi="Times New Roman" w:cs="Times New Roman"/>
          <w:b/>
          <w:bCs/>
        </w:rPr>
        <w:lastRenderedPageBreak/>
        <w:t>5</w:t>
      </w:r>
      <w:r w:rsidR="0048487E" w:rsidRPr="00EB2576">
        <w:rPr>
          <w:rFonts w:ascii="Times New Roman" w:hAnsi="Times New Roman" w:cs="Times New Roman"/>
          <w:b/>
          <w:bCs/>
        </w:rPr>
        <w:t>.3.</w:t>
      </w:r>
      <w:r w:rsidR="00EB2957" w:rsidRPr="00EB2576">
        <w:rPr>
          <w:rFonts w:ascii="Times New Roman" w:hAnsi="Times New Roman" w:cs="Times New Roman"/>
          <w:b/>
          <w:bCs/>
        </w:rPr>
        <w:t>3</w:t>
      </w:r>
      <w:r w:rsidR="0048487E" w:rsidRPr="00EB2576">
        <w:rPr>
          <w:rFonts w:ascii="Times New Roman" w:hAnsi="Times New Roman" w:cs="Times New Roman"/>
          <w:b/>
          <w:bCs/>
        </w:rPr>
        <w:t xml:space="preserve"> </w:t>
      </w:r>
      <w:r w:rsidRPr="00EB2576">
        <w:rPr>
          <w:rFonts w:ascii="Times New Roman" w:hAnsi="Times New Roman" w:cs="Times New Roman"/>
          <w:b/>
          <w:bCs/>
        </w:rPr>
        <w:t>Monoclonal p</w:t>
      </w:r>
      <w:r w:rsidR="0048487E" w:rsidRPr="00EB2576">
        <w:rPr>
          <w:rFonts w:ascii="Times New Roman" w:hAnsi="Times New Roman" w:cs="Times New Roman"/>
          <w:b/>
          <w:bCs/>
        </w:rPr>
        <w:t>hage ELISA</w:t>
      </w:r>
      <w:bookmarkStart w:id="274" w:name="_Hlk114747326"/>
      <w:bookmarkEnd w:id="273"/>
    </w:p>
    <w:p w14:paraId="107760F5" w14:textId="3BE31649" w:rsidR="0048487E" w:rsidRPr="00EB2576" w:rsidRDefault="0048487E"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Figure </w:t>
      </w:r>
      <w:r w:rsidR="00D95739" w:rsidRPr="00EB2576">
        <w:rPr>
          <w:rFonts w:ascii="Times New Roman" w:hAnsi="Times New Roman" w:cs="Times New Roman"/>
          <w:sz w:val="24"/>
          <w:szCs w:val="24"/>
        </w:rPr>
        <w:t>2</w:t>
      </w:r>
      <w:r w:rsidR="00016847" w:rsidRPr="00EB2576">
        <w:rPr>
          <w:rFonts w:ascii="Times New Roman" w:hAnsi="Times New Roman" w:cs="Times New Roman"/>
          <w:sz w:val="24"/>
          <w:szCs w:val="24"/>
        </w:rPr>
        <w:t>9</w:t>
      </w:r>
      <w:r w:rsidRPr="00EB2576">
        <w:rPr>
          <w:rFonts w:ascii="Times New Roman" w:hAnsi="Times New Roman" w:cs="Times New Roman"/>
          <w:sz w:val="24"/>
          <w:szCs w:val="24"/>
        </w:rPr>
        <w:t xml:space="preserve"> shows reactivity of the individual patients’ sera against the candidate peptides but also to the control phage. There was minimal background binding to the ELISA plate. Serum 5, 6 and 7 had the highest absorbance values and these patients did have high ATI levels (&gt; 600, 177 and 156 AU/mL) with undetectable/very low drug levels.</w:t>
      </w:r>
      <w:r w:rsidR="006162D9" w:rsidRPr="00EB2576">
        <w:rPr>
          <w:rFonts w:ascii="Times New Roman" w:hAnsi="Times New Roman" w:cs="Times New Roman"/>
          <w:sz w:val="24"/>
          <w:szCs w:val="24"/>
        </w:rPr>
        <w:t xml:space="preserve"> As reactivity to the control phage was demonstrated, individual ser</w:t>
      </w:r>
      <w:r w:rsidR="00DC2CA2" w:rsidRPr="00EB2576">
        <w:rPr>
          <w:rFonts w:ascii="Times New Roman" w:hAnsi="Times New Roman" w:cs="Times New Roman"/>
          <w:sz w:val="24"/>
          <w:szCs w:val="24"/>
        </w:rPr>
        <w:t>um</w:t>
      </w:r>
      <w:r w:rsidR="006162D9" w:rsidRPr="00EB2576">
        <w:rPr>
          <w:rFonts w:ascii="Times New Roman" w:hAnsi="Times New Roman" w:cs="Times New Roman"/>
          <w:sz w:val="24"/>
          <w:szCs w:val="24"/>
        </w:rPr>
        <w:t xml:space="preserve"> was purified using </w:t>
      </w:r>
      <w:r w:rsidRPr="00EB2576">
        <w:rPr>
          <w:rFonts w:ascii="Times New Roman" w:hAnsi="Times New Roman" w:cs="Times New Roman"/>
          <w:sz w:val="24"/>
          <w:szCs w:val="24"/>
        </w:rPr>
        <w:t xml:space="preserve">IgG purification using protein A HP </w:t>
      </w:r>
      <w:proofErr w:type="spellStart"/>
      <w:r w:rsidRPr="00EB2576">
        <w:rPr>
          <w:rFonts w:ascii="Times New Roman" w:hAnsi="Times New Roman" w:cs="Times New Roman"/>
          <w:sz w:val="24"/>
          <w:szCs w:val="24"/>
        </w:rPr>
        <w:t>SpinTrap</w:t>
      </w:r>
      <w:proofErr w:type="spellEnd"/>
      <w:r w:rsidRPr="00EB2576">
        <w:rPr>
          <w:rFonts w:ascii="Times New Roman" w:hAnsi="Times New Roman" w:cs="Times New Roman"/>
          <w:sz w:val="24"/>
          <w:szCs w:val="24"/>
        </w:rPr>
        <w:t xml:space="preserve"> Column (</w:t>
      </w:r>
      <w:proofErr w:type="spellStart"/>
      <w:r w:rsidRPr="00EB2576">
        <w:rPr>
          <w:rFonts w:ascii="Times New Roman" w:hAnsi="Times New Roman" w:cs="Times New Roman"/>
          <w:sz w:val="24"/>
          <w:szCs w:val="24"/>
        </w:rPr>
        <w:t>ThermoFisher</w:t>
      </w:r>
      <w:proofErr w:type="spellEnd"/>
      <w:r w:rsidRPr="00EB2576">
        <w:rPr>
          <w:rFonts w:ascii="Times New Roman" w:hAnsi="Times New Roman" w:cs="Times New Roman"/>
          <w:sz w:val="24"/>
          <w:szCs w:val="24"/>
        </w:rPr>
        <w:t xml:space="preserve"> Scientific</w:t>
      </w:r>
      <w:r w:rsidRPr="00EB2576">
        <w:rPr>
          <w:rFonts w:ascii="Times New Roman" w:hAnsi="Times New Roman" w:cs="Times New Roman"/>
          <w:b/>
          <w:bCs/>
          <w:sz w:val="24"/>
          <w:szCs w:val="24"/>
          <w:shd w:val="clear" w:color="auto" w:fill="FFFFFF"/>
        </w:rPr>
        <w:t xml:space="preserve">, </w:t>
      </w:r>
      <w:r w:rsidRPr="00EB2576">
        <w:rPr>
          <w:rStyle w:val="eq0j8"/>
          <w:rFonts w:ascii="Times New Roman" w:hAnsi="Times New Roman" w:cs="Times New Roman"/>
          <w:sz w:val="24"/>
          <w:szCs w:val="24"/>
          <w:shd w:val="clear" w:color="auto" w:fill="FFFFFF"/>
        </w:rPr>
        <w:t>Massachusetts, United States)</w:t>
      </w:r>
      <w:r w:rsidRPr="00EB2576">
        <w:rPr>
          <w:rFonts w:ascii="Times New Roman" w:hAnsi="Times New Roman" w:cs="Times New Roman"/>
          <w:sz w:val="24"/>
          <w:szCs w:val="24"/>
        </w:rPr>
        <w:t>. A repeat monoclonal phage ELISA incorporating pre</w:t>
      </w:r>
      <w:r w:rsidR="00C33FAE" w:rsidRPr="00EB2576">
        <w:rPr>
          <w:rFonts w:ascii="Times New Roman" w:hAnsi="Times New Roman" w:cs="Times New Roman"/>
          <w:sz w:val="24"/>
          <w:szCs w:val="24"/>
        </w:rPr>
        <w:t>-</w:t>
      </w:r>
      <w:r w:rsidRPr="00EB2576">
        <w:rPr>
          <w:rFonts w:ascii="Times New Roman" w:hAnsi="Times New Roman" w:cs="Times New Roman"/>
          <w:sz w:val="24"/>
          <w:szCs w:val="24"/>
        </w:rPr>
        <w:t xml:space="preserve">adsorption of the individual purified IgG with </w:t>
      </w:r>
      <w:r w:rsidR="00AF77DB" w:rsidRPr="00EB2576">
        <w:rPr>
          <w:rFonts w:ascii="Times New Roman" w:hAnsi="Times New Roman" w:cs="Times New Roman"/>
          <w:sz w:val="24"/>
          <w:szCs w:val="24"/>
        </w:rPr>
        <w:t xml:space="preserve">     </w:t>
      </w:r>
      <w:r w:rsidRPr="00EB2576">
        <w:rPr>
          <w:rFonts w:ascii="Times New Roman" w:hAnsi="Times New Roman" w:cs="Times New Roman"/>
          <w:i/>
          <w:iCs/>
          <w:sz w:val="24"/>
          <w:szCs w:val="24"/>
        </w:rPr>
        <w:t>E</w:t>
      </w:r>
      <w:r w:rsidR="00AF77DB" w:rsidRPr="00EB2576">
        <w:rPr>
          <w:rFonts w:ascii="Times New Roman" w:hAnsi="Times New Roman" w:cs="Times New Roman"/>
          <w:i/>
          <w:iCs/>
          <w:sz w:val="24"/>
          <w:szCs w:val="24"/>
        </w:rPr>
        <w:t xml:space="preserve">. </w:t>
      </w:r>
      <w:r w:rsidRPr="00EB2576">
        <w:rPr>
          <w:rFonts w:ascii="Times New Roman" w:hAnsi="Times New Roman" w:cs="Times New Roman"/>
          <w:i/>
          <w:iCs/>
          <w:sz w:val="24"/>
          <w:szCs w:val="24"/>
        </w:rPr>
        <w:t>coli</w:t>
      </w:r>
      <w:r w:rsidRPr="00EB2576">
        <w:rPr>
          <w:rFonts w:ascii="Times New Roman" w:hAnsi="Times New Roman" w:cs="Times New Roman"/>
          <w:sz w:val="24"/>
          <w:szCs w:val="24"/>
        </w:rPr>
        <w:t xml:space="preserve"> extract showed ongoing reactivity to selected </w:t>
      </w:r>
      <w:r w:rsidR="006162D9" w:rsidRPr="00EB2576">
        <w:rPr>
          <w:rFonts w:ascii="Times New Roman" w:hAnsi="Times New Roman" w:cs="Times New Roman"/>
          <w:sz w:val="24"/>
          <w:szCs w:val="24"/>
        </w:rPr>
        <w:t xml:space="preserve">phage clones </w:t>
      </w:r>
      <w:r w:rsidRPr="00EB2576">
        <w:rPr>
          <w:rFonts w:ascii="Times New Roman" w:hAnsi="Times New Roman" w:cs="Times New Roman"/>
          <w:sz w:val="24"/>
          <w:szCs w:val="24"/>
        </w:rPr>
        <w:t xml:space="preserve">as well as control phage clones. </w:t>
      </w:r>
    </w:p>
    <w:p w14:paraId="4ECF52B9" w14:textId="77777777" w:rsidR="0048487E" w:rsidRPr="00EB2576" w:rsidRDefault="0048487E" w:rsidP="0048487E">
      <w:pPr>
        <w:spacing w:line="480" w:lineRule="auto"/>
        <w:rPr>
          <w:rFonts w:ascii="Times New Roman" w:hAnsi="Times New Roman" w:cs="Times New Roman"/>
          <w:sz w:val="24"/>
          <w:szCs w:val="24"/>
        </w:rPr>
      </w:pPr>
    </w:p>
    <w:p w14:paraId="1B89422C" w14:textId="77777777" w:rsidR="0052140A" w:rsidRPr="00EB2576" w:rsidRDefault="0052140A" w:rsidP="0048487E">
      <w:pPr>
        <w:spacing w:line="480" w:lineRule="auto"/>
        <w:rPr>
          <w:rFonts w:ascii="Times New Roman" w:hAnsi="Times New Roman" w:cs="Times New Roman"/>
          <w:sz w:val="24"/>
          <w:szCs w:val="24"/>
        </w:rPr>
      </w:pPr>
    </w:p>
    <w:p w14:paraId="059B59AD" w14:textId="77777777" w:rsidR="0052140A" w:rsidRPr="00EB2576" w:rsidRDefault="0052140A" w:rsidP="0048487E">
      <w:pPr>
        <w:spacing w:line="480" w:lineRule="auto"/>
        <w:rPr>
          <w:rFonts w:ascii="Times New Roman" w:hAnsi="Times New Roman" w:cs="Times New Roman"/>
          <w:sz w:val="24"/>
          <w:szCs w:val="24"/>
        </w:rPr>
      </w:pPr>
    </w:p>
    <w:p w14:paraId="302DDE3E" w14:textId="77777777" w:rsidR="0052140A" w:rsidRPr="00EB2576" w:rsidRDefault="0052140A" w:rsidP="0048487E">
      <w:pPr>
        <w:spacing w:line="480" w:lineRule="auto"/>
        <w:rPr>
          <w:rFonts w:ascii="Times New Roman" w:hAnsi="Times New Roman" w:cs="Times New Roman"/>
          <w:sz w:val="24"/>
          <w:szCs w:val="24"/>
        </w:rPr>
      </w:pPr>
    </w:p>
    <w:p w14:paraId="6058688B" w14:textId="77777777" w:rsidR="00C33FAE" w:rsidRPr="00EB2576" w:rsidRDefault="0048487E" w:rsidP="00C33FAE">
      <w:pPr>
        <w:keepNext/>
        <w:tabs>
          <w:tab w:val="left" w:pos="1530"/>
        </w:tabs>
        <w:spacing w:line="480" w:lineRule="auto"/>
      </w:pPr>
      <w:r w:rsidRPr="00EB2576">
        <w:rPr>
          <w:rFonts w:ascii="Times New Roman" w:hAnsi="Times New Roman" w:cs="Times New Roman"/>
          <w:noProof/>
          <w:sz w:val="24"/>
          <w:szCs w:val="24"/>
        </w:rPr>
        <w:object w:dxaOrig="9177" w:dyaOrig="6324" w14:anchorId="5F390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in;height:296.25pt;mso-width-percent:0;mso-height-percent:0;mso-width-percent:0;mso-height-percent:0" o:ole="">
            <v:imagedata r:id="rId55" o:title=""/>
          </v:shape>
          <o:OLEObject Type="Embed" ProgID="Prism7.Document" ShapeID="_x0000_i1025" DrawAspect="Content" ObjectID="_1762160030" r:id="rId56"/>
        </w:object>
      </w:r>
    </w:p>
    <w:p w14:paraId="02A55422" w14:textId="67455142" w:rsidR="0048487E" w:rsidRPr="00EB2576" w:rsidRDefault="00C33FAE" w:rsidP="00016847">
      <w:pPr>
        <w:pStyle w:val="Caption"/>
        <w:spacing w:line="240" w:lineRule="auto"/>
        <w:rPr>
          <w:rFonts w:ascii="Times New Roman" w:hAnsi="Times New Roman" w:cs="Times New Roman"/>
          <w:sz w:val="24"/>
          <w:szCs w:val="24"/>
        </w:rPr>
      </w:pPr>
      <w:bookmarkStart w:id="275" w:name="_Toc139397327"/>
      <w:bookmarkStart w:id="276" w:name="_Toc151020674"/>
      <w:r w:rsidRPr="00EB2576">
        <w:rPr>
          <w:rFonts w:ascii="Times New Roman" w:hAnsi="Times New Roman" w:cs="Times New Roman"/>
          <w:sz w:val="24"/>
          <w:szCs w:val="24"/>
        </w:rPr>
        <w:t xml:space="preserve">Figure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Figure \* ARABIC </w:instrText>
      </w:r>
      <w:r w:rsidRPr="00EB2576">
        <w:rPr>
          <w:rFonts w:ascii="Times New Roman" w:hAnsi="Times New Roman" w:cs="Times New Roman"/>
          <w:sz w:val="24"/>
          <w:szCs w:val="24"/>
        </w:rPr>
        <w:fldChar w:fldCharType="separate"/>
      </w:r>
      <w:r w:rsidR="00192EAE" w:rsidRPr="00EB2576">
        <w:rPr>
          <w:rFonts w:ascii="Times New Roman" w:hAnsi="Times New Roman" w:cs="Times New Roman"/>
          <w:noProof/>
          <w:sz w:val="24"/>
          <w:szCs w:val="24"/>
        </w:rPr>
        <w:t>29</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Monoclonal phage ELISA demonstrating </w:t>
      </w:r>
      <w:r w:rsidR="00975219" w:rsidRPr="00EB2576">
        <w:rPr>
          <w:rFonts w:ascii="Times New Roman" w:hAnsi="Times New Roman" w:cs="Times New Roman"/>
          <w:sz w:val="24"/>
          <w:szCs w:val="24"/>
        </w:rPr>
        <w:t xml:space="preserve">similar </w:t>
      </w:r>
      <w:r w:rsidRPr="00EB2576">
        <w:rPr>
          <w:rFonts w:ascii="Times New Roman" w:hAnsi="Times New Roman" w:cs="Times New Roman"/>
          <w:sz w:val="24"/>
          <w:szCs w:val="24"/>
        </w:rPr>
        <w:t xml:space="preserve">reactivity of individual patients’ </w:t>
      </w:r>
      <w:r w:rsidR="00975219" w:rsidRPr="00EB2576">
        <w:rPr>
          <w:rFonts w:ascii="Times New Roman" w:hAnsi="Times New Roman" w:cs="Times New Roman"/>
          <w:sz w:val="24"/>
          <w:szCs w:val="24"/>
        </w:rPr>
        <w:t xml:space="preserve">ATI positive </w:t>
      </w:r>
      <w:r w:rsidRPr="00EB2576">
        <w:rPr>
          <w:rFonts w:ascii="Times New Roman" w:hAnsi="Times New Roman" w:cs="Times New Roman"/>
          <w:sz w:val="24"/>
          <w:szCs w:val="24"/>
        </w:rPr>
        <w:t xml:space="preserve">sera against selected </w:t>
      </w:r>
      <w:r w:rsidR="00975219" w:rsidRPr="00EB2576">
        <w:rPr>
          <w:rFonts w:ascii="Times New Roman" w:hAnsi="Times New Roman" w:cs="Times New Roman"/>
          <w:sz w:val="24"/>
          <w:szCs w:val="24"/>
        </w:rPr>
        <w:t xml:space="preserve">peptides: heavy chain peptide 1, light chain peptide 1, light chain peptide 2 </w:t>
      </w:r>
      <w:r w:rsidRPr="00EB2576">
        <w:rPr>
          <w:rFonts w:ascii="Times New Roman" w:hAnsi="Times New Roman" w:cs="Times New Roman"/>
          <w:sz w:val="24"/>
          <w:szCs w:val="24"/>
        </w:rPr>
        <w:t xml:space="preserve">and </w:t>
      </w:r>
      <w:r w:rsidR="00975219" w:rsidRPr="00EB2576">
        <w:rPr>
          <w:rFonts w:ascii="Times New Roman" w:hAnsi="Times New Roman" w:cs="Times New Roman"/>
          <w:sz w:val="24"/>
          <w:szCs w:val="24"/>
        </w:rPr>
        <w:t xml:space="preserve">an unselected </w:t>
      </w:r>
      <w:r w:rsidRPr="00EB2576">
        <w:rPr>
          <w:rFonts w:ascii="Times New Roman" w:hAnsi="Times New Roman" w:cs="Times New Roman"/>
          <w:sz w:val="24"/>
          <w:szCs w:val="24"/>
        </w:rPr>
        <w:t>control peptide.</w:t>
      </w:r>
      <w:bookmarkEnd w:id="275"/>
      <w:bookmarkEnd w:id="276"/>
    </w:p>
    <w:bookmarkEnd w:id="274"/>
    <w:p w14:paraId="0D08733D" w14:textId="0114481B" w:rsidR="0052140A" w:rsidRPr="00EB2576" w:rsidRDefault="007F3C5E" w:rsidP="00016847">
      <w:pPr>
        <w:spacing w:line="240" w:lineRule="auto"/>
        <w:rPr>
          <w:rFonts w:ascii="Times New Roman" w:hAnsi="Times New Roman" w:cs="Times New Roman"/>
          <w:i/>
          <w:iCs/>
          <w:sz w:val="24"/>
          <w:szCs w:val="24"/>
        </w:rPr>
      </w:pPr>
      <w:r w:rsidRPr="00EB2576">
        <w:rPr>
          <w:rFonts w:ascii="Times New Roman" w:hAnsi="Times New Roman" w:cs="Times New Roman"/>
          <w:i/>
          <w:iCs/>
          <w:sz w:val="24"/>
          <w:szCs w:val="24"/>
        </w:rPr>
        <w:t>(</w:t>
      </w:r>
      <w:r w:rsidR="0052140A" w:rsidRPr="00EB2576">
        <w:rPr>
          <w:rFonts w:ascii="Times New Roman" w:hAnsi="Times New Roman" w:cs="Times New Roman"/>
          <w:i/>
          <w:iCs/>
          <w:sz w:val="24"/>
          <w:szCs w:val="24"/>
        </w:rPr>
        <w:t>IFX: infliximab</w:t>
      </w:r>
      <w:r w:rsidRPr="00EB2576">
        <w:rPr>
          <w:rFonts w:ascii="Times New Roman" w:hAnsi="Times New Roman" w:cs="Times New Roman"/>
          <w:i/>
          <w:iCs/>
          <w:sz w:val="24"/>
          <w:szCs w:val="24"/>
        </w:rPr>
        <w:t>)</w:t>
      </w:r>
    </w:p>
    <w:p w14:paraId="76119EAD" w14:textId="77777777" w:rsidR="0052140A" w:rsidRPr="00EB2576" w:rsidRDefault="0052140A" w:rsidP="0048487E">
      <w:pPr>
        <w:pStyle w:val="Heading3"/>
        <w:spacing w:line="480" w:lineRule="auto"/>
        <w:rPr>
          <w:rFonts w:ascii="Times New Roman" w:hAnsi="Times New Roman" w:cs="Times New Roman"/>
          <w:b/>
          <w:bCs/>
        </w:rPr>
      </w:pPr>
    </w:p>
    <w:p w14:paraId="7E1D1FD6" w14:textId="77777777" w:rsidR="00D97199" w:rsidRPr="00EB2576" w:rsidRDefault="00D97199" w:rsidP="00D97199"/>
    <w:p w14:paraId="4E7DD4C4" w14:textId="77777777" w:rsidR="00D97199" w:rsidRPr="00EB2576" w:rsidRDefault="00D97199" w:rsidP="00D97199"/>
    <w:p w14:paraId="6F084DBA" w14:textId="77777777" w:rsidR="00D97199" w:rsidRPr="00EB2576" w:rsidRDefault="00D97199" w:rsidP="00D97199"/>
    <w:p w14:paraId="4A8C6056" w14:textId="77777777" w:rsidR="00D97199" w:rsidRPr="00EB2576" w:rsidRDefault="00D97199" w:rsidP="00D97199"/>
    <w:p w14:paraId="100226A4" w14:textId="77777777" w:rsidR="00D97199" w:rsidRPr="00EB2576" w:rsidRDefault="00D97199" w:rsidP="00D97199"/>
    <w:p w14:paraId="25ECFE80" w14:textId="77777777" w:rsidR="00D469ED" w:rsidRPr="00EB2576" w:rsidRDefault="00D469ED" w:rsidP="00D469ED"/>
    <w:p w14:paraId="03545B14" w14:textId="77777777" w:rsidR="00D97199" w:rsidRPr="00EB2576" w:rsidRDefault="00D97199" w:rsidP="00D469ED"/>
    <w:p w14:paraId="0E73FF09" w14:textId="77777777" w:rsidR="00D97199" w:rsidRPr="00EB2576" w:rsidRDefault="00D97199" w:rsidP="00D469ED"/>
    <w:p w14:paraId="38C08AE2" w14:textId="77777777" w:rsidR="00D97199" w:rsidRPr="00EB2576" w:rsidRDefault="00D97199" w:rsidP="00D469ED"/>
    <w:p w14:paraId="1FE0A1B2" w14:textId="77777777" w:rsidR="00D97199" w:rsidRPr="00EB2576" w:rsidRDefault="00D97199" w:rsidP="00D469ED"/>
    <w:p w14:paraId="4C843BB5" w14:textId="2A562EED" w:rsidR="0048487E" w:rsidRPr="00EB2576" w:rsidRDefault="007A0A5E" w:rsidP="0048487E">
      <w:pPr>
        <w:pStyle w:val="Heading3"/>
        <w:spacing w:line="480" w:lineRule="auto"/>
        <w:rPr>
          <w:rFonts w:ascii="Times New Roman" w:hAnsi="Times New Roman" w:cs="Times New Roman"/>
          <w:b/>
          <w:bCs/>
        </w:rPr>
      </w:pPr>
      <w:bookmarkStart w:id="277" w:name="_Toc151020536"/>
      <w:r w:rsidRPr="00EB2576">
        <w:rPr>
          <w:rFonts w:ascii="Times New Roman" w:hAnsi="Times New Roman" w:cs="Times New Roman"/>
          <w:b/>
          <w:bCs/>
        </w:rPr>
        <w:lastRenderedPageBreak/>
        <w:t>5</w:t>
      </w:r>
      <w:r w:rsidR="0048487E" w:rsidRPr="00EB2576">
        <w:rPr>
          <w:rFonts w:ascii="Times New Roman" w:hAnsi="Times New Roman" w:cs="Times New Roman"/>
          <w:b/>
          <w:bCs/>
        </w:rPr>
        <w:t>.3.</w:t>
      </w:r>
      <w:r w:rsidR="00EB2957" w:rsidRPr="00EB2576">
        <w:rPr>
          <w:rFonts w:ascii="Times New Roman" w:hAnsi="Times New Roman" w:cs="Times New Roman"/>
          <w:b/>
          <w:bCs/>
        </w:rPr>
        <w:t>4</w:t>
      </w:r>
      <w:r w:rsidR="0048487E" w:rsidRPr="00EB2576">
        <w:rPr>
          <w:rFonts w:ascii="Times New Roman" w:hAnsi="Times New Roman" w:cs="Times New Roman"/>
          <w:b/>
          <w:bCs/>
        </w:rPr>
        <w:t xml:space="preserve"> </w:t>
      </w:r>
      <w:bookmarkStart w:id="278" w:name="_Hlk83305808"/>
      <w:r w:rsidR="0048487E" w:rsidRPr="00EB2576">
        <w:rPr>
          <w:rFonts w:ascii="Times New Roman" w:hAnsi="Times New Roman" w:cs="Times New Roman"/>
          <w:b/>
          <w:bCs/>
        </w:rPr>
        <w:t>Comparison to the literature</w:t>
      </w:r>
      <w:bookmarkEnd w:id="277"/>
    </w:p>
    <w:bookmarkEnd w:id="278"/>
    <w:p w14:paraId="0B564662" w14:textId="057B5B08" w:rsidR="0048487E" w:rsidRPr="00EB2576" w:rsidRDefault="0048487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r w:rsidRPr="00EB2576">
        <w:rPr>
          <w:rFonts w:ascii="Times New Roman" w:eastAsia="MS PGothic" w:hAnsi="Times New Roman" w:cs="Times New Roman"/>
          <w:kern w:val="24"/>
          <w:sz w:val="24"/>
          <w:szCs w:val="24"/>
        </w:rPr>
        <w:t xml:space="preserve">The three selected candidate peptides: heavy chain 1, light chain 1 and light chain 2 overlap with previously identified infliximab epitopes, as shown in Figure </w:t>
      </w:r>
      <w:r w:rsidR="00016847" w:rsidRPr="00EB2576">
        <w:rPr>
          <w:rFonts w:ascii="Times New Roman" w:eastAsia="MS PGothic" w:hAnsi="Times New Roman" w:cs="Times New Roman"/>
          <w:kern w:val="24"/>
          <w:sz w:val="24"/>
          <w:szCs w:val="24"/>
        </w:rPr>
        <w:t>30</w:t>
      </w:r>
      <w:r w:rsidR="00834421" w:rsidRPr="00EB2576">
        <w:rPr>
          <w:rFonts w:ascii="Times New Roman" w:eastAsia="MS PGothic" w:hAnsi="Times New Roman" w:cs="Times New Roman"/>
          <w:kern w:val="24"/>
          <w:sz w:val="24"/>
          <w:szCs w:val="24"/>
        </w:rPr>
        <w:t>.</w:t>
      </w:r>
      <w:r w:rsidRPr="00EB2576">
        <w:rPr>
          <w:rFonts w:ascii="Times New Roman" w:eastAsia="MS PGothic" w:hAnsi="Times New Roman" w:cs="Times New Roman"/>
          <w:kern w:val="24"/>
          <w:sz w:val="24"/>
          <w:szCs w:val="24"/>
        </w:rPr>
        <w:t xml:space="preserve"> Heavy chain peptide 1 and light chain peptide 1 correlate closely to two of the peptides identified by Homann et al: IFX 1 on the heavy chain (selected by 60% by their analysed sera) and IFX 3 on the light chain (selected by 85% by their analysed sera) </w:t>
      </w:r>
      <w:r w:rsidRPr="00EB2576">
        <w:rPr>
          <w:rFonts w:ascii="Times New Roman" w:eastAsia="MS PGothic" w:hAnsi="Times New Roman" w:cs="Times New Roman"/>
          <w:kern w:val="24"/>
          <w:sz w:val="24"/>
          <w:szCs w:val="24"/>
        </w:rPr>
        <w:fldChar w:fldCharType="begin" w:fldLock="1"/>
      </w:r>
      <w:r w:rsidR="00DD0F87" w:rsidRPr="00EB2576">
        <w:rPr>
          <w:rFonts w:ascii="Times New Roman" w:eastAsia="MS PGothic" w:hAnsi="Times New Roman" w:cs="Times New Roman"/>
          <w:kern w:val="24"/>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Pr="00EB2576">
        <w:rPr>
          <w:rFonts w:ascii="Times New Roman" w:eastAsia="MS PGothic" w:hAnsi="Times New Roman" w:cs="Times New Roman"/>
          <w:kern w:val="24"/>
          <w:sz w:val="24"/>
          <w:szCs w:val="24"/>
        </w:rPr>
        <w:fldChar w:fldCharType="separate"/>
      </w:r>
      <w:r w:rsidR="00A00D49" w:rsidRPr="00EB2576">
        <w:rPr>
          <w:rFonts w:ascii="Times New Roman" w:eastAsia="MS PGothic" w:hAnsi="Times New Roman" w:cs="Times New Roman"/>
          <w:noProof/>
          <w:kern w:val="24"/>
          <w:sz w:val="24"/>
          <w:szCs w:val="24"/>
          <w:vertAlign w:val="superscript"/>
        </w:rPr>
        <w:t>159</w:t>
      </w:r>
      <w:r w:rsidRPr="00EB2576">
        <w:rPr>
          <w:rFonts w:ascii="Times New Roman" w:eastAsia="MS PGothic" w:hAnsi="Times New Roman" w:cs="Times New Roman"/>
          <w:kern w:val="24"/>
          <w:sz w:val="24"/>
          <w:szCs w:val="24"/>
        </w:rPr>
        <w:fldChar w:fldCharType="end"/>
      </w:r>
      <w:r w:rsidRPr="00EB2576">
        <w:rPr>
          <w:rFonts w:ascii="Times New Roman" w:eastAsia="MS PGothic" w:hAnsi="Times New Roman" w:cs="Times New Roman"/>
          <w:kern w:val="24"/>
          <w:sz w:val="24"/>
          <w:szCs w:val="24"/>
        </w:rPr>
        <w:t xml:space="preserve">. Goncalves et al, using phage display demonstrated immunoreactivity to </w:t>
      </w:r>
      <w:r w:rsidR="008802DE" w:rsidRPr="00EB2576">
        <w:rPr>
          <w:rFonts w:ascii="Times New Roman" w:eastAsia="MS PGothic" w:hAnsi="Times New Roman" w:cs="Times New Roman"/>
          <w:kern w:val="24"/>
          <w:sz w:val="24"/>
          <w:szCs w:val="24"/>
        </w:rPr>
        <w:t>most</w:t>
      </w:r>
      <w:r w:rsidRPr="00EB2576">
        <w:rPr>
          <w:rFonts w:ascii="Times New Roman" w:eastAsia="MS PGothic" w:hAnsi="Times New Roman" w:cs="Times New Roman"/>
          <w:kern w:val="24"/>
          <w:sz w:val="24"/>
          <w:szCs w:val="24"/>
        </w:rPr>
        <w:t xml:space="preserve"> of the Fab heavy chain and nearly half of the infliximab light chain. The regions that contained the candidate peptides were noted to be some of the most immunogenic areas by Goncalves et al and their selected VL peptide: amino acid residue 17-63 contained both selected light chain peptides 1 and 2 and was selected 86% and 79% of patients with antibodies to Remicade and CT-P13 respectively </w:t>
      </w:r>
      <w:r w:rsidRPr="00EB2576">
        <w:rPr>
          <w:rFonts w:ascii="Times New Roman" w:eastAsia="MS PGothic" w:hAnsi="Times New Roman" w:cs="Times New Roman"/>
          <w:kern w:val="24"/>
          <w:sz w:val="24"/>
          <w:szCs w:val="24"/>
        </w:rPr>
        <w:fldChar w:fldCharType="begin" w:fldLock="1"/>
      </w:r>
      <w:r w:rsidR="00A00D49" w:rsidRPr="00EB2576">
        <w:rPr>
          <w:rFonts w:ascii="Times New Roman" w:eastAsia="MS PGothic" w:hAnsi="Times New Roman" w:cs="Times New Roman"/>
          <w:kern w:val="24"/>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Pr="00EB2576">
        <w:rPr>
          <w:rFonts w:ascii="Times New Roman" w:eastAsia="MS PGothic" w:hAnsi="Times New Roman" w:cs="Times New Roman"/>
          <w:kern w:val="24"/>
          <w:sz w:val="24"/>
          <w:szCs w:val="24"/>
        </w:rPr>
        <w:fldChar w:fldCharType="separate"/>
      </w:r>
      <w:r w:rsidR="00C80274" w:rsidRPr="00EB2576">
        <w:rPr>
          <w:rFonts w:ascii="Times New Roman" w:eastAsia="MS PGothic" w:hAnsi="Times New Roman" w:cs="Times New Roman"/>
          <w:noProof/>
          <w:kern w:val="24"/>
          <w:sz w:val="24"/>
          <w:szCs w:val="24"/>
          <w:vertAlign w:val="superscript"/>
        </w:rPr>
        <w:t>160</w:t>
      </w:r>
      <w:r w:rsidRPr="00EB2576">
        <w:rPr>
          <w:rFonts w:ascii="Times New Roman" w:eastAsia="MS PGothic" w:hAnsi="Times New Roman" w:cs="Times New Roman"/>
          <w:kern w:val="24"/>
          <w:sz w:val="24"/>
          <w:szCs w:val="24"/>
        </w:rPr>
        <w:fldChar w:fldCharType="end"/>
      </w:r>
      <w:r w:rsidRPr="00EB2576">
        <w:rPr>
          <w:rFonts w:ascii="Times New Roman" w:eastAsia="MS PGothic" w:hAnsi="Times New Roman" w:cs="Times New Roman"/>
          <w:kern w:val="24"/>
          <w:sz w:val="24"/>
          <w:szCs w:val="24"/>
        </w:rPr>
        <w:t xml:space="preserve">.   </w:t>
      </w:r>
    </w:p>
    <w:p w14:paraId="2000ADA5"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3DE151F8"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44896942"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6B4A0494"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0C8206D0"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464CB970"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363984F2"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606F9021"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1A87DBDC"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4D2C3627"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3ADE4529"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47B31B69" w14:textId="77777777" w:rsidR="007F3C5E" w:rsidRPr="00EB2576" w:rsidRDefault="007F3C5E" w:rsidP="007F3C5E">
      <w:pPr>
        <w:kinsoku w:val="0"/>
        <w:overflowPunct w:val="0"/>
        <w:spacing w:before="86" w:after="0" w:line="480" w:lineRule="auto"/>
        <w:textAlignment w:val="baseline"/>
        <w:rPr>
          <w:rFonts w:ascii="Times New Roman" w:eastAsia="MS PGothic" w:hAnsi="Times New Roman" w:cs="Times New Roman"/>
          <w:kern w:val="24"/>
          <w:sz w:val="24"/>
          <w:szCs w:val="24"/>
        </w:rPr>
      </w:pPr>
    </w:p>
    <w:p w14:paraId="07D6D893" w14:textId="00B4216E" w:rsidR="0048487E" w:rsidRPr="00EB2576" w:rsidRDefault="0048487E" w:rsidP="0048487E">
      <w:pPr>
        <w:spacing w:line="720" w:lineRule="auto"/>
        <w:rPr>
          <w:rFonts w:ascii="Times New Roman" w:hAnsi="Times New Roman" w:cs="Times New Roman"/>
          <w:b/>
          <w:bCs/>
          <w:sz w:val="24"/>
          <w:szCs w:val="24"/>
        </w:rPr>
      </w:pPr>
      <w:r w:rsidRPr="00EB2576">
        <w:rPr>
          <w:noProof/>
        </w:rPr>
        <w:lastRenderedPageBreak/>
        <mc:AlternateContent>
          <mc:Choice Requires="wps">
            <w:drawing>
              <wp:anchor distT="0" distB="0" distL="114300" distR="114300" simplePos="0" relativeHeight="251662336" behindDoc="0" locked="0" layoutInCell="1" allowOverlap="1" wp14:anchorId="4CA974A3" wp14:editId="6EF226CC">
                <wp:simplePos x="0" y="0"/>
                <wp:positionH relativeFrom="column">
                  <wp:posOffset>-76200</wp:posOffset>
                </wp:positionH>
                <wp:positionV relativeFrom="paragraph">
                  <wp:posOffset>-28575</wp:posOffset>
                </wp:positionV>
                <wp:extent cx="5400675" cy="5581650"/>
                <wp:effectExtent l="0" t="0" r="28575" b="19050"/>
                <wp:wrapNone/>
                <wp:docPr id="4" name="Rectangle 4"/>
                <wp:cNvGraphicFramePr/>
                <a:graphic xmlns:a="http://schemas.openxmlformats.org/drawingml/2006/main">
                  <a:graphicData uri="http://schemas.microsoft.com/office/word/2010/wordprocessingShape">
                    <wps:wsp>
                      <wps:cNvSpPr/>
                      <wps:spPr>
                        <a:xfrm>
                          <a:off x="0" y="0"/>
                          <a:ext cx="5400675" cy="5581650"/>
                        </a:xfrm>
                        <a:prstGeom prst="rect">
                          <a:avLst/>
                        </a:prstGeom>
                        <a:no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6A84C" id="Rectangle 4" o:spid="_x0000_s1026" style="position:absolute;margin-left:-6pt;margin-top:-2.25pt;width:425.25pt;height:4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" filled="f" strokecolor="#002060" strokeweight="1.5pt"/>
            </w:pict>
          </mc:Fallback>
        </mc:AlternateContent>
      </w:r>
      <w:r w:rsidRPr="00EB2576">
        <w:rPr>
          <w:noProof/>
        </w:rPr>
        <w:drawing>
          <wp:anchor distT="0" distB="0" distL="114300" distR="114300" simplePos="0" relativeHeight="251652096" behindDoc="1" locked="0" layoutInCell="1" allowOverlap="1" wp14:anchorId="584C8453" wp14:editId="0A7D5047">
            <wp:simplePos x="0" y="0"/>
            <wp:positionH relativeFrom="margin">
              <wp:align>left</wp:align>
            </wp:positionH>
            <wp:positionV relativeFrom="paragraph">
              <wp:posOffset>0</wp:posOffset>
            </wp:positionV>
            <wp:extent cx="5336540" cy="2762250"/>
            <wp:effectExtent l="0" t="0" r="0" b="0"/>
            <wp:wrapTight wrapText="bothSides">
              <wp:wrapPolygon edited="0">
                <wp:start x="0" y="0"/>
                <wp:lineTo x="0" y="21451"/>
                <wp:lineTo x="21513" y="21451"/>
                <wp:lineTo x="21513" y="0"/>
                <wp:lineTo x="0" y="0"/>
              </wp:wrapPolygon>
            </wp:wrapTight>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rcRect l="5051" t="11721" r="10178" b="10278"/>
                    <a:stretch/>
                  </pic:blipFill>
                  <pic:spPr bwMode="auto">
                    <a:xfrm>
                      <a:off x="0" y="0"/>
                      <a:ext cx="5339904" cy="27638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3F3101" w14:textId="77777777" w:rsidR="0048487E" w:rsidRPr="00EB2576" w:rsidRDefault="0048487E" w:rsidP="0048487E">
      <w:pPr>
        <w:spacing w:line="720" w:lineRule="auto"/>
        <w:rPr>
          <w:rFonts w:ascii="Times New Roman" w:hAnsi="Times New Roman" w:cs="Times New Roman"/>
          <w:b/>
          <w:bCs/>
          <w:sz w:val="24"/>
          <w:szCs w:val="24"/>
        </w:rPr>
      </w:pPr>
    </w:p>
    <w:p w14:paraId="0B47D6A6" w14:textId="77777777" w:rsidR="0048487E" w:rsidRPr="00EB2576" w:rsidRDefault="0048487E" w:rsidP="0048487E">
      <w:pPr>
        <w:spacing w:line="720" w:lineRule="auto"/>
        <w:rPr>
          <w:rFonts w:ascii="Times New Roman" w:hAnsi="Times New Roman" w:cs="Times New Roman"/>
          <w:b/>
          <w:bCs/>
          <w:sz w:val="24"/>
          <w:szCs w:val="24"/>
        </w:rPr>
      </w:pPr>
    </w:p>
    <w:p w14:paraId="5E024544" w14:textId="77777777" w:rsidR="0048487E" w:rsidRPr="00EB2576" w:rsidRDefault="0048487E" w:rsidP="0048487E">
      <w:pPr>
        <w:spacing w:line="720" w:lineRule="auto"/>
        <w:rPr>
          <w:rFonts w:ascii="Times New Roman" w:hAnsi="Times New Roman" w:cs="Times New Roman"/>
          <w:b/>
          <w:bCs/>
          <w:sz w:val="24"/>
          <w:szCs w:val="24"/>
        </w:rPr>
      </w:pPr>
    </w:p>
    <w:p w14:paraId="18282CEE" w14:textId="77777777" w:rsidR="0048487E" w:rsidRPr="00EB2576" w:rsidRDefault="0048487E" w:rsidP="0048487E">
      <w:pPr>
        <w:spacing w:line="720" w:lineRule="auto"/>
        <w:rPr>
          <w:rFonts w:ascii="Times New Roman" w:hAnsi="Times New Roman" w:cs="Times New Roman"/>
          <w:b/>
          <w:bCs/>
          <w:sz w:val="24"/>
          <w:szCs w:val="24"/>
        </w:rPr>
      </w:pPr>
      <w:r w:rsidRPr="00EB2576">
        <w:rPr>
          <w:noProof/>
        </w:rPr>
        <w:drawing>
          <wp:anchor distT="0" distB="0" distL="114300" distR="114300" simplePos="0" relativeHeight="251657216" behindDoc="1" locked="0" layoutInCell="1" allowOverlap="1" wp14:anchorId="047D6B65" wp14:editId="5A8DACA0">
            <wp:simplePos x="0" y="0"/>
            <wp:positionH relativeFrom="margin">
              <wp:align>left</wp:align>
            </wp:positionH>
            <wp:positionV relativeFrom="paragraph">
              <wp:posOffset>396875</wp:posOffset>
            </wp:positionV>
            <wp:extent cx="5060950" cy="2609850"/>
            <wp:effectExtent l="0" t="0" r="6350" b="0"/>
            <wp:wrapTight wrapText="bothSides">
              <wp:wrapPolygon edited="0">
                <wp:start x="0" y="0"/>
                <wp:lineTo x="0" y="21442"/>
                <wp:lineTo x="21546" y="21442"/>
                <wp:lineTo x="21546" y="0"/>
                <wp:lineTo x="0" y="0"/>
              </wp:wrapPolygon>
            </wp:wrapTight>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rcRect l="4942" t="15830" r="17877" b="12308"/>
                    <a:stretch/>
                  </pic:blipFill>
                  <pic:spPr bwMode="auto">
                    <a:xfrm>
                      <a:off x="0" y="0"/>
                      <a:ext cx="5060950"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50572A" w14:textId="77777777" w:rsidR="0048487E" w:rsidRPr="00EB2576" w:rsidRDefault="0048487E" w:rsidP="0048487E">
      <w:pPr>
        <w:spacing w:line="720" w:lineRule="auto"/>
        <w:rPr>
          <w:rFonts w:ascii="Times New Roman" w:hAnsi="Times New Roman" w:cs="Times New Roman"/>
          <w:b/>
          <w:bCs/>
          <w:sz w:val="24"/>
          <w:szCs w:val="24"/>
        </w:rPr>
      </w:pPr>
    </w:p>
    <w:p w14:paraId="1D2CC2A6" w14:textId="77777777" w:rsidR="0048487E" w:rsidRPr="00EB2576" w:rsidRDefault="0048487E" w:rsidP="0048487E">
      <w:pPr>
        <w:spacing w:line="720" w:lineRule="auto"/>
        <w:rPr>
          <w:rFonts w:ascii="Times New Roman" w:hAnsi="Times New Roman" w:cs="Times New Roman"/>
          <w:b/>
          <w:bCs/>
          <w:sz w:val="24"/>
          <w:szCs w:val="24"/>
        </w:rPr>
      </w:pPr>
    </w:p>
    <w:p w14:paraId="59340C5B" w14:textId="77777777" w:rsidR="0048487E" w:rsidRPr="00EB2576" w:rsidRDefault="0048487E" w:rsidP="0048487E">
      <w:pPr>
        <w:spacing w:line="720" w:lineRule="auto"/>
        <w:rPr>
          <w:rFonts w:ascii="Times New Roman" w:hAnsi="Times New Roman" w:cs="Times New Roman"/>
          <w:b/>
          <w:bCs/>
          <w:sz w:val="24"/>
          <w:szCs w:val="24"/>
        </w:rPr>
      </w:pPr>
    </w:p>
    <w:p w14:paraId="4EDE2AFB" w14:textId="6FF72752" w:rsidR="0048487E" w:rsidRPr="00EB2576" w:rsidRDefault="0048487E" w:rsidP="0048487E">
      <w:pPr>
        <w:spacing w:line="720" w:lineRule="auto"/>
        <w:rPr>
          <w:rFonts w:ascii="Times New Roman" w:hAnsi="Times New Roman" w:cs="Times New Roman"/>
          <w:b/>
          <w:bCs/>
          <w:sz w:val="24"/>
          <w:szCs w:val="24"/>
        </w:rPr>
      </w:pPr>
    </w:p>
    <w:p w14:paraId="3C23CCA8" w14:textId="77AC5FD3" w:rsidR="0048487E" w:rsidRPr="00EB2576" w:rsidRDefault="0042412D" w:rsidP="0042412D">
      <w:pPr>
        <w:spacing w:line="240" w:lineRule="auto"/>
        <w:rPr>
          <w:rFonts w:ascii="Times New Roman" w:hAnsi="Times New Roman" w:cs="Times New Roman"/>
          <w:b/>
          <w:bCs/>
          <w:sz w:val="24"/>
          <w:szCs w:val="24"/>
        </w:rPr>
      </w:pPr>
      <w:r w:rsidRPr="00EB2576">
        <w:rPr>
          <w:noProof/>
        </w:rPr>
        <mc:AlternateContent>
          <mc:Choice Requires="wps">
            <w:drawing>
              <wp:anchor distT="0" distB="0" distL="114300" distR="114300" simplePos="0" relativeHeight="251687936" behindDoc="0" locked="0" layoutInCell="1" allowOverlap="1" wp14:anchorId="7EE130C7" wp14:editId="2AE51186">
                <wp:simplePos x="0" y="0"/>
                <wp:positionH relativeFrom="margin">
                  <wp:align>left</wp:align>
                </wp:positionH>
                <wp:positionV relativeFrom="paragraph">
                  <wp:posOffset>12065</wp:posOffset>
                </wp:positionV>
                <wp:extent cx="5334000" cy="333375"/>
                <wp:effectExtent l="0" t="0" r="0" b="9525"/>
                <wp:wrapNone/>
                <wp:docPr id="1735905985" name="Text Box 1"/>
                <wp:cNvGraphicFramePr/>
                <a:graphic xmlns:a="http://schemas.openxmlformats.org/drawingml/2006/main">
                  <a:graphicData uri="http://schemas.microsoft.com/office/word/2010/wordprocessingShape">
                    <wps:wsp>
                      <wps:cNvSpPr txBox="1"/>
                      <wps:spPr>
                        <a:xfrm>
                          <a:off x="0" y="0"/>
                          <a:ext cx="5334000" cy="333375"/>
                        </a:xfrm>
                        <a:prstGeom prst="rect">
                          <a:avLst/>
                        </a:prstGeom>
                        <a:solidFill>
                          <a:prstClr val="white"/>
                        </a:solidFill>
                        <a:ln>
                          <a:noFill/>
                        </a:ln>
                      </wps:spPr>
                      <wps:txbx>
                        <w:txbxContent>
                          <w:p w14:paraId="4BC31E34" w14:textId="098C4D59" w:rsidR="00834421" w:rsidRPr="00834421" w:rsidRDefault="00834421" w:rsidP="0042412D">
                            <w:pPr>
                              <w:pStyle w:val="Caption"/>
                              <w:spacing w:line="240" w:lineRule="auto"/>
                              <w:rPr>
                                <w:rFonts w:ascii="Times New Roman" w:hAnsi="Times New Roman" w:cs="Times New Roman"/>
                                <w:noProof/>
                                <w:sz w:val="24"/>
                                <w:szCs w:val="24"/>
                              </w:rPr>
                            </w:pPr>
                            <w:bookmarkStart w:id="279" w:name="_Toc139397328"/>
                            <w:bookmarkStart w:id="280" w:name="_Toc151020675"/>
                            <w:r w:rsidRPr="00834421">
                              <w:rPr>
                                <w:rFonts w:ascii="Times New Roman" w:hAnsi="Times New Roman" w:cs="Times New Roman"/>
                                <w:sz w:val="24"/>
                                <w:szCs w:val="24"/>
                              </w:rPr>
                              <w:t xml:space="preserve">Figure </w:t>
                            </w:r>
                            <w:r w:rsidRPr="00834421">
                              <w:rPr>
                                <w:rFonts w:ascii="Times New Roman" w:hAnsi="Times New Roman" w:cs="Times New Roman"/>
                                <w:sz w:val="24"/>
                                <w:szCs w:val="24"/>
                              </w:rPr>
                              <w:fldChar w:fldCharType="begin"/>
                            </w:r>
                            <w:r w:rsidRPr="00834421">
                              <w:rPr>
                                <w:rFonts w:ascii="Times New Roman" w:hAnsi="Times New Roman" w:cs="Times New Roman"/>
                                <w:sz w:val="24"/>
                                <w:szCs w:val="24"/>
                              </w:rPr>
                              <w:instrText xml:space="preserve"> SEQ Figure \* ARABIC </w:instrText>
                            </w:r>
                            <w:r w:rsidRPr="00834421">
                              <w:rPr>
                                <w:rFonts w:ascii="Times New Roman" w:hAnsi="Times New Roman" w:cs="Times New Roman"/>
                                <w:sz w:val="24"/>
                                <w:szCs w:val="24"/>
                              </w:rPr>
                              <w:fldChar w:fldCharType="separate"/>
                            </w:r>
                            <w:r w:rsidR="00192EAE">
                              <w:rPr>
                                <w:rFonts w:ascii="Times New Roman" w:hAnsi="Times New Roman" w:cs="Times New Roman"/>
                                <w:noProof/>
                                <w:sz w:val="24"/>
                                <w:szCs w:val="24"/>
                              </w:rPr>
                              <w:t>30</w:t>
                            </w:r>
                            <w:r w:rsidRPr="00834421">
                              <w:rPr>
                                <w:rFonts w:ascii="Times New Roman" w:hAnsi="Times New Roman" w:cs="Times New Roman"/>
                                <w:sz w:val="24"/>
                                <w:szCs w:val="24"/>
                              </w:rPr>
                              <w:fldChar w:fldCharType="end"/>
                            </w:r>
                            <w:r w:rsidRPr="00834421">
                              <w:rPr>
                                <w:rFonts w:ascii="Times New Roman" w:hAnsi="Times New Roman" w:cs="Times New Roman"/>
                                <w:sz w:val="24"/>
                                <w:szCs w:val="24"/>
                              </w:rPr>
                              <w:t xml:space="preserve">. </w:t>
                            </w:r>
                            <w:r w:rsidR="004E0133">
                              <w:rPr>
                                <w:rFonts w:ascii="Times New Roman" w:hAnsi="Times New Roman" w:cs="Times New Roman"/>
                                <w:sz w:val="24"/>
                                <w:szCs w:val="24"/>
                              </w:rPr>
                              <w:t>S</w:t>
                            </w:r>
                            <w:r w:rsidRPr="00834421">
                              <w:rPr>
                                <w:rFonts w:ascii="Times New Roman" w:hAnsi="Times New Roman" w:cs="Times New Roman"/>
                                <w:sz w:val="24"/>
                                <w:szCs w:val="24"/>
                              </w:rPr>
                              <w:t xml:space="preserve">elected candidate peptides </w:t>
                            </w:r>
                            <w:r w:rsidR="004E0133">
                              <w:rPr>
                                <w:rFonts w:ascii="Times New Roman" w:hAnsi="Times New Roman" w:cs="Times New Roman"/>
                                <w:sz w:val="24"/>
                                <w:szCs w:val="24"/>
                              </w:rPr>
                              <w:t>compared</w:t>
                            </w:r>
                            <w:r w:rsidRPr="00834421">
                              <w:rPr>
                                <w:rFonts w:ascii="Times New Roman" w:hAnsi="Times New Roman" w:cs="Times New Roman"/>
                                <w:sz w:val="24"/>
                                <w:szCs w:val="24"/>
                              </w:rPr>
                              <w:t xml:space="preserve"> to peptides previously selected in the literature.</w:t>
                            </w:r>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130C7" id="_x0000_s1029" type="#_x0000_t202" style="position:absolute;left:0;text-align:left;margin-left:0;margin-top:.95pt;width:420pt;height:26.2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" stroked="f">
                <v:textbox inset="0,0,0,0">
                  <w:txbxContent>
                    <w:p w14:paraId="4BC31E34" w14:textId="098C4D59" w:rsidR="00834421" w:rsidRPr="00834421" w:rsidRDefault="00834421" w:rsidP="0042412D">
                      <w:pPr>
                        <w:pStyle w:val="Caption"/>
                        <w:spacing w:line="240" w:lineRule="auto"/>
                        <w:rPr>
                          <w:rFonts w:ascii="Times New Roman" w:hAnsi="Times New Roman" w:cs="Times New Roman"/>
                          <w:noProof/>
                          <w:sz w:val="24"/>
                          <w:szCs w:val="24"/>
                        </w:rPr>
                      </w:pPr>
                      <w:bookmarkStart w:id="281" w:name="_Toc139397328"/>
                      <w:bookmarkStart w:id="282" w:name="_Toc151020675"/>
                      <w:r w:rsidRPr="00834421">
                        <w:rPr>
                          <w:rFonts w:ascii="Times New Roman" w:hAnsi="Times New Roman" w:cs="Times New Roman"/>
                          <w:sz w:val="24"/>
                          <w:szCs w:val="24"/>
                        </w:rPr>
                        <w:t xml:space="preserve">Figure </w:t>
                      </w:r>
                      <w:r w:rsidRPr="00834421">
                        <w:rPr>
                          <w:rFonts w:ascii="Times New Roman" w:hAnsi="Times New Roman" w:cs="Times New Roman"/>
                          <w:sz w:val="24"/>
                          <w:szCs w:val="24"/>
                        </w:rPr>
                        <w:fldChar w:fldCharType="begin"/>
                      </w:r>
                      <w:r w:rsidRPr="00834421">
                        <w:rPr>
                          <w:rFonts w:ascii="Times New Roman" w:hAnsi="Times New Roman" w:cs="Times New Roman"/>
                          <w:sz w:val="24"/>
                          <w:szCs w:val="24"/>
                        </w:rPr>
                        <w:instrText xml:space="preserve"> SEQ Figure \* ARABIC </w:instrText>
                      </w:r>
                      <w:r w:rsidRPr="00834421">
                        <w:rPr>
                          <w:rFonts w:ascii="Times New Roman" w:hAnsi="Times New Roman" w:cs="Times New Roman"/>
                          <w:sz w:val="24"/>
                          <w:szCs w:val="24"/>
                        </w:rPr>
                        <w:fldChar w:fldCharType="separate"/>
                      </w:r>
                      <w:r w:rsidR="00192EAE">
                        <w:rPr>
                          <w:rFonts w:ascii="Times New Roman" w:hAnsi="Times New Roman" w:cs="Times New Roman"/>
                          <w:noProof/>
                          <w:sz w:val="24"/>
                          <w:szCs w:val="24"/>
                        </w:rPr>
                        <w:t>30</w:t>
                      </w:r>
                      <w:r w:rsidRPr="00834421">
                        <w:rPr>
                          <w:rFonts w:ascii="Times New Roman" w:hAnsi="Times New Roman" w:cs="Times New Roman"/>
                          <w:sz w:val="24"/>
                          <w:szCs w:val="24"/>
                        </w:rPr>
                        <w:fldChar w:fldCharType="end"/>
                      </w:r>
                      <w:r w:rsidRPr="00834421">
                        <w:rPr>
                          <w:rFonts w:ascii="Times New Roman" w:hAnsi="Times New Roman" w:cs="Times New Roman"/>
                          <w:sz w:val="24"/>
                          <w:szCs w:val="24"/>
                        </w:rPr>
                        <w:t xml:space="preserve">. </w:t>
                      </w:r>
                      <w:r w:rsidR="004E0133">
                        <w:rPr>
                          <w:rFonts w:ascii="Times New Roman" w:hAnsi="Times New Roman" w:cs="Times New Roman"/>
                          <w:sz w:val="24"/>
                          <w:szCs w:val="24"/>
                        </w:rPr>
                        <w:t>S</w:t>
                      </w:r>
                      <w:r w:rsidRPr="00834421">
                        <w:rPr>
                          <w:rFonts w:ascii="Times New Roman" w:hAnsi="Times New Roman" w:cs="Times New Roman"/>
                          <w:sz w:val="24"/>
                          <w:szCs w:val="24"/>
                        </w:rPr>
                        <w:t xml:space="preserve">elected candidate peptides </w:t>
                      </w:r>
                      <w:r w:rsidR="004E0133">
                        <w:rPr>
                          <w:rFonts w:ascii="Times New Roman" w:hAnsi="Times New Roman" w:cs="Times New Roman"/>
                          <w:sz w:val="24"/>
                          <w:szCs w:val="24"/>
                        </w:rPr>
                        <w:t>compared</w:t>
                      </w:r>
                      <w:r w:rsidRPr="00834421">
                        <w:rPr>
                          <w:rFonts w:ascii="Times New Roman" w:hAnsi="Times New Roman" w:cs="Times New Roman"/>
                          <w:sz w:val="24"/>
                          <w:szCs w:val="24"/>
                        </w:rPr>
                        <w:t xml:space="preserve"> to peptides previously selected in the literature.</w:t>
                      </w:r>
                      <w:bookmarkEnd w:id="281"/>
                      <w:bookmarkEnd w:id="282"/>
                    </w:p>
                  </w:txbxContent>
                </v:textbox>
                <w10:wrap anchorx="margin"/>
              </v:shape>
            </w:pict>
          </mc:Fallback>
        </mc:AlternateContent>
      </w:r>
      <w:r w:rsidR="0048487E" w:rsidRPr="00EB2576">
        <w:rPr>
          <w:rFonts w:ascii="Times New Roman" w:hAnsi="Times New Roman" w:cs="Times New Roman"/>
          <w:b/>
          <w:bCs/>
          <w:sz w:val="24"/>
          <w:szCs w:val="24"/>
        </w:rPr>
        <w:t>Figure 6.4. Comparison of selected candidate peptides</w:t>
      </w:r>
      <w:r w:rsidR="00563E3D" w:rsidRPr="00EB2576">
        <w:rPr>
          <w:rFonts w:ascii="Times New Roman" w:hAnsi="Times New Roman" w:cs="Times New Roman"/>
          <w:b/>
          <w:bCs/>
          <w:sz w:val="24"/>
          <w:szCs w:val="24"/>
        </w:rPr>
        <w:t xml:space="preserve"> from this work</w:t>
      </w:r>
      <w:r w:rsidR="0048487E" w:rsidRPr="00EB2576">
        <w:rPr>
          <w:rFonts w:ascii="Times New Roman" w:hAnsi="Times New Roman" w:cs="Times New Roman"/>
          <w:b/>
          <w:bCs/>
          <w:sz w:val="24"/>
          <w:szCs w:val="24"/>
        </w:rPr>
        <w:t xml:space="preserve"> to </w:t>
      </w:r>
    </w:p>
    <w:p w14:paraId="3809BD00" w14:textId="77777777" w:rsidR="00834421" w:rsidRPr="00EB2576" w:rsidRDefault="00834421" w:rsidP="0042412D">
      <w:pPr>
        <w:spacing w:line="240" w:lineRule="auto"/>
        <w:rPr>
          <w:rFonts w:ascii="Times New Roman" w:eastAsia="Times New Roman" w:hAnsi="Times New Roman" w:cs="Times New Roman"/>
          <w:sz w:val="24"/>
          <w:szCs w:val="24"/>
          <w:lang w:eastAsia="en-GB"/>
        </w:rPr>
      </w:pPr>
    </w:p>
    <w:p w14:paraId="446F0AF8" w14:textId="38AC9F44" w:rsidR="0048487E" w:rsidRPr="00EB2576" w:rsidRDefault="0048487E" w:rsidP="0042412D">
      <w:pPr>
        <w:spacing w:line="240" w:lineRule="auto"/>
        <w:rPr>
          <w:rFonts w:ascii="Times New Roman" w:eastAsia="Times New Roman" w:hAnsi="Times New Roman" w:cs="Times New Roman"/>
          <w:sz w:val="24"/>
          <w:szCs w:val="24"/>
          <w:lang w:eastAsia="en-GB"/>
        </w:rPr>
      </w:pPr>
      <w:r w:rsidRPr="00EB2576">
        <w:rPr>
          <w:rFonts w:ascii="Times New Roman" w:eastAsia="Times New Roman" w:hAnsi="Times New Roman" w:cs="Times New Roman"/>
          <w:sz w:val="24"/>
          <w:szCs w:val="24"/>
          <w:lang w:eastAsia="en-GB"/>
        </w:rPr>
        <w:t xml:space="preserve">Infliximab Fab heavy chain and light chain with complementary determining regions (CDR) in red are annotated with candidate peptides: heavy chain peptide 1, light chain peptide </w:t>
      </w:r>
      <w:r w:rsidR="0042412D" w:rsidRPr="00EB2576">
        <w:rPr>
          <w:rFonts w:ascii="Times New Roman" w:eastAsia="Times New Roman" w:hAnsi="Times New Roman" w:cs="Times New Roman"/>
          <w:sz w:val="24"/>
          <w:szCs w:val="24"/>
          <w:lang w:eastAsia="en-GB"/>
        </w:rPr>
        <w:t>2</w:t>
      </w:r>
      <w:r w:rsidRPr="00EB2576">
        <w:rPr>
          <w:rFonts w:ascii="Times New Roman" w:eastAsia="Times New Roman" w:hAnsi="Times New Roman" w:cs="Times New Roman"/>
          <w:sz w:val="24"/>
          <w:szCs w:val="24"/>
          <w:lang w:eastAsia="en-GB"/>
        </w:rPr>
        <w:t xml:space="preserve"> and light chain peptide </w:t>
      </w:r>
      <w:r w:rsidR="0042412D" w:rsidRPr="00EB2576">
        <w:rPr>
          <w:rFonts w:ascii="Times New Roman" w:eastAsia="Times New Roman" w:hAnsi="Times New Roman" w:cs="Times New Roman"/>
          <w:sz w:val="24"/>
          <w:szCs w:val="24"/>
          <w:lang w:eastAsia="en-GB"/>
        </w:rPr>
        <w:t>3</w:t>
      </w:r>
      <w:r w:rsidRPr="00EB2576">
        <w:rPr>
          <w:rFonts w:ascii="Times New Roman" w:eastAsia="Times New Roman" w:hAnsi="Times New Roman" w:cs="Times New Roman"/>
          <w:sz w:val="24"/>
          <w:szCs w:val="24"/>
          <w:lang w:eastAsia="en-GB"/>
        </w:rPr>
        <w:t>. Immunogenic regions selected by Goncalves et al are highlighted in grey and peptides selected by Homann et al are in captions.</w:t>
      </w:r>
    </w:p>
    <w:p w14:paraId="559B1182" w14:textId="77777777" w:rsidR="00D469ED" w:rsidRPr="00EB2576" w:rsidRDefault="00D469ED" w:rsidP="0048487E">
      <w:pPr>
        <w:spacing w:line="480" w:lineRule="auto"/>
        <w:rPr>
          <w:rFonts w:ascii="Times New Roman" w:eastAsia="Times New Roman" w:hAnsi="Times New Roman" w:cs="Times New Roman"/>
          <w:sz w:val="24"/>
          <w:szCs w:val="24"/>
          <w:lang w:eastAsia="en-GB"/>
        </w:rPr>
      </w:pPr>
    </w:p>
    <w:p w14:paraId="4F2C8487" w14:textId="77777777" w:rsidR="0042412D" w:rsidRPr="00EB2576" w:rsidRDefault="0042412D" w:rsidP="0048487E">
      <w:pPr>
        <w:spacing w:line="480" w:lineRule="auto"/>
        <w:rPr>
          <w:rFonts w:ascii="Times New Roman" w:eastAsia="Times New Roman" w:hAnsi="Times New Roman" w:cs="Times New Roman"/>
          <w:sz w:val="24"/>
          <w:szCs w:val="24"/>
          <w:lang w:eastAsia="en-GB"/>
        </w:rPr>
      </w:pPr>
    </w:p>
    <w:p w14:paraId="6538F940" w14:textId="77777777" w:rsidR="0042412D" w:rsidRPr="00EB2576" w:rsidRDefault="0042412D" w:rsidP="0048487E">
      <w:pPr>
        <w:spacing w:line="480" w:lineRule="auto"/>
        <w:rPr>
          <w:rFonts w:ascii="Times New Roman" w:eastAsia="Times New Roman" w:hAnsi="Times New Roman" w:cs="Times New Roman"/>
          <w:sz w:val="24"/>
          <w:szCs w:val="24"/>
          <w:lang w:eastAsia="en-GB"/>
        </w:rPr>
      </w:pPr>
    </w:p>
    <w:p w14:paraId="73049FF0" w14:textId="5947AED3" w:rsidR="0048487E" w:rsidRPr="00EB2576" w:rsidRDefault="007A0A5E" w:rsidP="0048487E">
      <w:pPr>
        <w:pStyle w:val="Heading2"/>
        <w:spacing w:line="480" w:lineRule="auto"/>
        <w:rPr>
          <w:rFonts w:ascii="Times New Roman" w:hAnsi="Times New Roman" w:cs="Times New Roman"/>
          <w:sz w:val="24"/>
          <w:szCs w:val="24"/>
        </w:rPr>
      </w:pPr>
      <w:bookmarkStart w:id="283" w:name="_Toc151020537"/>
      <w:r w:rsidRPr="00EB2576">
        <w:rPr>
          <w:rFonts w:ascii="Times New Roman" w:hAnsi="Times New Roman" w:cs="Times New Roman"/>
          <w:sz w:val="24"/>
          <w:szCs w:val="24"/>
        </w:rPr>
        <w:lastRenderedPageBreak/>
        <w:t>5</w:t>
      </w:r>
      <w:r w:rsidR="0048487E" w:rsidRPr="00EB2576">
        <w:rPr>
          <w:rFonts w:ascii="Times New Roman" w:hAnsi="Times New Roman" w:cs="Times New Roman"/>
          <w:sz w:val="24"/>
          <w:szCs w:val="24"/>
        </w:rPr>
        <w:t>.4 Discussion</w:t>
      </w:r>
      <w:bookmarkEnd w:id="283"/>
    </w:p>
    <w:p w14:paraId="3280D870" w14:textId="3A266CD2" w:rsidR="00CB6BBB" w:rsidRPr="00EB2576" w:rsidRDefault="0048487E" w:rsidP="0048487E">
      <w:pPr>
        <w:autoSpaceDE w:val="0"/>
        <w:autoSpaceDN w:val="0"/>
        <w:adjustRightInd w:val="0"/>
        <w:spacing w:after="0" w:line="480" w:lineRule="auto"/>
        <w:jc w:val="left"/>
        <w:rPr>
          <w:rFonts w:ascii="Times New Roman" w:hAnsi="Times New Roman" w:cs="Times New Roman"/>
          <w:kern w:val="24"/>
          <w:sz w:val="24"/>
          <w:szCs w:val="24"/>
          <w:lang w:eastAsia="en-GB"/>
        </w:rPr>
      </w:pPr>
      <w:bookmarkStart w:id="284" w:name="_Hlk83634499"/>
      <w:r w:rsidRPr="00EB2576">
        <w:rPr>
          <w:rFonts w:ascii="Times New Roman" w:hAnsi="Times New Roman" w:cs="Times New Roman"/>
          <w:sz w:val="24"/>
          <w:szCs w:val="24"/>
        </w:rPr>
        <w:t xml:space="preserve">Using </w:t>
      </w:r>
      <w:r w:rsidR="002C17B4" w:rsidRPr="00EB2576">
        <w:rPr>
          <w:rFonts w:ascii="Times New Roman" w:hAnsi="Times New Roman" w:cs="Times New Roman"/>
          <w:sz w:val="24"/>
          <w:szCs w:val="24"/>
        </w:rPr>
        <w:t xml:space="preserve">an infliximab gene fragment </w:t>
      </w:r>
      <w:r w:rsidRPr="00EB2576">
        <w:rPr>
          <w:rFonts w:ascii="Times New Roman" w:hAnsi="Times New Roman" w:cs="Times New Roman"/>
          <w:sz w:val="24"/>
          <w:szCs w:val="24"/>
        </w:rPr>
        <w:t xml:space="preserve">phage display </w:t>
      </w:r>
      <w:r w:rsidR="002C17B4" w:rsidRPr="00EB2576">
        <w:rPr>
          <w:rFonts w:ascii="Times New Roman" w:hAnsi="Times New Roman" w:cs="Times New Roman"/>
          <w:sz w:val="24"/>
          <w:szCs w:val="24"/>
        </w:rPr>
        <w:t xml:space="preserve">library </w:t>
      </w:r>
      <w:r w:rsidRPr="00EB2576">
        <w:rPr>
          <w:rFonts w:ascii="Times New Roman" w:hAnsi="Times New Roman" w:cs="Times New Roman"/>
          <w:sz w:val="24"/>
          <w:szCs w:val="24"/>
        </w:rPr>
        <w:t xml:space="preserve">with pooled sera </w:t>
      </w:r>
      <w:r w:rsidR="00FC22FA" w:rsidRPr="00EB2576">
        <w:rPr>
          <w:rFonts w:ascii="Times New Roman" w:hAnsi="Times New Roman" w:cs="Times New Roman"/>
          <w:sz w:val="24"/>
          <w:szCs w:val="24"/>
        </w:rPr>
        <w:t>from</w:t>
      </w:r>
      <w:r w:rsidRPr="00EB2576">
        <w:rPr>
          <w:rFonts w:ascii="Times New Roman" w:hAnsi="Times New Roman" w:cs="Times New Roman"/>
          <w:sz w:val="24"/>
          <w:szCs w:val="24"/>
        </w:rPr>
        <w:t xml:space="preserve"> patients with ATI and different clinical outcomes, we have identified three </w:t>
      </w:r>
      <w:r w:rsidR="00B57318" w:rsidRPr="00EB2576">
        <w:rPr>
          <w:rFonts w:ascii="Times New Roman" w:hAnsi="Times New Roman" w:cs="Times New Roman"/>
          <w:sz w:val="24"/>
          <w:szCs w:val="24"/>
        </w:rPr>
        <w:t>distinct</w:t>
      </w:r>
      <w:r w:rsidR="00DE5F0A"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candidate peptides. </w:t>
      </w:r>
      <w:r w:rsidR="00ED080E" w:rsidRPr="00EB2576">
        <w:rPr>
          <w:rFonts w:ascii="Times New Roman" w:hAnsi="Times New Roman" w:cs="Times New Roman"/>
          <w:sz w:val="24"/>
          <w:szCs w:val="24"/>
        </w:rPr>
        <w:t>The p</w:t>
      </w:r>
      <w:r w:rsidRPr="00EB2576">
        <w:rPr>
          <w:rFonts w:ascii="Times New Roman" w:hAnsi="Times New Roman" w:cs="Times New Roman"/>
          <w:sz w:val="24"/>
          <w:szCs w:val="24"/>
        </w:rPr>
        <w:t xml:space="preserve">atients used for serological selection were prospectively followed up and carefully clinically </w:t>
      </w:r>
      <w:proofErr w:type="spellStart"/>
      <w:r w:rsidRPr="00EB2576">
        <w:rPr>
          <w:rFonts w:ascii="Times New Roman" w:hAnsi="Times New Roman" w:cs="Times New Roman"/>
          <w:sz w:val="24"/>
          <w:szCs w:val="24"/>
        </w:rPr>
        <w:t>phenotyped</w:t>
      </w:r>
      <w:proofErr w:type="spellEnd"/>
      <w:r w:rsidRPr="00EB2576">
        <w:rPr>
          <w:rFonts w:ascii="Times New Roman" w:hAnsi="Times New Roman" w:cs="Times New Roman"/>
          <w:sz w:val="24"/>
          <w:szCs w:val="24"/>
        </w:rPr>
        <w:t xml:space="preserve"> </w:t>
      </w:r>
      <w:r w:rsidR="00ED080E" w:rsidRPr="00EB2576">
        <w:rPr>
          <w:rFonts w:ascii="Times New Roman" w:hAnsi="Times New Roman" w:cs="Times New Roman"/>
          <w:sz w:val="24"/>
          <w:szCs w:val="24"/>
        </w:rPr>
        <w:t>using clinical assessment and TDM</w:t>
      </w:r>
      <w:r w:rsidRPr="00EB2576">
        <w:rPr>
          <w:rFonts w:ascii="Times New Roman" w:hAnsi="Times New Roman" w:cs="Times New Roman"/>
          <w:sz w:val="24"/>
          <w:szCs w:val="24"/>
        </w:rPr>
        <w:t>. Pooled sera from patients with different clinical outcomes were used to ensure different ATI were included and to allow clinically important epitopes to be identified. To aid epitope</w:t>
      </w:r>
      <w:r w:rsidR="0085552D" w:rsidRPr="00EB2576">
        <w:rPr>
          <w:rFonts w:ascii="Times New Roman" w:hAnsi="Times New Roman" w:cs="Times New Roman"/>
          <w:sz w:val="24"/>
          <w:szCs w:val="24"/>
        </w:rPr>
        <w:t>s selection</w:t>
      </w:r>
      <w:r w:rsidRPr="00EB2576">
        <w:rPr>
          <w:rFonts w:ascii="Times New Roman" w:hAnsi="Times New Roman" w:cs="Times New Roman"/>
          <w:sz w:val="24"/>
          <w:szCs w:val="24"/>
        </w:rPr>
        <w:t>, a new method for designing a phage display library was utilised to ensure</w:t>
      </w:r>
      <w:r w:rsidR="00ED080E" w:rsidRPr="00EB2576">
        <w:rPr>
          <w:rFonts w:ascii="Times New Roman" w:hAnsi="Times New Roman" w:cs="Times New Roman"/>
          <w:sz w:val="24"/>
          <w:szCs w:val="24"/>
        </w:rPr>
        <w:t xml:space="preserve"> there was</w:t>
      </w:r>
      <w:r w:rsidRPr="00EB2576">
        <w:rPr>
          <w:rFonts w:ascii="Times New Roman" w:hAnsi="Times New Roman" w:cs="Times New Roman"/>
          <w:sz w:val="24"/>
          <w:szCs w:val="24"/>
        </w:rPr>
        <w:t xml:space="preserve"> in-frame coverage of the whole infliximab peptide.</w:t>
      </w:r>
      <w:r w:rsidR="00ED080E"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In-frame gene fragments coding for overlapping amino acid sequences of the infliximab peptide was generated and cloned into phage. </w:t>
      </w:r>
      <w:r w:rsidR="00CB6BBB" w:rsidRPr="00EB2576">
        <w:rPr>
          <w:rFonts w:ascii="Times New Roman" w:hAnsi="Times New Roman" w:cs="Times New Roman"/>
          <w:sz w:val="24"/>
          <w:szCs w:val="24"/>
        </w:rPr>
        <w:t xml:space="preserve">Two large libraries were created and combined. </w:t>
      </w:r>
      <w:r w:rsidR="004A0540" w:rsidRPr="00EB2576">
        <w:rPr>
          <w:rFonts w:ascii="Times New Roman" w:hAnsi="Times New Roman" w:cs="Times New Roman"/>
          <w:sz w:val="24"/>
          <w:szCs w:val="24"/>
        </w:rPr>
        <w:t>NGS</w:t>
      </w:r>
      <w:r w:rsidR="00CB6BBB" w:rsidRPr="00EB2576">
        <w:rPr>
          <w:rFonts w:ascii="Times New Roman" w:eastAsia="Times New Roman" w:hAnsi="Times New Roman" w:cs="Times New Roman"/>
          <w:sz w:val="24"/>
          <w:szCs w:val="24"/>
          <w:lang w:val="en-US" w:eastAsia="en-GB"/>
        </w:rPr>
        <w:t xml:space="preserve"> confirmed coverage of the entire infliximab peptide sequence, </w:t>
      </w:r>
      <w:r w:rsidR="00EE29CF" w:rsidRPr="00EB2576">
        <w:rPr>
          <w:rFonts w:ascii="Times New Roman" w:eastAsia="Times New Roman" w:hAnsi="Times New Roman" w:cs="Times New Roman"/>
          <w:sz w:val="24"/>
          <w:szCs w:val="24"/>
          <w:lang w:val="en-US" w:eastAsia="en-GB"/>
        </w:rPr>
        <w:t>with</w:t>
      </w:r>
      <w:r w:rsidR="0064224A" w:rsidRPr="00EB2576">
        <w:rPr>
          <w:rFonts w:ascii="Times New Roman" w:eastAsia="Times New Roman" w:hAnsi="Times New Roman" w:cs="Times New Roman"/>
          <w:sz w:val="24"/>
          <w:szCs w:val="24"/>
          <w:lang w:val="en-US" w:eastAsia="en-GB"/>
        </w:rPr>
        <w:t xml:space="preserve"> </w:t>
      </w:r>
      <w:r w:rsidR="00CB6BBB" w:rsidRPr="00EB2576">
        <w:rPr>
          <w:rFonts w:ascii="Times New Roman" w:eastAsia="Times New Roman" w:hAnsi="Times New Roman" w:cs="Times New Roman"/>
          <w:sz w:val="24"/>
          <w:szCs w:val="24"/>
          <w:lang w:val="en-US" w:eastAsia="en-GB"/>
        </w:rPr>
        <w:t>peptide sequences of 20-30 amino acid length</w:t>
      </w:r>
      <w:r w:rsidR="00EE29CF" w:rsidRPr="00EB2576">
        <w:rPr>
          <w:rFonts w:ascii="Times New Roman" w:eastAsia="Times New Roman" w:hAnsi="Times New Roman" w:cs="Times New Roman"/>
          <w:sz w:val="24"/>
          <w:szCs w:val="24"/>
          <w:lang w:val="en-US" w:eastAsia="en-GB"/>
        </w:rPr>
        <w:t>, which</w:t>
      </w:r>
      <w:r w:rsidR="00CB6BBB" w:rsidRPr="00EB2576">
        <w:rPr>
          <w:rFonts w:ascii="Times New Roman" w:eastAsia="Times New Roman" w:hAnsi="Times New Roman" w:cs="Times New Roman"/>
          <w:sz w:val="24"/>
          <w:szCs w:val="24"/>
          <w:lang w:val="en-US" w:eastAsia="en-GB"/>
        </w:rPr>
        <w:t xml:space="preserve"> were represented more than 100 times.</w:t>
      </w:r>
      <w:r w:rsidR="00CB6BBB" w:rsidRPr="00EB2576">
        <w:rPr>
          <w:rFonts w:ascii="Times New Roman" w:hAnsi="Times New Roman" w:cs="Times New Roman"/>
          <w:kern w:val="24"/>
          <w:sz w:val="24"/>
          <w:szCs w:val="24"/>
          <w:lang w:eastAsia="en-GB"/>
        </w:rPr>
        <w:t xml:space="preserve"> </w:t>
      </w:r>
    </w:p>
    <w:p w14:paraId="480E702C" w14:textId="77777777" w:rsidR="00CB6BBB" w:rsidRPr="00EB2576" w:rsidRDefault="00CB6BBB" w:rsidP="0048487E">
      <w:pPr>
        <w:autoSpaceDE w:val="0"/>
        <w:autoSpaceDN w:val="0"/>
        <w:adjustRightInd w:val="0"/>
        <w:spacing w:after="0" w:line="480" w:lineRule="auto"/>
        <w:jc w:val="left"/>
        <w:rPr>
          <w:rFonts w:ascii="Times New Roman" w:hAnsi="Times New Roman" w:cs="Times New Roman"/>
          <w:kern w:val="24"/>
          <w:sz w:val="24"/>
          <w:szCs w:val="24"/>
          <w:lang w:eastAsia="en-GB"/>
        </w:rPr>
      </w:pPr>
    </w:p>
    <w:p w14:paraId="13789DD8" w14:textId="03B531B2" w:rsidR="0048487E" w:rsidRPr="00EB2576" w:rsidRDefault="00ED080E" w:rsidP="0048487E">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Phage</w:t>
      </w:r>
      <w:r w:rsidR="00F71F68" w:rsidRPr="00EB2576">
        <w:rPr>
          <w:rFonts w:ascii="Times New Roman" w:hAnsi="Times New Roman" w:cs="Times New Roman"/>
          <w:sz w:val="24"/>
          <w:szCs w:val="24"/>
        </w:rPr>
        <w:t xml:space="preserve">mid </w:t>
      </w:r>
      <w:r w:rsidRPr="00EB2576">
        <w:rPr>
          <w:rFonts w:ascii="Times New Roman" w:hAnsi="Times New Roman" w:cs="Times New Roman"/>
          <w:sz w:val="24"/>
          <w:szCs w:val="24"/>
        </w:rPr>
        <w:t>libraries such as ours</w:t>
      </w:r>
      <w:r w:rsidR="00F71F68" w:rsidRPr="00EB2576">
        <w:rPr>
          <w:rFonts w:ascii="Times New Roman" w:hAnsi="Times New Roman" w:cs="Times New Roman"/>
          <w:sz w:val="24"/>
          <w:szCs w:val="24"/>
        </w:rPr>
        <w:t>, utilise</w:t>
      </w:r>
      <w:r w:rsidR="002E4F16" w:rsidRPr="00EB2576">
        <w:rPr>
          <w:rFonts w:ascii="Times New Roman" w:hAnsi="Times New Roman" w:cs="Times New Roman"/>
          <w:sz w:val="24"/>
          <w:szCs w:val="24"/>
        </w:rPr>
        <w:t>s</w:t>
      </w:r>
      <w:r w:rsidR="00F71F68" w:rsidRPr="00EB2576">
        <w:rPr>
          <w:rFonts w:ascii="Times New Roman" w:hAnsi="Times New Roman" w:cs="Times New Roman"/>
          <w:sz w:val="24"/>
          <w:szCs w:val="24"/>
        </w:rPr>
        <w:t xml:space="preserve"> a plasmid with</w:t>
      </w:r>
      <w:r w:rsidR="00F30CEA" w:rsidRPr="00EB2576">
        <w:rPr>
          <w:rFonts w:ascii="Times New Roman" w:hAnsi="Times New Roman" w:cs="Times New Roman"/>
          <w:sz w:val="24"/>
          <w:szCs w:val="24"/>
        </w:rPr>
        <w:t xml:space="preserve"> both a plasmid origin of replication and </w:t>
      </w:r>
      <w:r w:rsidR="00F71F68" w:rsidRPr="00EB2576">
        <w:rPr>
          <w:rFonts w:ascii="Times New Roman" w:hAnsi="Times New Roman" w:cs="Times New Roman"/>
          <w:sz w:val="24"/>
          <w:szCs w:val="24"/>
        </w:rPr>
        <w:t xml:space="preserve">a filamentous </w:t>
      </w:r>
      <w:r w:rsidR="002E4F16" w:rsidRPr="00EB2576">
        <w:rPr>
          <w:rFonts w:ascii="Times New Roman" w:hAnsi="Times New Roman" w:cs="Times New Roman"/>
          <w:sz w:val="24"/>
          <w:szCs w:val="24"/>
        </w:rPr>
        <w:t xml:space="preserve">phage </w:t>
      </w:r>
      <w:r w:rsidR="00F71F68" w:rsidRPr="00EB2576">
        <w:rPr>
          <w:rFonts w:ascii="Times New Roman" w:hAnsi="Times New Roman" w:cs="Times New Roman"/>
          <w:sz w:val="24"/>
          <w:szCs w:val="24"/>
        </w:rPr>
        <w:t>origin of replication</w:t>
      </w:r>
      <w:r w:rsidR="0045242B" w:rsidRPr="00EB2576">
        <w:rPr>
          <w:rFonts w:ascii="Times New Roman" w:hAnsi="Times New Roman" w:cs="Times New Roman"/>
          <w:sz w:val="24"/>
          <w:szCs w:val="24"/>
        </w:rPr>
        <w:t xml:space="preserve"> with a </w:t>
      </w:r>
      <w:proofErr w:type="spellStart"/>
      <w:r w:rsidR="0045242B" w:rsidRPr="00EB2576">
        <w:rPr>
          <w:rFonts w:ascii="Times New Roman" w:hAnsi="Times New Roman" w:cs="Times New Roman"/>
          <w:sz w:val="24"/>
          <w:szCs w:val="24"/>
        </w:rPr>
        <w:t>pIII</w:t>
      </w:r>
      <w:proofErr w:type="spellEnd"/>
      <w:r w:rsidR="0045242B" w:rsidRPr="00EB2576">
        <w:rPr>
          <w:rFonts w:ascii="Times New Roman" w:hAnsi="Times New Roman" w:cs="Times New Roman"/>
          <w:sz w:val="24"/>
          <w:szCs w:val="24"/>
        </w:rPr>
        <w:t xml:space="preserve"> phage coat protein gene</w:t>
      </w:r>
      <w:r w:rsidR="00F71F68" w:rsidRPr="00EB2576">
        <w:rPr>
          <w:rFonts w:ascii="Times New Roman" w:hAnsi="Times New Roman" w:cs="Times New Roman"/>
          <w:sz w:val="24"/>
          <w:szCs w:val="24"/>
        </w:rPr>
        <w:t>.</w:t>
      </w:r>
      <w:r w:rsidRPr="00EB2576">
        <w:rPr>
          <w:rFonts w:ascii="Times New Roman" w:hAnsi="Times New Roman" w:cs="Times New Roman"/>
          <w:sz w:val="24"/>
          <w:szCs w:val="24"/>
        </w:rPr>
        <w:t xml:space="preserve"> </w:t>
      </w:r>
      <w:r w:rsidR="00F30CEA" w:rsidRPr="00EB2576">
        <w:rPr>
          <w:rFonts w:ascii="Times New Roman" w:hAnsi="Times New Roman" w:cs="Times New Roman"/>
          <w:sz w:val="24"/>
          <w:szCs w:val="24"/>
        </w:rPr>
        <w:t>Additional phage genes are needed for phagemid</w:t>
      </w:r>
      <w:r w:rsidR="008F3A51" w:rsidRPr="00EB2576">
        <w:rPr>
          <w:rFonts w:ascii="Times New Roman" w:hAnsi="Times New Roman" w:cs="Times New Roman"/>
          <w:sz w:val="24"/>
          <w:szCs w:val="24"/>
        </w:rPr>
        <w:t>s</w:t>
      </w:r>
      <w:r w:rsidR="00F30CEA" w:rsidRPr="00EB2576">
        <w:rPr>
          <w:rFonts w:ascii="Times New Roman" w:hAnsi="Times New Roman" w:cs="Times New Roman"/>
          <w:sz w:val="24"/>
          <w:szCs w:val="24"/>
        </w:rPr>
        <w:t xml:space="preserve"> to produce virion particles following transformation into bacterial cells. This is supplied by co-infection of the bacterial cell with a helper phage. However, traditional helper phage contain a </w:t>
      </w:r>
      <w:proofErr w:type="spellStart"/>
      <w:r w:rsidR="00F30CEA" w:rsidRPr="00EB2576">
        <w:rPr>
          <w:rFonts w:ascii="Times New Roman" w:hAnsi="Times New Roman" w:cs="Times New Roman"/>
          <w:sz w:val="24"/>
          <w:szCs w:val="24"/>
        </w:rPr>
        <w:t>pIII</w:t>
      </w:r>
      <w:proofErr w:type="spellEnd"/>
      <w:r w:rsidR="00F30CEA" w:rsidRPr="00EB2576">
        <w:rPr>
          <w:rFonts w:ascii="Times New Roman" w:hAnsi="Times New Roman" w:cs="Times New Roman"/>
          <w:sz w:val="24"/>
          <w:szCs w:val="24"/>
        </w:rPr>
        <w:t xml:space="preserve"> gene, leading to competition with the phagemid </w:t>
      </w:r>
      <w:proofErr w:type="spellStart"/>
      <w:r w:rsidR="00F30CEA" w:rsidRPr="00EB2576">
        <w:rPr>
          <w:rFonts w:ascii="Times New Roman" w:hAnsi="Times New Roman" w:cs="Times New Roman"/>
          <w:sz w:val="24"/>
          <w:szCs w:val="24"/>
        </w:rPr>
        <w:t>pIII</w:t>
      </w:r>
      <w:proofErr w:type="spellEnd"/>
      <w:r w:rsidR="00F30CEA" w:rsidRPr="00EB2576">
        <w:rPr>
          <w:rFonts w:ascii="Times New Roman" w:hAnsi="Times New Roman" w:cs="Times New Roman"/>
          <w:sz w:val="24"/>
          <w:szCs w:val="24"/>
        </w:rPr>
        <w:t xml:space="preserve"> gene, which is modified with the gene fragment of interest</w:t>
      </w:r>
      <w:r w:rsidR="008F3A51" w:rsidRPr="00EB2576">
        <w:rPr>
          <w:rFonts w:ascii="Times New Roman" w:hAnsi="Times New Roman" w:cs="Times New Roman"/>
          <w:sz w:val="24"/>
          <w:szCs w:val="24"/>
        </w:rPr>
        <w:t>, therefore not all phage display the peptide o</w:t>
      </w:r>
      <w:r w:rsidR="00F13F61" w:rsidRPr="00EB2576">
        <w:rPr>
          <w:rFonts w:ascii="Times New Roman" w:hAnsi="Times New Roman" w:cs="Times New Roman"/>
          <w:sz w:val="24"/>
          <w:szCs w:val="24"/>
        </w:rPr>
        <w:t>f interest</w:t>
      </w:r>
      <w:r w:rsidR="008F3A51" w:rsidRPr="00EB2576">
        <w:rPr>
          <w:rFonts w:ascii="Times New Roman" w:hAnsi="Times New Roman" w:cs="Times New Roman"/>
          <w:sz w:val="24"/>
          <w:szCs w:val="24"/>
        </w:rPr>
        <w:t>.</w:t>
      </w:r>
      <w:r w:rsidR="00F30CEA" w:rsidRPr="00EB2576">
        <w:rPr>
          <w:rFonts w:ascii="Times New Roman" w:hAnsi="Times New Roman" w:cs="Times New Roman"/>
          <w:sz w:val="24"/>
          <w:szCs w:val="24"/>
        </w:rPr>
        <w:t xml:space="preserve"> </w:t>
      </w:r>
      <w:proofErr w:type="spellStart"/>
      <w:r w:rsidR="0048487E" w:rsidRPr="00EB2576">
        <w:rPr>
          <w:rFonts w:ascii="Times New Roman" w:hAnsi="Times New Roman" w:cs="Times New Roman"/>
          <w:sz w:val="24"/>
          <w:szCs w:val="24"/>
        </w:rPr>
        <w:t>Hyperphage</w:t>
      </w:r>
      <w:proofErr w:type="spellEnd"/>
      <w:r w:rsidR="00F30CEA" w:rsidRPr="00EB2576">
        <w:rPr>
          <w:rFonts w:ascii="Times New Roman" w:hAnsi="Times New Roman" w:cs="Times New Roman"/>
          <w:sz w:val="24"/>
          <w:szCs w:val="24"/>
        </w:rPr>
        <w:t xml:space="preserve"> have a </w:t>
      </w:r>
      <w:r w:rsidR="0048487E" w:rsidRPr="00EB2576">
        <w:rPr>
          <w:rFonts w:ascii="Times New Roman" w:hAnsi="Times New Roman" w:cs="Times New Roman"/>
          <w:sz w:val="24"/>
          <w:szCs w:val="24"/>
        </w:rPr>
        <w:t xml:space="preserve">deletion in the </w:t>
      </w:r>
      <w:proofErr w:type="spellStart"/>
      <w:r w:rsidR="0048487E" w:rsidRPr="00EB2576">
        <w:rPr>
          <w:rFonts w:ascii="Times New Roman" w:hAnsi="Times New Roman" w:cs="Times New Roman"/>
          <w:sz w:val="24"/>
          <w:szCs w:val="24"/>
        </w:rPr>
        <w:t>pIII</w:t>
      </w:r>
      <w:proofErr w:type="spellEnd"/>
      <w:r w:rsidR="0048487E" w:rsidRPr="00EB2576">
        <w:rPr>
          <w:rFonts w:ascii="Times New Roman" w:hAnsi="Times New Roman" w:cs="Times New Roman"/>
          <w:sz w:val="24"/>
          <w:szCs w:val="24"/>
        </w:rPr>
        <w:t xml:space="preserve"> gene </w:t>
      </w:r>
      <w:r w:rsidR="00F30CEA" w:rsidRPr="00EB2576">
        <w:rPr>
          <w:rFonts w:ascii="Times New Roman" w:hAnsi="Times New Roman" w:cs="Times New Roman"/>
          <w:sz w:val="24"/>
          <w:szCs w:val="24"/>
        </w:rPr>
        <w:t>ensuring</w:t>
      </w:r>
      <w:r w:rsidR="0048487E" w:rsidRPr="00EB2576">
        <w:rPr>
          <w:rFonts w:ascii="Times New Roman" w:hAnsi="Times New Roman" w:cs="Times New Roman"/>
          <w:sz w:val="24"/>
          <w:szCs w:val="24"/>
        </w:rPr>
        <w:t xml:space="preserve"> the phagemid </w:t>
      </w:r>
      <w:proofErr w:type="spellStart"/>
      <w:r w:rsidR="0048487E" w:rsidRPr="00EB2576">
        <w:rPr>
          <w:rFonts w:ascii="Times New Roman" w:hAnsi="Times New Roman" w:cs="Times New Roman"/>
          <w:sz w:val="24"/>
          <w:szCs w:val="24"/>
        </w:rPr>
        <w:t>pIII</w:t>
      </w:r>
      <w:proofErr w:type="spellEnd"/>
      <w:r w:rsidR="0048487E" w:rsidRPr="00EB2576">
        <w:rPr>
          <w:rFonts w:ascii="Times New Roman" w:hAnsi="Times New Roman" w:cs="Times New Roman"/>
          <w:sz w:val="24"/>
          <w:szCs w:val="24"/>
        </w:rPr>
        <w:t xml:space="preserve"> </w:t>
      </w:r>
      <w:r w:rsidR="00A37A90" w:rsidRPr="00EB2576">
        <w:rPr>
          <w:rFonts w:ascii="Times New Roman" w:hAnsi="Times New Roman" w:cs="Times New Roman"/>
          <w:sz w:val="24"/>
          <w:szCs w:val="24"/>
        </w:rPr>
        <w:t xml:space="preserve">gene </w:t>
      </w:r>
      <w:r w:rsidR="0048487E" w:rsidRPr="00EB2576">
        <w:rPr>
          <w:rFonts w:ascii="Times New Roman" w:hAnsi="Times New Roman" w:cs="Times New Roman"/>
          <w:sz w:val="24"/>
          <w:szCs w:val="24"/>
        </w:rPr>
        <w:t xml:space="preserve">is used in phage assembly allowing the </w:t>
      </w:r>
      <w:proofErr w:type="spellStart"/>
      <w:r w:rsidR="0048487E" w:rsidRPr="00EB2576">
        <w:rPr>
          <w:rFonts w:ascii="Times New Roman" w:hAnsi="Times New Roman" w:cs="Times New Roman"/>
          <w:sz w:val="24"/>
          <w:szCs w:val="24"/>
        </w:rPr>
        <w:t>pIII</w:t>
      </w:r>
      <w:proofErr w:type="spellEnd"/>
      <w:r w:rsidR="0048487E" w:rsidRPr="00EB2576">
        <w:rPr>
          <w:rFonts w:ascii="Times New Roman" w:hAnsi="Times New Roman" w:cs="Times New Roman"/>
          <w:sz w:val="24"/>
          <w:szCs w:val="24"/>
        </w:rPr>
        <w:t>-</w:t>
      </w:r>
      <w:r w:rsidR="00F13F61" w:rsidRPr="00EB2576">
        <w:rPr>
          <w:rFonts w:ascii="Times New Roman" w:hAnsi="Times New Roman" w:cs="Times New Roman"/>
          <w:sz w:val="24"/>
          <w:szCs w:val="24"/>
        </w:rPr>
        <w:t>peptide</w:t>
      </w:r>
      <w:r w:rsidR="0048487E" w:rsidRPr="00EB2576">
        <w:rPr>
          <w:rFonts w:ascii="Times New Roman" w:hAnsi="Times New Roman" w:cs="Times New Roman"/>
          <w:sz w:val="24"/>
          <w:szCs w:val="24"/>
        </w:rPr>
        <w:t xml:space="preserve"> product to be displayed on all phage particles </w:t>
      </w:r>
      <w:r w:rsidR="0048487E"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978-3-642-01144-3_14","author":[{"dropping-particle":"","family":"Breitling","given":"Frank","non-dropping-particle":"","parse-names":false,"suffix":""},{"dropping-particle":"","family":"Broders","given":"Olaf","non-dropping-particle":"","parse-names":false,"suffix":""},{"dropping-particle":"","family":"Helmsing","given":"Saskia","non-dropping-particle":"","parse-names":false,"suffix":""},{"dropping-particle":"","family":"Hust","given":"Michael","non-dropping-particle":"","parse-names":false,"suffix":""},{"dropping-particle":"","family":"Dübel","given":"Stefan","non-dropping-particle":"","parse-names":false,"suffix":""}],"container-title":"Antibody Engineering","id":"ITEM-1","issued":{"date-parts":[["2010"]]},"page":"197-206","publisher":"Springer Berlin Heidelberg","publisher-place":"Berlin, Heidelberg","title":"Improving Phage Display Throughput by Using Hyperphage, Miniaturized Titration and pVIII (g8p) ELISA","type":"chapter"},"uris":["http://www.mendeley.com/documents/?uuid=1c55873a-4e6a-41e0-a5fd-de10791f0f4e"]}],"mendeley":{"formattedCitation":"&lt;sup&gt;188&lt;/sup&gt;","plainTextFormattedCitation":"188","previouslyFormattedCitation":"&lt;sup&gt;188&lt;/sup&gt;"},"properties":{"noteIndex":0},"schema":"https://github.com/citation-style-language/schema/raw/master/csl-citation.json"}</w:instrText>
      </w:r>
      <w:r w:rsidR="0048487E"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188</w:t>
      </w:r>
      <w:r w:rsidR="0048487E" w:rsidRPr="00EB2576">
        <w:rPr>
          <w:rFonts w:ascii="Times New Roman" w:hAnsi="Times New Roman" w:cs="Times New Roman"/>
          <w:sz w:val="24"/>
          <w:szCs w:val="24"/>
        </w:rPr>
        <w:fldChar w:fldCharType="end"/>
      </w:r>
      <w:r w:rsidR="0048487E" w:rsidRPr="00EB2576">
        <w:rPr>
          <w:rFonts w:ascii="Times New Roman" w:hAnsi="Times New Roman" w:cs="Times New Roman"/>
          <w:sz w:val="24"/>
          <w:szCs w:val="24"/>
        </w:rPr>
        <w:t xml:space="preserve">. </w:t>
      </w:r>
    </w:p>
    <w:p w14:paraId="154C316D" w14:textId="77777777" w:rsidR="0048487E" w:rsidRPr="00EB2576" w:rsidRDefault="0048487E" w:rsidP="0048487E">
      <w:pPr>
        <w:spacing w:line="480" w:lineRule="auto"/>
        <w:rPr>
          <w:rFonts w:ascii="Times New Roman" w:hAnsi="Times New Roman" w:cs="Times New Roman"/>
          <w:sz w:val="24"/>
          <w:szCs w:val="24"/>
        </w:rPr>
      </w:pPr>
    </w:p>
    <w:p w14:paraId="2710E0CA" w14:textId="78E20367" w:rsidR="0048487E" w:rsidRPr="00EB2576" w:rsidRDefault="0048487E" w:rsidP="0048487E">
      <w:pPr>
        <w:spacing w:line="480" w:lineRule="auto"/>
        <w:rPr>
          <w:rFonts w:ascii="Times New Roman" w:hAnsi="Times New Roman" w:cs="Times New Roman"/>
          <w:sz w:val="24"/>
          <w:szCs w:val="24"/>
        </w:rPr>
      </w:pPr>
      <w:r w:rsidRPr="00EB2576">
        <w:rPr>
          <w:rFonts w:ascii="Times New Roman" w:hAnsi="Times New Roman" w:cs="Times New Roman"/>
          <w:sz w:val="24"/>
          <w:szCs w:val="24"/>
        </w:rPr>
        <w:t>The candidate peptides showed selective enrichment especially heavy chain peptide 1, which was heavily enriched. The selected peptides overlap with previously suggested epitopes</w:t>
      </w:r>
      <w:r w:rsidR="00E66609" w:rsidRPr="00EB2576">
        <w:rPr>
          <w:rFonts w:ascii="Times New Roman" w:hAnsi="Times New Roman" w:cs="Times New Roman"/>
          <w:sz w:val="24"/>
          <w:szCs w:val="24"/>
        </w:rPr>
        <w:t>,</w:t>
      </w:r>
      <w:r w:rsidR="00FE1903" w:rsidRPr="00EB2576">
        <w:rPr>
          <w:rFonts w:ascii="Times New Roman" w:hAnsi="Times New Roman" w:cs="Times New Roman"/>
          <w:sz w:val="24"/>
          <w:szCs w:val="24"/>
        </w:rPr>
        <w:t xml:space="preserve"> but </w:t>
      </w:r>
      <w:r w:rsidR="00FE1903" w:rsidRPr="00EB2576">
        <w:rPr>
          <w:rFonts w:ascii="Times New Roman" w:hAnsi="Times New Roman" w:cs="Times New Roman"/>
          <w:sz w:val="24"/>
          <w:szCs w:val="24"/>
        </w:rPr>
        <w:lastRenderedPageBreak/>
        <w:t xml:space="preserve">have identified distinct areas </w:t>
      </w:r>
      <w:r w:rsidR="002B5CDC" w:rsidRPr="00EB2576">
        <w:rPr>
          <w:rFonts w:ascii="Times New Roman" w:hAnsi="Times New Roman" w:cs="Times New Roman"/>
          <w:sz w:val="24"/>
          <w:szCs w:val="24"/>
        </w:rPr>
        <w:t>as previous epitopes span a large region of the infliximab peptide</w:t>
      </w:r>
      <w:r w:rsidRPr="00EB2576">
        <w:rPr>
          <w:rFonts w:ascii="Times New Roman" w:hAnsi="Times New Roman" w:cs="Times New Roman"/>
          <w:sz w:val="24"/>
          <w:szCs w:val="24"/>
        </w:rPr>
        <w:t>. There was close correlation to two peptide</w:t>
      </w:r>
      <w:r w:rsidR="00FE1903" w:rsidRPr="00EB2576">
        <w:rPr>
          <w:rFonts w:ascii="Times New Roman" w:hAnsi="Times New Roman" w:cs="Times New Roman"/>
          <w:sz w:val="24"/>
          <w:szCs w:val="24"/>
        </w:rPr>
        <w:t>s</w:t>
      </w:r>
      <w:r w:rsidRPr="00EB2576">
        <w:rPr>
          <w:rFonts w:ascii="Times New Roman" w:hAnsi="Times New Roman" w:cs="Times New Roman"/>
          <w:sz w:val="24"/>
          <w:szCs w:val="24"/>
        </w:rPr>
        <w:t xml:space="preserve"> which were </w:t>
      </w:r>
      <w:r w:rsidR="00FE1903" w:rsidRPr="00EB2576">
        <w:rPr>
          <w:rFonts w:ascii="Times New Roman" w:hAnsi="Times New Roman" w:cs="Times New Roman"/>
          <w:sz w:val="24"/>
          <w:szCs w:val="24"/>
        </w:rPr>
        <w:t xml:space="preserve">previously </w:t>
      </w:r>
      <w:r w:rsidRPr="00EB2576">
        <w:rPr>
          <w:rFonts w:ascii="Times New Roman" w:hAnsi="Times New Roman" w:cs="Times New Roman"/>
          <w:sz w:val="24"/>
          <w:szCs w:val="24"/>
        </w:rPr>
        <w:t>selected</w:t>
      </w:r>
      <w:r w:rsidR="00FE1903" w:rsidRPr="00EB2576">
        <w:rPr>
          <w:rFonts w:ascii="Times New Roman" w:hAnsi="Times New Roman" w:cs="Times New Roman"/>
          <w:sz w:val="24"/>
          <w:szCs w:val="24"/>
        </w:rPr>
        <w:t xml:space="preserve"> </w:t>
      </w:r>
      <w:r w:rsidR="00E860D0" w:rsidRPr="00EB2576">
        <w:rPr>
          <w:rFonts w:ascii="Times New Roman" w:hAnsi="Times New Roman" w:cs="Times New Roman"/>
          <w:sz w:val="24"/>
          <w:szCs w:val="24"/>
        </w:rPr>
        <w:t xml:space="preserve">by Homann et al </w:t>
      </w:r>
      <w:r w:rsidRPr="00EB2576">
        <w:rPr>
          <w:rFonts w:ascii="Times New Roman" w:hAnsi="Times New Roman" w:cs="Times New Roman"/>
          <w:sz w:val="24"/>
          <w:szCs w:val="24"/>
        </w:rPr>
        <w:t xml:space="preserve">using a peptide array, which included heavy chain CDR 1 and light chain CDR 1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159</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The two previous studies assessing epitopes on infliximab also selected peptides on the Fc fragment of infliximab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sera","type":"article-journal","volume":"13"},"uris":["http://www.mendeley.com/documents/?uuid=bcf394e7-6aed-4512-afae-c8849bb95e49"]},{"id":"ITEM-2","itemData":{"DOI":"10.1111/apt.14808","ISSN":"13652036","PMID":"29873091","abstract":"Aim: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Therapeutics","id":"ITEM-2","issue":"5","issued":{"date-parts":[["2018"]]},"page":"507-522","title":"Antigenic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159,160&lt;/sup&gt;","plainTextFormattedCitation":"159,160","previouslyFormattedCitation":"&lt;sup&gt;159,160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159,160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This was surprising as the IgG1 Fc fragment of infliximab is human and there should be immune tolerance to it, however immune tolerance can be compromised in autoimmune conditions such as IBD. </w:t>
      </w:r>
      <w:r w:rsidR="00E860D0" w:rsidRPr="00EB2576">
        <w:rPr>
          <w:rFonts w:ascii="Times New Roman" w:hAnsi="Times New Roman" w:cs="Times New Roman"/>
          <w:sz w:val="24"/>
          <w:szCs w:val="24"/>
        </w:rPr>
        <w:t>U</w:t>
      </w:r>
      <w:r w:rsidRPr="00EB2576">
        <w:rPr>
          <w:rFonts w:ascii="Times New Roman" w:hAnsi="Times New Roman" w:cs="Times New Roman"/>
          <w:sz w:val="24"/>
          <w:szCs w:val="24"/>
        </w:rPr>
        <w:t xml:space="preserve">sing pooled sera of </w:t>
      </w:r>
      <w:r w:rsidR="00E860D0" w:rsidRPr="00EB2576">
        <w:rPr>
          <w:rFonts w:ascii="Times New Roman" w:hAnsi="Times New Roman" w:cs="Times New Roman"/>
          <w:sz w:val="24"/>
          <w:szCs w:val="24"/>
        </w:rPr>
        <w:t xml:space="preserve">IBD </w:t>
      </w:r>
      <w:r w:rsidRPr="00EB2576">
        <w:rPr>
          <w:rFonts w:ascii="Times New Roman" w:hAnsi="Times New Roman" w:cs="Times New Roman"/>
          <w:sz w:val="24"/>
          <w:szCs w:val="24"/>
        </w:rPr>
        <w:t xml:space="preserve">patients with different clinical outcomes against a </w:t>
      </w:r>
      <w:r w:rsidR="00E860D0" w:rsidRPr="00EB2576">
        <w:rPr>
          <w:rFonts w:ascii="Times New Roman" w:hAnsi="Times New Roman" w:cs="Times New Roman"/>
          <w:sz w:val="24"/>
          <w:szCs w:val="24"/>
        </w:rPr>
        <w:t xml:space="preserve">phage </w:t>
      </w:r>
      <w:r w:rsidRPr="00EB2576">
        <w:rPr>
          <w:rFonts w:ascii="Times New Roman" w:hAnsi="Times New Roman" w:cs="Times New Roman"/>
          <w:sz w:val="24"/>
          <w:szCs w:val="24"/>
        </w:rPr>
        <w:t xml:space="preserve">library which covered the entire infliximab sequence, the peptides selected in our study were localised to the Fab fragment. In addition, all our peptides overlapped with CDRs:  heavy chain peptide 1 fully included heavy chain CDR 1, light chain peptide 1 and 2 overlapped with the light chain CDR 1 and 2. This is of potential clinical and mechanistic importance as the CDRs determine antigen-antibody specificity and binding of ATI to these areas on infliximab </w:t>
      </w:r>
      <w:r w:rsidR="00441FBA" w:rsidRPr="00EB2576">
        <w:rPr>
          <w:rFonts w:ascii="Times New Roman" w:hAnsi="Times New Roman" w:cs="Times New Roman"/>
          <w:sz w:val="24"/>
          <w:szCs w:val="24"/>
        </w:rPr>
        <w:t>w</w:t>
      </w:r>
      <w:r w:rsidRPr="00EB2576">
        <w:rPr>
          <w:rFonts w:ascii="Times New Roman" w:hAnsi="Times New Roman" w:cs="Times New Roman"/>
          <w:sz w:val="24"/>
          <w:szCs w:val="24"/>
        </w:rPr>
        <w:t xml:space="preserve">ould </w:t>
      </w:r>
      <w:r w:rsidR="00E860D0" w:rsidRPr="00EB2576">
        <w:rPr>
          <w:rFonts w:ascii="Times New Roman" w:hAnsi="Times New Roman" w:cs="Times New Roman"/>
          <w:sz w:val="24"/>
          <w:szCs w:val="24"/>
        </w:rPr>
        <w:t>prevent infliximab from binding to TNF</w:t>
      </w:r>
      <w:r w:rsidR="00E860D0" w:rsidRPr="00EB2576">
        <w:rPr>
          <w:rFonts w:ascii="Calibri" w:hAnsi="Calibri" w:cs="Calibri"/>
          <w:sz w:val="24"/>
          <w:szCs w:val="24"/>
        </w:rPr>
        <w:t>α</w:t>
      </w:r>
      <w:r w:rsidRPr="00EB2576">
        <w:rPr>
          <w:rFonts w:ascii="Times New Roman" w:hAnsi="Times New Roman" w:cs="Times New Roman"/>
          <w:sz w:val="24"/>
          <w:szCs w:val="24"/>
        </w:rPr>
        <w:t xml:space="preserve">, </w:t>
      </w:r>
      <w:r w:rsidR="00102289" w:rsidRPr="00EB2576">
        <w:rPr>
          <w:rFonts w:ascii="Times New Roman" w:hAnsi="Times New Roman" w:cs="Times New Roman"/>
          <w:sz w:val="24"/>
          <w:szCs w:val="24"/>
        </w:rPr>
        <w:t xml:space="preserve">and </w:t>
      </w:r>
      <w:r w:rsidR="00664999" w:rsidRPr="00EB2576">
        <w:rPr>
          <w:rFonts w:ascii="Times New Roman" w:hAnsi="Times New Roman" w:cs="Times New Roman"/>
          <w:sz w:val="24"/>
          <w:szCs w:val="24"/>
        </w:rPr>
        <w:t>therefore</w:t>
      </w:r>
      <w:r w:rsidR="00102289" w:rsidRPr="00EB2576">
        <w:rPr>
          <w:rFonts w:ascii="Times New Roman" w:hAnsi="Times New Roman" w:cs="Times New Roman"/>
          <w:sz w:val="24"/>
          <w:szCs w:val="24"/>
        </w:rPr>
        <w:t>,</w:t>
      </w:r>
      <w:r w:rsidR="00664999" w:rsidRPr="00EB2576">
        <w:rPr>
          <w:rFonts w:ascii="Times New Roman" w:hAnsi="Times New Roman" w:cs="Times New Roman"/>
          <w:sz w:val="24"/>
          <w:szCs w:val="24"/>
        </w:rPr>
        <w:t xml:space="preserve"> </w:t>
      </w:r>
      <w:r w:rsidR="002246C0" w:rsidRPr="00EB2576">
        <w:rPr>
          <w:rFonts w:ascii="Times New Roman" w:hAnsi="Times New Roman" w:cs="Times New Roman"/>
          <w:sz w:val="24"/>
          <w:szCs w:val="24"/>
        </w:rPr>
        <w:t>be a potential factor in</w:t>
      </w:r>
      <w:r w:rsidR="00664999" w:rsidRPr="00EB2576">
        <w:rPr>
          <w:rFonts w:ascii="Times New Roman" w:hAnsi="Times New Roman" w:cs="Times New Roman"/>
          <w:sz w:val="24"/>
          <w:szCs w:val="24"/>
        </w:rPr>
        <w:t xml:space="preserve"> secondary loss of response to infliximab</w:t>
      </w:r>
      <w:r w:rsidRPr="00EB2576">
        <w:rPr>
          <w:rFonts w:ascii="Times New Roman" w:hAnsi="Times New Roman" w:cs="Times New Roman"/>
          <w:sz w:val="24"/>
          <w:szCs w:val="24"/>
        </w:rPr>
        <w:t>.</w:t>
      </w:r>
    </w:p>
    <w:p w14:paraId="4D8C7615" w14:textId="77777777" w:rsidR="0048487E" w:rsidRPr="00EB2576" w:rsidRDefault="0048487E" w:rsidP="0048487E">
      <w:pPr>
        <w:spacing w:line="480" w:lineRule="auto"/>
        <w:rPr>
          <w:rFonts w:ascii="Times New Roman" w:hAnsi="Times New Roman" w:cs="Times New Roman"/>
          <w:sz w:val="24"/>
          <w:szCs w:val="24"/>
        </w:rPr>
      </w:pPr>
    </w:p>
    <w:p w14:paraId="209ACF29" w14:textId="10981FF8" w:rsidR="0048487E" w:rsidRPr="00EB2576" w:rsidRDefault="0008205D" w:rsidP="0048487E">
      <w:pPr>
        <w:pStyle w:val="Default"/>
        <w:spacing w:line="480" w:lineRule="auto"/>
        <w:rPr>
          <w:rFonts w:ascii="Times New Roman" w:hAnsi="Times New Roman" w:cs="Times New Roman"/>
          <w:color w:val="auto"/>
        </w:rPr>
      </w:pPr>
      <w:bookmarkStart w:id="285" w:name="_Hlk137577480"/>
      <w:r w:rsidRPr="00EB2576">
        <w:rPr>
          <w:rFonts w:ascii="Times New Roman" w:hAnsi="Times New Roman" w:cs="Times New Roman"/>
          <w:color w:val="auto"/>
        </w:rPr>
        <w:t>Using individual patient’s serum from the pooled ser</w:t>
      </w:r>
      <w:r w:rsidR="006354A2" w:rsidRPr="00EB2576">
        <w:rPr>
          <w:rFonts w:ascii="Times New Roman" w:hAnsi="Times New Roman" w:cs="Times New Roman"/>
          <w:color w:val="auto"/>
        </w:rPr>
        <w:t>ological</w:t>
      </w:r>
      <w:r w:rsidRPr="00EB2576">
        <w:rPr>
          <w:rFonts w:ascii="Times New Roman" w:hAnsi="Times New Roman" w:cs="Times New Roman"/>
          <w:color w:val="auto"/>
        </w:rPr>
        <w:t xml:space="preserve"> selection of the infliximab gene fragment library, specificity to th</w:t>
      </w:r>
      <w:r w:rsidR="0048487E" w:rsidRPr="00EB2576">
        <w:rPr>
          <w:rFonts w:ascii="Times New Roman" w:hAnsi="Times New Roman" w:cs="Times New Roman"/>
          <w:color w:val="auto"/>
        </w:rPr>
        <w:t>e selected peptides have not demonstrated in initial monoclonal phage ELISAs. Individual</w:t>
      </w:r>
      <w:r w:rsidR="006354A2" w:rsidRPr="00EB2576">
        <w:rPr>
          <w:rFonts w:ascii="Times New Roman" w:hAnsi="Times New Roman" w:cs="Times New Roman"/>
          <w:color w:val="auto"/>
        </w:rPr>
        <w:t xml:space="preserve"> </w:t>
      </w:r>
      <w:r w:rsidR="0048487E" w:rsidRPr="00EB2576">
        <w:rPr>
          <w:rFonts w:ascii="Times New Roman" w:hAnsi="Times New Roman" w:cs="Times New Roman"/>
          <w:color w:val="auto"/>
        </w:rPr>
        <w:t>sera have shown reactivity to control phage as well the selected phage clones in the ELISAs. This may be due to non-specific binding of the sera to phage proteins, bacterial or culture media contaminants during the ELISA. IgG purification has been undertaken to isolate IgG, which would include ATI. However, cross-reactivity of the individual sera to control as well as selected phage clones continues.  Reactivity of sera to bacterial antigens</w:t>
      </w:r>
      <w:r w:rsidR="0048487E" w:rsidRPr="00EB2576">
        <w:rPr>
          <w:rFonts w:ascii="Times New Roman" w:hAnsi="Times New Roman" w:cs="Times New Roman"/>
          <w:color w:val="auto"/>
          <w:shd w:val="clear" w:color="auto" w:fill="FFFFFF"/>
        </w:rPr>
        <w:t xml:space="preserve"> such as lipopolysaccharides</w:t>
      </w:r>
      <w:r w:rsidR="0048487E" w:rsidRPr="00EB2576">
        <w:rPr>
          <w:rFonts w:ascii="Times New Roman" w:hAnsi="Times New Roman" w:cs="Times New Roman"/>
          <w:color w:val="auto"/>
        </w:rPr>
        <w:t xml:space="preserve"> is recognised due to common exposure to these antigens</w:t>
      </w:r>
      <w:r w:rsidR="0048487E" w:rsidRPr="00EB2576">
        <w:rPr>
          <w:rFonts w:ascii="Times New Roman" w:hAnsi="Times New Roman" w:cs="Times New Roman"/>
          <w:color w:val="auto"/>
        </w:rPr>
        <w:fldChar w:fldCharType="begin" w:fldLock="1"/>
      </w:r>
      <w:r w:rsidR="009577AC" w:rsidRPr="00EB2576">
        <w:rPr>
          <w:rFonts w:ascii="Times New Roman" w:hAnsi="Times New Roman" w:cs="Times New Roman"/>
          <w:color w:val="auto"/>
        </w:rPr>
        <w:instrText>ADDIN CSL_CITATION {"citationItems":[{"id":"ITEM-1","itemData":{"DOI":"10.1007/s10529-010-0483-6","ISSN":"0141-5492","author":[{"dropping-particle":"","family":"Woo","given":"Mi-Kyung","non-dropping-particle":"","parse-names":false,"suffix":""},{"dropping-particle":"","family":"Heo","given":"Chang-Kyu","non-dropping-particle":"","parse-names":false,"suffix":""},{"dropping-particle":"","family":"Hwang","given":"Hae-Min","non-dropping-particle":"","parse-names":false,"suffix":""},{"dropping-particle":"","family":"Ko","given":"Jeong-Heon","non-dropping-particle":"","parse-names":false,"suffix":""},{"dropping-particle":"","family":"Yoo","given":"Hyang-Sook","non-dropping-particle":"","parse-names":false,"suffix":""},{"dropping-particle":"","family":"Cho","given":"Eun-Wie","non-dropping-particle":"","parse-names":false,"suffix":""}],"container-title":"Biotechnology Letters","id":"ITEM-1","issue":"4","issued":{"date-parts":[["2011","4","2"]]},"page":"655-661","title":"Optimization of phage-immobilized ELISA for autoantibody profiling in human sera","type":"article-journal","volume":"33"},"uris":["http://www.mendeley.com/documents/?uuid=0a19d6f4-4f93-4990-98ac-08f67cbd06ce"]}],"mendeley":{"formattedCitation":"&lt;sup&gt;190&lt;/sup&gt;","plainTextFormattedCitation":"190","previouslyFormattedCitation":"&lt;sup&gt;190&lt;/sup&gt;"},"properties":{"noteIndex":0},"schema":"https://github.com/citation-style-language/schema/raw/master/csl-citation.json"}</w:instrText>
      </w:r>
      <w:r w:rsidR="0048487E" w:rsidRPr="00EB2576">
        <w:rPr>
          <w:rFonts w:ascii="Times New Roman" w:hAnsi="Times New Roman" w:cs="Times New Roman"/>
          <w:color w:val="auto"/>
        </w:rPr>
        <w:fldChar w:fldCharType="separate"/>
      </w:r>
      <w:r w:rsidR="00201474" w:rsidRPr="00EB2576">
        <w:rPr>
          <w:rFonts w:ascii="Times New Roman" w:hAnsi="Times New Roman" w:cs="Times New Roman"/>
          <w:noProof/>
          <w:color w:val="auto"/>
          <w:vertAlign w:val="superscript"/>
        </w:rPr>
        <w:t>190</w:t>
      </w:r>
      <w:r w:rsidR="0048487E" w:rsidRPr="00EB2576">
        <w:rPr>
          <w:rFonts w:ascii="Times New Roman" w:hAnsi="Times New Roman" w:cs="Times New Roman"/>
          <w:color w:val="auto"/>
        </w:rPr>
        <w:fldChar w:fldCharType="end"/>
      </w:r>
      <w:r w:rsidR="0048487E" w:rsidRPr="00EB2576">
        <w:rPr>
          <w:rFonts w:ascii="Times New Roman" w:hAnsi="Times New Roman" w:cs="Times New Roman"/>
          <w:color w:val="auto"/>
        </w:rPr>
        <w:t xml:space="preserve">. This could lead to recognition of the sera to all phage clones as </w:t>
      </w:r>
      <w:r w:rsidR="001F29E1" w:rsidRPr="00EB2576">
        <w:rPr>
          <w:rFonts w:ascii="Times New Roman" w:hAnsi="Times New Roman" w:cs="Times New Roman"/>
          <w:i/>
          <w:iCs/>
          <w:color w:val="auto"/>
        </w:rPr>
        <w:t>E. coli</w:t>
      </w:r>
      <w:r w:rsidR="0048487E" w:rsidRPr="00EB2576">
        <w:rPr>
          <w:rFonts w:ascii="Times New Roman" w:hAnsi="Times New Roman" w:cs="Times New Roman"/>
          <w:i/>
          <w:iCs/>
          <w:color w:val="auto"/>
        </w:rPr>
        <w:t xml:space="preserve"> </w:t>
      </w:r>
      <w:r w:rsidR="0048487E" w:rsidRPr="00EB2576">
        <w:rPr>
          <w:rFonts w:ascii="Times New Roman" w:hAnsi="Times New Roman" w:cs="Times New Roman"/>
          <w:color w:val="auto"/>
        </w:rPr>
        <w:t xml:space="preserve">are used to </w:t>
      </w:r>
      <w:r w:rsidR="0048487E" w:rsidRPr="00EB2576">
        <w:rPr>
          <w:rFonts w:ascii="Times New Roman" w:hAnsi="Times New Roman" w:cs="Times New Roman"/>
          <w:color w:val="auto"/>
        </w:rPr>
        <w:lastRenderedPageBreak/>
        <w:t>produce the phage and despite phage purification, bacterial antigens can continue to be present. To control for this</w:t>
      </w:r>
      <w:r w:rsidR="00AE0E16" w:rsidRPr="00EB2576">
        <w:rPr>
          <w:rFonts w:ascii="Times New Roman" w:hAnsi="Times New Roman" w:cs="Times New Roman"/>
          <w:color w:val="auto"/>
        </w:rPr>
        <w:t>,</w:t>
      </w:r>
      <w:r w:rsidR="0048487E" w:rsidRPr="00EB2576">
        <w:rPr>
          <w:rFonts w:ascii="Times New Roman" w:hAnsi="Times New Roman" w:cs="Times New Roman"/>
          <w:color w:val="auto"/>
        </w:rPr>
        <w:t xml:space="preserve"> </w:t>
      </w:r>
      <w:r w:rsidR="00DC5D35" w:rsidRPr="00EB2576">
        <w:rPr>
          <w:rFonts w:ascii="Times New Roman" w:hAnsi="Times New Roman" w:cs="Times New Roman"/>
          <w:color w:val="auto"/>
        </w:rPr>
        <w:t>p</w:t>
      </w:r>
      <w:r w:rsidR="0048487E" w:rsidRPr="00EB2576">
        <w:rPr>
          <w:rFonts w:ascii="Times New Roman" w:hAnsi="Times New Roman" w:cs="Times New Roman"/>
          <w:color w:val="auto"/>
        </w:rPr>
        <w:t>re</w:t>
      </w:r>
      <w:r w:rsidR="00DC5D35" w:rsidRPr="00EB2576">
        <w:rPr>
          <w:rFonts w:ascii="Times New Roman" w:hAnsi="Times New Roman" w:cs="Times New Roman"/>
          <w:color w:val="auto"/>
        </w:rPr>
        <w:t>-</w:t>
      </w:r>
      <w:r w:rsidR="0048487E" w:rsidRPr="00EB2576">
        <w:rPr>
          <w:rFonts w:ascii="Times New Roman" w:hAnsi="Times New Roman" w:cs="Times New Roman"/>
          <w:color w:val="auto"/>
        </w:rPr>
        <w:t xml:space="preserve">adsorption </w:t>
      </w:r>
      <w:r w:rsidR="00DC5D35" w:rsidRPr="00EB2576">
        <w:rPr>
          <w:rFonts w:ascii="Times New Roman" w:hAnsi="Times New Roman" w:cs="Times New Roman"/>
          <w:color w:val="auto"/>
        </w:rPr>
        <w:t xml:space="preserve">of the sera </w:t>
      </w:r>
      <w:r w:rsidR="0048487E" w:rsidRPr="00EB2576">
        <w:rPr>
          <w:rFonts w:ascii="Times New Roman" w:hAnsi="Times New Roman" w:cs="Times New Roman"/>
          <w:color w:val="auto"/>
        </w:rPr>
        <w:t xml:space="preserve">with of </w:t>
      </w:r>
      <w:r w:rsidR="0048487E" w:rsidRPr="00EB2576">
        <w:rPr>
          <w:rFonts w:ascii="Times New Roman" w:hAnsi="Times New Roman" w:cs="Times New Roman"/>
          <w:i/>
          <w:iCs/>
          <w:color w:val="auto"/>
        </w:rPr>
        <w:t>E.</w:t>
      </w:r>
      <w:r w:rsidR="0065712B" w:rsidRPr="00EB2576">
        <w:rPr>
          <w:rFonts w:ascii="Times New Roman" w:hAnsi="Times New Roman" w:cs="Times New Roman"/>
          <w:i/>
          <w:iCs/>
          <w:color w:val="auto"/>
        </w:rPr>
        <w:t xml:space="preserve"> </w:t>
      </w:r>
      <w:r w:rsidR="0048487E" w:rsidRPr="00EB2576">
        <w:rPr>
          <w:rFonts w:ascii="Times New Roman" w:hAnsi="Times New Roman" w:cs="Times New Roman"/>
          <w:i/>
          <w:iCs/>
          <w:color w:val="auto"/>
        </w:rPr>
        <w:t xml:space="preserve">coli </w:t>
      </w:r>
      <w:r w:rsidR="0048487E" w:rsidRPr="00EB2576">
        <w:rPr>
          <w:rFonts w:ascii="Times New Roman" w:hAnsi="Times New Roman" w:cs="Times New Roman"/>
          <w:color w:val="auto"/>
        </w:rPr>
        <w:t xml:space="preserve">extract has been incorporated into the ELISA, but further adjustments in terms of the protocol are needed </w:t>
      </w:r>
      <w:r w:rsidR="0048487E" w:rsidRPr="00EB2576">
        <w:rPr>
          <w:rFonts w:ascii="Times New Roman" w:hAnsi="Times New Roman" w:cs="Times New Roman"/>
          <w:color w:val="auto"/>
        </w:rPr>
        <w:fldChar w:fldCharType="begin" w:fldLock="1"/>
      </w:r>
      <w:r w:rsidR="009577AC" w:rsidRPr="00EB2576">
        <w:rPr>
          <w:rFonts w:ascii="Times New Roman" w:hAnsi="Times New Roman" w:cs="Times New Roman"/>
          <w:color w:val="auto"/>
        </w:rPr>
        <w:instrText>ADDIN CSL_CITATION {"citationItems":[{"id":"ITEM-1","itemData":{"DOI":"10.1007/s10529-010-0483-6","ISSN":"0141-5492","author":[{"dropping-particle":"","family":"Woo","given":"Mi-Kyung","non-dropping-particle":"","parse-names":false,"suffix":""},{"dropping-particle":"","family":"Heo","given":"Chang-Kyu","non-dropping-particle":"","parse-names":false,"suffix":""},{"dropping-particle":"","family":"Hwang","given":"Hae-Min","non-dropping-particle":"","parse-names":false,"suffix":""},{"dropping-particle":"","family":"Ko","given":"Jeong-Heon","non-dropping-particle":"","parse-names":false,"suffix":""},{"dropping-particle":"","family":"Yoo","given":"Hyang-Sook","non-dropping-particle":"","parse-names":false,"suffix":""},{"dropping-particle":"","family":"Cho","given":"Eun-Wie","non-dropping-particle":"","parse-names":false,"suffix":""}],"container-title":"Biotechnology Letters","id":"ITEM-1","issue":"4","issued":{"date-parts":[["2011","4","2"]]},"page":"655-661","title":"Optimization of phage-immobilized ELISA for autoantibody profiling in human sera","type":"article-journal","volume":"33"},"uris":["http://www.mendeley.com/documents/?uuid=0a19d6f4-4f93-4990-98ac-08f67cbd06ce"]}],"mendeley":{"formattedCitation":"&lt;sup&gt;190&lt;/sup&gt;","plainTextFormattedCitation":"190","previouslyFormattedCitation":"&lt;sup&gt;190&lt;/sup&gt;"},"properties":{"noteIndex":0},"schema":"https://github.com/citation-style-language/schema/raw/master/csl-citation.json"}</w:instrText>
      </w:r>
      <w:r w:rsidR="0048487E" w:rsidRPr="00EB2576">
        <w:rPr>
          <w:rFonts w:ascii="Times New Roman" w:hAnsi="Times New Roman" w:cs="Times New Roman"/>
          <w:color w:val="auto"/>
        </w:rPr>
        <w:fldChar w:fldCharType="separate"/>
      </w:r>
      <w:r w:rsidR="00201474" w:rsidRPr="00EB2576">
        <w:rPr>
          <w:rFonts w:ascii="Times New Roman" w:hAnsi="Times New Roman" w:cs="Times New Roman"/>
          <w:noProof/>
          <w:color w:val="auto"/>
          <w:vertAlign w:val="superscript"/>
        </w:rPr>
        <w:t>190</w:t>
      </w:r>
      <w:r w:rsidR="0048487E" w:rsidRPr="00EB2576">
        <w:rPr>
          <w:rFonts w:ascii="Times New Roman" w:hAnsi="Times New Roman" w:cs="Times New Roman"/>
          <w:color w:val="auto"/>
        </w:rPr>
        <w:fldChar w:fldCharType="end"/>
      </w:r>
      <w:r w:rsidR="0048487E" w:rsidRPr="00EB2576">
        <w:rPr>
          <w:rFonts w:ascii="Times New Roman" w:hAnsi="Times New Roman" w:cs="Times New Roman"/>
          <w:color w:val="auto"/>
        </w:rPr>
        <w:t xml:space="preserve">. PEG purification, a commonly used method of phage preparation was used </w:t>
      </w:r>
      <w:r w:rsidR="00AC230D" w:rsidRPr="00EB2576">
        <w:rPr>
          <w:rFonts w:ascii="Times New Roman" w:hAnsi="Times New Roman" w:cs="Times New Roman"/>
          <w:color w:val="auto"/>
        </w:rPr>
        <w:t xml:space="preserve">to </w:t>
      </w:r>
      <w:r w:rsidR="0048487E" w:rsidRPr="00EB2576">
        <w:rPr>
          <w:rFonts w:ascii="Times New Roman" w:hAnsi="Times New Roman" w:cs="Times New Roman"/>
          <w:color w:val="auto"/>
        </w:rPr>
        <w:t xml:space="preserve">precipitate and purify the phage for the serological selection and the monoclonal phage ELISAs </w:t>
      </w:r>
      <w:r w:rsidR="0048487E" w:rsidRPr="00EB2576">
        <w:rPr>
          <w:rFonts w:ascii="Times New Roman" w:hAnsi="Times New Roman" w:cs="Times New Roman"/>
          <w:color w:val="auto"/>
        </w:rPr>
        <w:fldChar w:fldCharType="begin" w:fldLock="1"/>
      </w:r>
      <w:r w:rsidR="009577AC" w:rsidRPr="00EB2576">
        <w:rPr>
          <w:rFonts w:ascii="Times New Roman" w:hAnsi="Times New Roman" w:cs="Times New Roman"/>
          <w:color w:val="auto"/>
        </w:rPr>
        <w:instrText>ADDIN CSL_CITATION {"citationItems":[{"id":"ITEM-1","itemData":{"DOI":"10.1038/s41596-020-0346-0","ISSN":"1754-2189","author":[{"dropping-particle":"","family":"Luong","given":"Tiffany","non-dropping-particle":"","parse-names":false,"suffix":""},{"dropping-particle":"","family":"Salabarria","given":"Ann-Charlott","non-dropping-particle":"","parse-names":false,"suffix":""},{"dropping-particle":"","family":"Edwards","given":"Robert A.","non-dropping-particle":"","parse-names":false,"suffix":""},{"dropping-particle":"","family":"Roach","given":"Dwayne R.","non-dropping-particle":"","parse-names":false,"suffix":""}],"container-title":"Nature Protocols","id":"ITEM-1","issue":"9","issued":{"date-parts":[["2020","9","24"]]},"page":"2867-2890","title":"Standardized bacteriophage purification for personalized phage therapy","type":"article-journal","volume":"15"},"uris":["http://www.mendeley.com/documents/?uuid=28b9396c-5844-4eb6-aeea-207eea102cc2"]}],"mendeley":{"formattedCitation":"&lt;sup&gt;191&lt;/sup&gt;","plainTextFormattedCitation":"191","previouslyFormattedCitation":"&lt;sup&gt;191&lt;/sup&gt;"},"properties":{"noteIndex":0},"schema":"https://github.com/citation-style-language/schema/raw/master/csl-citation.json"}</w:instrText>
      </w:r>
      <w:r w:rsidR="0048487E" w:rsidRPr="00EB2576">
        <w:rPr>
          <w:rFonts w:ascii="Times New Roman" w:hAnsi="Times New Roman" w:cs="Times New Roman"/>
          <w:color w:val="auto"/>
        </w:rPr>
        <w:fldChar w:fldCharType="separate"/>
      </w:r>
      <w:r w:rsidR="00201474" w:rsidRPr="00EB2576">
        <w:rPr>
          <w:rFonts w:ascii="Times New Roman" w:hAnsi="Times New Roman" w:cs="Times New Roman"/>
          <w:noProof/>
          <w:color w:val="auto"/>
          <w:vertAlign w:val="superscript"/>
        </w:rPr>
        <w:t>191</w:t>
      </w:r>
      <w:r w:rsidR="0048487E" w:rsidRPr="00EB2576">
        <w:rPr>
          <w:rFonts w:ascii="Times New Roman" w:hAnsi="Times New Roman" w:cs="Times New Roman"/>
          <w:color w:val="auto"/>
        </w:rPr>
        <w:fldChar w:fldCharType="end"/>
      </w:r>
      <w:r w:rsidR="0048487E" w:rsidRPr="00EB2576">
        <w:rPr>
          <w:rFonts w:ascii="Times New Roman" w:hAnsi="Times New Roman" w:cs="Times New Roman"/>
          <w:color w:val="auto"/>
        </w:rPr>
        <w:t xml:space="preserve">. Other methods of phage purification exist and include density-based methods </w:t>
      </w:r>
      <w:r w:rsidR="00AE0E16" w:rsidRPr="00EB2576">
        <w:rPr>
          <w:rFonts w:ascii="Times New Roman" w:hAnsi="Times New Roman" w:cs="Times New Roman"/>
          <w:color w:val="auto"/>
        </w:rPr>
        <w:t>using</w:t>
      </w:r>
      <w:r w:rsidR="0048487E" w:rsidRPr="00EB2576">
        <w:rPr>
          <w:rFonts w:ascii="Times New Roman" w:hAnsi="Times New Roman" w:cs="Times New Roman"/>
          <w:color w:val="auto"/>
        </w:rPr>
        <w:t xml:space="preserve"> </w:t>
      </w:r>
      <w:proofErr w:type="spellStart"/>
      <w:r w:rsidR="00AE0E16" w:rsidRPr="00EB2576">
        <w:rPr>
          <w:rStyle w:val="A0"/>
          <w:rFonts w:ascii="Times New Roman" w:hAnsi="Times New Roman" w:cs="Times New Roman"/>
          <w:color w:val="auto"/>
          <w:sz w:val="24"/>
          <w:szCs w:val="24"/>
        </w:rPr>
        <w:t>c</w:t>
      </w:r>
      <w:r w:rsidR="0048487E" w:rsidRPr="00EB2576">
        <w:rPr>
          <w:rStyle w:val="A0"/>
          <w:rFonts w:ascii="Times New Roman" w:hAnsi="Times New Roman" w:cs="Times New Roman"/>
          <w:color w:val="auto"/>
          <w:sz w:val="24"/>
          <w:szCs w:val="24"/>
        </w:rPr>
        <w:t>esium</w:t>
      </w:r>
      <w:proofErr w:type="spellEnd"/>
      <w:r w:rsidR="0048487E" w:rsidRPr="00EB2576">
        <w:rPr>
          <w:rStyle w:val="A0"/>
          <w:rFonts w:ascii="Times New Roman" w:hAnsi="Times New Roman" w:cs="Times New Roman"/>
          <w:color w:val="auto"/>
          <w:sz w:val="24"/>
          <w:szCs w:val="24"/>
        </w:rPr>
        <w:t xml:space="preserve"> chloride with high speed centrifugation, </w:t>
      </w:r>
      <w:proofErr w:type="spellStart"/>
      <w:r w:rsidR="0048487E" w:rsidRPr="00EB2576">
        <w:rPr>
          <w:rStyle w:val="A0"/>
          <w:rFonts w:ascii="Times New Roman" w:hAnsi="Times New Roman" w:cs="Times New Roman"/>
          <w:color w:val="auto"/>
          <w:sz w:val="24"/>
          <w:szCs w:val="24"/>
        </w:rPr>
        <w:t>isolectric</w:t>
      </w:r>
      <w:proofErr w:type="spellEnd"/>
      <w:r w:rsidR="0048487E" w:rsidRPr="00EB2576">
        <w:rPr>
          <w:rStyle w:val="A0"/>
          <w:rFonts w:ascii="Times New Roman" w:hAnsi="Times New Roman" w:cs="Times New Roman"/>
          <w:color w:val="auto"/>
          <w:sz w:val="24"/>
          <w:szCs w:val="24"/>
        </w:rPr>
        <w:t xml:space="preserve"> based precipitation, spermidine based precipitation and chromatography based methods </w:t>
      </w:r>
      <w:r w:rsidR="0048487E" w:rsidRPr="00EB2576">
        <w:rPr>
          <w:rStyle w:val="A0"/>
          <w:rFonts w:ascii="Times New Roman" w:hAnsi="Times New Roman" w:cs="Times New Roman"/>
          <w:color w:val="auto"/>
          <w:sz w:val="24"/>
          <w:szCs w:val="24"/>
        </w:rPr>
        <w:fldChar w:fldCharType="begin" w:fldLock="1"/>
      </w:r>
      <w:r w:rsidR="009577AC" w:rsidRPr="00EB2576">
        <w:rPr>
          <w:rStyle w:val="A0"/>
          <w:rFonts w:ascii="Times New Roman" w:hAnsi="Times New Roman" w:cs="Times New Roman"/>
          <w:color w:val="auto"/>
          <w:sz w:val="24"/>
          <w:szCs w:val="24"/>
        </w:rPr>
        <w:instrText>ADDIN CSL_CITATION {"citationItems":[{"id":"ITEM-1","itemData":{"DOI":"10.1038/s41596-020-0346-0","ISSN":"1754-2189","author":[{"dropping-particle":"","family":"Luong","given":"Tiffany","non-dropping-particle":"","parse-names":false,"suffix":""},{"dropping-particle":"","family":"Salabarria","given":"Ann-Charlott","non-dropping-particle":"","parse-names":false,"suffix":""},{"dropping-particle":"","family":"Edwards","given":"Robert A.","non-dropping-particle":"","parse-names":false,"suffix":""},{"dropping-particle":"","family":"Roach","given":"Dwayne R.","non-dropping-particle":"","parse-names":false,"suffix":""}],"container-title":"Nature Protocols","id":"ITEM-1","issue":"9","issued":{"date-parts":[["2020","9","24"]]},"page":"2867-2890","title":"Standardized bacteriophage purification for personalized phage therapy","type":"article-journal","volume":"15"},"uris":["http://www.mendeley.com/documents/?uuid=28b9396c-5844-4eb6-aeea-207eea102cc2"]}],"mendeley":{"formattedCitation":"&lt;sup&gt;191&lt;/sup&gt;","plainTextFormattedCitation":"191","previouslyFormattedCitation":"&lt;sup&gt;191&lt;/sup&gt;"},"properties":{"noteIndex":0},"schema":"https://github.com/citation-style-language/schema/raw/master/csl-citation.json"}</w:instrText>
      </w:r>
      <w:r w:rsidR="0048487E" w:rsidRPr="00EB2576">
        <w:rPr>
          <w:rStyle w:val="A0"/>
          <w:rFonts w:ascii="Times New Roman" w:hAnsi="Times New Roman" w:cs="Times New Roman"/>
          <w:color w:val="auto"/>
          <w:sz w:val="24"/>
          <w:szCs w:val="24"/>
        </w:rPr>
        <w:fldChar w:fldCharType="separate"/>
      </w:r>
      <w:r w:rsidR="00201474" w:rsidRPr="00EB2576">
        <w:rPr>
          <w:rStyle w:val="A0"/>
          <w:rFonts w:ascii="Times New Roman" w:hAnsi="Times New Roman" w:cs="Times New Roman"/>
          <w:noProof/>
          <w:color w:val="auto"/>
          <w:sz w:val="24"/>
          <w:szCs w:val="24"/>
          <w:vertAlign w:val="superscript"/>
        </w:rPr>
        <w:t>191</w:t>
      </w:r>
      <w:r w:rsidR="0048487E" w:rsidRPr="00EB2576">
        <w:rPr>
          <w:rStyle w:val="A0"/>
          <w:rFonts w:ascii="Times New Roman" w:hAnsi="Times New Roman" w:cs="Times New Roman"/>
          <w:color w:val="auto"/>
          <w:sz w:val="24"/>
          <w:szCs w:val="24"/>
        </w:rPr>
        <w:fldChar w:fldCharType="end"/>
      </w:r>
      <w:r w:rsidR="0048487E" w:rsidRPr="00EB2576">
        <w:rPr>
          <w:rStyle w:val="A0"/>
          <w:rFonts w:ascii="Times New Roman" w:hAnsi="Times New Roman" w:cs="Times New Roman"/>
          <w:color w:val="auto"/>
          <w:sz w:val="24"/>
          <w:szCs w:val="24"/>
        </w:rPr>
        <w:t xml:space="preserve">.  </w:t>
      </w:r>
      <w:proofErr w:type="spellStart"/>
      <w:r w:rsidR="0048487E" w:rsidRPr="00EB2576">
        <w:rPr>
          <w:rFonts w:ascii="Times New Roman" w:hAnsi="Times New Roman" w:cs="Times New Roman"/>
          <w:color w:val="auto"/>
        </w:rPr>
        <w:t>Cesium</w:t>
      </w:r>
      <w:proofErr w:type="spellEnd"/>
      <w:r w:rsidR="0048487E" w:rsidRPr="00EB2576">
        <w:rPr>
          <w:rFonts w:ascii="Times New Roman" w:hAnsi="Times New Roman" w:cs="Times New Roman"/>
          <w:color w:val="auto"/>
        </w:rPr>
        <w:t xml:space="preserve"> </w:t>
      </w:r>
      <w:r w:rsidR="00FC22FA" w:rsidRPr="00EB2576">
        <w:rPr>
          <w:rFonts w:ascii="Times New Roman" w:hAnsi="Times New Roman" w:cs="Times New Roman"/>
          <w:color w:val="auto"/>
        </w:rPr>
        <w:t>chloride-based</w:t>
      </w:r>
      <w:r w:rsidR="0048487E" w:rsidRPr="00EB2576">
        <w:rPr>
          <w:rFonts w:ascii="Times New Roman" w:hAnsi="Times New Roman" w:cs="Times New Roman"/>
          <w:color w:val="auto"/>
        </w:rPr>
        <w:t xml:space="preserve"> purification provides highly pure phage</w:t>
      </w:r>
      <w:r w:rsidR="00AC230D" w:rsidRPr="00EB2576">
        <w:rPr>
          <w:rFonts w:ascii="Times New Roman" w:hAnsi="Times New Roman" w:cs="Times New Roman"/>
          <w:color w:val="auto"/>
        </w:rPr>
        <w:t>.</w:t>
      </w:r>
      <w:r w:rsidR="0048487E" w:rsidRPr="00EB2576">
        <w:rPr>
          <w:rFonts w:ascii="Times New Roman" w:hAnsi="Times New Roman" w:cs="Times New Roman"/>
          <w:color w:val="auto"/>
        </w:rPr>
        <w:t xml:space="preserve"> </w:t>
      </w:r>
      <w:r w:rsidR="00AC230D" w:rsidRPr="00EB2576">
        <w:rPr>
          <w:rFonts w:ascii="Times New Roman" w:hAnsi="Times New Roman" w:cs="Times New Roman"/>
          <w:color w:val="auto"/>
        </w:rPr>
        <w:t>H</w:t>
      </w:r>
      <w:r w:rsidR="0048487E" w:rsidRPr="00EB2576">
        <w:rPr>
          <w:rFonts w:ascii="Times New Roman" w:hAnsi="Times New Roman" w:cs="Times New Roman"/>
          <w:color w:val="auto"/>
        </w:rPr>
        <w:t>owever, its use is limited by the ultracentrifugation force required</w:t>
      </w:r>
      <w:r w:rsidR="00D95FA9" w:rsidRPr="00EB2576">
        <w:rPr>
          <w:rFonts w:ascii="Times New Roman" w:hAnsi="Times New Roman" w:cs="Times New Roman"/>
          <w:color w:val="auto"/>
        </w:rPr>
        <w:t>,</w:t>
      </w:r>
      <w:r w:rsidR="0048487E" w:rsidRPr="00EB2576">
        <w:rPr>
          <w:rFonts w:ascii="Times New Roman" w:hAnsi="Times New Roman" w:cs="Times New Roman"/>
          <w:color w:val="auto"/>
        </w:rPr>
        <w:t xml:space="preserve"> which cannot be achieved by most centrifuges and can have a destructive effect on the phage itself, leading to low yield </w:t>
      </w:r>
      <w:r w:rsidR="0048487E" w:rsidRPr="00EB2576">
        <w:rPr>
          <w:rFonts w:ascii="Times New Roman" w:hAnsi="Times New Roman" w:cs="Times New Roman"/>
          <w:color w:val="auto"/>
        </w:rPr>
        <w:fldChar w:fldCharType="begin" w:fldLock="1"/>
      </w:r>
      <w:r w:rsidR="009577AC" w:rsidRPr="00EB2576">
        <w:rPr>
          <w:rFonts w:ascii="Times New Roman" w:hAnsi="Times New Roman" w:cs="Times New Roman"/>
          <w:color w:val="auto"/>
        </w:rPr>
        <w:instrText>ADDIN CSL_CITATION {"citationItems":[{"id":"ITEM-1","itemData":{"DOI":"10.1038/s41596-020-0346-0","ISSN":"1754-2189","author":[{"dropping-particle":"","family":"Luong","given":"Tiffany","non-dropping-particle":"","parse-names":false,"suffix":""},{"dropping-particle":"","family":"Salabarria","given":"Ann-Charlott","non-dropping-particle":"","parse-names":false,"suffix":""},{"dropping-particle":"","family":"Edwards","given":"Robert A.","non-dropping-particle":"","parse-names":false,"suffix":""},{"dropping-particle":"","family":"Roach","given":"Dwayne R.","non-dropping-particle":"","parse-names":false,"suffix":""}],"container-title":"Nature Protocols","id":"ITEM-1","issue":"9","issued":{"date-parts":[["2020","9","24"]]},"page":"2867-2890","title":"Standardized bacteriophage purification for personalized phage therapy","type":"article-journal","volume":"15"},"uris":["http://www.mendeley.com/documents/?uuid=28b9396c-5844-4eb6-aeea-207eea102cc2"]}],"mendeley":{"formattedCitation":"&lt;sup&gt;191&lt;/sup&gt;","plainTextFormattedCitation":"191","previouslyFormattedCitation":"&lt;sup&gt;191&lt;/sup&gt;"},"properties":{"noteIndex":0},"schema":"https://github.com/citation-style-language/schema/raw/master/csl-citation.json"}</w:instrText>
      </w:r>
      <w:r w:rsidR="0048487E" w:rsidRPr="00EB2576">
        <w:rPr>
          <w:rFonts w:ascii="Times New Roman" w:hAnsi="Times New Roman" w:cs="Times New Roman"/>
          <w:color w:val="auto"/>
        </w:rPr>
        <w:fldChar w:fldCharType="separate"/>
      </w:r>
      <w:r w:rsidR="00201474" w:rsidRPr="00EB2576">
        <w:rPr>
          <w:rFonts w:ascii="Times New Roman" w:hAnsi="Times New Roman" w:cs="Times New Roman"/>
          <w:noProof/>
          <w:color w:val="auto"/>
          <w:vertAlign w:val="superscript"/>
        </w:rPr>
        <w:t>191</w:t>
      </w:r>
      <w:r w:rsidR="0048487E" w:rsidRPr="00EB2576">
        <w:rPr>
          <w:rFonts w:ascii="Times New Roman" w:hAnsi="Times New Roman" w:cs="Times New Roman"/>
          <w:color w:val="auto"/>
        </w:rPr>
        <w:fldChar w:fldCharType="end"/>
      </w:r>
      <w:r w:rsidR="0048487E" w:rsidRPr="00EB2576">
        <w:rPr>
          <w:rFonts w:ascii="Times New Roman" w:hAnsi="Times New Roman" w:cs="Times New Roman"/>
          <w:color w:val="auto"/>
        </w:rPr>
        <w:t xml:space="preserve">. </w:t>
      </w:r>
      <w:bookmarkStart w:id="286" w:name="_Hlk116032664"/>
      <w:r w:rsidR="0048487E" w:rsidRPr="00EB2576">
        <w:rPr>
          <w:rFonts w:ascii="Times New Roman" w:hAnsi="Times New Roman" w:cs="Times New Roman"/>
          <w:color w:val="auto"/>
        </w:rPr>
        <w:t xml:space="preserve">We aim to further optimise the current ELISA with use of the </w:t>
      </w:r>
      <w:r w:rsidR="0048487E" w:rsidRPr="00EB2576">
        <w:rPr>
          <w:rFonts w:ascii="Times New Roman" w:hAnsi="Times New Roman" w:cs="Times New Roman"/>
          <w:i/>
          <w:iCs/>
          <w:color w:val="auto"/>
        </w:rPr>
        <w:t>E</w:t>
      </w:r>
      <w:r w:rsidR="009B604F" w:rsidRPr="00EB2576">
        <w:rPr>
          <w:rFonts w:ascii="Times New Roman" w:hAnsi="Times New Roman" w:cs="Times New Roman"/>
          <w:i/>
          <w:iCs/>
          <w:color w:val="auto"/>
        </w:rPr>
        <w:t xml:space="preserve">. </w:t>
      </w:r>
      <w:r w:rsidR="0048487E" w:rsidRPr="00EB2576">
        <w:rPr>
          <w:rFonts w:ascii="Times New Roman" w:hAnsi="Times New Roman" w:cs="Times New Roman"/>
          <w:i/>
          <w:iCs/>
          <w:color w:val="auto"/>
        </w:rPr>
        <w:t>coli</w:t>
      </w:r>
      <w:r w:rsidR="0048487E" w:rsidRPr="00EB2576">
        <w:rPr>
          <w:rFonts w:ascii="Times New Roman" w:hAnsi="Times New Roman" w:cs="Times New Roman"/>
          <w:color w:val="auto"/>
        </w:rPr>
        <w:t xml:space="preserve"> extract. </w:t>
      </w:r>
      <w:bookmarkEnd w:id="286"/>
    </w:p>
    <w:p w14:paraId="781E2BC7" w14:textId="77777777" w:rsidR="00C015E7" w:rsidRPr="00EB2576" w:rsidRDefault="00C015E7" w:rsidP="00775FB8">
      <w:pPr>
        <w:pStyle w:val="Default"/>
        <w:spacing w:line="480" w:lineRule="auto"/>
        <w:rPr>
          <w:rFonts w:ascii="Times New Roman" w:hAnsi="Times New Roman" w:cs="Times New Roman"/>
          <w:color w:val="auto"/>
        </w:rPr>
      </w:pPr>
    </w:p>
    <w:p w14:paraId="43A121DC" w14:textId="009EC0C8" w:rsidR="00C015E7" w:rsidRPr="00EB2576" w:rsidRDefault="00C015E7" w:rsidP="00775FB8">
      <w:pPr>
        <w:autoSpaceDE w:val="0"/>
        <w:autoSpaceDN w:val="0"/>
        <w:adjustRightInd w:val="0"/>
        <w:spacing w:after="0" w:line="480" w:lineRule="auto"/>
        <w:jc w:val="left"/>
        <w:rPr>
          <w:rFonts w:ascii="Times New Roman" w:hAnsi="Times New Roman" w:cs="Times New Roman"/>
          <w:sz w:val="24"/>
          <w:szCs w:val="24"/>
        </w:rPr>
      </w:pPr>
      <w:bookmarkStart w:id="287" w:name="_Hlk151022806"/>
      <w:r w:rsidRPr="00EB2576">
        <w:rPr>
          <w:rFonts w:ascii="Times New Roman" w:hAnsi="Times New Roman" w:cs="Times New Roman"/>
          <w:sz w:val="24"/>
          <w:szCs w:val="24"/>
        </w:rPr>
        <w:t>An alternative</w:t>
      </w:r>
      <w:r w:rsidR="009362ED" w:rsidRPr="00EB2576">
        <w:rPr>
          <w:rFonts w:ascii="Times New Roman" w:hAnsi="Times New Roman" w:cs="Times New Roman"/>
          <w:sz w:val="24"/>
          <w:szCs w:val="24"/>
        </w:rPr>
        <w:t xml:space="preserve"> method </w:t>
      </w:r>
      <w:r w:rsidR="00DB2573" w:rsidRPr="00EB2576">
        <w:rPr>
          <w:rFonts w:ascii="Times New Roman" w:hAnsi="Times New Roman" w:cs="Times New Roman"/>
          <w:sz w:val="24"/>
          <w:szCs w:val="24"/>
        </w:rPr>
        <w:t xml:space="preserve">of assessing </w:t>
      </w:r>
      <w:r w:rsidR="00626FA0" w:rsidRPr="00EB2576">
        <w:rPr>
          <w:rFonts w:ascii="Times New Roman" w:hAnsi="Times New Roman" w:cs="Times New Roman"/>
          <w:sz w:val="24"/>
          <w:szCs w:val="24"/>
        </w:rPr>
        <w:t xml:space="preserve">specificity of the ATI positive sera to the selected </w:t>
      </w:r>
      <w:r w:rsidR="00EE7EE6" w:rsidRPr="00EB2576">
        <w:rPr>
          <w:rFonts w:ascii="Times New Roman" w:hAnsi="Times New Roman" w:cs="Times New Roman"/>
          <w:sz w:val="24"/>
          <w:szCs w:val="24"/>
        </w:rPr>
        <w:t>phage clones</w:t>
      </w:r>
      <w:r w:rsidR="00626FA0" w:rsidRPr="00EB2576">
        <w:rPr>
          <w:rFonts w:ascii="Times New Roman" w:hAnsi="Times New Roman" w:cs="Times New Roman"/>
          <w:sz w:val="24"/>
          <w:szCs w:val="24"/>
        </w:rPr>
        <w:t xml:space="preserve"> </w:t>
      </w:r>
      <w:r w:rsidR="00AF4D07" w:rsidRPr="00EB2576">
        <w:rPr>
          <w:rFonts w:ascii="Times New Roman" w:hAnsi="Times New Roman" w:cs="Times New Roman"/>
          <w:sz w:val="24"/>
          <w:szCs w:val="24"/>
        </w:rPr>
        <w:t xml:space="preserve">and the enriched peptides </w:t>
      </w:r>
      <w:r w:rsidR="00626FA0" w:rsidRPr="00EB2576">
        <w:rPr>
          <w:rFonts w:ascii="Times New Roman" w:hAnsi="Times New Roman" w:cs="Times New Roman"/>
          <w:sz w:val="24"/>
          <w:szCs w:val="24"/>
        </w:rPr>
        <w:t>would be to</w:t>
      </w:r>
      <w:r w:rsidR="00AF4D07" w:rsidRPr="00EB2576">
        <w:rPr>
          <w:rFonts w:ascii="Times New Roman" w:hAnsi="Times New Roman" w:cs="Times New Roman"/>
          <w:sz w:val="24"/>
          <w:szCs w:val="24"/>
        </w:rPr>
        <w:t xml:space="preserve"> </w:t>
      </w:r>
      <w:r w:rsidR="00223582" w:rsidRPr="00EB2576">
        <w:rPr>
          <w:rFonts w:ascii="Times New Roman" w:hAnsi="Times New Roman" w:cs="Times New Roman"/>
          <w:sz w:val="24"/>
          <w:szCs w:val="24"/>
        </w:rPr>
        <w:t>incorporate</w:t>
      </w:r>
      <w:r w:rsidR="00626FA0" w:rsidRPr="00EB2576">
        <w:rPr>
          <w:rFonts w:ascii="Times New Roman" w:hAnsi="Times New Roman" w:cs="Times New Roman"/>
          <w:sz w:val="24"/>
          <w:szCs w:val="24"/>
        </w:rPr>
        <w:t xml:space="preserve"> </w:t>
      </w:r>
      <w:r w:rsidRPr="00EB2576">
        <w:rPr>
          <w:rFonts w:ascii="Times New Roman" w:hAnsi="Times New Roman" w:cs="Times New Roman"/>
          <w:sz w:val="24"/>
          <w:szCs w:val="24"/>
        </w:rPr>
        <w:t>NGS</w:t>
      </w:r>
      <w:r w:rsidR="00626FA0" w:rsidRPr="00EB2576">
        <w:rPr>
          <w:rFonts w:ascii="Times New Roman" w:hAnsi="Times New Roman" w:cs="Times New Roman"/>
          <w:sz w:val="24"/>
          <w:szCs w:val="24"/>
        </w:rPr>
        <w:t>.</w:t>
      </w:r>
      <w:r w:rsidR="006C732C" w:rsidRPr="00EB2576">
        <w:rPr>
          <w:rFonts w:ascii="Times New Roman" w:hAnsi="Times New Roman" w:cs="Times New Roman"/>
          <w:sz w:val="24"/>
          <w:szCs w:val="24"/>
        </w:rPr>
        <w:t xml:space="preserve"> NGS </w:t>
      </w:r>
      <w:r w:rsidR="00856399" w:rsidRPr="00EB2576">
        <w:rPr>
          <w:rFonts w:ascii="Times New Roman" w:hAnsi="Times New Roman" w:cs="Times New Roman"/>
          <w:sz w:val="24"/>
          <w:szCs w:val="24"/>
        </w:rPr>
        <w:t>has been integrated into phage display as it gives the ability to</w:t>
      </w:r>
      <w:r w:rsidR="00E80546" w:rsidRPr="00EB2576">
        <w:rPr>
          <w:rFonts w:ascii="Times New Roman" w:hAnsi="Times New Roman" w:cs="Times New Roman"/>
          <w:sz w:val="24"/>
          <w:szCs w:val="24"/>
        </w:rPr>
        <w:t xml:space="preserve"> interrogate the </w:t>
      </w:r>
      <w:r w:rsidR="002555D5" w:rsidRPr="00EB2576">
        <w:rPr>
          <w:rFonts w:ascii="Times New Roman" w:hAnsi="Times New Roman" w:cs="Times New Roman"/>
          <w:sz w:val="24"/>
          <w:szCs w:val="24"/>
        </w:rPr>
        <w:t xml:space="preserve">entire </w:t>
      </w:r>
      <w:r w:rsidR="00E80546" w:rsidRPr="00EB2576">
        <w:rPr>
          <w:rFonts w:ascii="Times New Roman" w:hAnsi="Times New Roman" w:cs="Times New Roman"/>
          <w:sz w:val="24"/>
          <w:szCs w:val="24"/>
        </w:rPr>
        <w:t>sequence diversity after selection</w:t>
      </w:r>
      <w:r w:rsidR="00A51D97" w:rsidRPr="00EB2576">
        <w:rPr>
          <w:rFonts w:ascii="Times New Roman" w:hAnsi="Times New Roman" w:cs="Times New Roman"/>
          <w:sz w:val="24"/>
          <w:szCs w:val="24"/>
        </w:rPr>
        <w:t>. It is able to</w:t>
      </w:r>
      <w:r w:rsidR="000F01E3" w:rsidRPr="00EB2576">
        <w:rPr>
          <w:rFonts w:ascii="Times New Roman" w:hAnsi="Times New Roman" w:cs="Times New Roman"/>
          <w:sz w:val="24"/>
          <w:szCs w:val="24"/>
        </w:rPr>
        <w:t xml:space="preserve"> </w:t>
      </w:r>
      <w:r w:rsidR="00467C85" w:rsidRPr="00EB2576">
        <w:rPr>
          <w:rFonts w:ascii="Times New Roman" w:hAnsi="Times New Roman" w:cs="Times New Roman"/>
          <w:sz w:val="24"/>
          <w:szCs w:val="24"/>
        </w:rPr>
        <w:t>assess</w:t>
      </w:r>
      <w:r w:rsidR="002555D5" w:rsidRPr="00EB2576">
        <w:rPr>
          <w:rFonts w:ascii="Times New Roman" w:hAnsi="Times New Roman" w:cs="Times New Roman"/>
          <w:sz w:val="24"/>
          <w:szCs w:val="24"/>
        </w:rPr>
        <w:t xml:space="preserve"> </w:t>
      </w:r>
      <w:r w:rsidR="00467C85" w:rsidRPr="00EB2576">
        <w:rPr>
          <w:rFonts w:ascii="Times New Roman" w:hAnsi="Times New Roman" w:cs="Times New Roman"/>
          <w:sz w:val="24"/>
          <w:szCs w:val="24"/>
        </w:rPr>
        <w:t>up to</w:t>
      </w:r>
      <w:r w:rsidR="002555D5" w:rsidRPr="00EB2576">
        <w:rPr>
          <w:rFonts w:ascii="Times New Roman" w:hAnsi="Times New Roman" w:cs="Times New Roman"/>
          <w:sz w:val="24"/>
          <w:szCs w:val="24"/>
        </w:rPr>
        <w:t xml:space="preserve"> approximately 10,000-fold more sequences than Sanger</w:t>
      </w:r>
      <w:r w:rsidR="00467C85" w:rsidRPr="00EB2576">
        <w:rPr>
          <w:rFonts w:ascii="Times New Roman" w:hAnsi="Times New Roman" w:cs="Times New Roman"/>
          <w:sz w:val="24"/>
          <w:szCs w:val="24"/>
        </w:rPr>
        <w:t xml:space="preserve"> s</w:t>
      </w:r>
      <w:r w:rsidR="002555D5" w:rsidRPr="00EB2576">
        <w:rPr>
          <w:rFonts w:ascii="Times New Roman" w:hAnsi="Times New Roman" w:cs="Times New Roman"/>
          <w:sz w:val="24"/>
          <w:szCs w:val="24"/>
        </w:rPr>
        <w:t>equencing</w:t>
      </w:r>
      <w:r w:rsidR="00223582" w:rsidRPr="00EB2576">
        <w:rPr>
          <w:rFonts w:ascii="Times New Roman" w:hAnsi="Times New Roman" w:cs="Times New Roman"/>
          <w:sz w:val="24"/>
          <w:szCs w:val="24"/>
        </w:rPr>
        <w:t xml:space="preserve"> </w:t>
      </w:r>
      <w:r w:rsidR="00552DC3"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10.1038/emm.2017.22","ISSN":"2092-6413","author":[{"dropping-particle":"","family":"Yang","given":"Wonjun","non-dropping-particle":"","parse-names":false,"suffix":""},{"dropping-particle":"","family":"Yoon","given":"Aerin","non-dropping-particle":"","parse-names":false,"suffix":""},{"dropping-particle":"","family":"Lee","given":"Sanghoon","non-dropping-particle":"","parse-names":false,"suffix":""},{"dropping-particle":"","family":"Kim","given":"Soohyun","non-dropping-particle":"","parse-names":false,"suffix":""},{"dropping-particle":"","family":"Han","given":"Jungwon","non-dropping-particle":"","parse-names":false,"suffix":""},{"dropping-particle":"","family":"Chung","given":"Junho","non-dropping-particle":"","parse-names":false,"suffix":""}],"container-title":"Experimental &amp; Molecular Medicine","id":"ITEM-1","issue":"3","issued":{"date-parts":[["2017","3","24"]]},"page":"e308-e308","title":"Next-generation sequencing enables the discovery of more diverse positive clones from a phage-displayed antibody library","type":"article-journal","volume":"49"},"uris":["http://www.mendeley.com/documents/?uuid=56272874-4f25-4906-abdb-cd4ec9995835"]},{"id":"ITEM-2","itemData":{"DOI":"10.3390/v12121360","ISSN":"1999-4915","abstract":"Next generation sequencing (NGS) in combination with phage surface display (PSD) are powerful tools in the newly equipped molecular biology toolbox for the identification of specific target binding biomolecules. Application of PSD led to the discovery of manifold ligands in clinical and material research. However, limitations of traditional phage display hinder the identification process. Growth-based library biases and target-unrelated peptides often result in the dominance of parasitic sequences and the collapse of library diversity. This study describes the effective enrichment of specific peptide motifs potentially binding to arsenic as proof-of-concept using the combination of PSD and NGS. Arsenic is an environmental toxin, which is applied in various semiconductors as gallium arsenide and selective recovery of this element is crucial for recycling and remediation. The development of biomolecules as specific arsenic-binding sorbents is a new approach for its recovery. Usage of NGS for all biopanning fractions allowed for evaluation of motif enrichment, in-depth insight into the selection process and the discrimination of biopanning artefacts, e.g., the amplification-induced library-wide reduction in hydrophobic amino acid proportion. Application of bioinformatics tools led to the identification of an SxHS and a carboxy-terminal QxQ motif, which are potentially involved in the binding of arsenic. To the best of our knowledge, this is the first report of PSD combined with NGS of all relevant biopanning fractions.","author":[{"dropping-particle":"","family":"Braun","given":"Robert","non-dropping-particle":"","parse-names":false,"suffix":""},{"dropping-particle":"","family":"Schönberger","given":"Nora","non-dropping-particle":"","parse-names":false,"suffix":""},{"dropping-particle":"","family":"Vinke","given":"Svenja","non-dropping-particle":"","parse-names":false,"suffix":""},{"dropping-particle":"","family":"Lederer","given":"Franziska","non-dropping-particle":"","parse-names":false,"suffix":""},{"dropping-particle":"","family":"Kalinowski","given":"Jörn","non-dropping-particle":"","parse-names":false,"suffix":""},{"dropping-particle":"","family":"Pollmann","given":"Katrin","non-dropping-particle":"","parse-names":false,"suffix":""}],"container-title":"Viruses","id":"ITEM-2","issue":"12","issued":{"date-parts":[["2020","11","27"]]},"page":"1360","title":"Application of Next Generation Sequencing (NGS) in Phage Displayed Peptide Selection to Support the Identification of Arsenic-Binding Motifs","type":"article-journal","volume":"12"},"uris":["http://www.mendeley.com/documents/?uuid=7dd29248-2cac-4805-a93d-09a6e791a7c3"]},{"id":"ITEM-3","itemData":{"DOI":"10.1371/journal.pone.0008338","ISSN":"1932-6203","author":[{"dropping-particle":"","family":"Dias-Neto","given":"Emmanuel","non-dropping-particle":"","parse-names":false,"suffix":""},{"dropping-particle":"","family":"Nunes","given":"Diana N.","non-dropping-particle":"","parse-names":false,"suffix":""},{"dropping-particle":"","family":"Giordano","given":"Ricardo J.","non-dropping-particle":"","parse-names":false,"suffix":""},{"dropping-particle":"","family":"Sun","given":"Jessica","non-dropping-particle":"","parse-names":false,"suffix":""},{"dropping-particle":"","family":"Botz","given":"Gregory H.","non-dropping-particle":"","parse-names":false,"suffix":""},{"dropping-particle":"","family":"Yang","given":"Kuan","non-dropping-particle":"","parse-names":false,"suffix":""},{"dropping-particle":"","family":"Setubal","given":"João C.","non-dropping-particle":"","parse-names":false,"suffix":""},{"dropping-particle":"","family":"Pasqualini","given":"Renata","non-dropping-particle":"","parse-names":false,"suffix":""},{"dropping-particle":"","family":"Arap","given":"Wadih","non-dropping-particle":"","parse-names":false,"suffix":""}],"container-title":"PLoS ONE","editor":[{"dropping-particle":"","family":"Ho","given":"Paulo Lee","non-dropping-particle":"","parse-names":false,"suffix":""}],"id":"ITEM-3","issue":"12","issued":{"date-parts":[["2009","12","17"]]},"page":"e8338","title":"Next-Generation Phage Display: Integrating and Comparing Available Molecular Tools to Enable Cost-Effective High-Throughput Analysis","type":"article-journal","volume":"4"},"uris":["http://www.mendeley.com/documents/?uuid=7d2cdd0f-13df-449a-b6cf-2fdc2d34eb6f"]},{"id":"ITEM-4","itemData":{"DOI":"10.1371/journal.pone.0149393","ISSN":"1932-6203","author":[{"dropping-particle":"","family":"Turner","given":"Kendrick B.","non-dropping-particle":"","parse-names":false,"suffix":""},{"dropping-particle":"","family":"Naciri","given":"Jennifer","non-dropping-particle":"","parse-names":false,"suffix":""},{"dropping-particle":"","family":"Liu","given":"Jinny L.","non-dropping-particle":"","parse-names":false,"suffix":""},{"dropping-particle":"","family":"Anderson","given":"George P.","non-dropping-particle":"","parse-names":false,"suffix":""},{"dropping-particle":"","family":"Goldman","given":"Ellen R.","non-dropping-particle":"","parse-names":false,"suffix":""},{"dropping-particle":"","family":"Zabetakis","given":"Dan","non-dropping-particle":"","parse-names":false,"suffix":""}],"container-title":"PLOS ONE","editor":[{"dropping-particle":"","family":"Ho","given":"Mitchell","non-dropping-particle":"","parse-names":false,"suffix":""}],"id":"ITEM-4","issue":"2","issued":{"date-parts":[["2016","2","19"]]},"page":"e0149393","title":"Next-Generation Sequencing of a Single Domain Antibody Repertoire Reveals Quality of Phage Display Selected Candidates","type":"article-journal","volume":"11"},"uris":["http://www.mendeley.com/documents/?uuid=63fdce4d-2ea3-489a-ae44-49bb8ea8008e"]},{"id":"ITEM-5","itemData":{"DOI":"10.3389/fimmu.2018.00118","ISSN":"1664-3224","author":[{"dropping-particle":"","family":"Rouet","given":"Romain","non-dropping-particle":"","parse-names":false,"suffix":""},{"dropping-particle":"","family":"Jackson","given":"Katherine J. L.","non-dropping-particle":"","parse-names":false,"suffix":""},{"dropping-particle":"","family":"Langley","given":"David B.","non-dropping-particle":"","parse-names":false,"suffix":""},{"dropping-particle":"","family":"Christ","given":"Daniel","non-dropping-particle":"","parse-names":false,"suffix":""}],"container-title":"Frontiers in Immunology","id":"ITEM-5","issued":{"date-parts":[["2018","2","2"]]},"title":"Next-Generation Sequencing of Antibody Display Repertoires","type":"article-journal","volume":"9"},"uris":["http://www.mendeley.com/documents/?uuid=3a876dda-f0b4-4726-96da-16d2015b857b"]}],"mendeley":{"formattedCitation":"&lt;sup&gt;192–196&lt;/sup&gt;","plainTextFormattedCitation":"192–196","previouslyFormattedCitation":"&lt;sup&gt;192–196&lt;/sup&gt;"},"properties":{"noteIndex":0},"schema":"https://github.com/citation-style-language/schema/raw/master/csl-citation.json"}</w:instrText>
      </w:r>
      <w:r w:rsidR="00552DC3"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192–196</w:t>
      </w:r>
      <w:r w:rsidR="00552DC3" w:rsidRPr="00EB2576">
        <w:rPr>
          <w:rFonts w:ascii="Times New Roman" w:hAnsi="Times New Roman" w:cs="Times New Roman"/>
          <w:sz w:val="24"/>
          <w:szCs w:val="24"/>
        </w:rPr>
        <w:fldChar w:fldCharType="end"/>
      </w:r>
      <w:r w:rsidR="00467C85" w:rsidRPr="00EB2576">
        <w:rPr>
          <w:rFonts w:ascii="Times New Roman" w:hAnsi="Times New Roman" w:cs="Times New Roman"/>
          <w:sz w:val="24"/>
          <w:szCs w:val="24"/>
        </w:rPr>
        <w:t>.</w:t>
      </w:r>
      <w:r w:rsidR="002555D5" w:rsidRPr="00EB2576">
        <w:rPr>
          <w:rFonts w:ascii="Times New Roman" w:hAnsi="Times New Roman" w:cs="Times New Roman"/>
          <w:sz w:val="24"/>
          <w:szCs w:val="24"/>
        </w:rPr>
        <w:t xml:space="preserve"> </w:t>
      </w:r>
      <w:r w:rsidR="00ED1214" w:rsidRPr="00EB2576">
        <w:rPr>
          <w:rFonts w:ascii="Times New Roman" w:hAnsi="Times New Roman" w:cs="Times New Roman"/>
          <w:sz w:val="24"/>
          <w:szCs w:val="24"/>
        </w:rPr>
        <w:t>It is also able to provide this at a comparatively low cost and shorter time frame than Sanger sequencing</w:t>
      </w:r>
      <w:r w:rsidR="00A86A98" w:rsidRPr="00EB2576">
        <w:rPr>
          <w:rFonts w:ascii="Times New Roman" w:hAnsi="Times New Roman" w:cs="Times New Roman"/>
          <w:sz w:val="24"/>
          <w:szCs w:val="24"/>
        </w:rPr>
        <w:t xml:space="preserve"> </w:t>
      </w:r>
      <w:r w:rsidR="00A86A98"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10.3389/fimmu.2018.00118","ISSN":"1664-3224","author":[{"dropping-particle":"","family":"Rouet","given":"Romain","non-dropping-particle":"","parse-names":false,"suffix":""},{"dropping-particle":"","family":"Jackson","given":"Katherine J. L.","non-dropping-particle":"","parse-names":false,"suffix":""},{"dropping-particle":"","family":"Langley","given":"David B.","non-dropping-particle":"","parse-names":false,"suffix":""},{"dropping-particle":"","family":"Christ","given":"Daniel","non-dropping-particle":"","parse-names":false,"suffix":""}],"container-title":"Frontiers in Immunology","id":"ITEM-1","issued":{"date-parts":[["2018","2","2"]]},"title":"Next-Generation Sequencing of Antibody Display Repertoires","type":"article-journal","volume":"9"},"uris":["http://www.mendeley.com/documents/?uuid=3a876dda-f0b4-4726-96da-16d2015b857b"]}],"mendeley":{"formattedCitation":"&lt;sup&gt;196&lt;/sup&gt;","plainTextFormattedCitation":"196","previouslyFormattedCitation":"&lt;sup&gt;196&lt;/sup&gt;"},"properties":{"noteIndex":0},"schema":"https://github.com/citation-style-language/schema/raw/master/csl-citation.json"}</w:instrText>
      </w:r>
      <w:r w:rsidR="00A86A98"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196</w:t>
      </w:r>
      <w:r w:rsidR="00A86A98" w:rsidRPr="00EB2576">
        <w:rPr>
          <w:rFonts w:ascii="Times New Roman" w:hAnsi="Times New Roman" w:cs="Times New Roman"/>
          <w:sz w:val="24"/>
          <w:szCs w:val="24"/>
        </w:rPr>
        <w:fldChar w:fldCharType="end"/>
      </w:r>
      <w:r w:rsidR="00ED1214" w:rsidRPr="00EB2576">
        <w:rPr>
          <w:rFonts w:ascii="Times New Roman" w:hAnsi="Times New Roman" w:cs="Times New Roman"/>
          <w:sz w:val="24"/>
          <w:szCs w:val="24"/>
        </w:rPr>
        <w:t xml:space="preserve">. </w:t>
      </w:r>
      <w:r w:rsidR="00D24549" w:rsidRPr="00EB2576">
        <w:rPr>
          <w:rFonts w:ascii="Times New Roman" w:hAnsi="Times New Roman" w:cs="Times New Roman"/>
          <w:sz w:val="24"/>
          <w:szCs w:val="24"/>
        </w:rPr>
        <w:t>Using NGS, we</w:t>
      </w:r>
      <w:r w:rsidR="00ED1214" w:rsidRPr="00EB2576">
        <w:rPr>
          <w:rFonts w:ascii="Times New Roman" w:hAnsi="Times New Roman" w:cs="Times New Roman"/>
          <w:sz w:val="24"/>
          <w:szCs w:val="24"/>
        </w:rPr>
        <w:t xml:space="preserve"> </w:t>
      </w:r>
      <w:r w:rsidR="00D24549" w:rsidRPr="00EB2576">
        <w:rPr>
          <w:rFonts w:ascii="Times New Roman" w:hAnsi="Times New Roman" w:cs="Times New Roman"/>
          <w:sz w:val="24"/>
          <w:szCs w:val="24"/>
        </w:rPr>
        <w:t>c</w:t>
      </w:r>
      <w:r w:rsidR="00ED1214" w:rsidRPr="00EB2576">
        <w:rPr>
          <w:rFonts w:ascii="Times New Roman" w:hAnsi="Times New Roman" w:cs="Times New Roman"/>
          <w:sz w:val="24"/>
          <w:szCs w:val="24"/>
        </w:rPr>
        <w:t xml:space="preserve">ould </w:t>
      </w:r>
      <w:r w:rsidR="00B227CC" w:rsidRPr="00EB2576">
        <w:rPr>
          <w:rFonts w:ascii="Times New Roman" w:hAnsi="Times New Roman" w:cs="Times New Roman"/>
          <w:sz w:val="24"/>
          <w:szCs w:val="24"/>
        </w:rPr>
        <w:t xml:space="preserve">fully assess the </w:t>
      </w:r>
      <w:r w:rsidR="00D24549" w:rsidRPr="00EB2576">
        <w:rPr>
          <w:rFonts w:ascii="Times New Roman" w:hAnsi="Times New Roman" w:cs="Times New Roman"/>
          <w:sz w:val="24"/>
          <w:szCs w:val="24"/>
        </w:rPr>
        <w:t xml:space="preserve">diversity of </w:t>
      </w:r>
      <w:r w:rsidR="00793601" w:rsidRPr="00EB2576">
        <w:rPr>
          <w:rFonts w:ascii="Times New Roman" w:hAnsi="Times New Roman" w:cs="Times New Roman"/>
          <w:sz w:val="24"/>
          <w:szCs w:val="24"/>
        </w:rPr>
        <w:t xml:space="preserve">the </w:t>
      </w:r>
      <w:r w:rsidR="00B227CC" w:rsidRPr="00EB2576">
        <w:rPr>
          <w:rFonts w:ascii="Times New Roman" w:hAnsi="Times New Roman" w:cs="Times New Roman"/>
          <w:sz w:val="24"/>
          <w:szCs w:val="24"/>
        </w:rPr>
        <w:t xml:space="preserve">library after each round of biopanning, </w:t>
      </w:r>
      <w:r w:rsidR="00283E22" w:rsidRPr="00EB2576">
        <w:rPr>
          <w:rFonts w:ascii="Times New Roman" w:hAnsi="Times New Roman" w:cs="Times New Roman"/>
          <w:sz w:val="24"/>
          <w:szCs w:val="24"/>
        </w:rPr>
        <w:t xml:space="preserve">to ensure that </w:t>
      </w:r>
      <w:r w:rsidR="00793601" w:rsidRPr="00EB2576">
        <w:rPr>
          <w:rFonts w:ascii="Times New Roman" w:hAnsi="Times New Roman" w:cs="Times New Roman"/>
          <w:sz w:val="24"/>
          <w:szCs w:val="24"/>
        </w:rPr>
        <w:t>ha</w:t>
      </w:r>
      <w:r w:rsidR="00A51D97" w:rsidRPr="00EB2576">
        <w:rPr>
          <w:rFonts w:ascii="Times New Roman" w:hAnsi="Times New Roman" w:cs="Times New Roman"/>
          <w:sz w:val="24"/>
          <w:szCs w:val="24"/>
        </w:rPr>
        <w:t>s been</w:t>
      </w:r>
      <w:r w:rsidR="00283E22" w:rsidRPr="00EB2576">
        <w:rPr>
          <w:rFonts w:ascii="Times New Roman" w:hAnsi="Times New Roman" w:cs="Times New Roman"/>
          <w:sz w:val="24"/>
          <w:szCs w:val="24"/>
        </w:rPr>
        <w:t xml:space="preserve"> no selection bias</w:t>
      </w:r>
      <w:r w:rsidR="00D24549" w:rsidRPr="00EB2576">
        <w:rPr>
          <w:rFonts w:ascii="Times New Roman" w:hAnsi="Times New Roman" w:cs="Times New Roman"/>
          <w:sz w:val="24"/>
          <w:szCs w:val="24"/>
        </w:rPr>
        <w:t xml:space="preserve"> from DNA sequencing of the selected colonies</w:t>
      </w:r>
      <w:r w:rsidR="00283E22" w:rsidRPr="00EB2576">
        <w:rPr>
          <w:rFonts w:ascii="Times New Roman" w:hAnsi="Times New Roman" w:cs="Times New Roman"/>
          <w:sz w:val="24"/>
          <w:szCs w:val="24"/>
        </w:rPr>
        <w:t xml:space="preserve">. </w:t>
      </w:r>
      <w:r w:rsidR="0068416A" w:rsidRPr="00EB2576">
        <w:rPr>
          <w:rFonts w:ascii="Times New Roman" w:hAnsi="Times New Roman" w:cs="Times New Roman"/>
          <w:sz w:val="24"/>
          <w:szCs w:val="24"/>
        </w:rPr>
        <w:t xml:space="preserve">The </w:t>
      </w:r>
      <w:r w:rsidR="0063287C" w:rsidRPr="00EB2576">
        <w:rPr>
          <w:rFonts w:ascii="Times New Roman" w:hAnsi="Times New Roman" w:cs="Times New Roman"/>
          <w:sz w:val="24"/>
          <w:szCs w:val="24"/>
        </w:rPr>
        <w:t>infliximab full GFL</w:t>
      </w:r>
      <w:r w:rsidR="0068416A" w:rsidRPr="00EB2576">
        <w:rPr>
          <w:rFonts w:ascii="Times New Roman" w:hAnsi="Times New Roman" w:cs="Times New Roman"/>
          <w:sz w:val="24"/>
          <w:szCs w:val="24"/>
        </w:rPr>
        <w:t xml:space="preserve"> could also be reselected</w:t>
      </w:r>
      <w:r w:rsidR="008E62C0" w:rsidRPr="00EB2576">
        <w:rPr>
          <w:rFonts w:ascii="Times New Roman" w:hAnsi="Times New Roman" w:cs="Times New Roman"/>
          <w:sz w:val="24"/>
          <w:szCs w:val="24"/>
        </w:rPr>
        <w:t xml:space="preserve"> using</w:t>
      </w:r>
      <w:r w:rsidR="0068416A" w:rsidRPr="00EB2576">
        <w:rPr>
          <w:rFonts w:ascii="Times New Roman" w:hAnsi="Times New Roman" w:cs="Times New Roman"/>
          <w:sz w:val="24"/>
          <w:szCs w:val="24"/>
        </w:rPr>
        <w:t xml:space="preserve"> individual ATI positive serum that was </w:t>
      </w:r>
      <w:r w:rsidR="00826990" w:rsidRPr="00EB2576">
        <w:rPr>
          <w:rFonts w:ascii="Times New Roman" w:hAnsi="Times New Roman" w:cs="Times New Roman"/>
          <w:sz w:val="24"/>
          <w:szCs w:val="24"/>
        </w:rPr>
        <w:t>pooled</w:t>
      </w:r>
      <w:r w:rsidR="0068416A" w:rsidRPr="00EB2576">
        <w:rPr>
          <w:rFonts w:ascii="Times New Roman" w:hAnsi="Times New Roman" w:cs="Times New Roman"/>
          <w:sz w:val="24"/>
          <w:szCs w:val="24"/>
        </w:rPr>
        <w:t xml:space="preserve"> for biopanning</w:t>
      </w:r>
      <w:r w:rsidR="00826990" w:rsidRPr="00EB2576">
        <w:rPr>
          <w:rFonts w:ascii="Times New Roman" w:hAnsi="Times New Roman" w:cs="Times New Roman"/>
          <w:sz w:val="24"/>
          <w:szCs w:val="24"/>
        </w:rPr>
        <w:t>.</w:t>
      </w:r>
      <w:r w:rsidR="0068416A" w:rsidRPr="00EB2576">
        <w:rPr>
          <w:rFonts w:ascii="Times New Roman" w:hAnsi="Times New Roman" w:cs="Times New Roman"/>
          <w:sz w:val="24"/>
          <w:szCs w:val="24"/>
        </w:rPr>
        <w:t xml:space="preserve"> </w:t>
      </w:r>
      <w:r w:rsidR="00826990" w:rsidRPr="00EB2576">
        <w:rPr>
          <w:rFonts w:ascii="Times New Roman" w:hAnsi="Times New Roman" w:cs="Times New Roman"/>
          <w:sz w:val="24"/>
          <w:szCs w:val="24"/>
        </w:rPr>
        <w:t>S</w:t>
      </w:r>
      <w:r w:rsidR="004B2FE6" w:rsidRPr="00EB2576">
        <w:rPr>
          <w:rFonts w:ascii="Times New Roman" w:hAnsi="Times New Roman" w:cs="Times New Roman"/>
          <w:sz w:val="24"/>
          <w:szCs w:val="24"/>
        </w:rPr>
        <w:t xml:space="preserve">ubsequent NGS of </w:t>
      </w:r>
      <w:r w:rsidR="00F04A82" w:rsidRPr="00EB2576">
        <w:rPr>
          <w:rFonts w:ascii="Times New Roman" w:hAnsi="Times New Roman" w:cs="Times New Roman"/>
          <w:sz w:val="24"/>
          <w:szCs w:val="24"/>
        </w:rPr>
        <w:t>each individual</w:t>
      </w:r>
      <w:r w:rsidR="004B2FE6" w:rsidRPr="00EB2576">
        <w:rPr>
          <w:rFonts w:ascii="Times New Roman" w:hAnsi="Times New Roman" w:cs="Times New Roman"/>
          <w:sz w:val="24"/>
          <w:szCs w:val="24"/>
        </w:rPr>
        <w:t xml:space="preserve"> select</w:t>
      </w:r>
      <w:r w:rsidR="00ED486F" w:rsidRPr="00EB2576">
        <w:rPr>
          <w:rFonts w:ascii="Times New Roman" w:hAnsi="Times New Roman" w:cs="Times New Roman"/>
          <w:sz w:val="24"/>
          <w:szCs w:val="24"/>
        </w:rPr>
        <w:t xml:space="preserve">ion </w:t>
      </w:r>
      <w:r w:rsidR="00775FB8" w:rsidRPr="00EB2576">
        <w:rPr>
          <w:rFonts w:ascii="Times New Roman" w:hAnsi="Times New Roman" w:cs="Times New Roman"/>
          <w:sz w:val="24"/>
          <w:szCs w:val="24"/>
        </w:rPr>
        <w:t xml:space="preserve">could </w:t>
      </w:r>
      <w:r w:rsidR="00F04A82" w:rsidRPr="00EB2576">
        <w:rPr>
          <w:rFonts w:ascii="Times New Roman" w:hAnsi="Times New Roman" w:cs="Times New Roman"/>
          <w:sz w:val="24"/>
          <w:szCs w:val="24"/>
        </w:rPr>
        <w:t>be</w:t>
      </w:r>
      <w:r w:rsidR="00ED486F" w:rsidRPr="00EB2576">
        <w:rPr>
          <w:rFonts w:ascii="Times New Roman" w:hAnsi="Times New Roman" w:cs="Times New Roman"/>
          <w:sz w:val="24"/>
          <w:szCs w:val="24"/>
        </w:rPr>
        <w:t xml:space="preserve"> assess</w:t>
      </w:r>
      <w:r w:rsidR="00F04A82" w:rsidRPr="00EB2576">
        <w:rPr>
          <w:rFonts w:ascii="Times New Roman" w:hAnsi="Times New Roman" w:cs="Times New Roman"/>
          <w:sz w:val="24"/>
          <w:szCs w:val="24"/>
        </w:rPr>
        <w:t>ed</w:t>
      </w:r>
      <w:r w:rsidR="00ED486F" w:rsidRPr="00EB2576">
        <w:rPr>
          <w:rFonts w:ascii="Times New Roman" w:hAnsi="Times New Roman" w:cs="Times New Roman"/>
          <w:sz w:val="24"/>
          <w:szCs w:val="24"/>
        </w:rPr>
        <w:t xml:space="preserve"> for enrichment of the selected p</w:t>
      </w:r>
      <w:r w:rsidR="00793601" w:rsidRPr="00EB2576">
        <w:rPr>
          <w:rFonts w:ascii="Times New Roman" w:hAnsi="Times New Roman" w:cs="Times New Roman"/>
          <w:sz w:val="24"/>
          <w:szCs w:val="24"/>
        </w:rPr>
        <w:t>hage clones</w:t>
      </w:r>
      <w:r w:rsidR="00BA0028" w:rsidRPr="00EB2576">
        <w:rPr>
          <w:rFonts w:ascii="Times New Roman" w:hAnsi="Times New Roman" w:cs="Times New Roman"/>
          <w:sz w:val="24"/>
          <w:szCs w:val="24"/>
        </w:rPr>
        <w:t xml:space="preserve">. </w:t>
      </w:r>
    </w:p>
    <w:p w14:paraId="6E0A0EF7" w14:textId="77777777" w:rsidR="0048487E" w:rsidRPr="00EB2576" w:rsidRDefault="0048487E" w:rsidP="00775FB8">
      <w:pPr>
        <w:pStyle w:val="Default"/>
        <w:spacing w:line="480" w:lineRule="auto"/>
        <w:rPr>
          <w:rFonts w:ascii="Times New Roman" w:hAnsi="Times New Roman" w:cs="Times New Roman"/>
          <w:color w:val="auto"/>
        </w:rPr>
      </w:pPr>
    </w:p>
    <w:bookmarkEnd w:id="285"/>
    <w:p w14:paraId="2A31785E" w14:textId="77007844" w:rsidR="0048487E" w:rsidRPr="00EB2576" w:rsidRDefault="0048487E" w:rsidP="00775FB8">
      <w:pPr>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Due to the </w:t>
      </w:r>
      <w:r w:rsidR="00D95FA9" w:rsidRPr="00EB2576">
        <w:rPr>
          <w:rFonts w:ascii="Times New Roman" w:hAnsi="Times New Roman" w:cs="Times New Roman"/>
          <w:sz w:val="24"/>
          <w:szCs w:val="24"/>
        </w:rPr>
        <w:t xml:space="preserve">use of pooled sera from patients with a range of clinical </w:t>
      </w:r>
      <w:bookmarkEnd w:id="287"/>
      <w:r w:rsidR="00D95FA9" w:rsidRPr="00EB2576">
        <w:rPr>
          <w:rFonts w:ascii="Times New Roman" w:hAnsi="Times New Roman" w:cs="Times New Roman"/>
          <w:sz w:val="24"/>
          <w:szCs w:val="24"/>
        </w:rPr>
        <w:t xml:space="preserve">outcomes and the </w:t>
      </w:r>
      <w:r w:rsidRPr="00EB2576">
        <w:rPr>
          <w:rFonts w:ascii="Times New Roman" w:hAnsi="Times New Roman" w:cs="Times New Roman"/>
          <w:sz w:val="24"/>
          <w:szCs w:val="24"/>
        </w:rPr>
        <w:t xml:space="preserve">small and distinct nature of the peptides selected, which were heavily enriched and include infliximab CDRs, we would suggest these are clinically important epitopes on infliximab. Further work on the monoclonal ELISA </w:t>
      </w:r>
      <w:r w:rsidR="0067049A" w:rsidRPr="00EB2576">
        <w:rPr>
          <w:rFonts w:ascii="Times New Roman" w:hAnsi="Times New Roman" w:cs="Times New Roman"/>
          <w:sz w:val="24"/>
          <w:szCs w:val="24"/>
        </w:rPr>
        <w:t>and NGS</w:t>
      </w:r>
      <w:r w:rsidRPr="00EB2576">
        <w:rPr>
          <w:rFonts w:ascii="Times New Roman" w:hAnsi="Times New Roman" w:cs="Times New Roman"/>
          <w:sz w:val="24"/>
          <w:szCs w:val="24"/>
        </w:rPr>
        <w:t xml:space="preserve"> </w:t>
      </w:r>
      <w:r w:rsidR="0067049A" w:rsidRPr="00EB2576">
        <w:rPr>
          <w:rFonts w:ascii="Times New Roman" w:hAnsi="Times New Roman" w:cs="Times New Roman"/>
          <w:sz w:val="24"/>
          <w:szCs w:val="24"/>
        </w:rPr>
        <w:t>would aid in</w:t>
      </w:r>
      <w:r w:rsidRPr="00EB2576">
        <w:rPr>
          <w:rFonts w:ascii="Times New Roman" w:hAnsi="Times New Roman" w:cs="Times New Roman"/>
          <w:sz w:val="24"/>
          <w:szCs w:val="24"/>
        </w:rPr>
        <w:t xml:space="preserve"> confirm</w:t>
      </w:r>
      <w:r w:rsidR="0067049A" w:rsidRPr="00EB2576">
        <w:rPr>
          <w:rFonts w:ascii="Times New Roman" w:hAnsi="Times New Roman" w:cs="Times New Roman"/>
          <w:sz w:val="24"/>
          <w:szCs w:val="24"/>
        </w:rPr>
        <w:t>ing the</w:t>
      </w:r>
      <w:r w:rsidRPr="00EB2576">
        <w:rPr>
          <w:rFonts w:ascii="Times New Roman" w:hAnsi="Times New Roman" w:cs="Times New Roman"/>
          <w:sz w:val="24"/>
          <w:szCs w:val="24"/>
        </w:rPr>
        <w:t xml:space="preserve"> specificity of the ATI positive sera to the peptides selected. </w:t>
      </w:r>
      <w:r w:rsidR="00830884" w:rsidRPr="00EB2576">
        <w:rPr>
          <w:rFonts w:ascii="Times New Roman" w:hAnsi="Times New Roman" w:cs="Times New Roman"/>
          <w:sz w:val="24"/>
          <w:szCs w:val="24"/>
        </w:rPr>
        <w:t xml:space="preserve">These epitopes could then be further screened in the </w:t>
      </w:r>
      <w:r w:rsidR="00826B36" w:rsidRPr="00EB2576">
        <w:rPr>
          <w:rFonts w:ascii="Times New Roman" w:hAnsi="Times New Roman" w:cs="Times New Roman"/>
          <w:sz w:val="24"/>
          <w:szCs w:val="24"/>
        </w:rPr>
        <w:t xml:space="preserve">future </w:t>
      </w:r>
      <w:r w:rsidR="00830884" w:rsidRPr="00EB2576">
        <w:rPr>
          <w:rFonts w:ascii="Times New Roman" w:hAnsi="Times New Roman" w:cs="Times New Roman"/>
          <w:sz w:val="24"/>
          <w:szCs w:val="24"/>
        </w:rPr>
        <w:t>against a large selection of patients’ sera to identify whether specific epitopes are associated with specific clinical outcomes.</w:t>
      </w:r>
    </w:p>
    <w:bookmarkEnd w:id="284"/>
    <w:p w14:paraId="46E375EE" w14:textId="77777777" w:rsidR="0048487E" w:rsidRPr="00EB2576" w:rsidRDefault="0048487E" w:rsidP="0048487E">
      <w:pPr>
        <w:spacing w:line="480" w:lineRule="auto"/>
        <w:rPr>
          <w:rFonts w:ascii="Times New Roman" w:hAnsi="Times New Roman" w:cs="Times New Roman"/>
          <w:sz w:val="24"/>
          <w:szCs w:val="24"/>
        </w:rPr>
      </w:pPr>
    </w:p>
    <w:p w14:paraId="04825F53" w14:textId="77777777" w:rsidR="0048487E" w:rsidRPr="00EB2576" w:rsidRDefault="0048487E" w:rsidP="0048487E">
      <w:pPr>
        <w:autoSpaceDE w:val="0"/>
        <w:autoSpaceDN w:val="0"/>
        <w:adjustRightInd w:val="0"/>
        <w:spacing w:after="0" w:line="480" w:lineRule="auto"/>
        <w:rPr>
          <w:rFonts w:ascii="Times New Roman" w:hAnsi="Times New Roman" w:cs="Times New Roman"/>
          <w:sz w:val="24"/>
          <w:szCs w:val="24"/>
        </w:rPr>
      </w:pPr>
    </w:p>
    <w:p w14:paraId="4CEF6D15"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4F6BD7B0"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253D8D26"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38FD2818"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49BFA151"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13CB94C2"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5CC4B10D"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2C6A1C06" w14:textId="77777777"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79957A8B" w14:textId="06912D36" w:rsidR="007656EC" w:rsidRPr="00EB2576" w:rsidRDefault="007656EC" w:rsidP="00B02586">
      <w:pPr>
        <w:autoSpaceDE w:val="0"/>
        <w:autoSpaceDN w:val="0"/>
        <w:adjustRightInd w:val="0"/>
        <w:spacing w:after="0" w:line="480" w:lineRule="auto"/>
        <w:rPr>
          <w:rFonts w:ascii="Times New Roman" w:hAnsi="Times New Roman" w:cs="Times New Roman"/>
          <w:sz w:val="24"/>
          <w:szCs w:val="24"/>
        </w:rPr>
      </w:pPr>
    </w:p>
    <w:p w14:paraId="6EF5D568" w14:textId="77777777" w:rsidR="000F4FFF" w:rsidRPr="00EB2576" w:rsidRDefault="000F4FFF" w:rsidP="00B02586">
      <w:pPr>
        <w:autoSpaceDE w:val="0"/>
        <w:autoSpaceDN w:val="0"/>
        <w:adjustRightInd w:val="0"/>
        <w:spacing w:after="0" w:line="480" w:lineRule="auto"/>
        <w:rPr>
          <w:rFonts w:ascii="Times New Roman" w:hAnsi="Times New Roman" w:cs="Times New Roman"/>
          <w:sz w:val="24"/>
          <w:szCs w:val="24"/>
        </w:rPr>
      </w:pPr>
    </w:p>
    <w:p w14:paraId="336D4122" w14:textId="77777777" w:rsidR="004D0A09" w:rsidRPr="00EB2576" w:rsidRDefault="004D0A09" w:rsidP="00B02586">
      <w:pPr>
        <w:autoSpaceDE w:val="0"/>
        <w:autoSpaceDN w:val="0"/>
        <w:adjustRightInd w:val="0"/>
        <w:spacing w:after="0" w:line="480" w:lineRule="auto"/>
        <w:rPr>
          <w:rFonts w:ascii="Times New Roman" w:hAnsi="Times New Roman" w:cs="Times New Roman"/>
          <w:sz w:val="24"/>
          <w:szCs w:val="24"/>
        </w:rPr>
      </w:pPr>
    </w:p>
    <w:p w14:paraId="21D74D28" w14:textId="77777777" w:rsidR="004D0A09" w:rsidRPr="00EB2576" w:rsidRDefault="004D0A09" w:rsidP="00B02586">
      <w:pPr>
        <w:autoSpaceDE w:val="0"/>
        <w:autoSpaceDN w:val="0"/>
        <w:adjustRightInd w:val="0"/>
        <w:spacing w:after="0" w:line="480" w:lineRule="auto"/>
        <w:rPr>
          <w:rFonts w:ascii="Times New Roman" w:hAnsi="Times New Roman" w:cs="Times New Roman"/>
          <w:sz w:val="24"/>
          <w:szCs w:val="24"/>
        </w:rPr>
      </w:pPr>
    </w:p>
    <w:p w14:paraId="6FAB5CD9" w14:textId="77777777" w:rsidR="00AF77DB" w:rsidRPr="00EB2576" w:rsidRDefault="00AF77DB" w:rsidP="00B02586">
      <w:pPr>
        <w:autoSpaceDE w:val="0"/>
        <w:autoSpaceDN w:val="0"/>
        <w:adjustRightInd w:val="0"/>
        <w:spacing w:after="0" w:line="480" w:lineRule="auto"/>
        <w:rPr>
          <w:rFonts w:ascii="Times New Roman" w:hAnsi="Times New Roman" w:cs="Times New Roman"/>
          <w:sz w:val="24"/>
          <w:szCs w:val="24"/>
        </w:rPr>
      </w:pPr>
    </w:p>
    <w:p w14:paraId="684A4461" w14:textId="5DCFFE67" w:rsidR="001458E0" w:rsidRPr="00EB2576" w:rsidRDefault="001458E0" w:rsidP="001458E0">
      <w:pPr>
        <w:pStyle w:val="Heading1"/>
        <w:spacing w:line="480" w:lineRule="auto"/>
        <w:rPr>
          <w:rFonts w:ascii="Times New Roman" w:hAnsi="Times New Roman" w:cs="Times New Roman"/>
          <w:sz w:val="32"/>
          <w:szCs w:val="32"/>
          <w:u w:val="single"/>
        </w:rPr>
      </w:pPr>
      <w:bookmarkStart w:id="288" w:name="_Toc151020538"/>
      <w:r w:rsidRPr="00EB2576">
        <w:rPr>
          <w:rFonts w:ascii="Times New Roman" w:hAnsi="Times New Roman" w:cs="Times New Roman"/>
          <w:sz w:val="32"/>
          <w:szCs w:val="32"/>
          <w:u w:val="single"/>
        </w:rPr>
        <w:lastRenderedPageBreak/>
        <w:t xml:space="preserve">Chapter </w:t>
      </w:r>
      <w:r w:rsidR="00712BD2" w:rsidRPr="00EB2576">
        <w:rPr>
          <w:rFonts w:ascii="Times New Roman" w:hAnsi="Times New Roman" w:cs="Times New Roman"/>
          <w:sz w:val="32"/>
          <w:szCs w:val="32"/>
          <w:u w:val="single"/>
        </w:rPr>
        <w:t>6</w:t>
      </w:r>
      <w:r w:rsidRPr="00EB2576">
        <w:rPr>
          <w:rFonts w:ascii="Times New Roman" w:hAnsi="Times New Roman" w:cs="Times New Roman"/>
          <w:sz w:val="32"/>
          <w:szCs w:val="32"/>
          <w:u w:val="single"/>
        </w:rPr>
        <w:t>: The identification of infliximab conformational epitopes using a random peptide phage display library</w:t>
      </w:r>
      <w:bookmarkEnd w:id="288"/>
      <w:r w:rsidRPr="00EB2576">
        <w:rPr>
          <w:rFonts w:ascii="Times New Roman" w:hAnsi="Times New Roman" w:cs="Times New Roman"/>
          <w:sz w:val="32"/>
          <w:szCs w:val="32"/>
          <w:u w:val="single"/>
        </w:rPr>
        <w:t xml:space="preserve"> </w:t>
      </w:r>
    </w:p>
    <w:p w14:paraId="327F6BF0" w14:textId="77777777" w:rsidR="00CA2685" w:rsidRPr="00EB2576" w:rsidRDefault="00CA2685" w:rsidP="00CA2685"/>
    <w:p w14:paraId="76D71B6E" w14:textId="614F59E7" w:rsidR="00CA2685" w:rsidRPr="00EB2576" w:rsidRDefault="00712BD2" w:rsidP="00CA2685">
      <w:pPr>
        <w:pStyle w:val="Heading2"/>
        <w:spacing w:line="480" w:lineRule="auto"/>
        <w:rPr>
          <w:rFonts w:ascii="Times New Roman" w:hAnsi="Times New Roman" w:cs="Times New Roman"/>
          <w:sz w:val="24"/>
          <w:szCs w:val="24"/>
        </w:rPr>
      </w:pPr>
      <w:bookmarkStart w:id="289" w:name="_Toc151020539"/>
      <w:r w:rsidRPr="00EB2576">
        <w:rPr>
          <w:rFonts w:ascii="Times New Roman" w:hAnsi="Times New Roman" w:cs="Times New Roman"/>
          <w:sz w:val="24"/>
          <w:szCs w:val="24"/>
        </w:rPr>
        <w:t>6</w:t>
      </w:r>
      <w:r w:rsidR="00CA2685" w:rsidRPr="00EB2576">
        <w:rPr>
          <w:rFonts w:ascii="Times New Roman" w:hAnsi="Times New Roman" w:cs="Times New Roman"/>
          <w:sz w:val="24"/>
          <w:szCs w:val="24"/>
        </w:rPr>
        <w:t>.1 Introduction</w:t>
      </w:r>
      <w:bookmarkEnd w:id="289"/>
    </w:p>
    <w:p w14:paraId="4EB191B6" w14:textId="5181E676" w:rsidR="00A103CE" w:rsidRPr="00EB2576" w:rsidRDefault="00A507F0" w:rsidP="00B803D8">
      <w:pPr>
        <w:pStyle w:val="Default"/>
        <w:spacing w:line="480" w:lineRule="auto"/>
        <w:jc w:val="both"/>
        <w:rPr>
          <w:rFonts w:ascii="Times New Roman" w:hAnsi="Times New Roman" w:cs="Times New Roman"/>
          <w:color w:val="auto"/>
        </w:rPr>
      </w:pPr>
      <w:r w:rsidRPr="00EB2576">
        <w:rPr>
          <w:rFonts w:ascii="Times New Roman" w:hAnsi="Times New Roman" w:cs="Times New Roman"/>
          <w:color w:val="auto"/>
        </w:rPr>
        <w:t>D</w:t>
      </w:r>
      <w:r w:rsidR="00392CEB" w:rsidRPr="00EB2576">
        <w:rPr>
          <w:rFonts w:ascii="Times New Roman" w:hAnsi="Times New Roman" w:cs="Times New Roman"/>
          <w:color w:val="auto"/>
        </w:rPr>
        <w:t>iffer</w:t>
      </w:r>
      <w:r w:rsidR="00CE70CD" w:rsidRPr="00EB2576">
        <w:rPr>
          <w:rFonts w:ascii="Times New Roman" w:hAnsi="Times New Roman" w:cs="Times New Roman"/>
          <w:color w:val="auto"/>
        </w:rPr>
        <w:t>ing</w:t>
      </w:r>
      <w:r w:rsidR="00392CEB" w:rsidRPr="00EB2576">
        <w:rPr>
          <w:rFonts w:ascii="Times New Roman" w:hAnsi="Times New Roman" w:cs="Times New Roman"/>
          <w:color w:val="auto"/>
        </w:rPr>
        <w:t xml:space="preserve"> </w:t>
      </w:r>
      <w:r w:rsidR="006644BC" w:rsidRPr="00EB2576">
        <w:rPr>
          <w:rFonts w:ascii="Times New Roman" w:hAnsi="Times New Roman" w:cs="Times New Roman"/>
          <w:color w:val="auto"/>
        </w:rPr>
        <w:t>adverse c</w:t>
      </w:r>
      <w:r w:rsidR="00CA2685" w:rsidRPr="00EB2576">
        <w:rPr>
          <w:rFonts w:ascii="Times New Roman" w:hAnsi="Times New Roman" w:cs="Times New Roman"/>
          <w:color w:val="auto"/>
        </w:rPr>
        <w:t xml:space="preserve">linical outcomes </w:t>
      </w:r>
      <w:r w:rsidR="00392CEB" w:rsidRPr="00EB2576">
        <w:rPr>
          <w:rFonts w:ascii="Times New Roman" w:hAnsi="Times New Roman" w:cs="Times New Roman"/>
          <w:color w:val="auto"/>
        </w:rPr>
        <w:t>seen</w:t>
      </w:r>
      <w:r w:rsidR="000E6C55" w:rsidRPr="00EB2576">
        <w:rPr>
          <w:rFonts w:ascii="Times New Roman" w:hAnsi="Times New Roman" w:cs="Times New Roman"/>
          <w:color w:val="auto"/>
        </w:rPr>
        <w:t xml:space="preserve"> </w:t>
      </w:r>
      <w:r w:rsidR="00C13BFB" w:rsidRPr="00EB2576">
        <w:rPr>
          <w:rFonts w:ascii="Times New Roman" w:hAnsi="Times New Roman" w:cs="Times New Roman"/>
          <w:color w:val="auto"/>
        </w:rPr>
        <w:t>in IBD patients with</w:t>
      </w:r>
      <w:r w:rsidR="00CA2685" w:rsidRPr="00EB2576">
        <w:rPr>
          <w:rFonts w:ascii="Times New Roman" w:hAnsi="Times New Roman" w:cs="Times New Roman"/>
          <w:color w:val="auto"/>
        </w:rPr>
        <w:t xml:space="preserve"> ATI could be </w:t>
      </w:r>
      <w:r w:rsidR="006644BC" w:rsidRPr="00EB2576">
        <w:rPr>
          <w:rFonts w:ascii="Times New Roman" w:hAnsi="Times New Roman" w:cs="Times New Roman"/>
          <w:color w:val="auto"/>
        </w:rPr>
        <w:t xml:space="preserve">partly </w:t>
      </w:r>
      <w:r w:rsidR="00CA2685" w:rsidRPr="00EB2576">
        <w:rPr>
          <w:rFonts w:ascii="Times New Roman" w:hAnsi="Times New Roman" w:cs="Times New Roman"/>
          <w:color w:val="auto"/>
        </w:rPr>
        <w:t xml:space="preserve">explained by the presence of different ATI binding to </w:t>
      </w:r>
      <w:r w:rsidR="00FB2BF7" w:rsidRPr="00EB2576">
        <w:rPr>
          <w:rFonts w:ascii="Times New Roman" w:hAnsi="Times New Roman" w:cs="Times New Roman"/>
          <w:color w:val="auto"/>
        </w:rPr>
        <w:t xml:space="preserve">different </w:t>
      </w:r>
      <w:r w:rsidR="00CA2685" w:rsidRPr="00EB2576">
        <w:rPr>
          <w:rFonts w:ascii="Times New Roman" w:hAnsi="Times New Roman" w:cs="Times New Roman"/>
          <w:color w:val="auto"/>
        </w:rPr>
        <w:t>epitopes</w:t>
      </w:r>
      <w:r w:rsidR="000E6C55" w:rsidRPr="00EB2576">
        <w:rPr>
          <w:rFonts w:ascii="Times New Roman" w:hAnsi="Times New Roman" w:cs="Times New Roman"/>
          <w:color w:val="auto"/>
        </w:rPr>
        <w:t xml:space="preserve"> on the infliximab </w:t>
      </w:r>
      <w:r w:rsidR="00CE70CD" w:rsidRPr="00EB2576">
        <w:rPr>
          <w:rFonts w:ascii="Times New Roman" w:hAnsi="Times New Roman" w:cs="Times New Roman"/>
          <w:color w:val="auto"/>
        </w:rPr>
        <w:t>molecule</w:t>
      </w:r>
      <w:r w:rsidR="00CA2685" w:rsidRPr="00EB2576">
        <w:rPr>
          <w:rFonts w:ascii="Times New Roman" w:hAnsi="Times New Roman" w:cs="Times New Roman"/>
          <w:color w:val="auto"/>
        </w:rPr>
        <w:t xml:space="preserve">. </w:t>
      </w:r>
      <w:r w:rsidR="00A54016" w:rsidRPr="00EB2576">
        <w:rPr>
          <w:rFonts w:ascii="Times New Roman" w:hAnsi="Times New Roman" w:cs="Times New Roman"/>
          <w:color w:val="auto"/>
        </w:rPr>
        <w:t>Chapter 6 has focused on the selection of</w:t>
      </w:r>
      <w:r w:rsidR="003D6E95" w:rsidRPr="00EB2576">
        <w:rPr>
          <w:rFonts w:ascii="Times New Roman" w:hAnsi="Times New Roman" w:cs="Times New Roman"/>
          <w:color w:val="auto"/>
        </w:rPr>
        <w:t xml:space="preserve"> </w:t>
      </w:r>
      <w:r w:rsidR="00C13BFB" w:rsidRPr="00EB2576">
        <w:rPr>
          <w:rFonts w:ascii="Times New Roman" w:hAnsi="Times New Roman" w:cs="Times New Roman"/>
          <w:color w:val="auto"/>
        </w:rPr>
        <w:t>linear epitopes from</w:t>
      </w:r>
      <w:r w:rsidR="00A54016" w:rsidRPr="00EB2576">
        <w:rPr>
          <w:rFonts w:ascii="Times New Roman" w:hAnsi="Times New Roman" w:cs="Times New Roman"/>
          <w:color w:val="auto"/>
        </w:rPr>
        <w:t xml:space="preserve"> </w:t>
      </w:r>
      <w:r w:rsidR="00BB2659" w:rsidRPr="00EB2576">
        <w:rPr>
          <w:rFonts w:ascii="Times New Roman" w:hAnsi="Times New Roman" w:cs="Times New Roman"/>
          <w:color w:val="auto"/>
        </w:rPr>
        <w:t xml:space="preserve">an </w:t>
      </w:r>
      <w:r w:rsidR="00A54016" w:rsidRPr="00EB2576">
        <w:rPr>
          <w:rFonts w:ascii="Times New Roman" w:hAnsi="Times New Roman" w:cs="Times New Roman"/>
          <w:color w:val="auto"/>
        </w:rPr>
        <w:t xml:space="preserve">infliximab whole </w:t>
      </w:r>
      <w:r w:rsidR="00CE70CD" w:rsidRPr="00EB2576">
        <w:rPr>
          <w:rFonts w:ascii="Times New Roman" w:hAnsi="Times New Roman" w:cs="Times New Roman"/>
          <w:color w:val="auto"/>
        </w:rPr>
        <w:t>GFL</w:t>
      </w:r>
      <w:r w:rsidR="00F15B51" w:rsidRPr="00EB2576">
        <w:rPr>
          <w:rFonts w:ascii="Times New Roman" w:hAnsi="Times New Roman" w:cs="Times New Roman"/>
          <w:color w:val="auto"/>
        </w:rPr>
        <w:t>, with s</w:t>
      </w:r>
      <w:r w:rsidR="00364AA7" w:rsidRPr="00EB2576">
        <w:rPr>
          <w:rFonts w:ascii="Times New Roman" w:hAnsi="Times New Roman" w:cs="Times New Roman"/>
          <w:color w:val="auto"/>
        </w:rPr>
        <w:t>elective</w:t>
      </w:r>
      <w:r w:rsidR="00F15B51" w:rsidRPr="00EB2576">
        <w:rPr>
          <w:rFonts w:ascii="Times New Roman" w:hAnsi="Times New Roman" w:cs="Times New Roman"/>
          <w:color w:val="auto"/>
        </w:rPr>
        <w:t xml:space="preserve"> enrichment of </w:t>
      </w:r>
      <w:r w:rsidR="00B13E06" w:rsidRPr="00EB2576">
        <w:rPr>
          <w:rFonts w:ascii="Times New Roman" w:hAnsi="Times New Roman" w:cs="Times New Roman"/>
          <w:color w:val="auto"/>
        </w:rPr>
        <w:t xml:space="preserve">three distinct </w:t>
      </w:r>
      <w:r w:rsidR="00F15B51" w:rsidRPr="00EB2576">
        <w:rPr>
          <w:rFonts w:ascii="Times New Roman" w:hAnsi="Times New Roman" w:cs="Times New Roman"/>
          <w:color w:val="auto"/>
        </w:rPr>
        <w:t>peptides</w:t>
      </w:r>
      <w:r w:rsidR="00B13E06" w:rsidRPr="00EB2576">
        <w:rPr>
          <w:rFonts w:ascii="Times New Roman" w:hAnsi="Times New Roman" w:cs="Times New Roman"/>
          <w:color w:val="auto"/>
        </w:rPr>
        <w:t xml:space="preserve"> which include </w:t>
      </w:r>
      <w:proofErr w:type="spellStart"/>
      <w:r w:rsidR="00B13E06" w:rsidRPr="00EB2576">
        <w:rPr>
          <w:rFonts w:ascii="Times New Roman" w:hAnsi="Times New Roman" w:cs="Times New Roman"/>
          <w:color w:val="auto"/>
        </w:rPr>
        <w:t>CDRs</w:t>
      </w:r>
      <w:r w:rsidR="003376F0" w:rsidRPr="00EB2576">
        <w:rPr>
          <w:rFonts w:ascii="Times New Roman" w:hAnsi="Times New Roman" w:cs="Times New Roman"/>
          <w:color w:val="auto"/>
        </w:rPr>
        <w:t>.</w:t>
      </w:r>
      <w:proofErr w:type="spellEnd"/>
      <w:r w:rsidR="003376F0" w:rsidRPr="00EB2576">
        <w:rPr>
          <w:rFonts w:ascii="Times New Roman" w:hAnsi="Times New Roman" w:cs="Times New Roman"/>
          <w:color w:val="auto"/>
        </w:rPr>
        <w:t xml:space="preserve"> </w:t>
      </w:r>
      <w:r w:rsidR="003A3B4F" w:rsidRPr="00EB2576">
        <w:rPr>
          <w:rFonts w:ascii="Times New Roman" w:hAnsi="Times New Roman" w:cs="Times New Roman"/>
          <w:color w:val="auto"/>
        </w:rPr>
        <w:t xml:space="preserve">However, </w:t>
      </w:r>
      <w:r w:rsidR="00531BD9" w:rsidRPr="00EB2576">
        <w:rPr>
          <w:rFonts w:ascii="Times New Roman" w:hAnsi="Times New Roman" w:cs="Times New Roman"/>
          <w:color w:val="auto"/>
        </w:rPr>
        <w:t xml:space="preserve">the majority, ~ 90% of  B cell epitopes on native antigens are conformational </w:t>
      </w:r>
      <w:r w:rsidR="00531BD9" w:rsidRPr="00EB2576">
        <w:rPr>
          <w:rFonts w:ascii="Times New Roman" w:hAnsi="Times New Roman" w:cs="Times New Roman"/>
          <w:color w:val="auto"/>
        </w:rPr>
        <w:fldChar w:fldCharType="begin" w:fldLock="1"/>
      </w:r>
      <w:r w:rsidR="009577AC" w:rsidRPr="00EB2576">
        <w:rPr>
          <w:rFonts w:ascii="Times New Roman" w:hAnsi="Times New Roman" w:cs="Times New Roman"/>
          <w:color w:val="auto"/>
        </w:rPr>
        <w:instrText>ADDIN CSL_CITATION {"citationItems":[{"id":"ITEM-1","itemData":{"DOI":"10.1016/j.molimm.2019.09.014","ISSN":"01615890","PMID":"31546099","abstract":"Peptide vaccines have many potential advantages over conventional ones including low cost, lack of need for cold-chain storage, safety and specificity. However, it is well known that approximately 90% of B-cell epitopes (BCEs) are discontinuous in nature making it difficult to mimic them for creating vaccines. In this study, the degree of discontinuity in B-cell epitopes and their conformational nature is examined. The discontinuity of B-cell epitopes is analyzed by defining 'regions' (consisting of at least three antibody-contacting residues each separated by ≤3 residues) and small fragments (antibody-contacting residues that do not satisfy the requirements for a region). Secondly, an algorithm has been developed that classifies each region's shape as straight, curved or folded on the basis that straight and folded regions are more likely to retain their native conformation as isolated peptides. We have investigated the structures of 488 B-cell epitopes from which 1282 regions and 1018 fragments have been identified. 90% of epitopes have five or fewer regions and five or fewer fragments with 14% containing only one region and 4% being truly linear (i.e. having one region and no fragments). Of the 1282 regions, 508 are straight in shape, 626 are curved and 148 are folded.","author":[{"dropping-particle":"","family":"Ferdous","given":"Saba","non-dropping-particle":"","parse-names":false,"suffix":""},{"dropping-particle":"","family":"Kelm","given":"Sebastian","non-dropping-particle":"","parse-names":false,"suffix":""},{"dropping-particle":"","family":"Baker","given":"Terry S","non-dropping-particle":"","parse-names":false,"suffix":""},{"dropping-particle":"","family":"Shi","given":"Jiye","non-dropping-particle":"","parse-names":false,"suffix":""},{"dropping-particle":"","family":"Martin","given":"Andrew C.R.","non-dropping-particle":"","parse-names":false,"suffix":""}],"container-title":"Molecular Immunology","id":"ITEM-1","issued":{"date-parts":[["2019","10"]]},"page":"643-650","title":"B-cell epitopes: Discontinuity and conformational analysis","type":"article-journal","volume":"114"},"uris":["http://www.mendeley.com/documents/?uuid=d1ffac3b-ce19-48ea-8b45-1b5da2d528e3"]}],"mendeley":{"formattedCitation":"&lt;sup&gt;197&lt;/sup&gt;","plainTextFormattedCitation":"197","previouslyFormattedCitation":"&lt;sup&gt;197&lt;/sup&gt;"},"properties":{"noteIndex":0},"schema":"https://github.com/citation-style-language/schema/raw/master/csl-citation.json"}</w:instrText>
      </w:r>
      <w:r w:rsidR="00531BD9" w:rsidRPr="00EB2576">
        <w:rPr>
          <w:rFonts w:ascii="Times New Roman" w:hAnsi="Times New Roman" w:cs="Times New Roman"/>
          <w:color w:val="auto"/>
        </w:rPr>
        <w:fldChar w:fldCharType="separate"/>
      </w:r>
      <w:r w:rsidR="00201474" w:rsidRPr="00EB2576">
        <w:rPr>
          <w:rFonts w:ascii="Times New Roman" w:hAnsi="Times New Roman" w:cs="Times New Roman"/>
          <w:noProof/>
          <w:color w:val="auto"/>
          <w:vertAlign w:val="superscript"/>
        </w:rPr>
        <w:t>197</w:t>
      </w:r>
      <w:r w:rsidR="00531BD9" w:rsidRPr="00EB2576">
        <w:rPr>
          <w:rFonts w:ascii="Times New Roman" w:hAnsi="Times New Roman" w:cs="Times New Roman"/>
          <w:color w:val="auto"/>
        </w:rPr>
        <w:fldChar w:fldCharType="end"/>
      </w:r>
      <w:r w:rsidR="00920A59" w:rsidRPr="00EB2576">
        <w:rPr>
          <w:rFonts w:ascii="Times New Roman" w:hAnsi="Times New Roman" w:cs="Times New Roman"/>
          <w:color w:val="auto"/>
        </w:rPr>
        <w:t>. I</w:t>
      </w:r>
      <w:r w:rsidR="003376F0" w:rsidRPr="00EB2576">
        <w:rPr>
          <w:rFonts w:ascii="Times New Roman" w:hAnsi="Times New Roman" w:cs="Times New Roman"/>
          <w:color w:val="auto"/>
        </w:rPr>
        <w:t xml:space="preserve">t is possible that epitopes </w:t>
      </w:r>
      <w:r w:rsidR="00920A59" w:rsidRPr="00EB2576">
        <w:rPr>
          <w:rFonts w:ascii="Times New Roman" w:hAnsi="Times New Roman" w:cs="Times New Roman"/>
          <w:color w:val="auto"/>
        </w:rPr>
        <w:t>on therapeutic monoclonal antibodies, such as infliximab,</w:t>
      </w:r>
      <w:r w:rsidR="003376F0" w:rsidRPr="00EB2576">
        <w:rPr>
          <w:rFonts w:ascii="Times New Roman" w:hAnsi="Times New Roman" w:cs="Times New Roman"/>
          <w:color w:val="auto"/>
        </w:rPr>
        <w:t xml:space="preserve"> are also conformational </w:t>
      </w:r>
      <w:r w:rsidR="003376F0" w:rsidRPr="00EB2576">
        <w:rPr>
          <w:rFonts w:ascii="Times New Roman" w:hAnsi="Times New Roman" w:cs="Times New Roman"/>
          <w:color w:val="auto"/>
        </w:rPr>
        <w:fldChar w:fldCharType="begin" w:fldLock="1"/>
      </w:r>
      <w:r w:rsidR="00DD0F87" w:rsidRPr="00EB2576">
        <w:rPr>
          <w:rFonts w:ascii="Times New Roman" w:hAnsi="Times New Roman" w:cs="Times New Roman"/>
          <w:color w:val="auto"/>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mendeley":{"formattedCitation":"&lt;sup&gt;146&lt;/sup&gt;","plainTextFormattedCitation":"146","previouslyFormattedCitation":"&lt;sup&gt;146&lt;/sup&gt;"},"properties":{"noteIndex":0},"schema":"https://github.com/citation-style-language/schema/raw/master/csl-citation.json"}</w:instrText>
      </w:r>
      <w:r w:rsidR="003376F0" w:rsidRPr="00EB2576">
        <w:rPr>
          <w:rFonts w:ascii="Times New Roman" w:hAnsi="Times New Roman" w:cs="Times New Roman"/>
          <w:color w:val="auto"/>
        </w:rPr>
        <w:fldChar w:fldCharType="separate"/>
      </w:r>
      <w:r w:rsidR="00A00D49" w:rsidRPr="00EB2576">
        <w:rPr>
          <w:rFonts w:ascii="Times New Roman" w:hAnsi="Times New Roman" w:cs="Times New Roman"/>
          <w:noProof/>
          <w:color w:val="auto"/>
          <w:vertAlign w:val="superscript"/>
        </w:rPr>
        <w:t>146</w:t>
      </w:r>
      <w:r w:rsidR="003376F0" w:rsidRPr="00EB2576">
        <w:rPr>
          <w:rFonts w:ascii="Times New Roman" w:hAnsi="Times New Roman" w:cs="Times New Roman"/>
          <w:color w:val="auto"/>
        </w:rPr>
        <w:fldChar w:fldCharType="end"/>
      </w:r>
      <w:r w:rsidR="003376F0" w:rsidRPr="00EB2576">
        <w:rPr>
          <w:rFonts w:ascii="Times New Roman" w:hAnsi="Times New Roman" w:cs="Times New Roman"/>
          <w:color w:val="auto"/>
        </w:rPr>
        <w:t xml:space="preserve">. </w:t>
      </w:r>
    </w:p>
    <w:p w14:paraId="7D60C9FA" w14:textId="77777777" w:rsidR="00A103CE" w:rsidRPr="00EB2576" w:rsidRDefault="00A103CE" w:rsidP="00B803D8">
      <w:pPr>
        <w:pStyle w:val="Default"/>
        <w:spacing w:line="480" w:lineRule="auto"/>
        <w:jc w:val="both"/>
        <w:rPr>
          <w:rFonts w:ascii="Times New Roman" w:hAnsi="Times New Roman" w:cs="Times New Roman"/>
          <w:color w:val="auto"/>
        </w:rPr>
      </w:pPr>
    </w:p>
    <w:p w14:paraId="4CFB55D7" w14:textId="108D2461" w:rsidR="00A103CE" w:rsidRPr="00EB2576" w:rsidRDefault="00A103CE" w:rsidP="00B803D8">
      <w:pPr>
        <w:autoSpaceDE w:val="0"/>
        <w:autoSpaceDN w:val="0"/>
        <w:adjustRightInd w:val="0"/>
        <w:spacing w:after="0" w:line="480" w:lineRule="auto"/>
        <w:rPr>
          <w:rFonts w:ascii="Times New Roman" w:hAnsi="Times New Roman" w:cs="Times New Roman"/>
          <w:sz w:val="24"/>
          <w:szCs w:val="24"/>
        </w:rPr>
      </w:pPr>
      <w:r w:rsidRPr="00EB2576">
        <w:rPr>
          <w:rFonts w:ascii="Times New Roman" w:hAnsi="Times New Roman" w:cs="Times New Roman"/>
          <w:sz w:val="24"/>
          <w:szCs w:val="24"/>
        </w:rPr>
        <w:t xml:space="preserve">The discontinuous nature of conformational epitopes has made their identification challenging as alignment of the epitope onto the antigen is difficult as structural knowledge of the whole antigen and the antibody-antigen interaction is required. </w:t>
      </w:r>
      <w:r w:rsidRPr="00EB2576">
        <w:rPr>
          <w:rFonts w:ascii="Times New Roman" w:hAnsi="Times New Roman" w:cs="Times New Roman"/>
          <w:kern w:val="24"/>
          <w:sz w:val="24"/>
          <w:szCs w:val="24"/>
          <w:lang w:eastAsia="en-GB"/>
        </w:rPr>
        <w:t>Current identification is based on assessment of solvent exposed residues (amino acids on the surface of the antigen), amino acid composition and statistics</w:t>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lang w:eastAsia="en-GB"/>
        </w:rPr>
        <w:t>spatial information of the antigen (the 3D structure of the antigen)</w:t>
      </w:r>
      <w:r w:rsidRPr="00EB2576">
        <w:rPr>
          <w:rFonts w:ascii="Times New Roman" w:hAnsi="Times New Roman" w:cs="Times New Roman"/>
          <w:sz w:val="24"/>
          <w:szCs w:val="24"/>
        </w:rPr>
        <w:t xml:space="preserve">, data of the </w:t>
      </w:r>
      <w:r w:rsidRPr="00EB2576">
        <w:rPr>
          <w:rFonts w:ascii="Times New Roman" w:hAnsi="Times New Roman" w:cs="Times New Roman"/>
          <w:kern w:val="24"/>
          <w:sz w:val="24"/>
          <w:szCs w:val="24"/>
          <w:lang w:eastAsia="en-GB"/>
        </w:rPr>
        <w:t xml:space="preserve">antigen-antibody interaction and mimotope based methods </w:t>
      </w:r>
      <w:r w:rsidRPr="00EB2576">
        <w:rPr>
          <w:rFonts w:ascii="Times New Roman" w:hAnsi="Times New Roman" w:cs="Times New Roman"/>
          <w:kern w:val="24"/>
          <w:sz w:val="24"/>
          <w:szCs w:val="24"/>
          <w:lang w:eastAsia="en-GB"/>
        </w:rPr>
        <w:fldChar w:fldCharType="begin" w:fldLock="1"/>
      </w:r>
      <w:r w:rsidR="009577AC" w:rsidRPr="00EB2576">
        <w:rPr>
          <w:rFonts w:ascii="Times New Roman" w:hAnsi="Times New Roman" w:cs="Times New Roman"/>
          <w:kern w:val="24"/>
          <w:sz w:val="24"/>
          <w:szCs w:val="24"/>
          <w:lang w:eastAsia="en-GB"/>
        </w:rPr>
        <w:instrText>ADDIN CSL_CITATION {"citationItems":[{"id":"ITEM-1","itemData":{"DOI":"10.1016/j.molimm.2019.09.014","ISSN":"01615890","PMID":"31546099","abstract":"Peptide vaccines have many potential advantages over conventional ones including low cost, lack of need for cold-chain storage, safety and specificity. However, it is well known that approximately 90% of B-cell epitopes (BCEs) are discontinuous in nature making it difficult to mimic them for creating vaccines. In this study, the degree of discontinuity in B-cell epitopes and their conformational nature is examined. The discontinuity of B-cell epitopes is analyzed by defining 'regions' (consisting of at least three antibody-contacting residues each separated by ≤3 residues) and small fragments (antibody-contacting residues that do not satisfy the requirements for a region). Secondly, an algorithm has been developed that classifies each region's shape as straight, curved or folded on the basis that straight and folded regions are more likely to retain their native conformation as isolated peptides. We have investigated the structures of 488 B-cell epitopes from which 1282 regions and 1018 fragments have been identified. 90% of epitopes have five or fewer regions and five or fewer fragments with 14% containing only one region and 4% being truly linear (i.e. having one region and no fragments). Of the 1282 regions, 508 are straight in shape, 626 are curved and 148 are folded.","author":[{"dropping-particle":"","family":"Ferdous","given":"Saba","non-dropping-particle":"","parse-names":false,"suffix":""},{"dropping-particle":"","family":"Kelm","given":"Sebastian","non-dropping-particle":"","parse-names":false,"suffix":""},{"dropping-particle":"","family":"Baker","given":"Terry S","non-dropping-particle":"","parse-names":false,"suffix":""},{"dropping-particle":"","family":"Shi","given":"Jiye","non-dropping-particle":"","parse-names":false,"suffix":""},{"dropping-particle":"","family":"Martin","given":"Andrew C.R.","non-dropping-particle":"","parse-names":false,"suffix":""}],"container-title":"Molecular Immunology","id":"ITEM-1","issued":{"date-parts":[["2019","10"]]},"page":"643-650","title":"B-cell epitopes: Discontinuity and conformational analysis","type":"article-journal","volume":"114"},"uris":["http://www.mendeley.com/documents/?uuid=d1ffac3b-ce19-48ea-8b45-1b5da2d528e3"]}],"mendeley":{"formattedCitation":"&lt;sup&gt;197&lt;/sup&gt;","plainTextFormattedCitation":"197","previouslyFormattedCitation":"&lt;sup&gt;197&lt;/sup&gt;"},"properties":{"noteIndex":0},"schema":"https://github.com/citation-style-language/schema/raw/master/csl-citation.json"}</w:instrText>
      </w:r>
      <w:r w:rsidRPr="00EB2576">
        <w:rPr>
          <w:rFonts w:ascii="Times New Roman" w:hAnsi="Times New Roman" w:cs="Times New Roman"/>
          <w:kern w:val="24"/>
          <w:sz w:val="24"/>
          <w:szCs w:val="24"/>
          <w:lang w:eastAsia="en-GB"/>
        </w:rPr>
        <w:fldChar w:fldCharType="separate"/>
      </w:r>
      <w:r w:rsidR="00201474" w:rsidRPr="00EB2576">
        <w:rPr>
          <w:rFonts w:ascii="Times New Roman" w:hAnsi="Times New Roman" w:cs="Times New Roman"/>
          <w:noProof/>
          <w:kern w:val="24"/>
          <w:sz w:val="24"/>
          <w:szCs w:val="24"/>
          <w:vertAlign w:val="superscript"/>
          <w:lang w:eastAsia="en-GB"/>
        </w:rPr>
        <w:t>197</w:t>
      </w:r>
      <w:r w:rsidRPr="00EB2576">
        <w:rPr>
          <w:rFonts w:ascii="Times New Roman" w:hAnsi="Times New Roman" w:cs="Times New Roman"/>
          <w:kern w:val="24"/>
          <w:sz w:val="24"/>
          <w:szCs w:val="24"/>
          <w:lang w:eastAsia="en-GB"/>
        </w:rPr>
        <w:fldChar w:fldCharType="end"/>
      </w:r>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rPr>
        <w:t xml:space="preserve">The latter method uses </w:t>
      </w:r>
      <w:r w:rsidRPr="00EB2576">
        <w:rPr>
          <w:rFonts w:ascii="Times New Roman" w:hAnsi="Times New Roman" w:cs="Times New Roman"/>
          <w:sz w:val="24"/>
          <w:szCs w:val="24"/>
          <w:shd w:val="clear" w:color="auto" w:fill="FFFFFF"/>
        </w:rPr>
        <w:t xml:space="preserve">random peptide libraries, large diverse commercial phage display libraries of peptides which can be screened to identify protein-protein interactions </w:t>
      </w:r>
      <w:r w:rsidRPr="00EB2576">
        <w:rPr>
          <w:rFonts w:ascii="Times New Roman" w:hAnsi="Times New Roman" w:cs="Times New Roman"/>
          <w:sz w:val="24"/>
          <w:szCs w:val="24"/>
          <w:shd w:val="clear" w:color="auto" w:fill="FFFFFF"/>
        </w:rPr>
        <w:fldChar w:fldCharType="begin" w:fldLock="1"/>
      </w:r>
      <w:r w:rsidR="009577AC" w:rsidRPr="00EB2576">
        <w:rPr>
          <w:rFonts w:ascii="Times New Roman" w:hAnsi="Times New Roman" w:cs="Times New Roman"/>
          <w:sz w:val="24"/>
          <w:szCs w:val="24"/>
          <w:shd w:val="clear" w:color="auto" w:fill="FFFFFF"/>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DOI":"10.1086/422753","ISSN":"0022-1899","author":[{"dropping-particle":"","family":"Liu","given":"I‐Ju","non-dropping-particle":"","parse-names":false,"suffix":""},{"dropping-particle":"","family":"Hsueh","given":"Po‐Ren","non-dropping-particle":"","parse-names":false,"suffix":""},{"dropping-particle":"","family":"Lin","given":"Chin‐Tarng","non-dropping-particle":"","parse-names":false,"suffix":""},{"dropping-particle":"","family":"Chiu","given":"Chien‐Yu","non-dropping-particle":"","parse-names":false,"suffix":""},{"dropping-particle":"","family":"Kao","given":"Chuan‐Liang","non-dropping-particle":"","parse-names":false,"suffix":""},{"dropping-particle":"","family":"Liao","given":"Mei‐Ying","non-dropping-particle":"","parse-names":false,"suffix":""},{"dropping-particle":"","family":"Wu","given":"Han‐Chung","non-dropping-particle":"","parse-names":false,"suffix":""}],"container-title":"The Journal of Infectious Diseases","id":"ITEM-2","issue":"4","issued":{"date-parts":[["2004","8","15"]]},"page":"797-809","title":"Disease‐Specific B Cell Epitopes for Serum Antibodies from Patients with Severe Acute Respiratory Syndrome (SARS) and Serologic Detection of SARS Antibodies by Epitope‐Based Peptide Antigens","type":"article-journal","volume":"190"},"uris":["http://www.mendeley.com/documents/?uuid=d631fd1e-35e2-440a-84a1-e6c06ad287c4"]},{"id":"ITEM-3","itemData":{"DOI":"10.1016/j.diagmicrobio.2016.11.012","ISSN":"18790070","PMID":"27939286","abstract":"Serological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Disease","id":"ITEM-3","issue":"3","issued":{"date-parts":[["2017"]]},"page":"219-225","publisher":"Elsevier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leishmaniasis","type":"article-journal","volume":"87"},"uris":["http://www.mendeley.com/documents/?uuid=69bd1f19-ae2b-4b14-a00f-db3521e41881"]},{"id":"ITEM-4","itemData":{"DOI":"10.1155/2013/983829","ISSN":"1748-670X","abstract":"Metuximab is the generic name of Licartin, a new drug for radioimmunotherapy of hepatocellular carcinoma. Although it is known to be a mouse monoclonal antibody against CD147, the complete epitope mediating the binding of metuximab to CD147 remains unknown. We panned the Ph.D.-12 phage display peptide library against metuximab and got six mimotopes. The following bioinformatics analysis based on mimotopes suggested that metuximab recognizes a conformational epitope composed of more than 20 residues. The residues of its epitope may include T28, V30, K36, L38, K57, F74, D77, S78, D79, D80, Q81, G83, S86, N98, Q100, L101, H102, G103, P104, V131, P132, and K191. The homology modeling of metuximab and the docking of CD147 to metuximab were also performed. Based on the top one docking model, the epitope was predicted to contain 28 residues: AGTVFTTV (23–30), I37, D45, E84, V88, EPMGTANIQLH (92–102), VPP (131–133), Q164, and K191. Almost half of the residues predicted on the basis of mimotope analysis also appear in the docking result, indicating that both results are reliable. As the predicted epitopes of metuximab largely overlap with interfaces of CD147-CD147 interactions, a structural mechanism of metuximab is proposed as blocking the formation of CD147 dimer.","author":[{"dropping-particle":"","family":"He","given":"Bifang","non-dropping-particle":"","parse-names":false,"suffix":""},{"dropping-particle":"","family":"Mao","given":"Canquan","non-dropping-particle":"","parse-names":false,"suffix":""},{"dropping-particle":"","family":"Ru","given":"Beibei","non-dropping-particle":"","parse-names":false,"suffix":""},{"dropping-particle":"","family":"Han","given":"Hesong","non-dropping-particle":"","parse-names":false,"suffix":""},{"dropping-particle":"","family":"Zhou","given":"Peng","non-dropping-particle":"","parse-names":false,"suffix":""},{"dropping-particle":"","family":"Huang","given":"Jian","non-dropping-particle":"","parse-names":false,"suffix":""}],"container-title":"Computational and Mathematical Methods in Medicine","id":"ITEM-4","issued":{"date-parts":[["2013"]]},"page":"1-6","title":"Epitope Mapping of Metuximab on CD147 Using Phage Display and Molecular Docking","type":"article-journal","volume":"2013"},"uris":["http://www.mendeley.com/documents/?uuid=70149f9e-f708-487a-b5d1-c7faada39b38"]}],"mendeley":{"formattedCitation":"&lt;sup&gt;105,158,198,199&lt;/sup&gt;","plainTextFormattedCitation":"105,158,198,199","previouslyFormattedCitation":"&lt;sup&gt;105,158,198,199&lt;/sup&gt;"},"properties":{"noteIndex":0},"schema":"https://github.com/citation-style-language/schema/raw/master/csl-citation.json"}</w:instrText>
      </w:r>
      <w:r w:rsidRPr="00EB2576">
        <w:rPr>
          <w:rFonts w:ascii="Times New Roman" w:hAnsi="Times New Roman" w:cs="Times New Roman"/>
          <w:sz w:val="24"/>
          <w:szCs w:val="24"/>
          <w:shd w:val="clear" w:color="auto" w:fill="FFFFFF"/>
        </w:rPr>
        <w:fldChar w:fldCharType="separate"/>
      </w:r>
      <w:r w:rsidR="00201474" w:rsidRPr="00EB2576">
        <w:rPr>
          <w:rFonts w:ascii="Times New Roman" w:hAnsi="Times New Roman" w:cs="Times New Roman"/>
          <w:noProof/>
          <w:sz w:val="24"/>
          <w:szCs w:val="24"/>
          <w:shd w:val="clear" w:color="auto" w:fill="FFFFFF"/>
          <w:vertAlign w:val="superscript"/>
        </w:rPr>
        <w:t>105,158,198,199</w:t>
      </w:r>
      <w:r w:rsidRPr="00EB2576">
        <w:rPr>
          <w:rFonts w:ascii="Times New Roman" w:hAnsi="Times New Roman" w:cs="Times New Roman"/>
          <w:sz w:val="24"/>
          <w:szCs w:val="24"/>
          <w:shd w:val="clear" w:color="auto" w:fill="FFFFFF"/>
        </w:rPr>
        <w:fldChar w:fldCharType="end"/>
      </w:r>
      <w:r w:rsidRPr="00EB2576">
        <w:rPr>
          <w:rFonts w:ascii="Times New Roman" w:hAnsi="Times New Roman" w:cs="Times New Roman"/>
          <w:sz w:val="24"/>
          <w:szCs w:val="24"/>
          <w:shd w:val="clear" w:color="auto" w:fill="FFFFFF"/>
        </w:rPr>
        <w:t>.</w:t>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lang w:eastAsia="en-GB"/>
        </w:rPr>
        <w:t xml:space="preserve">Although the library </w:t>
      </w:r>
      <w:r w:rsidR="00BB5781" w:rsidRPr="00EB2576">
        <w:rPr>
          <w:rFonts w:ascii="Times New Roman" w:hAnsi="Times New Roman" w:cs="Times New Roman"/>
          <w:kern w:val="24"/>
          <w:sz w:val="24"/>
          <w:szCs w:val="24"/>
          <w:lang w:eastAsia="en-GB"/>
        </w:rPr>
        <w:t>does not display</w:t>
      </w:r>
      <w:r w:rsidRPr="00EB2576">
        <w:rPr>
          <w:rFonts w:ascii="Times New Roman" w:hAnsi="Times New Roman" w:cs="Times New Roman"/>
          <w:kern w:val="24"/>
          <w:sz w:val="24"/>
          <w:szCs w:val="24"/>
          <w:lang w:eastAsia="en-GB"/>
        </w:rPr>
        <w:t xml:space="preserve"> peptide sequences derived from the antigen of interest, in our case, infliximab</w:t>
      </w:r>
      <w:r w:rsidR="00DF5BEB" w:rsidRPr="00EB2576">
        <w:rPr>
          <w:rFonts w:ascii="Times New Roman" w:hAnsi="Times New Roman" w:cs="Times New Roman"/>
          <w:kern w:val="24"/>
          <w:sz w:val="24"/>
          <w:szCs w:val="24"/>
          <w:lang w:eastAsia="en-GB"/>
        </w:rPr>
        <w:t>.</w:t>
      </w:r>
      <w:r w:rsidR="00BB5781" w:rsidRPr="00EB2576">
        <w:rPr>
          <w:rFonts w:ascii="Times New Roman" w:hAnsi="Times New Roman" w:cs="Times New Roman"/>
          <w:kern w:val="24"/>
          <w:sz w:val="24"/>
          <w:szCs w:val="24"/>
          <w:lang w:eastAsia="en-GB"/>
        </w:rPr>
        <w:t xml:space="preserve"> </w:t>
      </w:r>
      <w:r w:rsidR="00DF5BEB" w:rsidRPr="00EB2576">
        <w:rPr>
          <w:rFonts w:ascii="Times New Roman" w:hAnsi="Times New Roman" w:cs="Times New Roman"/>
          <w:kern w:val="24"/>
          <w:sz w:val="24"/>
          <w:szCs w:val="24"/>
          <w:lang w:eastAsia="en-GB"/>
        </w:rPr>
        <w:t>I</w:t>
      </w:r>
      <w:r w:rsidR="00BB5781" w:rsidRPr="00EB2576">
        <w:rPr>
          <w:rFonts w:ascii="Times New Roman" w:hAnsi="Times New Roman" w:cs="Times New Roman"/>
          <w:kern w:val="24"/>
          <w:sz w:val="24"/>
          <w:szCs w:val="24"/>
          <w:lang w:eastAsia="en-GB"/>
        </w:rPr>
        <w:t xml:space="preserve">t displays </w:t>
      </w:r>
      <w:r w:rsidRPr="00EB2576">
        <w:rPr>
          <w:rFonts w:ascii="Times New Roman" w:hAnsi="Times New Roman" w:cs="Times New Roman"/>
          <w:kern w:val="24"/>
          <w:sz w:val="24"/>
          <w:szCs w:val="24"/>
          <w:lang w:eastAsia="en-GB"/>
        </w:rPr>
        <w:t>potential</w:t>
      </w:r>
      <w:r w:rsidRPr="00EB2576">
        <w:rPr>
          <w:rFonts w:ascii="Times New Roman" w:hAnsi="Times New Roman" w:cs="Times New Roman"/>
          <w:kern w:val="24"/>
          <w:sz w:val="24"/>
          <w:szCs w:val="24"/>
        </w:rPr>
        <w:t xml:space="preserve"> </w:t>
      </w:r>
      <w:r w:rsidRPr="00EB2576">
        <w:rPr>
          <w:rFonts w:ascii="Times New Roman" w:hAnsi="Times New Roman" w:cs="Times New Roman"/>
          <w:kern w:val="24"/>
          <w:sz w:val="24"/>
          <w:szCs w:val="24"/>
          <w:lang w:eastAsia="en-GB"/>
        </w:rPr>
        <w:t>“mimotopes”</w:t>
      </w:r>
      <w:r w:rsidRPr="00EB2576">
        <w:rPr>
          <w:rFonts w:ascii="Times New Roman" w:hAnsi="Times New Roman" w:cs="Times New Roman"/>
          <w:kern w:val="24"/>
          <w:sz w:val="24"/>
          <w:szCs w:val="24"/>
        </w:rPr>
        <w:t>: artificial peptides that mimic</w:t>
      </w:r>
      <w:r w:rsidRPr="00EB2576">
        <w:rPr>
          <w:rFonts w:ascii="Times New Roman" w:hAnsi="Times New Roman" w:cs="Times New Roman"/>
          <w:kern w:val="24"/>
          <w:sz w:val="24"/>
          <w:szCs w:val="24"/>
          <w:lang w:eastAsia="en-GB"/>
        </w:rPr>
        <w:t xml:space="preserve"> B cell conformational epitope on infliximab</w:t>
      </w:r>
      <w:r w:rsidR="00DF5BEB" w:rsidRPr="00EB2576">
        <w:rPr>
          <w:rFonts w:ascii="Times New Roman" w:hAnsi="Times New Roman" w:cs="Times New Roman"/>
          <w:kern w:val="24"/>
          <w:sz w:val="24"/>
          <w:szCs w:val="24"/>
          <w:lang w:eastAsia="en-GB"/>
        </w:rPr>
        <w:t xml:space="preserve"> that elicit the immune response</w:t>
      </w:r>
      <w:r w:rsidRPr="00EB2576">
        <w:rPr>
          <w:rFonts w:ascii="Times New Roman" w:hAnsi="Times New Roman" w:cs="Times New Roman"/>
          <w:kern w:val="24"/>
          <w:sz w:val="24"/>
          <w:szCs w:val="24"/>
        </w:rPr>
        <w:t xml:space="preserve"> </w:t>
      </w:r>
      <w:r w:rsidRPr="00EB2576">
        <w:rPr>
          <w:rFonts w:ascii="Times New Roman" w:hAnsi="Times New Roman" w:cs="Times New Roman"/>
          <w:kern w:val="24"/>
          <w:sz w:val="24"/>
          <w:szCs w:val="24"/>
        </w:rPr>
        <w:fldChar w:fldCharType="begin" w:fldLock="1"/>
      </w:r>
      <w:r w:rsidR="009577AC" w:rsidRPr="00EB2576">
        <w:rPr>
          <w:rFonts w:ascii="Times New Roman" w:hAnsi="Times New Roman" w:cs="Times New Roman"/>
          <w:kern w:val="24"/>
          <w:sz w:val="24"/>
          <w:szCs w:val="24"/>
        </w:rPr>
        <w:instrText>ADDIN CSL_CITATION {"citationItems":[{"id":"ITEM-1","itemData":{"DOI":"10.1155/2017/2680160","ISSN":"2314-8861","abstract":"Adaptive immunity is mediated by T- and B-cells, which are immune cells capable of developing pathogen-specific memory that confers immunological protection. Memory and effector functions of B- and T-cells are predicated on the recognition through specialized receptors of specific targets (antigens) in pathogens. More specifically, B- and T-cells recognize portions within their cognate antigens known as epitopes. There is great interest in identifying epitopes in antigens for a number of practical reasons, including understanding disease etiology, immune monitoring, developing diagnosis assays, and designing epitope-based vaccines. Epitope identification is costly and time-consuming as it requires experimental screening of large arrays of potential epitope candidates. Fortunately, researchers have developed in silico prediction methods that dramatically reduce the burden associated with epitope mapping by decreasing the list of potential epitope candidates for experimental testing. Here, we analyze aspects of antigen recognition by T- and B-cells that are relevant for epitope prediction. Subsequently, we provide a systematic and inclusive review of the most relevant B- and T-cell epitope prediction methods and tools, paying particular attention to their foundations.","author":[{"dropping-particle":"","family":"Sanchez-Trincado","given":"Jose L.","non-dropping-particle":"","parse-names":false,"suffix":""},{"dropping-particle":"","family":"Gomez-Perosanz","given":"Marta","non-dropping-particle":"","parse-names":false,"suffix":""},{"dropping-particle":"","family":"Reche","given":"Pedro A.","non-dropping-particle":"","parse-names":false,"suffix":""}],"container-title":"Journal of Immunology Research","id":"ITEM-1","issued":{"date-parts":[["2017"]]},"page":"1-14","title":"Fundamentals and Methods for T- and B-Cell Epitope Prediction","type":"article-journal","volume":"2017"},"uris":["http://www.mendeley.com/documents/?uuid=afaddd18-c888-419e-bf92-9c3c00919da7"]}],"mendeley":{"formattedCitation":"&lt;sup&gt;200&lt;/sup&gt;","plainTextFormattedCitation":"200","previouslyFormattedCitation":"&lt;sup&gt;200&lt;/sup&gt;"},"properties":{"noteIndex":0},"schema":"https://github.com/citation-style-language/schema/raw/master/csl-citation.json"}</w:instrText>
      </w:r>
      <w:r w:rsidRPr="00EB2576">
        <w:rPr>
          <w:rFonts w:ascii="Times New Roman" w:hAnsi="Times New Roman" w:cs="Times New Roman"/>
          <w:kern w:val="24"/>
          <w:sz w:val="24"/>
          <w:szCs w:val="24"/>
        </w:rPr>
        <w:fldChar w:fldCharType="separate"/>
      </w:r>
      <w:r w:rsidR="00201474" w:rsidRPr="00EB2576">
        <w:rPr>
          <w:rFonts w:ascii="Times New Roman" w:hAnsi="Times New Roman" w:cs="Times New Roman"/>
          <w:noProof/>
          <w:kern w:val="24"/>
          <w:sz w:val="24"/>
          <w:szCs w:val="24"/>
          <w:vertAlign w:val="superscript"/>
        </w:rPr>
        <w:t>200</w:t>
      </w:r>
      <w:r w:rsidRPr="00EB2576">
        <w:rPr>
          <w:rFonts w:ascii="Times New Roman" w:hAnsi="Times New Roman" w:cs="Times New Roman"/>
          <w:kern w:val="24"/>
          <w:sz w:val="24"/>
          <w:szCs w:val="24"/>
        </w:rPr>
        <w:fldChar w:fldCharType="end"/>
      </w:r>
      <w:r w:rsidRPr="00EB2576">
        <w:rPr>
          <w:rFonts w:ascii="Times New Roman" w:hAnsi="Times New Roman" w:cs="Times New Roman"/>
          <w:kern w:val="24"/>
          <w:sz w:val="24"/>
          <w:szCs w:val="24"/>
          <w:lang w:eastAsia="en-GB"/>
        </w:rPr>
        <w:t xml:space="preserve">. </w:t>
      </w:r>
      <w:r w:rsidR="00C278D1" w:rsidRPr="00EB2576">
        <w:rPr>
          <w:rFonts w:ascii="Times New Roman" w:hAnsi="Times New Roman" w:cs="Times New Roman"/>
          <w:sz w:val="24"/>
          <w:szCs w:val="24"/>
        </w:rPr>
        <w:t>RPL</w:t>
      </w:r>
      <w:r w:rsidRPr="00EB2576">
        <w:rPr>
          <w:rFonts w:ascii="Times New Roman" w:hAnsi="Times New Roman" w:cs="Times New Roman"/>
          <w:sz w:val="24"/>
          <w:szCs w:val="24"/>
        </w:rPr>
        <w:t xml:space="preserve"> have successfully been used for identification of disease specific </w:t>
      </w:r>
      <w:r w:rsidRPr="00EB2576">
        <w:rPr>
          <w:rFonts w:ascii="Times New Roman" w:hAnsi="Times New Roman" w:cs="Times New Roman"/>
          <w:sz w:val="24"/>
          <w:szCs w:val="24"/>
          <w:shd w:val="clear" w:color="auto" w:fill="FFFFFF"/>
        </w:rPr>
        <w:t xml:space="preserve">antigen mimics, development of peptide-mediated drug </w:t>
      </w:r>
      <w:r w:rsidRPr="00EB2576">
        <w:rPr>
          <w:rFonts w:ascii="Times New Roman" w:hAnsi="Times New Roman" w:cs="Times New Roman"/>
          <w:sz w:val="24"/>
          <w:szCs w:val="24"/>
          <w:shd w:val="clear" w:color="auto" w:fill="FFFFFF"/>
        </w:rPr>
        <w:lastRenderedPageBreak/>
        <w:t xml:space="preserve">delivery systems such as vaccine development and for B-cell and T-cell epitope mapping </w:t>
      </w:r>
      <w:r w:rsidRPr="00EB2576">
        <w:rPr>
          <w:rFonts w:ascii="Times New Roman" w:hAnsi="Times New Roman" w:cs="Times New Roman"/>
          <w:sz w:val="24"/>
          <w:szCs w:val="24"/>
          <w:shd w:val="clear" w:color="auto" w:fill="FFFFFF"/>
        </w:rPr>
        <w:fldChar w:fldCharType="begin" w:fldLock="1"/>
      </w:r>
      <w:r w:rsidR="009577AC" w:rsidRPr="00EB2576">
        <w:rPr>
          <w:rFonts w:ascii="Times New Roman" w:hAnsi="Times New Roman" w:cs="Times New Roman"/>
          <w:sz w:val="24"/>
          <w:szCs w:val="24"/>
          <w:shd w:val="clear" w:color="auto" w:fill="FFFFFF"/>
        </w:rPr>
        <w:instrText>ADDIN CSL_CITATION {"citationItems":[{"id":"ITEM-1","itemData":{"DOI":"10.1002/0471142735.im0908s86","ISBN":"0471142735","ISSN":"1934-3671","PMID":"19653209","abstract":"Combinatorial phage display libraries of random peptides can be used to discover the epitopes of antibodies through a procedure termed \"biopanning.\" The affinity isolation of phage-displayed epitope peptidomimetics allows molecular definition of the epitopes of monoclonal antibodies (MAbs). Panels of MAb-specific peptides allow computational prediction of B cell epitopes. Epitope profiles recognized by polyclonal serum samples can also be generated. Detailed step by step protocols and discussion of applications are provided.","author":[{"dropping-particle":"","family":"Freund","given":"Natalia Tarnovitski","non-dropping-particle":"","parse-names":false,"suffix":""},{"dropping-particle":"","family":"Enshell‐Seijffers","given":"David","non-dropping-particle":"","parse-names":false,"suffix":""},{"dropping-particle":"","family":"Gershoni","given":"Jonathan M","non-dropping-particle":"","parse-names":false,"suffix":""}],"container-title":"Current Protocols in Immunology","id":"ITEM-1","issue":"1","issued":{"date-parts":[["2009","8"]]},"page":"Unit 9.8","title":"Phage Display Selection, Analysis, and Prediction of B Cell Epitopes","type":"article-journal","volume":"86"},"uris":["http://www.mendeley.com/documents/?uuid=237a68b6-3657-43b5-9f76-760b72ca9e05"]}],"mendeley":{"formattedCitation":"&lt;sup&gt;201&lt;/sup&gt;","plainTextFormattedCitation":"201","previouslyFormattedCitation":"&lt;sup&gt;201&lt;/sup&gt;"},"properties":{"noteIndex":0},"schema":"https://github.com/citation-style-language/schema/raw/master/csl-citation.json"}</w:instrText>
      </w:r>
      <w:r w:rsidRPr="00EB2576">
        <w:rPr>
          <w:rFonts w:ascii="Times New Roman" w:hAnsi="Times New Roman" w:cs="Times New Roman"/>
          <w:sz w:val="24"/>
          <w:szCs w:val="24"/>
          <w:shd w:val="clear" w:color="auto" w:fill="FFFFFF"/>
        </w:rPr>
        <w:fldChar w:fldCharType="separate"/>
      </w:r>
      <w:r w:rsidR="00201474" w:rsidRPr="00EB2576">
        <w:rPr>
          <w:rFonts w:ascii="Times New Roman" w:hAnsi="Times New Roman" w:cs="Times New Roman"/>
          <w:noProof/>
          <w:sz w:val="24"/>
          <w:szCs w:val="24"/>
          <w:shd w:val="clear" w:color="auto" w:fill="FFFFFF"/>
          <w:vertAlign w:val="superscript"/>
        </w:rPr>
        <w:t>201</w:t>
      </w:r>
      <w:r w:rsidRPr="00EB2576">
        <w:rPr>
          <w:rFonts w:ascii="Times New Roman" w:hAnsi="Times New Roman" w:cs="Times New Roman"/>
          <w:sz w:val="24"/>
          <w:szCs w:val="24"/>
          <w:shd w:val="clear" w:color="auto" w:fill="FFFFFF"/>
        </w:rPr>
        <w:fldChar w:fldCharType="end"/>
      </w:r>
      <w:r w:rsidRPr="00EB2576">
        <w:rPr>
          <w:rFonts w:ascii="Times New Roman" w:hAnsi="Times New Roman" w:cs="Times New Roman"/>
          <w:sz w:val="24"/>
          <w:szCs w:val="24"/>
          <w:shd w:val="clear" w:color="auto" w:fill="FFFFFF"/>
        </w:rPr>
        <w:t>.</w:t>
      </w:r>
      <w:r w:rsidRPr="00EB2576">
        <w:rPr>
          <w:rFonts w:ascii="Times New Roman" w:hAnsi="Times New Roman" w:cs="Times New Roman"/>
          <w:kern w:val="24"/>
          <w:sz w:val="24"/>
          <w:szCs w:val="24"/>
          <w:lang w:eastAsia="en-GB"/>
        </w:rPr>
        <w:t xml:space="preserve"> After cycles of biopanning using a known antibody, the peptides from the selected phage variants are sequenced and mimotopes </w:t>
      </w:r>
      <w:r w:rsidRPr="00EB2576">
        <w:rPr>
          <w:rFonts w:ascii="Times New Roman" w:hAnsi="Times New Roman" w:cs="Times New Roman"/>
          <w:kern w:val="24"/>
          <w:sz w:val="24"/>
          <w:szCs w:val="24"/>
        </w:rPr>
        <w:t xml:space="preserve">can be </w:t>
      </w:r>
      <w:r w:rsidRPr="00EB2576">
        <w:rPr>
          <w:rFonts w:ascii="Times New Roman" w:hAnsi="Times New Roman" w:cs="Times New Roman"/>
          <w:kern w:val="24"/>
          <w:sz w:val="24"/>
          <w:szCs w:val="24"/>
          <w:lang w:eastAsia="en-GB"/>
        </w:rPr>
        <w:t xml:space="preserve">predicted using the known 3D protein structure of the antigen via bioinformatic programmes, which include </w:t>
      </w:r>
      <w:r w:rsidRPr="00EB2576">
        <w:rPr>
          <w:rFonts w:ascii="Times New Roman" w:hAnsi="Times New Roman" w:cs="Times New Roman"/>
          <w:sz w:val="24"/>
          <w:szCs w:val="24"/>
        </w:rPr>
        <w:t>MIMOX, PEPITOPE, EPISEARCH, MIMOPRO, and PEPMAPPER</w:t>
      </w:r>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kern w:val="24"/>
          <w:sz w:val="24"/>
          <w:szCs w:val="24"/>
          <w:lang w:eastAsia="en-GB"/>
        </w:rPr>
        <w:fldChar w:fldCharType="begin" w:fldLock="1"/>
      </w:r>
      <w:r w:rsidR="009577AC" w:rsidRPr="00EB2576">
        <w:rPr>
          <w:rFonts w:ascii="Times New Roman" w:hAnsi="Times New Roman" w:cs="Times New Roman"/>
          <w:kern w:val="24"/>
          <w:sz w:val="24"/>
          <w:szCs w:val="24"/>
          <w:lang w:eastAsia="en-GB"/>
        </w:rPr>
        <w:instrText>ADDIN CSL_CITATION {"citationItems":[{"id":"ITEM-1","itemData":{"DOI":"10.1155/2017/2680160","ISSN":"2314-8861","abstract":"Adaptive immunity is mediated by T- and B-cells, which are immune cells capable of developing pathogen-specific memory that confers immunological protection. Memory and effector functions of B- and T-cells are predicated on the recognition through specialized receptors of specific targets (antigens) in pathogens. More specifically, B- and T-cells recognize portions within their cognate antigens known as epitopes. There is great interest in identifying epitopes in antigens for a number of practical reasons, including understanding disease etiology, immune monitoring, developing diagnosis assays, and designing epitope-based vaccines. Epitope identification is costly and time-consuming as it requires experimental screening of large arrays of potential epitope candidates. Fortunately, researchers have developed in silico prediction methods that dramatically reduce the burden associated with epitope mapping by decreasing the list of potential epitope candidates for experimental testing. Here, we analyze aspects of antigen recognition by T- and B-cells that are relevant for epitope prediction. Subsequently, we provide a systematic and inclusive review of the most relevant B- and T-cell epitope prediction methods and tools, paying particular attention to their foundations.","author":[{"dropping-particle":"","family":"Sanchez-Trincado","given":"Jose L.","non-dropping-particle":"","parse-names":false,"suffix":""},{"dropping-particle":"","family":"Gomez-Perosanz","given":"Marta","non-dropping-particle":"","parse-names":false,"suffix":""},{"dropping-particle":"","family":"Reche","given":"Pedro A.","non-dropping-particle":"","parse-names":false,"suffix":""}],"container-title":"Journal of Immunology Research","id":"ITEM-1","issued":{"date-parts":[["2017"]]},"page":"1-14","title":"Fundamentals and Methods for T- and B-Cell Epitope Prediction","type":"article-journal","volume":"2017"},"uris":["http://www.mendeley.com/documents/?uuid=afaddd18-c888-419e-bf92-9c3c00919da7"]}],"mendeley":{"formattedCitation":"&lt;sup&gt;200&lt;/sup&gt;","plainTextFormattedCitation":"200","previouslyFormattedCitation":"&lt;sup&gt;200&lt;/sup&gt;"},"properties":{"noteIndex":0},"schema":"https://github.com/citation-style-language/schema/raw/master/csl-citation.json"}</w:instrText>
      </w:r>
      <w:r w:rsidRPr="00EB2576">
        <w:rPr>
          <w:rFonts w:ascii="Times New Roman" w:hAnsi="Times New Roman" w:cs="Times New Roman"/>
          <w:kern w:val="24"/>
          <w:sz w:val="24"/>
          <w:szCs w:val="24"/>
          <w:lang w:eastAsia="en-GB"/>
        </w:rPr>
        <w:fldChar w:fldCharType="separate"/>
      </w:r>
      <w:r w:rsidR="00201474" w:rsidRPr="00EB2576">
        <w:rPr>
          <w:rFonts w:ascii="Times New Roman" w:hAnsi="Times New Roman" w:cs="Times New Roman"/>
          <w:noProof/>
          <w:kern w:val="24"/>
          <w:sz w:val="24"/>
          <w:szCs w:val="24"/>
          <w:vertAlign w:val="superscript"/>
          <w:lang w:eastAsia="en-GB"/>
        </w:rPr>
        <w:t>200</w:t>
      </w:r>
      <w:r w:rsidRPr="00EB2576">
        <w:rPr>
          <w:rFonts w:ascii="Times New Roman" w:hAnsi="Times New Roman" w:cs="Times New Roman"/>
          <w:kern w:val="24"/>
          <w:sz w:val="24"/>
          <w:szCs w:val="24"/>
          <w:lang w:eastAsia="en-GB"/>
        </w:rPr>
        <w:fldChar w:fldCharType="end"/>
      </w:r>
      <w:r w:rsidRPr="00EB2576">
        <w:rPr>
          <w:rFonts w:ascii="Times New Roman" w:hAnsi="Times New Roman" w:cs="Times New Roman"/>
          <w:kern w:val="24"/>
          <w:sz w:val="24"/>
          <w:szCs w:val="24"/>
          <w:lang w:eastAsia="en-GB"/>
        </w:rPr>
        <w:t>.</w:t>
      </w:r>
      <w:r w:rsidRPr="00EB2576">
        <w:rPr>
          <w:rFonts w:ascii="Times New Roman" w:hAnsi="Times New Roman" w:cs="Times New Roman"/>
          <w:kern w:val="24"/>
          <w:sz w:val="24"/>
          <w:szCs w:val="24"/>
        </w:rPr>
        <w:t xml:space="preserve"> Different algorithms are used by the different programmes to align the selected peptides onto the known antigen.</w:t>
      </w:r>
    </w:p>
    <w:p w14:paraId="6118E6A8" w14:textId="77777777" w:rsidR="00A103CE" w:rsidRPr="00EB2576" w:rsidRDefault="00A103CE" w:rsidP="00B803D8">
      <w:pPr>
        <w:autoSpaceDE w:val="0"/>
        <w:autoSpaceDN w:val="0"/>
        <w:adjustRightInd w:val="0"/>
        <w:spacing w:after="0" w:line="480" w:lineRule="auto"/>
        <w:rPr>
          <w:rFonts w:ascii="Times New Roman" w:hAnsi="Times New Roman" w:cs="Times New Roman"/>
          <w:sz w:val="24"/>
          <w:szCs w:val="24"/>
        </w:rPr>
      </w:pPr>
    </w:p>
    <w:p w14:paraId="135594CC" w14:textId="49D6E092" w:rsidR="00A103CE" w:rsidRPr="00EB2576" w:rsidRDefault="00A103CE" w:rsidP="00B803D8">
      <w:pPr>
        <w:spacing w:line="480" w:lineRule="auto"/>
        <w:rPr>
          <w:rFonts w:ascii="Times New Roman" w:hAnsi="Times New Roman" w:cs="Times New Roman"/>
          <w:b/>
          <w:bCs/>
          <w:sz w:val="24"/>
          <w:szCs w:val="24"/>
        </w:rPr>
      </w:pPr>
      <w:r w:rsidRPr="00EB2576">
        <w:rPr>
          <w:rFonts w:ascii="Times New Roman" w:hAnsi="Times New Roman" w:cs="Times New Roman"/>
          <w:b/>
          <w:bCs/>
          <w:sz w:val="24"/>
          <w:szCs w:val="24"/>
        </w:rPr>
        <w:t xml:space="preserve">The aim of this study was to use a random </w:t>
      </w:r>
      <w:r w:rsidR="00944DDA" w:rsidRPr="00EB2576">
        <w:rPr>
          <w:rFonts w:ascii="Times New Roman" w:hAnsi="Times New Roman" w:cs="Times New Roman"/>
          <w:b/>
          <w:bCs/>
          <w:sz w:val="24"/>
          <w:szCs w:val="24"/>
        </w:rPr>
        <w:t xml:space="preserve">peptide </w:t>
      </w:r>
      <w:r w:rsidRPr="00EB2576">
        <w:rPr>
          <w:rFonts w:ascii="Times New Roman" w:hAnsi="Times New Roman" w:cs="Times New Roman"/>
          <w:b/>
          <w:bCs/>
          <w:sz w:val="24"/>
          <w:szCs w:val="24"/>
        </w:rPr>
        <w:t>phage display library to identify conformational epitopes on infliximab. Pooled ATI positive sera from patients with different clinical outcomes w</w:t>
      </w:r>
      <w:r w:rsidR="00956372" w:rsidRPr="00EB2576">
        <w:rPr>
          <w:rFonts w:ascii="Times New Roman" w:hAnsi="Times New Roman" w:cs="Times New Roman"/>
          <w:b/>
          <w:bCs/>
          <w:sz w:val="24"/>
          <w:szCs w:val="24"/>
        </w:rPr>
        <w:t>as</w:t>
      </w:r>
      <w:r w:rsidRPr="00EB2576">
        <w:rPr>
          <w:rFonts w:ascii="Times New Roman" w:hAnsi="Times New Roman" w:cs="Times New Roman"/>
          <w:b/>
          <w:bCs/>
          <w:sz w:val="24"/>
          <w:szCs w:val="24"/>
        </w:rPr>
        <w:t xml:space="preserve"> used to identify clinically relevant epitopes. </w:t>
      </w:r>
    </w:p>
    <w:p w14:paraId="5FE854BA" w14:textId="77777777" w:rsidR="00B84FC4" w:rsidRPr="00EB2576" w:rsidRDefault="00B84FC4" w:rsidP="00ED0D2E">
      <w:pPr>
        <w:autoSpaceDE w:val="0"/>
        <w:autoSpaceDN w:val="0"/>
        <w:adjustRightInd w:val="0"/>
        <w:spacing w:after="0" w:line="480" w:lineRule="auto"/>
        <w:jc w:val="left"/>
        <w:rPr>
          <w:rFonts w:ascii="Times New Roman" w:hAnsi="Times New Roman" w:cs="Times New Roman"/>
          <w:sz w:val="24"/>
          <w:szCs w:val="24"/>
        </w:rPr>
      </w:pPr>
      <w:bookmarkStart w:id="290" w:name="_Hlk115964872"/>
    </w:p>
    <w:p w14:paraId="4730CCC0" w14:textId="6E584F01" w:rsidR="00272968" w:rsidRPr="00EB2576" w:rsidRDefault="00712BD2" w:rsidP="00944DDA">
      <w:pPr>
        <w:pStyle w:val="Heading2"/>
        <w:spacing w:line="480" w:lineRule="auto"/>
        <w:rPr>
          <w:rFonts w:ascii="Times New Roman" w:hAnsi="Times New Roman" w:cs="Times New Roman"/>
          <w:sz w:val="24"/>
          <w:szCs w:val="24"/>
        </w:rPr>
      </w:pPr>
      <w:bookmarkStart w:id="291" w:name="_Toc151020540"/>
      <w:bookmarkEnd w:id="290"/>
      <w:r w:rsidRPr="00EB2576">
        <w:rPr>
          <w:rFonts w:ascii="Times New Roman" w:hAnsi="Times New Roman" w:cs="Times New Roman"/>
          <w:sz w:val="24"/>
          <w:szCs w:val="24"/>
        </w:rPr>
        <w:t>6</w:t>
      </w:r>
      <w:r w:rsidR="001D0FF5" w:rsidRPr="00EB2576">
        <w:rPr>
          <w:rFonts w:ascii="Times New Roman" w:hAnsi="Times New Roman" w:cs="Times New Roman"/>
          <w:sz w:val="24"/>
          <w:szCs w:val="24"/>
        </w:rPr>
        <w:t>.2 Method</w:t>
      </w:r>
      <w:bookmarkEnd w:id="291"/>
    </w:p>
    <w:p w14:paraId="5FDDD95D" w14:textId="246DD884" w:rsidR="00142A63" w:rsidRPr="00EB2576" w:rsidRDefault="00712BD2" w:rsidP="00944DDA">
      <w:pPr>
        <w:pStyle w:val="Heading3"/>
        <w:spacing w:line="480" w:lineRule="auto"/>
        <w:rPr>
          <w:rFonts w:ascii="Times New Roman" w:hAnsi="Times New Roman" w:cs="Times New Roman"/>
          <w:b/>
          <w:bCs/>
        </w:rPr>
      </w:pPr>
      <w:bookmarkStart w:id="292" w:name="_Toc151020541"/>
      <w:r w:rsidRPr="00EB2576">
        <w:rPr>
          <w:rFonts w:ascii="Times New Roman" w:hAnsi="Times New Roman" w:cs="Times New Roman"/>
          <w:b/>
          <w:bCs/>
        </w:rPr>
        <w:t>6</w:t>
      </w:r>
      <w:r w:rsidR="00142A63" w:rsidRPr="00EB2576">
        <w:rPr>
          <w:rFonts w:ascii="Times New Roman" w:hAnsi="Times New Roman" w:cs="Times New Roman"/>
          <w:b/>
          <w:bCs/>
        </w:rPr>
        <w:t>.2.1 Patients</w:t>
      </w:r>
      <w:bookmarkEnd w:id="292"/>
    </w:p>
    <w:p w14:paraId="5CE8A5F7" w14:textId="283DB6F2" w:rsidR="00142A63" w:rsidRPr="00EB2576" w:rsidRDefault="00142A63" w:rsidP="00944DDA">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 xml:space="preserve">This is discussed in </w:t>
      </w:r>
      <w:r w:rsidR="00712BD2" w:rsidRPr="00EB2576">
        <w:rPr>
          <w:rFonts w:ascii="Times New Roman" w:hAnsi="Times New Roman" w:cs="Times New Roman"/>
          <w:sz w:val="24"/>
          <w:szCs w:val="24"/>
        </w:rPr>
        <w:t>5</w:t>
      </w:r>
      <w:r w:rsidRPr="00EB2576">
        <w:rPr>
          <w:rFonts w:ascii="Times New Roman" w:hAnsi="Times New Roman" w:cs="Times New Roman"/>
          <w:sz w:val="24"/>
          <w:szCs w:val="24"/>
        </w:rPr>
        <w:t>.2.1.</w:t>
      </w:r>
    </w:p>
    <w:p w14:paraId="099DA753" w14:textId="77777777" w:rsidR="00142A63" w:rsidRPr="00EB2576" w:rsidRDefault="00142A63" w:rsidP="00944DDA">
      <w:pPr>
        <w:autoSpaceDE w:val="0"/>
        <w:autoSpaceDN w:val="0"/>
        <w:adjustRightInd w:val="0"/>
        <w:spacing w:after="0" w:line="480" w:lineRule="auto"/>
        <w:jc w:val="left"/>
        <w:rPr>
          <w:rFonts w:ascii="Times New Roman" w:hAnsi="Times New Roman" w:cs="Times New Roman"/>
          <w:sz w:val="24"/>
          <w:szCs w:val="24"/>
        </w:rPr>
      </w:pPr>
    </w:p>
    <w:p w14:paraId="6433E51F" w14:textId="149BC437" w:rsidR="00142A63" w:rsidRPr="00EB2576" w:rsidRDefault="00712BD2" w:rsidP="00944DDA">
      <w:pPr>
        <w:pStyle w:val="Heading3"/>
        <w:spacing w:line="480" w:lineRule="auto"/>
        <w:rPr>
          <w:rFonts w:ascii="Times New Roman" w:hAnsi="Times New Roman" w:cs="Times New Roman"/>
          <w:b/>
          <w:bCs/>
        </w:rPr>
      </w:pPr>
      <w:bookmarkStart w:id="293" w:name="_Toc151020542"/>
      <w:r w:rsidRPr="00EB2576">
        <w:rPr>
          <w:rFonts w:ascii="Times New Roman" w:hAnsi="Times New Roman" w:cs="Times New Roman"/>
          <w:b/>
          <w:bCs/>
        </w:rPr>
        <w:t>6</w:t>
      </w:r>
      <w:r w:rsidR="00142A63" w:rsidRPr="00EB2576">
        <w:rPr>
          <w:rFonts w:ascii="Times New Roman" w:hAnsi="Times New Roman" w:cs="Times New Roman"/>
          <w:b/>
          <w:bCs/>
        </w:rPr>
        <w:t>.2.2 Clinical assessment</w:t>
      </w:r>
      <w:bookmarkEnd w:id="293"/>
    </w:p>
    <w:p w14:paraId="63BC0898" w14:textId="36AE5D78" w:rsidR="00142A63" w:rsidRPr="00EB2576" w:rsidRDefault="00142A63" w:rsidP="00944DDA">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This is discussed in </w:t>
      </w:r>
      <w:r w:rsidR="00712BD2" w:rsidRPr="00EB2576">
        <w:rPr>
          <w:rFonts w:ascii="Times New Roman" w:hAnsi="Times New Roman" w:cs="Times New Roman"/>
          <w:sz w:val="24"/>
          <w:szCs w:val="24"/>
        </w:rPr>
        <w:t>2</w:t>
      </w:r>
      <w:r w:rsidRPr="00EB2576">
        <w:rPr>
          <w:rFonts w:ascii="Times New Roman" w:hAnsi="Times New Roman" w:cs="Times New Roman"/>
          <w:sz w:val="24"/>
          <w:szCs w:val="24"/>
        </w:rPr>
        <w:t>.2.2.</w:t>
      </w:r>
    </w:p>
    <w:p w14:paraId="584810E7" w14:textId="77777777" w:rsidR="00944DDA" w:rsidRPr="00EB2576" w:rsidRDefault="00944DDA" w:rsidP="00944DDA"/>
    <w:p w14:paraId="3FA2A17C" w14:textId="7A3B4BBF" w:rsidR="00142A63" w:rsidRPr="00EB2576" w:rsidRDefault="00712BD2" w:rsidP="00944DDA">
      <w:pPr>
        <w:pStyle w:val="Heading3"/>
        <w:spacing w:line="480" w:lineRule="auto"/>
        <w:rPr>
          <w:rFonts w:ascii="Times New Roman" w:hAnsi="Times New Roman" w:cs="Times New Roman"/>
          <w:b/>
          <w:bCs/>
        </w:rPr>
      </w:pPr>
      <w:bookmarkStart w:id="294" w:name="_Toc151020543"/>
      <w:r w:rsidRPr="00EB2576">
        <w:rPr>
          <w:rFonts w:ascii="Times New Roman" w:hAnsi="Times New Roman" w:cs="Times New Roman"/>
          <w:b/>
          <w:bCs/>
        </w:rPr>
        <w:t>6</w:t>
      </w:r>
      <w:r w:rsidR="00142A63" w:rsidRPr="00EB2576">
        <w:rPr>
          <w:rFonts w:ascii="Times New Roman" w:hAnsi="Times New Roman" w:cs="Times New Roman"/>
          <w:b/>
          <w:bCs/>
        </w:rPr>
        <w:t>.2.3 TDM</w:t>
      </w:r>
      <w:bookmarkEnd w:id="294"/>
    </w:p>
    <w:p w14:paraId="5D19EBF6" w14:textId="5A1F8028" w:rsidR="00142A63" w:rsidRPr="00EB2576" w:rsidRDefault="00142A63" w:rsidP="00944DDA">
      <w:pPr>
        <w:autoSpaceDE w:val="0"/>
        <w:autoSpaceDN w:val="0"/>
        <w:adjustRightInd w:val="0"/>
        <w:spacing w:after="0" w:line="480" w:lineRule="auto"/>
        <w:rPr>
          <w:rFonts w:ascii="Times New Roman" w:hAnsi="Times New Roman" w:cs="Times New Roman"/>
          <w:bCs/>
          <w:iCs/>
          <w:sz w:val="24"/>
          <w:szCs w:val="24"/>
        </w:rPr>
      </w:pPr>
      <w:r w:rsidRPr="00EB2576">
        <w:rPr>
          <w:rFonts w:ascii="Times New Roman" w:hAnsi="Times New Roman" w:cs="Times New Roman"/>
          <w:bCs/>
          <w:iCs/>
          <w:sz w:val="24"/>
          <w:szCs w:val="24"/>
        </w:rPr>
        <w:t xml:space="preserve">This is discussed in </w:t>
      </w:r>
      <w:r w:rsidR="00712BD2" w:rsidRPr="00EB2576">
        <w:rPr>
          <w:rFonts w:ascii="Times New Roman" w:hAnsi="Times New Roman" w:cs="Times New Roman"/>
          <w:bCs/>
          <w:iCs/>
          <w:sz w:val="24"/>
          <w:szCs w:val="24"/>
        </w:rPr>
        <w:t>2</w:t>
      </w:r>
      <w:r w:rsidRPr="00EB2576">
        <w:rPr>
          <w:rFonts w:ascii="Times New Roman" w:hAnsi="Times New Roman" w:cs="Times New Roman"/>
          <w:bCs/>
          <w:iCs/>
          <w:sz w:val="24"/>
          <w:szCs w:val="24"/>
        </w:rPr>
        <w:t>.2.3.</w:t>
      </w:r>
    </w:p>
    <w:p w14:paraId="467E1502" w14:textId="77777777" w:rsidR="00142A63" w:rsidRPr="00EB2576" w:rsidRDefault="00142A63" w:rsidP="00944DDA"/>
    <w:p w14:paraId="6DF8C2FE" w14:textId="47E27F51" w:rsidR="00142A63" w:rsidRPr="00EB2576" w:rsidRDefault="00712BD2" w:rsidP="00944DDA">
      <w:pPr>
        <w:pStyle w:val="Heading3"/>
        <w:spacing w:line="480" w:lineRule="auto"/>
        <w:rPr>
          <w:rFonts w:ascii="Times New Roman" w:hAnsi="Times New Roman" w:cs="Times New Roman"/>
          <w:b/>
          <w:bCs/>
        </w:rPr>
      </w:pPr>
      <w:bookmarkStart w:id="295" w:name="_Toc151020544"/>
      <w:r w:rsidRPr="00EB2576">
        <w:rPr>
          <w:rFonts w:ascii="Times New Roman" w:hAnsi="Times New Roman" w:cs="Times New Roman"/>
          <w:b/>
          <w:bCs/>
        </w:rPr>
        <w:t>6</w:t>
      </w:r>
      <w:r w:rsidR="00142A63" w:rsidRPr="00EB2576">
        <w:rPr>
          <w:rFonts w:ascii="Times New Roman" w:hAnsi="Times New Roman" w:cs="Times New Roman"/>
          <w:b/>
          <w:bCs/>
        </w:rPr>
        <w:t>.2.4 Blood samples for epitope mapping</w:t>
      </w:r>
      <w:bookmarkEnd w:id="295"/>
    </w:p>
    <w:p w14:paraId="7B5D7F3C" w14:textId="431F1096" w:rsidR="00142A63" w:rsidRPr="00EB2576" w:rsidRDefault="00450786" w:rsidP="00142A63">
      <w:pPr>
        <w:autoSpaceDE w:val="0"/>
        <w:autoSpaceDN w:val="0"/>
        <w:adjustRightInd w:val="0"/>
        <w:spacing w:after="0" w:line="480" w:lineRule="auto"/>
        <w:rPr>
          <w:rFonts w:ascii="Times New Roman" w:hAnsi="Times New Roman" w:cs="Times New Roman"/>
          <w:bCs/>
          <w:iCs/>
          <w:sz w:val="24"/>
          <w:szCs w:val="24"/>
        </w:rPr>
      </w:pPr>
      <w:r w:rsidRPr="00EB2576">
        <w:rPr>
          <w:rFonts w:ascii="Times New Roman" w:hAnsi="Times New Roman" w:cs="Times New Roman"/>
          <w:sz w:val="24"/>
          <w:szCs w:val="24"/>
        </w:rPr>
        <w:t xml:space="preserve">This is discussed in </w:t>
      </w:r>
      <w:r w:rsidR="00712BD2" w:rsidRPr="00EB2576">
        <w:rPr>
          <w:rFonts w:ascii="Times New Roman" w:hAnsi="Times New Roman" w:cs="Times New Roman"/>
          <w:sz w:val="24"/>
          <w:szCs w:val="24"/>
        </w:rPr>
        <w:t>5</w:t>
      </w:r>
      <w:r w:rsidRPr="00EB2576">
        <w:rPr>
          <w:rFonts w:ascii="Times New Roman" w:hAnsi="Times New Roman" w:cs="Times New Roman"/>
          <w:sz w:val="24"/>
          <w:szCs w:val="24"/>
        </w:rPr>
        <w:t>.2.4.</w:t>
      </w:r>
    </w:p>
    <w:p w14:paraId="4CE70F77" w14:textId="77777777" w:rsidR="00142A63" w:rsidRPr="00EB2576" w:rsidRDefault="00142A63" w:rsidP="00142A63">
      <w:pPr>
        <w:spacing w:line="480" w:lineRule="auto"/>
        <w:rPr>
          <w:rFonts w:ascii="Times New Roman" w:hAnsi="Times New Roman" w:cs="Times New Roman"/>
          <w:b/>
          <w:sz w:val="24"/>
          <w:szCs w:val="24"/>
        </w:rPr>
      </w:pPr>
    </w:p>
    <w:p w14:paraId="57492D02" w14:textId="140F2E55" w:rsidR="00142A63" w:rsidRPr="00EB2576" w:rsidRDefault="00712BD2" w:rsidP="00142A63">
      <w:pPr>
        <w:pStyle w:val="Heading3"/>
        <w:spacing w:line="480" w:lineRule="auto"/>
        <w:rPr>
          <w:rFonts w:ascii="Times New Roman" w:hAnsi="Times New Roman" w:cs="Times New Roman"/>
          <w:b/>
          <w:bCs/>
        </w:rPr>
      </w:pPr>
      <w:bookmarkStart w:id="296" w:name="_Toc151020545"/>
      <w:r w:rsidRPr="00EB2576">
        <w:rPr>
          <w:rFonts w:ascii="Times New Roman" w:hAnsi="Times New Roman" w:cs="Times New Roman"/>
          <w:b/>
          <w:bCs/>
        </w:rPr>
        <w:lastRenderedPageBreak/>
        <w:t>6</w:t>
      </w:r>
      <w:r w:rsidR="00142A63" w:rsidRPr="00EB2576">
        <w:rPr>
          <w:rFonts w:ascii="Times New Roman" w:hAnsi="Times New Roman" w:cs="Times New Roman"/>
          <w:b/>
          <w:bCs/>
        </w:rPr>
        <w:t>.2.5 Study cohort</w:t>
      </w:r>
      <w:bookmarkEnd w:id="296"/>
      <w:r w:rsidR="00142A63" w:rsidRPr="00EB2576">
        <w:rPr>
          <w:rFonts w:ascii="Times New Roman" w:hAnsi="Times New Roman" w:cs="Times New Roman"/>
          <w:b/>
          <w:bCs/>
        </w:rPr>
        <w:t xml:space="preserve"> </w:t>
      </w:r>
    </w:p>
    <w:p w14:paraId="5A526BEF" w14:textId="2C3064EF" w:rsidR="001D0FF5" w:rsidRPr="00EB2576" w:rsidRDefault="00837C92" w:rsidP="00837C92">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This is discussed in </w:t>
      </w:r>
      <w:r w:rsidR="00FC2FFF" w:rsidRPr="00EB2576">
        <w:rPr>
          <w:rFonts w:ascii="Times New Roman" w:hAnsi="Times New Roman" w:cs="Times New Roman"/>
          <w:sz w:val="24"/>
          <w:szCs w:val="24"/>
        </w:rPr>
        <w:t>5</w:t>
      </w:r>
      <w:r w:rsidRPr="00EB2576">
        <w:rPr>
          <w:rFonts w:ascii="Times New Roman" w:hAnsi="Times New Roman" w:cs="Times New Roman"/>
          <w:sz w:val="24"/>
          <w:szCs w:val="24"/>
        </w:rPr>
        <w:t xml:space="preserve">.2.5. </w:t>
      </w:r>
      <w:r w:rsidR="00272968" w:rsidRPr="00EB2576">
        <w:rPr>
          <w:rFonts w:ascii="Times New Roman" w:hAnsi="Times New Roman" w:cs="Times New Roman"/>
          <w:sz w:val="24"/>
          <w:szCs w:val="24"/>
        </w:rPr>
        <w:t xml:space="preserve">Sera from the same </w:t>
      </w:r>
      <w:r w:rsidRPr="00EB2576">
        <w:rPr>
          <w:rFonts w:ascii="Times New Roman" w:hAnsi="Times New Roman" w:cs="Times New Roman"/>
          <w:sz w:val="24"/>
          <w:szCs w:val="24"/>
        </w:rPr>
        <w:t>eight</w:t>
      </w:r>
      <w:r w:rsidR="001D0FF5" w:rsidRPr="00EB2576">
        <w:rPr>
          <w:rFonts w:ascii="Times New Roman" w:hAnsi="Times New Roman" w:cs="Times New Roman"/>
          <w:sz w:val="24"/>
          <w:szCs w:val="24"/>
        </w:rPr>
        <w:t xml:space="preserve"> antibody positive IBD patients with different clinical outcomes were pooled for selection. The clinical details of the </w:t>
      </w:r>
      <w:r w:rsidR="007978BA" w:rsidRPr="00EB2576">
        <w:rPr>
          <w:rFonts w:ascii="Times New Roman" w:hAnsi="Times New Roman" w:cs="Times New Roman"/>
          <w:sz w:val="24"/>
          <w:szCs w:val="24"/>
        </w:rPr>
        <w:t>eight</w:t>
      </w:r>
      <w:r w:rsidR="001D0FF5" w:rsidRPr="00EB2576">
        <w:rPr>
          <w:rFonts w:ascii="Times New Roman" w:hAnsi="Times New Roman" w:cs="Times New Roman"/>
          <w:sz w:val="24"/>
          <w:szCs w:val="24"/>
        </w:rPr>
        <w:t xml:space="preserve"> patients are shown in Table </w:t>
      </w:r>
      <w:r w:rsidR="00406692" w:rsidRPr="00EB2576">
        <w:rPr>
          <w:rFonts w:ascii="Times New Roman" w:hAnsi="Times New Roman" w:cs="Times New Roman"/>
          <w:sz w:val="24"/>
          <w:szCs w:val="24"/>
        </w:rPr>
        <w:t>12</w:t>
      </w:r>
      <w:r w:rsidR="00BB5E35" w:rsidRPr="00EB2576">
        <w:rPr>
          <w:rFonts w:ascii="Times New Roman" w:hAnsi="Times New Roman" w:cs="Times New Roman"/>
          <w:sz w:val="24"/>
          <w:szCs w:val="24"/>
        </w:rPr>
        <w:t xml:space="preserve"> </w:t>
      </w:r>
      <w:r w:rsidR="004B6BD9" w:rsidRPr="00EB2576">
        <w:rPr>
          <w:rFonts w:ascii="Times New Roman" w:hAnsi="Times New Roman" w:cs="Times New Roman"/>
          <w:sz w:val="24"/>
          <w:szCs w:val="24"/>
        </w:rPr>
        <w:t>in chapter 6</w:t>
      </w:r>
      <w:r w:rsidR="001D0FF5" w:rsidRPr="00EB2576">
        <w:rPr>
          <w:rFonts w:ascii="Times New Roman" w:hAnsi="Times New Roman" w:cs="Times New Roman"/>
          <w:sz w:val="24"/>
          <w:szCs w:val="24"/>
        </w:rPr>
        <w:t xml:space="preserve">. Sera was chosen from patients with different clinical outcomes as the aim was to identify epitopes associated with different clinical outcomes in IBD patients with </w:t>
      </w:r>
      <w:r w:rsidR="00BB5E35" w:rsidRPr="00EB2576">
        <w:rPr>
          <w:rFonts w:ascii="Times New Roman" w:hAnsi="Times New Roman" w:cs="Times New Roman"/>
          <w:sz w:val="24"/>
          <w:szCs w:val="24"/>
        </w:rPr>
        <w:t>ATI</w:t>
      </w:r>
      <w:r w:rsidR="001D0FF5" w:rsidRPr="00EB2576">
        <w:rPr>
          <w:rFonts w:ascii="Times New Roman" w:hAnsi="Times New Roman" w:cs="Times New Roman"/>
          <w:sz w:val="24"/>
          <w:szCs w:val="24"/>
        </w:rPr>
        <w:t xml:space="preserve">. </w:t>
      </w:r>
    </w:p>
    <w:p w14:paraId="24F3490B" w14:textId="77777777" w:rsidR="001D0FF5" w:rsidRPr="00EB2576" w:rsidRDefault="001D0FF5" w:rsidP="004B6BD9">
      <w:pPr>
        <w:spacing w:line="480" w:lineRule="auto"/>
        <w:rPr>
          <w:rFonts w:ascii="Times New Roman" w:hAnsi="Times New Roman" w:cs="Times New Roman"/>
          <w:sz w:val="24"/>
          <w:szCs w:val="24"/>
          <w:lang w:eastAsia="en-GB"/>
        </w:rPr>
      </w:pPr>
    </w:p>
    <w:p w14:paraId="2446012A" w14:textId="5CD50F59" w:rsidR="001D0FF5" w:rsidRPr="00EB2576" w:rsidRDefault="00FC2FFF" w:rsidP="004B6BD9">
      <w:pPr>
        <w:pStyle w:val="Heading3"/>
        <w:spacing w:line="480" w:lineRule="auto"/>
        <w:rPr>
          <w:rFonts w:ascii="Times New Roman" w:hAnsi="Times New Roman" w:cs="Times New Roman"/>
          <w:b/>
          <w:bCs/>
        </w:rPr>
      </w:pPr>
      <w:bookmarkStart w:id="297" w:name="_Toc151020546"/>
      <w:r w:rsidRPr="00EB2576">
        <w:rPr>
          <w:rFonts w:ascii="Times New Roman" w:hAnsi="Times New Roman" w:cs="Times New Roman"/>
          <w:b/>
          <w:bCs/>
        </w:rPr>
        <w:t>6</w:t>
      </w:r>
      <w:r w:rsidR="001D0FF5" w:rsidRPr="00EB2576">
        <w:rPr>
          <w:rFonts w:ascii="Times New Roman" w:hAnsi="Times New Roman" w:cs="Times New Roman"/>
          <w:b/>
          <w:bCs/>
        </w:rPr>
        <w:t>.2.</w:t>
      </w:r>
      <w:r w:rsidR="00894540" w:rsidRPr="00EB2576">
        <w:rPr>
          <w:rFonts w:ascii="Times New Roman" w:hAnsi="Times New Roman" w:cs="Times New Roman"/>
          <w:b/>
          <w:bCs/>
        </w:rPr>
        <w:t>6</w:t>
      </w:r>
      <w:r w:rsidR="001D0FF5" w:rsidRPr="00EB2576">
        <w:rPr>
          <w:rFonts w:ascii="Times New Roman" w:hAnsi="Times New Roman" w:cs="Times New Roman"/>
          <w:b/>
          <w:bCs/>
        </w:rPr>
        <w:t xml:space="preserve"> </w:t>
      </w:r>
      <w:r w:rsidR="00B1682E" w:rsidRPr="00EB2576">
        <w:rPr>
          <w:rFonts w:ascii="Times New Roman" w:hAnsi="Times New Roman" w:cs="Times New Roman"/>
          <w:b/>
          <w:bCs/>
        </w:rPr>
        <w:t xml:space="preserve">Random peptide </w:t>
      </w:r>
      <w:r w:rsidR="001D0FF5" w:rsidRPr="00EB2576">
        <w:rPr>
          <w:rFonts w:ascii="Times New Roman" w:hAnsi="Times New Roman" w:cs="Times New Roman"/>
          <w:b/>
          <w:bCs/>
        </w:rPr>
        <w:t>phage display library</w:t>
      </w:r>
      <w:bookmarkEnd w:id="297"/>
    </w:p>
    <w:p w14:paraId="062955BD" w14:textId="53461014" w:rsidR="00EE4C8F" w:rsidRPr="00EB2576" w:rsidRDefault="004B6BD9" w:rsidP="00B803D8">
      <w:pPr>
        <w:autoSpaceDE w:val="0"/>
        <w:autoSpaceDN w:val="0"/>
        <w:adjustRightInd w:val="0"/>
        <w:spacing w:after="0" w:line="480" w:lineRule="auto"/>
        <w:rPr>
          <w:rFonts w:ascii="Times New Roman" w:hAnsi="Times New Roman" w:cs="Times New Roman"/>
          <w:kern w:val="24"/>
          <w:sz w:val="24"/>
          <w:szCs w:val="24"/>
          <w:lang w:eastAsia="en-GB"/>
        </w:rPr>
      </w:pPr>
      <w:r w:rsidRPr="00EB2576">
        <w:rPr>
          <w:rFonts w:ascii="Times New Roman" w:hAnsi="Times New Roman" w:cs="Times New Roman"/>
          <w:sz w:val="24"/>
          <w:szCs w:val="24"/>
          <w:shd w:val="clear" w:color="auto" w:fill="FFFFFF"/>
        </w:rPr>
        <w:t>Ph.D.-12™ Phage Display Peptide Library</w:t>
      </w:r>
      <w:r w:rsidRPr="00EB2576">
        <w:rPr>
          <w:rFonts w:ascii="Times New Roman" w:hAnsi="Times New Roman" w:cs="Times New Roman"/>
          <w:sz w:val="24"/>
          <w:szCs w:val="24"/>
        </w:rPr>
        <w:t xml:space="preserve"> </w:t>
      </w:r>
      <w:r w:rsidR="006455EB" w:rsidRPr="00EB2576">
        <w:rPr>
          <w:rFonts w:ascii="Times New Roman" w:hAnsi="Times New Roman" w:cs="Times New Roman"/>
          <w:sz w:val="24"/>
          <w:szCs w:val="24"/>
        </w:rPr>
        <w:t xml:space="preserve">(New England </w:t>
      </w:r>
      <w:proofErr w:type="spellStart"/>
      <w:r w:rsidR="006455EB" w:rsidRPr="00EB2576">
        <w:rPr>
          <w:rFonts w:ascii="Times New Roman" w:hAnsi="Times New Roman" w:cs="Times New Roman"/>
          <w:sz w:val="24"/>
          <w:szCs w:val="24"/>
        </w:rPr>
        <w:t>BioLabs</w:t>
      </w:r>
      <w:proofErr w:type="spellEnd"/>
      <w:r w:rsidR="006455EB" w:rsidRPr="00EB2576">
        <w:rPr>
          <w:rFonts w:ascii="Times New Roman" w:hAnsi="Times New Roman" w:cs="Times New Roman"/>
          <w:sz w:val="24"/>
          <w:szCs w:val="24"/>
        </w:rPr>
        <w:t xml:space="preserve">, </w:t>
      </w:r>
      <w:r w:rsidR="006455EB" w:rsidRPr="00EB2576">
        <w:rPr>
          <w:rFonts w:ascii="Times New Roman" w:hAnsi="Times New Roman" w:cs="Times New Roman"/>
          <w:sz w:val="24"/>
          <w:szCs w:val="24"/>
          <w:shd w:val="clear" w:color="auto" w:fill="FFFFFF"/>
        </w:rPr>
        <w:t>Massachusetts, United States</w:t>
      </w:r>
      <w:r w:rsidR="006455EB" w:rsidRPr="00EB2576">
        <w:rPr>
          <w:rFonts w:ascii="Times New Roman" w:hAnsi="Times New Roman" w:cs="Times New Roman"/>
          <w:sz w:val="24"/>
          <w:szCs w:val="24"/>
        </w:rPr>
        <w:t xml:space="preserve">) </w:t>
      </w:r>
      <w:r w:rsidR="006455EB" w:rsidRPr="00EB2576">
        <w:rPr>
          <w:rFonts w:ascii="Times New Roman" w:hAnsi="Times New Roman" w:cs="Times New Roman"/>
          <w:kern w:val="24"/>
          <w:sz w:val="24"/>
          <w:szCs w:val="24"/>
          <w:lang w:eastAsia="en-GB"/>
        </w:rPr>
        <w:t xml:space="preserve">displays </w:t>
      </w:r>
      <w:r w:rsidRPr="00EB2576">
        <w:rPr>
          <w:rFonts w:ascii="Times New Roman" w:hAnsi="Times New Roman" w:cs="Times New Roman"/>
          <w:kern w:val="24"/>
          <w:sz w:val="24"/>
          <w:szCs w:val="24"/>
          <w:lang w:eastAsia="en-GB"/>
        </w:rPr>
        <w:t xml:space="preserve">unique random </w:t>
      </w:r>
      <w:r w:rsidR="004C45F3" w:rsidRPr="00EB2576">
        <w:rPr>
          <w:rFonts w:ascii="Times New Roman" w:hAnsi="Times New Roman" w:cs="Times New Roman"/>
          <w:kern w:val="24"/>
          <w:sz w:val="24"/>
          <w:szCs w:val="24"/>
          <w:lang w:eastAsia="en-GB"/>
        </w:rPr>
        <w:t xml:space="preserve">12-mer peptides fused to the </w:t>
      </w:r>
      <w:proofErr w:type="spellStart"/>
      <w:r w:rsidR="004C45F3" w:rsidRPr="00EB2576">
        <w:rPr>
          <w:rFonts w:ascii="Times New Roman" w:hAnsi="Times New Roman" w:cs="Times New Roman"/>
          <w:kern w:val="24"/>
          <w:sz w:val="24"/>
          <w:szCs w:val="24"/>
          <w:lang w:eastAsia="en-GB"/>
        </w:rPr>
        <w:t>pIII</w:t>
      </w:r>
      <w:proofErr w:type="spellEnd"/>
      <w:r w:rsidR="004C45F3" w:rsidRPr="00EB2576">
        <w:rPr>
          <w:rFonts w:ascii="Times New Roman" w:hAnsi="Times New Roman" w:cs="Times New Roman"/>
          <w:kern w:val="24"/>
          <w:sz w:val="24"/>
          <w:szCs w:val="24"/>
          <w:lang w:eastAsia="en-GB"/>
        </w:rPr>
        <w:t xml:space="preserve"> gene of M13 phage. M13KE as a phage vector</w:t>
      </w:r>
      <w:r w:rsidR="00E57AB8" w:rsidRPr="00EB2576">
        <w:rPr>
          <w:rFonts w:ascii="Times New Roman" w:hAnsi="Times New Roman" w:cs="Times New Roman"/>
          <w:kern w:val="24"/>
          <w:sz w:val="24"/>
          <w:szCs w:val="24"/>
          <w:lang w:eastAsia="en-GB"/>
        </w:rPr>
        <w:t>, which</w:t>
      </w:r>
      <w:r w:rsidR="004C45F3" w:rsidRPr="00EB2576">
        <w:rPr>
          <w:rFonts w:ascii="Times New Roman" w:hAnsi="Times New Roman" w:cs="Times New Roman"/>
          <w:kern w:val="24"/>
          <w:sz w:val="24"/>
          <w:szCs w:val="24"/>
          <w:lang w:eastAsia="en-GB"/>
        </w:rPr>
        <w:t xml:space="preserve"> allows all 5 copies of the </w:t>
      </w:r>
      <w:proofErr w:type="spellStart"/>
      <w:r w:rsidR="004C45F3" w:rsidRPr="00EB2576">
        <w:rPr>
          <w:rFonts w:ascii="Times New Roman" w:hAnsi="Times New Roman" w:cs="Times New Roman"/>
          <w:kern w:val="24"/>
          <w:sz w:val="24"/>
          <w:szCs w:val="24"/>
          <w:lang w:eastAsia="en-GB"/>
        </w:rPr>
        <w:t>pIII</w:t>
      </w:r>
      <w:proofErr w:type="spellEnd"/>
      <w:r w:rsidR="004C45F3" w:rsidRPr="00EB2576">
        <w:rPr>
          <w:rFonts w:ascii="Times New Roman" w:hAnsi="Times New Roman" w:cs="Times New Roman"/>
          <w:kern w:val="24"/>
          <w:sz w:val="24"/>
          <w:szCs w:val="24"/>
          <w:lang w:eastAsia="en-GB"/>
        </w:rPr>
        <w:t xml:space="preserve"> coat protein to display the fused peptide. Approximately 10</w:t>
      </w:r>
      <w:r w:rsidR="004C45F3" w:rsidRPr="00EB2576">
        <w:rPr>
          <w:rFonts w:ascii="Times New Roman" w:hAnsi="Times New Roman" w:cs="Times New Roman"/>
          <w:kern w:val="24"/>
          <w:position w:val="16"/>
          <w:sz w:val="24"/>
          <w:szCs w:val="24"/>
          <w:vertAlign w:val="superscript"/>
          <w:lang w:eastAsia="en-GB"/>
        </w:rPr>
        <w:t>9</w:t>
      </w:r>
      <w:r w:rsidR="004C45F3" w:rsidRPr="00EB2576">
        <w:rPr>
          <w:rFonts w:ascii="Times New Roman" w:hAnsi="Times New Roman" w:cs="Times New Roman"/>
          <w:kern w:val="24"/>
          <w:sz w:val="24"/>
          <w:szCs w:val="24"/>
          <w:lang w:eastAsia="en-GB"/>
        </w:rPr>
        <w:t xml:space="preserve"> random unique peptide sequences </w:t>
      </w:r>
      <w:r w:rsidR="00E57AB8" w:rsidRPr="00EB2576">
        <w:rPr>
          <w:rFonts w:ascii="Times New Roman" w:hAnsi="Times New Roman" w:cs="Times New Roman"/>
          <w:kern w:val="24"/>
          <w:sz w:val="24"/>
          <w:szCs w:val="24"/>
          <w:lang w:eastAsia="en-GB"/>
        </w:rPr>
        <w:t xml:space="preserve">are in a library, </w:t>
      </w:r>
      <w:r w:rsidR="004C45F3" w:rsidRPr="00EB2576">
        <w:rPr>
          <w:rFonts w:ascii="Times New Roman" w:hAnsi="Times New Roman" w:cs="Times New Roman"/>
          <w:kern w:val="24"/>
          <w:sz w:val="24"/>
          <w:szCs w:val="24"/>
          <w:lang w:eastAsia="en-GB"/>
        </w:rPr>
        <w:t xml:space="preserve">which allows identification of </w:t>
      </w:r>
      <w:proofErr w:type="spellStart"/>
      <w:r w:rsidR="004C45F3" w:rsidRPr="00EB2576">
        <w:rPr>
          <w:rFonts w:ascii="Times New Roman" w:hAnsi="Times New Roman" w:cs="Times New Roman"/>
          <w:kern w:val="24"/>
          <w:sz w:val="24"/>
          <w:szCs w:val="24"/>
          <w:lang w:eastAsia="en-GB"/>
        </w:rPr>
        <w:t>mimitopes</w:t>
      </w:r>
      <w:proofErr w:type="spellEnd"/>
      <w:r w:rsidR="00E57AB8" w:rsidRPr="00EB2576">
        <w:rPr>
          <w:rFonts w:ascii="Times New Roman" w:hAnsi="Times New Roman" w:cs="Times New Roman"/>
          <w:kern w:val="24"/>
          <w:sz w:val="24"/>
          <w:szCs w:val="24"/>
          <w:lang w:eastAsia="en-GB"/>
        </w:rPr>
        <w:t>.</w:t>
      </w:r>
    </w:p>
    <w:p w14:paraId="7717F281" w14:textId="74CD61AE" w:rsidR="004C45F3" w:rsidRPr="00EB2576" w:rsidRDefault="00E57AB8" w:rsidP="00841842">
      <w:pPr>
        <w:autoSpaceDE w:val="0"/>
        <w:autoSpaceDN w:val="0"/>
        <w:adjustRightInd w:val="0"/>
        <w:spacing w:after="0" w:line="480" w:lineRule="auto"/>
        <w:jc w:val="left"/>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 xml:space="preserve"> </w:t>
      </w:r>
    </w:p>
    <w:p w14:paraId="6CBF35C6" w14:textId="1D727915" w:rsidR="004C45F3" w:rsidRPr="00EB2576" w:rsidRDefault="00FC2FFF" w:rsidP="00841842">
      <w:pPr>
        <w:pStyle w:val="Heading3"/>
        <w:spacing w:line="480" w:lineRule="auto"/>
        <w:rPr>
          <w:rFonts w:ascii="Times New Roman" w:hAnsi="Times New Roman" w:cs="Times New Roman"/>
          <w:b/>
          <w:bCs/>
        </w:rPr>
      </w:pPr>
      <w:bookmarkStart w:id="298" w:name="_Toc151020547"/>
      <w:r w:rsidRPr="00EB2576">
        <w:rPr>
          <w:rFonts w:ascii="Times New Roman" w:hAnsi="Times New Roman" w:cs="Times New Roman"/>
          <w:b/>
          <w:bCs/>
        </w:rPr>
        <w:t>6</w:t>
      </w:r>
      <w:r w:rsidR="004B6BD9" w:rsidRPr="00EB2576">
        <w:rPr>
          <w:rFonts w:ascii="Times New Roman" w:hAnsi="Times New Roman" w:cs="Times New Roman"/>
          <w:b/>
          <w:bCs/>
        </w:rPr>
        <w:t>.2.</w:t>
      </w:r>
      <w:r w:rsidR="00894540" w:rsidRPr="00EB2576">
        <w:rPr>
          <w:rFonts w:ascii="Times New Roman" w:hAnsi="Times New Roman" w:cs="Times New Roman"/>
          <w:b/>
          <w:bCs/>
        </w:rPr>
        <w:t>7</w:t>
      </w:r>
      <w:r w:rsidR="004B6BD9" w:rsidRPr="00EB2576">
        <w:rPr>
          <w:rFonts w:ascii="Times New Roman" w:hAnsi="Times New Roman" w:cs="Times New Roman"/>
          <w:b/>
          <w:bCs/>
        </w:rPr>
        <w:t xml:space="preserve"> </w:t>
      </w:r>
      <w:r w:rsidR="004C45F3" w:rsidRPr="00EB2576">
        <w:rPr>
          <w:rFonts w:ascii="Times New Roman" w:hAnsi="Times New Roman" w:cs="Times New Roman"/>
          <w:b/>
          <w:bCs/>
        </w:rPr>
        <w:t xml:space="preserve">Selection of the RPL using in solution method with Protein A </w:t>
      </w:r>
      <w:proofErr w:type="spellStart"/>
      <w:r w:rsidR="004C45F3" w:rsidRPr="00EB2576">
        <w:rPr>
          <w:rFonts w:ascii="Times New Roman" w:hAnsi="Times New Roman" w:cs="Times New Roman"/>
          <w:b/>
          <w:bCs/>
        </w:rPr>
        <w:t>Dynabeads</w:t>
      </w:r>
      <w:bookmarkEnd w:id="298"/>
      <w:proofErr w:type="spellEnd"/>
    </w:p>
    <w:p w14:paraId="795B0D24" w14:textId="3AC12AAE" w:rsidR="00655009" w:rsidRPr="00EB2576" w:rsidRDefault="00DC22F0" w:rsidP="00D52273">
      <w:pPr>
        <w:spacing w:after="0" w:line="480" w:lineRule="auto"/>
        <w:rPr>
          <w:rFonts w:ascii="Times New Roman" w:hAnsi="Times New Roman" w:cs="Times New Roman"/>
          <w:kern w:val="24"/>
          <w:sz w:val="24"/>
          <w:szCs w:val="24"/>
          <w:lang w:eastAsia="en-GB"/>
        </w:rPr>
      </w:pPr>
      <w:r w:rsidRPr="00EB2576">
        <w:rPr>
          <w:rFonts w:ascii="Times New Roman" w:hAnsi="Times New Roman" w:cs="Times New Roman"/>
          <w:sz w:val="24"/>
          <w:szCs w:val="24"/>
        </w:rPr>
        <w:t xml:space="preserve">Four rounds of selection of the RPL </w:t>
      </w:r>
      <w:r w:rsidR="00655009" w:rsidRPr="00EB2576">
        <w:rPr>
          <w:rFonts w:ascii="Times New Roman" w:hAnsi="Times New Roman" w:cs="Times New Roman"/>
          <w:sz w:val="24"/>
          <w:szCs w:val="24"/>
        </w:rPr>
        <w:t>were performed using</w:t>
      </w:r>
      <w:r w:rsidR="004C45F3" w:rsidRPr="00EB2576">
        <w:rPr>
          <w:rFonts w:ascii="Times New Roman" w:hAnsi="Times New Roman" w:cs="Times New Roman"/>
          <w:sz w:val="24"/>
          <w:szCs w:val="24"/>
        </w:rPr>
        <w:t xml:space="preserve"> </w:t>
      </w:r>
      <w:r w:rsidR="00B05E65" w:rsidRPr="00EB2576">
        <w:rPr>
          <w:rFonts w:ascii="Times New Roman" w:hAnsi="Times New Roman" w:cs="Times New Roman"/>
          <w:sz w:val="24"/>
          <w:szCs w:val="24"/>
        </w:rPr>
        <w:t>an in-solution method</w:t>
      </w:r>
      <w:r w:rsidR="00D31D95" w:rsidRPr="00EB2576">
        <w:rPr>
          <w:rFonts w:ascii="Times New Roman" w:hAnsi="Times New Roman" w:cs="Times New Roman"/>
          <w:sz w:val="24"/>
          <w:szCs w:val="24"/>
        </w:rPr>
        <w:t>.</w:t>
      </w:r>
      <w:r w:rsidR="00655009" w:rsidRPr="00EB2576">
        <w:rPr>
          <w:rFonts w:ascii="Times New Roman" w:hAnsi="Times New Roman" w:cs="Times New Roman"/>
          <w:sz w:val="24"/>
          <w:szCs w:val="24"/>
        </w:rPr>
        <w:t xml:space="preserve"> </w:t>
      </w:r>
      <w:r w:rsidR="00D31D95" w:rsidRPr="00EB2576">
        <w:rPr>
          <w:rFonts w:ascii="Times New Roman" w:hAnsi="Times New Roman" w:cs="Times New Roman"/>
          <w:sz w:val="24"/>
          <w:szCs w:val="24"/>
        </w:rPr>
        <w:t>P</w:t>
      </w:r>
      <w:r w:rsidRPr="00EB2576">
        <w:rPr>
          <w:rFonts w:ascii="Times New Roman" w:hAnsi="Times New Roman" w:cs="Times New Roman"/>
          <w:sz w:val="24"/>
          <w:szCs w:val="24"/>
        </w:rPr>
        <w:t xml:space="preserve">ooled sera was </w:t>
      </w:r>
      <w:r w:rsidR="00B05E65" w:rsidRPr="00EB2576">
        <w:rPr>
          <w:rFonts w:ascii="Times New Roman" w:hAnsi="Times New Roman" w:cs="Times New Roman"/>
          <w:sz w:val="24"/>
          <w:szCs w:val="24"/>
        </w:rPr>
        <w:t>incubat</w:t>
      </w:r>
      <w:r w:rsidRPr="00EB2576">
        <w:rPr>
          <w:rFonts w:ascii="Times New Roman" w:hAnsi="Times New Roman" w:cs="Times New Roman"/>
          <w:sz w:val="24"/>
          <w:szCs w:val="24"/>
        </w:rPr>
        <w:t xml:space="preserve">ed with </w:t>
      </w:r>
      <w:r w:rsidR="00B05E65" w:rsidRPr="00EB2576">
        <w:rPr>
          <w:rFonts w:ascii="Times New Roman" w:hAnsi="Times New Roman" w:cs="Times New Roman"/>
          <w:sz w:val="24"/>
          <w:szCs w:val="24"/>
        </w:rPr>
        <w:t>phage</w:t>
      </w:r>
      <w:r w:rsidRPr="00EB2576">
        <w:rPr>
          <w:rFonts w:ascii="Times New Roman" w:hAnsi="Times New Roman" w:cs="Times New Roman"/>
          <w:sz w:val="24"/>
          <w:szCs w:val="24"/>
        </w:rPr>
        <w:t>,</w:t>
      </w:r>
      <w:r w:rsidR="00B05E65" w:rsidRPr="00EB2576">
        <w:rPr>
          <w:rFonts w:ascii="Times New Roman" w:hAnsi="Times New Roman" w:cs="Times New Roman"/>
          <w:sz w:val="24"/>
          <w:szCs w:val="24"/>
        </w:rPr>
        <w:t xml:space="preserve"> with subsequent capture </w:t>
      </w:r>
      <w:r w:rsidR="00FA6646" w:rsidRPr="00EB2576">
        <w:rPr>
          <w:rFonts w:ascii="Times New Roman" w:hAnsi="Times New Roman" w:cs="Times New Roman"/>
          <w:sz w:val="24"/>
          <w:szCs w:val="24"/>
        </w:rPr>
        <w:t xml:space="preserve">of the </w:t>
      </w:r>
      <w:r w:rsidR="00B93A3E" w:rsidRPr="00EB2576">
        <w:rPr>
          <w:rFonts w:ascii="Times New Roman" w:hAnsi="Times New Roman" w:cs="Times New Roman"/>
          <w:sz w:val="24"/>
          <w:szCs w:val="24"/>
        </w:rPr>
        <w:t>immunoglobulins and therefore bound phage</w:t>
      </w:r>
      <w:r w:rsidR="00FA6646" w:rsidRPr="00EB2576">
        <w:rPr>
          <w:rFonts w:ascii="Times New Roman" w:hAnsi="Times New Roman" w:cs="Times New Roman"/>
          <w:sz w:val="24"/>
          <w:szCs w:val="24"/>
        </w:rPr>
        <w:t xml:space="preserve"> </w:t>
      </w:r>
      <w:r w:rsidR="00B05E65" w:rsidRPr="00EB2576">
        <w:rPr>
          <w:rFonts w:ascii="Times New Roman" w:hAnsi="Times New Roman" w:cs="Times New Roman"/>
          <w:sz w:val="24"/>
          <w:szCs w:val="24"/>
        </w:rPr>
        <w:t>using</w:t>
      </w:r>
      <w:r w:rsidR="00EE4C8F" w:rsidRPr="00EB2576">
        <w:rPr>
          <w:rFonts w:ascii="Times New Roman" w:hAnsi="Times New Roman" w:cs="Times New Roman"/>
          <w:sz w:val="24"/>
          <w:szCs w:val="24"/>
        </w:rPr>
        <w:t xml:space="preserve"> </w:t>
      </w:r>
      <w:proofErr w:type="spellStart"/>
      <w:r w:rsidR="00B05E65" w:rsidRPr="00EB2576">
        <w:rPr>
          <w:rFonts w:ascii="Times New Roman" w:hAnsi="Times New Roman" w:cs="Times New Roman"/>
          <w:kern w:val="24"/>
          <w:sz w:val="24"/>
          <w:szCs w:val="24"/>
          <w:lang w:eastAsia="en-GB"/>
        </w:rPr>
        <w:t>Dynabeads</w:t>
      </w:r>
      <w:proofErr w:type="spellEnd"/>
      <w:r w:rsidR="00B05E65" w:rsidRPr="00EB2576">
        <w:rPr>
          <w:rFonts w:ascii="Times New Roman" w:hAnsi="Times New Roman" w:cs="Times New Roman"/>
          <w:kern w:val="24"/>
          <w:sz w:val="24"/>
          <w:szCs w:val="24"/>
          <w:lang w:eastAsia="en-GB"/>
        </w:rPr>
        <w:t xml:space="preserve">™ </w:t>
      </w:r>
      <w:r w:rsidR="00EE4C8F" w:rsidRPr="00EB2576">
        <w:rPr>
          <w:rFonts w:ascii="Times New Roman" w:hAnsi="Times New Roman" w:cs="Times New Roman"/>
          <w:sz w:val="24"/>
          <w:szCs w:val="24"/>
        </w:rPr>
        <w:t>protein A magnetic beads</w:t>
      </w:r>
      <w:r w:rsidR="00B05E65" w:rsidRPr="00EB2576">
        <w:rPr>
          <w:rFonts w:ascii="Times New Roman" w:hAnsi="Times New Roman" w:cs="Times New Roman"/>
          <w:sz w:val="24"/>
          <w:szCs w:val="24"/>
        </w:rPr>
        <w:t xml:space="preserve"> </w:t>
      </w:r>
      <w:bookmarkStart w:id="299" w:name="_Hlk114739541"/>
      <w:r w:rsidR="00B05E65" w:rsidRPr="00EB2576">
        <w:rPr>
          <w:rFonts w:ascii="Times New Roman" w:hAnsi="Times New Roman" w:cs="Times New Roman"/>
          <w:sz w:val="24"/>
          <w:szCs w:val="24"/>
        </w:rPr>
        <w:t>(</w:t>
      </w:r>
      <w:proofErr w:type="spellStart"/>
      <w:r w:rsidR="00B05E65" w:rsidRPr="00EB2576">
        <w:rPr>
          <w:rFonts w:ascii="Times New Roman" w:hAnsi="Times New Roman" w:cs="Times New Roman"/>
          <w:sz w:val="24"/>
          <w:szCs w:val="24"/>
        </w:rPr>
        <w:t>Thermo</w:t>
      </w:r>
      <w:proofErr w:type="spellEnd"/>
      <w:r w:rsidR="00B05E65" w:rsidRPr="00EB2576">
        <w:rPr>
          <w:rFonts w:ascii="Times New Roman" w:hAnsi="Times New Roman" w:cs="Times New Roman"/>
          <w:sz w:val="24"/>
          <w:szCs w:val="24"/>
        </w:rPr>
        <w:t xml:space="preserve"> Fisher Scientific, </w:t>
      </w:r>
      <w:r w:rsidR="00B05E65" w:rsidRPr="00EB2576">
        <w:rPr>
          <w:rFonts w:ascii="Times New Roman" w:hAnsi="Times New Roman" w:cs="Times New Roman"/>
          <w:sz w:val="24"/>
          <w:szCs w:val="24"/>
          <w:shd w:val="clear" w:color="auto" w:fill="FFFFFF"/>
        </w:rPr>
        <w:t>Massachusetts, United States</w:t>
      </w:r>
      <w:r w:rsidR="00B05E65" w:rsidRPr="00EB2576">
        <w:rPr>
          <w:rFonts w:ascii="Times New Roman" w:hAnsi="Times New Roman" w:cs="Times New Roman"/>
          <w:sz w:val="24"/>
          <w:szCs w:val="24"/>
        </w:rPr>
        <w:t>)</w:t>
      </w:r>
      <w:r w:rsidR="00EE4C8F" w:rsidRPr="00EB2576">
        <w:rPr>
          <w:rFonts w:ascii="Times New Roman" w:hAnsi="Times New Roman" w:cs="Times New Roman"/>
          <w:sz w:val="24"/>
          <w:szCs w:val="24"/>
        </w:rPr>
        <w:t>.</w:t>
      </w:r>
      <w:r w:rsidR="00655009" w:rsidRPr="00EB2576">
        <w:rPr>
          <w:rFonts w:ascii="Times New Roman" w:hAnsi="Times New Roman" w:cs="Times New Roman"/>
          <w:sz w:val="24"/>
          <w:szCs w:val="24"/>
        </w:rPr>
        <w:t xml:space="preserve"> The method is summarised diagrammatically in Figure </w:t>
      </w:r>
      <w:r w:rsidR="00E3286F" w:rsidRPr="00EB2576">
        <w:rPr>
          <w:rFonts w:ascii="Times New Roman" w:hAnsi="Times New Roman" w:cs="Times New Roman"/>
          <w:sz w:val="24"/>
          <w:szCs w:val="24"/>
        </w:rPr>
        <w:t>31</w:t>
      </w:r>
      <w:r w:rsidR="00655009" w:rsidRPr="00EB2576">
        <w:rPr>
          <w:rFonts w:ascii="Times New Roman" w:hAnsi="Times New Roman" w:cs="Times New Roman"/>
          <w:sz w:val="24"/>
          <w:szCs w:val="24"/>
        </w:rPr>
        <w:t>.</w:t>
      </w:r>
      <w:r w:rsidR="00B05E65" w:rsidRPr="00EB2576">
        <w:rPr>
          <w:rFonts w:ascii="Times New Roman" w:hAnsi="Times New Roman" w:cs="Times New Roman"/>
          <w:kern w:val="24"/>
          <w:sz w:val="24"/>
          <w:szCs w:val="24"/>
        </w:rPr>
        <w:t xml:space="preserve"> </w:t>
      </w:r>
      <w:bookmarkStart w:id="300" w:name="_Hlk114737404"/>
      <w:bookmarkEnd w:id="299"/>
      <w:proofErr w:type="spellStart"/>
      <w:r w:rsidR="00B05E65" w:rsidRPr="00EB2576">
        <w:rPr>
          <w:rFonts w:ascii="Times New Roman" w:hAnsi="Times New Roman" w:cs="Times New Roman"/>
          <w:kern w:val="24"/>
          <w:sz w:val="24"/>
          <w:szCs w:val="24"/>
          <w:lang w:eastAsia="en-GB"/>
        </w:rPr>
        <w:t>Dynabeads</w:t>
      </w:r>
      <w:proofErr w:type="spellEnd"/>
      <w:r w:rsidR="00B05E65" w:rsidRPr="00EB2576">
        <w:rPr>
          <w:rFonts w:ascii="Times New Roman" w:hAnsi="Times New Roman" w:cs="Times New Roman"/>
          <w:kern w:val="24"/>
          <w:sz w:val="24"/>
          <w:szCs w:val="24"/>
          <w:lang w:eastAsia="en-GB"/>
        </w:rPr>
        <w:t xml:space="preserve">™ </w:t>
      </w:r>
      <w:bookmarkEnd w:id="300"/>
      <w:r w:rsidR="00B05E65" w:rsidRPr="00EB2576">
        <w:rPr>
          <w:rFonts w:ascii="Times New Roman" w:hAnsi="Times New Roman" w:cs="Times New Roman"/>
          <w:kern w:val="24"/>
          <w:sz w:val="24"/>
          <w:szCs w:val="24"/>
          <w:lang w:eastAsia="en-GB"/>
        </w:rPr>
        <w:t xml:space="preserve">are uniform, 2.8µm </w:t>
      </w:r>
      <w:proofErr w:type="spellStart"/>
      <w:r w:rsidR="00B05E65" w:rsidRPr="00EB2576">
        <w:rPr>
          <w:rFonts w:ascii="Times New Roman" w:hAnsi="Times New Roman" w:cs="Times New Roman"/>
          <w:kern w:val="24"/>
          <w:sz w:val="24"/>
          <w:szCs w:val="24"/>
          <w:lang w:eastAsia="en-GB"/>
        </w:rPr>
        <w:t>supermagnetic</w:t>
      </w:r>
      <w:proofErr w:type="spellEnd"/>
      <w:r w:rsidR="00B05E65" w:rsidRPr="00EB2576">
        <w:rPr>
          <w:rFonts w:ascii="Times New Roman" w:hAnsi="Times New Roman" w:cs="Times New Roman"/>
          <w:kern w:val="24"/>
          <w:sz w:val="24"/>
          <w:szCs w:val="24"/>
          <w:lang w:eastAsia="en-GB"/>
        </w:rPr>
        <w:t xml:space="preserve"> beads covalently coupled with recombinant Protein A on their</w:t>
      </w:r>
      <w:r w:rsidR="009E58F0" w:rsidRPr="00EB2576">
        <w:rPr>
          <w:rFonts w:ascii="Times New Roman" w:hAnsi="Times New Roman" w:cs="Times New Roman"/>
          <w:kern w:val="24"/>
          <w:sz w:val="24"/>
          <w:szCs w:val="24"/>
          <w:lang w:eastAsia="en-GB"/>
        </w:rPr>
        <w:t xml:space="preserve"> </w:t>
      </w:r>
      <w:r w:rsidR="00B05E65" w:rsidRPr="00EB2576">
        <w:rPr>
          <w:rFonts w:ascii="Times New Roman" w:hAnsi="Times New Roman" w:cs="Times New Roman"/>
          <w:kern w:val="24"/>
          <w:sz w:val="24"/>
          <w:szCs w:val="24"/>
          <w:lang w:eastAsia="en-GB"/>
        </w:rPr>
        <w:t>surfac</w:t>
      </w:r>
      <w:r w:rsidR="00FA6646" w:rsidRPr="00EB2576">
        <w:rPr>
          <w:rFonts w:ascii="Times New Roman" w:hAnsi="Times New Roman" w:cs="Times New Roman"/>
          <w:kern w:val="24"/>
          <w:sz w:val="24"/>
          <w:szCs w:val="24"/>
          <w:lang w:eastAsia="en-GB"/>
        </w:rPr>
        <w:t>e</w:t>
      </w:r>
      <w:r w:rsidR="00B05E65" w:rsidRPr="00EB2576">
        <w:rPr>
          <w:rFonts w:ascii="Times New Roman" w:hAnsi="Times New Roman" w:cs="Times New Roman"/>
          <w:kern w:val="24"/>
          <w:sz w:val="24"/>
          <w:szCs w:val="24"/>
          <w:lang w:eastAsia="en-GB"/>
        </w:rPr>
        <w:t xml:space="preserve">. Protein A is </w:t>
      </w:r>
      <w:r w:rsidR="009E58F0" w:rsidRPr="00EB2576">
        <w:rPr>
          <w:rFonts w:ascii="Times New Roman" w:hAnsi="Times New Roman" w:cs="Times New Roman"/>
          <w:kern w:val="24"/>
          <w:sz w:val="24"/>
          <w:szCs w:val="24"/>
          <w:lang w:eastAsia="en-GB"/>
        </w:rPr>
        <w:t>derived</w:t>
      </w:r>
      <w:r w:rsidR="00B05E65" w:rsidRPr="00EB2576">
        <w:rPr>
          <w:rFonts w:ascii="Times New Roman" w:hAnsi="Times New Roman" w:cs="Times New Roman"/>
          <w:kern w:val="24"/>
          <w:sz w:val="24"/>
          <w:szCs w:val="24"/>
          <w:lang w:eastAsia="en-GB"/>
        </w:rPr>
        <w:t xml:space="preserve"> </w:t>
      </w:r>
      <w:r w:rsidR="009E58F0" w:rsidRPr="00EB2576">
        <w:rPr>
          <w:rFonts w:ascii="Times New Roman" w:hAnsi="Times New Roman" w:cs="Times New Roman"/>
          <w:kern w:val="24"/>
          <w:sz w:val="24"/>
          <w:szCs w:val="24"/>
          <w:lang w:eastAsia="en-GB"/>
        </w:rPr>
        <w:t xml:space="preserve">from </w:t>
      </w:r>
      <w:r w:rsidR="00B05E65" w:rsidRPr="00EB2576">
        <w:rPr>
          <w:rFonts w:ascii="Times New Roman" w:hAnsi="Times New Roman" w:cs="Times New Roman"/>
          <w:kern w:val="24"/>
          <w:sz w:val="24"/>
          <w:szCs w:val="24"/>
          <w:lang w:eastAsia="en-GB"/>
        </w:rPr>
        <w:t>the cell wall of th</w:t>
      </w:r>
      <w:r w:rsidR="00F9470E" w:rsidRPr="00EB2576">
        <w:rPr>
          <w:rFonts w:ascii="Times New Roman" w:hAnsi="Times New Roman" w:cs="Times New Roman"/>
          <w:kern w:val="24"/>
          <w:sz w:val="24"/>
          <w:szCs w:val="24"/>
          <w:lang w:eastAsia="en-GB"/>
        </w:rPr>
        <w:t>e b</w:t>
      </w:r>
      <w:r w:rsidR="00B05E65" w:rsidRPr="00EB2576">
        <w:rPr>
          <w:rFonts w:ascii="Times New Roman" w:hAnsi="Times New Roman" w:cs="Times New Roman"/>
          <w:kern w:val="24"/>
          <w:sz w:val="24"/>
          <w:szCs w:val="24"/>
          <w:lang w:eastAsia="en-GB"/>
        </w:rPr>
        <w:t>acteria </w:t>
      </w:r>
      <w:r w:rsidR="00B05E65" w:rsidRPr="00EB2576">
        <w:rPr>
          <w:rFonts w:ascii="Times New Roman" w:hAnsi="Times New Roman" w:cs="Times New Roman"/>
          <w:i/>
          <w:iCs/>
          <w:kern w:val="24"/>
          <w:sz w:val="24"/>
          <w:szCs w:val="24"/>
          <w:lang w:eastAsia="en-GB"/>
        </w:rPr>
        <w:t>Staphylococcus aureus</w:t>
      </w:r>
      <w:r w:rsidR="00FA6646" w:rsidRPr="00EB2576">
        <w:rPr>
          <w:rFonts w:ascii="Times New Roman" w:hAnsi="Times New Roman" w:cs="Times New Roman"/>
          <w:kern w:val="24"/>
          <w:sz w:val="24"/>
          <w:szCs w:val="24"/>
          <w:lang w:eastAsia="en-GB"/>
        </w:rPr>
        <w:t xml:space="preserve"> and </w:t>
      </w:r>
      <w:r w:rsidR="00841842" w:rsidRPr="00EB2576">
        <w:rPr>
          <w:rFonts w:ascii="Times New Roman" w:hAnsi="Times New Roman" w:cs="Times New Roman"/>
          <w:kern w:val="24"/>
          <w:sz w:val="24"/>
          <w:szCs w:val="24"/>
          <w:lang w:eastAsia="en-GB"/>
        </w:rPr>
        <w:t>has a high affinity for the Fc segment of</w:t>
      </w:r>
      <w:r w:rsidR="00FA6646" w:rsidRPr="00EB2576">
        <w:rPr>
          <w:rFonts w:ascii="Times New Roman" w:hAnsi="Times New Roman" w:cs="Times New Roman"/>
          <w:kern w:val="24"/>
          <w:sz w:val="24"/>
          <w:szCs w:val="24"/>
          <w:lang w:eastAsia="en-GB"/>
        </w:rPr>
        <w:t xml:space="preserve"> </w:t>
      </w:r>
      <w:r w:rsidR="009E58F0" w:rsidRPr="00EB2576">
        <w:rPr>
          <w:rFonts w:ascii="Times New Roman" w:hAnsi="Times New Roman" w:cs="Times New Roman"/>
          <w:kern w:val="24"/>
          <w:sz w:val="24"/>
          <w:szCs w:val="24"/>
          <w:lang w:eastAsia="en-GB"/>
        </w:rPr>
        <w:t>most</w:t>
      </w:r>
      <w:r w:rsidR="00FA6646" w:rsidRPr="00EB2576">
        <w:rPr>
          <w:rFonts w:ascii="Times New Roman" w:hAnsi="Times New Roman" w:cs="Times New Roman"/>
          <w:kern w:val="24"/>
          <w:sz w:val="24"/>
          <w:szCs w:val="24"/>
          <w:lang w:eastAsia="en-GB"/>
        </w:rPr>
        <w:t xml:space="preserve"> human IgG</w:t>
      </w:r>
      <w:r w:rsidR="009E58F0" w:rsidRPr="00EB2576">
        <w:rPr>
          <w:rFonts w:ascii="Times New Roman" w:hAnsi="Times New Roman" w:cs="Times New Roman"/>
          <w:kern w:val="24"/>
          <w:sz w:val="24"/>
          <w:szCs w:val="24"/>
          <w:lang w:eastAsia="en-GB"/>
        </w:rPr>
        <w:t xml:space="preserve"> as shown in Table </w:t>
      </w:r>
      <w:r w:rsidR="00334B74" w:rsidRPr="00EB2576">
        <w:rPr>
          <w:rFonts w:ascii="Times New Roman" w:hAnsi="Times New Roman" w:cs="Times New Roman"/>
          <w:kern w:val="24"/>
          <w:sz w:val="24"/>
          <w:szCs w:val="24"/>
          <w:lang w:eastAsia="en-GB"/>
        </w:rPr>
        <w:t>13</w:t>
      </w:r>
      <w:r w:rsidR="00FA6646" w:rsidRPr="00EB2576">
        <w:rPr>
          <w:rFonts w:ascii="Times New Roman" w:hAnsi="Times New Roman" w:cs="Times New Roman"/>
          <w:kern w:val="24"/>
          <w:sz w:val="24"/>
          <w:szCs w:val="24"/>
          <w:lang w:eastAsia="en-GB"/>
        </w:rPr>
        <w:t xml:space="preserve"> </w:t>
      </w:r>
      <w:r w:rsidR="00FA6646" w:rsidRPr="00EB2576">
        <w:rPr>
          <w:rFonts w:ascii="Times New Roman" w:hAnsi="Times New Roman" w:cs="Times New Roman"/>
          <w:kern w:val="24"/>
          <w:sz w:val="24"/>
          <w:szCs w:val="24"/>
          <w:lang w:eastAsia="en-GB"/>
        </w:rPr>
        <w:fldChar w:fldCharType="begin" w:fldLock="1"/>
      </w:r>
      <w:r w:rsidR="009577AC" w:rsidRPr="00EB2576">
        <w:rPr>
          <w:rFonts w:ascii="Times New Roman" w:hAnsi="Times New Roman" w:cs="Times New Roman"/>
          <w:kern w:val="24"/>
          <w:sz w:val="24"/>
          <w:szCs w:val="24"/>
          <w:lang w:eastAsia="en-GB"/>
        </w:rPr>
        <w:instrText>ADDIN CSL_CITATION {"citationItems":[{"id":"ITEM-1","itemData":{"DOI":"10.1016/S0006-3495(03)74870-X","ISSN":"00063495","author":[{"dropping-particle":"","family":"Yang","given":"L.","non-dropping-particle":"","parse-names":false,"suffix":""},{"dropping-particle":"","family":"Biswas","given":"M.E.","non-dropping-particle":"","parse-names":false,"suffix":""},{"dropping-particle":"","family":"Chen","given":"P.","non-dropping-particle":"","parse-names":false,"suffix":""}],"container-title":"Biophysical Journal","id":"ITEM-1","issue":"1","issued":{"date-parts":[["2003","1"]]},"page":"509-522","title":"Study of Binding between Protein A and Immunoglobulin G Using a Surface Tension Probe","type":"article-journal","volume":"84"},"uris":["http://www.mendeley.com/documents/?uuid=8421d37f-7e84-4f23-93e5-5cf07be475b3"]}],"mendeley":{"formattedCitation":"&lt;sup&gt;202&lt;/sup&gt;","plainTextFormattedCitation":"202","previouslyFormattedCitation":"&lt;sup&gt;202&lt;/sup&gt;"},"properties":{"noteIndex":0},"schema":"https://github.com/citation-style-language/schema/raw/master/csl-citation.json"}</w:instrText>
      </w:r>
      <w:r w:rsidR="00FA6646" w:rsidRPr="00EB2576">
        <w:rPr>
          <w:rFonts w:ascii="Times New Roman" w:hAnsi="Times New Roman" w:cs="Times New Roman"/>
          <w:kern w:val="24"/>
          <w:sz w:val="24"/>
          <w:szCs w:val="24"/>
          <w:lang w:eastAsia="en-GB"/>
        </w:rPr>
        <w:fldChar w:fldCharType="separate"/>
      </w:r>
      <w:r w:rsidR="00201474" w:rsidRPr="00EB2576">
        <w:rPr>
          <w:rFonts w:ascii="Times New Roman" w:hAnsi="Times New Roman" w:cs="Times New Roman"/>
          <w:noProof/>
          <w:kern w:val="24"/>
          <w:sz w:val="24"/>
          <w:szCs w:val="24"/>
          <w:vertAlign w:val="superscript"/>
          <w:lang w:eastAsia="en-GB"/>
        </w:rPr>
        <w:t>202</w:t>
      </w:r>
      <w:r w:rsidR="00FA6646" w:rsidRPr="00EB2576">
        <w:rPr>
          <w:rFonts w:ascii="Times New Roman" w:hAnsi="Times New Roman" w:cs="Times New Roman"/>
          <w:kern w:val="24"/>
          <w:sz w:val="24"/>
          <w:szCs w:val="24"/>
          <w:lang w:eastAsia="en-GB"/>
        </w:rPr>
        <w:fldChar w:fldCharType="end"/>
      </w:r>
      <w:r w:rsidR="009E58F0" w:rsidRPr="00EB2576">
        <w:rPr>
          <w:rFonts w:ascii="Times New Roman" w:hAnsi="Times New Roman" w:cs="Times New Roman"/>
          <w:kern w:val="24"/>
          <w:sz w:val="24"/>
          <w:szCs w:val="24"/>
          <w:lang w:eastAsia="en-GB"/>
        </w:rPr>
        <w:t>.</w:t>
      </w:r>
    </w:p>
    <w:p w14:paraId="6D219009" w14:textId="77777777" w:rsidR="00EC6894" w:rsidRPr="00EB2576" w:rsidRDefault="00EC6894" w:rsidP="00515C39">
      <w:pPr>
        <w:spacing w:after="0" w:line="480" w:lineRule="auto"/>
        <w:jc w:val="left"/>
        <w:rPr>
          <w:rFonts w:ascii="Times New Roman" w:hAnsi="Times New Roman" w:cs="Times New Roman"/>
          <w:kern w:val="24"/>
          <w:sz w:val="24"/>
          <w:szCs w:val="24"/>
          <w:lang w:eastAsia="en-GB"/>
        </w:rPr>
      </w:pPr>
    </w:p>
    <w:p w14:paraId="5FD75AF9" w14:textId="77777777" w:rsidR="00872815" w:rsidRPr="00EB2576" w:rsidRDefault="00872815" w:rsidP="00515C39">
      <w:pPr>
        <w:spacing w:after="0" w:line="480" w:lineRule="auto"/>
        <w:jc w:val="left"/>
        <w:rPr>
          <w:rFonts w:ascii="Times New Roman" w:hAnsi="Times New Roman" w:cs="Times New Roman"/>
          <w:kern w:val="24"/>
          <w:sz w:val="24"/>
          <w:szCs w:val="24"/>
          <w:lang w:eastAsia="en-GB"/>
        </w:rPr>
      </w:pPr>
    </w:p>
    <w:p w14:paraId="1BAD8BA2" w14:textId="77777777" w:rsidR="00BB5E35" w:rsidRPr="00EB2576" w:rsidRDefault="006B4B2F" w:rsidP="00BB5E35">
      <w:pPr>
        <w:keepNext/>
        <w:spacing w:line="480" w:lineRule="auto"/>
      </w:pPr>
      <w:r w:rsidRPr="00EB2576">
        <w:rPr>
          <w:noProof/>
        </w:rPr>
        <w:lastRenderedPageBreak/>
        <w:drawing>
          <wp:inline distT="0" distB="0" distL="0" distR="0" wp14:anchorId="04F18621" wp14:editId="5E0BCE50">
            <wp:extent cx="4777851" cy="4857750"/>
            <wp:effectExtent l="0" t="0" r="381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96DAC541-7B7A-43D3-8B79-37D633B846F1}">
                          <asvg:svgBlip xmlns:asvg="http://schemas.microsoft.com/office/drawing/2016/SVG/main" r:embed="rId62"/>
                        </a:ext>
                      </a:extLst>
                    </a:blip>
                    <a:srcRect r="44676"/>
                    <a:stretch/>
                  </pic:blipFill>
                  <pic:spPr bwMode="auto">
                    <a:xfrm>
                      <a:off x="0" y="0"/>
                      <a:ext cx="4805416" cy="4885776"/>
                    </a:xfrm>
                    <a:prstGeom prst="rect">
                      <a:avLst/>
                    </a:prstGeom>
                    <a:ln>
                      <a:noFill/>
                    </a:ln>
                    <a:extLst>
                      <a:ext uri="{53640926-AAD7-44D8-BBD7-CCE9431645EC}">
                        <a14:shadowObscured xmlns:a14="http://schemas.microsoft.com/office/drawing/2010/main"/>
                      </a:ext>
                    </a:extLst>
                  </pic:spPr>
                </pic:pic>
              </a:graphicData>
            </a:graphic>
          </wp:inline>
        </w:drawing>
      </w:r>
    </w:p>
    <w:p w14:paraId="0F4F2F3F" w14:textId="77777777" w:rsidR="00E3286F" w:rsidRPr="00EB2576" w:rsidRDefault="00E3286F" w:rsidP="00E3286F">
      <w:pPr>
        <w:pStyle w:val="Caption"/>
        <w:spacing w:line="240" w:lineRule="auto"/>
        <w:rPr>
          <w:rFonts w:ascii="Times New Roman" w:hAnsi="Times New Roman" w:cs="Times New Roman"/>
          <w:sz w:val="24"/>
          <w:szCs w:val="24"/>
        </w:rPr>
      </w:pPr>
      <w:bookmarkStart w:id="301" w:name="_Toc139397330"/>
    </w:p>
    <w:p w14:paraId="29B72FCE" w14:textId="6A77C1B5" w:rsidR="00272968" w:rsidRPr="00EB2576" w:rsidRDefault="00BB5E35" w:rsidP="00E3286F">
      <w:pPr>
        <w:pStyle w:val="Caption"/>
        <w:spacing w:line="240" w:lineRule="auto"/>
        <w:rPr>
          <w:rFonts w:ascii="Times New Roman" w:hAnsi="Times New Roman" w:cs="Times New Roman"/>
          <w:sz w:val="24"/>
          <w:szCs w:val="24"/>
        </w:rPr>
      </w:pPr>
      <w:bookmarkStart w:id="302" w:name="_Toc151020676"/>
      <w:r w:rsidRPr="00EB2576">
        <w:rPr>
          <w:rFonts w:ascii="Times New Roman" w:hAnsi="Times New Roman" w:cs="Times New Roman"/>
          <w:sz w:val="24"/>
          <w:szCs w:val="24"/>
        </w:rPr>
        <w:t xml:space="preserve">Figure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Figure \* ARABIC </w:instrText>
      </w:r>
      <w:r w:rsidRPr="00EB2576">
        <w:rPr>
          <w:rFonts w:ascii="Times New Roman" w:hAnsi="Times New Roman" w:cs="Times New Roman"/>
          <w:sz w:val="24"/>
          <w:szCs w:val="24"/>
        </w:rPr>
        <w:fldChar w:fldCharType="separate"/>
      </w:r>
      <w:r w:rsidR="00192EAE" w:rsidRPr="00EB2576">
        <w:rPr>
          <w:rFonts w:ascii="Times New Roman" w:hAnsi="Times New Roman" w:cs="Times New Roman"/>
          <w:noProof/>
          <w:sz w:val="24"/>
          <w:szCs w:val="24"/>
        </w:rPr>
        <w:t>31</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w:t>
      </w:r>
      <w:r w:rsidR="006651A5" w:rsidRPr="00EB2576">
        <w:rPr>
          <w:rFonts w:ascii="Times New Roman" w:hAnsi="Times New Roman" w:cs="Times New Roman"/>
          <w:sz w:val="24"/>
          <w:szCs w:val="24"/>
        </w:rPr>
        <w:t xml:space="preserve"> Diagrammatic summary of the selection of the 12-mer random peptide phage library (RPL) using pooled ATI positive sera and protein A magnetic beads.</w:t>
      </w:r>
      <w:bookmarkEnd w:id="301"/>
      <w:bookmarkEnd w:id="302"/>
    </w:p>
    <w:p w14:paraId="0367457C" w14:textId="44546468" w:rsidR="00272968" w:rsidRPr="00EB2576" w:rsidRDefault="006B4B2F" w:rsidP="00E3286F">
      <w:pPr>
        <w:spacing w:line="240" w:lineRule="auto"/>
        <w:rPr>
          <w:rFonts w:ascii="Times New Roman" w:hAnsi="Times New Roman" w:cs="Times New Roman"/>
          <w:sz w:val="24"/>
          <w:szCs w:val="24"/>
        </w:rPr>
      </w:pPr>
      <w:r w:rsidRPr="00EB2576">
        <w:rPr>
          <w:rFonts w:ascii="Times New Roman" w:hAnsi="Times New Roman" w:cs="Times New Roman"/>
          <w:sz w:val="24"/>
          <w:szCs w:val="24"/>
        </w:rPr>
        <w:t>Four rounds of selection of the RPL were performed using an in-solution method</w:t>
      </w:r>
      <w:r w:rsidR="00FD3DA4" w:rsidRPr="00EB2576">
        <w:rPr>
          <w:rFonts w:ascii="Times New Roman" w:hAnsi="Times New Roman" w:cs="Times New Roman"/>
          <w:sz w:val="24"/>
          <w:szCs w:val="24"/>
        </w:rPr>
        <w:t>:</w:t>
      </w:r>
      <w:r w:rsidRPr="00EB2576">
        <w:rPr>
          <w:rFonts w:ascii="Times New Roman" w:hAnsi="Times New Roman" w:cs="Times New Roman"/>
          <w:sz w:val="24"/>
          <w:szCs w:val="24"/>
        </w:rPr>
        <w:t xml:space="preserve"> </w:t>
      </w:r>
      <w:r w:rsidR="00FD3DA4" w:rsidRPr="00EB2576">
        <w:rPr>
          <w:rFonts w:ascii="Times New Roman" w:hAnsi="Times New Roman" w:cs="Times New Roman"/>
          <w:sz w:val="24"/>
          <w:szCs w:val="24"/>
        </w:rPr>
        <w:t>p</w:t>
      </w:r>
      <w:r w:rsidRPr="00EB2576">
        <w:rPr>
          <w:rFonts w:ascii="Times New Roman" w:hAnsi="Times New Roman" w:cs="Times New Roman"/>
          <w:sz w:val="24"/>
          <w:szCs w:val="24"/>
        </w:rPr>
        <w:t xml:space="preserve">ooled </w:t>
      </w:r>
      <w:r w:rsidR="00FD3DA4" w:rsidRPr="00EB2576">
        <w:rPr>
          <w:rFonts w:ascii="Times New Roman" w:hAnsi="Times New Roman" w:cs="Times New Roman"/>
          <w:sz w:val="24"/>
          <w:szCs w:val="24"/>
        </w:rPr>
        <w:t>ATI posi</w:t>
      </w:r>
      <w:r w:rsidR="00402A36" w:rsidRPr="00EB2576">
        <w:rPr>
          <w:rFonts w:ascii="Times New Roman" w:hAnsi="Times New Roman" w:cs="Times New Roman"/>
          <w:sz w:val="24"/>
          <w:szCs w:val="24"/>
        </w:rPr>
        <w:t>t</w:t>
      </w:r>
      <w:r w:rsidR="00FD3DA4" w:rsidRPr="00EB2576">
        <w:rPr>
          <w:rFonts w:ascii="Times New Roman" w:hAnsi="Times New Roman" w:cs="Times New Roman"/>
          <w:sz w:val="24"/>
          <w:szCs w:val="24"/>
        </w:rPr>
        <w:t xml:space="preserve">ive </w:t>
      </w:r>
      <w:r w:rsidRPr="00EB2576">
        <w:rPr>
          <w:rFonts w:ascii="Times New Roman" w:hAnsi="Times New Roman" w:cs="Times New Roman"/>
          <w:sz w:val="24"/>
          <w:szCs w:val="24"/>
        </w:rPr>
        <w:t xml:space="preserve">sera was incubated with </w:t>
      </w:r>
      <w:r w:rsidR="00402A36" w:rsidRPr="00EB2576">
        <w:rPr>
          <w:rFonts w:ascii="Times New Roman" w:hAnsi="Times New Roman" w:cs="Times New Roman"/>
          <w:sz w:val="24"/>
          <w:szCs w:val="24"/>
        </w:rPr>
        <w:t xml:space="preserve">the </w:t>
      </w:r>
      <w:r w:rsidRPr="00EB2576">
        <w:rPr>
          <w:rFonts w:ascii="Times New Roman" w:hAnsi="Times New Roman" w:cs="Times New Roman"/>
          <w:sz w:val="24"/>
          <w:szCs w:val="24"/>
        </w:rPr>
        <w:t>phage</w:t>
      </w:r>
      <w:r w:rsidR="00402A36" w:rsidRPr="00EB2576">
        <w:rPr>
          <w:rFonts w:ascii="Times New Roman" w:hAnsi="Times New Roman" w:cs="Times New Roman"/>
          <w:sz w:val="24"/>
          <w:szCs w:val="24"/>
        </w:rPr>
        <w:t xml:space="preserve"> library</w:t>
      </w:r>
      <w:r w:rsidRPr="00EB2576">
        <w:rPr>
          <w:rFonts w:ascii="Times New Roman" w:hAnsi="Times New Roman" w:cs="Times New Roman"/>
          <w:sz w:val="24"/>
          <w:szCs w:val="24"/>
        </w:rPr>
        <w:t xml:space="preserve">, with subsequent capture of </w:t>
      </w:r>
      <w:r w:rsidR="00402A36" w:rsidRPr="00EB2576">
        <w:rPr>
          <w:rFonts w:ascii="Times New Roman" w:hAnsi="Times New Roman" w:cs="Times New Roman"/>
          <w:sz w:val="24"/>
          <w:szCs w:val="24"/>
        </w:rPr>
        <w:t>ATI</w:t>
      </w:r>
      <w:r w:rsidRPr="00EB2576">
        <w:rPr>
          <w:rFonts w:ascii="Times New Roman" w:hAnsi="Times New Roman" w:cs="Times New Roman"/>
          <w:sz w:val="24"/>
          <w:szCs w:val="24"/>
        </w:rPr>
        <w:t xml:space="preserve"> and t</w:t>
      </w:r>
      <w:r w:rsidR="00402A36" w:rsidRPr="00EB2576">
        <w:rPr>
          <w:rFonts w:ascii="Times New Roman" w:hAnsi="Times New Roman" w:cs="Times New Roman"/>
          <w:sz w:val="24"/>
          <w:szCs w:val="24"/>
        </w:rPr>
        <w:t>herefore</w:t>
      </w:r>
      <w:r w:rsidRPr="00EB2576">
        <w:rPr>
          <w:rFonts w:ascii="Times New Roman" w:hAnsi="Times New Roman" w:cs="Times New Roman"/>
          <w:sz w:val="24"/>
          <w:szCs w:val="24"/>
        </w:rPr>
        <w:t xml:space="preserve"> bound phage using </w:t>
      </w:r>
      <w:proofErr w:type="spellStart"/>
      <w:r w:rsidRPr="00EB2576">
        <w:rPr>
          <w:rFonts w:ascii="Times New Roman" w:hAnsi="Times New Roman" w:cs="Times New Roman"/>
          <w:kern w:val="24"/>
          <w:sz w:val="24"/>
          <w:szCs w:val="24"/>
          <w:lang w:eastAsia="en-GB"/>
        </w:rPr>
        <w:t>Dynabeads</w:t>
      </w:r>
      <w:proofErr w:type="spellEnd"/>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rPr>
        <w:t>protein A magnetic beads (</w:t>
      </w:r>
      <w:proofErr w:type="spellStart"/>
      <w:r w:rsidRPr="00EB2576">
        <w:rPr>
          <w:rFonts w:ascii="Times New Roman" w:hAnsi="Times New Roman" w:cs="Times New Roman"/>
          <w:sz w:val="24"/>
          <w:szCs w:val="24"/>
        </w:rPr>
        <w:t>Thermo</w:t>
      </w:r>
      <w:proofErr w:type="spellEnd"/>
      <w:r w:rsidRPr="00EB2576">
        <w:rPr>
          <w:rFonts w:ascii="Times New Roman" w:hAnsi="Times New Roman" w:cs="Times New Roman"/>
          <w:sz w:val="24"/>
          <w:szCs w:val="24"/>
        </w:rPr>
        <w:t xml:space="preserve"> Fisher Scientific, </w:t>
      </w:r>
      <w:r w:rsidRPr="00EB2576">
        <w:rPr>
          <w:rFonts w:ascii="Times New Roman" w:hAnsi="Times New Roman" w:cs="Times New Roman"/>
          <w:sz w:val="24"/>
          <w:szCs w:val="24"/>
          <w:shd w:val="clear" w:color="auto" w:fill="FFFFFF"/>
        </w:rPr>
        <w:t>Massachusetts, United States</w:t>
      </w:r>
      <w:r w:rsidRPr="00EB2576">
        <w:rPr>
          <w:rFonts w:ascii="Times New Roman" w:hAnsi="Times New Roman" w:cs="Times New Roman"/>
          <w:sz w:val="24"/>
          <w:szCs w:val="24"/>
        </w:rPr>
        <w:t>).</w:t>
      </w:r>
      <w:r w:rsidR="00402A36" w:rsidRPr="00EB2576">
        <w:rPr>
          <w:rFonts w:ascii="Times New Roman" w:hAnsi="Times New Roman" w:cs="Times New Roman"/>
          <w:sz w:val="24"/>
          <w:szCs w:val="24"/>
        </w:rPr>
        <w:t xml:space="preserve"> </w:t>
      </w:r>
      <w:bookmarkStart w:id="303" w:name="_Hlk115425408"/>
      <w:r w:rsidR="00402A36" w:rsidRPr="00EB2576">
        <w:rPr>
          <w:rFonts w:ascii="Times New Roman" w:hAnsi="Times New Roman" w:cs="Times New Roman"/>
          <w:sz w:val="24"/>
          <w:szCs w:val="24"/>
        </w:rPr>
        <w:t>Wa</w:t>
      </w:r>
      <w:r w:rsidR="00474ADB" w:rsidRPr="00EB2576">
        <w:rPr>
          <w:rFonts w:ascii="Times New Roman" w:hAnsi="Times New Roman" w:cs="Times New Roman"/>
          <w:sz w:val="24"/>
          <w:szCs w:val="24"/>
        </w:rPr>
        <w:t xml:space="preserve">shing </w:t>
      </w:r>
      <w:r w:rsidR="00F1267A" w:rsidRPr="00EB2576">
        <w:rPr>
          <w:rFonts w:ascii="Times New Roman" w:hAnsi="Times New Roman" w:cs="Times New Roman"/>
          <w:sz w:val="24"/>
          <w:szCs w:val="24"/>
        </w:rPr>
        <w:t xml:space="preserve">of the magnetic beads </w:t>
      </w:r>
      <w:r w:rsidR="00474ADB" w:rsidRPr="00EB2576">
        <w:rPr>
          <w:rFonts w:ascii="Times New Roman" w:hAnsi="Times New Roman" w:cs="Times New Roman"/>
          <w:sz w:val="24"/>
          <w:szCs w:val="24"/>
        </w:rPr>
        <w:t xml:space="preserve">to remove non-specific binding, </w:t>
      </w:r>
      <w:r w:rsidR="00F1267A" w:rsidRPr="00EB2576">
        <w:rPr>
          <w:rFonts w:ascii="Times New Roman" w:hAnsi="Times New Roman" w:cs="Times New Roman"/>
          <w:sz w:val="24"/>
          <w:szCs w:val="24"/>
        </w:rPr>
        <w:t xml:space="preserve">followed by </w:t>
      </w:r>
      <w:r w:rsidR="00474ADB" w:rsidRPr="00EB2576">
        <w:rPr>
          <w:rFonts w:ascii="Times New Roman" w:hAnsi="Times New Roman" w:cs="Times New Roman"/>
          <w:sz w:val="24"/>
          <w:szCs w:val="24"/>
        </w:rPr>
        <w:t xml:space="preserve">elution of bound phage. Amplification and growth of selected phage for subsequent re-selection with ATI positive sera. </w:t>
      </w:r>
      <w:r w:rsidR="000731E5" w:rsidRPr="00EB2576">
        <w:rPr>
          <w:rFonts w:ascii="Times New Roman" w:hAnsi="Times New Roman" w:cs="Times New Roman"/>
          <w:sz w:val="24"/>
          <w:szCs w:val="24"/>
        </w:rPr>
        <w:t xml:space="preserve">Control selections using normal AB sera and blank with no sera were also </w:t>
      </w:r>
      <w:r w:rsidR="00F1267A" w:rsidRPr="00EB2576">
        <w:rPr>
          <w:rFonts w:ascii="Times New Roman" w:hAnsi="Times New Roman" w:cs="Times New Roman"/>
          <w:sz w:val="24"/>
          <w:szCs w:val="24"/>
        </w:rPr>
        <w:t>undertaken.</w:t>
      </w:r>
    </w:p>
    <w:p w14:paraId="4A81983F" w14:textId="77777777" w:rsidR="00E3286F" w:rsidRPr="00EB2576" w:rsidRDefault="00E3286F" w:rsidP="00E3286F">
      <w:pPr>
        <w:spacing w:line="240" w:lineRule="auto"/>
        <w:rPr>
          <w:rFonts w:ascii="Times New Roman" w:hAnsi="Times New Roman" w:cs="Times New Roman"/>
          <w:sz w:val="24"/>
          <w:szCs w:val="24"/>
        </w:rPr>
      </w:pPr>
    </w:p>
    <w:p w14:paraId="7E23504F" w14:textId="77777777" w:rsidR="00E3286F" w:rsidRPr="00EB2576" w:rsidRDefault="00E3286F" w:rsidP="00E3286F">
      <w:pPr>
        <w:spacing w:line="240" w:lineRule="auto"/>
        <w:rPr>
          <w:rFonts w:ascii="Times New Roman" w:hAnsi="Times New Roman" w:cs="Times New Roman"/>
          <w:sz w:val="24"/>
          <w:szCs w:val="24"/>
        </w:rPr>
      </w:pPr>
    </w:p>
    <w:p w14:paraId="2E28FE17" w14:textId="77777777" w:rsidR="00E3286F" w:rsidRPr="00EB2576" w:rsidRDefault="00E3286F" w:rsidP="00E3286F">
      <w:pPr>
        <w:spacing w:line="240" w:lineRule="auto"/>
        <w:rPr>
          <w:rFonts w:ascii="Times New Roman" w:hAnsi="Times New Roman" w:cs="Times New Roman"/>
          <w:sz w:val="24"/>
          <w:szCs w:val="24"/>
        </w:rPr>
      </w:pPr>
    </w:p>
    <w:p w14:paraId="68DF6B1C" w14:textId="77777777" w:rsidR="00E3286F" w:rsidRPr="00EB2576" w:rsidRDefault="00E3286F" w:rsidP="00E3286F">
      <w:pPr>
        <w:spacing w:line="240" w:lineRule="auto"/>
        <w:rPr>
          <w:rFonts w:ascii="Times New Roman" w:hAnsi="Times New Roman" w:cs="Times New Roman"/>
          <w:sz w:val="24"/>
          <w:szCs w:val="24"/>
        </w:rPr>
      </w:pPr>
    </w:p>
    <w:p w14:paraId="1A65822F" w14:textId="77777777" w:rsidR="00E3286F" w:rsidRPr="00EB2576" w:rsidRDefault="00E3286F" w:rsidP="00E3286F">
      <w:pPr>
        <w:spacing w:line="240" w:lineRule="auto"/>
        <w:rPr>
          <w:rFonts w:ascii="Times New Roman" w:hAnsi="Times New Roman" w:cs="Times New Roman"/>
          <w:sz w:val="24"/>
          <w:szCs w:val="24"/>
        </w:rPr>
      </w:pPr>
    </w:p>
    <w:tbl>
      <w:tblPr>
        <w:tblStyle w:val="TableGridLight"/>
        <w:tblW w:w="0" w:type="auto"/>
        <w:tblLook w:val="04A0" w:firstRow="1" w:lastRow="0" w:firstColumn="1" w:lastColumn="0" w:noHBand="0" w:noVBand="1"/>
      </w:tblPr>
      <w:tblGrid>
        <w:gridCol w:w="1645"/>
        <w:gridCol w:w="2970"/>
        <w:gridCol w:w="3136"/>
      </w:tblGrid>
      <w:tr w:rsidR="00EB2576" w:rsidRPr="00EB2576" w14:paraId="44715150" w14:textId="77777777" w:rsidTr="00334B74">
        <w:trPr>
          <w:trHeight w:val="576"/>
        </w:trPr>
        <w:tc>
          <w:tcPr>
            <w:tcW w:w="1645" w:type="dxa"/>
          </w:tcPr>
          <w:bookmarkEnd w:id="303"/>
          <w:p w14:paraId="0737686A" w14:textId="33466D08" w:rsidR="00FA6646" w:rsidRPr="00EB2576" w:rsidRDefault="00FA6646" w:rsidP="004C45F3">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lastRenderedPageBreak/>
              <w:t>Species</w:t>
            </w:r>
          </w:p>
        </w:tc>
        <w:tc>
          <w:tcPr>
            <w:tcW w:w="2970" w:type="dxa"/>
          </w:tcPr>
          <w:p w14:paraId="73AD4F4B" w14:textId="20A47C5D" w:rsidR="00FA6646" w:rsidRPr="00EB2576" w:rsidRDefault="00841842" w:rsidP="004C45F3">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Immunoglobulin s</w:t>
            </w:r>
            <w:r w:rsidR="00FA6646" w:rsidRPr="00EB2576">
              <w:rPr>
                <w:rFonts w:ascii="Times New Roman" w:hAnsi="Times New Roman" w:cs="Times New Roman"/>
                <w:b/>
                <w:bCs/>
                <w:sz w:val="20"/>
                <w:szCs w:val="20"/>
              </w:rPr>
              <w:t>ubclass</w:t>
            </w:r>
          </w:p>
        </w:tc>
        <w:tc>
          <w:tcPr>
            <w:tcW w:w="3136" w:type="dxa"/>
          </w:tcPr>
          <w:p w14:paraId="5AC7F791" w14:textId="3CC196E9" w:rsidR="00FA6646" w:rsidRPr="00EB2576" w:rsidRDefault="00FA6646" w:rsidP="004C45F3">
            <w:pPr>
              <w:spacing w:line="480" w:lineRule="auto"/>
              <w:rPr>
                <w:rFonts w:ascii="Times New Roman" w:hAnsi="Times New Roman" w:cs="Times New Roman"/>
                <w:b/>
                <w:bCs/>
                <w:sz w:val="20"/>
                <w:szCs w:val="20"/>
              </w:rPr>
            </w:pPr>
            <w:r w:rsidRPr="00EB2576">
              <w:rPr>
                <w:rFonts w:ascii="Times New Roman" w:hAnsi="Times New Roman" w:cs="Times New Roman"/>
                <w:b/>
                <w:bCs/>
                <w:sz w:val="20"/>
                <w:szCs w:val="20"/>
              </w:rPr>
              <w:t>Binding affinity of Protein A</w:t>
            </w:r>
          </w:p>
        </w:tc>
      </w:tr>
      <w:tr w:rsidR="00EB2576" w:rsidRPr="00EB2576" w14:paraId="49688652" w14:textId="77777777" w:rsidTr="00334B74">
        <w:trPr>
          <w:trHeight w:val="595"/>
        </w:trPr>
        <w:tc>
          <w:tcPr>
            <w:tcW w:w="1645" w:type="dxa"/>
          </w:tcPr>
          <w:p w14:paraId="4A494985" w14:textId="22BB8E60" w:rsidR="00FA6646" w:rsidRPr="00EB2576" w:rsidRDefault="00FA6646"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Human</w:t>
            </w:r>
          </w:p>
        </w:tc>
        <w:tc>
          <w:tcPr>
            <w:tcW w:w="2970" w:type="dxa"/>
          </w:tcPr>
          <w:p w14:paraId="78965CE3" w14:textId="35B2D632" w:rsidR="00FA6646" w:rsidRPr="00EB2576" w:rsidRDefault="00FA6646"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IgA</w:t>
            </w:r>
          </w:p>
        </w:tc>
        <w:tc>
          <w:tcPr>
            <w:tcW w:w="3136" w:type="dxa"/>
          </w:tcPr>
          <w:p w14:paraId="3B766E0C" w14:textId="5A0AA169"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Variable</w:t>
            </w:r>
          </w:p>
        </w:tc>
      </w:tr>
      <w:tr w:rsidR="00EB2576" w:rsidRPr="00EB2576" w14:paraId="7DFEB196" w14:textId="77777777" w:rsidTr="00334B74">
        <w:trPr>
          <w:trHeight w:val="576"/>
        </w:trPr>
        <w:tc>
          <w:tcPr>
            <w:tcW w:w="1645" w:type="dxa"/>
          </w:tcPr>
          <w:p w14:paraId="49F5C7F6" w14:textId="77777777" w:rsidR="00FA6646" w:rsidRPr="00EB2576" w:rsidRDefault="00FA6646" w:rsidP="004C45F3">
            <w:pPr>
              <w:spacing w:line="480" w:lineRule="auto"/>
              <w:rPr>
                <w:rFonts w:ascii="Times New Roman" w:hAnsi="Times New Roman" w:cs="Times New Roman"/>
                <w:sz w:val="20"/>
                <w:szCs w:val="20"/>
              </w:rPr>
            </w:pPr>
          </w:p>
        </w:tc>
        <w:tc>
          <w:tcPr>
            <w:tcW w:w="2970" w:type="dxa"/>
          </w:tcPr>
          <w:p w14:paraId="75050FD7" w14:textId="40510AE3" w:rsidR="00FA6646" w:rsidRPr="00EB2576" w:rsidRDefault="00FA6646" w:rsidP="004C45F3">
            <w:pPr>
              <w:spacing w:line="480" w:lineRule="auto"/>
              <w:rPr>
                <w:rFonts w:ascii="Times New Roman" w:hAnsi="Times New Roman" w:cs="Times New Roman"/>
                <w:sz w:val="20"/>
                <w:szCs w:val="20"/>
              </w:rPr>
            </w:pPr>
            <w:proofErr w:type="spellStart"/>
            <w:r w:rsidRPr="00EB2576">
              <w:rPr>
                <w:rFonts w:ascii="Times New Roman" w:hAnsi="Times New Roman" w:cs="Times New Roman"/>
                <w:sz w:val="20"/>
                <w:szCs w:val="20"/>
              </w:rPr>
              <w:t>IgD</w:t>
            </w:r>
            <w:proofErr w:type="spellEnd"/>
          </w:p>
        </w:tc>
        <w:tc>
          <w:tcPr>
            <w:tcW w:w="3136" w:type="dxa"/>
          </w:tcPr>
          <w:p w14:paraId="5E3DA563" w14:textId="09EA46ED"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Weak</w:t>
            </w:r>
          </w:p>
        </w:tc>
      </w:tr>
      <w:tr w:rsidR="00EB2576" w:rsidRPr="00EB2576" w14:paraId="69F1BF50" w14:textId="77777777" w:rsidTr="00334B74">
        <w:trPr>
          <w:trHeight w:val="576"/>
        </w:trPr>
        <w:tc>
          <w:tcPr>
            <w:tcW w:w="1645" w:type="dxa"/>
          </w:tcPr>
          <w:p w14:paraId="2EEFB38A" w14:textId="77777777" w:rsidR="00FA6646" w:rsidRPr="00EB2576" w:rsidRDefault="00FA6646" w:rsidP="004C45F3">
            <w:pPr>
              <w:spacing w:line="480" w:lineRule="auto"/>
              <w:rPr>
                <w:rFonts w:ascii="Times New Roman" w:hAnsi="Times New Roman" w:cs="Times New Roman"/>
                <w:sz w:val="20"/>
                <w:szCs w:val="20"/>
              </w:rPr>
            </w:pPr>
          </w:p>
        </w:tc>
        <w:tc>
          <w:tcPr>
            <w:tcW w:w="2970" w:type="dxa"/>
          </w:tcPr>
          <w:p w14:paraId="3CC78C46" w14:textId="59F0B63D" w:rsidR="00FA6646" w:rsidRPr="00EB2576" w:rsidRDefault="00FA6646" w:rsidP="004C45F3">
            <w:pPr>
              <w:spacing w:line="480" w:lineRule="auto"/>
              <w:rPr>
                <w:rFonts w:ascii="Times New Roman" w:hAnsi="Times New Roman" w:cs="Times New Roman"/>
                <w:sz w:val="20"/>
                <w:szCs w:val="20"/>
              </w:rPr>
            </w:pPr>
            <w:proofErr w:type="spellStart"/>
            <w:r w:rsidRPr="00EB2576">
              <w:rPr>
                <w:rFonts w:ascii="Times New Roman" w:hAnsi="Times New Roman" w:cs="Times New Roman"/>
                <w:sz w:val="20"/>
                <w:szCs w:val="20"/>
              </w:rPr>
              <w:t>IgE</w:t>
            </w:r>
            <w:proofErr w:type="spellEnd"/>
          </w:p>
        </w:tc>
        <w:tc>
          <w:tcPr>
            <w:tcW w:w="3136" w:type="dxa"/>
          </w:tcPr>
          <w:p w14:paraId="4E5D3CC9" w14:textId="3B52C71C"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Weak</w:t>
            </w:r>
          </w:p>
        </w:tc>
      </w:tr>
      <w:tr w:rsidR="00EB2576" w:rsidRPr="00EB2576" w14:paraId="1793DC0C" w14:textId="77777777" w:rsidTr="00334B74">
        <w:trPr>
          <w:trHeight w:val="595"/>
        </w:trPr>
        <w:tc>
          <w:tcPr>
            <w:tcW w:w="1645" w:type="dxa"/>
          </w:tcPr>
          <w:p w14:paraId="63FA2525" w14:textId="5A27FC96" w:rsidR="00FA6646" w:rsidRPr="00EB2576" w:rsidRDefault="00FA6646" w:rsidP="004C45F3">
            <w:pPr>
              <w:spacing w:line="480" w:lineRule="auto"/>
              <w:rPr>
                <w:rFonts w:ascii="Times New Roman" w:hAnsi="Times New Roman" w:cs="Times New Roman"/>
                <w:sz w:val="20"/>
                <w:szCs w:val="20"/>
              </w:rPr>
            </w:pPr>
          </w:p>
        </w:tc>
        <w:tc>
          <w:tcPr>
            <w:tcW w:w="2970" w:type="dxa"/>
          </w:tcPr>
          <w:p w14:paraId="0E6FF142" w14:textId="4692B779" w:rsidR="00FA6646" w:rsidRPr="00EB2576" w:rsidRDefault="00FA6646"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IgG1</w:t>
            </w:r>
          </w:p>
        </w:tc>
        <w:tc>
          <w:tcPr>
            <w:tcW w:w="3136" w:type="dxa"/>
          </w:tcPr>
          <w:p w14:paraId="77872B45" w14:textId="5B792B3F"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Strong</w:t>
            </w:r>
          </w:p>
        </w:tc>
      </w:tr>
      <w:tr w:rsidR="00EB2576" w:rsidRPr="00EB2576" w14:paraId="2ABD5849" w14:textId="77777777" w:rsidTr="00334B74">
        <w:trPr>
          <w:trHeight w:val="576"/>
        </w:trPr>
        <w:tc>
          <w:tcPr>
            <w:tcW w:w="1645" w:type="dxa"/>
          </w:tcPr>
          <w:p w14:paraId="5DF7E09B" w14:textId="77777777" w:rsidR="00FA6646" w:rsidRPr="00EB2576" w:rsidRDefault="00FA6646" w:rsidP="004C45F3">
            <w:pPr>
              <w:spacing w:line="480" w:lineRule="auto"/>
              <w:rPr>
                <w:rFonts w:ascii="Times New Roman" w:hAnsi="Times New Roman" w:cs="Times New Roman"/>
                <w:sz w:val="20"/>
                <w:szCs w:val="20"/>
              </w:rPr>
            </w:pPr>
          </w:p>
        </w:tc>
        <w:tc>
          <w:tcPr>
            <w:tcW w:w="2970" w:type="dxa"/>
          </w:tcPr>
          <w:p w14:paraId="097087A2" w14:textId="16FE6845" w:rsidR="00FA6646" w:rsidRPr="00EB2576" w:rsidRDefault="00FA6646"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IgG2</w:t>
            </w:r>
          </w:p>
        </w:tc>
        <w:tc>
          <w:tcPr>
            <w:tcW w:w="3136" w:type="dxa"/>
          </w:tcPr>
          <w:p w14:paraId="3D1005DA" w14:textId="39CED496"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Strong</w:t>
            </w:r>
          </w:p>
        </w:tc>
      </w:tr>
      <w:tr w:rsidR="00EB2576" w:rsidRPr="00EB2576" w14:paraId="45387ED5" w14:textId="77777777" w:rsidTr="00334B74">
        <w:trPr>
          <w:trHeight w:val="576"/>
        </w:trPr>
        <w:tc>
          <w:tcPr>
            <w:tcW w:w="1645" w:type="dxa"/>
          </w:tcPr>
          <w:p w14:paraId="77FB14C1" w14:textId="77777777" w:rsidR="00FA6646" w:rsidRPr="00EB2576" w:rsidRDefault="00FA6646" w:rsidP="004C45F3">
            <w:pPr>
              <w:spacing w:line="480" w:lineRule="auto"/>
              <w:rPr>
                <w:rFonts w:ascii="Times New Roman" w:hAnsi="Times New Roman" w:cs="Times New Roman"/>
                <w:sz w:val="20"/>
                <w:szCs w:val="20"/>
              </w:rPr>
            </w:pPr>
          </w:p>
        </w:tc>
        <w:tc>
          <w:tcPr>
            <w:tcW w:w="2970" w:type="dxa"/>
          </w:tcPr>
          <w:p w14:paraId="76582B24" w14:textId="729C22AD" w:rsidR="00FA6646" w:rsidRPr="00EB2576" w:rsidRDefault="00FA6646"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IgG3</w:t>
            </w:r>
          </w:p>
        </w:tc>
        <w:tc>
          <w:tcPr>
            <w:tcW w:w="3136" w:type="dxa"/>
          </w:tcPr>
          <w:p w14:paraId="2F7C0E2C" w14:textId="373FD258"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Weak</w:t>
            </w:r>
          </w:p>
        </w:tc>
      </w:tr>
      <w:tr w:rsidR="00EB2576" w:rsidRPr="00EB2576" w14:paraId="191200BE" w14:textId="77777777" w:rsidTr="00334B74">
        <w:trPr>
          <w:trHeight w:val="595"/>
        </w:trPr>
        <w:tc>
          <w:tcPr>
            <w:tcW w:w="1645" w:type="dxa"/>
          </w:tcPr>
          <w:p w14:paraId="5F913409" w14:textId="77777777" w:rsidR="00FA6646" w:rsidRPr="00EB2576" w:rsidRDefault="00FA6646" w:rsidP="004C45F3">
            <w:pPr>
              <w:spacing w:line="480" w:lineRule="auto"/>
              <w:rPr>
                <w:rFonts w:ascii="Times New Roman" w:hAnsi="Times New Roman" w:cs="Times New Roman"/>
                <w:sz w:val="20"/>
                <w:szCs w:val="20"/>
              </w:rPr>
            </w:pPr>
          </w:p>
        </w:tc>
        <w:tc>
          <w:tcPr>
            <w:tcW w:w="2970" w:type="dxa"/>
          </w:tcPr>
          <w:p w14:paraId="60862019" w14:textId="4B8EE6F6"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IgG4</w:t>
            </w:r>
          </w:p>
        </w:tc>
        <w:tc>
          <w:tcPr>
            <w:tcW w:w="3136" w:type="dxa"/>
          </w:tcPr>
          <w:p w14:paraId="148A4F54" w14:textId="2058A521" w:rsidR="00FA6646"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Strong</w:t>
            </w:r>
          </w:p>
        </w:tc>
      </w:tr>
      <w:tr w:rsidR="00841842" w:rsidRPr="00EB2576" w14:paraId="135E0AA6" w14:textId="77777777" w:rsidTr="00334B74">
        <w:trPr>
          <w:trHeight w:val="576"/>
        </w:trPr>
        <w:tc>
          <w:tcPr>
            <w:tcW w:w="1645" w:type="dxa"/>
          </w:tcPr>
          <w:p w14:paraId="2762D5F3" w14:textId="77777777" w:rsidR="00841842" w:rsidRPr="00EB2576" w:rsidRDefault="00841842" w:rsidP="004C45F3">
            <w:pPr>
              <w:spacing w:line="480" w:lineRule="auto"/>
              <w:rPr>
                <w:rFonts w:ascii="Times New Roman" w:hAnsi="Times New Roman" w:cs="Times New Roman"/>
                <w:sz w:val="20"/>
                <w:szCs w:val="20"/>
              </w:rPr>
            </w:pPr>
          </w:p>
        </w:tc>
        <w:tc>
          <w:tcPr>
            <w:tcW w:w="2970" w:type="dxa"/>
          </w:tcPr>
          <w:p w14:paraId="15B6A02D" w14:textId="46BB99F4" w:rsidR="00841842" w:rsidRPr="00EB2576" w:rsidRDefault="00841842" w:rsidP="004C45F3">
            <w:pPr>
              <w:spacing w:line="480" w:lineRule="auto"/>
              <w:rPr>
                <w:rFonts w:ascii="Times New Roman" w:hAnsi="Times New Roman" w:cs="Times New Roman"/>
                <w:sz w:val="20"/>
                <w:szCs w:val="20"/>
              </w:rPr>
            </w:pPr>
            <w:r w:rsidRPr="00EB2576">
              <w:rPr>
                <w:rFonts w:ascii="Times New Roman" w:hAnsi="Times New Roman" w:cs="Times New Roman"/>
                <w:sz w:val="20"/>
                <w:szCs w:val="20"/>
              </w:rPr>
              <w:t>IgM</w:t>
            </w:r>
          </w:p>
        </w:tc>
        <w:tc>
          <w:tcPr>
            <w:tcW w:w="3136" w:type="dxa"/>
          </w:tcPr>
          <w:p w14:paraId="1A2B8A1C" w14:textId="6872E340" w:rsidR="00841842" w:rsidRPr="00EB2576" w:rsidRDefault="00841842" w:rsidP="00334B74">
            <w:pPr>
              <w:keepNext/>
              <w:spacing w:line="480" w:lineRule="auto"/>
              <w:rPr>
                <w:rFonts w:ascii="Times New Roman" w:hAnsi="Times New Roman" w:cs="Times New Roman"/>
                <w:sz w:val="20"/>
                <w:szCs w:val="20"/>
              </w:rPr>
            </w:pPr>
            <w:r w:rsidRPr="00EB2576">
              <w:rPr>
                <w:rFonts w:ascii="Times New Roman" w:hAnsi="Times New Roman" w:cs="Times New Roman"/>
                <w:sz w:val="20"/>
                <w:szCs w:val="20"/>
              </w:rPr>
              <w:t>Variable</w:t>
            </w:r>
          </w:p>
        </w:tc>
      </w:tr>
    </w:tbl>
    <w:p w14:paraId="268A44A3" w14:textId="77777777" w:rsidR="00334B74" w:rsidRPr="00EB2576" w:rsidRDefault="00334B74" w:rsidP="00334B74">
      <w:pPr>
        <w:spacing w:line="480" w:lineRule="auto"/>
        <w:rPr>
          <w:rFonts w:ascii="Times New Roman" w:hAnsi="Times New Roman" w:cs="Times New Roman"/>
          <w:b/>
          <w:bCs/>
          <w:sz w:val="24"/>
          <w:szCs w:val="24"/>
        </w:rPr>
      </w:pPr>
    </w:p>
    <w:p w14:paraId="518F0324" w14:textId="46A67DF3" w:rsidR="00334B74" w:rsidRPr="00EB2576" w:rsidRDefault="00334B74" w:rsidP="00334B74">
      <w:pPr>
        <w:spacing w:line="480" w:lineRule="auto"/>
        <w:rPr>
          <w:rFonts w:ascii="Times New Roman" w:hAnsi="Times New Roman" w:cs="Times New Roman"/>
          <w:b/>
          <w:bCs/>
          <w:sz w:val="24"/>
          <w:szCs w:val="24"/>
        </w:rPr>
      </w:pPr>
      <w:bookmarkStart w:id="304" w:name="_Toc139306966"/>
      <w:r w:rsidRPr="00EB2576">
        <w:rPr>
          <w:rFonts w:ascii="Times New Roman" w:hAnsi="Times New Roman" w:cs="Times New Roman"/>
          <w:b/>
          <w:bCs/>
          <w:sz w:val="24"/>
          <w:szCs w:val="24"/>
        </w:rPr>
        <w:t xml:space="preserve">Table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Table \* ARABIC </w:instrText>
      </w:r>
      <w:r w:rsidRPr="00EB2576">
        <w:rPr>
          <w:rFonts w:ascii="Times New Roman" w:hAnsi="Times New Roman" w:cs="Times New Roman"/>
          <w:b/>
          <w:bCs/>
          <w:sz w:val="24"/>
          <w:szCs w:val="24"/>
        </w:rPr>
        <w:fldChar w:fldCharType="separate"/>
      </w:r>
      <w:r w:rsidR="00F2388D" w:rsidRPr="00EB2576">
        <w:rPr>
          <w:rFonts w:ascii="Times New Roman" w:hAnsi="Times New Roman" w:cs="Times New Roman"/>
          <w:b/>
          <w:bCs/>
          <w:noProof/>
          <w:sz w:val="24"/>
          <w:szCs w:val="24"/>
        </w:rPr>
        <w:t>13</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xml:space="preserve">. Binding affinity of Protein A for human immunoglobulins </w:t>
      </w:r>
      <w:r w:rsidRPr="00EB2576">
        <w:rPr>
          <w:rFonts w:ascii="Times New Roman" w:hAnsi="Times New Roman" w:cs="Times New Roman"/>
          <w:b/>
          <w:bCs/>
          <w:sz w:val="24"/>
          <w:szCs w:val="24"/>
        </w:rPr>
        <w:fldChar w:fldCharType="begin" w:fldLock="1"/>
      </w:r>
      <w:r w:rsidR="009577AC" w:rsidRPr="00EB2576">
        <w:rPr>
          <w:rFonts w:ascii="Times New Roman" w:hAnsi="Times New Roman" w:cs="Times New Roman"/>
          <w:b/>
          <w:bCs/>
          <w:sz w:val="24"/>
          <w:szCs w:val="24"/>
        </w:rPr>
        <w:instrText>ADDIN CSL_CITATION {"citationItems":[{"id":"ITEM-1","itemData":{"DOI":"10.1016/S0006-3495(03)74870-X","ISSN":"00063495","author":[{"dropping-particle":"","family":"Yang","given":"L.","non-dropping-particle":"","parse-names":false,"suffix":""},{"dropping-particle":"","family":"Biswas","given":"M.E.","non-dropping-particle":"","parse-names":false,"suffix":""},{"dropping-particle":"","family":"Chen","given":"P.","non-dropping-particle":"","parse-names":false,"suffix":""}],"container-title":"Biophysical Journal","id":"ITEM-1","issue":"1","issued":{"date-parts":[["2003","1"]]},"page":"509-522","title":"Study of Binding between Protein A and Immunoglobulin G Using a Surface Tension Probe","type":"article-journal","volume":"84"},"uris":["http://www.mendeley.com/documents/?uuid=8421d37f-7e84-4f23-93e5-5cf07be475b3"]}],"mendeley":{"formattedCitation":"&lt;sup&gt;202&lt;/sup&gt;","plainTextFormattedCitation":"202","previouslyFormattedCitation":"&lt;sup&gt;202&lt;/sup&gt;"},"properties":{"noteIndex":0},"schema":"https://github.com/citation-style-language/schema/raw/master/csl-citation.json"}</w:instrText>
      </w:r>
      <w:r w:rsidRPr="00EB2576">
        <w:rPr>
          <w:rFonts w:ascii="Times New Roman" w:hAnsi="Times New Roman" w:cs="Times New Roman"/>
          <w:b/>
          <w:bCs/>
          <w:sz w:val="24"/>
          <w:szCs w:val="24"/>
        </w:rPr>
        <w:fldChar w:fldCharType="separate"/>
      </w:r>
      <w:r w:rsidR="00201474" w:rsidRPr="00EB2576">
        <w:rPr>
          <w:rFonts w:ascii="Times New Roman" w:hAnsi="Times New Roman" w:cs="Times New Roman"/>
          <w:bCs/>
          <w:noProof/>
          <w:sz w:val="24"/>
          <w:szCs w:val="24"/>
          <w:vertAlign w:val="superscript"/>
        </w:rPr>
        <w:t>202</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w:t>
      </w:r>
      <w:bookmarkEnd w:id="304"/>
    </w:p>
    <w:p w14:paraId="6D525D8D" w14:textId="76786D5E" w:rsidR="00705172" w:rsidRPr="00EB2576" w:rsidRDefault="00705172" w:rsidP="00334B74">
      <w:pPr>
        <w:pStyle w:val="Caption"/>
        <w:rPr>
          <w:rFonts w:ascii="Times New Roman" w:hAnsi="Times New Roman" w:cs="Times New Roman"/>
          <w:b w:val="0"/>
          <w:bCs w:val="0"/>
          <w:sz w:val="24"/>
          <w:szCs w:val="24"/>
        </w:rPr>
      </w:pPr>
    </w:p>
    <w:p w14:paraId="6945BFC7" w14:textId="111DAA33" w:rsidR="002300F7" w:rsidRPr="00EB2576" w:rsidRDefault="002300F7" w:rsidP="002300F7">
      <w:pPr>
        <w:pStyle w:val="Default"/>
        <w:spacing w:line="480" w:lineRule="auto"/>
        <w:rPr>
          <w:rFonts w:ascii="Times New Roman" w:hAnsi="Times New Roman" w:cs="Times New Roman"/>
          <w:color w:val="auto"/>
        </w:rPr>
      </w:pPr>
    </w:p>
    <w:p w14:paraId="150778A8" w14:textId="77777777" w:rsidR="00B256AF" w:rsidRPr="00EB2576" w:rsidRDefault="00B256AF" w:rsidP="004C45F3">
      <w:pPr>
        <w:spacing w:line="480" w:lineRule="auto"/>
        <w:rPr>
          <w:rFonts w:ascii="Times New Roman" w:hAnsi="Times New Roman" w:cs="Times New Roman"/>
          <w:sz w:val="24"/>
          <w:szCs w:val="24"/>
        </w:rPr>
      </w:pPr>
    </w:p>
    <w:p w14:paraId="26051FFC" w14:textId="77777777" w:rsidR="00B256AF" w:rsidRPr="00EB2576" w:rsidRDefault="00B256AF" w:rsidP="004C45F3">
      <w:pPr>
        <w:spacing w:line="480" w:lineRule="auto"/>
        <w:rPr>
          <w:rFonts w:ascii="Times New Roman" w:hAnsi="Times New Roman" w:cs="Times New Roman"/>
          <w:sz w:val="24"/>
          <w:szCs w:val="24"/>
        </w:rPr>
      </w:pPr>
    </w:p>
    <w:p w14:paraId="422B0DD8" w14:textId="77777777" w:rsidR="00B256AF" w:rsidRPr="00EB2576" w:rsidRDefault="00B256AF" w:rsidP="004C45F3">
      <w:pPr>
        <w:spacing w:line="480" w:lineRule="auto"/>
        <w:rPr>
          <w:rFonts w:ascii="Times New Roman" w:hAnsi="Times New Roman" w:cs="Times New Roman"/>
          <w:sz w:val="24"/>
          <w:szCs w:val="24"/>
        </w:rPr>
      </w:pPr>
    </w:p>
    <w:p w14:paraId="2110EBCE" w14:textId="77777777" w:rsidR="00B256AF" w:rsidRPr="00EB2576" w:rsidRDefault="00B256AF" w:rsidP="004C45F3">
      <w:pPr>
        <w:spacing w:line="480" w:lineRule="auto"/>
        <w:rPr>
          <w:rFonts w:ascii="Times New Roman" w:hAnsi="Times New Roman" w:cs="Times New Roman"/>
          <w:sz w:val="24"/>
          <w:szCs w:val="24"/>
        </w:rPr>
      </w:pPr>
    </w:p>
    <w:p w14:paraId="3A99D926" w14:textId="77777777" w:rsidR="00B256AF" w:rsidRPr="00EB2576" w:rsidRDefault="00B256AF" w:rsidP="004C45F3">
      <w:pPr>
        <w:spacing w:line="480" w:lineRule="auto"/>
        <w:rPr>
          <w:rFonts w:ascii="Times New Roman" w:hAnsi="Times New Roman" w:cs="Times New Roman"/>
          <w:sz w:val="24"/>
          <w:szCs w:val="24"/>
        </w:rPr>
      </w:pPr>
    </w:p>
    <w:p w14:paraId="2F98B638" w14:textId="77777777" w:rsidR="00B256AF" w:rsidRPr="00EB2576" w:rsidRDefault="00B256AF" w:rsidP="004C45F3">
      <w:pPr>
        <w:spacing w:line="480" w:lineRule="auto"/>
        <w:rPr>
          <w:rFonts w:ascii="Times New Roman" w:hAnsi="Times New Roman" w:cs="Times New Roman"/>
          <w:sz w:val="24"/>
          <w:szCs w:val="24"/>
        </w:rPr>
      </w:pPr>
    </w:p>
    <w:p w14:paraId="7F195631" w14:textId="77777777" w:rsidR="00B256AF" w:rsidRPr="00EB2576" w:rsidRDefault="00B256AF" w:rsidP="004C45F3">
      <w:pPr>
        <w:spacing w:line="480" w:lineRule="auto"/>
        <w:rPr>
          <w:rFonts w:ascii="Times New Roman" w:hAnsi="Times New Roman" w:cs="Times New Roman"/>
          <w:sz w:val="24"/>
          <w:szCs w:val="24"/>
        </w:rPr>
      </w:pPr>
    </w:p>
    <w:p w14:paraId="20CF2B82" w14:textId="77777777" w:rsidR="00B256AF" w:rsidRPr="00EB2576" w:rsidRDefault="00B256AF" w:rsidP="004C45F3">
      <w:pPr>
        <w:spacing w:line="480" w:lineRule="auto"/>
        <w:rPr>
          <w:rFonts w:ascii="Times New Roman" w:hAnsi="Times New Roman" w:cs="Times New Roman"/>
          <w:sz w:val="24"/>
          <w:szCs w:val="24"/>
        </w:rPr>
      </w:pPr>
    </w:p>
    <w:p w14:paraId="563BD5A0" w14:textId="77777777" w:rsidR="00B256AF" w:rsidRPr="00EB2576" w:rsidRDefault="00B256AF" w:rsidP="004C45F3">
      <w:pPr>
        <w:spacing w:line="480" w:lineRule="auto"/>
        <w:rPr>
          <w:rFonts w:ascii="Times New Roman" w:hAnsi="Times New Roman" w:cs="Times New Roman"/>
          <w:sz w:val="24"/>
          <w:szCs w:val="24"/>
        </w:rPr>
      </w:pPr>
    </w:p>
    <w:p w14:paraId="386F15E0" w14:textId="444771B5" w:rsidR="00E94872" w:rsidRPr="00EB2576" w:rsidRDefault="00841842" w:rsidP="00E94872">
      <w:pPr>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In round 1 of biopanning, </w:t>
      </w:r>
      <w:r w:rsidR="004C45F3" w:rsidRPr="00EB2576">
        <w:rPr>
          <w:rFonts w:ascii="Times New Roman" w:hAnsi="Times New Roman" w:cs="Times New Roman"/>
          <w:sz w:val="24"/>
          <w:szCs w:val="24"/>
        </w:rPr>
        <w:t xml:space="preserve">10µL of </w:t>
      </w:r>
      <w:r w:rsidRPr="00EB2576">
        <w:rPr>
          <w:rFonts w:ascii="Times New Roman" w:hAnsi="Times New Roman" w:cs="Times New Roman"/>
          <w:sz w:val="24"/>
          <w:szCs w:val="24"/>
        </w:rPr>
        <w:t xml:space="preserve">the </w:t>
      </w:r>
      <w:r w:rsidR="00B93A3E" w:rsidRPr="00EB2576">
        <w:rPr>
          <w:rFonts w:ascii="Times New Roman" w:hAnsi="Times New Roman" w:cs="Times New Roman"/>
          <w:sz w:val="24"/>
          <w:szCs w:val="24"/>
        </w:rPr>
        <w:t xml:space="preserve">random peptide </w:t>
      </w:r>
      <w:r w:rsidR="004C45F3" w:rsidRPr="00EB2576">
        <w:rPr>
          <w:rFonts w:ascii="Times New Roman" w:hAnsi="Times New Roman" w:cs="Times New Roman"/>
          <w:sz w:val="24"/>
          <w:szCs w:val="24"/>
        </w:rPr>
        <w:t xml:space="preserve">phage library stock, a </w:t>
      </w:r>
      <w:r w:rsidR="007978BA" w:rsidRPr="00EB2576">
        <w:rPr>
          <w:rFonts w:ascii="Times New Roman" w:hAnsi="Times New Roman" w:cs="Times New Roman"/>
          <w:sz w:val="24"/>
          <w:szCs w:val="24"/>
        </w:rPr>
        <w:t>100-fold</w:t>
      </w:r>
      <w:r w:rsidR="004C45F3" w:rsidRPr="00EB2576">
        <w:rPr>
          <w:rFonts w:ascii="Times New Roman" w:hAnsi="Times New Roman" w:cs="Times New Roman"/>
          <w:sz w:val="24"/>
          <w:szCs w:val="24"/>
        </w:rPr>
        <w:t xml:space="preserve"> representation of the library (1 x 10^11)</w:t>
      </w:r>
      <w:r w:rsidR="004B6BD9" w:rsidRPr="00EB2576">
        <w:rPr>
          <w:rFonts w:ascii="Times New Roman" w:hAnsi="Times New Roman" w:cs="Times New Roman"/>
          <w:sz w:val="24"/>
          <w:szCs w:val="24"/>
        </w:rPr>
        <w:t xml:space="preserve"> was use</w:t>
      </w:r>
      <w:r w:rsidRPr="00EB2576">
        <w:rPr>
          <w:rFonts w:ascii="Times New Roman" w:hAnsi="Times New Roman" w:cs="Times New Roman"/>
          <w:sz w:val="24"/>
          <w:szCs w:val="24"/>
        </w:rPr>
        <w:t>d</w:t>
      </w:r>
      <w:r w:rsidR="004C45F3" w:rsidRPr="00EB2576">
        <w:rPr>
          <w:rFonts w:ascii="Times New Roman" w:hAnsi="Times New Roman" w:cs="Times New Roman"/>
          <w:sz w:val="24"/>
          <w:szCs w:val="24"/>
        </w:rPr>
        <w:t xml:space="preserve">. Subsequent rounds of biopanning used 10 µL of the previous selected library, </w:t>
      </w:r>
      <w:r w:rsidR="004B6BD9" w:rsidRPr="00EB2576">
        <w:rPr>
          <w:rFonts w:ascii="Times New Roman" w:hAnsi="Times New Roman" w:cs="Times New Roman"/>
          <w:sz w:val="24"/>
          <w:szCs w:val="24"/>
        </w:rPr>
        <w:t xml:space="preserve">confirmed by </w:t>
      </w:r>
      <w:r w:rsidR="004C45F3" w:rsidRPr="00EB2576">
        <w:rPr>
          <w:rFonts w:ascii="Times New Roman" w:hAnsi="Times New Roman" w:cs="Times New Roman"/>
          <w:sz w:val="24"/>
          <w:szCs w:val="24"/>
        </w:rPr>
        <w:t xml:space="preserve">input </w:t>
      </w:r>
      <w:r w:rsidR="004B6BD9" w:rsidRPr="00EB2576">
        <w:rPr>
          <w:rFonts w:ascii="Times New Roman" w:hAnsi="Times New Roman" w:cs="Times New Roman"/>
          <w:sz w:val="24"/>
          <w:szCs w:val="24"/>
        </w:rPr>
        <w:t xml:space="preserve">phage </w:t>
      </w:r>
      <w:r w:rsidR="004C45F3" w:rsidRPr="00EB2576">
        <w:rPr>
          <w:rFonts w:ascii="Times New Roman" w:hAnsi="Times New Roman" w:cs="Times New Roman"/>
          <w:sz w:val="24"/>
          <w:szCs w:val="24"/>
        </w:rPr>
        <w:t>titre.</w:t>
      </w:r>
      <w:r w:rsidR="00B93A3E" w:rsidRPr="00EB2576">
        <w:rPr>
          <w:rFonts w:ascii="Times New Roman" w:hAnsi="Times New Roman" w:cs="Times New Roman"/>
          <w:sz w:val="24"/>
          <w:szCs w:val="24"/>
        </w:rPr>
        <w:t xml:space="preserve"> </w:t>
      </w:r>
      <w:r w:rsidR="004C45F3" w:rsidRPr="00EB2576">
        <w:rPr>
          <w:rFonts w:ascii="Times New Roman" w:hAnsi="Times New Roman" w:cs="Times New Roman"/>
          <w:sz w:val="24"/>
          <w:szCs w:val="24"/>
        </w:rPr>
        <w:t xml:space="preserve">16 µL of pooled ATI positive sera (2 µL from each ATI positive patient) and </w:t>
      </w:r>
      <w:r w:rsidR="00705172" w:rsidRPr="00EB2576">
        <w:rPr>
          <w:rFonts w:ascii="Times New Roman" w:hAnsi="Times New Roman" w:cs="Times New Roman"/>
          <w:sz w:val="24"/>
          <w:szCs w:val="24"/>
        </w:rPr>
        <w:t>control</w:t>
      </w:r>
      <w:r w:rsidR="004C45F3" w:rsidRPr="00EB2576">
        <w:rPr>
          <w:rFonts w:ascii="Times New Roman" w:hAnsi="Times New Roman" w:cs="Times New Roman"/>
          <w:sz w:val="24"/>
          <w:szCs w:val="24"/>
        </w:rPr>
        <w:t xml:space="preserve"> selection</w:t>
      </w:r>
      <w:r w:rsidR="00705172" w:rsidRPr="00EB2576">
        <w:rPr>
          <w:rFonts w:ascii="Times New Roman" w:hAnsi="Times New Roman" w:cs="Times New Roman"/>
          <w:sz w:val="24"/>
          <w:szCs w:val="24"/>
        </w:rPr>
        <w:t>s</w:t>
      </w:r>
      <w:r w:rsidR="004C45F3" w:rsidRPr="00EB2576">
        <w:rPr>
          <w:rFonts w:ascii="Times New Roman" w:hAnsi="Times New Roman" w:cs="Times New Roman"/>
          <w:sz w:val="24"/>
          <w:szCs w:val="24"/>
        </w:rPr>
        <w:t xml:space="preserve"> us</w:t>
      </w:r>
      <w:r w:rsidR="00B93A3E" w:rsidRPr="00EB2576">
        <w:rPr>
          <w:rFonts w:ascii="Times New Roman" w:hAnsi="Times New Roman" w:cs="Times New Roman"/>
          <w:sz w:val="24"/>
          <w:szCs w:val="24"/>
        </w:rPr>
        <w:t xml:space="preserve">ing no sera </w:t>
      </w:r>
      <w:r w:rsidR="00705172" w:rsidRPr="00EB2576">
        <w:rPr>
          <w:rFonts w:ascii="Times New Roman" w:hAnsi="Times New Roman" w:cs="Times New Roman"/>
          <w:sz w:val="24"/>
          <w:szCs w:val="24"/>
        </w:rPr>
        <w:t xml:space="preserve">(blank) and normal AB sera </w:t>
      </w:r>
      <w:r w:rsidR="00B93A3E" w:rsidRPr="00EB2576">
        <w:rPr>
          <w:rFonts w:ascii="Times New Roman" w:hAnsi="Times New Roman" w:cs="Times New Roman"/>
          <w:sz w:val="24"/>
          <w:szCs w:val="24"/>
        </w:rPr>
        <w:t>was used</w:t>
      </w:r>
      <w:r w:rsidR="004C45F3" w:rsidRPr="00EB2576">
        <w:rPr>
          <w:rFonts w:ascii="Times New Roman" w:hAnsi="Times New Roman" w:cs="Times New Roman"/>
          <w:sz w:val="24"/>
          <w:szCs w:val="24"/>
        </w:rPr>
        <w:t xml:space="preserve">. </w:t>
      </w:r>
    </w:p>
    <w:p w14:paraId="58F189A8" w14:textId="77777777" w:rsidR="00E94872" w:rsidRPr="00EB2576" w:rsidRDefault="00E94872" w:rsidP="00E94872">
      <w:pPr>
        <w:spacing w:line="480" w:lineRule="auto"/>
        <w:rPr>
          <w:rFonts w:ascii="Times New Roman" w:hAnsi="Times New Roman" w:cs="Times New Roman"/>
          <w:sz w:val="24"/>
          <w:szCs w:val="24"/>
        </w:rPr>
      </w:pPr>
    </w:p>
    <w:p w14:paraId="1C8A7695" w14:textId="63E98109" w:rsidR="002E6F15" w:rsidRPr="00EB2576" w:rsidRDefault="00376D1C" w:rsidP="002E6F15">
      <w:pPr>
        <w:spacing w:line="480" w:lineRule="auto"/>
        <w:rPr>
          <w:rFonts w:ascii="Times New Roman" w:eastAsia="Times New Roman" w:hAnsi="Times New Roman" w:cs="Times New Roman"/>
          <w:sz w:val="24"/>
          <w:szCs w:val="24"/>
          <w:u w:val="single"/>
          <w:shd w:val="clear" w:color="auto" w:fill="FFFFFF"/>
          <w:lang w:eastAsia="en-GB"/>
        </w:rPr>
      </w:pPr>
      <w:bookmarkStart w:id="305" w:name="_Hlk115424638"/>
      <w:r w:rsidRPr="00EB2576">
        <w:rPr>
          <w:rFonts w:ascii="Times New Roman" w:hAnsi="Times New Roman" w:cs="Times New Roman"/>
          <w:sz w:val="24"/>
          <w:szCs w:val="24"/>
        </w:rPr>
        <w:t xml:space="preserve">Phage and sera </w:t>
      </w:r>
      <w:r w:rsidR="001849CD" w:rsidRPr="00EB2576">
        <w:rPr>
          <w:rFonts w:ascii="Times New Roman" w:hAnsi="Times New Roman" w:cs="Times New Roman"/>
          <w:sz w:val="24"/>
          <w:szCs w:val="24"/>
        </w:rPr>
        <w:t>were incubated in microfuge tubes</w:t>
      </w:r>
      <w:r w:rsidR="00296015" w:rsidRPr="00EB2576">
        <w:rPr>
          <w:rFonts w:ascii="Times New Roman" w:hAnsi="Times New Roman" w:cs="Times New Roman"/>
          <w:sz w:val="24"/>
          <w:szCs w:val="24"/>
        </w:rPr>
        <w:t xml:space="preserve"> in PBS</w:t>
      </w:r>
      <w:r w:rsidR="00E94872" w:rsidRPr="00EB2576">
        <w:rPr>
          <w:rFonts w:ascii="Times New Roman" w:hAnsi="Times New Roman" w:cs="Times New Roman"/>
          <w:sz w:val="24"/>
          <w:szCs w:val="24"/>
        </w:rPr>
        <w:t>-tween</w:t>
      </w:r>
      <w:r w:rsidR="00296015" w:rsidRPr="00EB2576">
        <w:rPr>
          <w:rFonts w:ascii="Times New Roman" w:hAnsi="Times New Roman" w:cs="Times New Roman"/>
          <w:sz w:val="24"/>
          <w:szCs w:val="24"/>
        </w:rPr>
        <w:t xml:space="preserve"> solution</w:t>
      </w:r>
      <w:r w:rsidR="00492399" w:rsidRPr="00EB2576">
        <w:rPr>
          <w:rFonts w:ascii="Times New Roman" w:hAnsi="Times New Roman" w:cs="Times New Roman"/>
          <w:sz w:val="24"/>
          <w:szCs w:val="24"/>
        </w:rPr>
        <w:t xml:space="preserve"> of 200µL</w:t>
      </w:r>
      <w:r w:rsidR="001849CD" w:rsidRPr="00EB2576">
        <w:rPr>
          <w:rFonts w:ascii="Times New Roman" w:hAnsi="Times New Roman" w:cs="Times New Roman"/>
          <w:sz w:val="24"/>
          <w:szCs w:val="24"/>
        </w:rPr>
        <w:t>.</w:t>
      </w:r>
      <w:r w:rsidR="00E94872" w:rsidRPr="00EB2576">
        <w:rPr>
          <w:rFonts w:ascii="Times New Roman" w:hAnsi="Times New Roman" w:cs="Times New Roman"/>
          <w:sz w:val="24"/>
          <w:szCs w:val="24"/>
        </w:rPr>
        <w:t xml:space="preserve"> </w:t>
      </w:r>
      <w:r w:rsidR="004C45F3" w:rsidRPr="00EB2576">
        <w:rPr>
          <w:rFonts w:ascii="Times New Roman" w:hAnsi="Times New Roman" w:cs="Times New Roman"/>
          <w:sz w:val="24"/>
          <w:szCs w:val="24"/>
        </w:rPr>
        <w:t xml:space="preserve">In round 1 of </w:t>
      </w:r>
      <w:r w:rsidR="000D07FD" w:rsidRPr="00EB2576">
        <w:rPr>
          <w:rFonts w:ascii="Times New Roman" w:hAnsi="Times New Roman" w:cs="Times New Roman"/>
          <w:sz w:val="24"/>
          <w:szCs w:val="24"/>
        </w:rPr>
        <w:t>selection</w:t>
      </w:r>
      <w:r w:rsidR="004C45F3" w:rsidRPr="00EB2576">
        <w:rPr>
          <w:rFonts w:ascii="Times New Roman" w:hAnsi="Times New Roman" w:cs="Times New Roman"/>
          <w:sz w:val="24"/>
          <w:szCs w:val="24"/>
        </w:rPr>
        <w:t xml:space="preserve"> of the RPL, the tween </w:t>
      </w:r>
      <w:r w:rsidR="00564772" w:rsidRPr="00EB2576">
        <w:rPr>
          <w:rFonts w:ascii="Times New Roman" w:hAnsi="Times New Roman" w:cs="Times New Roman"/>
          <w:sz w:val="24"/>
          <w:szCs w:val="24"/>
        </w:rPr>
        <w:t xml:space="preserve">solution </w:t>
      </w:r>
      <w:r w:rsidR="004C45F3" w:rsidRPr="00EB2576">
        <w:rPr>
          <w:rFonts w:ascii="Times New Roman" w:hAnsi="Times New Roman" w:cs="Times New Roman"/>
          <w:sz w:val="24"/>
          <w:szCs w:val="24"/>
        </w:rPr>
        <w:t>concentration was 0.1%, sera and phage were incubated for 50 minutes</w:t>
      </w:r>
      <w:r w:rsidR="00DC22F0" w:rsidRPr="00EB2576">
        <w:rPr>
          <w:rFonts w:ascii="Times New Roman" w:hAnsi="Times New Roman" w:cs="Times New Roman"/>
          <w:sz w:val="24"/>
          <w:szCs w:val="24"/>
        </w:rPr>
        <w:t xml:space="preserve">, then incubated with </w:t>
      </w:r>
      <w:r w:rsidR="00841842" w:rsidRPr="00EB2576">
        <w:rPr>
          <w:rFonts w:ascii="Times New Roman" w:hAnsi="Times New Roman" w:cs="Times New Roman"/>
          <w:sz w:val="24"/>
          <w:szCs w:val="24"/>
        </w:rPr>
        <w:t xml:space="preserve">protein A magnetic </w:t>
      </w:r>
      <w:r w:rsidR="004C45F3" w:rsidRPr="00EB2576">
        <w:rPr>
          <w:rFonts w:ascii="Times New Roman" w:hAnsi="Times New Roman" w:cs="Times New Roman"/>
          <w:sz w:val="24"/>
          <w:szCs w:val="24"/>
        </w:rPr>
        <w:t xml:space="preserve">beads </w:t>
      </w:r>
      <w:r w:rsidR="00DC22F0" w:rsidRPr="00EB2576">
        <w:rPr>
          <w:rFonts w:ascii="Times New Roman" w:hAnsi="Times New Roman" w:cs="Times New Roman"/>
          <w:sz w:val="24"/>
          <w:szCs w:val="24"/>
        </w:rPr>
        <w:t xml:space="preserve">as per the </w:t>
      </w:r>
      <w:r w:rsidR="00B93A3E" w:rsidRPr="00EB2576">
        <w:rPr>
          <w:rFonts w:ascii="Times New Roman" w:hAnsi="Times New Roman" w:cs="Times New Roman"/>
          <w:sz w:val="24"/>
          <w:szCs w:val="24"/>
        </w:rPr>
        <w:t xml:space="preserve">manufacturer’s </w:t>
      </w:r>
      <w:r w:rsidR="00DC22F0" w:rsidRPr="00EB2576">
        <w:rPr>
          <w:rFonts w:ascii="Times New Roman" w:hAnsi="Times New Roman" w:cs="Times New Roman"/>
          <w:sz w:val="24"/>
          <w:szCs w:val="24"/>
        </w:rPr>
        <w:t xml:space="preserve">protocol. Protein A magnetic beads </w:t>
      </w:r>
      <w:r w:rsidR="004C45F3" w:rsidRPr="00EB2576">
        <w:rPr>
          <w:rFonts w:ascii="Times New Roman" w:hAnsi="Times New Roman" w:cs="Times New Roman"/>
          <w:sz w:val="24"/>
          <w:szCs w:val="24"/>
        </w:rPr>
        <w:t xml:space="preserve">were </w:t>
      </w:r>
      <w:r w:rsidR="00DC22F0" w:rsidRPr="00EB2576">
        <w:rPr>
          <w:rFonts w:ascii="Times New Roman" w:hAnsi="Times New Roman" w:cs="Times New Roman"/>
          <w:sz w:val="24"/>
          <w:szCs w:val="24"/>
        </w:rPr>
        <w:t xml:space="preserve">then </w:t>
      </w:r>
      <w:r w:rsidR="004C45F3" w:rsidRPr="00EB2576">
        <w:rPr>
          <w:rFonts w:ascii="Times New Roman" w:hAnsi="Times New Roman" w:cs="Times New Roman"/>
          <w:sz w:val="24"/>
          <w:szCs w:val="24"/>
        </w:rPr>
        <w:t>washed</w:t>
      </w:r>
      <w:r w:rsidR="002E6F15" w:rsidRPr="00EB2576">
        <w:rPr>
          <w:rFonts w:ascii="Times New Roman" w:hAnsi="Times New Roman" w:cs="Times New Roman"/>
          <w:sz w:val="24"/>
          <w:szCs w:val="24"/>
        </w:rPr>
        <w:t xml:space="preserve"> </w:t>
      </w:r>
      <w:r w:rsidR="00D50276" w:rsidRPr="00EB2576">
        <w:rPr>
          <w:rFonts w:ascii="Times New Roman" w:hAnsi="Times New Roman" w:cs="Times New Roman"/>
          <w:sz w:val="24"/>
          <w:szCs w:val="24"/>
        </w:rPr>
        <w:t>using PBS-tween</w:t>
      </w:r>
      <w:r w:rsidR="004C45F3" w:rsidRPr="00EB2576">
        <w:rPr>
          <w:rFonts w:ascii="Times New Roman" w:hAnsi="Times New Roman" w:cs="Times New Roman"/>
          <w:sz w:val="24"/>
          <w:szCs w:val="24"/>
        </w:rPr>
        <w:t>.</w:t>
      </w:r>
      <w:r w:rsidR="002E6F15" w:rsidRPr="00EB2576">
        <w:rPr>
          <w:rFonts w:ascii="Times New Roman" w:hAnsi="Times New Roman" w:cs="Times New Roman"/>
          <w:sz w:val="24"/>
          <w:szCs w:val="24"/>
        </w:rPr>
        <w:t xml:space="preserve"> remove non-specific binding, followed by elution of bound phage using Elution Buffer (</w:t>
      </w:r>
      <w:proofErr w:type="spellStart"/>
      <w:r w:rsidR="002E6F15" w:rsidRPr="00EB2576">
        <w:rPr>
          <w:rFonts w:ascii="Times New Roman" w:hAnsi="Times New Roman" w:cs="Times New Roman"/>
          <w:sz w:val="24"/>
          <w:szCs w:val="24"/>
        </w:rPr>
        <w:t>Thermo</w:t>
      </w:r>
      <w:proofErr w:type="spellEnd"/>
      <w:r w:rsidR="002E6F15" w:rsidRPr="00EB2576">
        <w:rPr>
          <w:rFonts w:ascii="Times New Roman" w:hAnsi="Times New Roman" w:cs="Times New Roman"/>
          <w:sz w:val="24"/>
          <w:szCs w:val="24"/>
        </w:rPr>
        <w:t xml:space="preserve"> Fisher Scientific, </w:t>
      </w:r>
      <w:r w:rsidR="002E6F15" w:rsidRPr="00EB2576">
        <w:rPr>
          <w:rFonts w:ascii="Times New Roman" w:hAnsi="Times New Roman" w:cs="Times New Roman"/>
          <w:sz w:val="24"/>
          <w:szCs w:val="24"/>
          <w:shd w:val="clear" w:color="auto" w:fill="FFFFFF"/>
        </w:rPr>
        <w:t>Massachusetts, United States</w:t>
      </w:r>
      <w:r w:rsidR="002E6F15" w:rsidRPr="00EB2576">
        <w:rPr>
          <w:rFonts w:ascii="Times New Roman" w:hAnsi="Times New Roman" w:cs="Times New Roman"/>
          <w:sz w:val="24"/>
          <w:szCs w:val="24"/>
        </w:rPr>
        <w:t>).</w:t>
      </w:r>
      <w:r w:rsidR="002E6F15" w:rsidRPr="00EB2576">
        <w:rPr>
          <w:rFonts w:ascii="Times New Roman" w:hAnsi="Times New Roman" w:cs="Times New Roman"/>
          <w:kern w:val="24"/>
          <w:sz w:val="24"/>
          <w:szCs w:val="24"/>
        </w:rPr>
        <w:t xml:space="preserve"> </w:t>
      </w:r>
      <w:r w:rsidR="002E6F15" w:rsidRPr="00EB2576">
        <w:rPr>
          <w:rFonts w:ascii="Times New Roman" w:hAnsi="Times New Roman" w:cs="Times New Roman"/>
          <w:sz w:val="24"/>
          <w:szCs w:val="24"/>
        </w:rPr>
        <w:t xml:space="preserve">The input phage and selected phage libraries were titrated onto </w:t>
      </w:r>
      <w:bookmarkStart w:id="306" w:name="_Hlk116033056"/>
      <w:r w:rsidR="002E6F15" w:rsidRPr="00EB2576">
        <w:rPr>
          <w:rFonts w:ascii="Times New Roman" w:hAnsi="Times New Roman" w:cs="Times New Roman"/>
          <w:sz w:val="24"/>
          <w:szCs w:val="24"/>
          <w:shd w:val="clear" w:color="auto" w:fill="FFFFFF"/>
        </w:rPr>
        <w:t>Lysogeny Broth/</w:t>
      </w:r>
      <w:r w:rsidR="002E6F15" w:rsidRPr="00EB2576">
        <w:rPr>
          <w:rFonts w:ascii="Times New Roman" w:eastAsia="Times New Roman" w:hAnsi="Times New Roman" w:cs="Times New Roman"/>
          <w:sz w:val="24"/>
          <w:szCs w:val="24"/>
          <w:shd w:val="clear" w:color="auto" w:fill="FFFFFF"/>
          <w:lang w:eastAsia="en-GB"/>
        </w:rPr>
        <w:t>Isopropyl β-D-1-thiogalactopyranoside</w:t>
      </w:r>
      <w:r w:rsidR="002E6F15" w:rsidRPr="00EB2576">
        <w:rPr>
          <w:rFonts w:ascii="Times New Roman" w:hAnsi="Times New Roman" w:cs="Times New Roman"/>
          <w:sz w:val="24"/>
          <w:szCs w:val="24"/>
          <w:shd w:val="clear" w:color="auto" w:fill="FFFFFF"/>
        </w:rPr>
        <w:t>/</w:t>
      </w:r>
      <w:proofErr w:type="spellStart"/>
      <w:r w:rsidR="002E6F15" w:rsidRPr="00EB2576">
        <w:rPr>
          <w:rFonts w:ascii="Times New Roman" w:hAnsi="Times New Roman" w:cs="Times New Roman"/>
          <w:sz w:val="24"/>
          <w:szCs w:val="24"/>
          <w:shd w:val="clear" w:color="auto" w:fill="FFFFFF"/>
        </w:rPr>
        <w:t>Xgal</w:t>
      </w:r>
      <w:proofErr w:type="spellEnd"/>
      <w:r w:rsidR="002E6F15" w:rsidRPr="00EB2576">
        <w:rPr>
          <w:rFonts w:ascii="Times New Roman" w:hAnsi="Times New Roman" w:cs="Times New Roman"/>
          <w:sz w:val="24"/>
          <w:szCs w:val="24"/>
          <w:shd w:val="clear" w:color="auto" w:fill="FFFFFF"/>
        </w:rPr>
        <w:t xml:space="preserve"> (LB/IPTG/</w:t>
      </w:r>
      <w:proofErr w:type="spellStart"/>
      <w:r w:rsidR="002E6F15" w:rsidRPr="00EB2576">
        <w:rPr>
          <w:rFonts w:ascii="Times New Roman" w:hAnsi="Times New Roman" w:cs="Times New Roman"/>
          <w:sz w:val="24"/>
          <w:szCs w:val="24"/>
          <w:shd w:val="clear" w:color="auto" w:fill="FFFFFF"/>
        </w:rPr>
        <w:t>Xgal</w:t>
      </w:r>
      <w:proofErr w:type="spellEnd"/>
      <w:r w:rsidR="002E6F15" w:rsidRPr="00EB2576">
        <w:rPr>
          <w:rFonts w:ascii="Times New Roman" w:hAnsi="Times New Roman" w:cs="Times New Roman"/>
          <w:sz w:val="24"/>
          <w:szCs w:val="24"/>
          <w:shd w:val="clear" w:color="auto" w:fill="FFFFFF"/>
        </w:rPr>
        <w:t xml:space="preserve">) </w:t>
      </w:r>
      <w:bookmarkEnd w:id="306"/>
      <w:r w:rsidR="002E6F15" w:rsidRPr="00EB2576">
        <w:rPr>
          <w:rFonts w:ascii="Times New Roman" w:hAnsi="Times New Roman" w:cs="Times New Roman"/>
          <w:sz w:val="24"/>
          <w:szCs w:val="24"/>
          <w:shd w:val="clear" w:color="auto" w:fill="FFFFFF"/>
        </w:rPr>
        <w:t>p</w:t>
      </w:r>
      <w:r w:rsidR="002E6F15" w:rsidRPr="00EB2576">
        <w:rPr>
          <w:rFonts w:ascii="Times New Roman" w:hAnsi="Times New Roman" w:cs="Times New Roman"/>
          <w:sz w:val="24"/>
          <w:szCs w:val="24"/>
        </w:rPr>
        <w:t>lates and incubated overnight at 37°c. The selected phage mix was also plated onto LB/IPTG/</w:t>
      </w:r>
      <w:proofErr w:type="spellStart"/>
      <w:r w:rsidR="002E6F15" w:rsidRPr="00EB2576">
        <w:rPr>
          <w:rFonts w:ascii="Times New Roman" w:hAnsi="Times New Roman" w:cs="Times New Roman"/>
          <w:sz w:val="24"/>
          <w:szCs w:val="24"/>
        </w:rPr>
        <w:t>Xgal</w:t>
      </w:r>
      <w:proofErr w:type="spellEnd"/>
      <w:r w:rsidR="002E6F15" w:rsidRPr="00EB2576">
        <w:rPr>
          <w:rFonts w:ascii="Times New Roman" w:hAnsi="Times New Roman" w:cs="Times New Roman"/>
          <w:sz w:val="24"/>
          <w:szCs w:val="24"/>
        </w:rPr>
        <w:t xml:space="preserve"> plates and incubated overnight at 37°c, to be scraped and made into glycerol stocks for the next round of selection. Amplification for subsequent rounds of selection use </w:t>
      </w:r>
      <w:r w:rsidR="002E6F15" w:rsidRPr="00EB2576">
        <w:rPr>
          <w:rFonts w:ascii="Times New Roman" w:hAnsi="Times New Roman" w:cs="Times New Roman"/>
          <w:i/>
          <w:iCs/>
          <w:sz w:val="24"/>
          <w:szCs w:val="24"/>
        </w:rPr>
        <w:t xml:space="preserve">E. coli </w:t>
      </w:r>
      <w:r w:rsidR="002E6F15" w:rsidRPr="00EB2576">
        <w:rPr>
          <w:rFonts w:ascii="Times New Roman" w:hAnsi="Times New Roman" w:cs="Times New Roman"/>
          <w:sz w:val="24"/>
          <w:szCs w:val="24"/>
        </w:rPr>
        <w:t>strain ER2738 culture.</w:t>
      </w:r>
    </w:p>
    <w:p w14:paraId="23025574" w14:textId="77777777" w:rsidR="00FB7127" w:rsidRPr="00EB2576" w:rsidRDefault="00FB7127" w:rsidP="002E6F15">
      <w:pPr>
        <w:spacing w:line="480" w:lineRule="auto"/>
        <w:rPr>
          <w:rFonts w:ascii="Times New Roman" w:eastAsia="Times New Roman" w:hAnsi="Times New Roman" w:cs="Times New Roman"/>
          <w:sz w:val="24"/>
          <w:szCs w:val="24"/>
          <w:u w:val="single"/>
          <w:shd w:val="clear" w:color="auto" w:fill="FFFFFF"/>
          <w:lang w:eastAsia="en-GB"/>
        </w:rPr>
      </w:pPr>
    </w:p>
    <w:p w14:paraId="06AA9622" w14:textId="77777777" w:rsidR="00216955" w:rsidRPr="00EB2576" w:rsidRDefault="00FB7127" w:rsidP="00E94872">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To increase </w:t>
      </w:r>
      <w:r w:rsidR="00215E16" w:rsidRPr="00EB2576">
        <w:rPr>
          <w:rFonts w:ascii="Times New Roman" w:hAnsi="Times New Roman" w:cs="Times New Roman"/>
          <w:sz w:val="24"/>
          <w:szCs w:val="24"/>
        </w:rPr>
        <w:t xml:space="preserve">specificity- binding of ATI for phage displaying high affinity </w:t>
      </w:r>
      <w:r w:rsidR="00216955" w:rsidRPr="00EB2576">
        <w:rPr>
          <w:rFonts w:ascii="Times New Roman" w:hAnsi="Times New Roman" w:cs="Times New Roman"/>
          <w:sz w:val="24"/>
          <w:szCs w:val="24"/>
        </w:rPr>
        <w:t>mimotopes, i</w:t>
      </w:r>
      <w:r w:rsidR="004C45F3" w:rsidRPr="00EB2576">
        <w:rPr>
          <w:rFonts w:ascii="Times New Roman" w:hAnsi="Times New Roman" w:cs="Times New Roman"/>
          <w:sz w:val="24"/>
          <w:szCs w:val="24"/>
        </w:rPr>
        <w:t xml:space="preserve">n subsequent rounds of </w:t>
      </w:r>
      <w:r w:rsidR="006540BC" w:rsidRPr="00EB2576">
        <w:rPr>
          <w:rFonts w:ascii="Times New Roman" w:hAnsi="Times New Roman" w:cs="Times New Roman"/>
          <w:sz w:val="24"/>
          <w:szCs w:val="24"/>
        </w:rPr>
        <w:t>selection</w:t>
      </w:r>
      <w:r w:rsidR="00216955" w:rsidRPr="00EB2576">
        <w:rPr>
          <w:rFonts w:ascii="Times New Roman" w:hAnsi="Times New Roman" w:cs="Times New Roman"/>
          <w:sz w:val="24"/>
          <w:szCs w:val="24"/>
        </w:rPr>
        <w:t>:</w:t>
      </w:r>
      <w:r w:rsidR="004C45F3" w:rsidRPr="00EB2576">
        <w:rPr>
          <w:rFonts w:ascii="Times New Roman" w:hAnsi="Times New Roman" w:cs="Times New Roman"/>
          <w:sz w:val="24"/>
          <w:szCs w:val="24"/>
        </w:rPr>
        <w:t xml:space="preserve"> </w:t>
      </w:r>
    </w:p>
    <w:p w14:paraId="3DB139A2" w14:textId="77777777" w:rsidR="00216955" w:rsidRPr="00EB2576" w:rsidRDefault="00216955" w:rsidP="00216955">
      <w:pPr>
        <w:pStyle w:val="ListParagraph"/>
        <w:numPr>
          <w:ilvl w:val="0"/>
          <w:numId w:val="34"/>
        </w:numPr>
        <w:spacing w:line="480" w:lineRule="auto"/>
        <w:rPr>
          <w:rFonts w:ascii="Times New Roman" w:hAnsi="Times New Roman" w:cs="Times New Roman"/>
          <w:sz w:val="24"/>
          <w:szCs w:val="24"/>
        </w:rPr>
      </w:pPr>
      <w:r w:rsidRPr="00EB2576">
        <w:rPr>
          <w:rFonts w:ascii="Times New Roman" w:hAnsi="Times New Roman" w:cs="Times New Roman"/>
          <w:sz w:val="24"/>
          <w:szCs w:val="24"/>
        </w:rPr>
        <w:t>T</w:t>
      </w:r>
      <w:r w:rsidR="004C45F3" w:rsidRPr="00EB2576">
        <w:rPr>
          <w:rFonts w:ascii="Times New Roman" w:hAnsi="Times New Roman" w:cs="Times New Roman"/>
          <w:sz w:val="24"/>
          <w:szCs w:val="24"/>
        </w:rPr>
        <w:t xml:space="preserve">he tween concentration </w:t>
      </w:r>
      <w:r w:rsidRPr="00EB2576">
        <w:rPr>
          <w:rFonts w:ascii="Times New Roman" w:hAnsi="Times New Roman" w:cs="Times New Roman"/>
          <w:sz w:val="24"/>
          <w:szCs w:val="24"/>
        </w:rPr>
        <w:t xml:space="preserve">of the solution for phage and sera incubation and washes </w:t>
      </w:r>
      <w:r w:rsidR="004C45F3" w:rsidRPr="00EB2576">
        <w:rPr>
          <w:rFonts w:ascii="Times New Roman" w:hAnsi="Times New Roman" w:cs="Times New Roman"/>
          <w:sz w:val="24"/>
          <w:szCs w:val="24"/>
        </w:rPr>
        <w:t xml:space="preserve">was raised from 0.1% to 0.5% </w:t>
      </w:r>
    </w:p>
    <w:p w14:paraId="27E67317" w14:textId="77777777" w:rsidR="00216955" w:rsidRPr="00EB2576" w:rsidRDefault="00216955" w:rsidP="00216955">
      <w:pPr>
        <w:pStyle w:val="ListParagraph"/>
        <w:numPr>
          <w:ilvl w:val="0"/>
          <w:numId w:val="34"/>
        </w:num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Number of washes of the </w:t>
      </w:r>
      <w:r w:rsidR="00DC22F0" w:rsidRPr="00EB2576">
        <w:rPr>
          <w:rFonts w:ascii="Times New Roman" w:hAnsi="Times New Roman" w:cs="Times New Roman"/>
          <w:sz w:val="24"/>
          <w:szCs w:val="24"/>
        </w:rPr>
        <w:t xml:space="preserve">protein A magnetic </w:t>
      </w:r>
      <w:r w:rsidR="004C45F3" w:rsidRPr="00EB2576">
        <w:rPr>
          <w:rFonts w:ascii="Times New Roman" w:hAnsi="Times New Roman" w:cs="Times New Roman"/>
          <w:sz w:val="24"/>
          <w:szCs w:val="24"/>
        </w:rPr>
        <w:t xml:space="preserve">beads </w:t>
      </w:r>
      <w:r w:rsidRPr="00EB2576">
        <w:rPr>
          <w:rFonts w:ascii="Times New Roman" w:hAnsi="Times New Roman" w:cs="Times New Roman"/>
          <w:sz w:val="24"/>
          <w:szCs w:val="24"/>
        </w:rPr>
        <w:t>were increased from 3 to</w:t>
      </w:r>
      <w:r w:rsidR="004C45F3" w:rsidRPr="00EB2576">
        <w:rPr>
          <w:rFonts w:ascii="Times New Roman" w:hAnsi="Times New Roman" w:cs="Times New Roman"/>
          <w:sz w:val="24"/>
          <w:szCs w:val="24"/>
        </w:rPr>
        <w:t xml:space="preserve"> 10 times. </w:t>
      </w:r>
    </w:p>
    <w:p w14:paraId="622333B9" w14:textId="7B29FD33" w:rsidR="004C45F3" w:rsidRPr="00EB2576" w:rsidRDefault="004C45F3" w:rsidP="00216955">
      <w:pPr>
        <w:pStyle w:val="ListParagraph"/>
        <w:numPr>
          <w:ilvl w:val="0"/>
          <w:numId w:val="34"/>
        </w:numPr>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For round 3 and 4, the incubation time for phage and </w:t>
      </w:r>
      <w:r w:rsidR="00DC22F0" w:rsidRPr="00EB2576">
        <w:rPr>
          <w:rFonts w:ascii="Times New Roman" w:hAnsi="Times New Roman" w:cs="Times New Roman"/>
          <w:sz w:val="24"/>
          <w:szCs w:val="24"/>
        </w:rPr>
        <w:t xml:space="preserve">pooled </w:t>
      </w:r>
      <w:r w:rsidRPr="00EB2576">
        <w:rPr>
          <w:rFonts w:ascii="Times New Roman" w:hAnsi="Times New Roman" w:cs="Times New Roman"/>
          <w:sz w:val="24"/>
          <w:szCs w:val="24"/>
        </w:rPr>
        <w:t>sera was reduced to 30 minutes. A</w:t>
      </w:r>
      <w:r w:rsidRPr="00EB2576">
        <w:rPr>
          <w:rFonts w:ascii="Times New Roman" w:hAnsi="Times New Roman" w:cs="Times New Roman"/>
          <w:bCs/>
          <w:sz w:val="24"/>
          <w:szCs w:val="24"/>
        </w:rPr>
        <w:t xml:space="preserve"> negative selection was added at round 2 to remove non-specific binding </w:t>
      </w:r>
      <w:r w:rsidR="00DC22F0" w:rsidRPr="00EB2576">
        <w:rPr>
          <w:rFonts w:ascii="Times New Roman" w:hAnsi="Times New Roman" w:cs="Times New Roman"/>
          <w:bCs/>
          <w:sz w:val="24"/>
          <w:szCs w:val="24"/>
        </w:rPr>
        <w:t>of phage to</w:t>
      </w:r>
      <w:r w:rsidRPr="00EB2576">
        <w:rPr>
          <w:rFonts w:ascii="Times New Roman" w:hAnsi="Times New Roman" w:cs="Times New Roman"/>
          <w:bCs/>
          <w:sz w:val="24"/>
          <w:szCs w:val="24"/>
        </w:rPr>
        <w:t xml:space="preserve"> protein A.</w:t>
      </w:r>
      <w:r w:rsidRPr="00EB2576">
        <w:rPr>
          <w:rFonts w:ascii="Times New Roman" w:hAnsi="Times New Roman" w:cs="Times New Roman"/>
          <w:sz w:val="24"/>
          <w:szCs w:val="24"/>
        </w:rPr>
        <w:t xml:space="preserve"> An additional 50 </w:t>
      </w:r>
      <w:proofErr w:type="spellStart"/>
      <w:r w:rsidRPr="00EB2576">
        <w:rPr>
          <w:rFonts w:ascii="Times New Roman" w:hAnsi="Times New Roman" w:cs="Times New Roman"/>
          <w:sz w:val="24"/>
          <w:szCs w:val="24"/>
        </w:rPr>
        <w:t>μL</w:t>
      </w:r>
      <w:proofErr w:type="spellEnd"/>
      <w:r w:rsidRPr="00EB2576">
        <w:rPr>
          <w:rFonts w:ascii="Times New Roman" w:hAnsi="Times New Roman" w:cs="Times New Roman"/>
          <w:sz w:val="24"/>
          <w:szCs w:val="24"/>
        </w:rPr>
        <w:t xml:space="preserve"> of washed, blocked magnetic beads was prepared for each selection tube and incubated with diluted </w:t>
      </w:r>
      <w:r w:rsidR="00B93A3E" w:rsidRPr="00EB2576">
        <w:rPr>
          <w:rFonts w:ascii="Times New Roman" w:hAnsi="Times New Roman" w:cs="Times New Roman"/>
          <w:sz w:val="24"/>
          <w:szCs w:val="24"/>
        </w:rPr>
        <w:t xml:space="preserve">phage </w:t>
      </w:r>
      <w:r w:rsidRPr="00EB2576">
        <w:rPr>
          <w:rFonts w:ascii="Times New Roman" w:hAnsi="Times New Roman" w:cs="Times New Roman"/>
          <w:sz w:val="24"/>
          <w:szCs w:val="24"/>
        </w:rPr>
        <w:t xml:space="preserve">library in 200 </w:t>
      </w:r>
      <w:proofErr w:type="spellStart"/>
      <w:r w:rsidRPr="00EB2576">
        <w:rPr>
          <w:rFonts w:ascii="Times New Roman" w:hAnsi="Times New Roman" w:cs="Times New Roman"/>
          <w:sz w:val="24"/>
          <w:szCs w:val="24"/>
        </w:rPr>
        <w:t>μL</w:t>
      </w:r>
      <w:proofErr w:type="spellEnd"/>
      <w:r w:rsidRPr="00EB2576">
        <w:rPr>
          <w:rFonts w:ascii="Times New Roman" w:hAnsi="Times New Roman" w:cs="Times New Roman"/>
          <w:sz w:val="24"/>
          <w:szCs w:val="24"/>
        </w:rPr>
        <w:t xml:space="preserve"> of </w:t>
      </w:r>
      <w:r w:rsidR="00272968" w:rsidRPr="00EB2576">
        <w:rPr>
          <w:rFonts w:ascii="Times New Roman" w:hAnsi="Times New Roman" w:cs="Times New Roman"/>
          <w:sz w:val="24"/>
          <w:szCs w:val="24"/>
        </w:rPr>
        <w:t>P</w:t>
      </w:r>
      <w:r w:rsidRPr="00EB2576">
        <w:rPr>
          <w:rFonts w:ascii="Times New Roman" w:hAnsi="Times New Roman" w:cs="Times New Roman"/>
          <w:sz w:val="24"/>
          <w:szCs w:val="24"/>
        </w:rPr>
        <w:t xml:space="preserve">BST </w:t>
      </w:r>
      <w:r w:rsidR="00DC22F0" w:rsidRPr="00EB2576">
        <w:rPr>
          <w:rFonts w:ascii="Times New Roman" w:hAnsi="Times New Roman" w:cs="Times New Roman"/>
          <w:sz w:val="24"/>
          <w:szCs w:val="24"/>
        </w:rPr>
        <w:t>prior to incubation of the phage library with sera</w:t>
      </w:r>
      <w:r w:rsidRPr="00EB2576">
        <w:rPr>
          <w:rFonts w:ascii="Times New Roman" w:hAnsi="Times New Roman" w:cs="Times New Roman"/>
          <w:sz w:val="24"/>
          <w:szCs w:val="24"/>
        </w:rPr>
        <w:t xml:space="preserve">. The beads were </w:t>
      </w:r>
      <w:r w:rsidR="00DC22F0" w:rsidRPr="00EB2576">
        <w:rPr>
          <w:rFonts w:ascii="Times New Roman" w:hAnsi="Times New Roman" w:cs="Times New Roman"/>
          <w:sz w:val="24"/>
          <w:szCs w:val="24"/>
        </w:rPr>
        <w:t xml:space="preserve">then </w:t>
      </w:r>
      <w:r w:rsidRPr="00EB2576">
        <w:rPr>
          <w:rFonts w:ascii="Times New Roman" w:hAnsi="Times New Roman" w:cs="Times New Roman"/>
          <w:sz w:val="24"/>
          <w:szCs w:val="24"/>
        </w:rPr>
        <w:t xml:space="preserve">captured </w:t>
      </w:r>
      <w:r w:rsidR="00DC22F0" w:rsidRPr="00EB2576">
        <w:rPr>
          <w:rFonts w:ascii="Times New Roman" w:hAnsi="Times New Roman" w:cs="Times New Roman"/>
          <w:sz w:val="24"/>
          <w:szCs w:val="24"/>
        </w:rPr>
        <w:t xml:space="preserve">(along with </w:t>
      </w:r>
      <w:r w:rsidR="00B93A3E" w:rsidRPr="00EB2576">
        <w:rPr>
          <w:rFonts w:ascii="Times New Roman" w:hAnsi="Times New Roman" w:cs="Times New Roman"/>
          <w:sz w:val="24"/>
          <w:szCs w:val="24"/>
        </w:rPr>
        <w:t xml:space="preserve">any </w:t>
      </w:r>
      <w:r w:rsidR="00DC22F0" w:rsidRPr="00EB2576">
        <w:rPr>
          <w:rFonts w:ascii="Times New Roman" w:hAnsi="Times New Roman" w:cs="Times New Roman"/>
          <w:sz w:val="24"/>
          <w:szCs w:val="24"/>
        </w:rPr>
        <w:t>non</w:t>
      </w:r>
      <w:r w:rsidR="00B93A3E" w:rsidRPr="00EB2576">
        <w:rPr>
          <w:rFonts w:ascii="Times New Roman" w:hAnsi="Times New Roman" w:cs="Times New Roman"/>
          <w:sz w:val="24"/>
          <w:szCs w:val="24"/>
        </w:rPr>
        <w:t>-</w:t>
      </w:r>
      <w:r w:rsidR="00DC22F0" w:rsidRPr="00EB2576">
        <w:rPr>
          <w:rFonts w:ascii="Times New Roman" w:hAnsi="Times New Roman" w:cs="Times New Roman"/>
          <w:sz w:val="24"/>
          <w:szCs w:val="24"/>
        </w:rPr>
        <w:t xml:space="preserve">specific bound phage) </w:t>
      </w:r>
      <w:r w:rsidRPr="00EB2576">
        <w:rPr>
          <w:rFonts w:ascii="Times New Roman" w:hAnsi="Times New Roman" w:cs="Times New Roman"/>
          <w:sz w:val="24"/>
          <w:szCs w:val="24"/>
        </w:rPr>
        <w:t xml:space="preserve">and the supernatant transferred to a fresh microfuge tube to incubate with </w:t>
      </w:r>
      <w:r w:rsidR="00DC22F0" w:rsidRPr="00EB2576">
        <w:rPr>
          <w:rFonts w:ascii="Times New Roman" w:hAnsi="Times New Roman" w:cs="Times New Roman"/>
          <w:sz w:val="24"/>
          <w:szCs w:val="24"/>
        </w:rPr>
        <w:t xml:space="preserve">pooled </w:t>
      </w:r>
      <w:r w:rsidRPr="00EB2576">
        <w:rPr>
          <w:rFonts w:ascii="Times New Roman" w:hAnsi="Times New Roman" w:cs="Times New Roman"/>
          <w:sz w:val="24"/>
          <w:szCs w:val="24"/>
        </w:rPr>
        <w:t>sera and subsequently recapture using more washed, blocked beads.</w:t>
      </w:r>
    </w:p>
    <w:bookmarkEnd w:id="305"/>
    <w:p w14:paraId="32744BF9" w14:textId="77777777" w:rsidR="00875149" w:rsidRPr="00EB2576" w:rsidRDefault="00875149" w:rsidP="00875149">
      <w:pPr>
        <w:tabs>
          <w:tab w:val="left" w:pos="567"/>
          <w:tab w:val="left" w:pos="3544"/>
          <w:tab w:val="left" w:pos="3686"/>
        </w:tabs>
        <w:spacing w:line="480" w:lineRule="auto"/>
        <w:rPr>
          <w:rFonts w:ascii="Times New Roman" w:hAnsi="Times New Roman" w:cs="Times New Roman"/>
          <w:sz w:val="24"/>
          <w:szCs w:val="24"/>
        </w:rPr>
      </w:pPr>
    </w:p>
    <w:p w14:paraId="329356F1" w14:textId="34B7428A" w:rsidR="00875149" w:rsidRPr="00EB2576" w:rsidRDefault="00FC2FFF" w:rsidP="00875149">
      <w:pPr>
        <w:pStyle w:val="Heading3"/>
        <w:spacing w:line="480" w:lineRule="auto"/>
        <w:rPr>
          <w:rFonts w:ascii="Times New Roman" w:hAnsi="Times New Roman" w:cs="Times New Roman"/>
          <w:b/>
          <w:bCs/>
        </w:rPr>
      </w:pPr>
      <w:bookmarkStart w:id="307" w:name="_Toc151020548"/>
      <w:r w:rsidRPr="00EB2576">
        <w:rPr>
          <w:rFonts w:ascii="Times New Roman" w:hAnsi="Times New Roman" w:cs="Times New Roman"/>
          <w:b/>
          <w:bCs/>
          <w:lang w:eastAsia="en-GB"/>
        </w:rPr>
        <w:t>6</w:t>
      </w:r>
      <w:r w:rsidR="00875149" w:rsidRPr="00EB2576">
        <w:rPr>
          <w:rFonts w:ascii="Times New Roman" w:hAnsi="Times New Roman" w:cs="Times New Roman"/>
          <w:b/>
          <w:bCs/>
          <w:lang w:eastAsia="en-GB"/>
        </w:rPr>
        <w:t xml:space="preserve">.2.8 </w:t>
      </w:r>
      <w:r w:rsidR="00875149" w:rsidRPr="00EB2576">
        <w:rPr>
          <w:rFonts w:ascii="Times New Roman" w:hAnsi="Times New Roman" w:cs="Times New Roman"/>
          <w:b/>
          <w:bCs/>
        </w:rPr>
        <w:t>Analysis of selected phage clones</w:t>
      </w:r>
      <w:bookmarkEnd w:id="307"/>
      <w:r w:rsidR="00875149" w:rsidRPr="00EB2576">
        <w:rPr>
          <w:rFonts w:ascii="Times New Roman" w:hAnsi="Times New Roman" w:cs="Times New Roman"/>
          <w:b/>
          <w:bCs/>
        </w:rPr>
        <w:t xml:space="preserve"> </w:t>
      </w:r>
    </w:p>
    <w:p w14:paraId="5F62098C" w14:textId="5A6BBED8" w:rsidR="00464B8E" w:rsidRPr="00EB2576" w:rsidRDefault="00EF0086" w:rsidP="00EF0086">
      <w:pPr>
        <w:spacing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Seventy p</w:t>
      </w:r>
      <w:r w:rsidR="00803554" w:rsidRPr="00EB2576">
        <w:rPr>
          <w:rFonts w:ascii="Times New Roman" w:hAnsi="Times New Roman" w:cs="Times New Roman"/>
          <w:sz w:val="24"/>
          <w:szCs w:val="24"/>
        </w:rPr>
        <w:t xml:space="preserve">laques </w:t>
      </w:r>
      <w:r w:rsidRPr="00EB2576">
        <w:rPr>
          <w:rFonts w:ascii="Times New Roman" w:hAnsi="Times New Roman" w:cs="Times New Roman"/>
          <w:sz w:val="24"/>
          <w:szCs w:val="24"/>
        </w:rPr>
        <w:t xml:space="preserve">were picked from </w:t>
      </w:r>
      <w:r w:rsidR="00CF1CC4" w:rsidRPr="00EB2576">
        <w:rPr>
          <w:rFonts w:ascii="Times New Roman" w:hAnsi="Times New Roman" w:cs="Times New Roman"/>
          <w:sz w:val="24"/>
          <w:szCs w:val="24"/>
        </w:rPr>
        <w:t xml:space="preserve">titration plates using </w:t>
      </w:r>
      <w:r w:rsidR="0034104C" w:rsidRPr="00EB2576">
        <w:rPr>
          <w:rFonts w:ascii="Times New Roman" w:hAnsi="Times New Roman" w:cs="Times New Roman"/>
          <w:sz w:val="24"/>
          <w:szCs w:val="24"/>
        </w:rPr>
        <w:t>sterile pipette</w:t>
      </w:r>
      <w:r w:rsidR="001F1226" w:rsidRPr="00EB2576">
        <w:rPr>
          <w:rFonts w:ascii="Times New Roman" w:hAnsi="Times New Roman" w:cs="Times New Roman"/>
          <w:sz w:val="24"/>
          <w:szCs w:val="24"/>
        </w:rPr>
        <w:t>s</w:t>
      </w:r>
      <w:r w:rsidR="0034104C" w:rsidRPr="00EB2576">
        <w:rPr>
          <w:rFonts w:ascii="Times New Roman" w:hAnsi="Times New Roman" w:cs="Times New Roman"/>
          <w:sz w:val="24"/>
          <w:szCs w:val="24"/>
        </w:rPr>
        <w:t xml:space="preserve">. 10 </w:t>
      </w:r>
      <w:r w:rsidR="0034104C" w:rsidRPr="00EB2576">
        <w:rPr>
          <w:rFonts w:ascii="Times New Roman" w:hAnsi="Times New Roman" w:cs="Times New Roman"/>
          <w:kern w:val="24"/>
          <w:sz w:val="24"/>
          <w:szCs w:val="24"/>
          <w:lang w:eastAsia="en-GB"/>
        </w:rPr>
        <w:t xml:space="preserve">plaques from </w:t>
      </w:r>
      <w:r w:rsidR="001F1226" w:rsidRPr="00EB2576">
        <w:rPr>
          <w:rFonts w:ascii="Times New Roman" w:hAnsi="Times New Roman" w:cs="Times New Roman"/>
          <w:kern w:val="24"/>
          <w:sz w:val="24"/>
          <w:szCs w:val="24"/>
          <w:lang w:eastAsia="en-GB"/>
        </w:rPr>
        <w:t xml:space="preserve">the </w:t>
      </w:r>
      <w:r w:rsidR="0034104C" w:rsidRPr="00EB2576">
        <w:rPr>
          <w:rFonts w:ascii="Times New Roman" w:hAnsi="Times New Roman" w:cs="Times New Roman"/>
          <w:kern w:val="24"/>
          <w:sz w:val="24"/>
          <w:szCs w:val="24"/>
          <w:lang w:eastAsia="en-GB"/>
        </w:rPr>
        <w:t xml:space="preserve">unselected </w:t>
      </w:r>
      <w:r w:rsidR="00CF1CC4" w:rsidRPr="00EB2576">
        <w:rPr>
          <w:rFonts w:ascii="Times New Roman" w:hAnsi="Times New Roman" w:cs="Times New Roman"/>
          <w:kern w:val="24"/>
          <w:sz w:val="24"/>
          <w:szCs w:val="24"/>
          <w:lang w:eastAsia="en-GB"/>
        </w:rPr>
        <w:t>RPL</w:t>
      </w:r>
      <w:r w:rsidR="0034104C" w:rsidRPr="00EB2576">
        <w:rPr>
          <w:rFonts w:ascii="Times New Roman" w:eastAsia="Times New Roman" w:hAnsi="Times New Roman" w:cs="Times New Roman"/>
          <w:sz w:val="24"/>
          <w:szCs w:val="24"/>
          <w:lang w:eastAsia="en-GB"/>
        </w:rPr>
        <w:t xml:space="preserve">, </w:t>
      </w:r>
      <w:r w:rsidR="00CF1CC4" w:rsidRPr="00EB2576">
        <w:rPr>
          <w:rFonts w:ascii="Times New Roman" w:hAnsi="Times New Roman" w:cs="Times New Roman"/>
          <w:kern w:val="24"/>
          <w:sz w:val="24"/>
          <w:szCs w:val="24"/>
          <w:lang w:eastAsia="en-GB"/>
        </w:rPr>
        <w:t xml:space="preserve">10 plaques each from round 3 </w:t>
      </w:r>
      <w:r w:rsidR="0034104C" w:rsidRPr="00EB2576">
        <w:rPr>
          <w:rFonts w:ascii="Times New Roman" w:hAnsi="Times New Roman" w:cs="Times New Roman"/>
          <w:kern w:val="24"/>
          <w:sz w:val="24"/>
          <w:szCs w:val="24"/>
          <w:lang w:eastAsia="en-GB"/>
        </w:rPr>
        <w:t>of</w:t>
      </w:r>
      <w:r w:rsidR="00CF1CC4" w:rsidRPr="00EB2576">
        <w:rPr>
          <w:rFonts w:ascii="Times New Roman" w:hAnsi="Times New Roman" w:cs="Times New Roman"/>
          <w:kern w:val="24"/>
          <w:sz w:val="24"/>
          <w:szCs w:val="24"/>
          <w:lang w:eastAsia="en-GB"/>
        </w:rPr>
        <w:t xml:space="preserve"> poo</w:t>
      </w:r>
      <w:r w:rsidR="0034104C" w:rsidRPr="00EB2576">
        <w:rPr>
          <w:rFonts w:ascii="Times New Roman" w:hAnsi="Times New Roman" w:cs="Times New Roman"/>
          <w:kern w:val="24"/>
          <w:sz w:val="24"/>
          <w:szCs w:val="24"/>
          <w:lang w:eastAsia="en-GB"/>
        </w:rPr>
        <w:t xml:space="preserve">led </w:t>
      </w:r>
      <w:r w:rsidR="00CF1CC4" w:rsidRPr="00EB2576">
        <w:rPr>
          <w:rFonts w:ascii="Times New Roman" w:hAnsi="Times New Roman" w:cs="Times New Roman"/>
          <w:kern w:val="24"/>
          <w:sz w:val="24"/>
          <w:szCs w:val="24"/>
          <w:lang w:eastAsia="en-GB"/>
        </w:rPr>
        <w:t>ATI</w:t>
      </w:r>
      <w:r w:rsidR="0034104C" w:rsidRPr="00EB2576">
        <w:rPr>
          <w:rFonts w:ascii="Times New Roman" w:hAnsi="Times New Roman" w:cs="Times New Roman"/>
          <w:kern w:val="24"/>
          <w:sz w:val="24"/>
          <w:szCs w:val="24"/>
          <w:lang w:eastAsia="en-GB"/>
        </w:rPr>
        <w:t xml:space="preserve"> sera</w:t>
      </w:r>
      <w:r w:rsidR="00CF1CC4" w:rsidRPr="00EB2576">
        <w:rPr>
          <w:rFonts w:ascii="Times New Roman" w:hAnsi="Times New Roman" w:cs="Times New Roman"/>
          <w:kern w:val="24"/>
          <w:sz w:val="24"/>
          <w:szCs w:val="24"/>
          <w:lang w:eastAsia="en-GB"/>
        </w:rPr>
        <w:t>, normal and blank</w:t>
      </w:r>
      <w:r w:rsidR="0034104C" w:rsidRPr="00EB2576">
        <w:rPr>
          <w:rFonts w:ascii="Times New Roman" w:hAnsi="Times New Roman" w:cs="Times New Roman"/>
          <w:kern w:val="24"/>
          <w:sz w:val="24"/>
          <w:szCs w:val="24"/>
          <w:lang w:eastAsia="en-GB"/>
        </w:rPr>
        <w:t xml:space="preserve"> selections</w:t>
      </w:r>
      <w:r w:rsidR="0034104C" w:rsidRPr="00EB2576">
        <w:rPr>
          <w:rFonts w:ascii="Times New Roman" w:eastAsia="Times New Roman" w:hAnsi="Times New Roman" w:cs="Times New Roman"/>
          <w:sz w:val="24"/>
          <w:szCs w:val="24"/>
          <w:lang w:eastAsia="en-GB"/>
        </w:rPr>
        <w:t xml:space="preserve"> and</w:t>
      </w:r>
      <w:r w:rsidR="00CF1CC4" w:rsidRPr="00EB2576">
        <w:rPr>
          <w:rFonts w:ascii="Times New Roman" w:hAnsi="Times New Roman" w:cs="Times New Roman"/>
          <w:kern w:val="24"/>
          <w:sz w:val="24"/>
          <w:szCs w:val="24"/>
          <w:lang w:eastAsia="en-GB"/>
        </w:rPr>
        <w:t xml:space="preserve"> 10 plaques each from round 4 </w:t>
      </w:r>
      <w:r w:rsidR="0034104C" w:rsidRPr="00EB2576">
        <w:rPr>
          <w:rFonts w:ascii="Times New Roman" w:hAnsi="Times New Roman" w:cs="Times New Roman"/>
          <w:kern w:val="24"/>
          <w:sz w:val="24"/>
          <w:szCs w:val="24"/>
          <w:lang w:eastAsia="en-GB"/>
        </w:rPr>
        <w:t xml:space="preserve">of </w:t>
      </w:r>
      <w:r w:rsidR="00CF1CC4" w:rsidRPr="00EB2576">
        <w:rPr>
          <w:rFonts w:ascii="Times New Roman" w:hAnsi="Times New Roman" w:cs="Times New Roman"/>
          <w:kern w:val="24"/>
          <w:sz w:val="24"/>
          <w:szCs w:val="24"/>
          <w:lang w:eastAsia="en-GB"/>
        </w:rPr>
        <w:t>pooled ATI</w:t>
      </w:r>
      <w:r w:rsidR="0034104C" w:rsidRPr="00EB2576">
        <w:rPr>
          <w:rFonts w:ascii="Times New Roman" w:hAnsi="Times New Roman" w:cs="Times New Roman"/>
          <w:kern w:val="24"/>
          <w:sz w:val="24"/>
          <w:szCs w:val="24"/>
          <w:lang w:eastAsia="en-GB"/>
        </w:rPr>
        <w:t xml:space="preserve"> sera</w:t>
      </w:r>
      <w:r w:rsidR="00CF1CC4" w:rsidRPr="00EB2576">
        <w:rPr>
          <w:rFonts w:ascii="Times New Roman" w:hAnsi="Times New Roman" w:cs="Times New Roman"/>
          <w:kern w:val="24"/>
          <w:sz w:val="24"/>
          <w:szCs w:val="24"/>
          <w:lang w:eastAsia="en-GB"/>
        </w:rPr>
        <w:t>, normal and blank</w:t>
      </w:r>
      <w:r w:rsidR="0034104C" w:rsidRPr="00EB2576">
        <w:rPr>
          <w:rFonts w:ascii="Times New Roman" w:hAnsi="Times New Roman" w:cs="Times New Roman"/>
          <w:kern w:val="24"/>
          <w:sz w:val="24"/>
          <w:szCs w:val="24"/>
          <w:lang w:eastAsia="en-GB"/>
        </w:rPr>
        <w:t xml:space="preserve"> selections were </w:t>
      </w:r>
      <w:r w:rsidRPr="00EB2576">
        <w:rPr>
          <w:rFonts w:ascii="Times New Roman" w:hAnsi="Times New Roman" w:cs="Times New Roman"/>
          <w:kern w:val="24"/>
          <w:sz w:val="24"/>
          <w:szCs w:val="24"/>
          <w:lang w:eastAsia="en-GB"/>
        </w:rPr>
        <w:t xml:space="preserve">picked and </w:t>
      </w:r>
      <w:r w:rsidR="00464B8E" w:rsidRPr="00EB2576">
        <w:rPr>
          <w:rFonts w:ascii="Times New Roman" w:hAnsi="Times New Roman" w:cs="Times New Roman"/>
          <w:sz w:val="24"/>
          <w:szCs w:val="24"/>
        </w:rPr>
        <w:t>add</w:t>
      </w:r>
      <w:r w:rsidRPr="00EB2576">
        <w:rPr>
          <w:rFonts w:ascii="Times New Roman" w:hAnsi="Times New Roman" w:cs="Times New Roman"/>
          <w:sz w:val="24"/>
          <w:szCs w:val="24"/>
        </w:rPr>
        <w:t>ed</w:t>
      </w:r>
      <w:r w:rsidR="00464B8E" w:rsidRPr="00EB2576">
        <w:rPr>
          <w:rFonts w:ascii="Times New Roman" w:hAnsi="Times New Roman" w:cs="Times New Roman"/>
          <w:sz w:val="24"/>
          <w:szCs w:val="24"/>
        </w:rPr>
        <w:t xml:space="preserve"> to LB</w:t>
      </w:r>
      <w:r w:rsidR="00CF1CC4" w:rsidRPr="00EB2576">
        <w:rPr>
          <w:rFonts w:ascii="Times New Roman" w:hAnsi="Times New Roman" w:cs="Times New Roman"/>
          <w:sz w:val="24"/>
          <w:szCs w:val="24"/>
        </w:rPr>
        <w:t xml:space="preserve"> broth</w:t>
      </w:r>
      <w:r w:rsidR="00464B8E" w:rsidRPr="00EB2576">
        <w:rPr>
          <w:rFonts w:ascii="Times New Roman" w:hAnsi="Times New Roman" w:cs="Times New Roman"/>
          <w:sz w:val="24"/>
          <w:szCs w:val="24"/>
        </w:rPr>
        <w:t xml:space="preserve"> with </w:t>
      </w:r>
      <w:r w:rsidR="00CF1CC4" w:rsidRPr="00EB2576">
        <w:rPr>
          <w:rFonts w:ascii="Times New Roman" w:hAnsi="Times New Roman" w:cs="Times New Roman"/>
          <w:sz w:val="24"/>
          <w:szCs w:val="24"/>
        </w:rPr>
        <w:t xml:space="preserve">overnight culture of </w:t>
      </w:r>
      <w:r w:rsidR="00464B8E" w:rsidRPr="00EB2576">
        <w:rPr>
          <w:rFonts w:ascii="Times New Roman" w:hAnsi="Times New Roman" w:cs="Times New Roman"/>
          <w:sz w:val="24"/>
          <w:szCs w:val="24"/>
        </w:rPr>
        <w:t>ER2738.</w:t>
      </w:r>
      <w:r w:rsidRPr="00EB2576">
        <w:rPr>
          <w:rFonts w:ascii="Times New Roman" w:hAnsi="Times New Roman" w:cs="Times New Roman"/>
          <w:sz w:val="24"/>
          <w:szCs w:val="24"/>
        </w:rPr>
        <w:t xml:space="preserve"> The selected phage clones were amplified and single strand phage DNA extracted using alcohol precipitation</w:t>
      </w:r>
      <w:r w:rsidR="00F247BF" w:rsidRPr="00EB2576">
        <w:rPr>
          <w:rFonts w:ascii="Times New Roman" w:hAnsi="Times New Roman" w:cs="Times New Roman"/>
          <w:sz w:val="24"/>
          <w:szCs w:val="24"/>
        </w:rPr>
        <w:t xml:space="preserve"> as per protocol </w:t>
      </w:r>
      <w:r w:rsidR="00F247BF"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{"citationItems":[{"id":"ITEM-1","itemData":{"DOI":"10.1007/978-1-62703-992-5_28","author":[{"dropping-particle":"","family":"Midoro-Horiuti","given":"Terumi","non-dropping-particle":"","parse-names":false,"suffix":""},{"dropping-particle":"","family":"Goldblum","given":"Randall M.","non-dropping-particle":"","parse-names":false,"suffix":""}],"id":"ITEM-1","issued":{"date-parts":[["2014"]]},"page":"477-484","title":"Epitope Mapping with Random Phage Display Library","type":"chapter"},"uris":["http://www.mendeley.com/documents/?uuid=d3017ee0-519d-4bbe-bbbd-6f6d0e210b48"]}],"mendeley":{"formattedCitation":"&lt;sup&gt;203&lt;/sup&gt;","plainTextFormattedCitation":"203","previouslyFormattedCitation":"&lt;sup&gt;203&lt;/sup&gt;"},"properties":{"noteIndex":0},"schema":"https://github.com/citation-style-language/schema/raw/master/csl-citation.json"}</w:instrText>
      </w:r>
      <w:r w:rsidR="00F247BF"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203</w:t>
      </w:r>
      <w:r w:rsidR="00F247BF"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r w:rsidR="001F1226" w:rsidRPr="00EB2576">
        <w:rPr>
          <w:rFonts w:ascii="Times New Roman" w:hAnsi="Times New Roman" w:cs="Times New Roman"/>
          <w:sz w:val="24"/>
          <w:szCs w:val="24"/>
        </w:rPr>
        <w:t>DNA from 70 phage plaques underwent Sanger sequencing (DBS genomics, Durh</w:t>
      </w:r>
      <w:r w:rsidR="00AE7A8A" w:rsidRPr="00EB2576">
        <w:rPr>
          <w:rFonts w:ascii="Times New Roman" w:hAnsi="Times New Roman" w:cs="Times New Roman"/>
          <w:sz w:val="24"/>
          <w:szCs w:val="24"/>
        </w:rPr>
        <w:t xml:space="preserve">am </w:t>
      </w:r>
      <w:r w:rsidR="001F1226" w:rsidRPr="00EB2576">
        <w:rPr>
          <w:rFonts w:ascii="Times New Roman" w:hAnsi="Times New Roman" w:cs="Times New Roman"/>
          <w:sz w:val="24"/>
          <w:szCs w:val="24"/>
        </w:rPr>
        <w:t xml:space="preserve">University, UK) and </w:t>
      </w:r>
      <w:r w:rsidR="00AE7A8A" w:rsidRPr="00EB2576">
        <w:rPr>
          <w:rFonts w:ascii="Times New Roman" w:hAnsi="Times New Roman" w:cs="Times New Roman"/>
          <w:sz w:val="24"/>
          <w:szCs w:val="24"/>
        </w:rPr>
        <w:t xml:space="preserve">translated into </w:t>
      </w:r>
      <w:r w:rsidR="001F1226" w:rsidRPr="00EB2576">
        <w:rPr>
          <w:rFonts w:ascii="Times New Roman" w:hAnsi="Times New Roman" w:cs="Times New Roman"/>
          <w:sz w:val="24"/>
          <w:szCs w:val="24"/>
        </w:rPr>
        <w:t xml:space="preserve">amino acid sequences </w:t>
      </w:r>
      <w:r w:rsidR="00AE7A8A" w:rsidRPr="00EB2576">
        <w:rPr>
          <w:rFonts w:ascii="Times New Roman" w:hAnsi="Times New Roman" w:cs="Times New Roman"/>
          <w:sz w:val="24"/>
          <w:szCs w:val="24"/>
        </w:rPr>
        <w:t xml:space="preserve">using </w:t>
      </w:r>
      <w:r w:rsidR="001F1226" w:rsidRPr="00EB2576">
        <w:rPr>
          <w:rFonts w:ascii="Times New Roman" w:eastAsia="MS PGothic" w:hAnsi="Times New Roman" w:cs="Times New Roman"/>
          <w:kern w:val="24"/>
          <w:sz w:val="24"/>
          <w:szCs w:val="24"/>
        </w:rPr>
        <w:t>Vector NTI (</w:t>
      </w:r>
      <w:proofErr w:type="spellStart"/>
      <w:r w:rsidR="001F1226" w:rsidRPr="00EB2576">
        <w:rPr>
          <w:rFonts w:ascii="Times New Roman" w:eastAsia="MS PGothic" w:hAnsi="Times New Roman" w:cs="Times New Roman"/>
          <w:kern w:val="24"/>
          <w:sz w:val="24"/>
          <w:szCs w:val="24"/>
        </w:rPr>
        <w:t>ThermoFisher</w:t>
      </w:r>
      <w:proofErr w:type="spellEnd"/>
      <w:r w:rsidR="001F1226" w:rsidRPr="00EB2576">
        <w:rPr>
          <w:rFonts w:ascii="Times New Roman" w:eastAsia="MS PGothic" w:hAnsi="Times New Roman" w:cs="Times New Roman"/>
          <w:kern w:val="24"/>
          <w:sz w:val="24"/>
          <w:szCs w:val="24"/>
        </w:rPr>
        <w:t xml:space="preserve"> Scientific</w:t>
      </w:r>
      <w:r w:rsidR="001F1226" w:rsidRPr="00EB2576">
        <w:rPr>
          <w:rStyle w:val="eq0j8"/>
          <w:rFonts w:ascii="Times New Roman" w:hAnsi="Times New Roman" w:cs="Times New Roman"/>
          <w:sz w:val="24"/>
          <w:szCs w:val="24"/>
          <w:shd w:val="clear" w:color="auto" w:fill="FFFFFF"/>
        </w:rPr>
        <w:t xml:space="preserve"> Massachusetts, United States)</w:t>
      </w:r>
      <w:r w:rsidR="001F1226" w:rsidRPr="00EB2576">
        <w:rPr>
          <w:rFonts w:ascii="Times New Roman" w:eastAsia="MS PGothic" w:hAnsi="Times New Roman" w:cs="Times New Roman"/>
          <w:kern w:val="24"/>
          <w:sz w:val="24"/>
          <w:szCs w:val="24"/>
        </w:rPr>
        <w:t>.</w:t>
      </w:r>
    </w:p>
    <w:p w14:paraId="4F1520D1" w14:textId="77777777" w:rsidR="00464B8E" w:rsidRPr="00EB2576" w:rsidRDefault="00464B8E" w:rsidP="00464B8E">
      <w:pPr>
        <w:autoSpaceDE w:val="0"/>
        <w:autoSpaceDN w:val="0"/>
        <w:adjustRightInd w:val="0"/>
        <w:spacing w:after="0" w:line="240" w:lineRule="auto"/>
        <w:jc w:val="left"/>
        <w:rPr>
          <w:rFonts w:ascii="Times New Roman" w:hAnsi="Times New Roman" w:cs="Times New Roman"/>
          <w:sz w:val="20"/>
          <w:szCs w:val="20"/>
        </w:rPr>
      </w:pPr>
    </w:p>
    <w:p w14:paraId="5057A24D" w14:textId="6B5C57E3" w:rsidR="00464B8E" w:rsidRPr="00EB2576" w:rsidRDefault="00464B8E" w:rsidP="00F247BF">
      <w:pPr>
        <w:autoSpaceDE w:val="0"/>
        <w:autoSpaceDN w:val="0"/>
        <w:adjustRightInd w:val="0"/>
        <w:spacing w:after="0" w:line="240" w:lineRule="auto"/>
        <w:jc w:val="left"/>
        <w:rPr>
          <w:rFonts w:ascii="Times New Roman" w:eastAsia="Code" w:hAnsi="Times New Roman" w:cs="Times New Roman"/>
          <w:sz w:val="20"/>
          <w:szCs w:val="20"/>
        </w:rPr>
      </w:pPr>
      <w:r w:rsidRPr="00EB2576">
        <w:rPr>
          <w:rFonts w:ascii="Times New Roman" w:eastAsia="Code" w:hAnsi="Times New Roman" w:cs="Times New Roman"/>
          <w:sz w:val="20"/>
          <w:szCs w:val="20"/>
        </w:rPr>
        <w:t>.</w:t>
      </w:r>
    </w:p>
    <w:p w14:paraId="519CBC57" w14:textId="5AB5683A" w:rsidR="00875149" w:rsidRPr="00EB2576" w:rsidRDefault="006C2A31" w:rsidP="00875149">
      <w:pPr>
        <w:pStyle w:val="Heading3"/>
        <w:spacing w:line="480" w:lineRule="auto"/>
        <w:rPr>
          <w:rFonts w:ascii="Times New Roman" w:hAnsi="Times New Roman" w:cs="Times New Roman"/>
          <w:b/>
          <w:bCs/>
        </w:rPr>
      </w:pPr>
      <w:bookmarkStart w:id="308" w:name="_Toc151020549"/>
      <w:r w:rsidRPr="00EB2576">
        <w:rPr>
          <w:rFonts w:ascii="Times New Roman" w:hAnsi="Times New Roman" w:cs="Times New Roman"/>
          <w:b/>
          <w:bCs/>
        </w:rPr>
        <w:t>6</w:t>
      </w:r>
      <w:r w:rsidR="00875149" w:rsidRPr="00EB2576">
        <w:rPr>
          <w:rFonts w:ascii="Times New Roman" w:hAnsi="Times New Roman" w:cs="Times New Roman"/>
          <w:b/>
          <w:bCs/>
        </w:rPr>
        <w:t>.2.</w:t>
      </w:r>
      <w:r w:rsidR="00F247BF" w:rsidRPr="00EB2576">
        <w:rPr>
          <w:rFonts w:ascii="Times New Roman" w:hAnsi="Times New Roman" w:cs="Times New Roman"/>
          <w:b/>
          <w:bCs/>
        </w:rPr>
        <w:t>9</w:t>
      </w:r>
      <w:r w:rsidR="00875149" w:rsidRPr="00EB2576">
        <w:rPr>
          <w:rFonts w:ascii="Times New Roman" w:hAnsi="Times New Roman" w:cs="Times New Roman"/>
          <w:b/>
          <w:bCs/>
        </w:rPr>
        <w:t xml:space="preserve"> Monoclonal phage ELISA</w:t>
      </w:r>
      <w:bookmarkEnd w:id="308"/>
    </w:p>
    <w:p w14:paraId="54A36A8E" w14:textId="1C5E978C" w:rsidR="000B3F2E" w:rsidRPr="00EB2576" w:rsidRDefault="00095780" w:rsidP="00D52273">
      <w:pPr>
        <w:spacing w:after="0" w:line="480" w:lineRule="auto"/>
        <w:contextualSpacing/>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The aim of the monoclonal phage ELISA was to illustrate specificity: that ATI positive sera would bind to the selecti</w:t>
      </w:r>
      <w:r w:rsidR="003D7858" w:rsidRPr="00EB2576">
        <w:rPr>
          <w:rFonts w:ascii="Times New Roman" w:hAnsi="Times New Roman" w:cs="Times New Roman"/>
          <w:kern w:val="24"/>
          <w:sz w:val="24"/>
          <w:szCs w:val="24"/>
          <w:lang w:eastAsia="en-GB"/>
        </w:rPr>
        <w:t xml:space="preserve">vely </w:t>
      </w:r>
      <w:r w:rsidRPr="00EB2576">
        <w:rPr>
          <w:rFonts w:ascii="Times New Roman" w:hAnsi="Times New Roman" w:cs="Times New Roman"/>
          <w:kern w:val="24"/>
          <w:sz w:val="24"/>
          <w:szCs w:val="24"/>
          <w:lang w:eastAsia="en-GB"/>
        </w:rPr>
        <w:t>enriched phage clones</w:t>
      </w:r>
      <w:r w:rsidR="003D7858" w:rsidRPr="00EB2576">
        <w:rPr>
          <w:rFonts w:ascii="Times New Roman" w:hAnsi="Times New Roman" w:cs="Times New Roman"/>
          <w:kern w:val="24"/>
          <w:sz w:val="24"/>
          <w:szCs w:val="24"/>
          <w:lang w:eastAsia="en-GB"/>
        </w:rPr>
        <w:t xml:space="preserve"> and not the control phage</w:t>
      </w:r>
      <w:r w:rsidRPr="00EB2576">
        <w:rPr>
          <w:rFonts w:ascii="Times New Roman" w:hAnsi="Times New Roman" w:cs="Times New Roman"/>
          <w:kern w:val="24"/>
          <w:sz w:val="24"/>
          <w:szCs w:val="24"/>
          <w:lang w:eastAsia="en-GB"/>
        </w:rPr>
        <w:t>.</w:t>
      </w:r>
      <w:r w:rsidR="00A425A2" w:rsidRPr="00EB2576">
        <w:rPr>
          <w:rFonts w:ascii="Times New Roman" w:hAnsi="Times New Roman" w:cs="Times New Roman"/>
          <w:kern w:val="24"/>
          <w:sz w:val="24"/>
          <w:szCs w:val="24"/>
          <w:lang w:eastAsia="en-GB"/>
        </w:rPr>
        <w:t xml:space="preserve"> </w:t>
      </w:r>
    </w:p>
    <w:p w14:paraId="35A06DCA" w14:textId="77777777" w:rsidR="000B3F2E" w:rsidRPr="00EB2576" w:rsidRDefault="000B3F2E" w:rsidP="00D52273">
      <w:pPr>
        <w:spacing w:after="0" w:line="480" w:lineRule="auto"/>
        <w:contextualSpacing/>
        <w:rPr>
          <w:rFonts w:ascii="Times New Roman" w:hAnsi="Times New Roman" w:cs="Times New Roman"/>
          <w:kern w:val="24"/>
          <w:sz w:val="24"/>
          <w:szCs w:val="24"/>
          <w:lang w:eastAsia="en-GB"/>
        </w:rPr>
      </w:pPr>
    </w:p>
    <w:p w14:paraId="69E8F8D7" w14:textId="56409D81" w:rsidR="006D43DB" w:rsidRPr="00EB2576" w:rsidRDefault="00A425A2" w:rsidP="00D52273">
      <w:pPr>
        <w:spacing w:after="0" w:line="480" w:lineRule="auto"/>
        <w:contextualSpacing/>
        <w:rPr>
          <w:rFonts w:ascii="Times New Roman" w:hAnsi="Times New Roman" w:cs="Times New Roman"/>
          <w:kern w:val="24"/>
          <w:sz w:val="24"/>
          <w:szCs w:val="24"/>
          <w:lang w:eastAsia="en-GB"/>
        </w:rPr>
      </w:pPr>
      <w:r w:rsidRPr="00EB2576">
        <w:rPr>
          <w:rFonts w:ascii="Times New Roman" w:hAnsi="Times New Roman" w:cs="Times New Roman"/>
          <w:sz w:val="24"/>
          <w:szCs w:val="24"/>
        </w:rPr>
        <w:lastRenderedPageBreak/>
        <w:t>The three selected peptides and a control peptide (which was not enriched on patient serum, amino acid sequence</w:t>
      </w:r>
      <w:r w:rsidR="000B3F2E" w:rsidRPr="00EB2576">
        <w:rPr>
          <w:rFonts w:ascii="Times New Roman" w:hAnsi="Times New Roman" w:cs="Times New Roman"/>
          <w:sz w:val="24"/>
          <w:szCs w:val="24"/>
        </w:rPr>
        <w:t xml:space="preserve"> </w:t>
      </w:r>
      <w:r w:rsidR="00BE20D2" w:rsidRPr="00EB2576">
        <w:rPr>
          <w:rFonts w:ascii="Times New Roman" w:hAnsi="Times New Roman" w:cs="Times New Roman"/>
          <w:kern w:val="24"/>
          <w:sz w:val="24"/>
          <w:szCs w:val="24"/>
          <w:lang w:eastAsia="en-GB"/>
        </w:rPr>
        <w:t>YSLWEPDFPPPV</w:t>
      </w:r>
      <w:r w:rsidRPr="00EB2576">
        <w:rPr>
          <w:rFonts w:ascii="Times New Roman" w:hAnsi="Times New Roman" w:cs="Times New Roman"/>
          <w:sz w:val="24"/>
          <w:szCs w:val="24"/>
        </w:rPr>
        <w:t xml:space="preserve">) was PEG purified. The phage was filtered using a 0.2 µm filter to give a final stock of 200 µl which was then diluted to 2 </w:t>
      </w:r>
      <w:proofErr w:type="spellStart"/>
      <w:r w:rsidRPr="00EB2576">
        <w:rPr>
          <w:rFonts w:ascii="Times New Roman" w:hAnsi="Times New Roman" w:cs="Times New Roman"/>
          <w:sz w:val="24"/>
          <w:szCs w:val="24"/>
        </w:rPr>
        <w:t>mls</w:t>
      </w:r>
      <w:proofErr w:type="spellEnd"/>
      <w:r w:rsidRPr="00EB2576">
        <w:rPr>
          <w:rFonts w:ascii="Times New Roman" w:hAnsi="Times New Roman" w:cs="Times New Roman"/>
          <w:sz w:val="24"/>
          <w:szCs w:val="24"/>
        </w:rPr>
        <w:t xml:space="preserve"> in PBS.</w:t>
      </w:r>
      <w:r w:rsidR="006D43DB" w:rsidRPr="00EB2576">
        <w:rPr>
          <w:rFonts w:ascii="Times New Roman" w:hAnsi="Times New Roman" w:cs="Times New Roman"/>
          <w:kern w:val="24"/>
          <w:sz w:val="24"/>
          <w:szCs w:val="24"/>
          <w:lang w:eastAsia="en-GB"/>
        </w:rPr>
        <w:t xml:space="preserve"> </w:t>
      </w:r>
    </w:p>
    <w:p w14:paraId="6006B64D" w14:textId="77777777" w:rsidR="006D43DB" w:rsidRPr="00EB2576" w:rsidRDefault="006D43DB" w:rsidP="00D52273">
      <w:pPr>
        <w:spacing w:after="0" w:line="480" w:lineRule="auto"/>
        <w:contextualSpacing/>
        <w:rPr>
          <w:rFonts w:ascii="Times New Roman" w:hAnsi="Times New Roman" w:cs="Times New Roman"/>
          <w:kern w:val="24"/>
          <w:sz w:val="24"/>
          <w:szCs w:val="24"/>
          <w:lang w:eastAsia="en-GB"/>
        </w:rPr>
      </w:pPr>
    </w:p>
    <w:p w14:paraId="5748AE20" w14:textId="3934139E" w:rsidR="00A425A2" w:rsidRPr="00EB2576" w:rsidRDefault="006D43DB" w:rsidP="00D52273">
      <w:pPr>
        <w:spacing w:after="0" w:line="480" w:lineRule="auto"/>
        <w:contextualSpacing/>
        <w:rPr>
          <w:rFonts w:ascii="Times New Roman" w:hAnsi="Times New Roman" w:cs="Times New Roman"/>
          <w:sz w:val="24"/>
          <w:szCs w:val="24"/>
        </w:rPr>
      </w:pPr>
      <w:r w:rsidRPr="00EB2576">
        <w:rPr>
          <w:rFonts w:ascii="Times New Roman" w:hAnsi="Times New Roman" w:cs="Times New Roman"/>
          <w:kern w:val="24"/>
          <w:sz w:val="24"/>
          <w:szCs w:val="24"/>
          <w:lang w:eastAsia="en-GB"/>
        </w:rPr>
        <w:t xml:space="preserve">Initially a direct ELISA was performed using </w:t>
      </w:r>
      <w:r w:rsidR="002243EE" w:rsidRPr="00EB2576">
        <w:rPr>
          <w:rFonts w:ascii="Times New Roman" w:hAnsi="Times New Roman" w:cs="Times New Roman"/>
          <w:kern w:val="24"/>
          <w:sz w:val="24"/>
          <w:szCs w:val="24"/>
          <w:lang w:eastAsia="en-GB"/>
        </w:rPr>
        <w:t xml:space="preserve">pooled </w:t>
      </w:r>
      <w:r w:rsidRPr="00EB2576">
        <w:rPr>
          <w:rFonts w:ascii="Times New Roman" w:hAnsi="Times New Roman" w:cs="Times New Roman"/>
          <w:kern w:val="24"/>
          <w:sz w:val="24"/>
          <w:szCs w:val="24"/>
          <w:lang w:eastAsia="en-GB"/>
        </w:rPr>
        <w:t xml:space="preserve">sera coated onto wells with </w:t>
      </w:r>
      <w:r w:rsidR="00BC6D55" w:rsidRPr="00EB2576">
        <w:rPr>
          <w:rFonts w:ascii="Times New Roman" w:hAnsi="Times New Roman" w:cs="Times New Roman"/>
          <w:kern w:val="24"/>
          <w:sz w:val="24"/>
          <w:szCs w:val="24"/>
          <w:lang w:eastAsia="en-GB"/>
        </w:rPr>
        <w:t xml:space="preserve">subsequent </w:t>
      </w:r>
      <w:r w:rsidRPr="00EB2576">
        <w:rPr>
          <w:rFonts w:ascii="Times New Roman" w:hAnsi="Times New Roman" w:cs="Times New Roman"/>
          <w:kern w:val="24"/>
          <w:sz w:val="24"/>
          <w:szCs w:val="24"/>
          <w:lang w:eastAsia="en-GB"/>
        </w:rPr>
        <w:t>incubation of monoclonal phage clones.</w:t>
      </w:r>
      <w:r w:rsidRPr="00EB2576">
        <w:rPr>
          <w:rFonts w:ascii="Times New Roman" w:hAnsi="Times New Roman" w:cs="Times New Roman"/>
          <w:sz w:val="24"/>
          <w:szCs w:val="24"/>
        </w:rPr>
        <w:t xml:space="preserve"> </w:t>
      </w:r>
      <w:r w:rsidR="00526524" w:rsidRPr="00EB2576">
        <w:rPr>
          <w:rFonts w:ascii="Times New Roman" w:hAnsi="Times New Roman" w:cs="Times New Roman"/>
          <w:sz w:val="24"/>
          <w:szCs w:val="24"/>
        </w:rPr>
        <w:t>50µL of p</w:t>
      </w:r>
      <w:r w:rsidR="008B2F8D" w:rsidRPr="00EB2576">
        <w:rPr>
          <w:rFonts w:ascii="Times New Roman" w:hAnsi="Times New Roman" w:cs="Times New Roman"/>
          <w:sz w:val="24"/>
          <w:szCs w:val="24"/>
        </w:rPr>
        <w:t xml:space="preserve">ooled sera </w:t>
      </w:r>
      <w:r w:rsidR="00A74699" w:rsidRPr="00EB2576">
        <w:rPr>
          <w:rFonts w:ascii="Times New Roman" w:hAnsi="Times New Roman" w:cs="Times New Roman"/>
          <w:sz w:val="24"/>
          <w:szCs w:val="24"/>
        </w:rPr>
        <w:t>1/50 in PBS</w:t>
      </w:r>
      <w:r w:rsidR="00065050" w:rsidRPr="00EB2576">
        <w:rPr>
          <w:rFonts w:ascii="Times New Roman" w:hAnsi="Times New Roman" w:cs="Times New Roman"/>
          <w:sz w:val="24"/>
          <w:szCs w:val="24"/>
        </w:rPr>
        <w:t xml:space="preserve"> </w:t>
      </w:r>
      <w:r w:rsidR="008B2F8D" w:rsidRPr="00EB2576">
        <w:rPr>
          <w:rFonts w:ascii="Times New Roman" w:hAnsi="Times New Roman" w:cs="Times New Roman"/>
          <w:sz w:val="24"/>
          <w:szCs w:val="24"/>
        </w:rPr>
        <w:t>w</w:t>
      </w:r>
      <w:r w:rsidR="00F17AB4" w:rsidRPr="00EB2576">
        <w:rPr>
          <w:rFonts w:ascii="Times New Roman" w:hAnsi="Times New Roman" w:cs="Times New Roman"/>
          <w:sz w:val="24"/>
          <w:szCs w:val="24"/>
        </w:rPr>
        <w:t>ere</w:t>
      </w:r>
      <w:r w:rsidR="00A425A2" w:rsidRPr="00EB2576">
        <w:rPr>
          <w:rFonts w:ascii="Times New Roman" w:hAnsi="Times New Roman" w:cs="Times New Roman"/>
          <w:sz w:val="24"/>
          <w:szCs w:val="24"/>
        </w:rPr>
        <w:t xml:space="preserve"> coated onto wells and incubated overnight at 4°C. Wells were washed, blocked with 200 µL of 2% Marvel-PBS for 1-2 hours, and then washed with PBS-Tween and PBS. </w:t>
      </w:r>
      <w:r w:rsidR="005E3E9E" w:rsidRPr="00EB2576">
        <w:rPr>
          <w:rFonts w:ascii="Times New Roman" w:hAnsi="Times New Roman" w:cs="Times New Roman"/>
          <w:kern w:val="24"/>
          <w:sz w:val="24"/>
          <w:szCs w:val="24"/>
          <w:lang w:eastAsia="en-GB"/>
        </w:rPr>
        <w:t>D</w:t>
      </w:r>
      <w:r w:rsidR="00C550B3" w:rsidRPr="00EB2576">
        <w:rPr>
          <w:rFonts w:ascii="Times New Roman" w:hAnsi="Times New Roman" w:cs="Times New Roman"/>
          <w:kern w:val="24"/>
          <w:sz w:val="24"/>
          <w:szCs w:val="24"/>
          <w:lang w:eastAsia="en-GB"/>
        </w:rPr>
        <w:t>ifferent concentrations of phage (^12, ^9, ^6, ^3, crude phage of 100</w:t>
      </w:r>
      <w:r w:rsidR="00BD7B0A" w:rsidRPr="00EB2576">
        <w:rPr>
          <w:rFonts w:ascii="Times New Roman" w:hAnsi="Times New Roman" w:cs="Times New Roman"/>
          <w:kern w:val="24"/>
          <w:sz w:val="24"/>
          <w:szCs w:val="24"/>
          <w:lang w:eastAsia="en-GB"/>
        </w:rPr>
        <w:t xml:space="preserve"> µL</w:t>
      </w:r>
      <w:r w:rsidR="005E3E9E" w:rsidRPr="00EB2576">
        <w:rPr>
          <w:rFonts w:ascii="Times New Roman" w:hAnsi="Times New Roman" w:cs="Times New Roman"/>
          <w:kern w:val="24"/>
          <w:sz w:val="24"/>
          <w:szCs w:val="24"/>
          <w:lang w:eastAsia="en-GB"/>
        </w:rPr>
        <w:t xml:space="preserve"> were </w:t>
      </w:r>
      <w:r w:rsidR="00A425A2" w:rsidRPr="00EB2576">
        <w:rPr>
          <w:rFonts w:ascii="Times New Roman" w:hAnsi="Times New Roman" w:cs="Times New Roman"/>
          <w:sz w:val="24"/>
          <w:szCs w:val="24"/>
        </w:rPr>
        <w:t xml:space="preserve">incubated with </w:t>
      </w:r>
      <w:r w:rsidR="005E3E9E" w:rsidRPr="00EB2576">
        <w:rPr>
          <w:rFonts w:ascii="Times New Roman" w:hAnsi="Times New Roman" w:cs="Times New Roman"/>
          <w:sz w:val="24"/>
          <w:szCs w:val="24"/>
        </w:rPr>
        <w:t>sera</w:t>
      </w:r>
      <w:r w:rsidR="00A425A2" w:rsidRPr="00EB2576">
        <w:rPr>
          <w:rFonts w:ascii="Times New Roman" w:hAnsi="Times New Roman" w:cs="Times New Roman"/>
          <w:sz w:val="24"/>
          <w:szCs w:val="24"/>
        </w:rPr>
        <w:t xml:space="preserve"> for 2 hours at room temperature with agitation. All sera were tested in duplicates. Wells were washed three times with PBS-Tween and PBS. </w:t>
      </w:r>
      <w:bookmarkStart w:id="309" w:name="_Hlk114767887"/>
      <w:r w:rsidR="00A425A2" w:rsidRPr="00EB2576">
        <w:rPr>
          <w:rFonts w:ascii="Times New Roman" w:hAnsi="Times New Roman" w:cs="Times New Roman"/>
          <w:sz w:val="24"/>
          <w:szCs w:val="24"/>
        </w:rPr>
        <w:t>Antibody binding was detected b</w:t>
      </w:r>
      <w:r w:rsidR="00B0395E" w:rsidRPr="00EB2576">
        <w:rPr>
          <w:rFonts w:ascii="Times New Roman" w:hAnsi="Times New Roman" w:cs="Times New Roman"/>
          <w:sz w:val="24"/>
          <w:szCs w:val="24"/>
        </w:rPr>
        <w:t xml:space="preserve">y </w:t>
      </w:r>
      <w:r w:rsidR="00A425A2" w:rsidRPr="00EB2576">
        <w:rPr>
          <w:rFonts w:ascii="Times New Roman" w:hAnsi="Times New Roman" w:cs="Times New Roman"/>
          <w:sz w:val="24"/>
          <w:szCs w:val="24"/>
        </w:rPr>
        <w:t>incubating</w:t>
      </w:r>
      <w:r w:rsidR="00897D1E" w:rsidRPr="00EB2576">
        <w:rPr>
          <w:rFonts w:ascii="Times New Roman" w:hAnsi="Times New Roman" w:cs="Times New Roman"/>
          <w:sz w:val="24"/>
          <w:szCs w:val="24"/>
        </w:rPr>
        <w:t xml:space="preserve"> with</w:t>
      </w:r>
      <w:r w:rsidR="00A425A2" w:rsidRPr="00EB2576">
        <w:rPr>
          <w:rFonts w:ascii="Times New Roman" w:hAnsi="Times New Roman" w:cs="Times New Roman"/>
          <w:sz w:val="24"/>
          <w:szCs w:val="24"/>
        </w:rPr>
        <w:t xml:space="preserve"> </w:t>
      </w:r>
      <w:r w:rsidR="00897D1E" w:rsidRPr="00EB2576">
        <w:rPr>
          <w:rFonts w:ascii="Times New Roman" w:hAnsi="Times New Roman" w:cs="Times New Roman"/>
          <w:kern w:val="24"/>
          <w:sz w:val="24"/>
          <w:szCs w:val="24"/>
          <w:lang w:eastAsia="en-GB"/>
        </w:rPr>
        <w:t>a</w:t>
      </w:r>
      <w:r w:rsidR="00C550B3" w:rsidRPr="00EB2576">
        <w:rPr>
          <w:rFonts w:ascii="Times New Roman" w:hAnsi="Times New Roman" w:cs="Times New Roman"/>
          <w:kern w:val="24"/>
          <w:sz w:val="24"/>
          <w:szCs w:val="24"/>
          <w:lang w:eastAsia="en-GB"/>
        </w:rPr>
        <w:t>nti</w:t>
      </w:r>
      <w:r w:rsidR="00B0395E" w:rsidRPr="00EB2576">
        <w:rPr>
          <w:rFonts w:ascii="Times New Roman" w:hAnsi="Times New Roman" w:cs="Times New Roman"/>
          <w:kern w:val="24"/>
          <w:sz w:val="24"/>
          <w:szCs w:val="24"/>
          <w:lang w:eastAsia="en-GB"/>
        </w:rPr>
        <w:t>-</w:t>
      </w:r>
      <w:r w:rsidR="00C550B3" w:rsidRPr="00EB2576">
        <w:rPr>
          <w:rFonts w:ascii="Times New Roman" w:hAnsi="Times New Roman" w:cs="Times New Roman"/>
          <w:kern w:val="24"/>
          <w:sz w:val="24"/>
          <w:szCs w:val="24"/>
          <w:lang w:eastAsia="en-GB"/>
        </w:rPr>
        <w:t>m13 HRP</w:t>
      </w:r>
      <w:bookmarkEnd w:id="309"/>
      <w:r w:rsidR="00C550B3" w:rsidRPr="00EB2576">
        <w:rPr>
          <w:rFonts w:ascii="Times New Roman" w:hAnsi="Times New Roman" w:cs="Times New Roman"/>
          <w:kern w:val="24"/>
          <w:sz w:val="24"/>
          <w:szCs w:val="24"/>
          <w:lang w:eastAsia="en-GB"/>
        </w:rPr>
        <w:t xml:space="preserve"> </w:t>
      </w:r>
      <w:r w:rsidR="00A425A2" w:rsidRPr="00EB2576">
        <w:rPr>
          <w:rFonts w:ascii="Times New Roman" w:hAnsi="Times New Roman" w:cs="Times New Roman"/>
          <w:sz w:val="24"/>
          <w:szCs w:val="24"/>
        </w:rPr>
        <w:t>in 2% Marvel-PBS-Tween for an hour with agitation. Wells were washed 5 times. ELISA plate was developed and read at 40</w:t>
      </w:r>
      <w:r w:rsidR="00380D85" w:rsidRPr="00EB2576">
        <w:rPr>
          <w:rFonts w:ascii="Times New Roman" w:hAnsi="Times New Roman" w:cs="Times New Roman"/>
          <w:sz w:val="24"/>
          <w:szCs w:val="24"/>
        </w:rPr>
        <w:t>5</w:t>
      </w:r>
      <w:r w:rsidR="00A425A2" w:rsidRPr="00EB2576">
        <w:rPr>
          <w:rFonts w:ascii="Times New Roman" w:hAnsi="Times New Roman" w:cs="Times New Roman"/>
          <w:sz w:val="24"/>
          <w:szCs w:val="24"/>
        </w:rPr>
        <w:t xml:space="preserve"> nm. </w:t>
      </w:r>
    </w:p>
    <w:p w14:paraId="727C3626" w14:textId="77777777" w:rsidR="00594248" w:rsidRPr="00EB2576" w:rsidRDefault="00594248" w:rsidP="00D52273">
      <w:pPr>
        <w:spacing w:after="0" w:line="480" w:lineRule="auto"/>
        <w:contextualSpacing/>
        <w:rPr>
          <w:rFonts w:ascii="Times New Roman" w:eastAsia="Times New Roman" w:hAnsi="Times New Roman" w:cs="Times New Roman"/>
          <w:sz w:val="24"/>
          <w:szCs w:val="24"/>
          <w:lang w:eastAsia="en-GB"/>
        </w:rPr>
      </w:pPr>
    </w:p>
    <w:p w14:paraId="184F9AB1" w14:textId="282D7B10" w:rsidR="006A10BE" w:rsidRPr="00EB2576" w:rsidRDefault="006938BB" w:rsidP="006A10BE">
      <w:pPr>
        <w:spacing w:line="480" w:lineRule="auto"/>
        <w:rPr>
          <w:rFonts w:ascii="Times New Roman" w:hAnsi="Times New Roman" w:cs="Times New Roman"/>
          <w:sz w:val="24"/>
          <w:szCs w:val="24"/>
        </w:rPr>
      </w:pPr>
      <w:r w:rsidRPr="00EB2576">
        <w:rPr>
          <w:rFonts w:ascii="Times New Roman" w:hAnsi="Times New Roman" w:cs="Times New Roman"/>
          <w:sz w:val="24"/>
          <w:szCs w:val="24"/>
        </w:rPr>
        <w:t>Following the</w:t>
      </w:r>
      <w:r w:rsidR="006A10BE" w:rsidRPr="00EB2576">
        <w:rPr>
          <w:rFonts w:ascii="Times New Roman" w:hAnsi="Times New Roman" w:cs="Times New Roman"/>
          <w:sz w:val="24"/>
          <w:szCs w:val="24"/>
        </w:rPr>
        <w:t xml:space="preserve"> direct ELISA</w:t>
      </w:r>
      <w:r w:rsidRPr="00EB2576">
        <w:rPr>
          <w:rFonts w:ascii="Times New Roman" w:hAnsi="Times New Roman" w:cs="Times New Roman"/>
          <w:sz w:val="24"/>
          <w:szCs w:val="24"/>
        </w:rPr>
        <w:t xml:space="preserve">, </w:t>
      </w:r>
      <w:r w:rsidR="006A10BE" w:rsidRPr="00EB2576">
        <w:rPr>
          <w:rFonts w:ascii="Times New Roman" w:hAnsi="Times New Roman" w:cs="Times New Roman"/>
          <w:sz w:val="24"/>
          <w:szCs w:val="24"/>
        </w:rPr>
        <w:t>additional conditions were modified:</w:t>
      </w:r>
    </w:p>
    <w:p w14:paraId="40EE275B" w14:textId="6770212D" w:rsidR="006A10BE" w:rsidRPr="00EB2576" w:rsidRDefault="006A10BE" w:rsidP="006A10BE">
      <w:pPr>
        <w:pStyle w:val="ListParagraph"/>
        <w:numPr>
          <w:ilvl w:val="0"/>
          <w:numId w:val="33"/>
        </w:numPr>
        <w:spacing w:line="480" w:lineRule="auto"/>
        <w:rPr>
          <w:rFonts w:ascii="Times New Roman" w:hAnsi="Times New Roman" w:cs="Times New Roman"/>
          <w:sz w:val="24"/>
          <w:szCs w:val="24"/>
        </w:rPr>
      </w:pPr>
      <w:r w:rsidRPr="00EB2576">
        <w:rPr>
          <w:rFonts w:ascii="Times New Roman" w:hAnsi="Times New Roman" w:cs="Times New Roman"/>
          <w:kern w:val="24"/>
          <w:sz w:val="24"/>
          <w:szCs w:val="24"/>
          <w:lang w:eastAsia="en-GB"/>
        </w:rPr>
        <w:t xml:space="preserve">sandwich ELISA using a capture antibody of rabbit anti-human IgG coated onto wells. Phage and sera mix were incubated to replicate the conditions of the phage library selection (in-solution selection) and then added to the wells to allow binding to the rabbit anti-human IgG with </w:t>
      </w:r>
      <w:r w:rsidRPr="00EB2576">
        <w:rPr>
          <w:rFonts w:ascii="Times New Roman" w:hAnsi="Times New Roman" w:cs="Times New Roman"/>
          <w:sz w:val="24"/>
          <w:szCs w:val="24"/>
        </w:rPr>
        <w:t xml:space="preserve">detection using </w:t>
      </w:r>
      <w:r w:rsidRPr="00EB2576">
        <w:rPr>
          <w:rFonts w:ascii="Times New Roman" w:hAnsi="Times New Roman" w:cs="Times New Roman"/>
          <w:kern w:val="24"/>
          <w:sz w:val="24"/>
          <w:szCs w:val="24"/>
          <w:lang w:eastAsia="en-GB"/>
        </w:rPr>
        <w:t>anti-m13 HRP</w:t>
      </w:r>
      <w:r w:rsidR="007A7E3F" w:rsidRPr="00EB2576">
        <w:rPr>
          <w:rFonts w:ascii="Times New Roman" w:hAnsi="Times New Roman" w:cs="Times New Roman"/>
          <w:kern w:val="24"/>
          <w:sz w:val="24"/>
          <w:szCs w:val="24"/>
          <w:lang w:eastAsia="en-GB"/>
        </w:rPr>
        <w:t xml:space="preserve"> secondary antibody</w:t>
      </w:r>
      <w:r w:rsidRPr="00EB2576">
        <w:rPr>
          <w:rFonts w:ascii="Times New Roman" w:hAnsi="Times New Roman" w:cs="Times New Roman"/>
          <w:kern w:val="24"/>
          <w:sz w:val="24"/>
          <w:szCs w:val="24"/>
          <w:lang w:eastAsia="en-GB"/>
        </w:rPr>
        <w:t>.</w:t>
      </w:r>
    </w:p>
    <w:p w14:paraId="0B68AA99" w14:textId="77777777" w:rsidR="006A10BE" w:rsidRPr="00EB2576" w:rsidRDefault="006A10BE" w:rsidP="006A10BE">
      <w:pPr>
        <w:pStyle w:val="ListParagraph"/>
        <w:numPr>
          <w:ilvl w:val="0"/>
          <w:numId w:val="33"/>
        </w:numPr>
        <w:spacing w:line="480" w:lineRule="auto"/>
        <w:rPr>
          <w:rFonts w:ascii="Times New Roman" w:hAnsi="Times New Roman" w:cs="Times New Roman"/>
          <w:sz w:val="24"/>
          <w:szCs w:val="24"/>
        </w:rPr>
      </w:pPr>
      <w:r w:rsidRPr="00EB2576">
        <w:rPr>
          <w:rFonts w:ascii="Times New Roman" w:hAnsi="Times New Roman" w:cs="Times New Roman"/>
          <w:sz w:val="24"/>
          <w:szCs w:val="24"/>
        </w:rPr>
        <w:t>variations in number of washes after incubation of phage and sera.</w:t>
      </w:r>
    </w:p>
    <w:p w14:paraId="49656F92" w14:textId="53B5B807" w:rsidR="006A10BE" w:rsidRPr="00EB2576" w:rsidRDefault="006A10BE" w:rsidP="006A10BE">
      <w:pPr>
        <w:pStyle w:val="ListParagraph"/>
        <w:numPr>
          <w:ilvl w:val="0"/>
          <w:numId w:val="33"/>
        </w:num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varying dilutions of </w:t>
      </w:r>
      <w:r w:rsidRPr="00EB2576">
        <w:rPr>
          <w:rFonts w:ascii="Times New Roman" w:hAnsi="Times New Roman" w:cs="Times New Roman"/>
          <w:kern w:val="24"/>
          <w:sz w:val="24"/>
          <w:szCs w:val="24"/>
          <w:lang w:eastAsia="en-GB"/>
        </w:rPr>
        <w:t>anti-m13 HRP</w:t>
      </w:r>
      <w:r w:rsidR="007A7E3F" w:rsidRPr="00EB2576">
        <w:rPr>
          <w:rFonts w:ascii="Times New Roman" w:hAnsi="Times New Roman" w:cs="Times New Roman"/>
          <w:kern w:val="24"/>
          <w:sz w:val="24"/>
          <w:szCs w:val="24"/>
          <w:lang w:eastAsia="en-GB"/>
        </w:rPr>
        <w:t xml:space="preserve"> secondary antibody</w:t>
      </w:r>
      <w:r w:rsidRPr="00EB2576">
        <w:rPr>
          <w:rFonts w:ascii="Times New Roman" w:hAnsi="Times New Roman" w:cs="Times New Roman"/>
          <w:kern w:val="24"/>
          <w:sz w:val="24"/>
          <w:szCs w:val="24"/>
          <w:lang w:eastAsia="en-GB"/>
        </w:rPr>
        <w:t xml:space="preserve"> (1:100, 1:500, 1:1000, 1:3000, 1:5000)</w:t>
      </w:r>
    </w:p>
    <w:p w14:paraId="53761286" w14:textId="77777777" w:rsidR="006A10BE" w:rsidRPr="00EB2576" w:rsidRDefault="006A10BE" w:rsidP="006A10BE">
      <w:pPr>
        <w:pStyle w:val="ListParagraph"/>
        <w:numPr>
          <w:ilvl w:val="0"/>
          <w:numId w:val="33"/>
        </w:numPr>
        <w:spacing w:line="480" w:lineRule="auto"/>
        <w:rPr>
          <w:rFonts w:ascii="Times New Roman" w:hAnsi="Times New Roman" w:cs="Times New Roman"/>
          <w:sz w:val="24"/>
          <w:szCs w:val="24"/>
        </w:rPr>
      </w:pPr>
      <w:r w:rsidRPr="00EB2576">
        <w:rPr>
          <w:rFonts w:ascii="Times New Roman" w:hAnsi="Times New Roman" w:cs="Times New Roman"/>
          <w:kern w:val="24"/>
          <w:sz w:val="24"/>
          <w:szCs w:val="24"/>
          <w:lang w:eastAsia="en-GB"/>
        </w:rPr>
        <w:t xml:space="preserve">using pooled sera (1:50, 1:100, 1:1000) and individual sera at different concentrations (1:50, 1:100 and 1: 1000). </w:t>
      </w:r>
    </w:p>
    <w:p w14:paraId="73B17A64" w14:textId="31E1B15B" w:rsidR="006A10BE" w:rsidRPr="00EB2576" w:rsidRDefault="006A10BE" w:rsidP="006A10BE">
      <w:pPr>
        <w:pStyle w:val="ListParagraph"/>
        <w:numPr>
          <w:ilvl w:val="0"/>
          <w:numId w:val="33"/>
        </w:numPr>
        <w:spacing w:line="480" w:lineRule="auto"/>
        <w:ind w:left="714" w:hanging="357"/>
        <w:rPr>
          <w:rFonts w:ascii="Times New Roman" w:hAnsi="Times New Roman" w:cs="Times New Roman"/>
          <w:sz w:val="24"/>
          <w:szCs w:val="24"/>
        </w:rPr>
      </w:pPr>
      <w:r w:rsidRPr="00EB2576">
        <w:rPr>
          <w:rFonts w:ascii="Times New Roman" w:hAnsi="Times New Roman" w:cs="Times New Roman"/>
          <w:kern w:val="24"/>
          <w:sz w:val="24"/>
          <w:szCs w:val="24"/>
          <w:lang w:eastAsia="en-GB"/>
        </w:rPr>
        <w:lastRenderedPageBreak/>
        <w:t>acid dissociated</w:t>
      </w:r>
      <w:r w:rsidR="002E1BDD" w:rsidRPr="00EB2576">
        <w:rPr>
          <w:rFonts w:ascii="Times New Roman" w:hAnsi="Times New Roman" w:cs="Times New Roman"/>
          <w:kern w:val="24"/>
          <w:sz w:val="24"/>
          <w:szCs w:val="24"/>
          <w:lang w:eastAsia="en-GB"/>
        </w:rPr>
        <w:t xml:space="preserve"> </w:t>
      </w:r>
      <w:r w:rsidRPr="00EB2576">
        <w:rPr>
          <w:rFonts w:ascii="Times New Roman" w:hAnsi="Times New Roman" w:cs="Times New Roman"/>
          <w:kern w:val="24"/>
          <w:sz w:val="24"/>
          <w:szCs w:val="24"/>
          <w:lang w:eastAsia="en-GB"/>
        </w:rPr>
        <w:t>sera to increase the likelihood of unbound ATI from drug. Pooled and individual sera was incubated with glycine buffer pH 2.5 for 30 minutes to dissociate the ATI-infliximab immune complexes. Neutralisation was with Tris-HCL pH 8 and the sera used immediately after for the monoclonal phage ELISA as immune complexes would reform with time.</w:t>
      </w:r>
    </w:p>
    <w:p w14:paraId="7AB134C0" w14:textId="77777777" w:rsidR="006A10BE" w:rsidRPr="00EB2576" w:rsidRDefault="006A10BE" w:rsidP="006A10BE">
      <w:pPr>
        <w:pStyle w:val="ListParagraph"/>
        <w:numPr>
          <w:ilvl w:val="0"/>
          <w:numId w:val="33"/>
        </w:numPr>
        <w:spacing w:line="480" w:lineRule="auto"/>
        <w:ind w:left="714" w:hanging="357"/>
        <w:rPr>
          <w:rStyle w:val="eq0j8"/>
          <w:rFonts w:ascii="Times New Roman" w:hAnsi="Times New Roman" w:cs="Times New Roman"/>
          <w:sz w:val="24"/>
          <w:szCs w:val="24"/>
        </w:rPr>
      </w:pPr>
      <w:r w:rsidRPr="00EB2576">
        <w:rPr>
          <w:rFonts w:ascii="Times New Roman" w:hAnsi="Times New Roman" w:cs="Times New Roman"/>
          <w:kern w:val="24"/>
          <w:sz w:val="24"/>
          <w:szCs w:val="24"/>
          <w:lang w:eastAsia="en-GB"/>
        </w:rPr>
        <w:t>I</w:t>
      </w:r>
      <w:r w:rsidRPr="00EB2576">
        <w:rPr>
          <w:rFonts w:ascii="Times New Roman" w:hAnsi="Times New Roman" w:cs="Times New Roman"/>
          <w:sz w:val="24"/>
          <w:szCs w:val="24"/>
        </w:rPr>
        <w:t xml:space="preserve">ndividual serum was purified using IgG purification using protein A HP </w:t>
      </w:r>
      <w:proofErr w:type="spellStart"/>
      <w:r w:rsidRPr="00EB2576">
        <w:rPr>
          <w:rFonts w:ascii="Times New Roman" w:hAnsi="Times New Roman" w:cs="Times New Roman"/>
          <w:sz w:val="24"/>
          <w:szCs w:val="24"/>
        </w:rPr>
        <w:t>SpinTrap</w:t>
      </w:r>
      <w:proofErr w:type="spellEnd"/>
      <w:r w:rsidRPr="00EB2576">
        <w:rPr>
          <w:rFonts w:ascii="Times New Roman" w:hAnsi="Times New Roman" w:cs="Times New Roman"/>
          <w:sz w:val="24"/>
          <w:szCs w:val="24"/>
        </w:rPr>
        <w:t xml:space="preserve"> Column as per protocol (</w:t>
      </w:r>
      <w:proofErr w:type="spellStart"/>
      <w:r w:rsidRPr="00EB2576">
        <w:rPr>
          <w:rFonts w:ascii="Times New Roman" w:hAnsi="Times New Roman" w:cs="Times New Roman"/>
          <w:sz w:val="24"/>
          <w:szCs w:val="24"/>
        </w:rPr>
        <w:t>ThermoFisher</w:t>
      </w:r>
      <w:proofErr w:type="spellEnd"/>
      <w:r w:rsidRPr="00EB2576">
        <w:rPr>
          <w:rFonts w:ascii="Times New Roman" w:hAnsi="Times New Roman" w:cs="Times New Roman"/>
          <w:sz w:val="24"/>
          <w:szCs w:val="24"/>
        </w:rPr>
        <w:t xml:space="preserve"> Scientific</w:t>
      </w:r>
      <w:r w:rsidRPr="00EB2576">
        <w:rPr>
          <w:rFonts w:ascii="Times New Roman" w:hAnsi="Times New Roman" w:cs="Times New Roman"/>
          <w:b/>
          <w:bCs/>
          <w:sz w:val="24"/>
          <w:szCs w:val="24"/>
          <w:shd w:val="clear" w:color="auto" w:fill="FFFFFF"/>
        </w:rPr>
        <w:t xml:space="preserve">, </w:t>
      </w:r>
      <w:r w:rsidRPr="00EB2576">
        <w:rPr>
          <w:rStyle w:val="eq0j8"/>
          <w:rFonts w:ascii="Times New Roman" w:hAnsi="Times New Roman" w:cs="Times New Roman"/>
          <w:sz w:val="24"/>
          <w:szCs w:val="24"/>
          <w:shd w:val="clear" w:color="auto" w:fill="FFFFFF"/>
        </w:rPr>
        <w:t>Massachusetts, United States).</w:t>
      </w:r>
    </w:p>
    <w:p w14:paraId="4FCB0CBD" w14:textId="1ADC46D1" w:rsidR="005F5C1A" w:rsidRPr="00EB2576" w:rsidRDefault="005F5C1A" w:rsidP="005F5C1A">
      <w:pPr>
        <w:pStyle w:val="ListParagraph"/>
        <w:spacing w:line="480" w:lineRule="auto"/>
        <w:rPr>
          <w:rFonts w:ascii="Times New Roman" w:hAnsi="Times New Roman" w:cs="Times New Roman"/>
          <w:sz w:val="24"/>
          <w:szCs w:val="24"/>
        </w:rPr>
      </w:pPr>
    </w:p>
    <w:p w14:paraId="5EBCD13F" w14:textId="6605802A" w:rsidR="00207975" w:rsidRPr="00EB2576" w:rsidRDefault="006C2A31" w:rsidP="003A1BB9">
      <w:pPr>
        <w:pStyle w:val="Heading2"/>
        <w:spacing w:line="480" w:lineRule="auto"/>
        <w:rPr>
          <w:rFonts w:ascii="Times New Roman" w:hAnsi="Times New Roman" w:cs="Times New Roman"/>
          <w:sz w:val="24"/>
          <w:szCs w:val="24"/>
        </w:rPr>
      </w:pPr>
      <w:bookmarkStart w:id="310" w:name="_Toc151020550"/>
      <w:r w:rsidRPr="00EB2576">
        <w:rPr>
          <w:rFonts w:ascii="Times New Roman" w:hAnsi="Times New Roman" w:cs="Times New Roman"/>
          <w:sz w:val="24"/>
          <w:szCs w:val="24"/>
        </w:rPr>
        <w:t>6</w:t>
      </w:r>
      <w:r w:rsidR="00207975" w:rsidRPr="00EB2576">
        <w:rPr>
          <w:rFonts w:ascii="Times New Roman" w:hAnsi="Times New Roman" w:cs="Times New Roman"/>
          <w:sz w:val="24"/>
          <w:szCs w:val="24"/>
        </w:rPr>
        <w:t>.3 Results</w:t>
      </w:r>
      <w:bookmarkEnd w:id="310"/>
    </w:p>
    <w:p w14:paraId="0CB44524" w14:textId="740F2DD6" w:rsidR="00207975" w:rsidRPr="00EB2576" w:rsidRDefault="006C2A31" w:rsidP="003A1BB9">
      <w:pPr>
        <w:pStyle w:val="Heading3"/>
        <w:spacing w:line="480" w:lineRule="auto"/>
        <w:rPr>
          <w:rFonts w:ascii="Times New Roman" w:hAnsi="Times New Roman" w:cs="Times New Roman"/>
          <w:b/>
          <w:bCs/>
        </w:rPr>
      </w:pPr>
      <w:bookmarkStart w:id="311" w:name="_Toc151020551"/>
      <w:r w:rsidRPr="00EB2576">
        <w:rPr>
          <w:rFonts w:ascii="Times New Roman" w:hAnsi="Times New Roman" w:cs="Times New Roman"/>
          <w:b/>
          <w:bCs/>
        </w:rPr>
        <w:t>6</w:t>
      </w:r>
      <w:r w:rsidR="00207975" w:rsidRPr="00EB2576">
        <w:rPr>
          <w:rFonts w:ascii="Times New Roman" w:hAnsi="Times New Roman" w:cs="Times New Roman"/>
          <w:b/>
          <w:bCs/>
        </w:rPr>
        <w:t>.3.</w:t>
      </w:r>
      <w:r w:rsidR="00F247BF" w:rsidRPr="00EB2576">
        <w:rPr>
          <w:rFonts w:ascii="Times New Roman" w:hAnsi="Times New Roman" w:cs="Times New Roman"/>
          <w:b/>
          <w:bCs/>
        </w:rPr>
        <w:t>1</w:t>
      </w:r>
      <w:r w:rsidR="00207975" w:rsidRPr="00EB2576">
        <w:rPr>
          <w:rFonts w:ascii="Times New Roman" w:hAnsi="Times New Roman" w:cs="Times New Roman"/>
          <w:b/>
          <w:bCs/>
        </w:rPr>
        <w:t xml:space="preserve"> </w:t>
      </w:r>
      <w:r w:rsidR="009227E5" w:rsidRPr="00EB2576">
        <w:rPr>
          <w:rFonts w:ascii="Times New Roman" w:hAnsi="Times New Roman" w:cs="Times New Roman"/>
          <w:b/>
          <w:bCs/>
        </w:rPr>
        <w:t xml:space="preserve">Selection of random peptide </w:t>
      </w:r>
      <w:r w:rsidR="00334B74" w:rsidRPr="00EB2576">
        <w:rPr>
          <w:rFonts w:ascii="Times New Roman" w:hAnsi="Times New Roman" w:cs="Times New Roman"/>
          <w:b/>
          <w:bCs/>
        </w:rPr>
        <w:t xml:space="preserve">phage display </w:t>
      </w:r>
      <w:r w:rsidR="009227E5" w:rsidRPr="00EB2576">
        <w:rPr>
          <w:rFonts w:ascii="Times New Roman" w:hAnsi="Times New Roman" w:cs="Times New Roman"/>
          <w:b/>
          <w:bCs/>
        </w:rPr>
        <w:t>library</w:t>
      </w:r>
      <w:bookmarkEnd w:id="311"/>
    </w:p>
    <w:p w14:paraId="040D9789" w14:textId="0A84FFDE" w:rsidR="00FD709C" w:rsidRPr="00EB2576" w:rsidRDefault="00E93F4C" w:rsidP="001F1719">
      <w:pPr>
        <w:spacing w:line="480" w:lineRule="auto"/>
        <w:rPr>
          <w:rFonts w:ascii="Times New Roman" w:hAnsi="Times New Roman" w:cs="Times New Roman"/>
          <w:sz w:val="24"/>
          <w:szCs w:val="24"/>
        </w:rPr>
      </w:pPr>
      <w:r w:rsidRPr="00EB2576">
        <w:rPr>
          <w:rFonts w:ascii="Times New Roman" w:hAnsi="Times New Roman" w:cs="Times New Roman"/>
          <w:sz w:val="24"/>
          <w:szCs w:val="24"/>
          <w:shd w:val="clear" w:color="auto" w:fill="FFFFFF"/>
        </w:rPr>
        <w:t xml:space="preserve">After four rounds of selection, </w:t>
      </w:r>
      <w:r w:rsidR="00A21832" w:rsidRPr="00EB2576">
        <w:rPr>
          <w:rFonts w:ascii="Times New Roman" w:hAnsi="Times New Roman" w:cs="Times New Roman"/>
          <w:sz w:val="24"/>
          <w:szCs w:val="24"/>
          <w:shd w:val="clear" w:color="auto" w:fill="FFFFFF"/>
        </w:rPr>
        <w:t xml:space="preserve">the </w:t>
      </w:r>
      <w:r w:rsidRPr="00EB2576">
        <w:rPr>
          <w:rFonts w:ascii="Times New Roman" w:hAnsi="Times New Roman" w:cs="Times New Roman"/>
          <w:sz w:val="24"/>
          <w:szCs w:val="24"/>
          <w:shd w:val="clear" w:color="auto" w:fill="FFFFFF"/>
        </w:rPr>
        <w:t xml:space="preserve">ratio of the output phage </w:t>
      </w:r>
      <w:proofErr w:type="spellStart"/>
      <w:r w:rsidRPr="00EB2576">
        <w:rPr>
          <w:rFonts w:ascii="Times New Roman" w:hAnsi="Times New Roman" w:cs="Times New Roman"/>
          <w:sz w:val="24"/>
          <w:szCs w:val="24"/>
          <w:shd w:val="clear" w:color="auto" w:fill="FFFFFF"/>
        </w:rPr>
        <w:t>titer</w:t>
      </w:r>
      <w:proofErr w:type="spellEnd"/>
      <w:r w:rsidRPr="00EB2576">
        <w:rPr>
          <w:rFonts w:ascii="Times New Roman" w:hAnsi="Times New Roman" w:cs="Times New Roman"/>
          <w:sz w:val="24"/>
          <w:szCs w:val="24"/>
          <w:shd w:val="clear" w:color="auto" w:fill="FFFFFF"/>
        </w:rPr>
        <w:t xml:space="preserve"> to the input phage </w:t>
      </w:r>
      <w:proofErr w:type="spellStart"/>
      <w:r w:rsidRPr="00EB2576">
        <w:rPr>
          <w:rFonts w:ascii="Times New Roman" w:hAnsi="Times New Roman" w:cs="Times New Roman"/>
          <w:sz w:val="24"/>
          <w:szCs w:val="24"/>
          <w:shd w:val="clear" w:color="auto" w:fill="FFFFFF"/>
        </w:rPr>
        <w:t>tit</w:t>
      </w:r>
      <w:r w:rsidR="00D35C5F" w:rsidRPr="00EB2576">
        <w:rPr>
          <w:rFonts w:ascii="Times New Roman" w:hAnsi="Times New Roman" w:cs="Times New Roman"/>
          <w:sz w:val="24"/>
          <w:szCs w:val="24"/>
          <w:shd w:val="clear" w:color="auto" w:fill="FFFFFF"/>
        </w:rPr>
        <w:t>er</w:t>
      </w:r>
      <w:proofErr w:type="spellEnd"/>
      <w:r w:rsidRPr="00EB2576">
        <w:rPr>
          <w:rFonts w:ascii="Times New Roman" w:hAnsi="Times New Roman" w:cs="Times New Roman"/>
          <w:sz w:val="24"/>
          <w:szCs w:val="24"/>
          <w:shd w:val="clear" w:color="auto" w:fill="FFFFFF"/>
        </w:rPr>
        <w:t xml:space="preserve"> </w:t>
      </w:r>
      <w:r w:rsidR="00A21832" w:rsidRPr="00EB2576">
        <w:rPr>
          <w:rFonts w:ascii="Times New Roman" w:hAnsi="Times New Roman" w:cs="Times New Roman"/>
          <w:sz w:val="24"/>
          <w:szCs w:val="24"/>
          <w:shd w:val="clear" w:color="auto" w:fill="FFFFFF"/>
        </w:rPr>
        <w:t xml:space="preserve">in the ATI selection was </w:t>
      </w:r>
      <w:r w:rsidR="00D52273" w:rsidRPr="00EB2576">
        <w:rPr>
          <w:rFonts w:ascii="Times New Roman" w:hAnsi="Times New Roman" w:cs="Times New Roman"/>
          <w:sz w:val="24"/>
          <w:szCs w:val="24"/>
          <w:shd w:val="clear" w:color="auto" w:fill="FFFFFF"/>
        </w:rPr>
        <w:t>100-fold</w:t>
      </w:r>
      <w:r w:rsidR="00A21832" w:rsidRPr="00EB2576">
        <w:rPr>
          <w:rFonts w:ascii="Times New Roman" w:hAnsi="Times New Roman" w:cs="Times New Roman"/>
          <w:sz w:val="24"/>
          <w:szCs w:val="24"/>
          <w:shd w:val="clear" w:color="auto" w:fill="FFFFFF"/>
        </w:rPr>
        <w:t xml:space="preserve"> more than the blank selection (Table </w:t>
      </w:r>
      <w:r w:rsidR="00334B74" w:rsidRPr="00EB2576">
        <w:rPr>
          <w:rFonts w:ascii="Times New Roman" w:hAnsi="Times New Roman" w:cs="Times New Roman"/>
          <w:sz w:val="24"/>
          <w:szCs w:val="24"/>
          <w:shd w:val="clear" w:color="auto" w:fill="FFFFFF"/>
        </w:rPr>
        <w:t>14</w:t>
      </w:r>
      <w:r w:rsidR="00A21832" w:rsidRPr="00EB2576">
        <w:rPr>
          <w:rFonts w:ascii="Times New Roman" w:hAnsi="Times New Roman" w:cs="Times New Roman"/>
          <w:sz w:val="24"/>
          <w:szCs w:val="24"/>
          <w:shd w:val="clear" w:color="auto" w:fill="FFFFFF"/>
        </w:rPr>
        <w:t xml:space="preserve">) </w:t>
      </w:r>
      <w:r w:rsidR="00D35C5F" w:rsidRPr="00EB2576">
        <w:rPr>
          <w:rFonts w:ascii="Times New Roman" w:hAnsi="Times New Roman" w:cs="Times New Roman"/>
          <w:sz w:val="24"/>
          <w:szCs w:val="24"/>
          <w:shd w:val="clear" w:color="auto" w:fill="FFFFFF"/>
        </w:rPr>
        <w:t>reflecting the enrichment of specific phage clones</w:t>
      </w:r>
      <w:r w:rsidR="00A21832" w:rsidRPr="00EB2576">
        <w:rPr>
          <w:rFonts w:ascii="Times New Roman" w:hAnsi="Times New Roman" w:cs="Times New Roman"/>
          <w:sz w:val="24"/>
          <w:szCs w:val="24"/>
          <w:shd w:val="clear" w:color="auto" w:fill="FFFFFF"/>
        </w:rPr>
        <w:t>.</w:t>
      </w:r>
    </w:p>
    <w:p w14:paraId="42023B1B" w14:textId="77777777" w:rsidR="00FD709C" w:rsidRPr="00EB2576" w:rsidRDefault="00FD709C" w:rsidP="003424F9"/>
    <w:p w14:paraId="57021DA8" w14:textId="77777777" w:rsidR="00612640" w:rsidRPr="00EB2576" w:rsidRDefault="00612640" w:rsidP="003424F9"/>
    <w:p w14:paraId="202DAD19" w14:textId="77777777" w:rsidR="00612640" w:rsidRPr="00EB2576" w:rsidRDefault="00612640" w:rsidP="003424F9"/>
    <w:p w14:paraId="75718702" w14:textId="77777777" w:rsidR="00612640" w:rsidRPr="00EB2576" w:rsidRDefault="00612640" w:rsidP="003424F9"/>
    <w:p w14:paraId="26F024A9" w14:textId="77777777" w:rsidR="00612640" w:rsidRPr="00EB2576" w:rsidRDefault="00612640" w:rsidP="003424F9"/>
    <w:p w14:paraId="1F745DED" w14:textId="77777777" w:rsidR="00882C65" w:rsidRPr="00EB2576" w:rsidRDefault="00882C65" w:rsidP="003424F9"/>
    <w:p w14:paraId="2671640D" w14:textId="77777777" w:rsidR="00882C65" w:rsidRPr="00EB2576" w:rsidRDefault="00882C65" w:rsidP="003424F9"/>
    <w:p w14:paraId="2355899C" w14:textId="77777777" w:rsidR="00882C65" w:rsidRPr="00EB2576" w:rsidRDefault="00882C65" w:rsidP="003424F9"/>
    <w:p w14:paraId="6D6D98BC" w14:textId="77777777" w:rsidR="00882C65" w:rsidRPr="00EB2576" w:rsidRDefault="00882C65" w:rsidP="003424F9"/>
    <w:p w14:paraId="4D4C8903" w14:textId="77777777" w:rsidR="00882C65" w:rsidRPr="00EB2576" w:rsidRDefault="00882C65" w:rsidP="003424F9"/>
    <w:p w14:paraId="5186C943" w14:textId="77777777" w:rsidR="00882C65" w:rsidRPr="00EB2576" w:rsidRDefault="00882C65" w:rsidP="003424F9"/>
    <w:p w14:paraId="5502350B" w14:textId="77777777" w:rsidR="00882C65" w:rsidRPr="00EB2576" w:rsidRDefault="00882C65" w:rsidP="003424F9"/>
    <w:p w14:paraId="57F9B80D" w14:textId="77777777" w:rsidR="00612640" w:rsidRPr="00EB2576" w:rsidRDefault="00612640" w:rsidP="003424F9"/>
    <w:tbl>
      <w:tblPr>
        <w:tblStyle w:val="TableGridLight1"/>
        <w:tblW w:w="8639" w:type="dxa"/>
        <w:tblLook w:val="04A0" w:firstRow="1" w:lastRow="0" w:firstColumn="1" w:lastColumn="0" w:noHBand="0" w:noVBand="1"/>
      </w:tblPr>
      <w:tblGrid>
        <w:gridCol w:w="795"/>
        <w:gridCol w:w="990"/>
        <w:gridCol w:w="961"/>
        <w:gridCol w:w="683"/>
        <w:gridCol w:w="961"/>
        <w:gridCol w:w="961"/>
        <w:gridCol w:w="683"/>
        <w:gridCol w:w="961"/>
        <w:gridCol w:w="961"/>
        <w:gridCol w:w="683"/>
      </w:tblGrid>
      <w:tr w:rsidR="00EB2576" w:rsidRPr="00EB2576" w14:paraId="246C89F6" w14:textId="77777777" w:rsidTr="00612640">
        <w:trPr>
          <w:trHeight w:val="433"/>
        </w:trPr>
        <w:tc>
          <w:tcPr>
            <w:tcW w:w="795" w:type="dxa"/>
            <w:hideMark/>
          </w:tcPr>
          <w:p w14:paraId="382F7128"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lastRenderedPageBreak/>
              <w:t>Round</w:t>
            </w:r>
          </w:p>
        </w:tc>
        <w:tc>
          <w:tcPr>
            <w:tcW w:w="2634" w:type="dxa"/>
            <w:gridSpan w:val="3"/>
            <w:hideMark/>
          </w:tcPr>
          <w:p w14:paraId="0F14D7E3" w14:textId="39D46BFF"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ATI positive selection</w:t>
            </w:r>
          </w:p>
        </w:tc>
        <w:tc>
          <w:tcPr>
            <w:tcW w:w="2605" w:type="dxa"/>
            <w:gridSpan w:val="3"/>
            <w:hideMark/>
          </w:tcPr>
          <w:p w14:paraId="2DAAD677" w14:textId="2A82BCC6"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 xml:space="preserve">Blank selection </w:t>
            </w:r>
          </w:p>
        </w:tc>
        <w:tc>
          <w:tcPr>
            <w:tcW w:w="2605" w:type="dxa"/>
            <w:gridSpan w:val="3"/>
            <w:hideMark/>
          </w:tcPr>
          <w:p w14:paraId="0DF25326" w14:textId="2AC545DF"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Normal selection</w:t>
            </w:r>
          </w:p>
        </w:tc>
      </w:tr>
      <w:tr w:rsidR="00EB2576" w:rsidRPr="00EB2576" w14:paraId="05E8EBDB" w14:textId="77777777" w:rsidTr="00612640">
        <w:trPr>
          <w:trHeight w:val="1401"/>
        </w:trPr>
        <w:tc>
          <w:tcPr>
            <w:tcW w:w="795" w:type="dxa"/>
            <w:hideMark/>
          </w:tcPr>
          <w:p w14:paraId="72F55BD6"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 </w:t>
            </w:r>
          </w:p>
        </w:tc>
        <w:tc>
          <w:tcPr>
            <w:tcW w:w="990" w:type="dxa"/>
            <w:hideMark/>
          </w:tcPr>
          <w:p w14:paraId="49D106CB"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Input PFU/mL</w:t>
            </w:r>
          </w:p>
        </w:tc>
        <w:tc>
          <w:tcPr>
            <w:tcW w:w="961" w:type="dxa"/>
            <w:hideMark/>
          </w:tcPr>
          <w:p w14:paraId="72FE82DE"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 xml:space="preserve">Output </w:t>
            </w:r>
          </w:p>
          <w:p w14:paraId="28EF78C9"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PFU/mL</w:t>
            </w:r>
          </w:p>
        </w:tc>
        <w:tc>
          <w:tcPr>
            <w:tcW w:w="683" w:type="dxa"/>
            <w:hideMark/>
          </w:tcPr>
          <w:p w14:paraId="05F96D7F"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Ratio O/I</w:t>
            </w:r>
          </w:p>
        </w:tc>
        <w:tc>
          <w:tcPr>
            <w:tcW w:w="961" w:type="dxa"/>
            <w:hideMark/>
          </w:tcPr>
          <w:p w14:paraId="4CEA56A3"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Input PFU/mL</w:t>
            </w:r>
          </w:p>
        </w:tc>
        <w:tc>
          <w:tcPr>
            <w:tcW w:w="961" w:type="dxa"/>
            <w:hideMark/>
          </w:tcPr>
          <w:p w14:paraId="550A7937"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 xml:space="preserve">Output </w:t>
            </w:r>
          </w:p>
          <w:p w14:paraId="0DD91032"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PFU/mL</w:t>
            </w:r>
          </w:p>
        </w:tc>
        <w:tc>
          <w:tcPr>
            <w:tcW w:w="683" w:type="dxa"/>
            <w:hideMark/>
          </w:tcPr>
          <w:p w14:paraId="5B4F0024"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Ratio O/I</w:t>
            </w:r>
          </w:p>
        </w:tc>
        <w:tc>
          <w:tcPr>
            <w:tcW w:w="961" w:type="dxa"/>
            <w:hideMark/>
          </w:tcPr>
          <w:p w14:paraId="00C544D7"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Input PFU/mL</w:t>
            </w:r>
          </w:p>
        </w:tc>
        <w:tc>
          <w:tcPr>
            <w:tcW w:w="961" w:type="dxa"/>
            <w:hideMark/>
          </w:tcPr>
          <w:p w14:paraId="2AEEA4D4"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 xml:space="preserve">Output </w:t>
            </w:r>
          </w:p>
          <w:p w14:paraId="20361FC0"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PFU/mL</w:t>
            </w:r>
          </w:p>
        </w:tc>
        <w:tc>
          <w:tcPr>
            <w:tcW w:w="683" w:type="dxa"/>
            <w:hideMark/>
          </w:tcPr>
          <w:p w14:paraId="576CD9B5" w14:textId="77777777" w:rsidR="003A1BB9" w:rsidRPr="00EB2576" w:rsidRDefault="003A1BB9" w:rsidP="003A1BB9">
            <w:pPr>
              <w:spacing w:line="360" w:lineRule="auto"/>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Ratio O/I</w:t>
            </w:r>
          </w:p>
        </w:tc>
      </w:tr>
      <w:tr w:rsidR="00EB2576" w:rsidRPr="00EB2576" w14:paraId="1E9CF536" w14:textId="77777777" w:rsidTr="00612640">
        <w:trPr>
          <w:trHeight w:val="917"/>
        </w:trPr>
        <w:tc>
          <w:tcPr>
            <w:tcW w:w="795" w:type="dxa"/>
            <w:hideMark/>
          </w:tcPr>
          <w:p w14:paraId="53ACEC5A"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1</w:t>
            </w:r>
          </w:p>
        </w:tc>
        <w:tc>
          <w:tcPr>
            <w:tcW w:w="990" w:type="dxa"/>
            <w:hideMark/>
          </w:tcPr>
          <w:p w14:paraId="2BF41096"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5.3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4D2D26CE"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6 x 10</w:t>
            </w:r>
            <w:r w:rsidRPr="00EB2576">
              <w:rPr>
                <w:rFonts w:ascii="Times New Roman" w:eastAsia="Times New Roman" w:hAnsi="Times New Roman" w:cs="Times New Roman"/>
                <w:kern w:val="24"/>
                <w:position w:val="8"/>
                <w:sz w:val="20"/>
                <w:szCs w:val="20"/>
                <w:vertAlign w:val="superscript"/>
                <w:lang w:eastAsia="en-GB"/>
              </w:rPr>
              <w:t>7</w:t>
            </w:r>
          </w:p>
        </w:tc>
        <w:tc>
          <w:tcPr>
            <w:tcW w:w="683" w:type="dxa"/>
            <w:hideMark/>
          </w:tcPr>
          <w:p w14:paraId="58367E48"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1.13 x 10</w:t>
            </w:r>
            <w:r w:rsidRPr="00EB2576">
              <w:rPr>
                <w:rFonts w:ascii="Times New Roman" w:eastAsia="Times New Roman" w:hAnsi="Times New Roman" w:cs="Times New Roman"/>
                <w:kern w:val="24"/>
                <w:position w:val="8"/>
                <w:sz w:val="20"/>
                <w:szCs w:val="20"/>
                <w:vertAlign w:val="superscript"/>
                <w:lang w:eastAsia="en-GB"/>
              </w:rPr>
              <w:t>-6</w:t>
            </w:r>
          </w:p>
        </w:tc>
        <w:tc>
          <w:tcPr>
            <w:tcW w:w="961" w:type="dxa"/>
            <w:hideMark/>
          </w:tcPr>
          <w:p w14:paraId="3D977B01"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5.3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7756AFF3"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6 x 10</w:t>
            </w:r>
            <w:r w:rsidRPr="00EB2576">
              <w:rPr>
                <w:rFonts w:ascii="Times New Roman" w:eastAsia="Times New Roman" w:hAnsi="Times New Roman" w:cs="Times New Roman"/>
                <w:kern w:val="24"/>
                <w:position w:val="8"/>
                <w:sz w:val="20"/>
                <w:szCs w:val="20"/>
                <w:vertAlign w:val="superscript"/>
                <w:lang w:eastAsia="en-GB"/>
              </w:rPr>
              <w:t>7</w:t>
            </w:r>
          </w:p>
        </w:tc>
        <w:tc>
          <w:tcPr>
            <w:tcW w:w="683" w:type="dxa"/>
            <w:hideMark/>
          </w:tcPr>
          <w:p w14:paraId="53A8EE45"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1.13 x 10</w:t>
            </w:r>
            <w:r w:rsidRPr="00EB2576">
              <w:rPr>
                <w:rFonts w:ascii="Times New Roman" w:eastAsia="Times New Roman" w:hAnsi="Times New Roman" w:cs="Times New Roman"/>
                <w:kern w:val="24"/>
                <w:position w:val="8"/>
                <w:sz w:val="20"/>
                <w:szCs w:val="20"/>
                <w:vertAlign w:val="superscript"/>
                <w:lang w:eastAsia="en-GB"/>
              </w:rPr>
              <w:t>-6</w:t>
            </w:r>
          </w:p>
        </w:tc>
        <w:tc>
          <w:tcPr>
            <w:tcW w:w="961" w:type="dxa"/>
            <w:hideMark/>
          </w:tcPr>
          <w:p w14:paraId="12C9A39D"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5.3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5C9669A4"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7 x 10</w:t>
            </w:r>
            <w:r w:rsidRPr="00EB2576">
              <w:rPr>
                <w:rFonts w:ascii="Times New Roman" w:eastAsia="Times New Roman" w:hAnsi="Times New Roman" w:cs="Times New Roman"/>
                <w:kern w:val="24"/>
                <w:position w:val="8"/>
                <w:sz w:val="20"/>
                <w:szCs w:val="20"/>
                <w:vertAlign w:val="superscript"/>
                <w:lang w:eastAsia="en-GB"/>
              </w:rPr>
              <w:t>7</w:t>
            </w:r>
          </w:p>
        </w:tc>
        <w:tc>
          <w:tcPr>
            <w:tcW w:w="683" w:type="dxa"/>
            <w:hideMark/>
          </w:tcPr>
          <w:p w14:paraId="115FADD8"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1.13 x 10</w:t>
            </w:r>
            <w:r w:rsidRPr="00EB2576">
              <w:rPr>
                <w:rFonts w:ascii="Times New Roman" w:eastAsia="Times New Roman" w:hAnsi="Times New Roman" w:cs="Times New Roman"/>
                <w:kern w:val="24"/>
                <w:position w:val="8"/>
                <w:sz w:val="20"/>
                <w:szCs w:val="20"/>
                <w:vertAlign w:val="superscript"/>
                <w:lang w:eastAsia="en-GB"/>
              </w:rPr>
              <w:t>-6</w:t>
            </w:r>
          </w:p>
        </w:tc>
      </w:tr>
      <w:tr w:rsidR="00EB2576" w:rsidRPr="00EB2576" w14:paraId="410CB2FF" w14:textId="77777777" w:rsidTr="00612640">
        <w:trPr>
          <w:trHeight w:val="917"/>
        </w:trPr>
        <w:tc>
          <w:tcPr>
            <w:tcW w:w="795" w:type="dxa"/>
            <w:hideMark/>
          </w:tcPr>
          <w:p w14:paraId="0677E5DF"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2</w:t>
            </w:r>
          </w:p>
        </w:tc>
        <w:tc>
          <w:tcPr>
            <w:tcW w:w="990" w:type="dxa"/>
            <w:hideMark/>
          </w:tcPr>
          <w:p w14:paraId="40BA59E7"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1.8x10^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4817CE1B"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6 x 10</w:t>
            </w:r>
            <w:r w:rsidRPr="00EB2576">
              <w:rPr>
                <w:rFonts w:ascii="Times New Roman" w:eastAsia="Times New Roman" w:hAnsi="Times New Roman" w:cs="Times New Roman"/>
                <w:kern w:val="24"/>
                <w:position w:val="8"/>
                <w:sz w:val="20"/>
                <w:szCs w:val="20"/>
                <w:vertAlign w:val="superscript"/>
                <w:lang w:eastAsia="en-GB"/>
              </w:rPr>
              <w:t>6</w:t>
            </w:r>
          </w:p>
        </w:tc>
        <w:tc>
          <w:tcPr>
            <w:tcW w:w="683" w:type="dxa"/>
            <w:hideMark/>
          </w:tcPr>
          <w:p w14:paraId="544ABDD2"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3.33 x 10</w:t>
            </w:r>
            <w:r w:rsidRPr="00EB2576">
              <w:rPr>
                <w:rFonts w:ascii="Times New Roman" w:eastAsia="Times New Roman" w:hAnsi="Times New Roman" w:cs="Times New Roman"/>
                <w:kern w:val="24"/>
                <w:position w:val="8"/>
                <w:sz w:val="20"/>
                <w:szCs w:val="20"/>
                <w:vertAlign w:val="superscript"/>
                <w:lang w:eastAsia="en-GB"/>
              </w:rPr>
              <w:t>-7</w:t>
            </w:r>
          </w:p>
        </w:tc>
        <w:tc>
          <w:tcPr>
            <w:tcW w:w="961" w:type="dxa"/>
            <w:hideMark/>
          </w:tcPr>
          <w:p w14:paraId="5260FD3A"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4.5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6DDF6F09"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5 x 10</w:t>
            </w:r>
            <w:r w:rsidRPr="00EB2576">
              <w:rPr>
                <w:rFonts w:ascii="Times New Roman" w:eastAsia="Times New Roman" w:hAnsi="Times New Roman" w:cs="Times New Roman"/>
                <w:kern w:val="24"/>
                <w:position w:val="8"/>
                <w:sz w:val="20"/>
                <w:szCs w:val="20"/>
                <w:vertAlign w:val="superscript"/>
                <w:lang w:eastAsia="en-GB"/>
              </w:rPr>
              <w:t>6</w:t>
            </w:r>
          </w:p>
        </w:tc>
        <w:tc>
          <w:tcPr>
            <w:tcW w:w="683" w:type="dxa"/>
            <w:hideMark/>
          </w:tcPr>
          <w:p w14:paraId="2FB3ABB9"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1.11 x 10</w:t>
            </w:r>
            <w:r w:rsidRPr="00EB2576">
              <w:rPr>
                <w:rFonts w:ascii="Times New Roman" w:eastAsia="Times New Roman" w:hAnsi="Times New Roman" w:cs="Times New Roman"/>
                <w:kern w:val="24"/>
                <w:position w:val="8"/>
                <w:sz w:val="20"/>
                <w:szCs w:val="20"/>
                <w:vertAlign w:val="superscript"/>
                <w:lang w:eastAsia="en-GB"/>
              </w:rPr>
              <w:t>-7</w:t>
            </w:r>
          </w:p>
        </w:tc>
        <w:tc>
          <w:tcPr>
            <w:tcW w:w="961" w:type="dxa"/>
            <w:hideMark/>
          </w:tcPr>
          <w:p w14:paraId="1ACFB100"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2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2CC609D8"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8 x 10</w:t>
            </w:r>
            <w:r w:rsidRPr="00EB2576">
              <w:rPr>
                <w:rFonts w:ascii="Times New Roman" w:eastAsia="Times New Roman" w:hAnsi="Times New Roman" w:cs="Times New Roman"/>
                <w:kern w:val="24"/>
                <w:position w:val="8"/>
                <w:sz w:val="20"/>
                <w:szCs w:val="20"/>
                <w:vertAlign w:val="superscript"/>
                <w:lang w:eastAsia="en-GB"/>
              </w:rPr>
              <w:t>6</w:t>
            </w:r>
          </w:p>
        </w:tc>
        <w:tc>
          <w:tcPr>
            <w:tcW w:w="683" w:type="dxa"/>
            <w:hideMark/>
          </w:tcPr>
          <w:p w14:paraId="447469D4"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4 x 10</w:t>
            </w:r>
            <w:r w:rsidRPr="00EB2576">
              <w:rPr>
                <w:rFonts w:ascii="Times New Roman" w:eastAsia="Times New Roman" w:hAnsi="Times New Roman" w:cs="Times New Roman"/>
                <w:kern w:val="24"/>
                <w:position w:val="8"/>
                <w:sz w:val="20"/>
                <w:szCs w:val="20"/>
                <w:vertAlign w:val="superscript"/>
                <w:lang w:eastAsia="en-GB"/>
              </w:rPr>
              <w:t>-7</w:t>
            </w:r>
          </w:p>
        </w:tc>
      </w:tr>
      <w:tr w:rsidR="00EB2576" w:rsidRPr="00EB2576" w14:paraId="268E3D87" w14:textId="77777777" w:rsidTr="00612640">
        <w:trPr>
          <w:trHeight w:val="917"/>
        </w:trPr>
        <w:tc>
          <w:tcPr>
            <w:tcW w:w="795" w:type="dxa"/>
            <w:hideMark/>
          </w:tcPr>
          <w:p w14:paraId="1F3BB755"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3</w:t>
            </w:r>
          </w:p>
        </w:tc>
        <w:tc>
          <w:tcPr>
            <w:tcW w:w="990" w:type="dxa"/>
            <w:hideMark/>
          </w:tcPr>
          <w:p w14:paraId="50F4F16C"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6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5FDEA941"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5 x 10</w:t>
            </w:r>
            <w:r w:rsidRPr="00EB2576">
              <w:rPr>
                <w:rFonts w:ascii="Times New Roman" w:eastAsia="Times New Roman" w:hAnsi="Times New Roman" w:cs="Times New Roman"/>
                <w:kern w:val="24"/>
                <w:position w:val="8"/>
                <w:sz w:val="20"/>
                <w:szCs w:val="20"/>
                <w:vertAlign w:val="superscript"/>
                <w:lang w:eastAsia="en-GB"/>
              </w:rPr>
              <w:t>7</w:t>
            </w:r>
          </w:p>
        </w:tc>
        <w:tc>
          <w:tcPr>
            <w:tcW w:w="683" w:type="dxa"/>
            <w:hideMark/>
          </w:tcPr>
          <w:p w14:paraId="7C100777"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8.33 x 10</w:t>
            </w:r>
            <w:r w:rsidRPr="00EB2576">
              <w:rPr>
                <w:rFonts w:ascii="Times New Roman" w:eastAsia="Times New Roman" w:hAnsi="Times New Roman" w:cs="Times New Roman"/>
                <w:kern w:val="24"/>
                <w:position w:val="8"/>
                <w:sz w:val="20"/>
                <w:szCs w:val="20"/>
                <w:vertAlign w:val="superscript"/>
                <w:lang w:eastAsia="en-GB"/>
              </w:rPr>
              <w:t>-7</w:t>
            </w:r>
          </w:p>
        </w:tc>
        <w:tc>
          <w:tcPr>
            <w:tcW w:w="961" w:type="dxa"/>
            <w:hideMark/>
          </w:tcPr>
          <w:p w14:paraId="0DFB4CCE"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2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7CBE35F3"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3 x 10</w:t>
            </w:r>
            <w:r w:rsidRPr="00EB2576">
              <w:rPr>
                <w:rFonts w:ascii="Times New Roman" w:eastAsia="Times New Roman" w:hAnsi="Times New Roman" w:cs="Times New Roman"/>
                <w:kern w:val="24"/>
                <w:position w:val="8"/>
                <w:sz w:val="20"/>
                <w:szCs w:val="20"/>
                <w:vertAlign w:val="superscript"/>
                <w:lang w:eastAsia="en-GB"/>
              </w:rPr>
              <w:t>5</w:t>
            </w:r>
          </w:p>
        </w:tc>
        <w:tc>
          <w:tcPr>
            <w:tcW w:w="683" w:type="dxa"/>
            <w:hideMark/>
          </w:tcPr>
          <w:p w14:paraId="2828B78B" w14:textId="774AA192" w:rsidR="003A1BB9" w:rsidRPr="00EB2576" w:rsidRDefault="00612640"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noProof/>
                <w:kern w:val="24"/>
                <w:sz w:val="20"/>
                <w:szCs w:val="20"/>
                <w:lang w:eastAsia="en-GB"/>
              </w:rPr>
              <mc:AlternateContent>
                <mc:Choice Requires="wps">
                  <w:drawing>
                    <wp:anchor distT="0" distB="0" distL="114300" distR="114300" simplePos="0" relativeHeight="251672576" behindDoc="0" locked="0" layoutInCell="1" allowOverlap="1" wp14:anchorId="7153AB2F" wp14:editId="09012AAA">
                      <wp:simplePos x="0" y="0"/>
                      <wp:positionH relativeFrom="column">
                        <wp:posOffset>-88265</wp:posOffset>
                      </wp:positionH>
                      <wp:positionV relativeFrom="paragraph">
                        <wp:posOffset>596265</wp:posOffset>
                      </wp:positionV>
                      <wp:extent cx="466725" cy="561975"/>
                      <wp:effectExtent l="19050" t="19050" r="28575" b="28575"/>
                      <wp:wrapNone/>
                      <wp:docPr id="194" name="Rectangle 194"/>
                      <wp:cNvGraphicFramePr/>
                      <a:graphic xmlns:a="http://schemas.openxmlformats.org/drawingml/2006/main">
                        <a:graphicData uri="http://schemas.microsoft.com/office/word/2010/wordprocessingShape">
                          <wps:wsp>
                            <wps:cNvSpPr/>
                            <wps:spPr>
                              <a:xfrm>
                                <a:off x="0" y="0"/>
                                <a:ext cx="466725" cy="5619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295FDE" id="Rectangle 194" o:spid="_x0000_s1026" style="position:absolute;margin-left:-6.95pt;margin-top:46.95pt;width:36.75pt;height:44.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" filled="f" strokecolor="red" strokeweight="2.25pt"/>
                  </w:pict>
                </mc:Fallback>
              </mc:AlternateContent>
            </w:r>
            <w:r w:rsidR="003A1BB9" w:rsidRPr="00EB2576">
              <w:rPr>
                <w:rFonts w:ascii="Times New Roman" w:eastAsia="Times New Roman" w:hAnsi="Times New Roman" w:cs="Times New Roman"/>
                <w:kern w:val="24"/>
                <w:sz w:val="20"/>
                <w:szCs w:val="20"/>
                <w:lang w:eastAsia="en-GB"/>
              </w:rPr>
              <w:t>1.5 x 10</w:t>
            </w:r>
            <w:r w:rsidR="003A1BB9" w:rsidRPr="00EB2576">
              <w:rPr>
                <w:rFonts w:ascii="Times New Roman" w:eastAsia="Times New Roman" w:hAnsi="Times New Roman" w:cs="Times New Roman"/>
                <w:kern w:val="24"/>
                <w:position w:val="8"/>
                <w:sz w:val="20"/>
                <w:szCs w:val="20"/>
                <w:vertAlign w:val="superscript"/>
                <w:lang w:eastAsia="en-GB"/>
              </w:rPr>
              <w:t>-8</w:t>
            </w:r>
          </w:p>
        </w:tc>
        <w:tc>
          <w:tcPr>
            <w:tcW w:w="961" w:type="dxa"/>
            <w:hideMark/>
          </w:tcPr>
          <w:p w14:paraId="3D162A89"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2.7 x 10</w:t>
            </w:r>
            <w:r w:rsidRPr="00EB2576">
              <w:rPr>
                <w:rFonts w:ascii="Times New Roman" w:eastAsia="Times New Roman" w:hAnsi="Times New Roman" w:cs="Times New Roman"/>
                <w:kern w:val="24"/>
                <w:position w:val="8"/>
                <w:sz w:val="20"/>
                <w:szCs w:val="20"/>
                <w:vertAlign w:val="superscript"/>
                <w:lang w:eastAsia="en-GB"/>
              </w:rPr>
              <w:t>13</w:t>
            </w:r>
          </w:p>
        </w:tc>
        <w:tc>
          <w:tcPr>
            <w:tcW w:w="961" w:type="dxa"/>
            <w:hideMark/>
          </w:tcPr>
          <w:p w14:paraId="166A97D9"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1.3 x 10</w:t>
            </w:r>
            <w:r w:rsidRPr="00EB2576">
              <w:rPr>
                <w:rFonts w:ascii="Times New Roman" w:eastAsia="Times New Roman" w:hAnsi="Times New Roman" w:cs="Times New Roman"/>
                <w:kern w:val="24"/>
                <w:position w:val="8"/>
                <w:sz w:val="20"/>
                <w:szCs w:val="20"/>
                <w:vertAlign w:val="superscript"/>
                <w:lang w:eastAsia="en-GB"/>
              </w:rPr>
              <w:t>7</w:t>
            </w:r>
          </w:p>
        </w:tc>
        <w:tc>
          <w:tcPr>
            <w:tcW w:w="683" w:type="dxa"/>
            <w:hideMark/>
          </w:tcPr>
          <w:p w14:paraId="12501DA7" w14:textId="77777777" w:rsidR="003A1BB9" w:rsidRPr="00EB2576" w:rsidRDefault="003A1BB9" w:rsidP="003A1BB9">
            <w:pPr>
              <w:spacing w:line="36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4.81 x 10</w:t>
            </w:r>
            <w:r w:rsidRPr="00EB2576">
              <w:rPr>
                <w:rFonts w:ascii="Times New Roman" w:eastAsia="Times New Roman" w:hAnsi="Times New Roman" w:cs="Times New Roman"/>
                <w:kern w:val="24"/>
                <w:position w:val="8"/>
                <w:sz w:val="20"/>
                <w:szCs w:val="20"/>
                <w:vertAlign w:val="superscript"/>
                <w:lang w:eastAsia="en-GB"/>
              </w:rPr>
              <w:t>-7</w:t>
            </w:r>
          </w:p>
        </w:tc>
      </w:tr>
      <w:tr w:rsidR="003A1BB9" w:rsidRPr="00EB2576" w14:paraId="75A4640D" w14:textId="77777777" w:rsidTr="00612640">
        <w:trPr>
          <w:trHeight w:val="917"/>
        </w:trPr>
        <w:tc>
          <w:tcPr>
            <w:tcW w:w="795" w:type="dxa"/>
            <w:hideMark/>
          </w:tcPr>
          <w:p w14:paraId="39DB1DD0" w14:textId="77777777" w:rsidR="003A1BB9" w:rsidRPr="00EB2576" w:rsidRDefault="003A1BB9" w:rsidP="003A1BB9">
            <w:pPr>
              <w:spacing w:line="360" w:lineRule="auto"/>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4</w:t>
            </w:r>
          </w:p>
        </w:tc>
        <w:tc>
          <w:tcPr>
            <w:tcW w:w="990" w:type="dxa"/>
            <w:hideMark/>
          </w:tcPr>
          <w:p w14:paraId="26139020" w14:textId="77777777"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2.7 x 10^</w:t>
            </w:r>
            <w:r w:rsidRPr="00EB2576">
              <w:rPr>
                <w:rFonts w:ascii="Times New Roman" w:eastAsia="Times New Roman" w:hAnsi="Times New Roman" w:cs="Times New Roman"/>
                <w:b/>
                <w:bCs/>
                <w:kern w:val="24"/>
                <w:position w:val="8"/>
                <w:sz w:val="20"/>
                <w:szCs w:val="20"/>
                <w:vertAlign w:val="superscript"/>
                <w:lang w:eastAsia="en-GB"/>
              </w:rPr>
              <w:t>13</w:t>
            </w:r>
          </w:p>
        </w:tc>
        <w:tc>
          <w:tcPr>
            <w:tcW w:w="961" w:type="dxa"/>
            <w:hideMark/>
          </w:tcPr>
          <w:p w14:paraId="578CF41D" w14:textId="2F03B857" w:rsidR="003A1BB9" w:rsidRPr="00EB2576" w:rsidRDefault="00612640"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noProof/>
                <w:kern w:val="24"/>
                <w:sz w:val="20"/>
                <w:szCs w:val="20"/>
                <w:lang w:eastAsia="en-GB"/>
              </w:rPr>
              <mc:AlternateContent>
                <mc:Choice Requires="wps">
                  <w:drawing>
                    <wp:anchor distT="0" distB="0" distL="114300" distR="114300" simplePos="0" relativeHeight="251667456" behindDoc="0" locked="0" layoutInCell="1" allowOverlap="1" wp14:anchorId="521E27B3" wp14:editId="3C6AF10B">
                      <wp:simplePos x="0" y="0"/>
                      <wp:positionH relativeFrom="column">
                        <wp:posOffset>518794</wp:posOffset>
                      </wp:positionH>
                      <wp:positionV relativeFrom="paragraph">
                        <wp:posOffset>3175</wp:posOffset>
                      </wp:positionV>
                      <wp:extent cx="466725" cy="561975"/>
                      <wp:effectExtent l="19050" t="19050" r="28575" b="28575"/>
                      <wp:wrapNone/>
                      <wp:docPr id="28" name="Rectangle 28"/>
                      <wp:cNvGraphicFramePr/>
                      <a:graphic xmlns:a="http://schemas.openxmlformats.org/drawingml/2006/main">
                        <a:graphicData uri="http://schemas.microsoft.com/office/word/2010/wordprocessingShape">
                          <wps:wsp>
                            <wps:cNvSpPr/>
                            <wps:spPr>
                              <a:xfrm>
                                <a:off x="0" y="0"/>
                                <a:ext cx="466725" cy="561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CC205D" id="Rectangle 28" o:spid="_x0000_s1026" style="position:absolute;margin-left:40.85pt;margin-top:.25pt;width:36.75pt;height:44.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" filled="f" strokecolor="red" strokeweight="2.25pt"/>
                  </w:pict>
                </mc:Fallback>
              </mc:AlternateContent>
            </w:r>
            <w:r w:rsidR="003A1BB9" w:rsidRPr="00EB2576">
              <w:rPr>
                <w:rFonts w:ascii="Times New Roman" w:eastAsia="Times New Roman" w:hAnsi="Times New Roman" w:cs="Times New Roman"/>
                <w:b/>
                <w:bCs/>
                <w:kern w:val="24"/>
                <w:sz w:val="20"/>
                <w:szCs w:val="20"/>
                <w:lang w:eastAsia="en-GB"/>
              </w:rPr>
              <w:t>2 x 10</w:t>
            </w:r>
            <w:r w:rsidR="003A1BB9" w:rsidRPr="00EB2576">
              <w:rPr>
                <w:rFonts w:ascii="Times New Roman" w:eastAsia="Times New Roman" w:hAnsi="Times New Roman" w:cs="Times New Roman"/>
                <w:b/>
                <w:bCs/>
                <w:kern w:val="24"/>
                <w:position w:val="8"/>
                <w:sz w:val="20"/>
                <w:szCs w:val="20"/>
                <w:vertAlign w:val="superscript"/>
                <w:lang w:eastAsia="en-GB"/>
              </w:rPr>
              <w:t>7</w:t>
            </w:r>
          </w:p>
        </w:tc>
        <w:tc>
          <w:tcPr>
            <w:tcW w:w="683" w:type="dxa"/>
            <w:hideMark/>
          </w:tcPr>
          <w:p w14:paraId="557DEA3B" w14:textId="08F924DB"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7.41 x 10</w:t>
            </w:r>
            <w:r w:rsidRPr="00EB2576">
              <w:rPr>
                <w:rFonts w:ascii="Times New Roman" w:eastAsia="Times New Roman" w:hAnsi="Times New Roman" w:cs="Times New Roman"/>
                <w:b/>
                <w:bCs/>
                <w:kern w:val="24"/>
                <w:position w:val="8"/>
                <w:sz w:val="20"/>
                <w:szCs w:val="20"/>
                <w:vertAlign w:val="superscript"/>
                <w:lang w:eastAsia="en-GB"/>
              </w:rPr>
              <w:t>-7</w:t>
            </w:r>
          </w:p>
        </w:tc>
        <w:tc>
          <w:tcPr>
            <w:tcW w:w="961" w:type="dxa"/>
            <w:hideMark/>
          </w:tcPr>
          <w:p w14:paraId="5A8FB046" w14:textId="77777777"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9 x 10</w:t>
            </w:r>
            <w:r w:rsidRPr="00EB2576">
              <w:rPr>
                <w:rFonts w:ascii="Times New Roman" w:eastAsia="Times New Roman" w:hAnsi="Times New Roman" w:cs="Times New Roman"/>
                <w:b/>
                <w:bCs/>
                <w:kern w:val="24"/>
                <w:position w:val="8"/>
                <w:sz w:val="20"/>
                <w:szCs w:val="20"/>
                <w:vertAlign w:val="superscript"/>
                <w:lang w:eastAsia="en-GB"/>
              </w:rPr>
              <w:t>13</w:t>
            </w:r>
          </w:p>
        </w:tc>
        <w:tc>
          <w:tcPr>
            <w:tcW w:w="961" w:type="dxa"/>
            <w:hideMark/>
          </w:tcPr>
          <w:p w14:paraId="556A5B46" w14:textId="62098B5E"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1 x 10</w:t>
            </w:r>
            <w:r w:rsidRPr="00EB2576">
              <w:rPr>
                <w:rFonts w:ascii="Times New Roman" w:eastAsia="Times New Roman" w:hAnsi="Times New Roman" w:cs="Times New Roman"/>
                <w:b/>
                <w:bCs/>
                <w:kern w:val="24"/>
                <w:position w:val="8"/>
                <w:sz w:val="20"/>
                <w:szCs w:val="20"/>
                <w:vertAlign w:val="superscript"/>
                <w:lang w:eastAsia="en-GB"/>
              </w:rPr>
              <w:t>5</w:t>
            </w:r>
          </w:p>
        </w:tc>
        <w:tc>
          <w:tcPr>
            <w:tcW w:w="683" w:type="dxa"/>
            <w:hideMark/>
          </w:tcPr>
          <w:p w14:paraId="6C3C7135" w14:textId="7E086CDA"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1.11 x 10</w:t>
            </w:r>
            <w:r w:rsidRPr="00EB2576">
              <w:rPr>
                <w:rFonts w:ascii="Times New Roman" w:eastAsia="Times New Roman" w:hAnsi="Times New Roman" w:cs="Times New Roman"/>
                <w:b/>
                <w:bCs/>
                <w:kern w:val="24"/>
                <w:position w:val="8"/>
                <w:sz w:val="20"/>
                <w:szCs w:val="20"/>
                <w:vertAlign w:val="superscript"/>
                <w:lang w:eastAsia="en-GB"/>
              </w:rPr>
              <w:t>-9</w:t>
            </w:r>
          </w:p>
        </w:tc>
        <w:tc>
          <w:tcPr>
            <w:tcW w:w="961" w:type="dxa"/>
            <w:hideMark/>
          </w:tcPr>
          <w:p w14:paraId="65CFE3DB" w14:textId="77777777"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3 x 10</w:t>
            </w:r>
            <w:r w:rsidRPr="00EB2576">
              <w:rPr>
                <w:rFonts w:ascii="Times New Roman" w:eastAsia="Times New Roman" w:hAnsi="Times New Roman" w:cs="Times New Roman"/>
                <w:b/>
                <w:bCs/>
                <w:kern w:val="24"/>
                <w:position w:val="8"/>
                <w:sz w:val="20"/>
                <w:szCs w:val="20"/>
                <w:vertAlign w:val="superscript"/>
                <w:lang w:eastAsia="en-GB"/>
              </w:rPr>
              <w:t>13</w:t>
            </w:r>
          </w:p>
        </w:tc>
        <w:tc>
          <w:tcPr>
            <w:tcW w:w="961" w:type="dxa"/>
            <w:hideMark/>
          </w:tcPr>
          <w:p w14:paraId="73652E15" w14:textId="77777777" w:rsidR="003A1BB9" w:rsidRPr="00EB2576" w:rsidRDefault="003A1BB9" w:rsidP="003A1BB9">
            <w:pPr>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2 x 10</w:t>
            </w:r>
            <w:r w:rsidRPr="00EB2576">
              <w:rPr>
                <w:rFonts w:ascii="Times New Roman" w:eastAsia="Times New Roman" w:hAnsi="Times New Roman" w:cs="Times New Roman"/>
                <w:b/>
                <w:bCs/>
                <w:kern w:val="24"/>
                <w:position w:val="8"/>
                <w:sz w:val="20"/>
                <w:szCs w:val="20"/>
                <w:vertAlign w:val="superscript"/>
                <w:lang w:eastAsia="en-GB"/>
              </w:rPr>
              <w:t>7</w:t>
            </w:r>
          </w:p>
        </w:tc>
        <w:tc>
          <w:tcPr>
            <w:tcW w:w="683" w:type="dxa"/>
            <w:hideMark/>
          </w:tcPr>
          <w:p w14:paraId="0BA5E08E" w14:textId="77777777" w:rsidR="003A1BB9" w:rsidRPr="00EB2576" w:rsidRDefault="003A1BB9" w:rsidP="00382DE3">
            <w:pPr>
              <w:keepNext/>
              <w:spacing w:line="36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kern w:val="24"/>
                <w:sz w:val="20"/>
                <w:szCs w:val="20"/>
                <w:lang w:eastAsia="en-GB"/>
              </w:rPr>
              <w:t>6.67 x 10</w:t>
            </w:r>
            <w:r w:rsidRPr="00EB2576">
              <w:rPr>
                <w:rFonts w:ascii="Times New Roman" w:eastAsia="Times New Roman" w:hAnsi="Times New Roman" w:cs="Times New Roman"/>
                <w:b/>
                <w:bCs/>
                <w:kern w:val="24"/>
                <w:position w:val="8"/>
                <w:sz w:val="20"/>
                <w:szCs w:val="20"/>
                <w:vertAlign w:val="superscript"/>
                <w:lang w:eastAsia="en-GB"/>
              </w:rPr>
              <w:t>-7</w:t>
            </w:r>
          </w:p>
        </w:tc>
      </w:tr>
    </w:tbl>
    <w:p w14:paraId="6E82FA4C" w14:textId="77777777" w:rsidR="00F2388D" w:rsidRPr="00EB2576" w:rsidRDefault="00F2388D" w:rsidP="00F2388D">
      <w:pPr>
        <w:spacing w:line="480" w:lineRule="auto"/>
        <w:rPr>
          <w:rFonts w:ascii="Times New Roman" w:hAnsi="Times New Roman" w:cs="Times New Roman"/>
          <w:b/>
          <w:bCs/>
          <w:sz w:val="24"/>
          <w:szCs w:val="24"/>
        </w:rPr>
      </w:pPr>
    </w:p>
    <w:p w14:paraId="6BD18EF1" w14:textId="7A5A4496" w:rsidR="00382DE3" w:rsidRPr="00EB2576" w:rsidRDefault="00382DE3" w:rsidP="00882C65">
      <w:pPr>
        <w:spacing w:line="240" w:lineRule="auto"/>
        <w:rPr>
          <w:rFonts w:ascii="Times New Roman" w:hAnsi="Times New Roman" w:cs="Times New Roman"/>
          <w:b/>
          <w:bCs/>
          <w:sz w:val="24"/>
          <w:szCs w:val="24"/>
        </w:rPr>
      </w:pPr>
      <w:bookmarkStart w:id="312" w:name="_Toc139306967"/>
      <w:r w:rsidRPr="00EB2576">
        <w:rPr>
          <w:rFonts w:ascii="Times New Roman" w:hAnsi="Times New Roman" w:cs="Times New Roman"/>
          <w:b/>
          <w:bCs/>
          <w:sz w:val="24"/>
          <w:szCs w:val="24"/>
        </w:rPr>
        <w:t xml:space="preserve">Table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Table \* ARABIC </w:instrText>
      </w:r>
      <w:r w:rsidRPr="00EB2576">
        <w:rPr>
          <w:rFonts w:ascii="Times New Roman" w:hAnsi="Times New Roman" w:cs="Times New Roman"/>
          <w:b/>
          <w:bCs/>
          <w:sz w:val="24"/>
          <w:szCs w:val="24"/>
        </w:rPr>
        <w:fldChar w:fldCharType="separate"/>
      </w:r>
      <w:r w:rsidR="00F2388D" w:rsidRPr="00EB2576">
        <w:rPr>
          <w:rFonts w:ascii="Times New Roman" w:hAnsi="Times New Roman" w:cs="Times New Roman"/>
          <w:b/>
          <w:bCs/>
          <w:noProof/>
          <w:sz w:val="24"/>
          <w:szCs w:val="24"/>
        </w:rPr>
        <w:t>14</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Selection of random peptide phage display library using ATI positive pooled sera, blank selection with no sera and normal AB sera.</w:t>
      </w:r>
      <w:bookmarkEnd w:id="312"/>
    </w:p>
    <w:p w14:paraId="456C9757" w14:textId="53AD3B67" w:rsidR="00D35C5F" w:rsidRPr="00EB2576" w:rsidRDefault="00382DE3" w:rsidP="00882C65">
      <w:pPr>
        <w:spacing w:line="240" w:lineRule="auto"/>
        <w:rPr>
          <w:rFonts w:ascii="Times New Roman" w:hAnsi="Times New Roman" w:cs="Times New Roman"/>
          <w:b/>
          <w:bCs/>
          <w:sz w:val="24"/>
          <w:szCs w:val="24"/>
        </w:rPr>
      </w:pPr>
      <w:r w:rsidRPr="00EB2576">
        <w:rPr>
          <w:rFonts w:ascii="Times New Roman" w:hAnsi="Times New Roman" w:cs="Times New Roman"/>
          <w:sz w:val="24"/>
          <w:szCs w:val="24"/>
        </w:rPr>
        <w:t>E</w:t>
      </w:r>
      <w:r w:rsidR="00C872E4" w:rsidRPr="00EB2576">
        <w:rPr>
          <w:rFonts w:ascii="Times New Roman" w:hAnsi="Times New Roman" w:cs="Times New Roman"/>
          <w:sz w:val="24"/>
          <w:szCs w:val="24"/>
        </w:rPr>
        <w:t xml:space="preserve">nrichment of phage clones in the ATI positive selection in comparison to the blank selection is suggested by the higher </w:t>
      </w:r>
      <w:r w:rsidR="000A7A3B" w:rsidRPr="00EB2576">
        <w:rPr>
          <w:rFonts w:ascii="Times New Roman" w:hAnsi="Times New Roman" w:cs="Times New Roman"/>
          <w:sz w:val="24"/>
          <w:szCs w:val="24"/>
        </w:rPr>
        <w:t>plaque forming units (PFU)</w:t>
      </w:r>
      <w:r w:rsidR="00C872E4" w:rsidRPr="00EB2576">
        <w:rPr>
          <w:rFonts w:ascii="Times New Roman" w:hAnsi="Times New Roman" w:cs="Times New Roman"/>
          <w:sz w:val="24"/>
          <w:szCs w:val="24"/>
        </w:rPr>
        <w:t xml:space="preserve"> </w:t>
      </w:r>
      <w:proofErr w:type="spellStart"/>
      <w:r w:rsidR="00C872E4" w:rsidRPr="00EB2576">
        <w:rPr>
          <w:rFonts w:ascii="Times New Roman" w:hAnsi="Times New Roman" w:cs="Times New Roman"/>
          <w:sz w:val="24"/>
          <w:szCs w:val="24"/>
        </w:rPr>
        <w:t>output:input</w:t>
      </w:r>
      <w:proofErr w:type="spellEnd"/>
      <w:r w:rsidR="00C872E4" w:rsidRPr="00EB2576">
        <w:rPr>
          <w:rFonts w:ascii="Times New Roman" w:hAnsi="Times New Roman" w:cs="Times New Roman"/>
          <w:sz w:val="24"/>
          <w:szCs w:val="24"/>
        </w:rPr>
        <w:t xml:space="preserve"> ratio in the former selection</w:t>
      </w:r>
      <w:r w:rsidR="001C0681" w:rsidRPr="00EB2576">
        <w:rPr>
          <w:rFonts w:ascii="Times New Roman" w:hAnsi="Times New Roman" w:cs="Times New Roman"/>
          <w:sz w:val="24"/>
          <w:szCs w:val="24"/>
        </w:rPr>
        <w:t>.</w:t>
      </w:r>
    </w:p>
    <w:p w14:paraId="21B5AFEF" w14:textId="13B8E926" w:rsidR="00D35C5F" w:rsidRPr="00EB2576" w:rsidRDefault="007978BA" w:rsidP="00882C65">
      <w:pPr>
        <w:spacing w:line="240" w:lineRule="auto"/>
        <w:rPr>
          <w:rFonts w:ascii="Times New Roman" w:hAnsi="Times New Roman" w:cs="Times New Roman"/>
          <w:i/>
          <w:iCs/>
          <w:sz w:val="24"/>
          <w:szCs w:val="24"/>
        </w:rPr>
      </w:pPr>
      <w:r w:rsidRPr="00EB2576">
        <w:rPr>
          <w:rFonts w:ascii="Times New Roman" w:hAnsi="Times New Roman" w:cs="Times New Roman"/>
          <w:i/>
          <w:iCs/>
          <w:sz w:val="24"/>
          <w:szCs w:val="24"/>
        </w:rPr>
        <w:t>(</w:t>
      </w:r>
      <w:r w:rsidR="001C0681" w:rsidRPr="00EB2576">
        <w:rPr>
          <w:rFonts w:ascii="Times New Roman" w:hAnsi="Times New Roman" w:cs="Times New Roman"/>
          <w:i/>
          <w:iCs/>
          <w:sz w:val="24"/>
          <w:szCs w:val="24"/>
        </w:rPr>
        <w:t xml:space="preserve">PFU: Plaque forming units; ratio O/I: ratio </w:t>
      </w:r>
      <w:proofErr w:type="spellStart"/>
      <w:r w:rsidR="001C0681" w:rsidRPr="00EB2576">
        <w:rPr>
          <w:rFonts w:ascii="Times New Roman" w:hAnsi="Times New Roman" w:cs="Times New Roman"/>
          <w:i/>
          <w:iCs/>
          <w:sz w:val="24"/>
          <w:szCs w:val="24"/>
        </w:rPr>
        <w:t>output:input</w:t>
      </w:r>
      <w:proofErr w:type="spellEnd"/>
      <w:r w:rsidRPr="00EB2576">
        <w:rPr>
          <w:rFonts w:ascii="Times New Roman" w:hAnsi="Times New Roman" w:cs="Times New Roman"/>
          <w:i/>
          <w:iCs/>
          <w:sz w:val="24"/>
          <w:szCs w:val="24"/>
        </w:rPr>
        <w:t>)</w:t>
      </w:r>
    </w:p>
    <w:p w14:paraId="0B9A3809" w14:textId="36646100" w:rsidR="00D35C5F" w:rsidRPr="00EB2576" w:rsidRDefault="00D35C5F" w:rsidP="00ED0D2E">
      <w:pPr>
        <w:spacing w:line="480" w:lineRule="auto"/>
        <w:rPr>
          <w:rFonts w:ascii="Times New Roman" w:hAnsi="Times New Roman" w:cs="Times New Roman"/>
          <w:sz w:val="24"/>
          <w:szCs w:val="24"/>
        </w:rPr>
      </w:pPr>
    </w:p>
    <w:p w14:paraId="55790FC5" w14:textId="77777777" w:rsidR="00F2388D" w:rsidRPr="00EB2576" w:rsidRDefault="00F2388D" w:rsidP="00C6460C">
      <w:pPr>
        <w:pStyle w:val="Heading3"/>
        <w:spacing w:line="480" w:lineRule="auto"/>
        <w:rPr>
          <w:rFonts w:ascii="Times New Roman" w:hAnsi="Times New Roman" w:cs="Times New Roman"/>
          <w:b/>
          <w:bCs/>
        </w:rPr>
      </w:pPr>
    </w:p>
    <w:p w14:paraId="12305D44" w14:textId="77777777" w:rsidR="00F2388D" w:rsidRPr="00EB2576" w:rsidRDefault="00F2388D" w:rsidP="00C6460C">
      <w:pPr>
        <w:pStyle w:val="Heading3"/>
        <w:spacing w:line="480" w:lineRule="auto"/>
        <w:rPr>
          <w:rFonts w:ascii="Times New Roman" w:hAnsi="Times New Roman" w:cs="Times New Roman"/>
          <w:b/>
          <w:bCs/>
        </w:rPr>
      </w:pPr>
    </w:p>
    <w:p w14:paraId="5D2B75E8" w14:textId="77777777" w:rsidR="00F2388D" w:rsidRPr="00EB2576" w:rsidRDefault="00F2388D" w:rsidP="00F2388D"/>
    <w:p w14:paraId="16B03EA6" w14:textId="77777777" w:rsidR="00F2388D" w:rsidRPr="00EB2576" w:rsidRDefault="00F2388D" w:rsidP="00F2388D"/>
    <w:p w14:paraId="3DA429FD" w14:textId="77777777" w:rsidR="00F2388D" w:rsidRPr="00EB2576" w:rsidRDefault="00F2388D" w:rsidP="00F2388D"/>
    <w:p w14:paraId="255015FB" w14:textId="77777777" w:rsidR="00882C65" w:rsidRPr="00EB2576" w:rsidRDefault="00882C65" w:rsidP="00F2388D"/>
    <w:p w14:paraId="0B04EE31" w14:textId="77777777" w:rsidR="00882C65" w:rsidRPr="00EB2576" w:rsidRDefault="00882C65" w:rsidP="00F2388D"/>
    <w:p w14:paraId="54E8A1A7" w14:textId="77777777" w:rsidR="00882C65" w:rsidRPr="00EB2576" w:rsidRDefault="00882C65" w:rsidP="00F2388D"/>
    <w:p w14:paraId="2E260869" w14:textId="0F093C65" w:rsidR="00F247BF" w:rsidRPr="00EB2576" w:rsidRDefault="006C2A31" w:rsidP="00C6460C">
      <w:pPr>
        <w:pStyle w:val="Heading3"/>
        <w:spacing w:line="480" w:lineRule="auto"/>
        <w:rPr>
          <w:rFonts w:ascii="Times New Roman" w:hAnsi="Times New Roman" w:cs="Times New Roman"/>
          <w:b/>
          <w:bCs/>
        </w:rPr>
      </w:pPr>
      <w:bookmarkStart w:id="313" w:name="_Toc151020552"/>
      <w:r w:rsidRPr="00EB2576">
        <w:rPr>
          <w:rFonts w:ascii="Times New Roman" w:hAnsi="Times New Roman" w:cs="Times New Roman"/>
          <w:b/>
          <w:bCs/>
        </w:rPr>
        <w:lastRenderedPageBreak/>
        <w:t>6</w:t>
      </w:r>
      <w:r w:rsidR="00DD2E10" w:rsidRPr="00EB2576">
        <w:rPr>
          <w:rFonts w:ascii="Times New Roman" w:hAnsi="Times New Roman" w:cs="Times New Roman"/>
          <w:b/>
          <w:bCs/>
        </w:rPr>
        <w:t xml:space="preserve">.3.2 </w:t>
      </w:r>
      <w:r w:rsidR="009227E5" w:rsidRPr="00EB2576">
        <w:rPr>
          <w:rFonts w:ascii="Times New Roman" w:hAnsi="Times New Roman" w:cs="Times New Roman"/>
          <w:b/>
          <w:bCs/>
        </w:rPr>
        <w:t>Epitope mapping of selected peptides</w:t>
      </w:r>
      <w:bookmarkEnd w:id="313"/>
    </w:p>
    <w:p w14:paraId="4FA02CB2" w14:textId="63344A99" w:rsidR="00FD709C" w:rsidRPr="00EB2576" w:rsidRDefault="00FD709C" w:rsidP="00FD709C">
      <w:pPr>
        <w:spacing w:line="480" w:lineRule="auto"/>
        <w:rPr>
          <w:rFonts w:ascii="Times New Roman" w:hAnsi="Times New Roman" w:cs="Times New Roman"/>
          <w:sz w:val="24"/>
          <w:szCs w:val="24"/>
        </w:rPr>
      </w:pPr>
      <w:r w:rsidRPr="00EB2576">
        <w:rPr>
          <w:rFonts w:ascii="Times New Roman" w:hAnsi="Times New Roman" w:cs="Times New Roman"/>
          <w:sz w:val="24"/>
          <w:szCs w:val="24"/>
        </w:rPr>
        <w:t>Single stranded phage DNA was isolated from 70 selected plaques. 3 peptides show selective enrichment</w:t>
      </w:r>
      <w:r w:rsidRPr="00EB2576">
        <w:rPr>
          <w:rFonts w:ascii="Times New Roman" w:hAnsi="Times New Roman" w:cs="Times New Roman"/>
          <w:kern w:val="24"/>
          <w:sz w:val="24"/>
          <w:szCs w:val="24"/>
          <w:lang w:eastAsia="en-GB"/>
        </w:rPr>
        <w:t xml:space="preserve">- selected more than once </w:t>
      </w:r>
      <w:r w:rsidRPr="00EB2576">
        <w:rPr>
          <w:rFonts w:ascii="Times New Roman" w:hAnsi="Times New Roman" w:cs="Times New Roman"/>
          <w:b/>
          <w:bCs/>
          <w:i/>
          <w:iCs/>
          <w:kern w:val="24"/>
          <w:sz w:val="24"/>
          <w:szCs w:val="24"/>
          <w:lang w:eastAsia="en-GB"/>
        </w:rPr>
        <w:t>only</w:t>
      </w:r>
      <w:r w:rsidRPr="00EB2576">
        <w:rPr>
          <w:rFonts w:ascii="Times New Roman" w:hAnsi="Times New Roman" w:cs="Times New Roman"/>
          <w:kern w:val="24"/>
          <w:sz w:val="24"/>
          <w:szCs w:val="24"/>
          <w:lang w:eastAsia="en-GB"/>
        </w:rPr>
        <w:t xml:space="preserve"> in the ATI positive selection</w:t>
      </w:r>
      <w:r w:rsidR="00A32EB6" w:rsidRPr="00EB2576">
        <w:rPr>
          <w:rFonts w:ascii="Times New Roman" w:hAnsi="Times New Roman" w:cs="Times New Roman"/>
          <w:kern w:val="24"/>
          <w:sz w:val="24"/>
          <w:szCs w:val="24"/>
          <w:lang w:eastAsia="en-GB"/>
        </w:rPr>
        <w:t xml:space="preserve">: </w:t>
      </w:r>
      <w:r w:rsidRPr="00EB2576">
        <w:rPr>
          <w:rFonts w:ascii="Times New Roman" w:hAnsi="Times New Roman" w:cs="Times New Roman"/>
          <w:kern w:val="24"/>
          <w:sz w:val="24"/>
          <w:szCs w:val="24"/>
          <w:lang w:eastAsia="en-GB"/>
        </w:rPr>
        <w:t>amino acid sequences were: YNKETPQTGFRA (isolated from three plaques from round 4 of ATI positive selection),</w:t>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lang w:eastAsia="en-GB"/>
        </w:rPr>
        <w:t>FHGPSKISSGES (isolated from two plaques from round 3 of ATI positive selection)</w:t>
      </w:r>
      <w:r w:rsidRPr="00EB2576">
        <w:rPr>
          <w:rFonts w:ascii="Times New Roman" w:hAnsi="Times New Roman" w:cs="Times New Roman"/>
          <w:sz w:val="24"/>
          <w:szCs w:val="24"/>
        </w:rPr>
        <w:t xml:space="preserve"> and </w:t>
      </w:r>
      <w:r w:rsidRPr="00EB2576">
        <w:rPr>
          <w:rFonts w:ascii="Times New Roman" w:hAnsi="Times New Roman" w:cs="Times New Roman"/>
          <w:kern w:val="24"/>
          <w:sz w:val="24"/>
          <w:szCs w:val="24"/>
          <w:lang w:eastAsia="en-GB"/>
        </w:rPr>
        <w:t>SVALNVKRAPVT (isolated from two plaques from round 4 of ATI positive selection).</w:t>
      </w:r>
    </w:p>
    <w:p w14:paraId="4B5A4CDF" w14:textId="77777777" w:rsidR="009F1BD4" w:rsidRPr="00EB2576" w:rsidRDefault="009F1BD4" w:rsidP="00C6460C">
      <w:pPr>
        <w:spacing w:after="0" w:line="480" w:lineRule="auto"/>
        <w:contextualSpacing/>
        <w:jc w:val="left"/>
        <w:rPr>
          <w:rFonts w:ascii="Times New Roman" w:hAnsi="Times New Roman" w:cs="Times New Roman"/>
          <w:kern w:val="24"/>
          <w:sz w:val="24"/>
          <w:szCs w:val="24"/>
          <w:lang w:eastAsia="en-GB"/>
        </w:rPr>
      </w:pPr>
    </w:p>
    <w:p w14:paraId="023CAA26" w14:textId="32FDD516" w:rsidR="006A5D39" w:rsidRPr="00EB2576" w:rsidRDefault="006A5D39" w:rsidP="00C6460C">
      <w:pPr>
        <w:spacing w:after="0" w:line="480" w:lineRule="auto"/>
        <w:contextualSpacing/>
        <w:jc w:val="left"/>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There was no</w:t>
      </w:r>
      <w:r w:rsidR="009F1BD4" w:rsidRPr="00EB2576">
        <w:rPr>
          <w:rFonts w:ascii="Times New Roman" w:hAnsi="Times New Roman" w:cs="Times New Roman"/>
          <w:kern w:val="24"/>
          <w:sz w:val="24"/>
          <w:szCs w:val="24"/>
          <w:lang w:eastAsia="en-GB"/>
        </w:rPr>
        <w:t xml:space="preserve"> alignment of the </w:t>
      </w:r>
      <w:r w:rsidRPr="00EB2576">
        <w:rPr>
          <w:rFonts w:ascii="Times New Roman" w:hAnsi="Times New Roman" w:cs="Times New Roman"/>
          <w:kern w:val="24"/>
          <w:sz w:val="24"/>
          <w:szCs w:val="24"/>
          <w:lang w:eastAsia="en-GB"/>
        </w:rPr>
        <w:t>enriched peptides to the full-length infliximab peptide using pairwise sequence alignment</w:t>
      </w:r>
      <w:r w:rsidRPr="00EB2576">
        <w:rPr>
          <w:rFonts w:ascii="Times New Roman" w:eastAsia="Times New Roman" w:hAnsi="Times New Roman" w:cs="Times New Roman"/>
          <w:sz w:val="24"/>
          <w:szCs w:val="24"/>
          <w:lang w:eastAsia="en-GB"/>
        </w:rPr>
        <w:t xml:space="preserve"> with </w:t>
      </w:r>
      <w:r w:rsidRPr="00EB2576">
        <w:rPr>
          <w:rFonts w:ascii="Times New Roman" w:hAnsi="Times New Roman" w:cs="Times New Roman"/>
          <w:kern w:val="24"/>
          <w:sz w:val="24"/>
          <w:szCs w:val="24"/>
          <w:lang w:eastAsia="en-GB"/>
        </w:rPr>
        <w:t>Vector NTI</w:t>
      </w:r>
      <w:r w:rsidRPr="00EB2576">
        <w:rPr>
          <w:rFonts w:ascii="Times New Roman" w:eastAsia="Times New Roman" w:hAnsi="Times New Roman" w:cs="Times New Roman"/>
          <w:sz w:val="24"/>
          <w:szCs w:val="24"/>
          <w:lang w:eastAsia="en-GB"/>
        </w:rPr>
        <w:t xml:space="preserve"> </w:t>
      </w:r>
      <w:r w:rsidR="009F1BD4" w:rsidRPr="00EB2576">
        <w:rPr>
          <w:rFonts w:ascii="Times New Roman" w:eastAsia="Times New Roman" w:hAnsi="Times New Roman" w:cs="Times New Roman"/>
          <w:sz w:val="24"/>
          <w:szCs w:val="24"/>
          <w:lang w:eastAsia="en-GB"/>
        </w:rPr>
        <w:t xml:space="preserve">and no match </w:t>
      </w:r>
      <w:r w:rsidR="000B4C22" w:rsidRPr="00EB2576">
        <w:rPr>
          <w:rFonts w:ascii="Times New Roman" w:eastAsia="Times New Roman" w:hAnsi="Times New Roman" w:cs="Times New Roman"/>
          <w:sz w:val="24"/>
          <w:szCs w:val="24"/>
          <w:lang w:eastAsia="en-GB"/>
        </w:rPr>
        <w:t xml:space="preserve">using </w:t>
      </w:r>
      <w:r w:rsidRPr="00EB2576">
        <w:rPr>
          <w:rFonts w:ascii="Times New Roman" w:hAnsi="Times New Roman" w:cs="Times New Roman"/>
          <w:kern w:val="24"/>
          <w:sz w:val="24"/>
          <w:szCs w:val="24"/>
          <w:lang w:eastAsia="en-GB"/>
        </w:rPr>
        <w:t xml:space="preserve">protein and nucleotide </w:t>
      </w:r>
      <w:r w:rsidR="000B4C22" w:rsidRPr="00EB2576">
        <w:rPr>
          <w:rFonts w:ascii="Times New Roman" w:hAnsi="Times New Roman" w:cs="Times New Roman"/>
          <w:kern w:val="24"/>
          <w:sz w:val="24"/>
          <w:szCs w:val="24"/>
          <w:lang w:eastAsia="en-GB"/>
        </w:rPr>
        <w:t>b</w:t>
      </w:r>
      <w:r w:rsidRPr="00EB2576">
        <w:rPr>
          <w:rFonts w:ascii="Times New Roman" w:hAnsi="Times New Roman" w:cs="Times New Roman"/>
          <w:kern w:val="24"/>
          <w:sz w:val="24"/>
          <w:szCs w:val="24"/>
          <w:lang w:eastAsia="en-GB"/>
        </w:rPr>
        <w:t>last.</w:t>
      </w:r>
    </w:p>
    <w:p w14:paraId="5A07B837" w14:textId="77777777" w:rsidR="00141207" w:rsidRPr="00EB2576" w:rsidRDefault="00141207" w:rsidP="00C6460C">
      <w:pPr>
        <w:spacing w:after="0" w:line="480" w:lineRule="auto"/>
        <w:contextualSpacing/>
        <w:jc w:val="left"/>
        <w:rPr>
          <w:rFonts w:ascii="Times New Roman" w:eastAsia="Times New Roman" w:hAnsi="Times New Roman" w:cs="Times New Roman"/>
          <w:sz w:val="24"/>
          <w:szCs w:val="24"/>
          <w:lang w:eastAsia="en-GB"/>
        </w:rPr>
      </w:pPr>
    </w:p>
    <w:p w14:paraId="52193DFB" w14:textId="70DE2E47" w:rsidR="00DD2E10" w:rsidRPr="00EB2576" w:rsidRDefault="00DD2E10" w:rsidP="00C6460C">
      <w:pPr>
        <w:spacing w:after="0" w:line="480" w:lineRule="auto"/>
        <w:contextualSpacing/>
        <w:jc w:val="left"/>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 xml:space="preserve">Using </w:t>
      </w:r>
      <w:proofErr w:type="spellStart"/>
      <w:r w:rsidRPr="00EB2576">
        <w:rPr>
          <w:rFonts w:ascii="Times New Roman" w:hAnsi="Times New Roman" w:cs="Times New Roman"/>
          <w:kern w:val="24"/>
          <w:sz w:val="24"/>
          <w:szCs w:val="24"/>
          <w:lang w:eastAsia="en-GB"/>
        </w:rPr>
        <w:t>Pepitope</w:t>
      </w:r>
      <w:proofErr w:type="spellEnd"/>
      <w:r w:rsidR="0049251F" w:rsidRPr="00EB2576">
        <w:rPr>
          <w:rFonts w:ascii="Times New Roman" w:hAnsi="Times New Roman" w:cs="Times New Roman"/>
          <w:kern w:val="24"/>
          <w:sz w:val="24"/>
          <w:szCs w:val="24"/>
          <w:lang w:eastAsia="en-GB"/>
        </w:rPr>
        <w:t xml:space="preserve">: </w:t>
      </w:r>
      <w:proofErr w:type="spellStart"/>
      <w:r w:rsidR="0049251F" w:rsidRPr="00EB2576">
        <w:rPr>
          <w:rFonts w:ascii="Times New Roman" w:hAnsi="Times New Roman" w:cs="Times New Roman"/>
          <w:kern w:val="24"/>
          <w:sz w:val="24"/>
          <w:szCs w:val="24"/>
          <w:lang w:eastAsia="en-GB"/>
        </w:rPr>
        <w:t>Pepsurf</w:t>
      </w:r>
      <w:proofErr w:type="spellEnd"/>
      <w:r w:rsidR="000B4C22" w:rsidRPr="00EB2576">
        <w:rPr>
          <w:rFonts w:ascii="Times New Roman" w:hAnsi="Times New Roman" w:cs="Times New Roman"/>
          <w:kern w:val="24"/>
          <w:sz w:val="24"/>
          <w:szCs w:val="24"/>
          <w:lang w:eastAsia="en-GB"/>
        </w:rPr>
        <w:t xml:space="preserve"> </w:t>
      </w:r>
      <w:r w:rsidR="0099742D" w:rsidRPr="00EB2576">
        <w:rPr>
          <w:rFonts w:ascii="Times New Roman" w:hAnsi="Times New Roman" w:cs="Times New Roman"/>
          <w:kern w:val="24"/>
          <w:sz w:val="24"/>
          <w:szCs w:val="24"/>
          <w:lang w:eastAsia="en-GB"/>
        </w:rPr>
        <w:t>server</w:t>
      </w:r>
      <w:r w:rsidR="0099742D" w:rsidRPr="00EB2576">
        <w:t xml:space="preserve"> (</w:t>
      </w:r>
      <w:hyperlink r:id="rId63" w:history="1">
        <w:r w:rsidR="0099742D" w:rsidRPr="00EB2576">
          <w:rPr>
            <w:rStyle w:val="Hyperlink"/>
            <w:rFonts w:ascii="Times New Roman" w:hAnsi="Times New Roman" w:cs="Times New Roman"/>
            <w:color w:val="auto"/>
            <w:kern w:val="24"/>
            <w:sz w:val="24"/>
            <w:szCs w:val="24"/>
            <w:lang w:eastAsia="en-GB"/>
          </w:rPr>
          <w:t>http://pepitope.tau.ac.il/</w:t>
        </w:r>
      </w:hyperlink>
      <w:r w:rsidR="0099742D" w:rsidRPr="00EB2576">
        <w:rPr>
          <w:rFonts w:ascii="Times New Roman" w:hAnsi="Times New Roman" w:cs="Times New Roman"/>
          <w:kern w:val="24"/>
          <w:sz w:val="24"/>
          <w:szCs w:val="24"/>
          <w:lang w:eastAsia="en-GB"/>
        </w:rPr>
        <w:t>),</w:t>
      </w:r>
      <w:r w:rsidR="000B4C22" w:rsidRPr="00EB2576">
        <w:rPr>
          <w:rFonts w:ascii="Times New Roman" w:hAnsi="Times New Roman" w:cs="Times New Roman"/>
          <w:kern w:val="24"/>
          <w:sz w:val="24"/>
          <w:szCs w:val="24"/>
          <w:lang w:eastAsia="en-GB"/>
        </w:rPr>
        <w:t xml:space="preserve"> a mimotope </w:t>
      </w:r>
      <w:r w:rsidR="00245024" w:rsidRPr="00EB2576">
        <w:rPr>
          <w:rFonts w:ascii="Times New Roman" w:hAnsi="Times New Roman" w:cs="Times New Roman"/>
          <w:kern w:val="24"/>
          <w:sz w:val="24"/>
          <w:szCs w:val="24"/>
          <w:lang w:eastAsia="en-GB"/>
        </w:rPr>
        <w:t xml:space="preserve">prediction programme </w:t>
      </w:r>
      <w:r w:rsidR="00334D8F" w:rsidRPr="00EB2576">
        <w:rPr>
          <w:rFonts w:ascii="Times New Roman" w:hAnsi="Times New Roman" w:cs="Times New Roman"/>
          <w:kern w:val="24"/>
          <w:sz w:val="24"/>
          <w:szCs w:val="24"/>
          <w:lang w:eastAsia="en-GB"/>
        </w:rPr>
        <w:t>using</w:t>
      </w:r>
      <w:r w:rsidR="0049251F" w:rsidRPr="00EB2576">
        <w:rPr>
          <w:rFonts w:ascii="Times New Roman" w:hAnsi="Times New Roman" w:cs="Times New Roman"/>
          <w:kern w:val="24"/>
          <w:sz w:val="24"/>
          <w:szCs w:val="24"/>
          <w:lang w:eastAsia="en-GB"/>
        </w:rPr>
        <w:t xml:space="preserve"> the </w:t>
      </w:r>
      <w:r w:rsidR="00245024" w:rsidRPr="00EB2576">
        <w:rPr>
          <w:rFonts w:ascii="Times New Roman" w:hAnsi="Times New Roman" w:cs="Times New Roman"/>
          <w:kern w:val="24"/>
          <w:sz w:val="24"/>
          <w:szCs w:val="24"/>
          <w:lang w:eastAsia="en-GB"/>
        </w:rPr>
        <w:t xml:space="preserve">inputs of the selected peptides and the </w:t>
      </w:r>
      <w:r w:rsidR="0049251F" w:rsidRPr="00EB2576">
        <w:rPr>
          <w:rFonts w:ascii="Times New Roman" w:hAnsi="Times New Roman" w:cs="Times New Roman"/>
          <w:kern w:val="24"/>
          <w:sz w:val="24"/>
          <w:szCs w:val="24"/>
          <w:lang w:eastAsia="en-GB"/>
        </w:rPr>
        <w:t xml:space="preserve">known </w:t>
      </w:r>
      <w:r w:rsidR="00245024" w:rsidRPr="00EB2576">
        <w:rPr>
          <w:rFonts w:ascii="Times New Roman" w:hAnsi="Times New Roman" w:cs="Times New Roman"/>
          <w:kern w:val="24"/>
          <w:sz w:val="24"/>
          <w:szCs w:val="24"/>
          <w:lang w:eastAsia="en-GB"/>
        </w:rPr>
        <w:t xml:space="preserve">infliximab Fab </w:t>
      </w:r>
      <w:r w:rsidR="00D865C8" w:rsidRPr="00EB2576">
        <w:rPr>
          <w:rFonts w:ascii="Times New Roman" w:hAnsi="Times New Roman" w:cs="Times New Roman"/>
          <w:kern w:val="24"/>
          <w:sz w:val="24"/>
          <w:szCs w:val="24"/>
          <w:lang w:eastAsia="en-GB"/>
        </w:rPr>
        <w:t>3D protein structure</w:t>
      </w:r>
      <w:r w:rsidR="000B6C85" w:rsidRPr="00EB2576">
        <w:rPr>
          <w:rFonts w:ascii="Times New Roman" w:hAnsi="Times New Roman" w:cs="Times New Roman"/>
          <w:kern w:val="24"/>
          <w:sz w:val="24"/>
          <w:szCs w:val="24"/>
          <w:lang w:eastAsia="en-GB"/>
        </w:rPr>
        <w:t xml:space="preserve">: </w:t>
      </w:r>
      <w:r w:rsidR="003604D6" w:rsidRPr="00EB2576">
        <w:rPr>
          <w:rFonts w:ascii="Times New Roman" w:hAnsi="Times New Roman" w:cs="Times New Roman"/>
          <w:kern w:val="24"/>
          <w:sz w:val="24"/>
          <w:szCs w:val="24"/>
          <w:lang w:eastAsia="en-GB"/>
        </w:rPr>
        <w:t xml:space="preserve">protein databank ID </w:t>
      </w:r>
      <w:r w:rsidR="000B6C85" w:rsidRPr="00EB2576">
        <w:rPr>
          <w:rFonts w:ascii="Times New Roman" w:hAnsi="Times New Roman" w:cs="Times New Roman"/>
          <w:kern w:val="24"/>
          <w:sz w:val="24"/>
          <w:szCs w:val="24"/>
          <w:lang w:eastAsia="en-GB"/>
        </w:rPr>
        <w:t>4G3Y</w:t>
      </w:r>
      <w:r w:rsidR="0034433D" w:rsidRPr="00EB2576">
        <w:rPr>
          <w:rFonts w:ascii="Times New Roman" w:hAnsi="Times New Roman" w:cs="Times New Roman"/>
          <w:kern w:val="24"/>
          <w:sz w:val="24"/>
          <w:szCs w:val="24"/>
          <w:lang w:eastAsia="en-GB"/>
        </w:rPr>
        <w:t xml:space="preserve"> </w:t>
      </w:r>
      <w:r w:rsidR="000B6C85" w:rsidRPr="00EB2576">
        <w:rPr>
          <w:rFonts w:ascii="Times New Roman" w:hAnsi="Times New Roman" w:cs="Times New Roman"/>
          <w:kern w:val="24"/>
          <w:sz w:val="24"/>
          <w:szCs w:val="24"/>
          <w:lang w:eastAsia="en-GB"/>
        </w:rPr>
        <w:t>(</w:t>
      </w:r>
      <w:hyperlink r:id="rId64" w:history="1">
        <w:r w:rsidR="00C6460C" w:rsidRPr="00EB2576">
          <w:rPr>
            <w:rStyle w:val="Hyperlink"/>
            <w:rFonts w:ascii="Times New Roman" w:hAnsi="Times New Roman" w:cs="Times New Roman"/>
            <w:color w:val="auto"/>
            <w:kern w:val="24"/>
            <w:sz w:val="24"/>
            <w:szCs w:val="24"/>
            <w:lang w:eastAsia="en-GB"/>
          </w:rPr>
          <w:t>https://www.rcsb.org/structure</w:t>
        </w:r>
      </w:hyperlink>
      <w:r w:rsidR="000B6C85" w:rsidRPr="00EB2576">
        <w:rPr>
          <w:rFonts w:ascii="Times New Roman" w:hAnsi="Times New Roman" w:cs="Times New Roman"/>
          <w:kern w:val="24"/>
          <w:sz w:val="24"/>
          <w:szCs w:val="24"/>
          <w:lang w:eastAsia="en-GB"/>
        </w:rPr>
        <w:t>)</w:t>
      </w:r>
      <w:r w:rsidR="00C6460C" w:rsidRPr="00EB2576">
        <w:rPr>
          <w:rFonts w:ascii="Times New Roman" w:hAnsi="Times New Roman" w:cs="Times New Roman"/>
          <w:kern w:val="24"/>
          <w:sz w:val="24"/>
          <w:szCs w:val="24"/>
          <w:lang w:eastAsia="en-GB"/>
        </w:rPr>
        <w:t>, conformational epitopes were predicted</w:t>
      </w:r>
      <w:r w:rsidR="003604D6" w:rsidRPr="00EB2576">
        <w:rPr>
          <w:rFonts w:ascii="Times New Roman" w:hAnsi="Times New Roman" w:cs="Times New Roman"/>
          <w:kern w:val="24"/>
          <w:sz w:val="24"/>
          <w:szCs w:val="24"/>
          <w:lang w:eastAsia="en-GB"/>
        </w:rPr>
        <w:t xml:space="preserve"> </w:t>
      </w:r>
      <w:r w:rsidR="00C6460C" w:rsidRPr="00EB2576">
        <w:rPr>
          <w:rFonts w:ascii="Times New Roman" w:hAnsi="Times New Roman" w:cs="Times New Roman"/>
          <w:kern w:val="24"/>
          <w:sz w:val="24"/>
          <w:szCs w:val="24"/>
          <w:lang w:eastAsia="en-GB"/>
        </w:rPr>
        <w:t>(Tabl</w:t>
      </w:r>
      <w:r w:rsidR="000A0923" w:rsidRPr="00EB2576">
        <w:rPr>
          <w:rFonts w:ascii="Times New Roman" w:hAnsi="Times New Roman" w:cs="Times New Roman"/>
          <w:kern w:val="24"/>
          <w:sz w:val="24"/>
          <w:szCs w:val="24"/>
          <w:lang w:eastAsia="en-GB"/>
        </w:rPr>
        <w:t>e 15)</w:t>
      </w:r>
      <w:r w:rsidR="00C6460C" w:rsidRPr="00EB2576">
        <w:rPr>
          <w:rFonts w:ascii="Times New Roman" w:hAnsi="Times New Roman" w:cs="Times New Roman"/>
          <w:kern w:val="24"/>
          <w:sz w:val="24"/>
          <w:szCs w:val="24"/>
          <w:lang w:eastAsia="en-GB"/>
        </w:rPr>
        <w:t>.</w:t>
      </w:r>
    </w:p>
    <w:p w14:paraId="2319E122" w14:textId="77777777" w:rsidR="0093775D" w:rsidRPr="00EB2576" w:rsidRDefault="0093775D" w:rsidP="00ED0D2E">
      <w:pPr>
        <w:spacing w:after="0" w:line="480" w:lineRule="auto"/>
        <w:contextualSpacing/>
        <w:jc w:val="left"/>
        <w:rPr>
          <w:rFonts w:ascii="Times New Roman" w:eastAsia="Calibri" w:hAnsi="Times New Roman" w:cs="Times New Roman"/>
          <w:kern w:val="24"/>
          <w:sz w:val="24"/>
          <w:szCs w:val="24"/>
        </w:rPr>
      </w:pPr>
    </w:p>
    <w:p w14:paraId="5392BE6A" w14:textId="04382D3D" w:rsidR="009F433A" w:rsidRPr="00EB2576" w:rsidRDefault="00A63AFB" w:rsidP="00ED0D2E">
      <w:pPr>
        <w:spacing w:after="0" w:line="480" w:lineRule="auto"/>
        <w:contextualSpacing/>
        <w:jc w:val="left"/>
        <w:rPr>
          <w:rFonts w:ascii="Times New Roman" w:hAnsi="Times New Roman" w:cs="Times New Roman"/>
          <w:kern w:val="24"/>
          <w:sz w:val="24"/>
          <w:szCs w:val="24"/>
          <w:lang w:eastAsia="en-GB"/>
        </w:rPr>
      </w:pPr>
      <w:r w:rsidRPr="00EB2576">
        <w:rPr>
          <w:rFonts w:ascii="Times New Roman" w:eastAsia="Calibri" w:hAnsi="Times New Roman" w:cs="Times New Roman"/>
          <w:kern w:val="24"/>
          <w:sz w:val="24"/>
          <w:szCs w:val="24"/>
        </w:rPr>
        <w:t>Ther</w:t>
      </w:r>
      <w:r w:rsidR="000D4458" w:rsidRPr="00EB2576">
        <w:rPr>
          <w:rFonts w:ascii="Times New Roman" w:eastAsia="Calibri" w:hAnsi="Times New Roman" w:cs="Times New Roman"/>
          <w:kern w:val="24"/>
          <w:sz w:val="24"/>
          <w:szCs w:val="24"/>
        </w:rPr>
        <w:t>e is overlap between amino acids</w:t>
      </w:r>
      <w:r w:rsidR="00A54287" w:rsidRPr="00EB2576">
        <w:rPr>
          <w:rFonts w:ascii="Times New Roman" w:eastAsia="Calibri" w:hAnsi="Times New Roman" w:cs="Times New Roman"/>
          <w:kern w:val="24"/>
          <w:sz w:val="24"/>
          <w:szCs w:val="24"/>
        </w:rPr>
        <w:t xml:space="preserve"> in</w:t>
      </w:r>
      <w:r w:rsidRPr="00EB2576">
        <w:rPr>
          <w:rFonts w:ascii="Times New Roman" w:eastAsia="Calibri" w:hAnsi="Times New Roman" w:cs="Times New Roman"/>
          <w:kern w:val="24"/>
          <w:sz w:val="24"/>
          <w:szCs w:val="24"/>
        </w:rPr>
        <w:t xml:space="preserve"> light chain peptide 1 </w:t>
      </w:r>
      <w:r w:rsidR="00557B7D" w:rsidRPr="00EB2576">
        <w:rPr>
          <w:rFonts w:ascii="Times New Roman" w:eastAsia="Calibri" w:hAnsi="Times New Roman" w:cs="Times New Roman"/>
          <w:kern w:val="24"/>
          <w:sz w:val="24"/>
          <w:szCs w:val="24"/>
        </w:rPr>
        <w:t xml:space="preserve">selected from the RPL </w:t>
      </w:r>
      <w:r w:rsidRPr="00EB2576">
        <w:rPr>
          <w:rFonts w:ascii="Times New Roman" w:eastAsia="Calibri" w:hAnsi="Times New Roman" w:cs="Times New Roman"/>
          <w:kern w:val="24"/>
          <w:sz w:val="24"/>
          <w:szCs w:val="24"/>
        </w:rPr>
        <w:t>with light chain peptide 3 selected from the infliximab whole gene fragment library</w:t>
      </w:r>
      <w:r w:rsidR="0065121A" w:rsidRPr="00EB2576">
        <w:rPr>
          <w:rFonts w:ascii="Times New Roman" w:eastAsia="Calibri" w:hAnsi="Times New Roman" w:cs="Times New Roman"/>
          <w:kern w:val="24"/>
          <w:sz w:val="24"/>
          <w:szCs w:val="24"/>
        </w:rPr>
        <w:t xml:space="preserve"> (Table </w:t>
      </w:r>
      <w:r w:rsidR="00F2388D" w:rsidRPr="00EB2576">
        <w:rPr>
          <w:rFonts w:ascii="Times New Roman" w:eastAsia="Calibri" w:hAnsi="Times New Roman" w:cs="Times New Roman"/>
          <w:kern w:val="24"/>
          <w:sz w:val="24"/>
          <w:szCs w:val="24"/>
        </w:rPr>
        <w:t>15</w:t>
      </w:r>
      <w:r w:rsidR="0065121A" w:rsidRPr="00EB2576">
        <w:rPr>
          <w:rFonts w:ascii="Times New Roman" w:eastAsia="Calibri" w:hAnsi="Times New Roman" w:cs="Times New Roman"/>
          <w:kern w:val="24"/>
          <w:sz w:val="24"/>
          <w:szCs w:val="24"/>
        </w:rPr>
        <w:t>)</w:t>
      </w:r>
      <w:r w:rsidRPr="00EB2576">
        <w:rPr>
          <w:rFonts w:ascii="Times New Roman" w:eastAsia="Calibri" w:hAnsi="Times New Roman" w:cs="Times New Roman"/>
          <w:kern w:val="24"/>
          <w:sz w:val="24"/>
          <w:szCs w:val="24"/>
        </w:rPr>
        <w:t>.</w:t>
      </w:r>
      <w:r w:rsidRPr="00EB2576">
        <w:rPr>
          <w:rFonts w:ascii="Times New Roman" w:hAnsi="Times New Roman" w:cs="Times New Roman"/>
          <w:sz w:val="24"/>
          <w:szCs w:val="24"/>
        </w:rPr>
        <w:t xml:space="preserve"> </w:t>
      </w:r>
      <w:r w:rsidR="009F433A" w:rsidRPr="00EB2576">
        <w:rPr>
          <w:rFonts w:ascii="Times New Roman" w:hAnsi="Times New Roman" w:cs="Times New Roman"/>
          <w:kern w:val="24"/>
          <w:sz w:val="24"/>
          <w:szCs w:val="24"/>
          <w:lang w:eastAsia="en-GB"/>
        </w:rPr>
        <w:t>Conformational epitopes predicted using the selectively enriched peptides w</w:t>
      </w:r>
      <w:r w:rsidR="00704BA9" w:rsidRPr="00EB2576">
        <w:rPr>
          <w:rFonts w:ascii="Times New Roman" w:hAnsi="Times New Roman" w:cs="Times New Roman"/>
          <w:kern w:val="24"/>
          <w:sz w:val="24"/>
          <w:szCs w:val="24"/>
          <w:lang w:eastAsia="en-GB"/>
        </w:rPr>
        <w:t>ere</w:t>
      </w:r>
      <w:r w:rsidR="009F433A" w:rsidRPr="00EB2576">
        <w:rPr>
          <w:rFonts w:ascii="Times New Roman" w:hAnsi="Times New Roman" w:cs="Times New Roman"/>
          <w:kern w:val="24"/>
          <w:sz w:val="24"/>
          <w:szCs w:val="24"/>
          <w:lang w:eastAsia="en-GB"/>
        </w:rPr>
        <w:t xml:space="preserve"> compared to three peptides selected using blank and normal AB sera</w:t>
      </w:r>
      <w:r w:rsidR="00704E6B" w:rsidRPr="00EB2576">
        <w:rPr>
          <w:rFonts w:ascii="Times New Roman" w:hAnsi="Times New Roman" w:cs="Times New Roman"/>
          <w:kern w:val="24"/>
          <w:sz w:val="24"/>
          <w:szCs w:val="24"/>
          <w:lang w:eastAsia="en-GB"/>
        </w:rPr>
        <w:t>:</w:t>
      </w:r>
      <w:r w:rsidR="0065121A" w:rsidRPr="00EB2576">
        <w:rPr>
          <w:rFonts w:ascii="Times New Roman" w:hAnsi="Times New Roman" w:cs="Times New Roman"/>
          <w:kern w:val="24"/>
          <w:sz w:val="24"/>
          <w:szCs w:val="24"/>
          <w:lang w:eastAsia="en-GB"/>
        </w:rPr>
        <w:t xml:space="preserve"> </w:t>
      </w:r>
      <w:bookmarkStart w:id="314" w:name="_Hlk115949334"/>
      <w:r w:rsidR="009F433A" w:rsidRPr="00EB2576">
        <w:rPr>
          <w:rFonts w:ascii="Times New Roman" w:hAnsi="Times New Roman" w:cs="Times New Roman"/>
          <w:kern w:val="24"/>
          <w:sz w:val="24"/>
          <w:szCs w:val="24"/>
          <w:lang w:eastAsia="en-GB"/>
        </w:rPr>
        <w:t>YSLWEPDFPPPV</w:t>
      </w:r>
      <w:bookmarkEnd w:id="314"/>
      <w:r w:rsidR="00B517F8" w:rsidRPr="00EB2576">
        <w:rPr>
          <w:rFonts w:ascii="Times New Roman" w:hAnsi="Times New Roman" w:cs="Times New Roman"/>
          <w:kern w:val="24"/>
          <w:sz w:val="24"/>
          <w:szCs w:val="24"/>
          <w:lang w:eastAsia="en-GB"/>
        </w:rPr>
        <w:t xml:space="preserve"> was isolated from 17 phage plaque</w:t>
      </w:r>
      <w:r w:rsidR="00A97680" w:rsidRPr="00EB2576">
        <w:rPr>
          <w:rFonts w:ascii="Times New Roman" w:hAnsi="Times New Roman" w:cs="Times New Roman"/>
          <w:kern w:val="24"/>
          <w:sz w:val="24"/>
          <w:szCs w:val="24"/>
          <w:lang w:eastAsia="en-GB"/>
        </w:rPr>
        <w:t>s</w:t>
      </w:r>
      <w:r w:rsidR="00704E6B" w:rsidRPr="00EB2576">
        <w:rPr>
          <w:rFonts w:ascii="Times New Roman" w:hAnsi="Times New Roman" w:cs="Times New Roman"/>
          <w:kern w:val="24"/>
          <w:sz w:val="24"/>
          <w:szCs w:val="24"/>
          <w:lang w:eastAsia="en-GB"/>
        </w:rPr>
        <w:t xml:space="preserve">, </w:t>
      </w:r>
      <w:r w:rsidR="009F433A" w:rsidRPr="00EB2576">
        <w:rPr>
          <w:rFonts w:ascii="Times New Roman" w:hAnsi="Times New Roman" w:cs="Times New Roman"/>
          <w:kern w:val="24"/>
          <w:sz w:val="24"/>
          <w:szCs w:val="24"/>
          <w:lang w:eastAsia="en-GB"/>
        </w:rPr>
        <w:t>TLQLVYTKSPTP</w:t>
      </w:r>
      <w:r w:rsidR="00A97680" w:rsidRPr="00EB2576">
        <w:rPr>
          <w:rFonts w:ascii="Times New Roman" w:hAnsi="Times New Roman" w:cs="Times New Roman"/>
          <w:kern w:val="24"/>
          <w:sz w:val="24"/>
          <w:szCs w:val="24"/>
          <w:lang w:eastAsia="en-GB"/>
        </w:rPr>
        <w:t xml:space="preserve"> was isolated from 2 plaques and </w:t>
      </w:r>
      <w:r w:rsidR="009F433A" w:rsidRPr="00EB2576">
        <w:rPr>
          <w:rFonts w:ascii="Times New Roman" w:hAnsi="Times New Roman" w:cs="Times New Roman"/>
          <w:kern w:val="24"/>
          <w:sz w:val="24"/>
          <w:szCs w:val="24"/>
          <w:lang w:eastAsia="en-GB"/>
        </w:rPr>
        <w:t>SYPSNALSLHKY</w:t>
      </w:r>
      <w:r w:rsidR="00A97680" w:rsidRPr="00EB2576">
        <w:rPr>
          <w:rFonts w:ascii="Times New Roman" w:hAnsi="Times New Roman" w:cs="Times New Roman"/>
          <w:kern w:val="24"/>
          <w:sz w:val="24"/>
          <w:szCs w:val="24"/>
          <w:lang w:eastAsia="en-GB"/>
        </w:rPr>
        <w:t xml:space="preserve"> also isolated from 2 plaques. </w:t>
      </w:r>
      <w:r w:rsidR="00C7290E" w:rsidRPr="00EB2576">
        <w:rPr>
          <w:rFonts w:ascii="Times New Roman" w:hAnsi="Times New Roman" w:cs="Times New Roman"/>
          <w:kern w:val="24"/>
          <w:sz w:val="24"/>
          <w:szCs w:val="24"/>
          <w:lang w:eastAsia="en-GB"/>
        </w:rPr>
        <w:t>Cluster</w:t>
      </w:r>
      <w:r w:rsidR="00765169" w:rsidRPr="00EB2576">
        <w:rPr>
          <w:rFonts w:ascii="Times New Roman" w:hAnsi="Times New Roman" w:cs="Times New Roman"/>
          <w:kern w:val="24"/>
          <w:sz w:val="24"/>
          <w:szCs w:val="24"/>
          <w:lang w:eastAsia="en-GB"/>
        </w:rPr>
        <w:t xml:space="preserve"> scores for the selectively enriched peptides </w:t>
      </w:r>
      <w:r w:rsidR="00890491" w:rsidRPr="00EB2576">
        <w:rPr>
          <w:rFonts w:ascii="Times New Roman" w:hAnsi="Times New Roman" w:cs="Times New Roman"/>
          <w:kern w:val="24"/>
          <w:sz w:val="24"/>
          <w:szCs w:val="24"/>
          <w:lang w:eastAsia="en-GB"/>
        </w:rPr>
        <w:t>we</w:t>
      </w:r>
      <w:r w:rsidR="00765169" w:rsidRPr="00EB2576">
        <w:rPr>
          <w:rFonts w:ascii="Times New Roman" w:hAnsi="Times New Roman" w:cs="Times New Roman"/>
          <w:kern w:val="24"/>
          <w:sz w:val="24"/>
          <w:szCs w:val="24"/>
          <w:lang w:eastAsia="en-GB"/>
        </w:rPr>
        <w:t xml:space="preserve">re </w:t>
      </w:r>
      <w:r w:rsidR="004A5A6F" w:rsidRPr="00EB2576">
        <w:rPr>
          <w:rFonts w:ascii="Times New Roman" w:hAnsi="Times New Roman" w:cs="Times New Roman"/>
          <w:kern w:val="24"/>
          <w:sz w:val="24"/>
          <w:szCs w:val="24"/>
          <w:lang w:eastAsia="en-GB"/>
        </w:rPr>
        <w:t>higher compared to those that were not enriched using ATI positive sera.</w:t>
      </w:r>
      <w:r w:rsidR="00C7290E" w:rsidRPr="00EB2576">
        <w:rPr>
          <w:rFonts w:ascii="Times New Roman" w:hAnsi="Times New Roman" w:cs="Times New Roman"/>
          <w:kern w:val="24"/>
          <w:sz w:val="24"/>
          <w:szCs w:val="24"/>
          <w:lang w:eastAsia="en-GB"/>
        </w:rPr>
        <w:t xml:space="preserve"> </w:t>
      </w:r>
      <w:r w:rsidR="006B5F5F" w:rsidRPr="00EB2576">
        <w:rPr>
          <w:rFonts w:ascii="Times New Roman" w:hAnsi="Times New Roman" w:cs="Times New Roman"/>
          <w:kern w:val="24"/>
          <w:sz w:val="24"/>
          <w:szCs w:val="24"/>
          <w:lang w:eastAsia="en-GB"/>
        </w:rPr>
        <w:t xml:space="preserve">Figure </w:t>
      </w:r>
      <w:r w:rsidR="005662D5" w:rsidRPr="00EB2576">
        <w:rPr>
          <w:rFonts w:ascii="Times New Roman" w:hAnsi="Times New Roman" w:cs="Times New Roman"/>
          <w:kern w:val="24"/>
          <w:sz w:val="24"/>
          <w:szCs w:val="24"/>
          <w:lang w:eastAsia="en-GB"/>
        </w:rPr>
        <w:t>3</w:t>
      </w:r>
      <w:r w:rsidR="005D6CE6" w:rsidRPr="00EB2576">
        <w:rPr>
          <w:rFonts w:ascii="Times New Roman" w:hAnsi="Times New Roman" w:cs="Times New Roman"/>
          <w:kern w:val="24"/>
          <w:sz w:val="24"/>
          <w:szCs w:val="24"/>
          <w:lang w:eastAsia="en-GB"/>
        </w:rPr>
        <w:t>2</w:t>
      </w:r>
      <w:r w:rsidR="006B5F5F" w:rsidRPr="00EB2576">
        <w:rPr>
          <w:rFonts w:ascii="Times New Roman" w:hAnsi="Times New Roman" w:cs="Times New Roman"/>
          <w:kern w:val="24"/>
          <w:sz w:val="24"/>
          <w:szCs w:val="24"/>
          <w:lang w:eastAsia="en-GB"/>
        </w:rPr>
        <w:t xml:space="preserve"> shows the predicted epitopes from the three selected peptides</w:t>
      </w:r>
      <w:r w:rsidR="00515C39" w:rsidRPr="00EB2576">
        <w:rPr>
          <w:rFonts w:ascii="Times New Roman" w:hAnsi="Times New Roman" w:cs="Times New Roman"/>
          <w:kern w:val="24"/>
          <w:sz w:val="24"/>
          <w:szCs w:val="24"/>
          <w:lang w:eastAsia="en-GB"/>
        </w:rPr>
        <w:t xml:space="preserve"> mapped onto infliximab Fab.</w:t>
      </w:r>
    </w:p>
    <w:p w14:paraId="019426B6" w14:textId="77777777" w:rsidR="00C6705A" w:rsidRPr="00EB2576" w:rsidRDefault="00C6705A" w:rsidP="00ED0D2E">
      <w:pPr>
        <w:spacing w:after="0" w:line="480" w:lineRule="auto"/>
        <w:contextualSpacing/>
        <w:jc w:val="left"/>
        <w:rPr>
          <w:rFonts w:ascii="Times New Roman" w:hAnsi="Times New Roman" w:cs="Times New Roman"/>
          <w:kern w:val="24"/>
          <w:sz w:val="24"/>
          <w:szCs w:val="24"/>
          <w:lang w:eastAsia="en-GB"/>
        </w:rPr>
      </w:pPr>
    </w:p>
    <w:tbl>
      <w:tblPr>
        <w:tblpPr w:leftFromText="180" w:rightFromText="180" w:vertAnchor="text" w:tblpY="46"/>
        <w:tblW w:w="8464" w:type="dxa"/>
        <w:tblCellMar>
          <w:left w:w="0" w:type="dxa"/>
          <w:right w:w="0" w:type="dxa"/>
        </w:tblCellMar>
        <w:tblLook w:val="04A0" w:firstRow="1" w:lastRow="0" w:firstColumn="1" w:lastColumn="0" w:noHBand="0" w:noVBand="1"/>
      </w:tblPr>
      <w:tblGrid>
        <w:gridCol w:w="1625"/>
        <w:gridCol w:w="2549"/>
        <w:gridCol w:w="3397"/>
        <w:gridCol w:w="893"/>
      </w:tblGrid>
      <w:tr w:rsidR="00EB2576" w:rsidRPr="00EB2576" w14:paraId="5102879E" w14:textId="77777777" w:rsidTr="00D52273">
        <w:trPr>
          <w:trHeight w:val="403"/>
        </w:trPr>
        <w:tc>
          <w:tcPr>
            <w:tcW w:w="8464" w:type="dxa"/>
            <w:gridSpan w:val="4"/>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54A17496" w14:textId="77777777" w:rsidR="00272968" w:rsidRPr="00EB2576" w:rsidRDefault="00272968" w:rsidP="00272968">
            <w:pPr>
              <w:spacing w:after="0" w:line="240" w:lineRule="auto"/>
              <w:jc w:val="center"/>
              <w:rPr>
                <w:rFonts w:ascii="Times New Roman" w:eastAsia="Times New Roman" w:hAnsi="Times New Roman" w:cs="Times New Roman"/>
                <w:b/>
                <w:bCs/>
                <w:kern w:val="24"/>
                <w:sz w:val="20"/>
                <w:szCs w:val="20"/>
                <w:lang w:eastAsia="en-GB"/>
              </w:rPr>
            </w:pPr>
            <w:r w:rsidRPr="00EB2576">
              <w:rPr>
                <w:rFonts w:ascii="Times New Roman" w:eastAsia="Times New Roman" w:hAnsi="Times New Roman" w:cs="Times New Roman"/>
                <w:b/>
                <w:bCs/>
                <w:sz w:val="20"/>
                <w:szCs w:val="20"/>
                <w:lang w:eastAsia="en-GB"/>
              </w:rPr>
              <w:lastRenderedPageBreak/>
              <w:t>Selectively enriched peptides</w:t>
            </w:r>
          </w:p>
        </w:tc>
      </w:tr>
      <w:tr w:rsidR="00EB2576" w:rsidRPr="00EB2576" w14:paraId="6B87F80E" w14:textId="77777777" w:rsidTr="00D52273">
        <w:trPr>
          <w:trHeight w:val="559"/>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69198C2B" w14:textId="77777777" w:rsidR="00272968" w:rsidRPr="00EB2576" w:rsidRDefault="00272968" w:rsidP="00272968">
            <w:pPr>
              <w:spacing w:after="0" w:line="240" w:lineRule="auto"/>
              <w:jc w:val="left"/>
              <w:rPr>
                <w:rFonts w:ascii="Times New Roman" w:eastAsia="Times New Roman" w:hAnsi="Times New Roman" w:cs="Times New Roman"/>
                <w:b/>
                <w:bCs/>
                <w:sz w:val="20"/>
                <w:szCs w:val="20"/>
                <w:lang w:eastAsia="en-GB"/>
              </w:rPr>
            </w:pPr>
            <w:r w:rsidRPr="00EB2576">
              <w:rPr>
                <w:rFonts w:ascii="Times New Roman" w:eastAsia="Times New Roman" w:hAnsi="Times New Roman" w:cs="Times New Roman"/>
                <w:b/>
                <w:bCs/>
                <w:sz w:val="20"/>
                <w:szCs w:val="20"/>
                <w:lang w:eastAsia="en-GB"/>
              </w:rPr>
              <w:t>Name</w:t>
            </w: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14232A4F"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 xml:space="preserve">Selected amino acid sequence </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241AE6A0"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Predicted conformational epitope</w:t>
            </w:r>
          </w:p>
          <w:p w14:paraId="370E5E5E"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b/>
                <w:bCs/>
                <w:kern w:val="24"/>
                <w:sz w:val="20"/>
                <w:szCs w:val="20"/>
                <w:lang w:eastAsia="en-GB"/>
              </w:rPr>
              <w:t> </w:t>
            </w:r>
          </w:p>
        </w:tc>
        <w:tc>
          <w:tcPr>
            <w:tcW w:w="891" w:type="dxa"/>
            <w:tcBorders>
              <w:top w:val="single" w:sz="8" w:space="0" w:color="BFBFBF"/>
              <w:left w:val="single" w:sz="8" w:space="0" w:color="BFBFBF"/>
              <w:bottom w:val="single" w:sz="8" w:space="0" w:color="BFBFBF"/>
              <w:right w:val="single" w:sz="8" w:space="0" w:color="BFBFBF"/>
            </w:tcBorders>
          </w:tcPr>
          <w:p w14:paraId="3D47189C" w14:textId="77777777" w:rsidR="00272968" w:rsidRPr="00EB2576" w:rsidRDefault="00272968" w:rsidP="00272968">
            <w:pPr>
              <w:spacing w:after="0" w:line="240" w:lineRule="auto"/>
              <w:jc w:val="left"/>
              <w:rPr>
                <w:rFonts w:ascii="Times New Roman" w:eastAsia="Times New Roman" w:hAnsi="Times New Roman" w:cs="Times New Roman"/>
                <w:b/>
                <w:bCs/>
                <w:kern w:val="24"/>
                <w:sz w:val="20"/>
                <w:szCs w:val="20"/>
                <w:lang w:eastAsia="en-GB"/>
              </w:rPr>
            </w:pPr>
            <w:r w:rsidRPr="00EB2576">
              <w:rPr>
                <w:rFonts w:ascii="Times New Roman" w:eastAsia="Times New Roman" w:hAnsi="Times New Roman" w:cs="Times New Roman"/>
                <w:b/>
                <w:bCs/>
                <w:kern w:val="24"/>
                <w:sz w:val="20"/>
                <w:szCs w:val="20"/>
                <w:lang w:eastAsia="en-GB"/>
              </w:rPr>
              <w:t>Cluster score</w:t>
            </w:r>
          </w:p>
        </w:tc>
      </w:tr>
      <w:tr w:rsidR="00EB2576" w:rsidRPr="00EB2576" w14:paraId="45E90EDC" w14:textId="77777777" w:rsidTr="00D52273">
        <w:trPr>
          <w:trHeight w:val="680"/>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5A4413B1"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Light chain peptide 1</w:t>
            </w: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00B448A4"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 xml:space="preserve">SVALNVKRAPVT </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1F537F2A"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S14L V13L S12L L11L N103L A84L R39L R45L G57L P59L I58L S60L</w:t>
            </w:r>
          </w:p>
        </w:tc>
        <w:tc>
          <w:tcPr>
            <w:tcW w:w="891" w:type="dxa"/>
            <w:tcBorders>
              <w:top w:val="single" w:sz="8" w:space="0" w:color="BFBFBF"/>
              <w:left w:val="single" w:sz="8" w:space="0" w:color="BFBFBF"/>
              <w:bottom w:val="single" w:sz="8" w:space="0" w:color="BFBFBF"/>
              <w:right w:val="single" w:sz="8" w:space="0" w:color="BFBFBF"/>
            </w:tcBorders>
          </w:tcPr>
          <w:p w14:paraId="614241F4" w14:textId="77777777" w:rsidR="00272968" w:rsidRPr="00EB2576" w:rsidRDefault="00272968" w:rsidP="00272968">
            <w:pPr>
              <w:spacing w:after="0" w:line="240" w:lineRule="auto"/>
              <w:jc w:val="left"/>
              <w:rPr>
                <w:rFonts w:ascii="Times New Roman" w:eastAsia="Times New Roman" w:hAnsi="Times New Roman" w:cs="Times New Roman"/>
                <w:kern w:val="24"/>
                <w:sz w:val="20"/>
                <w:szCs w:val="20"/>
                <w:lang w:eastAsia="en-GB"/>
              </w:rPr>
            </w:pPr>
            <w:r w:rsidRPr="00EB2576">
              <w:rPr>
                <w:rFonts w:ascii="Times New Roman" w:eastAsia="Times New Roman" w:hAnsi="Times New Roman" w:cs="Times New Roman"/>
                <w:kern w:val="24"/>
                <w:sz w:val="20"/>
                <w:szCs w:val="20"/>
                <w:lang w:eastAsia="en-GB"/>
              </w:rPr>
              <w:t>21.47</w:t>
            </w:r>
          </w:p>
        </w:tc>
      </w:tr>
      <w:tr w:rsidR="00EB2576" w:rsidRPr="00EB2576" w14:paraId="73DB60F6" w14:textId="77777777" w:rsidTr="00D52273">
        <w:trPr>
          <w:trHeight w:val="819"/>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18EBEE95"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Heavy chain peptide 2</w:t>
            </w: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2E2C89BF"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 xml:space="preserve">YNKETPQTGFRA </w:t>
            </w:r>
          </w:p>
          <w:p w14:paraId="7DAD2007"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 </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75B29CDC"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 xml:space="preserve">Y201H N162H N204H N206H T212H P126H K124H T123H S122H F153H A121H </w:t>
            </w:r>
          </w:p>
        </w:tc>
        <w:tc>
          <w:tcPr>
            <w:tcW w:w="891" w:type="dxa"/>
            <w:tcBorders>
              <w:top w:val="single" w:sz="8" w:space="0" w:color="BFBFBF"/>
              <w:left w:val="single" w:sz="8" w:space="0" w:color="BFBFBF"/>
              <w:bottom w:val="single" w:sz="8" w:space="0" w:color="BFBFBF"/>
              <w:right w:val="single" w:sz="8" w:space="0" w:color="BFBFBF"/>
            </w:tcBorders>
          </w:tcPr>
          <w:p w14:paraId="6038888D" w14:textId="77777777" w:rsidR="00272968" w:rsidRPr="00EB2576" w:rsidRDefault="00272968" w:rsidP="00272968">
            <w:pPr>
              <w:spacing w:after="0" w:line="240" w:lineRule="auto"/>
              <w:jc w:val="left"/>
              <w:rPr>
                <w:rFonts w:ascii="Times New Roman" w:eastAsia="Times New Roman" w:hAnsi="Times New Roman" w:cs="Times New Roman"/>
                <w:kern w:val="24"/>
                <w:sz w:val="20"/>
                <w:szCs w:val="20"/>
                <w:lang w:eastAsia="en-GB"/>
              </w:rPr>
            </w:pPr>
            <w:r w:rsidRPr="00EB2576">
              <w:rPr>
                <w:rFonts w:ascii="Times New Roman" w:eastAsia="Times New Roman" w:hAnsi="Times New Roman" w:cs="Times New Roman"/>
                <w:kern w:val="24"/>
                <w:sz w:val="20"/>
                <w:szCs w:val="20"/>
                <w:lang w:eastAsia="en-GB"/>
              </w:rPr>
              <w:t>17.67</w:t>
            </w:r>
          </w:p>
        </w:tc>
      </w:tr>
      <w:tr w:rsidR="00EB2576" w:rsidRPr="00EB2576" w14:paraId="67963300" w14:textId="77777777" w:rsidTr="00D52273">
        <w:trPr>
          <w:trHeight w:val="807"/>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4223B21B"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Heavy chain peptide 3</w:t>
            </w: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6E748FA5"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Calibri" w:hAnsi="Times New Roman" w:cs="Times New Roman"/>
                <w:kern w:val="24"/>
                <w:sz w:val="20"/>
                <w:szCs w:val="20"/>
                <w:lang w:eastAsia="en-GB"/>
              </w:rPr>
              <w:t>FHGPSKISSGES</w:t>
            </w:r>
          </w:p>
          <w:p w14:paraId="08B7A4FB"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 </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0840E45D" w14:textId="77777777" w:rsidR="00272968" w:rsidRPr="00EB2576" w:rsidRDefault="00272968" w:rsidP="00272968">
            <w:pPr>
              <w:spacing w:after="0" w:line="240" w:lineRule="auto"/>
              <w:jc w:val="left"/>
              <w:rPr>
                <w:rFonts w:ascii="Times New Roman" w:eastAsia="Times New Roman" w:hAnsi="Times New Roman" w:cs="Times New Roman"/>
                <w:sz w:val="20"/>
                <w:szCs w:val="20"/>
                <w:lang w:eastAsia="en-GB"/>
              </w:rPr>
            </w:pPr>
            <w:r w:rsidRPr="00EB2576">
              <w:rPr>
                <w:rFonts w:ascii="Times New Roman" w:eastAsia="Times New Roman" w:hAnsi="Times New Roman" w:cs="Times New Roman"/>
                <w:kern w:val="24"/>
                <w:sz w:val="20"/>
                <w:szCs w:val="20"/>
                <w:lang w:eastAsia="en-GB"/>
              </w:rPr>
              <w:t>L45H E46H G44H P41H S40H Q39H V95H T115H T114H G113H E6H S21H</w:t>
            </w:r>
          </w:p>
        </w:tc>
        <w:tc>
          <w:tcPr>
            <w:tcW w:w="891" w:type="dxa"/>
            <w:tcBorders>
              <w:top w:val="single" w:sz="8" w:space="0" w:color="BFBFBF"/>
              <w:left w:val="single" w:sz="8" w:space="0" w:color="BFBFBF"/>
              <w:bottom w:val="single" w:sz="8" w:space="0" w:color="BFBFBF"/>
              <w:right w:val="single" w:sz="8" w:space="0" w:color="BFBFBF"/>
            </w:tcBorders>
          </w:tcPr>
          <w:p w14:paraId="3C857996" w14:textId="77777777" w:rsidR="00272968" w:rsidRPr="00EB2576" w:rsidRDefault="00272968" w:rsidP="00272968">
            <w:pPr>
              <w:spacing w:after="0" w:line="240" w:lineRule="auto"/>
              <w:jc w:val="left"/>
              <w:rPr>
                <w:rFonts w:ascii="Times New Roman" w:eastAsia="Times New Roman" w:hAnsi="Times New Roman" w:cs="Times New Roman"/>
                <w:kern w:val="24"/>
                <w:sz w:val="20"/>
                <w:szCs w:val="20"/>
                <w:lang w:eastAsia="en-GB"/>
              </w:rPr>
            </w:pPr>
            <w:r w:rsidRPr="00EB2576">
              <w:rPr>
                <w:rFonts w:ascii="Times New Roman" w:eastAsia="Times New Roman" w:hAnsi="Times New Roman" w:cs="Times New Roman"/>
                <w:kern w:val="24"/>
                <w:sz w:val="20"/>
                <w:szCs w:val="20"/>
                <w:lang w:eastAsia="en-GB"/>
              </w:rPr>
              <w:t>21.56</w:t>
            </w:r>
          </w:p>
        </w:tc>
      </w:tr>
      <w:tr w:rsidR="00EB2576" w:rsidRPr="00EB2576" w14:paraId="206B9E32" w14:textId="77777777" w:rsidTr="00D52273">
        <w:trPr>
          <w:trHeight w:val="390"/>
        </w:trPr>
        <w:tc>
          <w:tcPr>
            <w:tcW w:w="8464" w:type="dxa"/>
            <w:gridSpan w:val="4"/>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082F7A18" w14:textId="77777777" w:rsidR="00272968" w:rsidRPr="00EB2576" w:rsidRDefault="00272968" w:rsidP="00272968">
            <w:pPr>
              <w:spacing w:after="0" w:line="240" w:lineRule="auto"/>
              <w:jc w:val="center"/>
              <w:rPr>
                <w:rFonts w:ascii="Times New Roman" w:eastAsia="Times New Roman" w:hAnsi="Times New Roman" w:cs="Times New Roman"/>
                <w:kern w:val="24"/>
                <w:sz w:val="20"/>
                <w:szCs w:val="20"/>
                <w:lang w:eastAsia="en-GB"/>
              </w:rPr>
            </w:pPr>
            <w:r w:rsidRPr="00EB2576">
              <w:rPr>
                <w:rFonts w:ascii="Times New Roman" w:eastAsia="Calibri" w:hAnsi="Times New Roman" w:cs="Times New Roman"/>
                <w:b/>
                <w:bCs/>
                <w:kern w:val="24"/>
                <w:sz w:val="20"/>
                <w:szCs w:val="20"/>
                <w:lang w:eastAsia="en-GB"/>
              </w:rPr>
              <w:t>Non-selectively enriched peptides</w:t>
            </w:r>
          </w:p>
        </w:tc>
      </w:tr>
      <w:tr w:rsidR="00EB2576" w:rsidRPr="00EB2576" w14:paraId="2126214C" w14:textId="77777777" w:rsidTr="00D52273">
        <w:trPr>
          <w:trHeight w:val="561"/>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5BA0B5D6" w14:textId="77777777" w:rsidR="00272968" w:rsidRPr="00EB2576" w:rsidRDefault="00272968" w:rsidP="00272968">
            <w:pPr>
              <w:spacing w:after="0" w:line="240" w:lineRule="auto"/>
              <w:jc w:val="left"/>
              <w:rPr>
                <w:rFonts w:ascii="Times New Roman" w:eastAsia="Calibri" w:hAnsi="Times New Roman" w:cs="Times New Roman"/>
                <w:b/>
                <w:bCs/>
                <w:kern w:val="24"/>
                <w:sz w:val="20"/>
                <w:szCs w:val="20"/>
                <w:lang w:eastAsia="en-GB"/>
              </w:rPr>
            </w:pPr>
            <w:r w:rsidRPr="00EB2576">
              <w:rPr>
                <w:rFonts w:ascii="Times New Roman" w:hAnsi="Times New Roman" w:cs="Times New Roman"/>
                <w:b/>
                <w:bCs/>
                <w:sz w:val="20"/>
                <w:szCs w:val="20"/>
              </w:rPr>
              <w:t>Name</w:t>
            </w: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3F6CAC22" w14:textId="77777777" w:rsidR="00272968" w:rsidRPr="00EB2576" w:rsidRDefault="00272968" w:rsidP="00272968">
            <w:pPr>
              <w:spacing w:after="0" w:line="240" w:lineRule="auto"/>
              <w:jc w:val="left"/>
              <w:rPr>
                <w:rFonts w:ascii="Times New Roman" w:hAnsi="Times New Roman" w:cs="Times New Roman"/>
                <w:b/>
                <w:bCs/>
                <w:sz w:val="20"/>
                <w:szCs w:val="20"/>
              </w:rPr>
            </w:pPr>
            <w:r w:rsidRPr="00EB2576">
              <w:rPr>
                <w:rFonts w:ascii="Times New Roman" w:hAnsi="Times New Roman" w:cs="Times New Roman"/>
                <w:b/>
                <w:bCs/>
                <w:sz w:val="20"/>
                <w:szCs w:val="20"/>
              </w:rPr>
              <w:t xml:space="preserve">Selected amino acid sequence </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47146294" w14:textId="77777777" w:rsidR="00272968" w:rsidRPr="00EB2576" w:rsidRDefault="00272968" w:rsidP="00272968">
            <w:pPr>
              <w:spacing w:after="0" w:line="240" w:lineRule="auto"/>
              <w:jc w:val="left"/>
              <w:rPr>
                <w:rFonts w:ascii="Times New Roman" w:hAnsi="Times New Roman" w:cs="Times New Roman"/>
                <w:b/>
                <w:bCs/>
                <w:sz w:val="20"/>
                <w:szCs w:val="20"/>
              </w:rPr>
            </w:pPr>
            <w:r w:rsidRPr="00EB2576">
              <w:rPr>
                <w:rFonts w:ascii="Times New Roman" w:hAnsi="Times New Roman" w:cs="Times New Roman"/>
                <w:b/>
                <w:bCs/>
                <w:sz w:val="20"/>
                <w:szCs w:val="20"/>
              </w:rPr>
              <w:t>Predicted conformational epitope</w:t>
            </w:r>
          </w:p>
        </w:tc>
        <w:tc>
          <w:tcPr>
            <w:tcW w:w="891" w:type="dxa"/>
            <w:tcBorders>
              <w:top w:val="single" w:sz="8" w:space="0" w:color="BFBFBF"/>
              <w:left w:val="single" w:sz="8" w:space="0" w:color="BFBFBF"/>
              <w:bottom w:val="single" w:sz="8" w:space="0" w:color="BFBFBF"/>
              <w:right w:val="single" w:sz="8" w:space="0" w:color="BFBFBF"/>
            </w:tcBorders>
            <w:shd w:val="clear" w:color="auto" w:fill="auto"/>
          </w:tcPr>
          <w:p w14:paraId="74169384" w14:textId="77777777" w:rsidR="00272968" w:rsidRPr="00EB2576" w:rsidRDefault="00272968" w:rsidP="00272968">
            <w:pPr>
              <w:spacing w:after="0" w:line="240" w:lineRule="auto"/>
              <w:jc w:val="left"/>
              <w:rPr>
                <w:rFonts w:ascii="Times New Roman" w:eastAsia="Calibri" w:hAnsi="Times New Roman" w:cs="Times New Roman"/>
                <w:b/>
                <w:bCs/>
                <w:kern w:val="24"/>
                <w:sz w:val="20"/>
                <w:szCs w:val="20"/>
                <w:lang w:eastAsia="en-GB"/>
              </w:rPr>
            </w:pPr>
            <w:r w:rsidRPr="00EB2576">
              <w:rPr>
                <w:rFonts w:ascii="Times New Roman" w:eastAsia="Calibri" w:hAnsi="Times New Roman" w:cs="Times New Roman"/>
                <w:b/>
                <w:bCs/>
                <w:kern w:val="24"/>
                <w:sz w:val="20"/>
                <w:szCs w:val="20"/>
                <w:lang w:eastAsia="en-GB"/>
              </w:rPr>
              <w:t>Cluster score</w:t>
            </w:r>
          </w:p>
        </w:tc>
      </w:tr>
      <w:tr w:rsidR="00EB2576" w:rsidRPr="00EB2576" w14:paraId="6D73CC64" w14:textId="77777777" w:rsidTr="00D52273">
        <w:trPr>
          <w:trHeight w:val="540"/>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4ED81B47"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bookmarkStart w:id="315" w:name="_Hlk114762054"/>
            <w:r w:rsidRPr="00EB2576">
              <w:rPr>
                <w:rFonts w:ascii="Times New Roman" w:eastAsia="Calibri" w:hAnsi="Times New Roman" w:cs="Times New Roman"/>
                <w:kern w:val="24"/>
                <w:sz w:val="20"/>
                <w:szCs w:val="20"/>
                <w:lang w:eastAsia="en-GB"/>
              </w:rPr>
              <w:t>Peptide 1</w:t>
            </w:r>
          </w:p>
          <w:p w14:paraId="539B553F"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092245A8"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YSLWEPDFPPPV</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02D6E380"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P119L P120L D122L L125L</w:t>
            </w:r>
            <w:r w:rsidRPr="00EB2576">
              <w:rPr>
                <w:rFonts w:ascii="Times New Roman" w:hAnsi="Times New Roman" w:cs="Times New Roman"/>
                <w:sz w:val="20"/>
                <w:szCs w:val="20"/>
              </w:rPr>
              <w:br/>
              <w:t>K126L Y186L</w:t>
            </w:r>
          </w:p>
        </w:tc>
        <w:tc>
          <w:tcPr>
            <w:tcW w:w="891" w:type="dxa"/>
            <w:tcBorders>
              <w:top w:val="single" w:sz="8" w:space="0" w:color="BFBFBF"/>
              <w:left w:val="single" w:sz="8" w:space="0" w:color="BFBFBF"/>
              <w:bottom w:val="single" w:sz="8" w:space="0" w:color="BFBFBF"/>
              <w:right w:val="single" w:sz="8" w:space="0" w:color="BFBFBF"/>
            </w:tcBorders>
            <w:shd w:val="clear" w:color="auto" w:fill="auto"/>
          </w:tcPr>
          <w:p w14:paraId="08E25216"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eastAsia="Calibri" w:hAnsi="Times New Roman" w:cs="Times New Roman"/>
                <w:kern w:val="24"/>
                <w:sz w:val="20"/>
                <w:szCs w:val="20"/>
                <w:lang w:eastAsia="en-GB"/>
              </w:rPr>
              <w:t>6.42</w:t>
            </w:r>
          </w:p>
        </w:tc>
      </w:tr>
      <w:tr w:rsidR="00EB2576" w:rsidRPr="00EB2576" w14:paraId="0FAF4CE1" w14:textId="77777777" w:rsidTr="00D52273">
        <w:trPr>
          <w:trHeight w:val="850"/>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0E750438"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eastAsia="Calibri" w:hAnsi="Times New Roman" w:cs="Times New Roman"/>
                <w:kern w:val="24"/>
                <w:sz w:val="20"/>
                <w:szCs w:val="20"/>
                <w:lang w:eastAsia="en-GB"/>
              </w:rPr>
              <w:t>Peptide 2</w:t>
            </w:r>
          </w:p>
          <w:p w14:paraId="3A2F9244"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4E0AFDD7"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TLQLVYTKSPTP</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16B8F15B"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P126H S127H F129H K150H G160L V176H L177H T178L S184H</w:t>
            </w:r>
            <w:r w:rsidRPr="00EB2576">
              <w:rPr>
                <w:rFonts w:ascii="Times New Roman" w:hAnsi="Times New Roman" w:cs="Times New Roman"/>
                <w:sz w:val="20"/>
                <w:szCs w:val="20"/>
              </w:rPr>
              <w:br/>
              <w:t>T212H</w:t>
            </w:r>
          </w:p>
        </w:tc>
        <w:tc>
          <w:tcPr>
            <w:tcW w:w="891" w:type="dxa"/>
            <w:tcBorders>
              <w:top w:val="single" w:sz="8" w:space="0" w:color="BFBFBF"/>
              <w:left w:val="single" w:sz="8" w:space="0" w:color="BFBFBF"/>
              <w:bottom w:val="single" w:sz="8" w:space="0" w:color="BFBFBF"/>
              <w:right w:val="single" w:sz="8" w:space="0" w:color="BFBFBF"/>
            </w:tcBorders>
            <w:shd w:val="clear" w:color="auto" w:fill="auto"/>
          </w:tcPr>
          <w:p w14:paraId="500FF824"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eastAsia="Calibri" w:hAnsi="Times New Roman" w:cs="Times New Roman"/>
                <w:kern w:val="24"/>
                <w:sz w:val="20"/>
                <w:szCs w:val="20"/>
                <w:lang w:eastAsia="en-GB"/>
              </w:rPr>
              <w:t>9.44</w:t>
            </w:r>
          </w:p>
        </w:tc>
      </w:tr>
      <w:tr w:rsidR="00EB2576" w:rsidRPr="00EB2576" w14:paraId="29CBE080" w14:textId="77777777" w:rsidTr="00D52273">
        <w:trPr>
          <w:trHeight w:val="691"/>
        </w:trPr>
        <w:tc>
          <w:tcPr>
            <w:tcW w:w="1625"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tcPr>
          <w:p w14:paraId="5325185F"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eastAsia="Calibri" w:hAnsi="Times New Roman" w:cs="Times New Roman"/>
                <w:kern w:val="24"/>
                <w:sz w:val="20"/>
                <w:szCs w:val="20"/>
                <w:lang w:eastAsia="en-GB"/>
              </w:rPr>
              <w:t>Peptide 3</w:t>
            </w:r>
          </w:p>
          <w:p w14:paraId="5124DD09"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p>
        </w:tc>
        <w:tc>
          <w:tcPr>
            <w:tcW w:w="2549"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0E408B06"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SYPSNALSLHKY</w:t>
            </w:r>
          </w:p>
        </w:tc>
        <w:tc>
          <w:tcPr>
            <w:tcW w:w="339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14:paraId="5D22161B" w14:textId="77777777" w:rsidR="00272968" w:rsidRPr="00EB2576" w:rsidRDefault="00272968" w:rsidP="00272968">
            <w:pPr>
              <w:spacing w:after="0" w:line="240" w:lineRule="auto"/>
              <w:jc w:val="left"/>
              <w:rPr>
                <w:rFonts w:ascii="Times New Roman" w:eastAsia="Calibri" w:hAnsi="Times New Roman" w:cs="Times New Roman"/>
                <w:kern w:val="24"/>
                <w:sz w:val="20"/>
                <w:szCs w:val="20"/>
                <w:lang w:eastAsia="en-GB"/>
              </w:rPr>
            </w:pPr>
            <w:r w:rsidRPr="00EB2576">
              <w:rPr>
                <w:rFonts w:ascii="Times New Roman" w:hAnsi="Times New Roman" w:cs="Times New Roman"/>
                <w:sz w:val="20"/>
                <w:szCs w:val="20"/>
              </w:rPr>
              <w:t>N138L N162H A165H L166H</w:t>
            </w:r>
            <w:r w:rsidRPr="00EB2576">
              <w:rPr>
                <w:rFonts w:ascii="Times New Roman" w:hAnsi="Times New Roman" w:cs="Times New Roman"/>
                <w:sz w:val="20"/>
                <w:szCs w:val="20"/>
              </w:rPr>
              <w:br/>
              <w:t>S168H V170H H171H S195H</w:t>
            </w:r>
            <w:r w:rsidRPr="00EB2576">
              <w:rPr>
                <w:rFonts w:ascii="Times New Roman" w:hAnsi="Times New Roman" w:cs="Times New Roman"/>
                <w:sz w:val="20"/>
                <w:szCs w:val="20"/>
              </w:rPr>
              <w:br/>
              <w:t>T200H Y201H</w:t>
            </w:r>
          </w:p>
        </w:tc>
        <w:tc>
          <w:tcPr>
            <w:tcW w:w="891" w:type="dxa"/>
            <w:tcBorders>
              <w:top w:val="single" w:sz="8" w:space="0" w:color="BFBFBF"/>
              <w:left w:val="single" w:sz="8" w:space="0" w:color="BFBFBF"/>
              <w:bottom w:val="single" w:sz="8" w:space="0" w:color="BFBFBF"/>
              <w:right w:val="single" w:sz="8" w:space="0" w:color="BFBFBF"/>
            </w:tcBorders>
            <w:shd w:val="clear" w:color="auto" w:fill="auto"/>
          </w:tcPr>
          <w:p w14:paraId="7FB6FB19" w14:textId="77777777" w:rsidR="00272968" w:rsidRPr="00EB2576" w:rsidRDefault="00272968" w:rsidP="00F2388D">
            <w:pPr>
              <w:keepNext/>
              <w:spacing w:after="0" w:line="240" w:lineRule="auto"/>
              <w:jc w:val="left"/>
              <w:rPr>
                <w:rFonts w:ascii="Times New Roman" w:eastAsia="Calibri" w:hAnsi="Times New Roman" w:cs="Times New Roman"/>
                <w:kern w:val="24"/>
                <w:sz w:val="20"/>
                <w:szCs w:val="20"/>
                <w:lang w:eastAsia="en-GB"/>
              </w:rPr>
            </w:pPr>
            <w:r w:rsidRPr="00EB2576">
              <w:rPr>
                <w:rFonts w:ascii="Times New Roman" w:eastAsia="Calibri" w:hAnsi="Times New Roman" w:cs="Times New Roman"/>
                <w:kern w:val="24"/>
                <w:sz w:val="20"/>
                <w:szCs w:val="20"/>
                <w:lang w:eastAsia="en-GB"/>
              </w:rPr>
              <w:t>9.44</w:t>
            </w:r>
          </w:p>
        </w:tc>
      </w:tr>
      <w:bookmarkEnd w:id="315"/>
    </w:tbl>
    <w:p w14:paraId="0F16B4FF" w14:textId="77777777" w:rsidR="00C6705A" w:rsidRPr="00EB2576" w:rsidRDefault="00C6705A" w:rsidP="00ED0D2E">
      <w:pPr>
        <w:spacing w:after="0" w:line="480" w:lineRule="auto"/>
        <w:contextualSpacing/>
        <w:jc w:val="left"/>
        <w:rPr>
          <w:rFonts w:ascii="Times New Roman" w:hAnsi="Times New Roman" w:cs="Times New Roman"/>
          <w:kern w:val="24"/>
          <w:sz w:val="24"/>
          <w:szCs w:val="24"/>
          <w:lang w:eastAsia="en-GB"/>
        </w:rPr>
      </w:pPr>
    </w:p>
    <w:p w14:paraId="01791E88" w14:textId="77777777" w:rsidR="00AC67CC" w:rsidRPr="00EB2576" w:rsidRDefault="00AC67CC" w:rsidP="005A5626">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240" w:lineRule="auto"/>
        <w:jc w:val="left"/>
        <w:textAlignment w:val="baseline"/>
        <w:rPr>
          <w:rFonts w:ascii="Times New Roman" w:eastAsia="Times New Roman" w:hAnsi="Times New Roman" w:cs="Times New Roman"/>
          <w:b/>
          <w:bCs/>
          <w:kern w:val="24"/>
          <w:sz w:val="24"/>
          <w:szCs w:val="24"/>
          <w:lang w:eastAsia="en-GB"/>
        </w:rPr>
      </w:pPr>
    </w:p>
    <w:p w14:paraId="74B58CAD" w14:textId="77777777" w:rsidR="00C6705A" w:rsidRPr="00EB2576" w:rsidRDefault="00C6705A"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60F51475"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75981BDA"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04DF2A7F"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165F64F1"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58690E19"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546270D8"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2E48D673"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3394C39D"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2E1BC18A" w14:textId="77777777" w:rsidR="00272968" w:rsidRPr="00EB2576" w:rsidRDefault="00272968" w:rsidP="00F307EA">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480" w:lineRule="auto"/>
        <w:jc w:val="left"/>
        <w:textAlignment w:val="baseline"/>
        <w:rPr>
          <w:rFonts w:ascii="Times New Roman" w:eastAsia="Times New Roman" w:hAnsi="Times New Roman" w:cs="Times New Roman"/>
          <w:b/>
          <w:bCs/>
          <w:kern w:val="24"/>
          <w:sz w:val="24"/>
          <w:szCs w:val="24"/>
          <w:lang w:eastAsia="en-GB"/>
        </w:rPr>
      </w:pPr>
    </w:p>
    <w:p w14:paraId="7FF0FF8A" w14:textId="77777777" w:rsidR="00E84F79" w:rsidRPr="00EB2576" w:rsidRDefault="00E84F79" w:rsidP="00E84F79">
      <w:pPr>
        <w:pStyle w:val="Caption"/>
        <w:framePr w:hSpace="180" w:wrap="around" w:vAnchor="text" w:hAnchor="page" w:x="1441" w:y="464"/>
        <w:spacing w:line="240" w:lineRule="auto"/>
        <w:rPr>
          <w:rFonts w:ascii="Times New Roman" w:hAnsi="Times New Roman" w:cs="Times New Roman"/>
          <w:sz w:val="24"/>
          <w:szCs w:val="24"/>
        </w:rPr>
      </w:pPr>
      <w:bookmarkStart w:id="316" w:name="_Toc139306968"/>
    </w:p>
    <w:p w14:paraId="25478AAE" w14:textId="1E355B01" w:rsidR="00F2388D" w:rsidRPr="00EB2576" w:rsidRDefault="00F2388D" w:rsidP="00E84F79">
      <w:pPr>
        <w:pStyle w:val="Caption"/>
        <w:framePr w:hSpace="180" w:wrap="around" w:vAnchor="text" w:hAnchor="page" w:x="1441" w:y="464"/>
        <w:spacing w:line="240" w:lineRule="auto"/>
        <w:rPr>
          <w:rFonts w:ascii="Times New Roman" w:hAnsi="Times New Roman" w:cs="Times New Roman"/>
          <w:sz w:val="24"/>
          <w:szCs w:val="24"/>
        </w:rPr>
      </w:pPr>
      <w:r w:rsidRPr="00EB2576">
        <w:rPr>
          <w:rFonts w:ascii="Times New Roman" w:hAnsi="Times New Roman" w:cs="Times New Roman"/>
          <w:sz w:val="24"/>
          <w:szCs w:val="24"/>
        </w:rPr>
        <w:t xml:space="preserve">Table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Table \* ARABIC </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rPr>
        <w:t>15</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w:t>
      </w:r>
      <w:r w:rsidRPr="00EB2576">
        <w:rPr>
          <w:rFonts w:ascii="Times New Roman" w:eastAsia="Times New Roman" w:hAnsi="Times New Roman" w:cs="Times New Roman"/>
          <w:kern w:val="24"/>
          <w:sz w:val="24"/>
          <w:szCs w:val="24"/>
          <w:lang w:eastAsia="en-GB"/>
        </w:rPr>
        <w:t xml:space="preserve"> Composition and position of predicted epitopes on infliximab Fab from the selectively enriched and non-selectively enriched peptides from the random peptide phage display library using </w:t>
      </w:r>
      <w:proofErr w:type="spellStart"/>
      <w:r w:rsidRPr="00EB2576">
        <w:rPr>
          <w:rFonts w:ascii="Times New Roman" w:eastAsia="Times New Roman" w:hAnsi="Times New Roman" w:cs="Times New Roman"/>
          <w:kern w:val="24"/>
          <w:sz w:val="24"/>
          <w:szCs w:val="24"/>
          <w:lang w:eastAsia="en-GB"/>
        </w:rPr>
        <w:t>Pepitope</w:t>
      </w:r>
      <w:proofErr w:type="spellEnd"/>
      <w:r w:rsidRPr="00EB2576">
        <w:rPr>
          <w:rFonts w:ascii="Times New Roman" w:eastAsia="Times New Roman" w:hAnsi="Times New Roman" w:cs="Times New Roman"/>
          <w:kern w:val="24"/>
          <w:sz w:val="24"/>
          <w:szCs w:val="24"/>
          <w:lang w:eastAsia="en-GB"/>
        </w:rPr>
        <w:t xml:space="preserve">: </w:t>
      </w:r>
      <w:proofErr w:type="spellStart"/>
      <w:r w:rsidRPr="00EB2576">
        <w:rPr>
          <w:rFonts w:ascii="Times New Roman" w:eastAsia="Times New Roman" w:hAnsi="Times New Roman" w:cs="Times New Roman"/>
          <w:kern w:val="24"/>
          <w:sz w:val="24"/>
          <w:szCs w:val="24"/>
          <w:lang w:eastAsia="en-GB"/>
        </w:rPr>
        <w:t>Pepsurf</w:t>
      </w:r>
      <w:proofErr w:type="spellEnd"/>
      <w:r w:rsidRPr="00EB2576">
        <w:rPr>
          <w:rFonts w:ascii="Times New Roman" w:eastAsia="Times New Roman" w:hAnsi="Times New Roman" w:cs="Times New Roman"/>
          <w:kern w:val="24"/>
          <w:sz w:val="24"/>
          <w:szCs w:val="24"/>
          <w:lang w:eastAsia="en-GB"/>
        </w:rPr>
        <w:t xml:space="preserve"> Server.</w:t>
      </w:r>
      <w:bookmarkEnd w:id="316"/>
    </w:p>
    <w:p w14:paraId="04EE30DB" w14:textId="77777777" w:rsidR="00272968" w:rsidRPr="00EB2576" w:rsidRDefault="00272968" w:rsidP="00E84F79">
      <w:pPr>
        <w:tabs>
          <w:tab w:val="left" w:pos="915"/>
          <w:tab w:val="left" w:pos="1833"/>
          <w:tab w:val="left" w:pos="2748"/>
          <w:tab w:val="left" w:pos="3665"/>
          <w:tab w:val="left" w:pos="4580"/>
          <w:tab w:val="left" w:pos="5495"/>
          <w:tab w:val="left" w:pos="6413"/>
          <w:tab w:val="left" w:pos="7328"/>
          <w:tab w:val="left" w:pos="8245"/>
          <w:tab w:val="left" w:pos="9160"/>
          <w:tab w:val="left" w:pos="10075"/>
          <w:tab w:val="left" w:pos="10993"/>
          <w:tab w:val="left" w:pos="11908"/>
          <w:tab w:val="left" w:pos="12825"/>
          <w:tab w:val="left" w:pos="13740"/>
          <w:tab w:val="left" w:pos="14655"/>
        </w:tabs>
        <w:kinsoku w:val="0"/>
        <w:overflowPunct w:val="0"/>
        <w:spacing w:after="0" w:line="240" w:lineRule="auto"/>
        <w:jc w:val="left"/>
        <w:textAlignment w:val="baseline"/>
        <w:rPr>
          <w:rFonts w:ascii="Times New Roman" w:eastAsia="Times New Roman" w:hAnsi="Times New Roman" w:cs="Times New Roman"/>
          <w:b/>
          <w:bCs/>
          <w:kern w:val="24"/>
          <w:sz w:val="24"/>
          <w:szCs w:val="24"/>
          <w:lang w:eastAsia="en-GB"/>
        </w:rPr>
      </w:pPr>
    </w:p>
    <w:p w14:paraId="75EE82C5" w14:textId="229D24D0" w:rsidR="00AD1978" w:rsidRPr="00EB2576" w:rsidRDefault="007E467E" w:rsidP="00E84F79">
      <w:pPr>
        <w:spacing w:line="240" w:lineRule="auto"/>
        <w:rPr>
          <w:rFonts w:ascii="Times New Roman" w:hAnsi="Times New Roman" w:cs="Times New Roman"/>
          <w:sz w:val="24"/>
          <w:szCs w:val="24"/>
        </w:rPr>
      </w:pPr>
      <w:r w:rsidRPr="00EB2576">
        <w:rPr>
          <w:rFonts w:ascii="Times New Roman" w:hAnsi="Times New Roman" w:cs="Times New Roman"/>
          <w:sz w:val="24"/>
          <w:szCs w:val="24"/>
        </w:rPr>
        <w:t>The s</w:t>
      </w:r>
      <w:r w:rsidR="00752FD5" w:rsidRPr="00EB2576">
        <w:rPr>
          <w:rFonts w:ascii="Times New Roman" w:hAnsi="Times New Roman" w:cs="Times New Roman"/>
          <w:sz w:val="24"/>
          <w:szCs w:val="24"/>
        </w:rPr>
        <w:t xml:space="preserve">elected </w:t>
      </w:r>
      <w:r w:rsidRPr="00EB2576">
        <w:rPr>
          <w:rFonts w:ascii="Times New Roman" w:hAnsi="Times New Roman" w:cs="Times New Roman"/>
          <w:sz w:val="24"/>
          <w:szCs w:val="24"/>
        </w:rPr>
        <w:t>peptide</w:t>
      </w:r>
      <w:r w:rsidR="002F3296" w:rsidRPr="00EB2576">
        <w:rPr>
          <w:rFonts w:ascii="Times New Roman" w:hAnsi="Times New Roman" w:cs="Times New Roman"/>
          <w:sz w:val="24"/>
          <w:szCs w:val="24"/>
        </w:rPr>
        <w:t>s’</w:t>
      </w:r>
      <w:r w:rsidRPr="00EB2576">
        <w:rPr>
          <w:rFonts w:ascii="Times New Roman" w:hAnsi="Times New Roman" w:cs="Times New Roman"/>
          <w:sz w:val="24"/>
          <w:szCs w:val="24"/>
        </w:rPr>
        <w:t xml:space="preserve"> amino</w:t>
      </w:r>
      <w:r w:rsidR="00752FD5"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acid </w:t>
      </w:r>
      <w:r w:rsidR="00752FD5" w:rsidRPr="00EB2576">
        <w:rPr>
          <w:rFonts w:ascii="Times New Roman" w:hAnsi="Times New Roman" w:cs="Times New Roman"/>
          <w:sz w:val="24"/>
          <w:szCs w:val="24"/>
        </w:rPr>
        <w:t>sequence</w:t>
      </w:r>
      <w:r w:rsidR="002F3296" w:rsidRPr="00EB2576">
        <w:rPr>
          <w:rFonts w:ascii="Times New Roman" w:hAnsi="Times New Roman" w:cs="Times New Roman"/>
          <w:sz w:val="24"/>
          <w:szCs w:val="24"/>
        </w:rPr>
        <w:t>s</w:t>
      </w:r>
      <w:r w:rsidR="00752FD5" w:rsidRPr="00EB2576">
        <w:rPr>
          <w:rFonts w:ascii="Times New Roman" w:hAnsi="Times New Roman" w:cs="Times New Roman"/>
          <w:sz w:val="24"/>
          <w:szCs w:val="24"/>
        </w:rPr>
        <w:t xml:space="preserve"> with the </w:t>
      </w:r>
      <w:r w:rsidRPr="00EB2576">
        <w:rPr>
          <w:rFonts w:ascii="Times New Roman" w:hAnsi="Times New Roman" w:cs="Times New Roman"/>
          <w:sz w:val="24"/>
          <w:szCs w:val="24"/>
        </w:rPr>
        <w:t>corresponding</w:t>
      </w:r>
      <w:r w:rsidR="00752FD5" w:rsidRPr="00EB2576">
        <w:rPr>
          <w:rFonts w:ascii="Times New Roman" w:hAnsi="Times New Roman" w:cs="Times New Roman"/>
          <w:sz w:val="24"/>
          <w:szCs w:val="24"/>
        </w:rPr>
        <w:t xml:space="preserve"> predicted epitope</w:t>
      </w:r>
      <w:r w:rsidR="002F3296" w:rsidRPr="00EB2576">
        <w:rPr>
          <w:rFonts w:ascii="Times New Roman" w:hAnsi="Times New Roman" w:cs="Times New Roman"/>
          <w:sz w:val="24"/>
          <w:szCs w:val="24"/>
        </w:rPr>
        <w:t>s</w:t>
      </w:r>
      <w:r w:rsidR="00752FD5" w:rsidRPr="00EB2576">
        <w:rPr>
          <w:rFonts w:ascii="Times New Roman" w:hAnsi="Times New Roman" w:cs="Times New Roman"/>
          <w:sz w:val="24"/>
          <w:szCs w:val="24"/>
        </w:rPr>
        <w:t xml:space="preserve">: </w:t>
      </w:r>
      <w:r w:rsidR="0001702C" w:rsidRPr="00EB2576">
        <w:rPr>
          <w:rFonts w:ascii="Times New Roman" w:hAnsi="Times New Roman" w:cs="Times New Roman"/>
          <w:sz w:val="24"/>
          <w:szCs w:val="24"/>
        </w:rPr>
        <w:t xml:space="preserve">the </w:t>
      </w:r>
      <w:r w:rsidR="00752FD5" w:rsidRPr="00EB2576">
        <w:rPr>
          <w:rFonts w:ascii="Times New Roman" w:hAnsi="Times New Roman" w:cs="Times New Roman"/>
          <w:sz w:val="24"/>
          <w:szCs w:val="24"/>
        </w:rPr>
        <w:t>amino acid</w:t>
      </w:r>
      <w:r w:rsidR="0047798F" w:rsidRPr="00EB2576">
        <w:rPr>
          <w:rFonts w:ascii="Times New Roman" w:hAnsi="Times New Roman" w:cs="Times New Roman"/>
          <w:sz w:val="24"/>
          <w:szCs w:val="24"/>
        </w:rPr>
        <w:t xml:space="preserve">, </w:t>
      </w:r>
      <w:r w:rsidR="0001702C" w:rsidRPr="00EB2576">
        <w:rPr>
          <w:rFonts w:ascii="Times New Roman" w:hAnsi="Times New Roman" w:cs="Times New Roman"/>
          <w:sz w:val="24"/>
          <w:szCs w:val="24"/>
        </w:rPr>
        <w:t xml:space="preserve">the </w:t>
      </w:r>
      <w:r w:rsidR="0047798F" w:rsidRPr="00EB2576">
        <w:rPr>
          <w:rFonts w:ascii="Times New Roman" w:hAnsi="Times New Roman" w:cs="Times New Roman"/>
          <w:sz w:val="24"/>
          <w:szCs w:val="24"/>
        </w:rPr>
        <w:t>number denoting</w:t>
      </w:r>
      <w:r w:rsidR="00752FD5" w:rsidRPr="00EB2576">
        <w:rPr>
          <w:rFonts w:ascii="Times New Roman" w:hAnsi="Times New Roman" w:cs="Times New Roman"/>
          <w:sz w:val="24"/>
          <w:szCs w:val="24"/>
        </w:rPr>
        <w:t xml:space="preserve"> </w:t>
      </w:r>
      <w:r w:rsidR="0001702C" w:rsidRPr="00EB2576">
        <w:rPr>
          <w:rFonts w:ascii="Times New Roman" w:hAnsi="Times New Roman" w:cs="Times New Roman"/>
          <w:sz w:val="24"/>
          <w:szCs w:val="24"/>
        </w:rPr>
        <w:t xml:space="preserve">the </w:t>
      </w:r>
      <w:r w:rsidR="00752FD5" w:rsidRPr="00EB2576">
        <w:rPr>
          <w:rFonts w:ascii="Times New Roman" w:hAnsi="Times New Roman" w:cs="Times New Roman"/>
          <w:sz w:val="24"/>
          <w:szCs w:val="24"/>
        </w:rPr>
        <w:t xml:space="preserve">position </w:t>
      </w:r>
      <w:r w:rsidR="002645B5" w:rsidRPr="00EB2576">
        <w:rPr>
          <w:rFonts w:ascii="Times New Roman" w:hAnsi="Times New Roman" w:cs="Times New Roman"/>
          <w:sz w:val="24"/>
          <w:szCs w:val="24"/>
        </w:rPr>
        <w:t xml:space="preserve">on </w:t>
      </w:r>
      <w:r w:rsidR="0001702C" w:rsidRPr="00EB2576">
        <w:rPr>
          <w:rFonts w:ascii="Times New Roman" w:hAnsi="Times New Roman" w:cs="Times New Roman"/>
          <w:sz w:val="24"/>
          <w:szCs w:val="24"/>
        </w:rPr>
        <w:t>the infliximab</w:t>
      </w:r>
      <w:r w:rsidR="002645B5" w:rsidRPr="00EB2576">
        <w:rPr>
          <w:rFonts w:ascii="Times New Roman" w:hAnsi="Times New Roman" w:cs="Times New Roman"/>
          <w:sz w:val="24"/>
          <w:szCs w:val="24"/>
        </w:rPr>
        <w:t xml:space="preserve"> </w:t>
      </w:r>
      <w:r w:rsidR="00330C19" w:rsidRPr="00EB2576">
        <w:rPr>
          <w:rFonts w:ascii="Times New Roman" w:hAnsi="Times New Roman" w:cs="Times New Roman"/>
          <w:sz w:val="24"/>
          <w:szCs w:val="24"/>
        </w:rPr>
        <w:t>light (L) or heavy (H) chain</w:t>
      </w:r>
      <w:r w:rsidR="00AD1978" w:rsidRPr="00EB2576">
        <w:rPr>
          <w:rFonts w:ascii="Times New Roman" w:hAnsi="Times New Roman" w:cs="Times New Roman"/>
          <w:sz w:val="24"/>
          <w:szCs w:val="24"/>
        </w:rPr>
        <w:t xml:space="preserve"> </w:t>
      </w:r>
      <w:r w:rsidR="0067663D" w:rsidRPr="00EB2576">
        <w:rPr>
          <w:rFonts w:ascii="Times New Roman" w:hAnsi="Times New Roman" w:cs="Times New Roman"/>
          <w:sz w:val="24"/>
          <w:szCs w:val="24"/>
        </w:rPr>
        <w:t>are</w:t>
      </w:r>
      <w:r w:rsidR="00AD1978" w:rsidRPr="00EB2576">
        <w:rPr>
          <w:rFonts w:ascii="Times New Roman" w:hAnsi="Times New Roman" w:cs="Times New Roman"/>
          <w:sz w:val="24"/>
          <w:szCs w:val="24"/>
        </w:rPr>
        <w:t xml:space="preserve"> shown</w:t>
      </w:r>
      <w:r w:rsidR="002645B5" w:rsidRPr="00EB2576">
        <w:rPr>
          <w:rFonts w:ascii="Times New Roman" w:hAnsi="Times New Roman" w:cs="Times New Roman"/>
          <w:sz w:val="24"/>
          <w:szCs w:val="24"/>
        </w:rPr>
        <w:t xml:space="preserve">. </w:t>
      </w:r>
      <w:r w:rsidR="00AA7E23" w:rsidRPr="00EB2576">
        <w:rPr>
          <w:rFonts w:ascii="Times New Roman" w:eastAsia="Calibri" w:hAnsi="Times New Roman" w:cs="Times New Roman"/>
          <w:kern w:val="24"/>
          <w:sz w:val="24"/>
          <w:szCs w:val="24"/>
        </w:rPr>
        <w:t>The four amino acids in red for light chain peptide 1 overlap with light chain peptide 3 selected from the infliximab whole gene fragment library.</w:t>
      </w:r>
      <w:r w:rsidR="00AA7E23" w:rsidRPr="00EB2576">
        <w:rPr>
          <w:rFonts w:ascii="Times New Roman" w:hAnsi="Times New Roman" w:cs="Times New Roman"/>
          <w:sz w:val="24"/>
          <w:szCs w:val="24"/>
        </w:rPr>
        <w:t xml:space="preserve"> The c</w:t>
      </w:r>
      <w:r w:rsidR="00F307EA" w:rsidRPr="00EB2576">
        <w:rPr>
          <w:rFonts w:ascii="Times New Roman" w:hAnsi="Times New Roman" w:cs="Times New Roman"/>
          <w:sz w:val="24"/>
          <w:szCs w:val="24"/>
        </w:rPr>
        <w:t>luster scores for the selectively enriched peptides are higher than th</w:t>
      </w:r>
      <w:r w:rsidR="00AD1978" w:rsidRPr="00EB2576">
        <w:rPr>
          <w:rFonts w:ascii="Times New Roman" w:hAnsi="Times New Roman" w:cs="Times New Roman"/>
          <w:sz w:val="24"/>
          <w:szCs w:val="24"/>
        </w:rPr>
        <w:t xml:space="preserve">e peptides </w:t>
      </w:r>
      <w:r w:rsidR="00F307EA" w:rsidRPr="00EB2576">
        <w:rPr>
          <w:rFonts w:ascii="Times New Roman" w:hAnsi="Times New Roman" w:cs="Times New Roman"/>
          <w:sz w:val="24"/>
          <w:szCs w:val="24"/>
        </w:rPr>
        <w:t xml:space="preserve">selected on normal AB </w:t>
      </w:r>
      <w:r w:rsidR="00253634" w:rsidRPr="00EB2576">
        <w:rPr>
          <w:rFonts w:ascii="Times New Roman" w:hAnsi="Times New Roman" w:cs="Times New Roman"/>
          <w:sz w:val="24"/>
          <w:szCs w:val="24"/>
        </w:rPr>
        <w:t xml:space="preserve">serum </w:t>
      </w:r>
      <w:r w:rsidR="00F307EA" w:rsidRPr="00EB2576">
        <w:rPr>
          <w:rFonts w:ascii="Times New Roman" w:hAnsi="Times New Roman" w:cs="Times New Roman"/>
          <w:sz w:val="24"/>
          <w:szCs w:val="24"/>
        </w:rPr>
        <w:t>and blank selections.</w:t>
      </w:r>
    </w:p>
    <w:p w14:paraId="7203C37E" w14:textId="77777777" w:rsidR="00AD1978" w:rsidRPr="00EB2576" w:rsidRDefault="00AD1978" w:rsidP="00F307EA">
      <w:pPr>
        <w:spacing w:line="480" w:lineRule="auto"/>
        <w:rPr>
          <w:rFonts w:ascii="Times New Roman" w:hAnsi="Times New Roman" w:cs="Times New Roman"/>
          <w:sz w:val="24"/>
          <w:szCs w:val="24"/>
        </w:rPr>
      </w:pPr>
    </w:p>
    <w:p w14:paraId="475EE71B" w14:textId="77777777" w:rsidR="0067663D" w:rsidRPr="00EB2576" w:rsidRDefault="00567FB7" w:rsidP="0067663D">
      <w:pPr>
        <w:keepNext/>
        <w:spacing w:line="480" w:lineRule="auto"/>
      </w:pPr>
      <w:r w:rsidRPr="00EB2576">
        <w:rPr>
          <w:noProof/>
        </w:rPr>
        <w:lastRenderedPageBreak/>
        <w:drawing>
          <wp:inline distT="0" distB="0" distL="0" distR="0" wp14:anchorId="450009ED" wp14:editId="39DDF05A">
            <wp:extent cx="5731510" cy="4264660"/>
            <wp:effectExtent l="0" t="0" r="2540" b="2540"/>
            <wp:docPr id="17" name="Graphic 17">
              <a:extLst xmlns:a="http://schemas.openxmlformats.org/drawingml/2006/main">
                <a:ext uri="{FF2B5EF4-FFF2-40B4-BE49-F238E27FC236}">
                  <a16:creationId xmlns:a16="http://schemas.microsoft.com/office/drawing/2014/main" id="{53010C98-A76F-4B19-A2DC-EA6D78277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FF2B5EF4-FFF2-40B4-BE49-F238E27FC236}">
                          <a16:creationId xmlns:a16="http://schemas.microsoft.com/office/drawing/2014/main" id="{53010C98-A76F-4B19-A2DC-EA6D78277A30}"/>
                        </a:ext>
                      </a:extLst>
                    </pic:cNvPr>
                    <pic:cNvPicPr>
                      <a:picLocks noChangeAspect="1"/>
                    </pic:cNvPicPr>
                  </pic:nvPicPr>
                  <pic:blipFill rotWithShape="1">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rcRect l="17586" t="317" r="9256" b="3504"/>
                    <a:stretch/>
                  </pic:blipFill>
                  <pic:spPr bwMode="auto">
                    <a:xfrm>
                      <a:off x="0" y="0"/>
                      <a:ext cx="5731510" cy="4264660"/>
                    </a:xfrm>
                    <a:prstGeom prst="rect">
                      <a:avLst/>
                    </a:prstGeom>
                    <a:ln>
                      <a:noFill/>
                    </a:ln>
                    <a:extLst>
                      <a:ext uri="{53640926-AAD7-44D8-BBD7-CCE9431645EC}">
                        <a14:shadowObscured xmlns:a14="http://schemas.microsoft.com/office/drawing/2010/main"/>
                      </a:ext>
                    </a:extLst>
                  </pic:spPr>
                </pic:pic>
              </a:graphicData>
            </a:graphic>
          </wp:inline>
        </w:drawing>
      </w:r>
    </w:p>
    <w:p w14:paraId="238C0808" w14:textId="1E73F40F" w:rsidR="0067663D" w:rsidRPr="00EB2576" w:rsidRDefault="0067663D" w:rsidP="005D6CE6">
      <w:pPr>
        <w:spacing w:line="240" w:lineRule="auto"/>
        <w:rPr>
          <w:rFonts w:ascii="Times New Roman" w:hAnsi="Times New Roman" w:cs="Times New Roman"/>
          <w:b/>
          <w:bCs/>
          <w:sz w:val="24"/>
          <w:szCs w:val="24"/>
        </w:rPr>
      </w:pPr>
      <w:bookmarkStart w:id="317" w:name="_Toc139397331"/>
      <w:bookmarkStart w:id="318" w:name="_Toc151020677"/>
      <w:r w:rsidRPr="00EB2576">
        <w:rPr>
          <w:rFonts w:ascii="Times New Roman" w:hAnsi="Times New Roman" w:cs="Times New Roman"/>
          <w:b/>
          <w:bCs/>
          <w:sz w:val="24"/>
          <w:szCs w:val="24"/>
        </w:rPr>
        <w:t xml:space="preserve">Figure </w:t>
      </w:r>
      <w:r w:rsidRPr="00EB2576">
        <w:rPr>
          <w:rFonts w:ascii="Times New Roman" w:hAnsi="Times New Roman" w:cs="Times New Roman"/>
          <w:b/>
          <w:bCs/>
          <w:sz w:val="24"/>
          <w:szCs w:val="24"/>
        </w:rPr>
        <w:fldChar w:fldCharType="begin"/>
      </w:r>
      <w:r w:rsidRPr="00EB2576">
        <w:rPr>
          <w:rFonts w:ascii="Times New Roman" w:hAnsi="Times New Roman" w:cs="Times New Roman"/>
          <w:b/>
          <w:bCs/>
          <w:sz w:val="24"/>
          <w:szCs w:val="24"/>
        </w:rPr>
        <w:instrText xml:space="preserve"> SEQ Figure \* ARABIC </w:instrText>
      </w:r>
      <w:r w:rsidRPr="00EB2576">
        <w:rPr>
          <w:rFonts w:ascii="Times New Roman" w:hAnsi="Times New Roman" w:cs="Times New Roman"/>
          <w:b/>
          <w:bCs/>
          <w:sz w:val="24"/>
          <w:szCs w:val="24"/>
        </w:rPr>
        <w:fldChar w:fldCharType="separate"/>
      </w:r>
      <w:r w:rsidR="00192EAE" w:rsidRPr="00EB2576">
        <w:rPr>
          <w:rFonts w:ascii="Times New Roman" w:hAnsi="Times New Roman" w:cs="Times New Roman"/>
          <w:b/>
          <w:bCs/>
          <w:noProof/>
          <w:sz w:val="24"/>
          <w:szCs w:val="24"/>
        </w:rPr>
        <w:t>32</w:t>
      </w:r>
      <w:r w:rsidRPr="00EB2576">
        <w:rPr>
          <w:rFonts w:ascii="Times New Roman" w:hAnsi="Times New Roman" w:cs="Times New Roman"/>
          <w:b/>
          <w:bCs/>
          <w:sz w:val="24"/>
          <w:szCs w:val="24"/>
        </w:rPr>
        <w:fldChar w:fldCharType="end"/>
      </w:r>
      <w:r w:rsidRPr="00EB2576">
        <w:rPr>
          <w:rFonts w:ascii="Times New Roman" w:hAnsi="Times New Roman" w:cs="Times New Roman"/>
          <w:b/>
          <w:bCs/>
          <w:sz w:val="24"/>
          <w:szCs w:val="24"/>
        </w:rPr>
        <w:t>. Model of infliximab Fab fragment bound to tumour necrosis factor-α with mapped predicted peptides selected from the random peptide library.</w:t>
      </w:r>
      <w:bookmarkEnd w:id="317"/>
      <w:bookmarkEnd w:id="318"/>
      <w:r w:rsidRPr="00EB2576">
        <w:rPr>
          <w:rFonts w:ascii="Times New Roman" w:hAnsi="Times New Roman" w:cs="Times New Roman"/>
          <w:b/>
          <w:bCs/>
          <w:sz w:val="24"/>
          <w:szCs w:val="24"/>
        </w:rPr>
        <w:t xml:space="preserve"> </w:t>
      </w:r>
    </w:p>
    <w:p w14:paraId="3C6EAB06" w14:textId="3200267B" w:rsidR="00207975" w:rsidRPr="00EB2576" w:rsidRDefault="00207975" w:rsidP="005D6CE6">
      <w:pPr>
        <w:spacing w:line="240" w:lineRule="auto"/>
        <w:rPr>
          <w:rFonts w:ascii="Times New Roman" w:hAnsi="Times New Roman" w:cs="Times New Roman"/>
          <w:sz w:val="24"/>
          <w:szCs w:val="24"/>
        </w:rPr>
      </w:pPr>
      <w:r w:rsidRPr="00EB2576">
        <w:rPr>
          <w:rFonts w:ascii="Times New Roman" w:hAnsi="Times New Roman" w:cs="Times New Roman"/>
          <w:sz w:val="24"/>
          <w:szCs w:val="24"/>
        </w:rPr>
        <w:t xml:space="preserve">Infliximab Fab heavy chain in red and infliximab light chain in dark green are bound to tumour necrosis factor-α (purple). The three mapped epitopes are highlighted in light green on the infliximab Fab. </w:t>
      </w:r>
    </w:p>
    <w:p w14:paraId="7CA3E9BB" w14:textId="5A6E03A9" w:rsidR="00207975" w:rsidRPr="00EB2576" w:rsidRDefault="007555D6" w:rsidP="005D6CE6">
      <w:pPr>
        <w:pStyle w:val="NoSpacing"/>
        <w:rPr>
          <w:rFonts w:ascii="Times New Roman" w:hAnsi="Times New Roman" w:cs="Times New Roman"/>
          <w:i/>
          <w:iCs/>
          <w:sz w:val="24"/>
          <w:szCs w:val="24"/>
        </w:rPr>
      </w:pPr>
      <w:r w:rsidRPr="00EB2576">
        <w:rPr>
          <w:rFonts w:ascii="Times New Roman" w:hAnsi="Times New Roman" w:cs="Times New Roman"/>
          <w:i/>
          <w:iCs/>
          <w:sz w:val="24"/>
          <w:szCs w:val="24"/>
        </w:rPr>
        <w:t>(RP</w:t>
      </w:r>
      <w:r w:rsidR="00207975" w:rsidRPr="00EB2576">
        <w:rPr>
          <w:rFonts w:ascii="Times New Roman" w:hAnsi="Times New Roman" w:cs="Times New Roman"/>
          <w:i/>
          <w:iCs/>
          <w:sz w:val="24"/>
          <w:szCs w:val="24"/>
        </w:rPr>
        <w:t xml:space="preserve">L: </w:t>
      </w:r>
      <w:r w:rsidR="0099742D" w:rsidRPr="00EB2576">
        <w:rPr>
          <w:rFonts w:ascii="Times New Roman" w:hAnsi="Times New Roman" w:cs="Times New Roman"/>
          <w:i/>
          <w:iCs/>
          <w:sz w:val="24"/>
          <w:szCs w:val="24"/>
        </w:rPr>
        <w:t>random peptide</w:t>
      </w:r>
      <w:r w:rsidR="00207975" w:rsidRPr="00EB2576">
        <w:rPr>
          <w:rFonts w:ascii="Times New Roman" w:hAnsi="Times New Roman" w:cs="Times New Roman"/>
          <w:i/>
          <w:iCs/>
          <w:sz w:val="24"/>
          <w:szCs w:val="24"/>
        </w:rPr>
        <w:t xml:space="preserve"> library, HC: heavy chain, LC: light chain</w:t>
      </w:r>
      <w:r w:rsidRPr="00EB2576">
        <w:rPr>
          <w:rFonts w:ascii="Times New Roman" w:hAnsi="Times New Roman" w:cs="Times New Roman"/>
          <w:i/>
          <w:iCs/>
          <w:sz w:val="24"/>
          <w:szCs w:val="24"/>
        </w:rPr>
        <w:t>)</w:t>
      </w:r>
    </w:p>
    <w:p w14:paraId="374AA1FF" w14:textId="77777777" w:rsidR="00207975" w:rsidRPr="00EB2576" w:rsidRDefault="00207975" w:rsidP="005D6CE6">
      <w:pPr>
        <w:pStyle w:val="NoSpacing"/>
        <w:rPr>
          <w:rFonts w:ascii="Times New Roman" w:eastAsia="Times New Roman" w:hAnsi="Times New Roman" w:cs="Times New Roman"/>
          <w:sz w:val="24"/>
          <w:szCs w:val="24"/>
          <w:lang w:eastAsia="en-GB"/>
        </w:rPr>
      </w:pPr>
      <w:r w:rsidRPr="00EB2576">
        <w:rPr>
          <w:rFonts w:ascii="Times New Roman" w:eastAsia="Times New Roman" w:hAnsi="Times New Roman" w:cs="Times New Roman"/>
          <w:sz w:val="24"/>
          <w:szCs w:val="24"/>
          <w:lang w:eastAsia="en-GB"/>
        </w:rPr>
        <w:t>Images created using Mol* PDB ID 4G3Y</w:t>
      </w:r>
    </w:p>
    <w:p w14:paraId="4E171C70" w14:textId="40D4E41A" w:rsidR="00207975" w:rsidRPr="00EB2576" w:rsidRDefault="00207975" w:rsidP="005D6CE6">
      <w:pPr>
        <w:spacing w:line="240" w:lineRule="auto"/>
        <w:rPr>
          <w:rFonts w:ascii="Times New Roman" w:hAnsi="Times New Roman" w:cs="Times New Roman"/>
          <w:b/>
          <w:bCs/>
          <w:i/>
          <w:iCs/>
          <w:sz w:val="24"/>
          <w:szCs w:val="24"/>
        </w:rPr>
      </w:pPr>
    </w:p>
    <w:p w14:paraId="6A3339C4" w14:textId="77777777" w:rsidR="005D6CE6" w:rsidRPr="00EB2576" w:rsidRDefault="005D6CE6" w:rsidP="005D6CE6">
      <w:pPr>
        <w:spacing w:line="240" w:lineRule="auto"/>
        <w:rPr>
          <w:rFonts w:ascii="Times New Roman" w:hAnsi="Times New Roman" w:cs="Times New Roman"/>
          <w:b/>
          <w:bCs/>
          <w:i/>
          <w:iCs/>
          <w:sz w:val="24"/>
          <w:szCs w:val="24"/>
        </w:rPr>
      </w:pPr>
    </w:p>
    <w:p w14:paraId="7CB9D907" w14:textId="77777777" w:rsidR="005D6CE6" w:rsidRPr="00EB2576" w:rsidRDefault="005D6CE6" w:rsidP="005D6CE6">
      <w:pPr>
        <w:spacing w:line="240" w:lineRule="auto"/>
        <w:rPr>
          <w:rFonts w:ascii="Times New Roman" w:hAnsi="Times New Roman" w:cs="Times New Roman"/>
          <w:b/>
          <w:bCs/>
          <w:i/>
          <w:iCs/>
          <w:sz w:val="24"/>
          <w:szCs w:val="24"/>
        </w:rPr>
      </w:pPr>
    </w:p>
    <w:p w14:paraId="10B5FC58" w14:textId="77777777" w:rsidR="005D6CE6" w:rsidRPr="00EB2576" w:rsidRDefault="005D6CE6" w:rsidP="005D6CE6">
      <w:pPr>
        <w:spacing w:line="240" w:lineRule="auto"/>
        <w:rPr>
          <w:rFonts w:ascii="Times New Roman" w:hAnsi="Times New Roman" w:cs="Times New Roman"/>
          <w:b/>
          <w:bCs/>
          <w:i/>
          <w:iCs/>
          <w:sz w:val="24"/>
          <w:szCs w:val="24"/>
        </w:rPr>
      </w:pPr>
    </w:p>
    <w:p w14:paraId="423F892B" w14:textId="77777777" w:rsidR="00272968" w:rsidRPr="00EB2576" w:rsidRDefault="00272968" w:rsidP="00207975">
      <w:pPr>
        <w:spacing w:line="480" w:lineRule="auto"/>
        <w:rPr>
          <w:rFonts w:ascii="Times New Roman" w:hAnsi="Times New Roman" w:cs="Times New Roman"/>
          <w:b/>
          <w:bCs/>
          <w:i/>
          <w:iCs/>
          <w:sz w:val="24"/>
          <w:szCs w:val="24"/>
        </w:rPr>
      </w:pPr>
    </w:p>
    <w:p w14:paraId="4AB5D39C" w14:textId="77777777" w:rsidR="005D6CE6" w:rsidRPr="00EB2576" w:rsidRDefault="005D6CE6" w:rsidP="00207975">
      <w:pPr>
        <w:spacing w:line="480" w:lineRule="auto"/>
        <w:rPr>
          <w:rFonts w:ascii="Times New Roman" w:hAnsi="Times New Roman" w:cs="Times New Roman"/>
          <w:b/>
          <w:bCs/>
          <w:i/>
          <w:iCs/>
          <w:sz w:val="24"/>
          <w:szCs w:val="24"/>
        </w:rPr>
      </w:pPr>
    </w:p>
    <w:p w14:paraId="369ABEDE" w14:textId="69DEEF31" w:rsidR="00D93AB0" w:rsidRPr="00EB2576" w:rsidRDefault="0031067D" w:rsidP="00602887">
      <w:pPr>
        <w:pStyle w:val="Heading3"/>
        <w:spacing w:line="480" w:lineRule="auto"/>
        <w:rPr>
          <w:rFonts w:ascii="Times New Roman" w:hAnsi="Times New Roman" w:cs="Times New Roman"/>
          <w:b/>
          <w:bCs/>
        </w:rPr>
      </w:pPr>
      <w:bookmarkStart w:id="319" w:name="_Toc151020553"/>
      <w:r w:rsidRPr="00EB2576">
        <w:rPr>
          <w:rFonts w:ascii="Times New Roman" w:hAnsi="Times New Roman" w:cs="Times New Roman"/>
          <w:b/>
          <w:bCs/>
        </w:rPr>
        <w:lastRenderedPageBreak/>
        <w:t>6</w:t>
      </w:r>
      <w:r w:rsidR="00207975" w:rsidRPr="00EB2576">
        <w:rPr>
          <w:rFonts w:ascii="Times New Roman" w:hAnsi="Times New Roman" w:cs="Times New Roman"/>
          <w:b/>
          <w:bCs/>
        </w:rPr>
        <w:t>.3.3 Phage ELISA</w:t>
      </w:r>
      <w:bookmarkEnd w:id="319"/>
    </w:p>
    <w:p w14:paraId="0ECD43A1" w14:textId="38124D8A" w:rsidR="00214913" w:rsidRPr="00EB2576" w:rsidRDefault="00D93AB0" w:rsidP="00577AE7">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Initial </w:t>
      </w:r>
      <w:r w:rsidR="00602887" w:rsidRPr="00EB2576">
        <w:rPr>
          <w:rFonts w:ascii="Times New Roman" w:hAnsi="Times New Roman" w:cs="Times New Roman"/>
          <w:sz w:val="24"/>
          <w:szCs w:val="24"/>
        </w:rPr>
        <w:t>direct ELISAs us</w:t>
      </w:r>
      <w:r w:rsidR="00F25163" w:rsidRPr="00EB2576">
        <w:rPr>
          <w:rFonts w:ascii="Times New Roman" w:hAnsi="Times New Roman" w:cs="Times New Roman"/>
          <w:sz w:val="24"/>
          <w:szCs w:val="24"/>
        </w:rPr>
        <w:t>ed</w:t>
      </w:r>
      <w:r w:rsidR="00602887" w:rsidRPr="00EB2576">
        <w:rPr>
          <w:rFonts w:ascii="Times New Roman" w:hAnsi="Times New Roman" w:cs="Times New Roman"/>
          <w:sz w:val="24"/>
          <w:szCs w:val="24"/>
        </w:rPr>
        <w:t xml:space="preserve"> </w:t>
      </w:r>
      <w:r w:rsidR="00D243BB" w:rsidRPr="00EB2576">
        <w:rPr>
          <w:rFonts w:ascii="Times New Roman" w:hAnsi="Times New Roman" w:cs="Times New Roman"/>
          <w:sz w:val="24"/>
          <w:szCs w:val="24"/>
        </w:rPr>
        <w:t xml:space="preserve">pooled ATI positive </w:t>
      </w:r>
      <w:r w:rsidR="00602887" w:rsidRPr="00EB2576">
        <w:rPr>
          <w:rFonts w:ascii="Times New Roman" w:hAnsi="Times New Roman" w:cs="Times New Roman"/>
          <w:sz w:val="24"/>
          <w:szCs w:val="24"/>
        </w:rPr>
        <w:t>sera coated onto wells with incubation of monoclonal phage</w:t>
      </w:r>
      <w:r w:rsidR="005B1C3E" w:rsidRPr="00EB2576">
        <w:rPr>
          <w:rFonts w:ascii="Times New Roman" w:hAnsi="Times New Roman" w:cs="Times New Roman"/>
          <w:sz w:val="24"/>
          <w:szCs w:val="24"/>
        </w:rPr>
        <w:t xml:space="preserve">. </w:t>
      </w:r>
      <w:r w:rsidR="00F36E3B" w:rsidRPr="00EB2576">
        <w:rPr>
          <w:rFonts w:ascii="Times New Roman" w:hAnsi="Times New Roman" w:cs="Times New Roman"/>
          <w:kern w:val="24"/>
          <w:sz w:val="24"/>
          <w:szCs w:val="24"/>
          <w:lang w:eastAsia="en-GB"/>
        </w:rPr>
        <w:t>Detection used secondary anti-M13 HRP</w:t>
      </w:r>
      <w:r w:rsidR="00FB6D98" w:rsidRPr="00EB2576">
        <w:rPr>
          <w:rFonts w:ascii="Times New Roman" w:hAnsi="Times New Roman" w:cs="Times New Roman"/>
          <w:kern w:val="24"/>
          <w:sz w:val="24"/>
          <w:szCs w:val="24"/>
          <w:lang w:eastAsia="en-GB"/>
        </w:rPr>
        <w:t>.</w:t>
      </w:r>
      <w:r w:rsidR="00F36E3B" w:rsidRPr="00EB2576">
        <w:rPr>
          <w:rFonts w:ascii="Times New Roman" w:hAnsi="Times New Roman" w:cs="Times New Roman"/>
          <w:sz w:val="24"/>
          <w:szCs w:val="24"/>
        </w:rPr>
        <w:t xml:space="preserve"> </w:t>
      </w:r>
      <w:r w:rsidR="005B1C3E" w:rsidRPr="00EB2576">
        <w:rPr>
          <w:rFonts w:ascii="Times New Roman" w:hAnsi="Times New Roman" w:cs="Times New Roman"/>
          <w:sz w:val="24"/>
          <w:szCs w:val="24"/>
        </w:rPr>
        <w:t>These</w:t>
      </w:r>
      <w:r w:rsidR="00602887" w:rsidRPr="00EB2576">
        <w:rPr>
          <w:rFonts w:ascii="Times New Roman" w:hAnsi="Times New Roman" w:cs="Times New Roman"/>
          <w:sz w:val="24"/>
          <w:szCs w:val="24"/>
        </w:rPr>
        <w:t xml:space="preserve"> </w:t>
      </w:r>
      <w:r w:rsidR="00207975" w:rsidRPr="00EB2576">
        <w:rPr>
          <w:rFonts w:ascii="Times New Roman" w:hAnsi="Times New Roman" w:cs="Times New Roman"/>
          <w:sz w:val="24"/>
          <w:szCs w:val="24"/>
        </w:rPr>
        <w:t>show</w:t>
      </w:r>
      <w:r w:rsidR="00602887" w:rsidRPr="00EB2576">
        <w:rPr>
          <w:rFonts w:ascii="Times New Roman" w:hAnsi="Times New Roman" w:cs="Times New Roman"/>
          <w:sz w:val="24"/>
          <w:szCs w:val="24"/>
        </w:rPr>
        <w:t>ed</w:t>
      </w:r>
      <w:r w:rsidR="00207975" w:rsidRPr="00EB2576">
        <w:rPr>
          <w:rFonts w:ascii="Times New Roman" w:hAnsi="Times New Roman" w:cs="Times New Roman"/>
          <w:sz w:val="24"/>
          <w:szCs w:val="24"/>
        </w:rPr>
        <w:t xml:space="preserve"> reactivity of the</w:t>
      </w:r>
      <w:r w:rsidR="00E972F7" w:rsidRPr="00EB2576">
        <w:rPr>
          <w:rFonts w:ascii="Times New Roman" w:hAnsi="Times New Roman" w:cs="Times New Roman"/>
          <w:sz w:val="24"/>
          <w:szCs w:val="24"/>
        </w:rPr>
        <w:t xml:space="preserve"> pooled</w:t>
      </w:r>
      <w:r w:rsidR="00207975" w:rsidRPr="00EB2576">
        <w:rPr>
          <w:rFonts w:ascii="Times New Roman" w:hAnsi="Times New Roman" w:cs="Times New Roman"/>
          <w:sz w:val="24"/>
          <w:szCs w:val="24"/>
        </w:rPr>
        <w:t xml:space="preserve"> </w:t>
      </w:r>
      <w:r w:rsidR="005B1C3E" w:rsidRPr="00EB2576">
        <w:rPr>
          <w:rFonts w:ascii="Times New Roman" w:hAnsi="Times New Roman" w:cs="Times New Roman"/>
          <w:sz w:val="24"/>
          <w:szCs w:val="24"/>
        </w:rPr>
        <w:t xml:space="preserve">ATI positive </w:t>
      </w:r>
      <w:r w:rsidR="00207975" w:rsidRPr="00EB2576">
        <w:rPr>
          <w:rFonts w:ascii="Times New Roman" w:hAnsi="Times New Roman" w:cs="Times New Roman"/>
          <w:sz w:val="24"/>
          <w:szCs w:val="24"/>
        </w:rPr>
        <w:t xml:space="preserve">sera </w:t>
      </w:r>
      <w:r w:rsidR="00E972F7" w:rsidRPr="00EB2576">
        <w:rPr>
          <w:rFonts w:ascii="Times New Roman" w:hAnsi="Times New Roman" w:cs="Times New Roman"/>
          <w:sz w:val="24"/>
          <w:szCs w:val="24"/>
        </w:rPr>
        <w:t>for</w:t>
      </w:r>
      <w:r w:rsidR="00207975" w:rsidRPr="00EB2576">
        <w:rPr>
          <w:rFonts w:ascii="Times New Roman" w:hAnsi="Times New Roman" w:cs="Times New Roman"/>
          <w:sz w:val="24"/>
          <w:szCs w:val="24"/>
        </w:rPr>
        <w:t xml:space="preserve"> the </w:t>
      </w:r>
      <w:r w:rsidR="003B12D5" w:rsidRPr="00EB2576">
        <w:rPr>
          <w:rFonts w:ascii="Times New Roman" w:hAnsi="Times New Roman" w:cs="Times New Roman"/>
          <w:sz w:val="24"/>
          <w:szCs w:val="24"/>
        </w:rPr>
        <w:t xml:space="preserve">three selected </w:t>
      </w:r>
      <w:r w:rsidR="003310E3" w:rsidRPr="00EB2576">
        <w:rPr>
          <w:rFonts w:ascii="Times New Roman" w:hAnsi="Times New Roman" w:cs="Times New Roman"/>
          <w:sz w:val="24"/>
          <w:szCs w:val="24"/>
        </w:rPr>
        <w:t xml:space="preserve">monoclonal </w:t>
      </w:r>
      <w:r w:rsidR="003B12D5" w:rsidRPr="00EB2576">
        <w:rPr>
          <w:rFonts w:ascii="Times New Roman" w:hAnsi="Times New Roman" w:cs="Times New Roman"/>
          <w:sz w:val="24"/>
          <w:szCs w:val="24"/>
        </w:rPr>
        <w:t xml:space="preserve">phage </w:t>
      </w:r>
      <w:r w:rsidRPr="00EB2576">
        <w:rPr>
          <w:rFonts w:ascii="Times New Roman" w:hAnsi="Times New Roman" w:cs="Times New Roman"/>
          <w:sz w:val="24"/>
          <w:szCs w:val="24"/>
        </w:rPr>
        <w:t xml:space="preserve">but also </w:t>
      </w:r>
      <w:r w:rsidR="00D0129B" w:rsidRPr="00EB2576">
        <w:rPr>
          <w:rFonts w:ascii="Times New Roman" w:hAnsi="Times New Roman" w:cs="Times New Roman"/>
          <w:sz w:val="24"/>
          <w:szCs w:val="24"/>
        </w:rPr>
        <w:t xml:space="preserve">the </w:t>
      </w:r>
      <w:r w:rsidR="00214913" w:rsidRPr="00EB2576">
        <w:rPr>
          <w:rFonts w:ascii="Times New Roman" w:hAnsi="Times New Roman" w:cs="Times New Roman"/>
          <w:sz w:val="24"/>
          <w:szCs w:val="24"/>
        </w:rPr>
        <w:t xml:space="preserve">unselected </w:t>
      </w:r>
      <w:r w:rsidR="00207975" w:rsidRPr="00EB2576">
        <w:rPr>
          <w:rFonts w:ascii="Times New Roman" w:hAnsi="Times New Roman" w:cs="Times New Roman"/>
          <w:sz w:val="24"/>
          <w:szCs w:val="24"/>
        </w:rPr>
        <w:t>control phage</w:t>
      </w:r>
      <w:r w:rsidR="00380D85" w:rsidRPr="00EB2576">
        <w:rPr>
          <w:rFonts w:ascii="Times New Roman" w:hAnsi="Times New Roman" w:cs="Times New Roman"/>
          <w:sz w:val="24"/>
          <w:szCs w:val="24"/>
        </w:rPr>
        <w:t xml:space="preserve"> (F</w:t>
      </w:r>
      <w:r w:rsidR="00FC1611" w:rsidRPr="00EB2576">
        <w:rPr>
          <w:rFonts w:ascii="Times New Roman" w:hAnsi="Times New Roman" w:cs="Times New Roman"/>
          <w:sz w:val="24"/>
          <w:szCs w:val="24"/>
        </w:rPr>
        <w:t xml:space="preserve">igure </w:t>
      </w:r>
      <w:r w:rsidR="00D52273" w:rsidRPr="00EB2576">
        <w:rPr>
          <w:rFonts w:ascii="Times New Roman" w:hAnsi="Times New Roman" w:cs="Times New Roman"/>
          <w:sz w:val="24"/>
          <w:szCs w:val="24"/>
        </w:rPr>
        <w:t>3</w:t>
      </w:r>
      <w:r w:rsidR="005D6CE6" w:rsidRPr="00EB2576">
        <w:rPr>
          <w:rFonts w:ascii="Times New Roman" w:hAnsi="Times New Roman" w:cs="Times New Roman"/>
          <w:sz w:val="24"/>
          <w:szCs w:val="24"/>
        </w:rPr>
        <w:t>3</w:t>
      </w:r>
      <w:r w:rsidR="00FC1611" w:rsidRPr="00EB2576">
        <w:rPr>
          <w:rFonts w:ascii="Times New Roman" w:hAnsi="Times New Roman" w:cs="Times New Roman"/>
          <w:sz w:val="24"/>
          <w:szCs w:val="24"/>
        </w:rPr>
        <w:t>)</w:t>
      </w:r>
      <w:r w:rsidR="00207975" w:rsidRPr="00EB2576">
        <w:rPr>
          <w:rFonts w:ascii="Times New Roman" w:hAnsi="Times New Roman" w:cs="Times New Roman"/>
          <w:sz w:val="24"/>
          <w:szCs w:val="24"/>
        </w:rPr>
        <w:t xml:space="preserve">. There was minimal background binding to the ELISA plate. </w:t>
      </w:r>
      <w:r w:rsidR="00DE44CE" w:rsidRPr="00EB2576">
        <w:rPr>
          <w:rFonts w:ascii="Times New Roman" w:hAnsi="Times New Roman" w:cs="Times New Roman"/>
          <w:sz w:val="24"/>
          <w:szCs w:val="24"/>
        </w:rPr>
        <w:t>As reactivity to the control phage was demonstrated</w:t>
      </w:r>
      <w:r w:rsidR="002E1004" w:rsidRPr="00EB2576">
        <w:rPr>
          <w:rFonts w:ascii="Times New Roman" w:hAnsi="Times New Roman" w:cs="Times New Roman"/>
          <w:sz w:val="24"/>
          <w:szCs w:val="24"/>
        </w:rPr>
        <w:t xml:space="preserve"> on initial ELISAs</w:t>
      </w:r>
      <w:r w:rsidR="00DE44CE" w:rsidRPr="00EB2576">
        <w:rPr>
          <w:rFonts w:ascii="Times New Roman" w:hAnsi="Times New Roman" w:cs="Times New Roman"/>
          <w:sz w:val="24"/>
          <w:szCs w:val="24"/>
        </w:rPr>
        <w:t>, a</w:t>
      </w:r>
      <w:r w:rsidR="00EC63EE" w:rsidRPr="00EB2576">
        <w:rPr>
          <w:rFonts w:ascii="Times New Roman" w:hAnsi="Times New Roman" w:cs="Times New Roman"/>
          <w:sz w:val="24"/>
          <w:szCs w:val="24"/>
        </w:rPr>
        <w:t xml:space="preserve">dditional conditions </w:t>
      </w:r>
      <w:r w:rsidR="00A874B6" w:rsidRPr="00EB2576">
        <w:rPr>
          <w:rFonts w:ascii="Times New Roman" w:hAnsi="Times New Roman" w:cs="Times New Roman"/>
          <w:sz w:val="24"/>
          <w:szCs w:val="24"/>
        </w:rPr>
        <w:t>were adjusted.</w:t>
      </w:r>
      <w:r w:rsidR="00CD7781" w:rsidRPr="00EB2576">
        <w:rPr>
          <w:rFonts w:ascii="Times New Roman" w:hAnsi="Times New Roman" w:cs="Times New Roman"/>
          <w:kern w:val="24"/>
          <w:sz w:val="24"/>
          <w:szCs w:val="24"/>
          <w:lang w:eastAsia="en-GB"/>
        </w:rPr>
        <w:t xml:space="preserve"> </w:t>
      </w:r>
      <w:r w:rsidR="00D078DD" w:rsidRPr="00EB2576">
        <w:rPr>
          <w:rFonts w:ascii="Times New Roman" w:hAnsi="Times New Roman" w:cs="Times New Roman"/>
          <w:kern w:val="24"/>
          <w:sz w:val="24"/>
          <w:szCs w:val="24"/>
          <w:lang w:eastAsia="en-GB"/>
        </w:rPr>
        <w:t>A s</w:t>
      </w:r>
      <w:r w:rsidR="00CD7781" w:rsidRPr="00EB2576">
        <w:rPr>
          <w:rFonts w:ascii="Times New Roman" w:hAnsi="Times New Roman" w:cs="Times New Roman"/>
          <w:kern w:val="24"/>
          <w:sz w:val="24"/>
          <w:szCs w:val="24"/>
          <w:lang w:eastAsia="en-GB"/>
        </w:rPr>
        <w:t>andwich ELISA using a capture antibody of rabbit anti-human IgG coated onto wells</w:t>
      </w:r>
      <w:r w:rsidR="00D078DD" w:rsidRPr="00EB2576">
        <w:rPr>
          <w:rFonts w:ascii="Times New Roman" w:hAnsi="Times New Roman" w:cs="Times New Roman"/>
          <w:kern w:val="24"/>
          <w:sz w:val="24"/>
          <w:szCs w:val="24"/>
          <w:lang w:eastAsia="en-GB"/>
        </w:rPr>
        <w:t>, with subsequent incubation of p</w:t>
      </w:r>
      <w:r w:rsidR="00CD7781" w:rsidRPr="00EB2576">
        <w:rPr>
          <w:rFonts w:ascii="Times New Roman" w:hAnsi="Times New Roman" w:cs="Times New Roman"/>
          <w:kern w:val="24"/>
          <w:sz w:val="24"/>
          <w:szCs w:val="24"/>
          <w:lang w:eastAsia="en-GB"/>
        </w:rPr>
        <w:t xml:space="preserve">hage and sera </w:t>
      </w:r>
      <w:r w:rsidR="00D078DD" w:rsidRPr="00EB2576">
        <w:rPr>
          <w:rFonts w:ascii="Times New Roman" w:hAnsi="Times New Roman" w:cs="Times New Roman"/>
          <w:kern w:val="24"/>
          <w:sz w:val="24"/>
          <w:szCs w:val="24"/>
          <w:lang w:eastAsia="en-GB"/>
        </w:rPr>
        <w:t xml:space="preserve">in solution was used </w:t>
      </w:r>
      <w:r w:rsidR="00CD7781" w:rsidRPr="00EB2576">
        <w:rPr>
          <w:rFonts w:ascii="Times New Roman" w:hAnsi="Times New Roman" w:cs="Times New Roman"/>
          <w:kern w:val="24"/>
          <w:sz w:val="24"/>
          <w:szCs w:val="24"/>
          <w:lang w:eastAsia="en-GB"/>
        </w:rPr>
        <w:t>to replicate the conditions of the phage library selection</w:t>
      </w:r>
      <w:r w:rsidR="00350AD0" w:rsidRPr="00EB2576">
        <w:rPr>
          <w:rFonts w:ascii="Times New Roman" w:hAnsi="Times New Roman" w:cs="Times New Roman"/>
          <w:kern w:val="24"/>
          <w:sz w:val="24"/>
          <w:szCs w:val="24"/>
          <w:lang w:eastAsia="en-GB"/>
        </w:rPr>
        <w:t xml:space="preserve">. </w:t>
      </w:r>
      <w:r w:rsidR="00CF7A19" w:rsidRPr="00EB2576">
        <w:rPr>
          <w:rFonts w:ascii="Times New Roman" w:hAnsi="Times New Roman" w:cs="Times New Roman"/>
          <w:kern w:val="24"/>
          <w:sz w:val="24"/>
          <w:szCs w:val="24"/>
          <w:lang w:eastAsia="en-GB"/>
        </w:rPr>
        <w:t xml:space="preserve">Detection used secondary anti-M13 HRP.  </w:t>
      </w:r>
      <w:r w:rsidR="00532DFA" w:rsidRPr="00EB2576">
        <w:rPr>
          <w:rFonts w:ascii="Times New Roman" w:hAnsi="Times New Roman" w:cs="Times New Roman"/>
          <w:kern w:val="24"/>
          <w:sz w:val="24"/>
          <w:szCs w:val="24"/>
          <w:lang w:eastAsia="en-GB"/>
        </w:rPr>
        <w:t>Both ATI positive p</w:t>
      </w:r>
      <w:r w:rsidR="00350AD0" w:rsidRPr="00EB2576">
        <w:rPr>
          <w:rFonts w:ascii="Times New Roman" w:hAnsi="Times New Roman" w:cs="Times New Roman"/>
          <w:kern w:val="24"/>
          <w:sz w:val="24"/>
          <w:szCs w:val="24"/>
          <w:lang w:eastAsia="en-GB"/>
        </w:rPr>
        <w:t xml:space="preserve">ooled and individual sera was used </w:t>
      </w:r>
      <w:r w:rsidR="00C945A4" w:rsidRPr="00EB2576">
        <w:rPr>
          <w:rFonts w:ascii="Times New Roman" w:hAnsi="Times New Roman" w:cs="Times New Roman"/>
          <w:kern w:val="24"/>
          <w:sz w:val="24"/>
          <w:szCs w:val="24"/>
          <w:lang w:eastAsia="en-GB"/>
        </w:rPr>
        <w:t xml:space="preserve">for the sandwich ELISA. Continued reactivity of the ATI positive sera for the </w:t>
      </w:r>
      <w:r w:rsidR="00033B1C" w:rsidRPr="00EB2576">
        <w:rPr>
          <w:rFonts w:ascii="Times New Roman" w:hAnsi="Times New Roman" w:cs="Times New Roman"/>
          <w:kern w:val="24"/>
          <w:sz w:val="24"/>
          <w:szCs w:val="24"/>
          <w:lang w:eastAsia="en-GB"/>
        </w:rPr>
        <w:t xml:space="preserve">unselected control phage </w:t>
      </w:r>
      <w:r w:rsidR="00DB70C8" w:rsidRPr="00EB2576">
        <w:rPr>
          <w:rFonts w:ascii="Times New Roman" w:hAnsi="Times New Roman" w:cs="Times New Roman"/>
          <w:kern w:val="24"/>
          <w:sz w:val="24"/>
          <w:szCs w:val="24"/>
          <w:lang w:eastAsia="en-GB"/>
        </w:rPr>
        <w:t>was demonstrated</w:t>
      </w:r>
      <w:r w:rsidR="00033B1C" w:rsidRPr="00EB2576">
        <w:rPr>
          <w:rFonts w:ascii="Times New Roman" w:hAnsi="Times New Roman" w:cs="Times New Roman"/>
          <w:kern w:val="24"/>
          <w:sz w:val="24"/>
          <w:szCs w:val="24"/>
          <w:lang w:eastAsia="en-GB"/>
        </w:rPr>
        <w:t xml:space="preserve"> (Figure 34). </w:t>
      </w:r>
      <w:r w:rsidR="00033B1C" w:rsidRPr="00EB2576">
        <w:rPr>
          <w:rFonts w:ascii="Times New Roman" w:hAnsi="Times New Roman" w:cs="Times New Roman"/>
          <w:sz w:val="24"/>
          <w:szCs w:val="24"/>
        </w:rPr>
        <w:t xml:space="preserve"> </w:t>
      </w:r>
      <w:r w:rsidR="008A5D59" w:rsidRPr="00EB2576">
        <w:rPr>
          <w:rFonts w:ascii="Times New Roman" w:hAnsi="Times New Roman" w:cs="Times New Roman"/>
          <w:sz w:val="24"/>
          <w:szCs w:val="24"/>
        </w:rPr>
        <w:t>D</w:t>
      </w:r>
      <w:r w:rsidR="00033B1C" w:rsidRPr="00EB2576">
        <w:rPr>
          <w:rFonts w:ascii="Times New Roman" w:hAnsi="Times New Roman" w:cs="Times New Roman"/>
          <w:sz w:val="24"/>
          <w:szCs w:val="24"/>
        </w:rPr>
        <w:t>espite further</w:t>
      </w:r>
      <w:r w:rsidR="008A5D59" w:rsidRPr="00EB2576">
        <w:rPr>
          <w:rFonts w:ascii="Times New Roman" w:hAnsi="Times New Roman" w:cs="Times New Roman"/>
          <w:sz w:val="24"/>
          <w:szCs w:val="24"/>
        </w:rPr>
        <w:t xml:space="preserve"> modifications in the ELISA conditions, </w:t>
      </w:r>
      <w:r w:rsidR="00033B1C" w:rsidRPr="00EB2576">
        <w:rPr>
          <w:rFonts w:ascii="Times New Roman" w:hAnsi="Times New Roman" w:cs="Times New Roman"/>
          <w:sz w:val="24"/>
          <w:szCs w:val="24"/>
        </w:rPr>
        <w:t>specificity</w:t>
      </w:r>
      <w:r w:rsidR="008A5D59" w:rsidRPr="00EB2576">
        <w:rPr>
          <w:rFonts w:ascii="Times New Roman" w:hAnsi="Times New Roman" w:cs="Times New Roman"/>
          <w:sz w:val="24"/>
          <w:szCs w:val="24"/>
        </w:rPr>
        <w:t xml:space="preserve"> of </w:t>
      </w:r>
      <w:r w:rsidR="00DB70C8" w:rsidRPr="00EB2576">
        <w:rPr>
          <w:rFonts w:ascii="Times New Roman" w:hAnsi="Times New Roman" w:cs="Times New Roman"/>
          <w:sz w:val="24"/>
          <w:szCs w:val="24"/>
        </w:rPr>
        <w:t xml:space="preserve">the </w:t>
      </w:r>
      <w:r w:rsidR="008A5D59" w:rsidRPr="00EB2576">
        <w:rPr>
          <w:rFonts w:ascii="Times New Roman" w:hAnsi="Times New Roman" w:cs="Times New Roman"/>
          <w:sz w:val="24"/>
          <w:szCs w:val="24"/>
        </w:rPr>
        <w:t xml:space="preserve">ATI positive sera </w:t>
      </w:r>
      <w:r w:rsidR="00033B1C" w:rsidRPr="00EB2576">
        <w:rPr>
          <w:rFonts w:ascii="Times New Roman" w:hAnsi="Times New Roman" w:cs="Times New Roman"/>
          <w:sz w:val="24"/>
          <w:szCs w:val="24"/>
        </w:rPr>
        <w:t>for</w:t>
      </w:r>
      <w:r w:rsidR="00FD1FBD" w:rsidRPr="00EB2576">
        <w:rPr>
          <w:rFonts w:ascii="Times New Roman" w:hAnsi="Times New Roman" w:cs="Times New Roman"/>
          <w:sz w:val="24"/>
          <w:szCs w:val="24"/>
        </w:rPr>
        <w:t xml:space="preserve"> the selectively enriched phage</w:t>
      </w:r>
      <w:r w:rsidR="00033B1C" w:rsidRPr="00EB2576">
        <w:rPr>
          <w:rFonts w:ascii="Times New Roman" w:hAnsi="Times New Roman" w:cs="Times New Roman"/>
          <w:sz w:val="24"/>
          <w:szCs w:val="24"/>
        </w:rPr>
        <w:t xml:space="preserve"> variants could not be demonstrated. </w:t>
      </w:r>
    </w:p>
    <w:p w14:paraId="73A839B9" w14:textId="77777777" w:rsidR="00214913" w:rsidRPr="00EB2576" w:rsidRDefault="00214913" w:rsidP="00214913">
      <w:pPr>
        <w:autoSpaceDE w:val="0"/>
        <w:autoSpaceDN w:val="0"/>
        <w:adjustRightInd w:val="0"/>
        <w:spacing w:after="0" w:line="480" w:lineRule="auto"/>
        <w:rPr>
          <w:rFonts w:ascii="Times New Roman" w:hAnsi="Times New Roman" w:cs="Times New Roman"/>
          <w:sz w:val="24"/>
          <w:szCs w:val="24"/>
        </w:rPr>
      </w:pPr>
    </w:p>
    <w:p w14:paraId="51F45407" w14:textId="77777777" w:rsidR="00697C05" w:rsidRPr="00EB2576" w:rsidRDefault="00697C05" w:rsidP="00214913">
      <w:pPr>
        <w:autoSpaceDE w:val="0"/>
        <w:autoSpaceDN w:val="0"/>
        <w:adjustRightInd w:val="0"/>
        <w:spacing w:after="0" w:line="480" w:lineRule="auto"/>
        <w:rPr>
          <w:rFonts w:ascii="Times New Roman" w:hAnsi="Times New Roman" w:cs="Times New Roman"/>
          <w:sz w:val="24"/>
          <w:szCs w:val="24"/>
        </w:rPr>
      </w:pPr>
    </w:p>
    <w:p w14:paraId="65B8C830" w14:textId="77777777" w:rsidR="00697C05" w:rsidRPr="00EB2576" w:rsidRDefault="00697C05" w:rsidP="00214913">
      <w:pPr>
        <w:autoSpaceDE w:val="0"/>
        <w:autoSpaceDN w:val="0"/>
        <w:adjustRightInd w:val="0"/>
        <w:spacing w:after="0" w:line="480" w:lineRule="auto"/>
        <w:rPr>
          <w:rFonts w:ascii="Times New Roman" w:hAnsi="Times New Roman" w:cs="Times New Roman"/>
          <w:sz w:val="24"/>
          <w:szCs w:val="24"/>
        </w:rPr>
      </w:pPr>
    </w:p>
    <w:p w14:paraId="6D25F7CF" w14:textId="77777777" w:rsidR="00697C05" w:rsidRPr="00EB2576" w:rsidRDefault="00697C05" w:rsidP="00214913">
      <w:pPr>
        <w:autoSpaceDE w:val="0"/>
        <w:autoSpaceDN w:val="0"/>
        <w:adjustRightInd w:val="0"/>
        <w:spacing w:after="0" w:line="480" w:lineRule="auto"/>
        <w:rPr>
          <w:rFonts w:ascii="Times New Roman" w:hAnsi="Times New Roman" w:cs="Times New Roman"/>
          <w:sz w:val="24"/>
          <w:szCs w:val="24"/>
        </w:rPr>
      </w:pPr>
    </w:p>
    <w:p w14:paraId="17BB5DEE" w14:textId="77777777" w:rsidR="00214913" w:rsidRPr="00EB2576" w:rsidRDefault="00214913" w:rsidP="00214913">
      <w:pPr>
        <w:autoSpaceDE w:val="0"/>
        <w:autoSpaceDN w:val="0"/>
        <w:adjustRightInd w:val="0"/>
        <w:spacing w:after="0" w:line="480" w:lineRule="auto"/>
        <w:rPr>
          <w:rFonts w:ascii="Times New Roman" w:hAnsi="Times New Roman" w:cs="Times New Roman"/>
          <w:sz w:val="24"/>
          <w:szCs w:val="24"/>
        </w:rPr>
      </w:pPr>
      <w:r w:rsidRPr="00EB2576">
        <w:rPr>
          <w:rFonts w:ascii="Times New Roman" w:hAnsi="Times New Roman" w:cs="Times New Roman"/>
          <w:noProof/>
          <w:sz w:val="24"/>
          <w:szCs w:val="24"/>
        </w:rPr>
        <w:lastRenderedPageBreak/>
        <w:drawing>
          <wp:inline distT="0" distB="0" distL="0" distR="0" wp14:anchorId="7E13ABA0" wp14:editId="1ABE4914">
            <wp:extent cx="4648200" cy="2752725"/>
            <wp:effectExtent l="0" t="0" r="0" b="9525"/>
            <wp:docPr id="18854322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A0F2059" w14:textId="66EB740D" w:rsidR="00214913" w:rsidRPr="00EB2576" w:rsidRDefault="00214913" w:rsidP="00577AE7">
      <w:pPr>
        <w:pStyle w:val="Caption"/>
        <w:spacing w:line="240" w:lineRule="auto"/>
        <w:rPr>
          <w:rFonts w:ascii="Times New Roman" w:hAnsi="Times New Roman" w:cs="Times New Roman"/>
          <w:b w:val="0"/>
          <w:bCs w:val="0"/>
          <w:sz w:val="24"/>
          <w:szCs w:val="24"/>
        </w:rPr>
      </w:pPr>
      <w:bookmarkStart w:id="320" w:name="_Toc139397332"/>
      <w:bookmarkStart w:id="321" w:name="_Toc151020678"/>
      <w:r w:rsidRPr="00EB2576">
        <w:rPr>
          <w:rFonts w:ascii="Times New Roman" w:hAnsi="Times New Roman" w:cs="Times New Roman"/>
          <w:sz w:val="24"/>
          <w:szCs w:val="24"/>
        </w:rPr>
        <w:t xml:space="preserve">Figure </w:t>
      </w:r>
      <w:r w:rsidRPr="00EB2576">
        <w:rPr>
          <w:rFonts w:ascii="Times New Roman" w:hAnsi="Times New Roman" w:cs="Times New Roman"/>
          <w:sz w:val="24"/>
          <w:szCs w:val="24"/>
        </w:rPr>
        <w:fldChar w:fldCharType="begin"/>
      </w:r>
      <w:r w:rsidRPr="00EB2576">
        <w:rPr>
          <w:rFonts w:ascii="Times New Roman" w:hAnsi="Times New Roman" w:cs="Times New Roman"/>
          <w:sz w:val="24"/>
          <w:szCs w:val="24"/>
        </w:rPr>
        <w:instrText xml:space="preserve"> SEQ Figure \* ARABIC </w:instrText>
      </w:r>
      <w:r w:rsidRPr="00EB2576">
        <w:rPr>
          <w:rFonts w:ascii="Times New Roman" w:hAnsi="Times New Roman" w:cs="Times New Roman"/>
          <w:sz w:val="24"/>
          <w:szCs w:val="24"/>
        </w:rPr>
        <w:fldChar w:fldCharType="separate"/>
      </w:r>
      <w:r w:rsidRPr="00EB2576">
        <w:rPr>
          <w:rFonts w:ascii="Times New Roman" w:hAnsi="Times New Roman" w:cs="Times New Roman"/>
          <w:noProof/>
          <w:sz w:val="24"/>
          <w:szCs w:val="24"/>
        </w:rPr>
        <w:t>33</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Monoclonal phage ELISA demonstrating similar reactivity of pooled ATI positive sera against </w:t>
      </w:r>
      <w:r w:rsidR="009D1084" w:rsidRPr="00EB2576">
        <w:rPr>
          <w:rFonts w:ascii="Times New Roman" w:hAnsi="Times New Roman" w:cs="Times New Roman"/>
          <w:sz w:val="24"/>
          <w:szCs w:val="24"/>
        </w:rPr>
        <w:t xml:space="preserve">the three </w:t>
      </w:r>
      <w:r w:rsidRPr="00EB2576">
        <w:rPr>
          <w:rFonts w:ascii="Times New Roman" w:hAnsi="Times New Roman" w:cs="Times New Roman"/>
          <w:sz w:val="24"/>
          <w:szCs w:val="24"/>
        </w:rPr>
        <w:t xml:space="preserve">selected </w:t>
      </w:r>
      <w:r w:rsidR="009D1084" w:rsidRPr="00EB2576">
        <w:rPr>
          <w:rFonts w:ascii="Times New Roman" w:hAnsi="Times New Roman" w:cs="Times New Roman"/>
          <w:sz w:val="24"/>
          <w:szCs w:val="24"/>
        </w:rPr>
        <w:t xml:space="preserve">peptides </w:t>
      </w:r>
      <w:r w:rsidRPr="00EB2576">
        <w:rPr>
          <w:rFonts w:ascii="Times New Roman" w:hAnsi="Times New Roman" w:cs="Times New Roman"/>
          <w:sz w:val="24"/>
          <w:szCs w:val="24"/>
        </w:rPr>
        <w:t xml:space="preserve">and </w:t>
      </w:r>
      <w:r w:rsidR="009D1084" w:rsidRPr="00EB2576">
        <w:rPr>
          <w:rFonts w:ascii="Times New Roman" w:hAnsi="Times New Roman" w:cs="Times New Roman"/>
          <w:sz w:val="24"/>
          <w:szCs w:val="24"/>
        </w:rPr>
        <w:t xml:space="preserve">the unselected </w:t>
      </w:r>
      <w:r w:rsidRPr="00EB2576">
        <w:rPr>
          <w:rFonts w:ascii="Times New Roman" w:hAnsi="Times New Roman" w:cs="Times New Roman"/>
          <w:sz w:val="24"/>
          <w:szCs w:val="24"/>
        </w:rPr>
        <w:t>control peptide from the random peptide library.</w:t>
      </w:r>
      <w:bookmarkEnd w:id="320"/>
      <w:bookmarkEnd w:id="321"/>
    </w:p>
    <w:p w14:paraId="0158A23F" w14:textId="77777777" w:rsidR="00214913" w:rsidRPr="00EB2576" w:rsidRDefault="00214913" w:rsidP="00577AE7">
      <w:pPr>
        <w:spacing w:line="240" w:lineRule="auto"/>
        <w:rPr>
          <w:rFonts w:ascii="Times New Roman" w:hAnsi="Times New Roman" w:cs="Times New Roman"/>
          <w:sz w:val="24"/>
          <w:szCs w:val="24"/>
        </w:rPr>
      </w:pPr>
      <w:r w:rsidRPr="00EB2576">
        <w:rPr>
          <w:rFonts w:ascii="Times New Roman" w:hAnsi="Times New Roman" w:cs="Times New Roman"/>
          <w:sz w:val="24"/>
          <w:szCs w:val="24"/>
        </w:rPr>
        <w:t xml:space="preserve">A direct ELISA used pooled ATI positive sera at a concentration of 1/50 coated onto the wells. Sera was incubated with the selectively enriched monoclonal phage variants of LC peptide 1, HC peptide 2, HC peptide 3 as well as an unselected control phage at a titre of 10^12. Detection using secondary antibody </w:t>
      </w:r>
      <w:r w:rsidRPr="00EB2576">
        <w:rPr>
          <w:rFonts w:ascii="Times New Roman" w:hAnsi="Times New Roman" w:cs="Times New Roman"/>
          <w:kern w:val="24"/>
          <w:sz w:val="24"/>
          <w:szCs w:val="24"/>
          <w:lang w:eastAsia="en-GB"/>
        </w:rPr>
        <w:t>anti-m13 HRP.</w:t>
      </w:r>
    </w:p>
    <w:p w14:paraId="4054E8EF" w14:textId="77777777" w:rsidR="00214913" w:rsidRPr="00EB2576" w:rsidRDefault="00214913" w:rsidP="00577AE7">
      <w:pPr>
        <w:spacing w:before="200" w:after="0" w:line="240" w:lineRule="auto"/>
        <w:jc w:val="left"/>
        <w:rPr>
          <w:rFonts w:ascii="Times New Roman" w:hAnsi="Times New Roman" w:cs="Times New Roman"/>
          <w:i/>
          <w:iCs/>
          <w:sz w:val="24"/>
          <w:szCs w:val="24"/>
        </w:rPr>
      </w:pPr>
      <w:r w:rsidRPr="00EB2576">
        <w:rPr>
          <w:rFonts w:ascii="Times New Roman" w:hAnsi="Times New Roman" w:cs="Times New Roman"/>
          <w:i/>
          <w:iCs/>
          <w:sz w:val="24"/>
          <w:szCs w:val="24"/>
        </w:rPr>
        <w:t>(ATI: antibodies to infliximab, HC: heavy chain, LC: light chain, RPL: random peptide library)</w:t>
      </w:r>
    </w:p>
    <w:p w14:paraId="1478EC73" w14:textId="77777777" w:rsidR="00214913" w:rsidRPr="00EB2576" w:rsidRDefault="00214913" w:rsidP="00577AE7">
      <w:pPr>
        <w:autoSpaceDE w:val="0"/>
        <w:autoSpaceDN w:val="0"/>
        <w:adjustRightInd w:val="0"/>
        <w:spacing w:after="0" w:line="240" w:lineRule="auto"/>
        <w:rPr>
          <w:rFonts w:ascii="Times New Roman" w:hAnsi="Times New Roman" w:cs="Times New Roman"/>
          <w:sz w:val="24"/>
          <w:szCs w:val="24"/>
        </w:rPr>
      </w:pPr>
    </w:p>
    <w:p w14:paraId="5484999B" w14:textId="77777777" w:rsidR="00D1358D" w:rsidRPr="00EB2576" w:rsidRDefault="00D1358D" w:rsidP="00577AE7">
      <w:pPr>
        <w:autoSpaceDE w:val="0"/>
        <w:autoSpaceDN w:val="0"/>
        <w:adjustRightInd w:val="0"/>
        <w:spacing w:after="0" w:line="240" w:lineRule="auto"/>
        <w:rPr>
          <w:rFonts w:ascii="Times New Roman" w:hAnsi="Times New Roman" w:cs="Times New Roman"/>
          <w:sz w:val="24"/>
          <w:szCs w:val="24"/>
        </w:rPr>
      </w:pPr>
    </w:p>
    <w:p w14:paraId="3D9DE14B" w14:textId="77777777" w:rsidR="00D1358D" w:rsidRPr="00EB2576" w:rsidRDefault="00D1358D" w:rsidP="00577AE7">
      <w:pPr>
        <w:autoSpaceDE w:val="0"/>
        <w:autoSpaceDN w:val="0"/>
        <w:adjustRightInd w:val="0"/>
        <w:spacing w:after="0" w:line="240" w:lineRule="auto"/>
        <w:rPr>
          <w:rFonts w:ascii="Times New Roman" w:hAnsi="Times New Roman" w:cs="Times New Roman"/>
          <w:sz w:val="24"/>
          <w:szCs w:val="24"/>
        </w:rPr>
      </w:pPr>
    </w:p>
    <w:p w14:paraId="521706A7" w14:textId="77777777" w:rsidR="00D1358D" w:rsidRPr="00EB2576" w:rsidRDefault="00D1358D" w:rsidP="00577AE7">
      <w:pPr>
        <w:autoSpaceDE w:val="0"/>
        <w:autoSpaceDN w:val="0"/>
        <w:adjustRightInd w:val="0"/>
        <w:spacing w:after="0" w:line="240" w:lineRule="auto"/>
        <w:rPr>
          <w:rFonts w:ascii="Times New Roman" w:hAnsi="Times New Roman" w:cs="Times New Roman"/>
          <w:sz w:val="24"/>
          <w:szCs w:val="24"/>
        </w:rPr>
      </w:pPr>
    </w:p>
    <w:p w14:paraId="02FAF60B" w14:textId="77777777" w:rsidR="00D1358D" w:rsidRPr="00EB2576" w:rsidRDefault="00D1358D" w:rsidP="00577AE7">
      <w:pPr>
        <w:autoSpaceDE w:val="0"/>
        <w:autoSpaceDN w:val="0"/>
        <w:adjustRightInd w:val="0"/>
        <w:spacing w:after="0" w:line="240" w:lineRule="auto"/>
        <w:rPr>
          <w:rFonts w:ascii="Times New Roman" w:hAnsi="Times New Roman" w:cs="Times New Roman"/>
          <w:sz w:val="24"/>
          <w:szCs w:val="24"/>
        </w:rPr>
      </w:pPr>
    </w:p>
    <w:p w14:paraId="388DB622" w14:textId="77777777" w:rsidR="00D1358D" w:rsidRPr="00EB2576" w:rsidRDefault="00D1358D" w:rsidP="00577AE7">
      <w:pPr>
        <w:autoSpaceDE w:val="0"/>
        <w:autoSpaceDN w:val="0"/>
        <w:adjustRightInd w:val="0"/>
        <w:spacing w:after="0" w:line="240" w:lineRule="auto"/>
        <w:rPr>
          <w:rFonts w:ascii="Times New Roman" w:hAnsi="Times New Roman" w:cs="Times New Roman"/>
          <w:sz w:val="24"/>
          <w:szCs w:val="24"/>
        </w:rPr>
      </w:pPr>
    </w:p>
    <w:p w14:paraId="31DF17F9" w14:textId="77777777" w:rsidR="004C45F3" w:rsidRPr="00EB2576" w:rsidRDefault="004C45F3" w:rsidP="004C45F3">
      <w:pPr>
        <w:autoSpaceDE w:val="0"/>
        <w:autoSpaceDN w:val="0"/>
        <w:adjustRightInd w:val="0"/>
        <w:spacing w:after="0" w:line="480" w:lineRule="auto"/>
        <w:rPr>
          <w:rFonts w:ascii="Times New Roman" w:hAnsi="Times New Roman" w:cs="Times New Roman"/>
          <w:sz w:val="24"/>
          <w:szCs w:val="24"/>
        </w:rPr>
      </w:pPr>
    </w:p>
    <w:p w14:paraId="1CCCFF2F" w14:textId="77777777" w:rsidR="00697C05" w:rsidRPr="00EB2576" w:rsidRDefault="004B1BB4" w:rsidP="00697C05">
      <w:pPr>
        <w:autoSpaceDE w:val="0"/>
        <w:autoSpaceDN w:val="0"/>
        <w:adjustRightInd w:val="0"/>
        <w:spacing w:after="0" w:line="480" w:lineRule="auto"/>
        <w:rPr>
          <w:rFonts w:ascii="Times New Roman" w:hAnsi="Times New Roman" w:cs="Times New Roman"/>
          <w:sz w:val="24"/>
          <w:szCs w:val="24"/>
        </w:rPr>
      </w:pPr>
      <w:r w:rsidRPr="00EB2576">
        <w:rPr>
          <w:rFonts w:ascii="Times New Roman" w:hAnsi="Times New Roman" w:cs="Times New Roman"/>
          <w:noProof/>
          <w:sz w:val="24"/>
          <w:szCs w:val="24"/>
        </w:rPr>
        <w:lastRenderedPageBreak/>
        <w:drawing>
          <wp:inline distT="0" distB="0" distL="0" distR="0" wp14:anchorId="1C273AAF" wp14:editId="2405C541">
            <wp:extent cx="4600575" cy="2790825"/>
            <wp:effectExtent l="0" t="0" r="9525" b="9525"/>
            <wp:docPr id="100671950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49B7635" w14:textId="4E5AF6A9" w:rsidR="004D2649" w:rsidRPr="00EB2576" w:rsidRDefault="00697C05" w:rsidP="00D1358D">
      <w:pPr>
        <w:autoSpaceDE w:val="0"/>
        <w:autoSpaceDN w:val="0"/>
        <w:adjustRightInd w:val="0"/>
        <w:spacing w:after="0" w:line="240" w:lineRule="auto"/>
        <w:rPr>
          <w:rFonts w:ascii="Times New Roman" w:hAnsi="Times New Roman" w:cs="Times New Roman"/>
          <w:b/>
          <w:bCs/>
          <w:sz w:val="24"/>
          <w:szCs w:val="24"/>
        </w:rPr>
      </w:pPr>
      <w:r w:rsidRPr="00EB2576">
        <w:rPr>
          <w:rFonts w:ascii="Times New Roman" w:hAnsi="Times New Roman" w:cs="Times New Roman"/>
          <w:b/>
          <w:bCs/>
          <w:sz w:val="24"/>
          <w:szCs w:val="24"/>
        </w:rPr>
        <w:t>F</w:t>
      </w:r>
      <w:r w:rsidR="004D2649" w:rsidRPr="00EB2576">
        <w:rPr>
          <w:rFonts w:ascii="Times New Roman" w:hAnsi="Times New Roman" w:cs="Times New Roman"/>
          <w:b/>
          <w:bCs/>
          <w:sz w:val="24"/>
          <w:szCs w:val="24"/>
        </w:rPr>
        <w:t xml:space="preserve">igure </w:t>
      </w:r>
      <w:r w:rsidRPr="00EB2576">
        <w:rPr>
          <w:rFonts w:ascii="Times New Roman" w:hAnsi="Times New Roman" w:cs="Times New Roman"/>
          <w:b/>
          <w:bCs/>
          <w:sz w:val="24"/>
          <w:szCs w:val="24"/>
        </w:rPr>
        <w:t>34</w:t>
      </w:r>
      <w:r w:rsidR="004D2649" w:rsidRPr="00EB2576">
        <w:rPr>
          <w:rFonts w:ascii="Times New Roman" w:hAnsi="Times New Roman" w:cs="Times New Roman"/>
          <w:b/>
          <w:bCs/>
          <w:sz w:val="24"/>
          <w:szCs w:val="24"/>
        </w:rPr>
        <w:t>. Monoclonal phage ELISA demonstrating similar reactivity of individual ATI positiv</w:t>
      </w:r>
      <w:r w:rsidR="00BB51D1" w:rsidRPr="00EB2576">
        <w:rPr>
          <w:rFonts w:ascii="Times New Roman" w:hAnsi="Times New Roman" w:cs="Times New Roman"/>
          <w:b/>
          <w:bCs/>
          <w:sz w:val="24"/>
          <w:szCs w:val="24"/>
        </w:rPr>
        <w:t>e</w:t>
      </w:r>
      <w:r w:rsidR="004D2649" w:rsidRPr="00EB2576">
        <w:rPr>
          <w:rFonts w:ascii="Times New Roman" w:hAnsi="Times New Roman" w:cs="Times New Roman"/>
          <w:b/>
          <w:bCs/>
          <w:sz w:val="24"/>
          <w:szCs w:val="24"/>
        </w:rPr>
        <w:t xml:space="preserve"> </w:t>
      </w:r>
      <w:r w:rsidR="00BB51D1" w:rsidRPr="00EB2576">
        <w:rPr>
          <w:rFonts w:ascii="Times New Roman" w:hAnsi="Times New Roman" w:cs="Times New Roman"/>
          <w:b/>
          <w:bCs/>
          <w:sz w:val="24"/>
          <w:szCs w:val="24"/>
        </w:rPr>
        <w:t xml:space="preserve">patient </w:t>
      </w:r>
      <w:r w:rsidR="004D2649" w:rsidRPr="00EB2576">
        <w:rPr>
          <w:rFonts w:ascii="Times New Roman" w:hAnsi="Times New Roman" w:cs="Times New Roman"/>
          <w:b/>
          <w:bCs/>
          <w:sz w:val="24"/>
          <w:szCs w:val="24"/>
        </w:rPr>
        <w:t xml:space="preserve">sera against </w:t>
      </w:r>
      <w:r w:rsidR="00FF101C" w:rsidRPr="00EB2576">
        <w:rPr>
          <w:rFonts w:ascii="Times New Roman" w:hAnsi="Times New Roman" w:cs="Times New Roman"/>
          <w:b/>
          <w:bCs/>
          <w:sz w:val="24"/>
          <w:szCs w:val="24"/>
        </w:rPr>
        <w:t xml:space="preserve">the three </w:t>
      </w:r>
      <w:r w:rsidR="004D2649" w:rsidRPr="00EB2576">
        <w:rPr>
          <w:rFonts w:ascii="Times New Roman" w:hAnsi="Times New Roman" w:cs="Times New Roman"/>
          <w:b/>
          <w:bCs/>
          <w:sz w:val="24"/>
          <w:szCs w:val="24"/>
        </w:rPr>
        <w:t>selected</w:t>
      </w:r>
      <w:r w:rsidR="00FF101C" w:rsidRPr="00EB2576">
        <w:rPr>
          <w:rFonts w:ascii="Times New Roman" w:hAnsi="Times New Roman" w:cs="Times New Roman"/>
          <w:b/>
          <w:bCs/>
          <w:sz w:val="24"/>
          <w:szCs w:val="24"/>
        </w:rPr>
        <w:t xml:space="preserve"> peptides</w:t>
      </w:r>
      <w:r w:rsidR="004D2649" w:rsidRPr="00EB2576">
        <w:rPr>
          <w:rFonts w:ascii="Times New Roman" w:hAnsi="Times New Roman" w:cs="Times New Roman"/>
          <w:b/>
          <w:bCs/>
          <w:sz w:val="24"/>
          <w:szCs w:val="24"/>
        </w:rPr>
        <w:t xml:space="preserve"> and</w:t>
      </w:r>
      <w:r w:rsidR="00FC71E2" w:rsidRPr="00EB2576">
        <w:rPr>
          <w:rFonts w:ascii="Times New Roman" w:hAnsi="Times New Roman" w:cs="Times New Roman"/>
          <w:b/>
          <w:bCs/>
          <w:sz w:val="24"/>
          <w:szCs w:val="24"/>
        </w:rPr>
        <w:t xml:space="preserve"> an unselected</w:t>
      </w:r>
      <w:r w:rsidR="004D2649" w:rsidRPr="00EB2576">
        <w:rPr>
          <w:rFonts w:ascii="Times New Roman" w:hAnsi="Times New Roman" w:cs="Times New Roman"/>
          <w:b/>
          <w:bCs/>
          <w:sz w:val="24"/>
          <w:szCs w:val="24"/>
        </w:rPr>
        <w:t xml:space="preserve"> control peptide from the random peptide library.</w:t>
      </w:r>
    </w:p>
    <w:p w14:paraId="5B128E1E" w14:textId="4B0D5C36" w:rsidR="004D2649" w:rsidRPr="00EB2576" w:rsidRDefault="004D2649" w:rsidP="00D1358D">
      <w:pPr>
        <w:spacing w:line="240" w:lineRule="auto"/>
        <w:rPr>
          <w:rFonts w:ascii="Times New Roman" w:hAnsi="Times New Roman" w:cs="Times New Roman"/>
          <w:sz w:val="24"/>
          <w:szCs w:val="24"/>
        </w:rPr>
      </w:pPr>
      <w:r w:rsidRPr="00EB2576">
        <w:rPr>
          <w:rFonts w:ascii="Times New Roman" w:hAnsi="Times New Roman" w:cs="Times New Roman"/>
          <w:sz w:val="24"/>
          <w:szCs w:val="24"/>
        </w:rPr>
        <w:t xml:space="preserve">A sandwich ELISA </w:t>
      </w:r>
      <w:r w:rsidRPr="00EB2576">
        <w:rPr>
          <w:rFonts w:ascii="Times New Roman" w:hAnsi="Times New Roman" w:cs="Times New Roman"/>
          <w:kern w:val="24"/>
          <w:sz w:val="24"/>
          <w:szCs w:val="24"/>
          <w:lang w:eastAsia="en-GB"/>
        </w:rPr>
        <w:t xml:space="preserve">with capture antibody of rabbit anti-human IgG coated onto wells </w:t>
      </w:r>
      <w:r w:rsidRPr="00EB2576">
        <w:rPr>
          <w:rFonts w:ascii="Times New Roman" w:hAnsi="Times New Roman" w:cs="Times New Roman"/>
          <w:sz w:val="24"/>
          <w:szCs w:val="24"/>
        </w:rPr>
        <w:t>assessed reactivity of individual ATI positive sera: serum 1-8 at a concentration of 1/100 against monoclonal phage variants</w:t>
      </w:r>
      <w:r w:rsidR="00D1358D" w:rsidRPr="00EB2576">
        <w:rPr>
          <w:rFonts w:ascii="Times New Roman" w:hAnsi="Times New Roman" w:cs="Times New Roman"/>
          <w:sz w:val="24"/>
          <w:szCs w:val="24"/>
        </w:rPr>
        <w:t xml:space="preserve">: </w:t>
      </w:r>
      <w:r w:rsidR="00BB51D1" w:rsidRPr="00EB2576">
        <w:rPr>
          <w:rFonts w:ascii="Times New Roman" w:hAnsi="Times New Roman" w:cs="Times New Roman"/>
          <w:sz w:val="24"/>
          <w:szCs w:val="24"/>
        </w:rPr>
        <w:t xml:space="preserve">LC peptide 1, HC peptide 2, HC peptide 3 </w:t>
      </w:r>
      <w:r w:rsidR="00920B1D" w:rsidRPr="00EB2576">
        <w:rPr>
          <w:rFonts w:ascii="Times New Roman" w:hAnsi="Times New Roman" w:cs="Times New Roman"/>
          <w:sz w:val="24"/>
          <w:szCs w:val="24"/>
        </w:rPr>
        <w:t xml:space="preserve">and an unselected </w:t>
      </w:r>
      <w:r w:rsidR="00BB51D1" w:rsidRPr="00EB2576">
        <w:rPr>
          <w:rFonts w:ascii="Times New Roman" w:hAnsi="Times New Roman" w:cs="Times New Roman"/>
          <w:sz w:val="24"/>
          <w:szCs w:val="24"/>
        </w:rPr>
        <w:t>control phage</w:t>
      </w:r>
      <w:r w:rsidR="00D1358D" w:rsidRPr="00EB2576">
        <w:rPr>
          <w:rFonts w:ascii="Times New Roman" w:hAnsi="Times New Roman" w:cs="Times New Roman"/>
          <w:sz w:val="24"/>
          <w:szCs w:val="24"/>
        </w:rPr>
        <w:t xml:space="preserve">, at a titre of 10^12. </w:t>
      </w:r>
      <w:r w:rsidR="00BB51D1" w:rsidRPr="00EB2576">
        <w:rPr>
          <w:rFonts w:ascii="Times New Roman" w:hAnsi="Times New Roman" w:cs="Times New Roman"/>
          <w:sz w:val="24"/>
          <w:szCs w:val="24"/>
        </w:rPr>
        <w:t xml:space="preserve"> </w:t>
      </w:r>
      <w:r w:rsidRPr="00EB2576">
        <w:rPr>
          <w:rFonts w:ascii="Times New Roman" w:hAnsi="Times New Roman" w:cs="Times New Roman"/>
          <w:sz w:val="24"/>
          <w:szCs w:val="24"/>
        </w:rPr>
        <w:t xml:space="preserve">Detection </w:t>
      </w:r>
      <w:r w:rsidR="00920B1D" w:rsidRPr="00EB2576">
        <w:rPr>
          <w:rFonts w:ascii="Times New Roman" w:hAnsi="Times New Roman" w:cs="Times New Roman"/>
          <w:sz w:val="24"/>
          <w:szCs w:val="24"/>
        </w:rPr>
        <w:t>using</w:t>
      </w:r>
      <w:r w:rsidRPr="00EB2576">
        <w:rPr>
          <w:rFonts w:ascii="Times New Roman" w:hAnsi="Times New Roman" w:cs="Times New Roman"/>
          <w:sz w:val="24"/>
          <w:szCs w:val="24"/>
        </w:rPr>
        <w:t xml:space="preserve"> </w:t>
      </w:r>
      <w:r w:rsidR="00920B1D" w:rsidRPr="00EB2576">
        <w:rPr>
          <w:rFonts w:ascii="Times New Roman" w:hAnsi="Times New Roman" w:cs="Times New Roman"/>
          <w:sz w:val="24"/>
          <w:szCs w:val="24"/>
        </w:rPr>
        <w:t xml:space="preserve">secondary antibody of </w:t>
      </w:r>
      <w:r w:rsidRPr="00EB2576">
        <w:rPr>
          <w:rFonts w:ascii="Times New Roman" w:hAnsi="Times New Roman" w:cs="Times New Roman"/>
          <w:kern w:val="24"/>
          <w:sz w:val="24"/>
          <w:szCs w:val="24"/>
          <w:lang w:eastAsia="en-GB"/>
        </w:rPr>
        <w:t>anti-m13 HRP.</w:t>
      </w:r>
    </w:p>
    <w:p w14:paraId="71E2FDF2" w14:textId="2A45B362" w:rsidR="004D2649" w:rsidRPr="00EB2576" w:rsidRDefault="004D2649" w:rsidP="00D1358D">
      <w:pPr>
        <w:spacing w:before="200" w:after="0" w:line="240" w:lineRule="auto"/>
        <w:jc w:val="left"/>
        <w:rPr>
          <w:rFonts w:ascii="Times New Roman" w:hAnsi="Times New Roman" w:cs="Times New Roman"/>
          <w:i/>
          <w:iCs/>
          <w:sz w:val="24"/>
          <w:szCs w:val="24"/>
        </w:rPr>
      </w:pPr>
      <w:r w:rsidRPr="00EB2576">
        <w:rPr>
          <w:rFonts w:ascii="Times New Roman" w:hAnsi="Times New Roman" w:cs="Times New Roman"/>
          <w:i/>
          <w:iCs/>
          <w:sz w:val="24"/>
          <w:szCs w:val="24"/>
        </w:rPr>
        <w:t>(ATI: antibodies to infliximab</w:t>
      </w:r>
      <w:r w:rsidR="00920B1D" w:rsidRPr="00EB2576">
        <w:rPr>
          <w:rFonts w:ascii="Times New Roman" w:hAnsi="Times New Roman" w:cs="Times New Roman"/>
          <w:i/>
          <w:iCs/>
          <w:sz w:val="24"/>
          <w:szCs w:val="24"/>
        </w:rPr>
        <w:t>, HC: heavy chain, LC: light chain, RPL: random peptide library</w:t>
      </w:r>
      <w:r w:rsidRPr="00EB2576">
        <w:rPr>
          <w:rFonts w:ascii="Times New Roman" w:hAnsi="Times New Roman" w:cs="Times New Roman"/>
          <w:i/>
          <w:iCs/>
          <w:sz w:val="24"/>
          <w:szCs w:val="24"/>
        </w:rPr>
        <w:t>)</w:t>
      </w:r>
    </w:p>
    <w:p w14:paraId="0B0C70B9" w14:textId="77777777" w:rsidR="003150FF" w:rsidRPr="00EB2576" w:rsidRDefault="003150FF" w:rsidP="004C45F3">
      <w:pPr>
        <w:autoSpaceDE w:val="0"/>
        <w:autoSpaceDN w:val="0"/>
        <w:adjustRightInd w:val="0"/>
        <w:spacing w:after="0" w:line="480" w:lineRule="auto"/>
        <w:rPr>
          <w:rFonts w:ascii="Times New Roman" w:hAnsi="Times New Roman" w:cs="Times New Roman"/>
          <w:sz w:val="24"/>
          <w:szCs w:val="24"/>
        </w:rPr>
      </w:pPr>
    </w:p>
    <w:p w14:paraId="6A1E855E"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0D9F01E8"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7CB37B7F"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695AEE22"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4E274E3C"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1CA65697"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12C6882B"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4263C512"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7B866ABB"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579DFA7F" w14:textId="77777777" w:rsidR="00D1358D" w:rsidRPr="00EB2576" w:rsidRDefault="00D1358D" w:rsidP="004C45F3">
      <w:pPr>
        <w:autoSpaceDE w:val="0"/>
        <w:autoSpaceDN w:val="0"/>
        <w:adjustRightInd w:val="0"/>
        <w:spacing w:after="0" w:line="480" w:lineRule="auto"/>
        <w:rPr>
          <w:rFonts w:ascii="Times New Roman" w:hAnsi="Times New Roman" w:cs="Times New Roman"/>
          <w:sz w:val="24"/>
          <w:szCs w:val="24"/>
        </w:rPr>
      </w:pPr>
    </w:p>
    <w:p w14:paraId="6DA2E077" w14:textId="78CD92C8" w:rsidR="00FE16C6" w:rsidRPr="00EB2576" w:rsidRDefault="0031067D" w:rsidP="002E47C1">
      <w:pPr>
        <w:pStyle w:val="Heading2"/>
        <w:spacing w:line="480" w:lineRule="auto"/>
        <w:rPr>
          <w:rFonts w:ascii="Times New Roman" w:hAnsi="Times New Roman" w:cs="Times New Roman"/>
          <w:sz w:val="24"/>
          <w:szCs w:val="24"/>
        </w:rPr>
      </w:pPr>
      <w:bookmarkStart w:id="322" w:name="_Toc151020554"/>
      <w:r w:rsidRPr="00EB2576">
        <w:rPr>
          <w:rFonts w:ascii="Times New Roman" w:hAnsi="Times New Roman" w:cs="Times New Roman"/>
          <w:sz w:val="24"/>
          <w:szCs w:val="24"/>
        </w:rPr>
        <w:lastRenderedPageBreak/>
        <w:t>6</w:t>
      </w:r>
      <w:r w:rsidR="00FE16C6" w:rsidRPr="00EB2576">
        <w:rPr>
          <w:rFonts w:ascii="Times New Roman" w:hAnsi="Times New Roman" w:cs="Times New Roman"/>
          <w:sz w:val="24"/>
          <w:szCs w:val="24"/>
        </w:rPr>
        <w:t>.4 Discussion</w:t>
      </w:r>
      <w:bookmarkEnd w:id="322"/>
    </w:p>
    <w:p w14:paraId="400DB2EE" w14:textId="30F2F1D4" w:rsidR="005A7BD8" w:rsidRPr="00EB2576" w:rsidRDefault="00E815DB" w:rsidP="003F2571">
      <w:pPr>
        <w:spacing w:after="0" w:line="480" w:lineRule="auto"/>
        <w:contextualSpacing/>
        <w:rPr>
          <w:rFonts w:ascii="Times New Roman" w:hAnsi="Times New Roman" w:cs="Times New Roman"/>
          <w:sz w:val="24"/>
          <w:szCs w:val="24"/>
        </w:rPr>
      </w:pPr>
      <w:bookmarkStart w:id="323" w:name="_Hlk116033553"/>
      <w:r w:rsidRPr="00EB2576">
        <w:rPr>
          <w:rFonts w:ascii="Times New Roman" w:hAnsi="Times New Roman" w:cs="Times New Roman"/>
          <w:sz w:val="24"/>
          <w:szCs w:val="24"/>
        </w:rPr>
        <w:t>R</w:t>
      </w:r>
      <w:r w:rsidR="00504224" w:rsidRPr="00EB2576">
        <w:rPr>
          <w:rFonts w:ascii="Times New Roman" w:hAnsi="Times New Roman" w:cs="Times New Roman"/>
          <w:sz w:val="24"/>
          <w:szCs w:val="24"/>
        </w:rPr>
        <w:t>PL</w:t>
      </w:r>
      <w:r w:rsidRPr="00EB2576">
        <w:rPr>
          <w:rFonts w:ascii="Times New Roman" w:hAnsi="Times New Roman" w:cs="Times New Roman"/>
          <w:sz w:val="24"/>
          <w:szCs w:val="24"/>
          <w:shd w:val="clear" w:color="auto" w:fill="FFFFFF"/>
        </w:rPr>
        <w:t xml:space="preserve"> are large commercial phage display libraries</w:t>
      </w:r>
      <w:r w:rsidR="00F20D19" w:rsidRPr="00EB2576">
        <w:rPr>
          <w:rFonts w:ascii="Times New Roman" w:hAnsi="Times New Roman" w:cs="Times New Roman"/>
          <w:sz w:val="24"/>
          <w:szCs w:val="24"/>
          <w:shd w:val="clear" w:color="auto" w:fill="FFFFFF"/>
        </w:rPr>
        <w:t>. They</w:t>
      </w:r>
      <w:r w:rsidRPr="00EB2576">
        <w:rPr>
          <w:rFonts w:ascii="Times New Roman" w:hAnsi="Times New Roman" w:cs="Times New Roman"/>
          <w:sz w:val="24"/>
          <w:szCs w:val="24"/>
          <w:shd w:val="clear" w:color="auto" w:fill="FFFFFF"/>
        </w:rPr>
        <w:t xml:space="preserve"> have been increasingly used in the last 20 years to identify protein-protein interactions. They allow identification of</w:t>
      </w:r>
      <w:r w:rsidRPr="00EB2576">
        <w:rPr>
          <w:rFonts w:ascii="Times New Roman" w:hAnsi="Times New Roman" w:cs="Times New Roman"/>
          <w:kern w:val="24"/>
          <w:sz w:val="24"/>
          <w:szCs w:val="24"/>
        </w:rPr>
        <w:t xml:space="preserve"> “mimotopes”: artificial peptides that mimic B cell conformational epitope</w:t>
      </w:r>
      <w:r w:rsidR="00F20D19" w:rsidRPr="00EB2576">
        <w:rPr>
          <w:rFonts w:ascii="Times New Roman" w:hAnsi="Times New Roman" w:cs="Times New Roman"/>
          <w:kern w:val="24"/>
          <w:sz w:val="24"/>
          <w:szCs w:val="24"/>
        </w:rPr>
        <w:t>s</w:t>
      </w:r>
      <w:r w:rsidRPr="00EB2576">
        <w:rPr>
          <w:rFonts w:ascii="Times New Roman" w:hAnsi="Times New Roman" w:cs="Times New Roman"/>
          <w:kern w:val="24"/>
          <w:sz w:val="24"/>
          <w:szCs w:val="24"/>
        </w:rPr>
        <w:t xml:space="preserve"> that elicits the immune response </w:t>
      </w:r>
      <w:r w:rsidR="00F20D19" w:rsidRPr="00EB2576">
        <w:rPr>
          <w:rFonts w:ascii="Times New Roman" w:hAnsi="Times New Roman" w:cs="Times New Roman"/>
          <w:sz w:val="24"/>
          <w:szCs w:val="24"/>
        </w:rPr>
        <w:t>with</w:t>
      </w:r>
      <w:r w:rsidR="00C00514" w:rsidRPr="00EB2576">
        <w:rPr>
          <w:rFonts w:ascii="Times New Roman" w:hAnsi="Times New Roman" w:cs="Times New Roman"/>
          <w:sz w:val="24"/>
          <w:szCs w:val="24"/>
        </w:rPr>
        <w:t xml:space="preserve"> the use of</w:t>
      </w:r>
      <w:r w:rsidRPr="00EB2576">
        <w:rPr>
          <w:rFonts w:ascii="Times New Roman" w:hAnsi="Times New Roman" w:cs="Times New Roman"/>
          <w:sz w:val="24"/>
          <w:szCs w:val="24"/>
        </w:rPr>
        <w:t xml:space="preserve"> mimotope prediction programmes </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Disease","id":"ITEM-1","issue":"3","issued":{"date-parts":[["2017"]]},"page":"219-225","publisher":"Elsevier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-2","itemData":{"DOI":"10.1086/422753","ISSN":"0022-1899","author":[{"dropping-particle":"","family":"Liu","given":"I‐Ju","non-dropping-particle":"","parse-names":false,"suffix":""},{"dropping-particle":"","family":"Hsueh","given":"Po‐Ren","non-dropping-particle":"","parse-names":false,"suffix":""},{"dropping-particle":"","family":"Lin","given":"Chin‐Tarng","non-dropping-particle":"","parse-names":false,"suffix":""},{"dropping-particle":"","family":"Chiu","given":"Chien‐Yu","non-dropping-particle":"","parse-names":false,"suffix":""},{"dropping-particle":"","family":"Kao","given":"Chuan‐Liang","non-dropping-particle":"","parse-names":false,"suffix":""},{"dropping-particle":"","family":"Liao","given":"Mei‐Ying","non-dropping-particle":"","parse-names":false,"suffix":""},{"dropping-particle":"","family":"Wu","given":"Han‐Chung","non-dropping-particle":"","parse-names":false,"suffix":""}],"container-title":"The Journal of Infectious Diseases","id":"ITEM-2","issue":"4","issued":{"date-parts":[["2004","8","15"]]},"page":"797-809","title":"Disease‐Specific B Cell Epitopes for Serum Antibodies from Patients with Severe Acute Respiratory Syndrome (SARS) and Serologic Detection of SARS Antibodies by Epitope‐Based Peptide Antigens","type":"article-journal","volume":"190"},"uris":["http://www.mendeley.com/documents/?uuid=d631fd1e-35e2-440a-84a1-e6c06ad287c4"]},{"id":"ITEM-3","itemData":{"DOI":"10.1155/2013/983829","ISSN":"1748-670X","abstract":"Metuximab is the generic name of Licartin, a new drug for radioimmunotherapy of hepatocellular carcinoma. Although it is known to be a mouse monoclonal antibody against CD147, the complete epitope mediating the binding of metuximab to CD147 remains unknown. We panned the Ph.D.-12 phage display peptide library against metuximab and got six mimotopes. The following bioinformatics analysis based on mimotopes suggested that metuximab recognizes a conformational epitope composed of more than 20 residues. The residues of its epitope may include T28, V30, K36, L38, K57, F74, D77, S78, D79, D80, Q81, G83, S86, N98, Q100, L101, H102, G103, P104, V131, P132, and K191. The homology modeling of metuximab and the docking of CD147 to metuximab were also performed. Based on the top one docking model, the epitope was predicted to contain 28 residues: AGTVFTTV (23–30), I37, D45, E84, V88, EPMGTANIQLH (92–102), VPP (131–133), Q164, and K191. Almost half of the residues predicted on the basis of mimotope analysis also appear in the docking result, indicating that both results are reliable. As the predicted epitopes of metuximab largely overlap with interfaces of CD147-CD147 interactions, a structural mechanism of metuximab is proposed as blocking the formation of CD147 dimer.","author":[{"dropping-particle":"","family":"He","given":"Bifang","non-dropping-particle":"","parse-names":false,"suffix":""},{"dropping-particle":"","family":"Mao","given":"Canquan","non-dropping-particle":"","parse-names":false,"suffix":""},{"dropping-particle":"","family":"Ru","given":"Beibei","non-dropping-particle":"","parse-names":false,"suffix":""},{"dropping-particle":"","family":"Han","given":"Hesong","non-dropping-particle":"","parse-names":false,"suffix":""},{"dropping-particle":"","family":"Zhou","given":"Peng","non-dropping-particle":"","parse-names":false,"suffix":""},{"dropping-particle":"","family":"Huang","given":"Jian","non-dropping-particle":"","parse-names":false,"suffix":""}],"container-title":"Computational and Mathematical Methods in Medicine","id":"ITEM-3","issued":{"date-parts":[["2013"]]},"page":"1-6","title":"Epitope Mapping of Metuximab on CD147 Using Phage Display and Molecular Docking","type":"article-journal","volume":"2013"},"uris":["http://www.mendeley.com/documents/?uuid=70149f9e-f708-487a-b5d1-c7faada39b38"]},{"id":"ITEM-4","itemData":{"DOI":"10.1002/0471142735.im0908s86","ISBN":"0471142735","ISSN":"1934-3671","PMID":"19653209","abstract":"Combinatorial phage display libraries of random peptides can be used to discover the epitopes of antibodies through a procedure termed \"biopanning.\" The affinity isolation of phage-displayed epitope peptidomimetics allows molecular definition of the epitopes of monoclonal antibodies (MAbs). Panels of MAb-specific peptides allow computational prediction of B cell epitopes. Epitope profiles recognized by polyclonal serum samples can also be generated. Detailed step by step protocols and discussion of applications are provided.","author":[{"dropping-particle":"","family":"Freund","given":"Natalia Tarnovitski","non-dropping-particle":"","parse-names":false,"suffix":""},{"dropping-particle":"","family":"Enshell‐Seijffers","given":"David","non-dropping-particle":"","parse-names":false,"suffix":""},{"dropping-particle":"","family":"Gershoni","given":"Jonathan M","non-dropping-particle":"","parse-names":false,"suffix":""}],"container-title":"Current Protocols in Immunology","id":"ITEM-4","issue":"1","issued":{"date-parts":[["2009","8"]]},"page":"Unit 9.8","title":"Phage Display Selection, Analysis, and Prediction of B Cell Epitopes","type":"article-journal","volume":"86"},"uris":["http://www.mendeley.com/documents/?uuid=237a68b6-3657-43b5-9f76-760b72ca9e05"]},{"id":"ITEM-5","itemData":{"DOI":"10.1155/2017/2680160","ISSN":"2314-8861","abstract":"Adaptive immunity is mediated by T- and B-cells, which are immune cells capable of developing pathogen-specific memory that confers immunological protection. Memory and effector functions of B- and T-cells are predicated on the recognition through specialized receptors of specific targets (antigens) in pathogens. More specifically, B- and T-cells recognize portions within their cognate antigens known as epitopes. There is great interest in identifying epitopes in antigens for a number of practical reasons, including understanding disease etiology, immune monitoring, developing diagnosis assays, and designing epitope-based vaccines. Epitope identification is costly and time-consuming as it requires experimental screening of large arrays of potential epitope candidates. Fortunately, researchers have developed in silico prediction methods that dramatically reduce the burden associated with epitope mapping by decreasing the list of potential epitope candidates for experimental testing. Here, we analyze aspects of antigen recognition by T- and B-cells that are relevant for epitope prediction. Subsequently, we provide a systematic and inclusive review of the most relevant B- and T-cell epitope prediction methods and tools, paying particular attention to their foundations.","author":[{"dropping-particle":"","family":"Sanchez-Trincado","given":"Jose L.","non-dropping-particle":"","parse-names":false,"suffix":""},{"dropping-particle":"","family":"Gomez-Perosanz","given":"Marta","non-dropping-particle":"","parse-names":false,"suffix":""},{"dropping-particle":"","family":"Reche","given":"Pedro A.","non-dropping-particle":"","parse-names":false,"suffix":""}],"container-title":"Journal of Immunology Research","id":"ITEM-5","issued":{"date-parts":[["2017"]]},"page":"1-14","title":"Fundamentals and Methods for T- and B-Cell Epitope Prediction","type":"article-journal","volume":"2017"},"uris":["http://www.mendeley.com/documents/?uuid=afaddd18-c888-419e-bf92-9c3c00919da7"]}],"mendeley":{"formattedCitation":"&lt;sup&gt;158,198–201&lt;/sup&gt;","plainTextFormattedCitation":"158,198–201","previouslyFormattedCitation":"&lt;sup&gt;158,198–201&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158,198–201</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r w:rsidRPr="00EB2576">
        <w:rPr>
          <w:rFonts w:ascii="Times New Roman" w:hAnsi="Times New Roman" w:cs="Times New Roman"/>
          <w:kern w:val="24"/>
          <w:sz w:val="24"/>
          <w:szCs w:val="24"/>
        </w:rPr>
        <w:t xml:space="preserve"> </w:t>
      </w:r>
      <w:r w:rsidR="00FE16C6" w:rsidRPr="00EB2576">
        <w:rPr>
          <w:rFonts w:ascii="Times New Roman" w:hAnsi="Times New Roman" w:cs="Times New Roman"/>
          <w:sz w:val="24"/>
          <w:szCs w:val="24"/>
        </w:rPr>
        <w:t xml:space="preserve">Using </w:t>
      </w:r>
      <w:r w:rsidR="00A46789" w:rsidRPr="00EB2576">
        <w:rPr>
          <w:rFonts w:ascii="Times New Roman" w:hAnsi="Times New Roman" w:cs="Times New Roman"/>
          <w:sz w:val="24"/>
          <w:szCs w:val="24"/>
        </w:rPr>
        <w:t>pooled sera</w:t>
      </w:r>
      <w:r w:rsidR="00F20D19" w:rsidRPr="00EB2576">
        <w:rPr>
          <w:rFonts w:ascii="Times New Roman" w:hAnsi="Times New Roman" w:cs="Times New Roman"/>
          <w:sz w:val="24"/>
          <w:szCs w:val="24"/>
        </w:rPr>
        <w:t xml:space="preserve"> from</w:t>
      </w:r>
      <w:r w:rsidR="00A46789" w:rsidRPr="00EB2576">
        <w:rPr>
          <w:rFonts w:ascii="Times New Roman" w:hAnsi="Times New Roman" w:cs="Times New Roman"/>
          <w:sz w:val="24"/>
          <w:szCs w:val="24"/>
        </w:rPr>
        <w:t xml:space="preserve"> IBD patients with positive ATI </w:t>
      </w:r>
      <w:r w:rsidR="00463850" w:rsidRPr="00EB2576">
        <w:rPr>
          <w:rFonts w:ascii="Times New Roman" w:hAnsi="Times New Roman" w:cs="Times New Roman"/>
          <w:sz w:val="24"/>
          <w:szCs w:val="24"/>
        </w:rPr>
        <w:t xml:space="preserve">and </w:t>
      </w:r>
      <w:r w:rsidR="00D43719" w:rsidRPr="00EB2576">
        <w:rPr>
          <w:rFonts w:ascii="Times New Roman" w:hAnsi="Times New Roman" w:cs="Times New Roman"/>
          <w:sz w:val="24"/>
          <w:szCs w:val="24"/>
        </w:rPr>
        <w:t>different clinical outcomes</w:t>
      </w:r>
      <w:r w:rsidR="00FE16C6" w:rsidRPr="00EB2576">
        <w:rPr>
          <w:rFonts w:ascii="Times New Roman" w:hAnsi="Times New Roman" w:cs="Times New Roman"/>
          <w:sz w:val="24"/>
          <w:szCs w:val="24"/>
        </w:rPr>
        <w:t>, three peptides</w:t>
      </w:r>
      <w:r w:rsidR="00BB5AA6" w:rsidRPr="00EB2576">
        <w:rPr>
          <w:rFonts w:ascii="Times New Roman" w:hAnsi="Times New Roman" w:cs="Times New Roman"/>
          <w:sz w:val="24"/>
          <w:szCs w:val="24"/>
        </w:rPr>
        <w:t xml:space="preserve"> </w:t>
      </w:r>
      <w:r w:rsidR="002E45E1" w:rsidRPr="00EB2576">
        <w:rPr>
          <w:rFonts w:ascii="Times New Roman" w:hAnsi="Times New Roman" w:cs="Times New Roman"/>
          <w:sz w:val="24"/>
          <w:szCs w:val="24"/>
        </w:rPr>
        <w:t>were selectively enriched</w:t>
      </w:r>
      <w:r w:rsidR="00504224" w:rsidRPr="00EB2576">
        <w:rPr>
          <w:rFonts w:ascii="Times New Roman" w:hAnsi="Times New Roman" w:cs="Times New Roman"/>
          <w:sz w:val="24"/>
          <w:szCs w:val="24"/>
        </w:rPr>
        <w:t xml:space="preserve"> from a RPL</w:t>
      </w:r>
      <w:r w:rsidR="00FE16C6" w:rsidRPr="00EB2576">
        <w:rPr>
          <w:rFonts w:ascii="Times New Roman" w:hAnsi="Times New Roman" w:cs="Times New Roman"/>
          <w:sz w:val="24"/>
          <w:szCs w:val="24"/>
        </w:rPr>
        <w:t xml:space="preserve">. </w:t>
      </w:r>
      <w:bookmarkEnd w:id="323"/>
      <w:r w:rsidR="00497F72" w:rsidRPr="00EB2576">
        <w:rPr>
          <w:rFonts w:ascii="Times New Roman" w:hAnsi="Times New Roman" w:cs="Times New Roman"/>
          <w:sz w:val="24"/>
          <w:szCs w:val="24"/>
        </w:rPr>
        <w:t>These peptides were not</w:t>
      </w:r>
      <w:r w:rsidR="008878B8" w:rsidRPr="00EB2576">
        <w:rPr>
          <w:rFonts w:ascii="Times New Roman" w:hAnsi="Times New Roman" w:cs="Times New Roman"/>
          <w:sz w:val="24"/>
          <w:szCs w:val="24"/>
        </w:rPr>
        <w:t xml:space="preserve"> enriched </w:t>
      </w:r>
      <w:r w:rsidR="00497F72" w:rsidRPr="00EB2576">
        <w:rPr>
          <w:rFonts w:ascii="Times New Roman" w:hAnsi="Times New Roman" w:cs="Times New Roman"/>
          <w:sz w:val="24"/>
          <w:szCs w:val="24"/>
        </w:rPr>
        <w:t>in the control selection</w:t>
      </w:r>
      <w:r w:rsidR="00504224" w:rsidRPr="00EB2576">
        <w:rPr>
          <w:rFonts w:ascii="Times New Roman" w:hAnsi="Times New Roman" w:cs="Times New Roman"/>
          <w:sz w:val="24"/>
          <w:szCs w:val="24"/>
        </w:rPr>
        <w:t>s of</w:t>
      </w:r>
      <w:r w:rsidR="00D755CA" w:rsidRPr="00EB2576">
        <w:rPr>
          <w:rFonts w:ascii="Times New Roman" w:hAnsi="Times New Roman" w:cs="Times New Roman"/>
          <w:sz w:val="24"/>
          <w:szCs w:val="24"/>
        </w:rPr>
        <w:t xml:space="preserve"> normal AB serum and blank</w:t>
      </w:r>
      <w:r w:rsidR="00497F72" w:rsidRPr="00EB2576">
        <w:rPr>
          <w:rFonts w:ascii="Times New Roman" w:hAnsi="Times New Roman" w:cs="Times New Roman"/>
          <w:sz w:val="24"/>
          <w:szCs w:val="24"/>
        </w:rPr>
        <w:t xml:space="preserve">. </w:t>
      </w:r>
      <w:r w:rsidR="00497F72" w:rsidRPr="00EB2576">
        <w:rPr>
          <w:rFonts w:ascii="Times New Roman" w:hAnsi="Times New Roman" w:cs="Times New Roman"/>
          <w:kern w:val="24"/>
          <w:sz w:val="24"/>
          <w:szCs w:val="24"/>
          <w:lang w:eastAsia="en-GB"/>
        </w:rPr>
        <w:t xml:space="preserve">There was no alignment of the </w:t>
      </w:r>
      <w:r w:rsidR="00855F21" w:rsidRPr="00EB2576">
        <w:rPr>
          <w:rFonts w:ascii="Times New Roman" w:hAnsi="Times New Roman" w:cs="Times New Roman"/>
          <w:kern w:val="24"/>
          <w:sz w:val="24"/>
          <w:szCs w:val="24"/>
          <w:lang w:eastAsia="en-GB"/>
        </w:rPr>
        <w:t xml:space="preserve">selected </w:t>
      </w:r>
      <w:r w:rsidR="00497F72" w:rsidRPr="00EB2576">
        <w:rPr>
          <w:rFonts w:ascii="Times New Roman" w:hAnsi="Times New Roman" w:cs="Times New Roman"/>
          <w:kern w:val="24"/>
          <w:sz w:val="24"/>
          <w:szCs w:val="24"/>
          <w:lang w:eastAsia="en-GB"/>
        </w:rPr>
        <w:t>peptides to the full-length infliximab peptide using pairwise sequence alignment</w:t>
      </w:r>
      <w:r w:rsidR="00497F72" w:rsidRPr="00EB2576">
        <w:rPr>
          <w:rFonts w:ascii="Times New Roman" w:eastAsia="Times New Roman" w:hAnsi="Times New Roman" w:cs="Times New Roman"/>
          <w:sz w:val="24"/>
          <w:szCs w:val="24"/>
          <w:lang w:eastAsia="en-GB"/>
        </w:rPr>
        <w:t xml:space="preserve"> and no match using </w:t>
      </w:r>
      <w:r w:rsidR="00497F72" w:rsidRPr="00EB2576">
        <w:rPr>
          <w:rFonts w:ascii="Times New Roman" w:hAnsi="Times New Roman" w:cs="Times New Roman"/>
          <w:kern w:val="24"/>
          <w:sz w:val="24"/>
          <w:szCs w:val="24"/>
          <w:lang w:eastAsia="en-GB"/>
        </w:rPr>
        <w:t>protein and nucleotide blast</w:t>
      </w:r>
      <w:r w:rsidR="00855F21" w:rsidRPr="00EB2576">
        <w:rPr>
          <w:rFonts w:ascii="Times New Roman" w:hAnsi="Times New Roman" w:cs="Times New Roman"/>
          <w:kern w:val="24"/>
          <w:sz w:val="24"/>
          <w:szCs w:val="24"/>
          <w:lang w:eastAsia="en-GB"/>
        </w:rPr>
        <w:t xml:space="preserve">, indicating they were not linear epitopes. </w:t>
      </w:r>
      <w:r w:rsidR="00D755CA" w:rsidRPr="00EB2576">
        <w:rPr>
          <w:rFonts w:ascii="Times New Roman" w:hAnsi="Times New Roman" w:cs="Times New Roman"/>
          <w:sz w:val="24"/>
          <w:szCs w:val="24"/>
        </w:rPr>
        <w:t xml:space="preserve">Using </w:t>
      </w:r>
      <w:proofErr w:type="spellStart"/>
      <w:r w:rsidR="00D755CA" w:rsidRPr="00EB2576">
        <w:rPr>
          <w:rFonts w:ascii="Times New Roman" w:hAnsi="Times New Roman" w:cs="Times New Roman"/>
          <w:sz w:val="24"/>
          <w:szCs w:val="24"/>
        </w:rPr>
        <w:t>Pepsurf</w:t>
      </w:r>
      <w:proofErr w:type="spellEnd"/>
      <w:r w:rsidR="00D755CA" w:rsidRPr="00EB2576">
        <w:rPr>
          <w:rFonts w:ascii="Times New Roman" w:hAnsi="Times New Roman" w:cs="Times New Roman"/>
          <w:sz w:val="24"/>
          <w:szCs w:val="24"/>
        </w:rPr>
        <w:t xml:space="preserve">, a mimotope prediction programme, three conformational epitopes were predicted. </w:t>
      </w:r>
    </w:p>
    <w:p w14:paraId="71E83440" w14:textId="77777777" w:rsidR="00AA18D5" w:rsidRPr="00EB2576" w:rsidRDefault="00AA18D5" w:rsidP="003F2571">
      <w:pPr>
        <w:spacing w:after="0" w:line="480" w:lineRule="auto"/>
        <w:contextualSpacing/>
        <w:rPr>
          <w:rFonts w:ascii="Times New Roman" w:hAnsi="Times New Roman" w:cs="Times New Roman"/>
          <w:kern w:val="24"/>
          <w:sz w:val="24"/>
          <w:szCs w:val="24"/>
        </w:rPr>
      </w:pPr>
    </w:p>
    <w:p w14:paraId="0DD11BF9" w14:textId="58F2D397" w:rsidR="000327D9" w:rsidRPr="00EB2576" w:rsidRDefault="005A7BD8" w:rsidP="003F2571">
      <w:pPr>
        <w:spacing w:after="0" w:line="480" w:lineRule="auto"/>
        <w:contextualSpacing/>
        <w:rPr>
          <w:rFonts w:ascii="Times New Roman" w:hAnsi="Times New Roman" w:cs="Times New Roman"/>
          <w:kern w:val="24"/>
          <w:sz w:val="24"/>
          <w:szCs w:val="24"/>
          <w:lang w:eastAsia="en-GB"/>
        </w:rPr>
      </w:pPr>
      <w:r w:rsidRPr="00EB2576">
        <w:rPr>
          <w:rFonts w:ascii="Times New Roman" w:hAnsi="Times New Roman" w:cs="Times New Roman"/>
          <w:kern w:val="24"/>
          <w:sz w:val="24"/>
          <w:szCs w:val="24"/>
        </w:rPr>
        <w:t xml:space="preserve">Mimotope prediction programmes use different algorithms with the inputs of </w:t>
      </w:r>
      <w:r w:rsidR="007F090F" w:rsidRPr="00EB2576">
        <w:rPr>
          <w:rFonts w:ascii="Times New Roman" w:hAnsi="Times New Roman" w:cs="Times New Roman"/>
          <w:kern w:val="24"/>
          <w:sz w:val="24"/>
          <w:szCs w:val="24"/>
        </w:rPr>
        <w:t xml:space="preserve">1) </w:t>
      </w:r>
      <w:r w:rsidRPr="00EB2576">
        <w:rPr>
          <w:rFonts w:ascii="Times New Roman" w:hAnsi="Times New Roman" w:cs="Times New Roman"/>
          <w:kern w:val="24"/>
          <w:sz w:val="24"/>
          <w:szCs w:val="24"/>
        </w:rPr>
        <w:t>the affinity selected peptides from random peptide libraries</w:t>
      </w:r>
      <w:r w:rsidR="007F090F" w:rsidRPr="00EB2576">
        <w:rPr>
          <w:rFonts w:ascii="Times New Roman" w:hAnsi="Times New Roman" w:cs="Times New Roman"/>
          <w:kern w:val="24"/>
          <w:sz w:val="24"/>
          <w:szCs w:val="24"/>
        </w:rPr>
        <w:t>,</w:t>
      </w:r>
      <w:r w:rsidRPr="00EB2576">
        <w:rPr>
          <w:rFonts w:ascii="Times New Roman" w:hAnsi="Times New Roman" w:cs="Times New Roman"/>
          <w:kern w:val="24"/>
          <w:sz w:val="24"/>
          <w:szCs w:val="24"/>
        </w:rPr>
        <w:t xml:space="preserve"> and</w:t>
      </w:r>
      <w:r w:rsidR="007F090F" w:rsidRPr="00EB2576">
        <w:rPr>
          <w:rFonts w:ascii="Times New Roman" w:hAnsi="Times New Roman" w:cs="Times New Roman"/>
          <w:kern w:val="24"/>
          <w:sz w:val="24"/>
          <w:szCs w:val="24"/>
        </w:rPr>
        <w:t xml:space="preserve"> 2)</w:t>
      </w:r>
      <w:r w:rsidRPr="00EB2576">
        <w:rPr>
          <w:rFonts w:ascii="Times New Roman" w:hAnsi="Times New Roman" w:cs="Times New Roman"/>
          <w:kern w:val="24"/>
          <w:sz w:val="24"/>
          <w:szCs w:val="24"/>
        </w:rPr>
        <w:t xml:space="preserve"> the known 3D antigen structure to predict conformational epitopes. </w:t>
      </w:r>
      <w:r w:rsidR="000327D9" w:rsidRPr="00EB2576">
        <w:rPr>
          <w:rFonts w:ascii="Times New Roman" w:hAnsi="Times New Roman" w:cs="Times New Roman"/>
          <w:kern w:val="24"/>
          <w:sz w:val="24"/>
          <w:szCs w:val="24"/>
        </w:rPr>
        <w:t xml:space="preserve">The </w:t>
      </w:r>
      <w:proofErr w:type="spellStart"/>
      <w:r w:rsidR="000327D9" w:rsidRPr="00EB2576">
        <w:rPr>
          <w:rFonts w:ascii="Times New Roman" w:hAnsi="Times New Roman" w:cs="Times New Roman"/>
          <w:kern w:val="24"/>
          <w:sz w:val="24"/>
          <w:szCs w:val="24"/>
        </w:rPr>
        <w:t>Pepitope</w:t>
      </w:r>
      <w:proofErr w:type="spellEnd"/>
      <w:r w:rsidR="000327D9" w:rsidRPr="00EB2576">
        <w:rPr>
          <w:rFonts w:ascii="Times New Roman" w:hAnsi="Times New Roman" w:cs="Times New Roman"/>
          <w:kern w:val="24"/>
          <w:sz w:val="24"/>
          <w:szCs w:val="24"/>
        </w:rPr>
        <w:t xml:space="preserve"> web server </w:t>
      </w:r>
      <w:r w:rsidR="00B53FF0" w:rsidRPr="00EB2576">
        <w:rPr>
          <w:rFonts w:ascii="Times New Roman" w:hAnsi="Times New Roman" w:cs="Times New Roman"/>
          <w:kern w:val="24"/>
          <w:sz w:val="24"/>
          <w:szCs w:val="24"/>
        </w:rPr>
        <w:t>(</w:t>
      </w:r>
      <w:hyperlink r:id="rId69" w:history="1">
        <w:r w:rsidR="00B53FF0" w:rsidRPr="00EB2576">
          <w:rPr>
            <w:rStyle w:val="Hyperlink"/>
            <w:rFonts w:ascii="Times New Roman" w:hAnsi="Times New Roman" w:cs="Times New Roman"/>
            <w:color w:val="auto"/>
            <w:kern w:val="24"/>
            <w:sz w:val="24"/>
            <w:szCs w:val="24"/>
          </w:rPr>
          <w:t>http://pepitope.tau.ac.il/</w:t>
        </w:r>
      </w:hyperlink>
      <w:r w:rsidR="00B53FF0" w:rsidRPr="00EB2576">
        <w:rPr>
          <w:rFonts w:ascii="Times New Roman" w:hAnsi="Times New Roman" w:cs="Times New Roman"/>
          <w:kern w:val="24"/>
          <w:sz w:val="24"/>
          <w:szCs w:val="24"/>
        </w:rPr>
        <w:t xml:space="preserve">) </w:t>
      </w:r>
      <w:r w:rsidR="000327D9" w:rsidRPr="00EB2576">
        <w:rPr>
          <w:rFonts w:ascii="Times New Roman" w:hAnsi="Times New Roman" w:cs="Times New Roman"/>
          <w:kern w:val="24"/>
          <w:sz w:val="24"/>
          <w:szCs w:val="24"/>
        </w:rPr>
        <w:t xml:space="preserve">has been used in the literature </w:t>
      </w:r>
      <w:r w:rsidR="005202C9" w:rsidRPr="00EB2576">
        <w:rPr>
          <w:rFonts w:ascii="Times New Roman" w:hAnsi="Times New Roman" w:cs="Times New Roman"/>
          <w:kern w:val="24"/>
          <w:sz w:val="24"/>
          <w:szCs w:val="24"/>
        </w:rPr>
        <w:t xml:space="preserve">since 2007 </w:t>
      </w:r>
      <w:r w:rsidR="000327D9" w:rsidRPr="00EB2576">
        <w:rPr>
          <w:rFonts w:ascii="Times New Roman" w:hAnsi="Times New Roman" w:cs="Times New Roman"/>
          <w:kern w:val="24"/>
          <w:sz w:val="24"/>
          <w:szCs w:val="24"/>
        </w:rPr>
        <w:t xml:space="preserve">to identify allergens, toxins, viruses and receptors via mimotope selection </w:t>
      </w:r>
      <w:r w:rsidR="00B53FF0" w:rsidRPr="00EB2576">
        <w:rPr>
          <w:rFonts w:ascii="Times New Roman" w:hAnsi="Times New Roman" w:cs="Times New Roman"/>
          <w:kern w:val="24"/>
          <w:sz w:val="24"/>
          <w:szCs w:val="24"/>
        </w:rPr>
        <w:fldChar w:fldCharType="begin" w:fldLock="1"/>
      </w:r>
      <w:r w:rsidR="009577AC" w:rsidRPr="00EB2576">
        <w:rPr>
          <w:rFonts w:ascii="Times New Roman" w:hAnsi="Times New Roman" w:cs="Times New Roman"/>
          <w:kern w:val="24"/>
          <w:sz w:val="24"/>
          <w:szCs w:val="24"/>
        </w:rPr>
        <w:instrText>ADDIN CSL_CITATION {"citationItems":[{"id":"ITEM-1","itemData":{"DOI":"10.1093/bioinformatics/btm493","ISSN":"1367-4803","author":[{"dropping-particle":"","family":"Mayrose","given":"I.","non-dropping-particle":"","parse-names":false,"suffix":""},{"dropping-particle":"","family":"Penn","given":"O.","non-dropping-particle":"","parse-names":false,"suffix":""},{"dropping-particle":"","family":"Erez","given":"E.","non-dropping-particle":"","parse-names":false,"suffix":""},{"dropping-particle":"","family":"Rubinstein","given":"N. D.","non-dropping-particle":"","parse-names":false,"suffix":""},{"dropping-particle":"","family":"Shlomi","given":"T.","non-dropping-particle":"","parse-names":false,"suffix":""},{"dropping-particle":"","family":"Freund","given":"N. T.","non-dropping-particle":"","parse-names":false,"suffix":""},{"dropping-particle":"","family":"Bublil","given":"E. M.","non-dropping-particle":"","parse-names":false,"suffix":""},{"dropping-particle":"","family":"Ruppin","given":"E.","non-dropping-particle":"","parse-names":false,"suffix":""},{"dropping-particle":"","family":"Sharan","given":"R.","non-dropping-particle":"","parse-names":false,"suffix":""},{"dropping-particle":"","family":"Gershoni","given":"J. M.","non-dropping-particle":"","parse-names":false,"suffix":""},{"dropping-particle":"","family":"Martz","given":"E.","non-dropping-particle":"","parse-names":false,"suffix":""},{"dropping-particle":"","family":"Pupko","given":"T.","non-dropping-particle":"","parse-names":false,"suffix":""}],"container-title":"Bioinformatics","id":"ITEM-1","issue":"23","issued":{"date-parts":[["2007","12","1"]]},"page":"3244-3246","title":"Pepitope: epitope mapping from affinity-selected peptides","type":"article-journal","volume":"23"},"uris":["http://www.mendeley.com/documents/?uuid=3d95e7b1-5767-448b-b097-516a507adcaa"]},{"id":"ITEM-2","itemData":{"DOI":"10.1039/C6FO00416D","ISSN":"2042-6496","abstract":"Alpha-lactalbumin (ALA) is one of the major allergens in cow's milk.","author":[{"dropping-particle":"","family":"Li","given":"Xin","non-dropping-particle":"","parse-names":false,"suffix":""},{"dropping-particle":"","family":"Yuan","given":"Shuilin","non-dropping-particle":"","parse-names":false,"suffix":""},{"dropping-particle":"","family":"Huang","given":"Meijia","non-dropping-particle":"","parse-names":false,"suffix":""},{"dropping-particle":"","family":"Gao","given":"Jinyan","non-dropping-particle":"","parse-names":false,"suffix":""},{"dropping-particle":"","family":"Wu","given":"Zhihua","non-dropping-particle":"","parse-names":false,"suffix":""},{"dropping-particle":"","family":"Tong","given":"Ping","non-dropping-particle":"","parse-names":false,"suffix":""},{"dropping-particle":"","family":"Yang","given":"Anshu","non-dropping-particle":"","parse-names":false,"suffix":""},{"dropping-particle":"","family":"Chen","given":"Hongbing","non-dropping-particle":"","parse-names":false,"suffix":""}],"container-title":"Food &amp; Function","id":"ITEM-2","issue":"7","issued":{"date-parts":[["2016"]]},"page":"2996-3005","title":"Identification of IgE and IgG epitopes on native Bos d 4 allergen specific to allergic children","type":"article-journal","volume":"7"},"uris":["http://www.mendeley.com/documents/?uuid=6fd18d74-cb65-426a-8a04-4e2da61d0eeb"]},{"id":"ITEM-3","itemData":{"DOI":"10.1038/onc.2010.195","ISSN":"0950-9232","author":[{"dropping-particle":"","family":"Hartmann","given":"C","non-dropping-particle":"","parse-names":false,"suffix":""},{"dropping-particle":"","family":"Müller","given":"N","non-dropping-particle":"","parse-names":false,"suffix":""},{"dropping-particle":"","family":"Blaukat","given":"A","non-dropping-particle":"","parse-names":false,"suffix":""},{"dropping-particle":"","family":"Koch","given":"J","non-dropping-particle":"","parse-names":false,"suffix":""},{"dropping-particle":"","family":"Benhar","given":"I","non-dropping-particle":"","parse-names":false,"suffix":""},{"dropping-particle":"","family":"Wels","given":"W S","non-dropping-particle":"","parse-names":false,"suffix":""}],"container-title":"Oncogene","id":"ITEM-3","issue":"32","issued":{"date-parts":[["2010","8","12"]]},"page":"4517-4527","title":"Peptide mimotopes recognized by antibodies cetuximab and matuzumab induce a functionally equivalent anti-EGFR immune response","type":"article-journal","volume":"29"},"uris":["http://www.mendeley.com/documents/?uuid=a70822f7-5269-4b08-8379-0c84b39d66cf"]},{"id":"ITEM-4","itemData":{"DOI":"10.1371/journal.pntd.0003903","ISSN":"1935-2735","author":[{"dropping-particle":"","family":"Tang","given":"Chung-Tao","non-dropping-particle":"","parse-names":false,"suffix":""},{"dropping-particle":"","family":"Li","given":"Pi-Chun","non-dropping-particle":"","parse-names":false,"suffix":""},{"dropping-particle":"","family":"Liu","given":"I-Ju","non-dropping-particle":"","parse-names":false,"suffix":""},{"dropping-particle":"","family":"Liao","given":"Mei-Ying","non-dropping-particle":"","parse-names":false,"suffix":""},{"dropping-particle":"","family":"Chiu","given":"Chiung-Yi","non-dropping-particle":"","parse-names":false,"suffix":""},{"dropping-particle":"","family":"Chao","given":"Day-Yu","non-dropping-particle":"","parse-names":false,"suffix":""},{"dropping-particle":"","family":"Wu","given":"Han-Chung","non-dropping-particle":"","parse-names":false,"suffix":""}],"container-title":"PLOS Neglected Tropical Diseases","editor":[{"dropping-particle":"","family":"Michael","given":"Scott F.","non-dropping-particle":"","parse-names":false,"suffix":""}],"id":"ITEM-4","issue":"7","issued":{"date-parts":[["2015","7","2"]]},"page":"e0003903","title":"An Epitope-Substituted DNA Vaccine Improves Safety and Immunogenicity against Dengue Virus Type 2","type":"article-journal","volume":"9"},"uris":["http://www.mendeley.com/documents/?uuid=0eebd7c8-8e95-4491-b45d-3973cb5167c2"]},{"id":"ITEM-5","itemData":{"DOI":"10.1371/journal.pone.0120847","ISSN":"1932-6203","author":[{"dropping-particle":"","family":"Chikaev","given":"Anton N.","non-dropping-particle":"","parse-names":false,"suffix":""},{"dropping-particle":"","family":"Bakulina","given":"Anastasiya Yu.","non-dropping-particle":"","parse-names":false,"suffix":""},{"dropping-particle":"","family":"Burdick","given":"Ryan C.","non-dropping-particle":"","parse-names":false,"suffix":""},{"dropping-particle":"","family":"Karpenko","given":"Larisa I.","non-dropping-particle":"","parse-names":false,"suffix":""},{"dropping-particle":"","family":"Pathak","given":"Vinay K.","non-dropping-particle":"","parse-names":false,"suffix":""},{"dropping-particle":"","family":"Ilyichev","given":"Alexander A.","non-dropping-particle":"","parse-names":false,"suffix":""}],"container-title":"PLOS ONE","editor":[{"dropping-particle":"","family":"Mantis","given":"Nicholas J","non-dropping-particle":"","parse-names":false,"suffix":""}],"id":"ITEM-5","issue":"3","issued":{"date-parts":[["2015","3","18"]]},"page":"e0120847","title":"Selection of Peptide Mimics of HIV-1 Epitope Recognized by Neutralizing Antibody VRC01","type":"article-journal","volume":"10"},"uris":["http://www.mendeley.com/documents/?uuid=f534d2af-347d-4c92-86d2-3ac57f8f6279"]},{"id":"ITEM-6","itemData":{"DOI":"10.1016/j.imbio.2014.07.002","ISSN":"01712985","author":[{"dropping-particle":"","family":"Alves","given":"Patrícia Terra","non-dropping-particle":"","parse-names":false,"suffix":""},{"dropping-particle":"","family":"Fujimura","given":"Patrícia Tiemi","non-dropping-particle":"","parse-names":false,"suffix":""},{"dropping-particle":"","family":"Morais","given":"Léa Duarte da Silva","non-dropping-particle":"","parse-names":false,"suffix":""},{"dropping-particle":"","family":"Goulart","given":"Luiz Ricardo","non-dropping-particle":"","parse-names":false,"suffix":""}],"container-title":"Immunobiology","id":"ITEM-6","issue":"11","issued":{"date-parts":[["2014","11"]]},"page":"822-829","title":"Revisiting the CD14: Epitope mapping by Phage Display","type":"article-journal","volume":"219"},"uris":["http://www.mendeley.com/documents/?uuid=2894c482-a26a-4923-bb7b-15fa3ed32217"]}],"mendeley":{"formattedCitation":"&lt;sup&gt;156,204–208&lt;/sup&gt;","plainTextFormattedCitation":"156,204–208","previouslyFormattedCitation":"&lt;sup&gt;156,204–208&lt;/sup&gt;"},"properties":{"noteIndex":0},"schema":"https://github.com/citation-style-language/schema/raw/master/csl-citation.json"}</w:instrText>
      </w:r>
      <w:r w:rsidR="00B53FF0" w:rsidRPr="00EB2576">
        <w:rPr>
          <w:rFonts w:ascii="Times New Roman" w:hAnsi="Times New Roman" w:cs="Times New Roman"/>
          <w:kern w:val="24"/>
          <w:sz w:val="24"/>
          <w:szCs w:val="24"/>
        </w:rPr>
        <w:fldChar w:fldCharType="separate"/>
      </w:r>
      <w:r w:rsidR="00201474" w:rsidRPr="00EB2576">
        <w:rPr>
          <w:rFonts w:ascii="Times New Roman" w:hAnsi="Times New Roman" w:cs="Times New Roman"/>
          <w:noProof/>
          <w:kern w:val="24"/>
          <w:sz w:val="24"/>
          <w:szCs w:val="24"/>
          <w:vertAlign w:val="superscript"/>
        </w:rPr>
        <w:t>156,204–208</w:t>
      </w:r>
      <w:r w:rsidR="00B53FF0" w:rsidRPr="00EB2576">
        <w:rPr>
          <w:rFonts w:ascii="Times New Roman" w:hAnsi="Times New Roman" w:cs="Times New Roman"/>
          <w:kern w:val="24"/>
          <w:sz w:val="24"/>
          <w:szCs w:val="24"/>
        </w:rPr>
        <w:fldChar w:fldCharType="end"/>
      </w:r>
      <w:r w:rsidR="000327D9" w:rsidRPr="00EB2576">
        <w:rPr>
          <w:rFonts w:ascii="Times New Roman" w:hAnsi="Times New Roman" w:cs="Times New Roman"/>
          <w:kern w:val="24"/>
          <w:sz w:val="24"/>
          <w:szCs w:val="24"/>
        </w:rPr>
        <w:t xml:space="preserve">. It uses two algorithms: </w:t>
      </w:r>
      <w:proofErr w:type="spellStart"/>
      <w:r w:rsidR="000327D9" w:rsidRPr="00EB2576">
        <w:rPr>
          <w:rFonts w:ascii="Times New Roman" w:hAnsi="Times New Roman" w:cs="Times New Roman"/>
          <w:kern w:val="24"/>
          <w:sz w:val="24"/>
          <w:szCs w:val="24"/>
        </w:rPr>
        <w:t>PepSurf</w:t>
      </w:r>
      <w:proofErr w:type="spellEnd"/>
      <w:r w:rsidR="000327D9" w:rsidRPr="00EB2576">
        <w:rPr>
          <w:rFonts w:ascii="Times New Roman" w:hAnsi="Times New Roman" w:cs="Times New Roman"/>
          <w:kern w:val="24"/>
          <w:sz w:val="24"/>
          <w:szCs w:val="24"/>
        </w:rPr>
        <w:t xml:space="preserve"> and </w:t>
      </w:r>
      <w:proofErr w:type="spellStart"/>
      <w:r w:rsidR="000327D9" w:rsidRPr="00EB2576">
        <w:rPr>
          <w:rFonts w:ascii="Times New Roman" w:hAnsi="Times New Roman" w:cs="Times New Roman"/>
          <w:kern w:val="24"/>
          <w:sz w:val="24"/>
          <w:szCs w:val="24"/>
        </w:rPr>
        <w:t>Mapitope</w:t>
      </w:r>
      <w:proofErr w:type="spellEnd"/>
      <w:r w:rsidR="000327D9" w:rsidRPr="00EB2576">
        <w:rPr>
          <w:rFonts w:ascii="Times New Roman" w:hAnsi="Times New Roman" w:cs="Times New Roman"/>
          <w:kern w:val="24"/>
          <w:sz w:val="24"/>
          <w:szCs w:val="24"/>
        </w:rPr>
        <w:t xml:space="preserve">. My research has utilised the </w:t>
      </w:r>
      <w:proofErr w:type="spellStart"/>
      <w:r w:rsidR="000327D9" w:rsidRPr="00EB2576">
        <w:rPr>
          <w:rFonts w:ascii="Times New Roman" w:hAnsi="Times New Roman" w:cs="Times New Roman"/>
          <w:kern w:val="24"/>
          <w:sz w:val="24"/>
          <w:szCs w:val="24"/>
        </w:rPr>
        <w:t>Pepsurf</w:t>
      </w:r>
      <w:proofErr w:type="spellEnd"/>
      <w:r w:rsidR="000327D9" w:rsidRPr="00EB2576">
        <w:rPr>
          <w:rFonts w:ascii="Times New Roman" w:hAnsi="Times New Roman" w:cs="Times New Roman"/>
          <w:kern w:val="24"/>
          <w:sz w:val="24"/>
          <w:szCs w:val="24"/>
        </w:rPr>
        <w:t xml:space="preserve"> algorithm which uses the selected peptide to search for “paths” of neighbouring residues on the surface of the antigen 3-D structure that has a high similarity to the input peptide sequence</w:t>
      </w:r>
      <w:r w:rsidR="002E47C1" w:rsidRPr="00EB2576">
        <w:rPr>
          <w:rFonts w:ascii="Times New Roman" w:hAnsi="Times New Roman" w:cs="Times New Roman"/>
          <w:kern w:val="24"/>
          <w:sz w:val="24"/>
          <w:szCs w:val="24"/>
        </w:rPr>
        <w:t xml:space="preserve"> </w:t>
      </w:r>
      <w:r w:rsidR="002E47C1" w:rsidRPr="00EB2576">
        <w:rPr>
          <w:rFonts w:ascii="Times New Roman" w:hAnsi="Times New Roman" w:cs="Times New Roman"/>
          <w:kern w:val="24"/>
          <w:sz w:val="24"/>
          <w:szCs w:val="24"/>
        </w:rPr>
        <w:fldChar w:fldCharType="begin" w:fldLock="1"/>
      </w:r>
      <w:r w:rsidR="009577AC" w:rsidRPr="00EB2576">
        <w:rPr>
          <w:rFonts w:ascii="Times New Roman" w:hAnsi="Times New Roman" w:cs="Times New Roman"/>
          <w:kern w:val="24"/>
          <w:sz w:val="24"/>
          <w:szCs w:val="24"/>
        </w:rPr>
        <w:instrText>ADDIN CSL_CITATION {"citationItems":[{"id":"ITEM-1","itemData":{"DOI":"10.1093/nar/gkl975","ISSN":"1362-4962","author":[{"dropping-particle":"","family":"Mayrose","given":"Itay","non-dropping-particle":"","parse-names":false,"suffix":""},{"dropping-particle":"","family":"Shlomi","given":"Tomer","non-dropping-particle":"","parse-names":false,"suffix":""},{"dropping-particle":"","family":"Rubinstein","given":"Nimrod D.","non-dropping-particle":"","parse-names":false,"suffix":""},{"dropping-particle":"","family":"Gershoni","given":"Jonathan M.","non-dropping-particle":"","parse-names":false,"suffix":""},{"dropping-particle":"","family":"Ruppin","given":"Eytan","non-dropping-particle":"","parse-names":false,"suffix":""},{"dropping-particle":"","family":"Sharan","given":"Roded","non-dropping-particle":"","parse-names":false,"suffix":""},{"dropping-particle":"","family":"Pupko","given":"Tal","non-dropping-particle":"","parse-names":false,"suffix":""}],"container-title":"Nucleic Acids Research","id":"ITEM-1","issue":"1","issued":{"date-parts":[["2007","1"]]},"page":"69-78","title":"Epitope mapping using combinatorial phage-display libraries: a graph-based algorithm","type":"article-journal","volume":"35"},"uris":["http://www.mendeley.com/documents/?uuid=21e0f432-a870-4204-ace4-e3d03f20d75f"]}],"mendeley":{"formattedCitation":"&lt;sup&gt;209&lt;/sup&gt;","plainTextFormattedCitation":"209","previouslyFormattedCitation":"&lt;sup&gt;209&lt;/sup&gt;"},"properties":{"noteIndex":0},"schema":"https://github.com/citation-style-language/schema/raw/master/csl-citation.json"}</w:instrText>
      </w:r>
      <w:r w:rsidR="002E47C1" w:rsidRPr="00EB2576">
        <w:rPr>
          <w:rFonts w:ascii="Times New Roman" w:hAnsi="Times New Roman" w:cs="Times New Roman"/>
          <w:kern w:val="24"/>
          <w:sz w:val="24"/>
          <w:szCs w:val="24"/>
        </w:rPr>
        <w:fldChar w:fldCharType="separate"/>
      </w:r>
      <w:r w:rsidR="00201474" w:rsidRPr="00EB2576">
        <w:rPr>
          <w:rFonts w:ascii="Times New Roman" w:hAnsi="Times New Roman" w:cs="Times New Roman"/>
          <w:noProof/>
          <w:kern w:val="24"/>
          <w:sz w:val="24"/>
          <w:szCs w:val="24"/>
          <w:vertAlign w:val="superscript"/>
        </w:rPr>
        <w:t>209</w:t>
      </w:r>
      <w:r w:rsidR="002E47C1" w:rsidRPr="00EB2576">
        <w:rPr>
          <w:rFonts w:ascii="Times New Roman" w:hAnsi="Times New Roman" w:cs="Times New Roman"/>
          <w:kern w:val="24"/>
          <w:sz w:val="24"/>
          <w:szCs w:val="24"/>
        </w:rPr>
        <w:fldChar w:fldCharType="end"/>
      </w:r>
      <w:r w:rsidR="000327D9" w:rsidRPr="00EB2576">
        <w:rPr>
          <w:rFonts w:ascii="Times New Roman" w:hAnsi="Times New Roman" w:cs="Times New Roman"/>
          <w:kern w:val="24"/>
          <w:sz w:val="24"/>
          <w:szCs w:val="24"/>
        </w:rPr>
        <w:t>. These neighbouring residues/clusters are then assessed with internal scores including cluster scores, where the higher the score, the more significant the alignment in predicting an epitope</w:t>
      </w:r>
      <w:r w:rsidR="002E47C1" w:rsidRPr="00EB2576">
        <w:rPr>
          <w:rFonts w:ascii="Times New Roman" w:hAnsi="Times New Roman" w:cs="Times New Roman"/>
          <w:kern w:val="24"/>
          <w:sz w:val="24"/>
          <w:szCs w:val="24"/>
        </w:rPr>
        <w:t xml:space="preserve"> </w:t>
      </w:r>
      <w:r w:rsidR="005202C9" w:rsidRPr="00EB2576">
        <w:rPr>
          <w:rFonts w:ascii="Times New Roman" w:hAnsi="Times New Roman" w:cs="Times New Roman"/>
          <w:kern w:val="24"/>
          <w:sz w:val="24"/>
          <w:szCs w:val="24"/>
        </w:rPr>
        <w:fldChar w:fldCharType="begin" w:fldLock="1"/>
      </w:r>
      <w:r w:rsidR="009577AC" w:rsidRPr="00EB2576">
        <w:rPr>
          <w:rFonts w:ascii="Times New Roman" w:hAnsi="Times New Roman" w:cs="Times New Roman"/>
          <w:kern w:val="24"/>
          <w:sz w:val="24"/>
          <w:szCs w:val="24"/>
        </w:rPr>
        <w:instrText>ADDIN CSL_CITATION {"citationItems":[{"id":"ITEM-1","itemData":{"DOI":"10.1093/nar/gkl975","ISSN":"1362-4962","author":[{"dropping-particle":"","family":"Mayrose","given":"Itay","non-dropping-particle":"","parse-names":false,"suffix":""},{"dropping-particle":"","family":"Shlomi","given":"Tomer","non-dropping-particle":"","parse-names":false,"suffix":""},{"dropping-particle":"","family":"Rubinstein","given":"Nimrod D.","non-dropping-particle":"","parse-names":false,"suffix":""},{"dropping-particle":"","family":"Gershoni","given":"Jonathan M.","non-dropping-particle":"","parse-names":false,"suffix":""},{"dropping-particle":"","family":"Ruppin","given":"Eytan","non-dropping-particle":"","parse-names":false,"suffix":""},{"dropping-particle":"","family":"Sharan","given":"Roded","non-dropping-particle":"","parse-names":false,"suffix":""},{"dropping-particle":"","family":"Pupko","given":"Tal","non-dropping-particle":"","parse-names":false,"suffix":""}],"container-title":"Nucleic Acids Research","id":"ITEM-1","issue":"1","issued":{"date-parts":[["2007","1"]]},"page":"69-78","title":"Epitope mapping using combinatorial phage-display libraries: a graph-based algorithm","type":"article-journal","volume":"35"},"uris":["http://www.mendeley.com/documents/?uuid=21e0f432-a870-4204-ace4-e3d03f20d75f"]}],"mendeley":{"formattedCitation":"&lt;sup&gt;209&lt;/sup&gt;","plainTextFormattedCitation":"209","previouslyFormattedCitation":"&lt;sup&gt;209&lt;/sup&gt;"},"properties":{"noteIndex":0},"schema":"https://github.com/citation-style-language/schema/raw/master/csl-citation.json"}</w:instrText>
      </w:r>
      <w:r w:rsidR="005202C9" w:rsidRPr="00EB2576">
        <w:rPr>
          <w:rFonts w:ascii="Times New Roman" w:hAnsi="Times New Roman" w:cs="Times New Roman"/>
          <w:kern w:val="24"/>
          <w:sz w:val="24"/>
          <w:szCs w:val="24"/>
        </w:rPr>
        <w:fldChar w:fldCharType="separate"/>
      </w:r>
      <w:r w:rsidR="00201474" w:rsidRPr="00EB2576">
        <w:rPr>
          <w:rFonts w:ascii="Times New Roman" w:hAnsi="Times New Roman" w:cs="Times New Roman"/>
          <w:noProof/>
          <w:kern w:val="24"/>
          <w:sz w:val="24"/>
          <w:szCs w:val="24"/>
          <w:vertAlign w:val="superscript"/>
        </w:rPr>
        <w:t>209</w:t>
      </w:r>
      <w:r w:rsidR="005202C9" w:rsidRPr="00EB2576">
        <w:rPr>
          <w:rFonts w:ascii="Times New Roman" w:hAnsi="Times New Roman" w:cs="Times New Roman"/>
          <w:kern w:val="24"/>
          <w:sz w:val="24"/>
          <w:szCs w:val="24"/>
        </w:rPr>
        <w:fldChar w:fldCharType="end"/>
      </w:r>
      <w:r w:rsidR="000327D9" w:rsidRPr="00EB2576">
        <w:rPr>
          <w:rFonts w:ascii="Times New Roman" w:hAnsi="Times New Roman" w:cs="Times New Roman"/>
          <w:kern w:val="24"/>
          <w:sz w:val="24"/>
          <w:szCs w:val="24"/>
        </w:rPr>
        <w:t>.</w:t>
      </w:r>
      <w:r w:rsidR="000327D9" w:rsidRPr="00EB2576">
        <w:rPr>
          <w:rFonts w:ascii="Times New Roman" w:hAnsi="Times New Roman" w:cs="Times New Roman"/>
          <w:sz w:val="24"/>
          <w:szCs w:val="24"/>
        </w:rPr>
        <w:t xml:space="preserve"> Studies have </w:t>
      </w:r>
      <w:r w:rsidRPr="00EB2576">
        <w:rPr>
          <w:rFonts w:ascii="Times New Roman" w:hAnsi="Times New Roman" w:cs="Times New Roman"/>
          <w:sz w:val="24"/>
          <w:szCs w:val="24"/>
        </w:rPr>
        <w:t xml:space="preserve">tried to </w:t>
      </w:r>
      <w:r w:rsidR="000327D9" w:rsidRPr="00EB2576">
        <w:rPr>
          <w:rFonts w:ascii="Times New Roman" w:hAnsi="Times New Roman" w:cs="Times New Roman"/>
          <w:sz w:val="24"/>
          <w:szCs w:val="24"/>
        </w:rPr>
        <w:t xml:space="preserve">assess the accuracy of </w:t>
      </w:r>
      <w:r w:rsidRPr="00EB2576">
        <w:rPr>
          <w:rFonts w:ascii="Times New Roman" w:hAnsi="Times New Roman" w:cs="Times New Roman"/>
          <w:sz w:val="24"/>
          <w:szCs w:val="24"/>
        </w:rPr>
        <w:t xml:space="preserve">the different </w:t>
      </w:r>
      <w:r w:rsidR="002E47C1" w:rsidRPr="00EB2576">
        <w:rPr>
          <w:rFonts w:ascii="Times New Roman" w:hAnsi="Times New Roman" w:cs="Times New Roman"/>
          <w:sz w:val="24"/>
          <w:szCs w:val="24"/>
        </w:rPr>
        <w:t xml:space="preserve">mimotope prediction </w:t>
      </w:r>
      <w:r w:rsidRPr="00EB2576">
        <w:rPr>
          <w:rFonts w:ascii="Times New Roman" w:hAnsi="Times New Roman" w:cs="Times New Roman"/>
          <w:sz w:val="24"/>
          <w:szCs w:val="24"/>
        </w:rPr>
        <w:t xml:space="preserve">programmes </w:t>
      </w:r>
      <w:r w:rsidR="002E47C1" w:rsidRPr="00EB2576">
        <w:rPr>
          <w:rFonts w:ascii="Times New Roman" w:hAnsi="Times New Roman" w:cs="Times New Roman"/>
          <w:sz w:val="24"/>
          <w:szCs w:val="24"/>
        </w:rPr>
        <w:t xml:space="preserve">in predicting epitopes. </w:t>
      </w:r>
      <w:r w:rsidR="002E47C1" w:rsidRPr="00EB2576">
        <w:rPr>
          <w:rFonts w:ascii="Times New Roman" w:hAnsi="Times New Roman" w:cs="Times New Roman"/>
          <w:kern w:val="24"/>
          <w:sz w:val="24"/>
          <w:szCs w:val="24"/>
        </w:rPr>
        <w:t xml:space="preserve">However, a key limitation is that there is no “gold standard” to </w:t>
      </w:r>
      <w:r w:rsidR="008D3B0C" w:rsidRPr="00EB2576">
        <w:rPr>
          <w:rFonts w:ascii="Times New Roman" w:hAnsi="Times New Roman" w:cs="Times New Roman"/>
          <w:kern w:val="24"/>
          <w:sz w:val="24"/>
          <w:szCs w:val="24"/>
        </w:rPr>
        <w:t>assess</w:t>
      </w:r>
      <w:r w:rsidR="002E47C1" w:rsidRPr="00EB2576">
        <w:rPr>
          <w:rFonts w:ascii="Times New Roman" w:hAnsi="Times New Roman" w:cs="Times New Roman"/>
          <w:kern w:val="24"/>
          <w:sz w:val="24"/>
          <w:szCs w:val="24"/>
        </w:rPr>
        <w:t xml:space="preserve"> the quality of the performance of the different tools and our knowledge on</w:t>
      </w:r>
      <w:r w:rsidR="002E47C1" w:rsidRPr="00EB2576">
        <w:rPr>
          <w:rFonts w:ascii="Times New Roman" w:hAnsi="Times New Roman" w:cs="Times New Roman"/>
          <w:sz w:val="24"/>
          <w:szCs w:val="24"/>
        </w:rPr>
        <w:t xml:space="preserve"> the molecular nature of an antigen–antibody interaction and the key </w:t>
      </w:r>
      <w:r w:rsidR="00BA73E6" w:rsidRPr="00EB2576">
        <w:rPr>
          <w:rFonts w:ascii="Times New Roman" w:hAnsi="Times New Roman" w:cs="Times New Roman"/>
          <w:sz w:val="24"/>
          <w:szCs w:val="24"/>
        </w:rPr>
        <w:t>component</w:t>
      </w:r>
      <w:r w:rsidR="002E47C1" w:rsidRPr="00EB2576">
        <w:rPr>
          <w:rFonts w:ascii="Times New Roman" w:hAnsi="Times New Roman" w:cs="Times New Roman"/>
          <w:sz w:val="24"/>
          <w:szCs w:val="24"/>
        </w:rPr>
        <w:t xml:space="preserve"> </w:t>
      </w:r>
      <w:r w:rsidR="002E47C1" w:rsidRPr="00EB2576">
        <w:rPr>
          <w:rFonts w:ascii="Times New Roman" w:hAnsi="Times New Roman" w:cs="Times New Roman"/>
          <w:sz w:val="24"/>
          <w:szCs w:val="24"/>
        </w:rPr>
        <w:lastRenderedPageBreak/>
        <w:t>within that interaction is limited.</w:t>
      </w:r>
      <w:r w:rsidR="002E47C1" w:rsidRPr="00EB2576">
        <w:rPr>
          <w:rFonts w:ascii="Times New Roman" w:hAnsi="Times New Roman" w:cs="Times New Roman"/>
          <w:kern w:val="24"/>
          <w:sz w:val="24"/>
          <w:szCs w:val="24"/>
        </w:rPr>
        <w:t xml:space="preserve"> </w:t>
      </w:r>
      <w:r w:rsidR="000327D9" w:rsidRPr="00EB2576">
        <w:rPr>
          <w:rFonts w:ascii="Times New Roman" w:hAnsi="Times New Roman" w:cs="Times New Roman"/>
          <w:kern w:val="24"/>
          <w:sz w:val="24"/>
          <w:szCs w:val="24"/>
        </w:rPr>
        <w:t xml:space="preserve">There </w:t>
      </w:r>
      <w:r w:rsidR="00BA73E6" w:rsidRPr="00EB2576">
        <w:rPr>
          <w:rFonts w:ascii="Times New Roman" w:hAnsi="Times New Roman" w:cs="Times New Roman"/>
          <w:kern w:val="24"/>
          <w:sz w:val="24"/>
          <w:szCs w:val="24"/>
        </w:rPr>
        <w:t>continues to be</w:t>
      </w:r>
      <w:r w:rsidR="000327D9" w:rsidRPr="00EB2576">
        <w:rPr>
          <w:rFonts w:ascii="Times New Roman" w:hAnsi="Times New Roman" w:cs="Times New Roman"/>
          <w:kern w:val="24"/>
          <w:sz w:val="24"/>
          <w:szCs w:val="24"/>
        </w:rPr>
        <w:t xml:space="preserve"> limitations with all B cell epitope prediction tools including those using mimotopes.</w:t>
      </w:r>
      <w:r w:rsidR="000327D9" w:rsidRPr="00EB2576">
        <w:rPr>
          <w:rFonts w:ascii="Times New Roman" w:hAnsi="Times New Roman" w:cs="Times New Roman"/>
          <w:sz w:val="24"/>
          <w:szCs w:val="24"/>
        </w:rPr>
        <w:t xml:space="preserve"> Therefore, although these bioinformatic tools have their limitations, they give insight into an area of immunology that is complex. </w:t>
      </w:r>
      <w:r w:rsidR="000434A0" w:rsidRPr="00EB2576">
        <w:rPr>
          <w:rFonts w:ascii="Times New Roman" w:hAnsi="Times New Roman" w:cs="Times New Roman"/>
          <w:sz w:val="24"/>
          <w:szCs w:val="24"/>
        </w:rPr>
        <w:t xml:space="preserve">Using </w:t>
      </w:r>
      <w:proofErr w:type="spellStart"/>
      <w:r w:rsidR="000434A0" w:rsidRPr="00EB2576">
        <w:rPr>
          <w:rFonts w:ascii="Times New Roman" w:hAnsi="Times New Roman" w:cs="Times New Roman"/>
          <w:sz w:val="24"/>
          <w:szCs w:val="24"/>
        </w:rPr>
        <w:t>Pepsurf</w:t>
      </w:r>
      <w:proofErr w:type="spellEnd"/>
      <w:r w:rsidR="000434A0" w:rsidRPr="00EB2576">
        <w:rPr>
          <w:rFonts w:ascii="Times New Roman" w:hAnsi="Times New Roman" w:cs="Times New Roman"/>
          <w:sz w:val="24"/>
          <w:szCs w:val="24"/>
        </w:rPr>
        <w:t xml:space="preserve">, </w:t>
      </w:r>
      <w:r w:rsidR="00F17B35" w:rsidRPr="00EB2576">
        <w:rPr>
          <w:rFonts w:ascii="Times New Roman" w:hAnsi="Times New Roman" w:cs="Times New Roman"/>
          <w:sz w:val="24"/>
          <w:szCs w:val="24"/>
        </w:rPr>
        <w:t xml:space="preserve">three </w:t>
      </w:r>
      <w:r w:rsidR="00277564" w:rsidRPr="00EB2576">
        <w:rPr>
          <w:rFonts w:ascii="Times New Roman" w:hAnsi="Times New Roman" w:cs="Times New Roman"/>
          <w:sz w:val="24"/>
          <w:szCs w:val="24"/>
        </w:rPr>
        <w:t>conformational epitopes were predicted on the infliximab Fab and t</w:t>
      </w:r>
      <w:r w:rsidR="000434A0" w:rsidRPr="00EB2576">
        <w:rPr>
          <w:rFonts w:ascii="Times New Roman" w:hAnsi="Times New Roman" w:cs="Times New Roman"/>
          <w:sz w:val="24"/>
          <w:szCs w:val="24"/>
        </w:rPr>
        <w:t xml:space="preserve">he cluster scores for the selectively enriched peptides </w:t>
      </w:r>
      <w:r w:rsidR="00277564" w:rsidRPr="00EB2576">
        <w:rPr>
          <w:rFonts w:ascii="Times New Roman" w:hAnsi="Times New Roman" w:cs="Times New Roman"/>
          <w:sz w:val="24"/>
          <w:szCs w:val="24"/>
        </w:rPr>
        <w:t>wer</w:t>
      </w:r>
      <w:r w:rsidR="000434A0" w:rsidRPr="00EB2576">
        <w:rPr>
          <w:rFonts w:ascii="Times New Roman" w:hAnsi="Times New Roman" w:cs="Times New Roman"/>
          <w:sz w:val="24"/>
          <w:szCs w:val="24"/>
        </w:rPr>
        <w:t>e higher than the peptides selected on normal AB and blank selections</w:t>
      </w:r>
      <w:r w:rsidR="00277564" w:rsidRPr="00EB2576">
        <w:rPr>
          <w:rFonts w:ascii="Times New Roman" w:hAnsi="Times New Roman" w:cs="Times New Roman"/>
          <w:sz w:val="24"/>
          <w:szCs w:val="24"/>
        </w:rPr>
        <w:t>.</w:t>
      </w:r>
      <w:bookmarkStart w:id="324" w:name="_Hlk138939335"/>
      <w:r w:rsidR="00866683" w:rsidRPr="00EB2576">
        <w:rPr>
          <w:rFonts w:ascii="Times New Roman" w:hAnsi="Times New Roman" w:cs="Times New Roman"/>
          <w:sz w:val="24"/>
          <w:szCs w:val="24"/>
        </w:rPr>
        <w:t xml:space="preserve"> One of the predicted epitopes: RPL light chain peptide 1 overlapped with a linear epitope selected from the GFL: Light chain peptide 3 linear epitope</w:t>
      </w:r>
      <w:bookmarkEnd w:id="324"/>
      <w:r w:rsidR="00866683" w:rsidRPr="00EB2576">
        <w:rPr>
          <w:rFonts w:ascii="Times New Roman" w:eastAsia="Calibri" w:hAnsi="Times New Roman" w:cs="Times New Roman"/>
          <w:kern w:val="24"/>
          <w:sz w:val="24"/>
          <w:szCs w:val="24"/>
        </w:rPr>
        <w:t>.</w:t>
      </w:r>
    </w:p>
    <w:p w14:paraId="5907C647" w14:textId="77777777" w:rsidR="00FE16C6" w:rsidRPr="00EB2576" w:rsidRDefault="00FE16C6" w:rsidP="003F2571">
      <w:pPr>
        <w:spacing w:line="480" w:lineRule="auto"/>
        <w:rPr>
          <w:rFonts w:ascii="Times New Roman" w:hAnsi="Times New Roman" w:cs="Times New Roman"/>
          <w:sz w:val="24"/>
          <w:szCs w:val="24"/>
        </w:rPr>
      </w:pPr>
    </w:p>
    <w:p w14:paraId="27A1850A" w14:textId="083BCC4F" w:rsidR="00EB1BCD" w:rsidRPr="00EB2576" w:rsidRDefault="00F82699" w:rsidP="003F2571">
      <w:pPr>
        <w:autoSpaceDE w:val="0"/>
        <w:autoSpaceDN w:val="0"/>
        <w:adjustRightInd w:val="0"/>
        <w:spacing w:after="0" w:line="480" w:lineRule="auto"/>
        <w:rPr>
          <w:rFonts w:ascii="Times New Roman" w:hAnsi="Times New Roman" w:cs="Times New Roman"/>
          <w:sz w:val="24"/>
          <w:szCs w:val="24"/>
        </w:rPr>
      </w:pPr>
      <w:r w:rsidRPr="00EB2576">
        <w:rPr>
          <w:rFonts w:ascii="Times New Roman" w:hAnsi="Times New Roman" w:cs="Times New Roman"/>
          <w:sz w:val="24"/>
          <w:szCs w:val="24"/>
        </w:rPr>
        <w:t xml:space="preserve">Different measures were </w:t>
      </w:r>
      <w:r w:rsidR="006956C5" w:rsidRPr="00EB2576">
        <w:rPr>
          <w:rFonts w:ascii="Times New Roman" w:hAnsi="Times New Roman" w:cs="Times New Roman"/>
          <w:sz w:val="24"/>
          <w:szCs w:val="24"/>
        </w:rPr>
        <w:t xml:space="preserve">considered and implemented in the selection of the </w:t>
      </w:r>
      <w:r w:rsidR="00CC228B" w:rsidRPr="00EB2576">
        <w:rPr>
          <w:rFonts w:ascii="Times New Roman" w:hAnsi="Times New Roman" w:cs="Times New Roman"/>
          <w:sz w:val="24"/>
          <w:szCs w:val="24"/>
        </w:rPr>
        <w:t>RPL</w:t>
      </w:r>
      <w:r w:rsidR="006956C5" w:rsidRPr="00EB2576">
        <w:rPr>
          <w:rFonts w:ascii="Times New Roman" w:hAnsi="Times New Roman" w:cs="Times New Roman"/>
          <w:sz w:val="24"/>
          <w:szCs w:val="24"/>
        </w:rPr>
        <w:t xml:space="preserve"> </w:t>
      </w:r>
      <w:r w:rsidR="00E31F21" w:rsidRPr="00EB2576">
        <w:rPr>
          <w:rFonts w:ascii="Times New Roman" w:hAnsi="Times New Roman" w:cs="Times New Roman"/>
          <w:sz w:val="24"/>
          <w:szCs w:val="24"/>
        </w:rPr>
        <w:t xml:space="preserve">to </w:t>
      </w:r>
      <w:r w:rsidR="006956C5" w:rsidRPr="00EB2576">
        <w:rPr>
          <w:rFonts w:ascii="Times New Roman" w:hAnsi="Times New Roman" w:cs="Times New Roman"/>
          <w:sz w:val="24"/>
          <w:szCs w:val="24"/>
        </w:rPr>
        <w:t>reduce the risk of non-specific binding phage</w:t>
      </w:r>
      <w:r w:rsidR="000A693A" w:rsidRPr="00EB2576">
        <w:rPr>
          <w:rFonts w:ascii="Times New Roman" w:hAnsi="Times New Roman" w:cs="Times New Roman"/>
          <w:sz w:val="24"/>
          <w:szCs w:val="24"/>
        </w:rPr>
        <w:t>.</w:t>
      </w:r>
      <w:r w:rsidR="00FE1DC3" w:rsidRPr="00EB2576">
        <w:rPr>
          <w:rFonts w:ascii="Times New Roman" w:hAnsi="Times New Roman" w:cs="Times New Roman"/>
          <w:sz w:val="24"/>
          <w:szCs w:val="24"/>
        </w:rPr>
        <w:t xml:space="preserve"> </w:t>
      </w:r>
      <w:proofErr w:type="spellStart"/>
      <w:r w:rsidR="00CD773B" w:rsidRPr="00EB2576">
        <w:rPr>
          <w:rFonts w:ascii="Times New Roman" w:hAnsi="Times New Roman" w:cs="Times New Roman"/>
          <w:kern w:val="24"/>
          <w:sz w:val="24"/>
          <w:szCs w:val="24"/>
          <w:lang w:eastAsia="en-GB"/>
        </w:rPr>
        <w:t>Dynabeads</w:t>
      </w:r>
      <w:proofErr w:type="spellEnd"/>
      <w:r w:rsidR="00CD773B" w:rsidRPr="00EB2576">
        <w:rPr>
          <w:rFonts w:ascii="Times New Roman" w:hAnsi="Times New Roman" w:cs="Times New Roman"/>
          <w:kern w:val="24"/>
          <w:sz w:val="24"/>
          <w:szCs w:val="24"/>
          <w:lang w:eastAsia="en-GB"/>
        </w:rPr>
        <w:t xml:space="preserve">™ </w:t>
      </w:r>
      <w:r w:rsidR="00CD773B" w:rsidRPr="00EB2576">
        <w:rPr>
          <w:rFonts w:ascii="Times New Roman" w:hAnsi="Times New Roman" w:cs="Times New Roman"/>
          <w:sz w:val="24"/>
          <w:szCs w:val="24"/>
        </w:rPr>
        <w:t>protein A magnetic beads (</w:t>
      </w:r>
      <w:proofErr w:type="spellStart"/>
      <w:r w:rsidR="00CD773B" w:rsidRPr="00EB2576">
        <w:rPr>
          <w:rFonts w:ascii="Times New Roman" w:hAnsi="Times New Roman" w:cs="Times New Roman"/>
          <w:sz w:val="24"/>
          <w:szCs w:val="24"/>
        </w:rPr>
        <w:t>Thermo</w:t>
      </w:r>
      <w:proofErr w:type="spellEnd"/>
      <w:r w:rsidR="00CD773B" w:rsidRPr="00EB2576">
        <w:rPr>
          <w:rFonts w:ascii="Times New Roman" w:hAnsi="Times New Roman" w:cs="Times New Roman"/>
          <w:sz w:val="24"/>
          <w:szCs w:val="24"/>
        </w:rPr>
        <w:t xml:space="preserve"> Fisher Scientific, </w:t>
      </w:r>
      <w:r w:rsidR="00CD773B" w:rsidRPr="00EB2576">
        <w:rPr>
          <w:rFonts w:ascii="Times New Roman" w:hAnsi="Times New Roman" w:cs="Times New Roman"/>
          <w:sz w:val="24"/>
          <w:szCs w:val="24"/>
          <w:shd w:val="clear" w:color="auto" w:fill="FFFFFF"/>
        </w:rPr>
        <w:t>Massachusetts, United States</w:t>
      </w:r>
      <w:r w:rsidR="00CD773B" w:rsidRPr="00EB2576">
        <w:rPr>
          <w:rFonts w:ascii="Times New Roman" w:hAnsi="Times New Roman" w:cs="Times New Roman"/>
          <w:sz w:val="24"/>
          <w:szCs w:val="24"/>
        </w:rPr>
        <w:t xml:space="preserve">) </w:t>
      </w:r>
      <w:r w:rsidR="00EF79FF" w:rsidRPr="00EB2576">
        <w:rPr>
          <w:rFonts w:ascii="Times New Roman" w:hAnsi="Times New Roman" w:cs="Times New Roman"/>
          <w:sz w:val="24"/>
          <w:szCs w:val="24"/>
        </w:rPr>
        <w:t>were</w:t>
      </w:r>
      <w:r w:rsidR="00C0653E" w:rsidRPr="00EB2576">
        <w:rPr>
          <w:rFonts w:ascii="Times New Roman" w:hAnsi="Times New Roman" w:cs="Times New Roman"/>
          <w:sz w:val="24"/>
          <w:szCs w:val="24"/>
        </w:rPr>
        <w:t xml:space="preserve"> used as </w:t>
      </w:r>
      <w:r w:rsidR="00D825E4" w:rsidRPr="00EB2576">
        <w:rPr>
          <w:rFonts w:ascii="Times New Roman" w:hAnsi="Times New Roman" w:cs="Times New Roman"/>
          <w:sz w:val="24"/>
          <w:szCs w:val="24"/>
        </w:rPr>
        <w:t>protein A</w:t>
      </w:r>
      <w:r w:rsidR="00C0653E" w:rsidRPr="00EB2576">
        <w:rPr>
          <w:rFonts w:ascii="Times New Roman" w:hAnsi="Times New Roman" w:cs="Times New Roman"/>
          <w:sz w:val="24"/>
          <w:szCs w:val="24"/>
        </w:rPr>
        <w:t xml:space="preserve"> have high affinity for </w:t>
      </w:r>
      <w:r w:rsidR="00E158BD" w:rsidRPr="00EB2576">
        <w:rPr>
          <w:rFonts w:ascii="Times New Roman" w:hAnsi="Times New Roman" w:cs="Times New Roman"/>
          <w:sz w:val="24"/>
          <w:szCs w:val="24"/>
        </w:rPr>
        <w:t>the Fc fr</w:t>
      </w:r>
      <w:r w:rsidR="00BC77AE" w:rsidRPr="00EB2576">
        <w:rPr>
          <w:rFonts w:ascii="Times New Roman" w:hAnsi="Times New Roman" w:cs="Times New Roman"/>
          <w:sz w:val="24"/>
          <w:szCs w:val="24"/>
        </w:rPr>
        <w:t>a</w:t>
      </w:r>
      <w:r w:rsidR="00E158BD" w:rsidRPr="00EB2576">
        <w:rPr>
          <w:rFonts w:ascii="Times New Roman" w:hAnsi="Times New Roman" w:cs="Times New Roman"/>
          <w:sz w:val="24"/>
          <w:szCs w:val="24"/>
        </w:rPr>
        <w:t xml:space="preserve">gment of </w:t>
      </w:r>
      <w:r w:rsidR="00C0653E" w:rsidRPr="00EB2576">
        <w:rPr>
          <w:rFonts w:ascii="Times New Roman" w:hAnsi="Times New Roman" w:cs="Times New Roman"/>
          <w:sz w:val="24"/>
          <w:szCs w:val="24"/>
        </w:rPr>
        <w:t xml:space="preserve">most human IgG </w:t>
      </w:r>
      <w:r w:rsidR="00EF79FF" w:rsidRPr="00EB2576">
        <w:rPr>
          <w:rFonts w:ascii="Times New Roman" w:hAnsi="Times New Roman" w:cs="Times New Roman"/>
          <w:sz w:val="24"/>
          <w:szCs w:val="24"/>
        </w:rPr>
        <w:t>immunoglobulins</w:t>
      </w:r>
      <w:r w:rsidR="00505087" w:rsidRPr="00EB2576">
        <w:rPr>
          <w:rFonts w:ascii="Times New Roman" w:hAnsi="Times New Roman" w:cs="Times New Roman"/>
          <w:sz w:val="24"/>
          <w:szCs w:val="24"/>
        </w:rPr>
        <w:t xml:space="preserve">, in particular, </w:t>
      </w:r>
      <w:r w:rsidR="00CD773B" w:rsidRPr="00EB2576">
        <w:rPr>
          <w:rFonts w:ascii="Times New Roman" w:hAnsi="Times New Roman" w:cs="Times New Roman"/>
          <w:sz w:val="24"/>
          <w:szCs w:val="24"/>
        </w:rPr>
        <w:t>IgG1, IgG2, IgG4</w:t>
      </w:r>
      <w:r w:rsidR="00756D39" w:rsidRPr="00EB2576">
        <w:rPr>
          <w:rFonts w:ascii="Times New Roman" w:hAnsi="Times New Roman" w:cs="Times New Roman"/>
          <w:sz w:val="24"/>
          <w:szCs w:val="24"/>
        </w:rPr>
        <w:t xml:space="preserve"> </w:t>
      </w:r>
      <w:r w:rsidR="00756D39"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10.1016/S0006-3495(03)74870-X","ISSN":"00063495","author":[{"dropping-particle":"","family":"Yang","given":"L.","non-dropping-particle":"","parse-names":false,"suffix":""},{"dropping-particle":"","family":"Biswas","given":"M.E.","non-dropping-particle":"","parse-names":false,"suffix":""},{"dropping-particle":"","family":"Chen","given":"P.","non-dropping-particle":"","parse-names":false,"suffix":""}],"container-title":"Biophysical Journal","id":"ITEM-1","issue":"1","issued":{"date-parts":[["2003","1"]]},"page":"509-522","title":"Study of Binding between Protein A and Immunoglobulin G Using a Surface Tension Probe","type":"article-journal","volume":"84"},"uris":["http://www.mendeley.com/documents/?uuid=8421d37f-7e84-4f23-93e5-5cf07be475b3"]}],"mendeley":{"formattedCitation":"&lt;sup&gt;202&lt;/sup&gt;","plainTextFormattedCitation":"202","previouslyFormattedCitation":"&lt;sup&gt;202&lt;/sup&gt;"},"properties":{"noteIndex":0},"schema":"https://github.com/citation-style-language/schema/raw/master/csl-citation.json"}</w:instrText>
      </w:r>
      <w:r w:rsidR="00756D39"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202</w:t>
      </w:r>
      <w:r w:rsidR="00756D39" w:rsidRPr="00EB2576">
        <w:rPr>
          <w:rFonts w:ascii="Times New Roman" w:hAnsi="Times New Roman" w:cs="Times New Roman"/>
          <w:sz w:val="24"/>
          <w:szCs w:val="24"/>
        </w:rPr>
        <w:fldChar w:fldCharType="end"/>
      </w:r>
      <w:r w:rsidR="00505087" w:rsidRPr="00EB2576">
        <w:rPr>
          <w:rFonts w:ascii="Times New Roman" w:hAnsi="Times New Roman" w:cs="Times New Roman"/>
          <w:sz w:val="24"/>
          <w:szCs w:val="24"/>
        </w:rPr>
        <w:t>.</w:t>
      </w:r>
      <w:r w:rsidR="00BB5105" w:rsidRPr="00EB2576">
        <w:rPr>
          <w:rFonts w:ascii="Times New Roman" w:hAnsi="Times New Roman" w:cs="Times New Roman"/>
          <w:sz w:val="24"/>
          <w:szCs w:val="24"/>
        </w:rPr>
        <w:t xml:space="preserve"> </w:t>
      </w:r>
      <w:r w:rsidR="00505087" w:rsidRPr="00EB2576">
        <w:rPr>
          <w:rFonts w:ascii="Times New Roman" w:hAnsi="Times New Roman" w:cs="Times New Roman"/>
          <w:sz w:val="24"/>
          <w:szCs w:val="24"/>
        </w:rPr>
        <w:t xml:space="preserve">Studies have shown that </w:t>
      </w:r>
      <w:r w:rsidR="00FD4993" w:rsidRPr="00EB2576">
        <w:rPr>
          <w:rFonts w:ascii="Times New Roman" w:hAnsi="Times New Roman" w:cs="Times New Roman"/>
          <w:sz w:val="24"/>
          <w:szCs w:val="24"/>
        </w:rPr>
        <w:t xml:space="preserve">ATI are </w:t>
      </w:r>
      <w:r w:rsidR="00BB5105" w:rsidRPr="00EB2576">
        <w:rPr>
          <w:rFonts w:ascii="Times New Roman" w:hAnsi="Times New Roman" w:cs="Times New Roman"/>
          <w:sz w:val="24"/>
          <w:szCs w:val="24"/>
        </w:rPr>
        <w:t>predominantly IgG</w:t>
      </w:r>
      <w:r w:rsidR="00154699" w:rsidRPr="00EB2576">
        <w:rPr>
          <w:rFonts w:ascii="Times New Roman" w:hAnsi="Times New Roman" w:cs="Times New Roman"/>
          <w:sz w:val="24"/>
          <w:szCs w:val="24"/>
        </w:rPr>
        <w:t xml:space="preserve"> with the majority being </w:t>
      </w:r>
      <w:r w:rsidR="00BB5105" w:rsidRPr="00EB2576">
        <w:rPr>
          <w:rFonts w:ascii="Times New Roman" w:hAnsi="Times New Roman" w:cs="Times New Roman"/>
          <w:sz w:val="24"/>
          <w:szCs w:val="24"/>
        </w:rPr>
        <w:t>IgG1</w:t>
      </w:r>
      <w:r w:rsidR="00154699" w:rsidRPr="00EB2576">
        <w:rPr>
          <w:rFonts w:ascii="Times New Roman" w:hAnsi="Times New Roman" w:cs="Times New Roman"/>
          <w:sz w:val="24"/>
          <w:szCs w:val="24"/>
        </w:rPr>
        <w:t xml:space="preserve"> </w:t>
      </w:r>
      <w:r w:rsidR="00BB5105" w:rsidRPr="00EB2576">
        <w:rPr>
          <w:rFonts w:ascii="Times New Roman" w:hAnsi="Times New Roman" w:cs="Times New Roman"/>
          <w:sz w:val="24"/>
          <w:szCs w:val="24"/>
        </w:rPr>
        <w:t>(36–65%) and IgG4 (20–55%)</w:t>
      </w:r>
      <w:r w:rsidR="004E061B" w:rsidRPr="00EB2576">
        <w:rPr>
          <w:rFonts w:ascii="Times New Roman" w:hAnsi="Times New Roman" w:cs="Times New Roman"/>
          <w:sz w:val="24"/>
          <w:szCs w:val="24"/>
        </w:rPr>
        <w:t xml:space="preserve"> </w:t>
      </w:r>
      <w:r w:rsidR="004E061B"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925af7a5-56f9-4fd9-927d-af1d328fd760"]}],"mendeley":{"formattedCitation":"&lt;sup&gt;146&lt;/sup&gt;","plainTextFormattedCitation":"146","previouslyFormattedCitation":"&lt;sup&gt;146&lt;/sup&gt;"},"properties":{"noteIndex":0},"schema":"https://github.com/citation-style-language/schema/raw/master/csl-citation.json"}</w:instrText>
      </w:r>
      <w:r w:rsidR="004E061B"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146</w:t>
      </w:r>
      <w:r w:rsidR="004E061B" w:rsidRPr="00EB2576">
        <w:rPr>
          <w:rFonts w:ascii="Times New Roman" w:hAnsi="Times New Roman" w:cs="Times New Roman"/>
          <w:sz w:val="24"/>
          <w:szCs w:val="24"/>
        </w:rPr>
        <w:fldChar w:fldCharType="end"/>
      </w:r>
      <w:r w:rsidR="00505087" w:rsidRPr="00EB2576">
        <w:rPr>
          <w:rFonts w:ascii="Times New Roman" w:hAnsi="Times New Roman" w:cs="Times New Roman"/>
          <w:sz w:val="24"/>
          <w:szCs w:val="24"/>
        </w:rPr>
        <w:t xml:space="preserve">.  </w:t>
      </w:r>
      <w:r w:rsidR="00D825E4" w:rsidRPr="00EB2576">
        <w:rPr>
          <w:rFonts w:ascii="Times New Roman" w:hAnsi="Times New Roman" w:cs="Times New Roman"/>
          <w:sz w:val="24"/>
          <w:szCs w:val="24"/>
        </w:rPr>
        <w:t>As the magnetic beads are coat</w:t>
      </w:r>
      <w:r w:rsidR="0066008D" w:rsidRPr="00EB2576">
        <w:rPr>
          <w:rFonts w:ascii="Times New Roman" w:hAnsi="Times New Roman" w:cs="Times New Roman"/>
          <w:sz w:val="24"/>
          <w:szCs w:val="24"/>
        </w:rPr>
        <w:t>ed in protein A they would therefore bind</w:t>
      </w:r>
      <w:r w:rsidR="00505087" w:rsidRPr="00EB2576">
        <w:rPr>
          <w:rFonts w:ascii="Times New Roman" w:hAnsi="Times New Roman" w:cs="Times New Roman"/>
          <w:sz w:val="24"/>
          <w:szCs w:val="24"/>
        </w:rPr>
        <w:t xml:space="preserve"> to </w:t>
      </w:r>
      <w:r w:rsidR="0066008D" w:rsidRPr="00EB2576">
        <w:rPr>
          <w:rFonts w:ascii="Times New Roman" w:hAnsi="Times New Roman" w:cs="Times New Roman"/>
          <w:sz w:val="24"/>
          <w:szCs w:val="24"/>
        </w:rPr>
        <w:t>IgG</w:t>
      </w:r>
      <w:r w:rsidR="00505087" w:rsidRPr="00EB2576">
        <w:rPr>
          <w:rFonts w:ascii="Times New Roman" w:hAnsi="Times New Roman" w:cs="Times New Roman"/>
          <w:sz w:val="24"/>
          <w:szCs w:val="24"/>
        </w:rPr>
        <w:t xml:space="preserve">, including ATI </w:t>
      </w:r>
      <w:r w:rsidR="009C7269" w:rsidRPr="00EB2576">
        <w:rPr>
          <w:rFonts w:ascii="Times New Roman" w:hAnsi="Times New Roman" w:cs="Times New Roman"/>
          <w:sz w:val="24"/>
          <w:szCs w:val="24"/>
        </w:rPr>
        <w:t>IgG</w:t>
      </w:r>
      <w:r w:rsidR="008D3B0C" w:rsidRPr="00EB2576">
        <w:rPr>
          <w:rFonts w:ascii="Times New Roman" w:hAnsi="Times New Roman" w:cs="Times New Roman"/>
          <w:sz w:val="24"/>
          <w:szCs w:val="24"/>
        </w:rPr>
        <w:t>. T</w:t>
      </w:r>
      <w:r w:rsidR="00941D3C" w:rsidRPr="00EB2576">
        <w:rPr>
          <w:rFonts w:ascii="Times New Roman" w:hAnsi="Times New Roman" w:cs="Times New Roman"/>
          <w:sz w:val="24"/>
          <w:szCs w:val="24"/>
        </w:rPr>
        <w:t>his would then allow capture of the</w:t>
      </w:r>
      <w:r w:rsidR="00505087" w:rsidRPr="00EB2576">
        <w:rPr>
          <w:rFonts w:ascii="Times New Roman" w:hAnsi="Times New Roman" w:cs="Times New Roman"/>
          <w:sz w:val="24"/>
          <w:szCs w:val="24"/>
        </w:rPr>
        <w:t xml:space="preserve"> bound phage </w:t>
      </w:r>
      <w:r w:rsidR="00941D3C" w:rsidRPr="00EB2576">
        <w:rPr>
          <w:rFonts w:ascii="Times New Roman" w:hAnsi="Times New Roman" w:cs="Times New Roman"/>
          <w:sz w:val="24"/>
          <w:szCs w:val="24"/>
        </w:rPr>
        <w:t xml:space="preserve">selected by the ATI </w:t>
      </w:r>
      <w:r w:rsidR="00505087" w:rsidRPr="00EB2576">
        <w:rPr>
          <w:rFonts w:ascii="Times New Roman" w:hAnsi="Times New Roman" w:cs="Times New Roman"/>
          <w:sz w:val="24"/>
          <w:szCs w:val="24"/>
        </w:rPr>
        <w:t>allowing</w:t>
      </w:r>
      <w:r w:rsidR="00707D11" w:rsidRPr="00EB2576">
        <w:rPr>
          <w:rFonts w:ascii="Times New Roman" w:hAnsi="Times New Roman" w:cs="Times New Roman"/>
          <w:sz w:val="24"/>
          <w:szCs w:val="24"/>
        </w:rPr>
        <w:t xml:space="preserve"> </w:t>
      </w:r>
      <w:r w:rsidR="00505087" w:rsidRPr="00EB2576">
        <w:rPr>
          <w:rFonts w:ascii="Times New Roman" w:hAnsi="Times New Roman" w:cs="Times New Roman"/>
          <w:sz w:val="24"/>
          <w:szCs w:val="24"/>
        </w:rPr>
        <w:t xml:space="preserve">amplification </w:t>
      </w:r>
      <w:r w:rsidR="00941D3C" w:rsidRPr="00EB2576">
        <w:rPr>
          <w:rFonts w:ascii="Times New Roman" w:hAnsi="Times New Roman" w:cs="Times New Roman"/>
          <w:sz w:val="24"/>
          <w:szCs w:val="24"/>
        </w:rPr>
        <w:t xml:space="preserve">and identification </w:t>
      </w:r>
      <w:r w:rsidR="00505087" w:rsidRPr="00EB2576">
        <w:rPr>
          <w:rFonts w:ascii="Times New Roman" w:hAnsi="Times New Roman" w:cs="Times New Roman"/>
          <w:sz w:val="24"/>
          <w:szCs w:val="24"/>
        </w:rPr>
        <w:t>of selected phage</w:t>
      </w:r>
      <w:r w:rsidR="00941D3C" w:rsidRPr="00EB2576">
        <w:rPr>
          <w:rFonts w:ascii="Times New Roman" w:hAnsi="Times New Roman" w:cs="Times New Roman"/>
          <w:sz w:val="24"/>
          <w:szCs w:val="24"/>
        </w:rPr>
        <w:t xml:space="preserve"> variants</w:t>
      </w:r>
      <w:r w:rsidR="00505087" w:rsidRPr="00EB2576">
        <w:rPr>
          <w:rFonts w:ascii="Times New Roman" w:hAnsi="Times New Roman" w:cs="Times New Roman"/>
          <w:sz w:val="24"/>
          <w:szCs w:val="24"/>
        </w:rPr>
        <w:t xml:space="preserve">.  </w:t>
      </w:r>
      <w:r w:rsidR="009C7269" w:rsidRPr="00EB2576">
        <w:rPr>
          <w:rFonts w:ascii="Times New Roman" w:hAnsi="Times New Roman" w:cs="Times New Roman"/>
          <w:sz w:val="24"/>
          <w:szCs w:val="24"/>
        </w:rPr>
        <w:t>As well as the ATI positive selection, two other selections were used so that selective enrichment of the peptides could be assessed. A</w:t>
      </w:r>
      <w:r w:rsidR="0006445F" w:rsidRPr="00EB2576">
        <w:rPr>
          <w:rFonts w:ascii="Times New Roman" w:hAnsi="Times New Roman" w:cs="Times New Roman"/>
          <w:sz w:val="24"/>
          <w:szCs w:val="24"/>
        </w:rPr>
        <w:t xml:space="preserve"> </w:t>
      </w:r>
      <w:r w:rsidR="009C7269" w:rsidRPr="00EB2576">
        <w:rPr>
          <w:rFonts w:ascii="Times New Roman" w:hAnsi="Times New Roman" w:cs="Times New Roman"/>
          <w:sz w:val="24"/>
          <w:szCs w:val="24"/>
        </w:rPr>
        <w:t>“</w:t>
      </w:r>
      <w:r w:rsidR="0006445F" w:rsidRPr="00EB2576">
        <w:rPr>
          <w:rFonts w:ascii="Times New Roman" w:hAnsi="Times New Roman" w:cs="Times New Roman"/>
          <w:sz w:val="24"/>
          <w:szCs w:val="24"/>
        </w:rPr>
        <w:t>blank</w:t>
      </w:r>
      <w:r w:rsidR="009C7269" w:rsidRPr="00EB2576">
        <w:rPr>
          <w:rFonts w:ascii="Times New Roman" w:hAnsi="Times New Roman" w:cs="Times New Roman"/>
          <w:sz w:val="24"/>
          <w:szCs w:val="24"/>
        </w:rPr>
        <w:t>”</w:t>
      </w:r>
      <w:r w:rsidR="0006445F" w:rsidRPr="00EB2576">
        <w:rPr>
          <w:rFonts w:ascii="Times New Roman" w:hAnsi="Times New Roman" w:cs="Times New Roman"/>
          <w:sz w:val="24"/>
          <w:szCs w:val="24"/>
        </w:rPr>
        <w:t xml:space="preserve"> </w:t>
      </w:r>
      <w:r w:rsidR="009C7269" w:rsidRPr="00EB2576">
        <w:rPr>
          <w:rFonts w:ascii="Times New Roman" w:hAnsi="Times New Roman" w:cs="Times New Roman"/>
          <w:sz w:val="24"/>
          <w:szCs w:val="24"/>
        </w:rPr>
        <w:t xml:space="preserve">selection </w:t>
      </w:r>
      <w:r w:rsidR="0006445F" w:rsidRPr="00EB2576">
        <w:rPr>
          <w:rFonts w:ascii="Times New Roman" w:hAnsi="Times New Roman" w:cs="Times New Roman"/>
          <w:sz w:val="24"/>
          <w:szCs w:val="24"/>
        </w:rPr>
        <w:t>using no sera</w:t>
      </w:r>
      <w:r w:rsidR="00CA1801" w:rsidRPr="00EB2576">
        <w:rPr>
          <w:rFonts w:ascii="Times New Roman" w:hAnsi="Times New Roman" w:cs="Times New Roman"/>
          <w:sz w:val="24"/>
          <w:szCs w:val="24"/>
        </w:rPr>
        <w:t>:</w:t>
      </w:r>
      <w:r w:rsidR="0006445F" w:rsidRPr="00EB2576">
        <w:rPr>
          <w:rFonts w:ascii="Times New Roman" w:hAnsi="Times New Roman" w:cs="Times New Roman"/>
          <w:sz w:val="24"/>
          <w:szCs w:val="24"/>
        </w:rPr>
        <w:t xml:space="preserve"> just microfuge tubes containing PBS solution and </w:t>
      </w:r>
      <w:r w:rsidR="009C7269" w:rsidRPr="00EB2576">
        <w:rPr>
          <w:rFonts w:ascii="Times New Roman" w:hAnsi="Times New Roman" w:cs="Times New Roman"/>
          <w:sz w:val="24"/>
          <w:szCs w:val="24"/>
        </w:rPr>
        <w:t>a “</w:t>
      </w:r>
      <w:r w:rsidR="00CA1801" w:rsidRPr="00EB2576">
        <w:rPr>
          <w:rFonts w:ascii="Times New Roman" w:hAnsi="Times New Roman" w:cs="Times New Roman"/>
          <w:sz w:val="24"/>
          <w:szCs w:val="24"/>
        </w:rPr>
        <w:t>normal</w:t>
      </w:r>
      <w:r w:rsidR="009C7269" w:rsidRPr="00EB2576">
        <w:rPr>
          <w:rFonts w:ascii="Times New Roman" w:hAnsi="Times New Roman" w:cs="Times New Roman"/>
          <w:sz w:val="24"/>
          <w:szCs w:val="24"/>
        </w:rPr>
        <w:t>”</w:t>
      </w:r>
      <w:r w:rsidR="00CA1801" w:rsidRPr="00EB2576">
        <w:rPr>
          <w:rFonts w:ascii="Times New Roman" w:hAnsi="Times New Roman" w:cs="Times New Roman"/>
          <w:sz w:val="24"/>
          <w:szCs w:val="24"/>
        </w:rPr>
        <w:t xml:space="preserve"> </w:t>
      </w:r>
      <w:r w:rsidR="009C7269" w:rsidRPr="00EB2576">
        <w:rPr>
          <w:rFonts w:ascii="Times New Roman" w:hAnsi="Times New Roman" w:cs="Times New Roman"/>
          <w:sz w:val="24"/>
          <w:szCs w:val="24"/>
        </w:rPr>
        <w:t xml:space="preserve">selection using </w:t>
      </w:r>
      <w:r w:rsidR="00CA1801" w:rsidRPr="00EB2576">
        <w:rPr>
          <w:rFonts w:ascii="Times New Roman" w:hAnsi="Times New Roman" w:cs="Times New Roman"/>
          <w:sz w:val="24"/>
          <w:szCs w:val="24"/>
        </w:rPr>
        <w:t>AB sera from healthy volunteers was used to assess for non</w:t>
      </w:r>
      <w:r w:rsidR="009C7269" w:rsidRPr="00EB2576">
        <w:rPr>
          <w:rFonts w:ascii="Times New Roman" w:hAnsi="Times New Roman" w:cs="Times New Roman"/>
          <w:sz w:val="24"/>
          <w:szCs w:val="24"/>
        </w:rPr>
        <w:t>-</w:t>
      </w:r>
      <w:r w:rsidR="00CA1801" w:rsidRPr="00EB2576">
        <w:rPr>
          <w:rFonts w:ascii="Times New Roman" w:hAnsi="Times New Roman" w:cs="Times New Roman"/>
          <w:sz w:val="24"/>
          <w:szCs w:val="24"/>
        </w:rPr>
        <w:t xml:space="preserve">specific binding to </w:t>
      </w:r>
      <w:r w:rsidR="001B19B5" w:rsidRPr="00EB2576">
        <w:rPr>
          <w:rFonts w:ascii="Times New Roman" w:hAnsi="Times New Roman" w:cs="Times New Roman"/>
          <w:sz w:val="24"/>
          <w:szCs w:val="24"/>
        </w:rPr>
        <w:t>plastic tubes and other components of sera.</w:t>
      </w:r>
      <w:r w:rsidR="00CA1801" w:rsidRPr="00EB2576">
        <w:rPr>
          <w:rFonts w:ascii="Times New Roman" w:hAnsi="Times New Roman" w:cs="Times New Roman"/>
          <w:sz w:val="24"/>
          <w:szCs w:val="24"/>
        </w:rPr>
        <w:t xml:space="preserve"> </w:t>
      </w:r>
      <w:r w:rsidR="001B19B5" w:rsidRPr="00EB2576">
        <w:rPr>
          <w:rFonts w:ascii="Times New Roman" w:hAnsi="Times New Roman" w:cs="Times New Roman"/>
          <w:sz w:val="24"/>
          <w:szCs w:val="24"/>
        </w:rPr>
        <w:t>Four</w:t>
      </w:r>
      <w:r w:rsidR="00693804" w:rsidRPr="00EB2576">
        <w:rPr>
          <w:rFonts w:ascii="Times New Roman" w:hAnsi="Times New Roman" w:cs="Times New Roman"/>
          <w:sz w:val="24"/>
          <w:szCs w:val="24"/>
        </w:rPr>
        <w:t xml:space="preserve"> selection c</w:t>
      </w:r>
      <w:r w:rsidR="002A28B6" w:rsidRPr="00EB2576">
        <w:rPr>
          <w:rFonts w:ascii="Times New Roman" w:hAnsi="Times New Roman" w:cs="Times New Roman"/>
          <w:sz w:val="24"/>
          <w:szCs w:val="24"/>
        </w:rPr>
        <w:t>y</w:t>
      </w:r>
      <w:r w:rsidR="00693804" w:rsidRPr="00EB2576">
        <w:rPr>
          <w:rFonts w:ascii="Times New Roman" w:hAnsi="Times New Roman" w:cs="Times New Roman"/>
          <w:sz w:val="24"/>
          <w:szCs w:val="24"/>
        </w:rPr>
        <w:t xml:space="preserve">cles with increasing washes </w:t>
      </w:r>
      <w:r w:rsidR="002A28B6" w:rsidRPr="00EB2576">
        <w:rPr>
          <w:rFonts w:ascii="Times New Roman" w:hAnsi="Times New Roman" w:cs="Times New Roman"/>
          <w:sz w:val="24"/>
          <w:szCs w:val="24"/>
        </w:rPr>
        <w:t xml:space="preserve">and increasing tween (a detergent) concentration </w:t>
      </w:r>
      <w:r w:rsidR="00693804" w:rsidRPr="00EB2576">
        <w:rPr>
          <w:rFonts w:ascii="Times New Roman" w:hAnsi="Times New Roman" w:cs="Times New Roman"/>
          <w:sz w:val="24"/>
          <w:szCs w:val="24"/>
        </w:rPr>
        <w:t>post incubation of phage and sera</w:t>
      </w:r>
      <w:r w:rsidR="00061A48" w:rsidRPr="00EB2576">
        <w:rPr>
          <w:rFonts w:ascii="Times New Roman" w:hAnsi="Times New Roman" w:cs="Times New Roman"/>
          <w:sz w:val="24"/>
          <w:szCs w:val="24"/>
        </w:rPr>
        <w:t xml:space="preserve">, </w:t>
      </w:r>
      <w:r w:rsidR="002A28B6" w:rsidRPr="00EB2576">
        <w:rPr>
          <w:rFonts w:ascii="Times New Roman" w:hAnsi="Times New Roman" w:cs="Times New Roman"/>
          <w:sz w:val="24"/>
          <w:szCs w:val="24"/>
        </w:rPr>
        <w:t xml:space="preserve">was used to </w:t>
      </w:r>
      <w:r w:rsidR="002D1C27" w:rsidRPr="00EB2576">
        <w:rPr>
          <w:rFonts w:ascii="Times New Roman" w:hAnsi="Times New Roman" w:cs="Times New Roman"/>
          <w:sz w:val="24"/>
          <w:szCs w:val="24"/>
        </w:rPr>
        <w:t xml:space="preserve">also </w:t>
      </w:r>
      <w:r w:rsidR="00061A48" w:rsidRPr="00EB2576">
        <w:rPr>
          <w:rFonts w:ascii="Times New Roman" w:hAnsi="Times New Roman" w:cs="Times New Roman"/>
          <w:sz w:val="24"/>
          <w:szCs w:val="24"/>
        </w:rPr>
        <w:t>reduce non</w:t>
      </w:r>
      <w:r w:rsidR="002A28B6" w:rsidRPr="00EB2576">
        <w:rPr>
          <w:rFonts w:ascii="Times New Roman" w:hAnsi="Times New Roman" w:cs="Times New Roman"/>
          <w:sz w:val="24"/>
          <w:szCs w:val="24"/>
        </w:rPr>
        <w:t>-</w:t>
      </w:r>
      <w:r w:rsidR="00061A48" w:rsidRPr="00EB2576">
        <w:rPr>
          <w:rFonts w:ascii="Times New Roman" w:hAnsi="Times New Roman" w:cs="Times New Roman"/>
          <w:sz w:val="24"/>
          <w:szCs w:val="24"/>
        </w:rPr>
        <w:t xml:space="preserve">specific binding of phage. The incubation time was </w:t>
      </w:r>
      <w:r w:rsidR="002D1C27" w:rsidRPr="00EB2576">
        <w:rPr>
          <w:rFonts w:ascii="Times New Roman" w:hAnsi="Times New Roman" w:cs="Times New Roman"/>
          <w:sz w:val="24"/>
          <w:szCs w:val="24"/>
        </w:rPr>
        <w:t xml:space="preserve">decreased </w:t>
      </w:r>
      <w:r w:rsidR="00061A48" w:rsidRPr="00EB2576">
        <w:rPr>
          <w:rFonts w:ascii="Times New Roman" w:hAnsi="Times New Roman" w:cs="Times New Roman"/>
          <w:sz w:val="24"/>
          <w:szCs w:val="24"/>
        </w:rPr>
        <w:t>in later selection cycles to identify high affinity binders between phage and ATI.</w:t>
      </w:r>
      <w:r w:rsidR="00FE1DC3" w:rsidRPr="00EB2576">
        <w:rPr>
          <w:rFonts w:ascii="Times New Roman" w:hAnsi="Times New Roman" w:cs="Times New Roman"/>
          <w:sz w:val="24"/>
          <w:szCs w:val="24"/>
        </w:rPr>
        <w:t xml:space="preserve"> </w:t>
      </w:r>
      <w:r w:rsidR="00061A48" w:rsidRPr="00EB2576">
        <w:rPr>
          <w:rFonts w:ascii="Times New Roman" w:hAnsi="Times New Roman" w:cs="Times New Roman"/>
          <w:sz w:val="24"/>
          <w:szCs w:val="24"/>
        </w:rPr>
        <w:t xml:space="preserve"> To control for non</w:t>
      </w:r>
      <w:r w:rsidR="006A040F" w:rsidRPr="00EB2576">
        <w:rPr>
          <w:rFonts w:ascii="Times New Roman" w:hAnsi="Times New Roman" w:cs="Times New Roman"/>
          <w:sz w:val="24"/>
          <w:szCs w:val="24"/>
        </w:rPr>
        <w:t>-</w:t>
      </w:r>
      <w:r w:rsidR="00061A48" w:rsidRPr="00EB2576">
        <w:rPr>
          <w:rFonts w:ascii="Times New Roman" w:hAnsi="Times New Roman" w:cs="Times New Roman"/>
          <w:sz w:val="24"/>
          <w:szCs w:val="24"/>
        </w:rPr>
        <w:t xml:space="preserve">specific binding to protein </w:t>
      </w:r>
      <w:r w:rsidR="00FE1DC3" w:rsidRPr="00EB2576">
        <w:rPr>
          <w:rFonts w:ascii="Times New Roman" w:hAnsi="Times New Roman" w:cs="Times New Roman"/>
          <w:sz w:val="24"/>
          <w:szCs w:val="24"/>
        </w:rPr>
        <w:t>A</w:t>
      </w:r>
      <w:r w:rsidR="00F13CDA" w:rsidRPr="00EB2576">
        <w:rPr>
          <w:rFonts w:ascii="Times New Roman" w:hAnsi="Times New Roman" w:cs="Times New Roman"/>
          <w:bCs/>
          <w:sz w:val="24"/>
          <w:szCs w:val="24"/>
        </w:rPr>
        <w:t xml:space="preserve">, a </w:t>
      </w:r>
      <w:r w:rsidR="00FE1DC3" w:rsidRPr="00EB2576">
        <w:rPr>
          <w:rFonts w:ascii="Times New Roman" w:hAnsi="Times New Roman" w:cs="Times New Roman"/>
          <w:bCs/>
          <w:sz w:val="24"/>
          <w:szCs w:val="24"/>
        </w:rPr>
        <w:t>negative selection was added at round 2</w:t>
      </w:r>
      <w:r w:rsidR="00F13CDA" w:rsidRPr="00EB2576">
        <w:rPr>
          <w:rFonts w:ascii="Times New Roman" w:hAnsi="Times New Roman" w:cs="Times New Roman"/>
          <w:bCs/>
          <w:sz w:val="24"/>
          <w:szCs w:val="24"/>
        </w:rPr>
        <w:t xml:space="preserve">. The </w:t>
      </w:r>
      <w:r w:rsidR="00FE1DC3" w:rsidRPr="00EB2576">
        <w:rPr>
          <w:rFonts w:ascii="Times New Roman" w:hAnsi="Times New Roman" w:cs="Times New Roman"/>
          <w:sz w:val="24"/>
          <w:szCs w:val="24"/>
        </w:rPr>
        <w:t xml:space="preserve">diluted </w:t>
      </w:r>
      <w:r w:rsidR="00F13CDA" w:rsidRPr="00EB2576">
        <w:rPr>
          <w:rFonts w:ascii="Times New Roman" w:hAnsi="Times New Roman" w:cs="Times New Roman"/>
          <w:sz w:val="24"/>
          <w:szCs w:val="24"/>
        </w:rPr>
        <w:t>random peptide p</w:t>
      </w:r>
      <w:r w:rsidR="00FE1DC3" w:rsidRPr="00EB2576">
        <w:rPr>
          <w:rFonts w:ascii="Times New Roman" w:hAnsi="Times New Roman" w:cs="Times New Roman"/>
          <w:sz w:val="24"/>
          <w:szCs w:val="24"/>
        </w:rPr>
        <w:t xml:space="preserve">hage library </w:t>
      </w:r>
      <w:r w:rsidR="00F13CDA" w:rsidRPr="00EB2576">
        <w:rPr>
          <w:rFonts w:ascii="Times New Roman" w:hAnsi="Times New Roman" w:cs="Times New Roman"/>
          <w:sz w:val="24"/>
          <w:szCs w:val="24"/>
        </w:rPr>
        <w:t xml:space="preserve">was </w:t>
      </w:r>
      <w:r w:rsidR="00FE1DC3" w:rsidRPr="00EB2576">
        <w:rPr>
          <w:rFonts w:ascii="Times New Roman" w:hAnsi="Times New Roman" w:cs="Times New Roman"/>
          <w:sz w:val="24"/>
          <w:szCs w:val="24"/>
        </w:rPr>
        <w:t>incubat</w:t>
      </w:r>
      <w:r w:rsidR="00F13CDA" w:rsidRPr="00EB2576">
        <w:rPr>
          <w:rFonts w:ascii="Times New Roman" w:hAnsi="Times New Roman" w:cs="Times New Roman"/>
          <w:sz w:val="24"/>
          <w:szCs w:val="24"/>
        </w:rPr>
        <w:t xml:space="preserve">ed with protein A magnetic beads, </w:t>
      </w:r>
      <w:r w:rsidR="0006445F" w:rsidRPr="00EB2576">
        <w:rPr>
          <w:rFonts w:ascii="Times New Roman" w:hAnsi="Times New Roman" w:cs="Times New Roman"/>
          <w:sz w:val="24"/>
          <w:szCs w:val="24"/>
        </w:rPr>
        <w:t xml:space="preserve">prior </w:t>
      </w:r>
      <w:r w:rsidR="0006445F" w:rsidRPr="00EB2576">
        <w:rPr>
          <w:rFonts w:ascii="Times New Roman" w:hAnsi="Times New Roman" w:cs="Times New Roman"/>
          <w:sz w:val="24"/>
          <w:szCs w:val="24"/>
        </w:rPr>
        <w:lastRenderedPageBreak/>
        <w:t xml:space="preserve">to incubation with sera. </w:t>
      </w:r>
      <w:r w:rsidR="00FE1DC3" w:rsidRPr="00EB2576">
        <w:rPr>
          <w:rFonts w:ascii="Times New Roman" w:hAnsi="Times New Roman" w:cs="Times New Roman"/>
          <w:sz w:val="24"/>
          <w:szCs w:val="24"/>
        </w:rPr>
        <w:t xml:space="preserve"> The beads were then captured</w:t>
      </w:r>
      <w:r w:rsidR="006A040F" w:rsidRPr="00EB2576">
        <w:rPr>
          <w:rFonts w:ascii="Times New Roman" w:hAnsi="Times New Roman" w:cs="Times New Roman"/>
          <w:sz w:val="24"/>
          <w:szCs w:val="24"/>
        </w:rPr>
        <w:t xml:space="preserve">, </w:t>
      </w:r>
      <w:r w:rsidR="00FE1DC3" w:rsidRPr="00EB2576">
        <w:rPr>
          <w:rFonts w:ascii="Times New Roman" w:hAnsi="Times New Roman" w:cs="Times New Roman"/>
          <w:sz w:val="24"/>
          <w:szCs w:val="24"/>
        </w:rPr>
        <w:t>along with any bound phage</w:t>
      </w:r>
      <w:r w:rsidR="006A040F" w:rsidRPr="00EB2576">
        <w:rPr>
          <w:rFonts w:ascii="Times New Roman" w:hAnsi="Times New Roman" w:cs="Times New Roman"/>
          <w:sz w:val="24"/>
          <w:szCs w:val="24"/>
        </w:rPr>
        <w:t xml:space="preserve"> to protein A</w:t>
      </w:r>
      <w:r w:rsidR="00EF79FF" w:rsidRPr="00EB2576">
        <w:rPr>
          <w:rFonts w:ascii="Times New Roman" w:hAnsi="Times New Roman" w:cs="Times New Roman"/>
          <w:sz w:val="24"/>
          <w:szCs w:val="24"/>
        </w:rPr>
        <w:t>. The</w:t>
      </w:r>
      <w:r w:rsidR="00FE1DC3" w:rsidRPr="00EB2576">
        <w:rPr>
          <w:rFonts w:ascii="Times New Roman" w:hAnsi="Times New Roman" w:cs="Times New Roman"/>
          <w:sz w:val="24"/>
          <w:szCs w:val="24"/>
        </w:rPr>
        <w:t xml:space="preserve"> supernatant </w:t>
      </w:r>
      <w:r w:rsidR="00EF79FF" w:rsidRPr="00EB2576">
        <w:rPr>
          <w:rFonts w:ascii="Times New Roman" w:hAnsi="Times New Roman" w:cs="Times New Roman"/>
          <w:sz w:val="24"/>
          <w:szCs w:val="24"/>
        </w:rPr>
        <w:t xml:space="preserve">containing the rest of the phage library was then </w:t>
      </w:r>
      <w:r w:rsidR="00FE1DC3" w:rsidRPr="00EB2576">
        <w:rPr>
          <w:rFonts w:ascii="Times New Roman" w:hAnsi="Times New Roman" w:cs="Times New Roman"/>
          <w:sz w:val="24"/>
          <w:szCs w:val="24"/>
        </w:rPr>
        <w:t>transferred to a fresh microfuge tube to incubate with pooled sera.</w:t>
      </w:r>
      <w:r w:rsidR="00FB76D7" w:rsidRPr="00EB2576">
        <w:rPr>
          <w:rFonts w:ascii="Times New Roman" w:hAnsi="Times New Roman" w:cs="Times New Roman"/>
          <w:sz w:val="24"/>
          <w:szCs w:val="24"/>
        </w:rPr>
        <w:t xml:space="preserve"> The aim with these conditions was to ensure that the selectively enriched peptides were </w:t>
      </w:r>
      <w:r w:rsidR="008F41C6" w:rsidRPr="00EB2576">
        <w:rPr>
          <w:rFonts w:ascii="Times New Roman" w:hAnsi="Times New Roman" w:cs="Times New Roman"/>
          <w:sz w:val="24"/>
          <w:szCs w:val="24"/>
        </w:rPr>
        <w:t>epitopes on infliximab</w:t>
      </w:r>
      <w:r w:rsidR="00FB76D7" w:rsidRPr="00EB2576">
        <w:rPr>
          <w:rFonts w:ascii="Times New Roman" w:hAnsi="Times New Roman" w:cs="Times New Roman"/>
          <w:sz w:val="24"/>
          <w:szCs w:val="24"/>
        </w:rPr>
        <w:t xml:space="preserve">. </w:t>
      </w:r>
    </w:p>
    <w:p w14:paraId="3E8B1F22" w14:textId="09E04A4A" w:rsidR="00156A3E" w:rsidRPr="00EB2576" w:rsidRDefault="00156A3E" w:rsidP="003F2571">
      <w:pPr>
        <w:autoSpaceDE w:val="0"/>
        <w:autoSpaceDN w:val="0"/>
        <w:adjustRightInd w:val="0"/>
        <w:spacing w:after="0" w:line="480" w:lineRule="auto"/>
        <w:rPr>
          <w:rFonts w:ascii="Times New Roman" w:hAnsi="Times New Roman" w:cs="Times New Roman"/>
          <w:sz w:val="24"/>
          <w:szCs w:val="24"/>
        </w:rPr>
      </w:pPr>
    </w:p>
    <w:p w14:paraId="2175984D" w14:textId="43FA11DB" w:rsidR="005971DE" w:rsidRPr="00EB2576" w:rsidRDefault="00880F45" w:rsidP="003F2571">
      <w:pPr>
        <w:autoSpaceDE w:val="0"/>
        <w:autoSpaceDN w:val="0"/>
        <w:adjustRightInd w:val="0"/>
        <w:spacing w:after="0" w:line="480" w:lineRule="auto"/>
        <w:rPr>
          <w:rFonts w:ascii="Times New Roman" w:eastAsia="Times New Roman" w:hAnsi="Times New Roman" w:cs="Times New Roman"/>
          <w:sz w:val="24"/>
          <w:szCs w:val="24"/>
          <w:lang w:eastAsia="en-GB"/>
        </w:rPr>
      </w:pPr>
      <w:r w:rsidRPr="00EB2576">
        <w:rPr>
          <w:rFonts w:ascii="Times New Roman" w:hAnsi="Times New Roman" w:cs="Times New Roman"/>
          <w:sz w:val="24"/>
          <w:szCs w:val="24"/>
        </w:rPr>
        <w:t>To confirm specificity of the ATI positive sera for the selected phage, we proceeded with m</w:t>
      </w:r>
      <w:r w:rsidR="002D1BD8" w:rsidRPr="00EB2576">
        <w:rPr>
          <w:rFonts w:ascii="Times New Roman" w:hAnsi="Times New Roman" w:cs="Times New Roman"/>
          <w:sz w:val="24"/>
          <w:szCs w:val="24"/>
        </w:rPr>
        <w:t>onoclonal phage ELISA</w:t>
      </w:r>
      <w:r w:rsidR="005971DE" w:rsidRPr="00EB2576">
        <w:rPr>
          <w:rFonts w:ascii="Times New Roman" w:hAnsi="Times New Roman" w:cs="Times New Roman"/>
          <w:sz w:val="24"/>
          <w:szCs w:val="24"/>
        </w:rPr>
        <w:t>s of the selected peptide</w:t>
      </w:r>
      <w:r w:rsidR="004116B6" w:rsidRPr="00EB2576">
        <w:rPr>
          <w:rFonts w:ascii="Times New Roman" w:hAnsi="Times New Roman" w:cs="Times New Roman"/>
          <w:sz w:val="24"/>
          <w:szCs w:val="24"/>
        </w:rPr>
        <w:t>s. A s</w:t>
      </w:r>
      <w:r w:rsidR="002D1BD8" w:rsidRPr="00EB2576">
        <w:rPr>
          <w:rFonts w:ascii="Times New Roman" w:hAnsi="Times New Roman" w:cs="Times New Roman"/>
          <w:sz w:val="24"/>
          <w:szCs w:val="24"/>
        </w:rPr>
        <w:t>ystematic</w:t>
      </w:r>
      <w:r w:rsidR="004116B6" w:rsidRPr="00EB2576">
        <w:rPr>
          <w:rFonts w:ascii="Times New Roman" w:hAnsi="Times New Roman" w:cs="Times New Roman"/>
          <w:sz w:val="24"/>
          <w:szCs w:val="24"/>
        </w:rPr>
        <w:t xml:space="preserve"> approach</w:t>
      </w:r>
      <w:r w:rsidR="005971DE" w:rsidRPr="00EB2576">
        <w:rPr>
          <w:rFonts w:ascii="Times New Roman" w:hAnsi="Times New Roman" w:cs="Times New Roman"/>
          <w:sz w:val="24"/>
          <w:szCs w:val="24"/>
        </w:rPr>
        <w:t xml:space="preserve"> </w:t>
      </w:r>
      <w:r w:rsidR="004116B6" w:rsidRPr="00EB2576">
        <w:rPr>
          <w:rFonts w:ascii="Times New Roman" w:hAnsi="Times New Roman" w:cs="Times New Roman"/>
          <w:sz w:val="24"/>
          <w:szCs w:val="24"/>
        </w:rPr>
        <w:t xml:space="preserve">using pooled ATI positive sera, then </w:t>
      </w:r>
      <w:r w:rsidR="005971DE" w:rsidRPr="00EB2576">
        <w:rPr>
          <w:rFonts w:ascii="Times New Roman" w:hAnsi="Times New Roman" w:cs="Times New Roman"/>
          <w:sz w:val="24"/>
          <w:szCs w:val="24"/>
        </w:rPr>
        <w:t xml:space="preserve">individual sera, </w:t>
      </w:r>
      <w:r w:rsidR="002D1BD8" w:rsidRPr="00EB2576">
        <w:rPr>
          <w:rFonts w:ascii="Times New Roman" w:hAnsi="Times New Roman" w:cs="Times New Roman"/>
          <w:sz w:val="24"/>
          <w:szCs w:val="24"/>
        </w:rPr>
        <w:t>purified sera, acid dissociat</w:t>
      </w:r>
      <w:r w:rsidR="00536251" w:rsidRPr="00EB2576">
        <w:rPr>
          <w:rFonts w:ascii="Times New Roman" w:hAnsi="Times New Roman" w:cs="Times New Roman"/>
          <w:sz w:val="24"/>
          <w:szCs w:val="24"/>
        </w:rPr>
        <w:t>ed</w:t>
      </w:r>
      <w:r w:rsidR="005971DE" w:rsidRPr="00EB2576">
        <w:rPr>
          <w:rFonts w:ascii="Times New Roman" w:hAnsi="Times New Roman" w:cs="Times New Roman"/>
          <w:sz w:val="24"/>
          <w:szCs w:val="24"/>
        </w:rPr>
        <w:t xml:space="preserve"> sera</w:t>
      </w:r>
      <w:r w:rsidR="00536251" w:rsidRPr="00EB2576">
        <w:rPr>
          <w:rFonts w:ascii="Times New Roman" w:hAnsi="Times New Roman" w:cs="Times New Roman"/>
          <w:sz w:val="24"/>
          <w:szCs w:val="24"/>
        </w:rPr>
        <w:t xml:space="preserve"> </w:t>
      </w:r>
      <w:r w:rsidR="000D51BE" w:rsidRPr="00EB2576">
        <w:rPr>
          <w:rFonts w:ascii="Times New Roman" w:hAnsi="Times New Roman" w:cs="Times New Roman"/>
          <w:sz w:val="24"/>
          <w:szCs w:val="24"/>
        </w:rPr>
        <w:t>(</w:t>
      </w:r>
      <w:r w:rsidR="00536251" w:rsidRPr="00EB2576">
        <w:rPr>
          <w:rFonts w:ascii="Times New Roman" w:hAnsi="Times New Roman" w:cs="Times New Roman"/>
          <w:sz w:val="24"/>
          <w:szCs w:val="24"/>
        </w:rPr>
        <w:t xml:space="preserve">to optimise free </w:t>
      </w:r>
      <w:r w:rsidR="000D51BE" w:rsidRPr="00EB2576">
        <w:rPr>
          <w:rFonts w:ascii="Times New Roman" w:hAnsi="Times New Roman" w:cs="Times New Roman"/>
          <w:sz w:val="24"/>
          <w:szCs w:val="24"/>
        </w:rPr>
        <w:t>anti-drug antibodies)</w:t>
      </w:r>
      <w:r w:rsidR="004116B6" w:rsidRPr="00EB2576">
        <w:rPr>
          <w:rFonts w:ascii="Times New Roman" w:hAnsi="Times New Roman" w:cs="Times New Roman"/>
          <w:sz w:val="24"/>
          <w:szCs w:val="24"/>
        </w:rPr>
        <w:t xml:space="preserve">, </w:t>
      </w:r>
      <w:r w:rsidR="00431322" w:rsidRPr="00EB2576">
        <w:rPr>
          <w:rFonts w:ascii="Times New Roman" w:hAnsi="Times New Roman" w:cs="Times New Roman"/>
          <w:sz w:val="24"/>
          <w:szCs w:val="24"/>
        </w:rPr>
        <w:t xml:space="preserve">direct and </w:t>
      </w:r>
      <w:r w:rsidR="005971DE" w:rsidRPr="00EB2576">
        <w:rPr>
          <w:rFonts w:ascii="Times New Roman" w:hAnsi="Times New Roman" w:cs="Times New Roman"/>
          <w:sz w:val="24"/>
          <w:szCs w:val="24"/>
        </w:rPr>
        <w:t xml:space="preserve">sandwich ELISA </w:t>
      </w:r>
      <w:r w:rsidR="00431322" w:rsidRPr="00EB2576">
        <w:rPr>
          <w:rFonts w:ascii="Times New Roman" w:hAnsi="Times New Roman" w:cs="Times New Roman"/>
          <w:sz w:val="24"/>
          <w:szCs w:val="24"/>
        </w:rPr>
        <w:t>were</w:t>
      </w:r>
      <w:r w:rsidR="00170BDF" w:rsidRPr="00EB2576">
        <w:rPr>
          <w:rFonts w:ascii="Times New Roman" w:hAnsi="Times New Roman" w:cs="Times New Roman"/>
          <w:sz w:val="24"/>
          <w:szCs w:val="24"/>
        </w:rPr>
        <w:t xml:space="preserve"> undertaken</w:t>
      </w:r>
      <w:r w:rsidR="005971DE" w:rsidRPr="00EB2576">
        <w:rPr>
          <w:rFonts w:ascii="Times New Roman" w:hAnsi="Times New Roman" w:cs="Times New Roman"/>
          <w:sz w:val="24"/>
          <w:szCs w:val="24"/>
        </w:rPr>
        <w:t xml:space="preserve">. However, despite these measures, similar reactivity between the selected and control phage </w:t>
      </w:r>
      <w:r w:rsidR="00535711" w:rsidRPr="00EB2576">
        <w:rPr>
          <w:rFonts w:ascii="Times New Roman" w:hAnsi="Times New Roman" w:cs="Times New Roman"/>
          <w:sz w:val="24"/>
          <w:szCs w:val="24"/>
        </w:rPr>
        <w:t xml:space="preserve">clones </w:t>
      </w:r>
      <w:r w:rsidR="005971DE" w:rsidRPr="00EB2576">
        <w:rPr>
          <w:rFonts w:ascii="Times New Roman" w:hAnsi="Times New Roman" w:cs="Times New Roman"/>
          <w:sz w:val="24"/>
          <w:szCs w:val="24"/>
        </w:rPr>
        <w:t>w</w:t>
      </w:r>
      <w:r w:rsidR="00535711" w:rsidRPr="00EB2576">
        <w:rPr>
          <w:rFonts w:ascii="Times New Roman" w:hAnsi="Times New Roman" w:cs="Times New Roman"/>
          <w:sz w:val="24"/>
          <w:szCs w:val="24"/>
        </w:rPr>
        <w:t>ere</w:t>
      </w:r>
      <w:r w:rsidR="005971DE" w:rsidRPr="00EB2576">
        <w:rPr>
          <w:rFonts w:ascii="Times New Roman" w:hAnsi="Times New Roman" w:cs="Times New Roman"/>
          <w:sz w:val="24"/>
          <w:szCs w:val="24"/>
        </w:rPr>
        <w:t xml:space="preserve"> demonstrated.</w:t>
      </w:r>
      <w:r w:rsidR="005971DE" w:rsidRPr="00EB2576">
        <w:rPr>
          <w:rFonts w:ascii="Times New Roman" w:eastAsia="MS PGothic" w:hAnsi="Times New Roman" w:cs="Times New Roman"/>
          <w:kern w:val="24"/>
          <w:sz w:val="24"/>
          <w:szCs w:val="24"/>
        </w:rPr>
        <w:t xml:space="preserve"> Due to the repetitive nature of </w:t>
      </w:r>
      <w:r w:rsidR="00BF324F" w:rsidRPr="00EB2576">
        <w:rPr>
          <w:rFonts w:ascii="Times New Roman" w:eastAsia="MS PGothic" w:hAnsi="Times New Roman" w:cs="Times New Roman"/>
          <w:kern w:val="24"/>
          <w:sz w:val="24"/>
          <w:szCs w:val="24"/>
        </w:rPr>
        <w:t xml:space="preserve">selection in </w:t>
      </w:r>
      <w:r w:rsidR="005971DE" w:rsidRPr="00EB2576">
        <w:rPr>
          <w:rFonts w:ascii="Times New Roman" w:eastAsia="MS PGothic" w:hAnsi="Times New Roman" w:cs="Times New Roman"/>
          <w:kern w:val="24"/>
          <w:sz w:val="24"/>
          <w:szCs w:val="24"/>
        </w:rPr>
        <w:t xml:space="preserve">phage display, </w:t>
      </w:r>
      <w:r w:rsidR="000E5415" w:rsidRPr="00EB2576">
        <w:rPr>
          <w:rFonts w:ascii="Times New Roman" w:eastAsia="MS PGothic" w:hAnsi="Times New Roman" w:cs="Times New Roman"/>
          <w:kern w:val="24"/>
          <w:sz w:val="24"/>
          <w:szCs w:val="24"/>
        </w:rPr>
        <w:t>protein-protein interactions</w:t>
      </w:r>
      <w:r w:rsidR="005971DE" w:rsidRPr="00EB2576">
        <w:rPr>
          <w:rFonts w:ascii="Times New Roman" w:eastAsia="MS PGothic" w:hAnsi="Times New Roman" w:cs="Times New Roman"/>
          <w:kern w:val="24"/>
          <w:sz w:val="24"/>
          <w:szCs w:val="24"/>
        </w:rPr>
        <w:t xml:space="preserve"> with a broad range of affinities can be identified</w:t>
      </w:r>
      <w:r w:rsidR="005C10A8" w:rsidRPr="00EB2576">
        <w:rPr>
          <w:rFonts w:ascii="Times New Roman" w:eastAsia="MS PGothic" w:hAnsi="Times New Roman" w:cs="Times New Roman"/>
          <w:kern w:val="24"/>
          <w:sz w:val="24"/>
          <w:szCs w:val="24"/>
          <w:lang w:eastAsia="en-GB"/>
        </w:rPr>
        <w:t xml:space="preserve"> including those at a </w:t>
      </w:r>
      <w:proofErr w:type="spellStart"/>
      <w:r w:rsidR="005C10A8" w:rsidRPr="00EB2576">
        <w:rPr>
          <w:rFonts w:ascii="Times New Roman" w:eastAsia="MS PGothic" w:hAnsi="Times New Roman" w:cs="Times New Roman"/>
          <w:kern w:val="24"/>
          <w:sz w:val="24"/>
          <w:szCs w:val="24"/>
          <w:lang w:eastAsia="en-GB"/>
        </w:rPr>
        <w:t>subnanomolar</w:t>
      </w:r>
      <w:proofErr w:type="spellEnd"/>
      <w:r w:rsidR="005C10A8" w:rsidRPr="00EB2576">
        <w:rPr>
          <w:rFonts w:ascii="Times New Roman" w:eastAsia="MS PGothic" w:hAnsi="Times New Roman" w:cs="Times New Roman"/>
          <w:kern w:val="24"/>
          <w:sz w:val="24"/>
          <w:szCs w:val="24"/>
          <w:lang w:eastAsia="en-GB"/>
        </w:rPr>
        <w:t xml:space="preserve"> to 1 millimolar affinity</w:t>
      </w:r>
      <w:r w:rsidR="002F557D" w:rsidRPr="00EB2576">
        <w:rPr>
          <w:rFonts w:ascii="Times New Roman" w:eastAsia="MS PGothic" w:hAnsi="Times New Roman" w:cs="Times New Roman"/>
          <w:kern w:val="24"/>
          <w:sz w:val="24"/>
          <w:szCs w:val="24"/>
          <w:lang w:eastAsia="en-GB"/>
        </w:rPr>
        <w:t xml:space="preserve"> </w:t>
      </w:r>
      <w:r w:rsidR="002F557D" w:rsidRPr="00EB2576">
        <w:rPr>
          <w:rFonts w:ascii="Times New Roman" w:eastAsia="MS PGothic" w:hAnsi="Times New Roman" w:cs="Times New Roman"/>
          <w:kern w:val="24"/>
          <w:sz w:val="24"/>
          <w:szCs w:val="24"/>
          <w:lang w:eastAsia="en-GB"/>
        </w:rPr>
        <w:fldChar w:fldCharType="begin" w:fldLock="1"/>
      </w:r>
      <w:r w:rsidR="009577AC" w:rsidRPr="00EB2576">
        <w:rPr>
          <w:rFonts w:ascii="Times New Roman" w:eastAsia="MS PGothic" w:hAnsi="Times New Roman" w:cs="Times New Roman"/>
          <w:kern w:val="24"/>
          <w:sz w:val="24"/>
          <w:szCs w:val="24"/>
          <w:lang w:eastAsia="en-GB"/>
        </w:rPr>
        <w:instrText>ADDIN CSL_CITATION {"citationItems":[{"id":"ITEM-1","itemData":{"DOI":"10.1038/nbt0396-309","ISSN":"1087-0156","author":[{"dropping-particle":"","family":"Vaughan","given":"Tristan J.","non-dropping-particle":"","parse-names":false,"suffix":""},{"dropping-particle":"","family":"Williams","given":"Andrew J.","non-dropping-particle":"","parse-names":false,"suffix":""},{"dropping-particle":"","family":"Pritchard","given":"Kevin","non-dropping-particle":"","parse-names":false,"suffix":""},{"dropping-particle":"","family":"Osbourn","given":"Jane K.","non-dropping-particle":"","parse-names":false,"suffix":""},{"dropping-particle":"","family":"Pope","given":"Anthony R.","non-dropping-particle":"","parse-names":false,"suffix":""},{"dropping-particle":"","family":"Earnshaw","given":"John C.","non-dropping-particle":"","parse-names":false,"suffix":""},{"dropping-particle":"","family":"McCafferty","given":"John","non-dropping-particle":"","parse-names":false,"suffix":""},{"dropping-particle":"","family":"Hodits","given":"Regina A.","non-dropping-particle":"","parse-names":false,"suffix":""},{"dropping-particle":"","family":"Wilton","given":"Jane","non-dropping-particle":"","parse-names":false,"suffix":""},{"dropping-particle":"","family":"Johnson","given":"Kevin S.","non-dropping-particle":"","parse-names":false,"suffix":""}],"container-title":"Nature Biotechnology","id":"ITEM-1","issue":"3","issued":{"date-parts":[["1996","3"]]},"page":"309-314","title":"Human Antibodies with Sub-nanomolar Affinities Isolated from a Large Non-immunized Phage Display Library","type":"article-journal","volume":"14"},"uris":["http://www.mendeley.com/documents/?uuid=070c7242-e345-4b08-a073-0f6aad9563da"]}],"mendeley":{"formattedCitation":"&lt;sup&gt;210&lt;/sup&gt;","plainTextFormattedCitation":"210","previouslyFormattedCitation":"&lt;sup&gt;210&lt;/sup&gt;"},"properties":{"noteIndex":0},"schema":"https://github.com/citation-style-language/schema/raw/master/csl-citation.json"}</w:instrText>
      </w:r>
      <w:r w:rsidR="002F557D" w:rsidRPr="00EB2576">
        <w:rPr>
          <w:rFonts w:ascii="Times New Roman" w:eastAsia="MS PGothic" w:hAnsi="Times New Roman" w:cs="Times New Roman"/>
          <w:kern w:val="24"/>
          <w:sz w:val="24"/>
          <w:szCs w:val="24"/>
          <w:lang w:eastAsia="en-GB"/>
        </w:rPr>
        <w:fldChar w:fldCharType="separate"/>
      </w:r>
      <w:r w:rsidR="00201474" w:rsidRPr="00EB2576">
        <w:rPr>
          <w:rFonts w:ascii="Times New Roman" w:eastAsia="MS PGothic" w:hAnsi="Times New Roman" w:cs="Times New Roman"/>
          <w:noProof/>
          <w:kern w:val="24"/>
          <w:sz w:val="24"/>
          <w:szCs w:val="24"/>
          <w:vertAlign w:val="superscript"/>
          <w:lang w:eastAsia="en-GB"/>
        </w:rPr>
        <w:t>210</w:t>
      </w:r>
      <w:r w:rsidR="002F557D" w:rsidRPr="00EB2576">
        <w:rPr>
          <w:rFonts w:ascii="Times New Roman" w:eastAsia="MS PGothic" w:hAnsi="Times New Roman" w:cs="Times New Roman"/>
          <w:kern w:val="24"/>
          <w:sz w:val="24"/>
          <w:szCs w:val="24"/>
          <w:lang w:eastAsia="en-GB"/>
        </w:rPr>
        <w:fldChar w:fldCharType="end"/>
      </w:r>
      <w:r w:rsidR="000E5415" w:rsidRPr="00EB2576">
        <w:rPr>
          <w:rFonts w:ascii="Times New Roman" w:eastAsia="MS PGothic" w:hAnsi="Times New Roman" w:cs="Times New Roman"/>
          <w:kern w:val="24"/>
          <w:sz w:val="24"/>
          <w:szCs w:val="24"/>
        </w:rPr>
        <w:t>.</w:t>
      </w:r>
      <w:r w:rsidR="005971DE" w:rsidRPr="00EB2576">
        <w:rPr>
          <w:rFonts w:ascii="Times New Roman" w:eastAsia="MS PGothic" w:hAnsi="Times New Roman" w:cs="Times New Roman"/>
          <w:kern w:val="24"/>
          <w:sz w:val="24"/>
          <w:szCs w:val="24"/>
        </w:rPr>
        <w:t xml:space="preserve"> </w:t>
      </w:r>
      <w:r w:rsidR="000E5415" w:rsidRPr="00EB2576">
        <w:rPr>
          <w:rFonts w:ascii="Times New Roman" w:eastAsia="MS PGothic" w:hAnsi="Times New Roman" w:cs="Times New Roman"/>
          <w:kern w:val="24"/>
          <w:sz w:val="24"/>
          <w:szCs w:val="24"/>
        </w:rPr>
        <w:t>These l</w:t>
      </w:r>
      <w:r w:rsidR="005971DE" w:rsidRPr="00EB2576">
        <w:rPr>
          <w:rFonts w:ascii="Times New Roman" w:eastAsia="MS PGothic" w:hAnsi="Times New Roman" w:cs="Times New Roman"/>
          <w:kern w:val="24"/>
          <w:sz w:val="24"/>
          <w:szCs w:val="24"/>
        </w:rPr>
        <w:t xml:space="preserve">ower affinity binders identified on phage display may </w:t>
      </w:r>
      <w:r w:rsidR="000E5415" w:rsidRPr="00EB2576">
        <w:rPr>
          <w:rFonts w:ascii="Times New Roman" w:eastAsia="MS PGothic" w:hAnsi="Times New Roman" w:cs="Times New Roman"/>
          <w:kern w:val="24"/>
          <w:sz w:val="24"/>
          <w:szCs w:val="24"/>
        </w:rPr>
        <w:t>then not</w:t>
      </w:r>
      <w:r w:rsidR="005971DE" w:rsidRPr="00EB2576">
        <w:rPr>
          <w:rFonts w:ascii="Times New Roman" w:eastAsia="MS PGothic" w:hAnsi="Times New Roman" w:cs="Times New Roman"/>
          <w:kern w:val="24"/>
          <w:sz w:val="24"/>
          <w:szCs w:val="24"/>
        </w:rPr>
        <w:t xml:space="preserve"> be </w:t>
      </w:r>
      <w:r w:rsidR="000E5415" w:rsidRPr="00EB2576">
        <w:rPr>
          <w:rFonts w:ascii="Times New Roman" w:eastAsia="MS PGothic" w:hAnsi="Times New Roman" w:cs="Times New Roman"/>
          <w:kern w:val="24"/>
          <w:sz w:val="24"/>
          <w:szCs w:val="24"/>
        </w:rPr>
        <w:t>demonstrated</w:t>
      </w:r>
      <w:r w:rsidR="005971DE" w:rsidRPr="00EB2576">
        <w:rPr>
          <w:rFonts w:ascii="Times New Roman" w:eastAsia="MS PGothic" w:hAnsi="Times New Roman" w:cs="Times New Roman"/>
          <w:kern w:val="24"/>
          <w:sz w:val="24"/>
          <w:szCs w:val="24"/>
        </w:rPr>
        <w:t xml:space="preserve"> </w:t>
      </w:r>
      <w:r w:rsidR="006F0C1C" w:rsidRPr="00EB2576">
        <w:rPr>
          <w:rFonts w:ascii="Times New Roman" w:eastAsia="MS PGothic" w:hAnsi="Times New Roman" w:cs="Times New Roman"/>
          <w:kern w:val="24"/>
          <w:sz w:val="24"/>
          <w:szCs w:val="24"/>
        </w:rPr>
        <w:t>as a positive signal on</w:t>
      </w:r>
      <w:r w:rsidR="005971DE" w:rsidRPr="00EB2576">
        <w:rPr>
          <w:rFonts w:ascii="Times New Roman" w:eastAsia="MS PGothic" w:hAnsi="Times New Roman" w:cs="Times New Roman"/>
          <w:kern w:val="24"/>
          <w:sz w:val="24"/>
          <w:szCs w:val="24"/>
        </w:rPr>
        <w:t xml:space="preserve"> ELISA.</w:t>
      </w:r>
      <w:r w:rsidR="0057653F" w:rsidRPr="00EB2576">
        <w:rPr>
          <w:rFonts w:ascii="Times New Roman" w:eastAsia="MS PGothic" w:hAnsi="Times New Roman" w:cs="Times New Roman"/>
          <w:kern w:val="24"/>
          <w:sz w:val="24"/>
          <w:szCs w:val="24"/>
        </w:rPr>
        <w:t xml:space="preserve"> Further work on the </w:t>
      </w:r>
      <w:r w:rsidR="0057653F" w:rsidRPr="00EB2576">
        <w:rPr>
          <w:rFonts w:ascii="Times New Roman" w:eastAsia="MS PGothic" w:hAnsi="Times New Roman" w:cs="Times New Roman"/>
          <w:kern w:val="24"/>
          <w:sz w:val="24"/>
          <w:szCs w:val="24"/>
          <w:lang w:eastAsia="en-GB"/>
        </w:rPr>
        <w:t>ELISA is required including</w:t>
      </w:r>
      <w:r w:rsidR="001F5937" w:rsidRPr="00EB2576">
        <w:rPr>
          <w:rFonts w:ascii="Times New Roman" w:eastAsia="MS PGothic" w:hAnsi="Times New Roman" w:cs="Times New Roman"/>
          <w:kern w:val="24"/>
          <w:sz w:val="24"/>
          <w:szCs w:val="24"/>
          <w:lang w:eastAsia="en-GB"/>
        </w:rPr>
        <w:t xml:space="preserve"> </w:t>
      </w:r>
      <w:r w:rsidR="00DC5D35" w:rsidRPr="00EB2576">
        <w:rPr>
          <w:rFonts w:ascii="Times New Roman" w:eastAsia="MS PGothic" w:hAnsi="Times New Roman" w:cs="Times New Roman"/>
          <w:kern w:val="24"/>
          <w:sz w:val="24"/>
          <w:szCs w:val="24"/>
          <w:lang w:eastAsia="en-GB"/>
        </w:rPr>
        <w:t>p</w:t>
      </w:r>
      <w:r w:rsidR="001F7C53" w:rsidRPr="00EB2576">
        <w:rPr>
          <w:rFonts w:ascii="Times New Roman" w:hAnsi="Times New Roman" w:cs="Times New Roman"/>
          <w:sz w:val="24"/>
          <w:szCs w:val="24"/>
        </w:rPr>
        <w:t>re</w:t>
      </w:r>
      <w:r w:rsidR="00DC5D35" w:rsidRPr="00EB2576">
        <w:rPr>
          <w:rFonts w:ascii="Times New Roman" w:hAnsi="Times New Roman" w:cs="Times New Roman"/>
          <w:sz w:val="24"/>
          <w:szCs w:val="24"/>
        </w:rPr>
        <w:t>-</w:t>
      </w:r>
      <w:r w:rsidR="001F7C53" w:rsidRPr="00EB2576">
        <w:rPr>
          <w:rFonts w:ascii="Times New Roman" w:hAnsi="Times New Roman" w:cs="Times New Roman"/>
          <w:sz w:val="24"/>
          <w:szCs w:val="24"/>
        </w:rPr>
        <w:t>adsorption of</w:t>
      </w:r>
      <w:r w:rsidR="001F5937" w:rsidRPr="00EB2576">
        <w:rPr>
          <w:rFonts w:ascii="Times New Roman" w:hAnsi="Times New Roman" w:cs="Times New Roman"/>
          <w:sz w:val="24"/>
          <w:szCs w:val="24"/>
        </w:rPr>
        <w:t xml:space="preserve"> the sera with</w:t>
      </w:r>
      <w:r w:rsidR="001F7C53" w:rsidRPr="00EB2576">
        <w:rPr>
          <w:rFonts w:ascii="Times New Roman" w:hAnsi="Times New Roman" w:cs="Times New Roman"/>
          <w:sz w:val="24"/>
          <w:szCs w:val="24"/>
        </w:rPr>
        <w:t xml:space="preserve"> </w:t>
      </w:r>
      <w:r w:rsidR="001F7C53" w:rsidRPr="00EB2576">
        <w:rPr>
          <w:rFonts w:ascii="Times New Roman" w:hAnsi="Times New Roman" w:cs="Times New Roman"/>
          <w:i/>
          <w:iCs/>
          <w:sz w:val="24"/>
          <w:szCs w:val="24"/>
        </w:rPr>
        <w:t>E.</w:t>
      </w:r>
      <w:r w:rsidR="0041056A" w:rsidRPr="00EB2576">
        <w:rPr>
          <w:rFonts w:ascii="Times New Roman" w:hAnsi="Times New Roman" w:cs="Times New Roman"/>
          <w:i/>
          <w:iCs/>
          <w:sz w:val="24"/>
          <w:szCs w:val="24"/>
        </w:rPr>
        <w:t xml:space="preserve"> </w:t>
      </w:r>
      <w:r w:rsidR="001F7C53" w:rsidRPr="00EB2576">
        <w:rPr>
          <w:rFonts w:ascii="Times New Roman" w:hAnsi="Times New Roman" w:cs="Times New Roman"/>
          <w:i/>
          <w:iCs/>
          <w:sz w:val="24"/>
          <w:szCs w:val="24"/>
        </w:rPr>
        <w:t>coli</w:t>
      </w:r>
      <w:r w:rsidR="001F7C53" w:rsidRPr="00EB2576">
        <w:rPr>
          <w:rFonts w:ascii="Times New Roman" w:hAnsi="Times New Roman" w:cs="Times New Roman"/>
          <w:sz w:val="24"/>
          <w:szCs w:val="24"/>
        </w:rPr>
        <w:t xml:space="preserve"> extract </w:t>
      </w:r>
      <w:r w:rsidR="001F7C53"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s10529-010-0483-6","ISSN":"0141-5492","author":[{"dropping-particle":"","family":"Woo","given":"Mi-Kyung","non-dropping-particle":"","parse-names":false,"suffix":""},{"dropping-particle":"","family":"Heo","given":"Chang-Kyu","non-dropping-particle":"","parse-names":false,"suffix":""},{"dropping-particle":"","family":"Hwang","given":"Hae-Min","non-dropping-particle":"","parse-names":false,"suffix":""},{"dropping-particle":"","family":"Ko","given":"Jeong-Heon","non-dropping-particle":"","parse-names":false,"suffix":""},{"dropping-particle":"","family":"Yoo","given":"Hyang-Sook","non-dropping-particle":"","parse-names":false,"suffix":""},{"dropping-particle":"","family":"Cho","given":"Eun-Wie","non-dropping-particle":"","parse-names":false,"suffix":""}],"container-title":"Biotechnology Letters","id":"ITEM-1","issue":"4","issued":{"date-parts":[["2011","4","2"]]},"page":"655-661","title":"Optimization of phage-immobilized ELISA for autoantibody profiling in human sera","type":"article-journal","volume":"33"},"uris":["http://www.mendeley.com/documents/?uuid=0a19d6f4-4f93-4990-98ac-08f67cbd06ce"]}],"mendeley":{"formattedCitation":"&lt;sup&gt;190&lt;/sup&gt;","plainTextFormattedCitation":"190","previouslyFormattedCitation":"&lt;sup&gt;190&lt;/sup&gt;"},"properties":{"noteIndex":0},"schema":"https://github.com/citation-style-language/schema/raw/master/csl-citation.json"}</w:instrText>
      </w:r>
      <w:r w:rsidR="001F7C53"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190</w:t>
      </w:r>
      <w:r w:rsidR="001F7C53" w:rsidRPr="00EB2576">
        <w:rPr>
          <w:rFonts w:ascii="Times New Roman" w:hAnsi="Times New Roman" w:cs="Times New Roman"/>
          <w:sz w:val="24"/>
          <w:szCs w:val="24"/>
        </w:rPr>
        <w:fldChar w:fldCharType="end"/>
      </w:r>
      <w:r w:rsidR="001F5937" w:rsidRPr="00EB2576">
        <w:rPr>
          <w:rFonts w:ascii="Times New Roman" w:hAnsi="Times New Roman" w:cs="Times New Roman"/>
          <w:sz w:val="24"/>
          <w:szCs w:val="24"/>
        </w:rPr>
        <w:t xml:space="preserve"> and </w:t>
      </w:r>
      <w:r w:rsidR="0057653F" w:rsidRPr="00EB2576">
        <w:rPr>
          <w:rFonts w:ascii="Times New Roman" w:eastAsia="MS PGothic" w:hAnsi="Times New Roman" w:cs="Times New Roman"/>
          <w:kern w:val="24"/>
          <w:sz w:val="24"/>
          <w:szCs w:val="24"/>
          <w:lang w:eastAsia="en-GB"/>
        </w:rPr>
        <w:t xml:space="preserve">a peptide ELISA, where the predicted epitopes are synthesised as peptides, removing phage as a non-specific binder. </w:t>
      </w:r>
    </w:p>
    <w:p w14:paraId="56A7848C" w14:textId="66524B35" w:rsidR="004C45F3" w:rsidRPr="00EB2576" w:rsidRDefault="005971DE" w:rsidP="003F2571">
      <w:pPr>
        <w:pStyle w:val="NormalWeb"/>
        <w:spacing w:before="200" w:beforeAutospacing="0" w:after="0" w:afterAutospacing="0" w:line="480" w:lineRule="auto"/>
      </w:pPr>
      <w:r w:rsidRPr="00EB2576">
        <w:t xml:space="preserve"> </w:t>
      </w:r>
    </w:p>
    <w:p w14:paraId="26244121" w14:textId="6A28E382" w:rsidR="00A837AF" w:rsidRPr="00EB2576" w:rsidRDefault="00280646" w:rsidP="0041056A">
      <w:pPr>
        <w:spacing w:before="200" w:after="0" w:line="480" w:lineRule="auto"/>
        <w:rPr>
          <w:rFonts w:ascii="Times New Roman" w:hAnsi="Times New Roman" w:cs="Times New Roman"/>
          <w:kern w:val="24"/>
          <w:sz w:val="24"/>
          <w:szCs w:val="24"/>
          <w:lang w:eastAsia="en-GB"/>
        </w:rPr>
      </w:pPr>
      <w:r w:rsidRPr="00EB2576">
        <w:rPr>
          <w:rFonts w:ascii="Times New Roman" w:hAnsi="Times New Roman" w:cs="Times New Roman"/>
          <w:kern w:val="24"/>
          <w:sz w:val="24"/>
          <w:szCs w:val="24"/>
          <w:lang w:eastAsia="en-GB"/>
        </w:rPr>
        <w:t xml:space="preserve">In conclusion, </w:t>
      </w:r>
      <w:r w:rsidR="006D4B0B" w:rsidRPr="00EB2576">
        <w:rPr>
          <w:rFonts w:ascii="Times New Roman" w:hAnsi="Times New Roman" w:cs="Times New Roman"/>
          <w:kern w:val="24"/>
          <w:sz w:val="24"/>
          <w:szCs w:val="24"/>
          <w:lang w:eastAsia="en-GB"/>
        </w:rPr>
        <w:t>pooled ATI positive sera was used to s</w:t>
      </w:r>
      <w:r w:rsidR="00FB76D7" w:rsidRPr="00EB2576">
        <w:rPr>
          <w:rFonts w:ascii="Times New Roman" w:hAnsi="Times New Roman" w:cs="Times New Roman"/>
          <w:kern w:val="24"/>
          <w:sz w:val="24"/>
          <w:szCs w:val="24"/>
          <w:lang w:eastAsia="en-GB"/>
        </w:rPr>
        <w:t xml:space="preserve">elect </w:t>
      </w:r>
      <w:r w:rsidR="006D4B0B" w:rsidRPr="00EB2576">
        <w:rPr>
          <w:rFonts w:ascii="Times New Roman" w:hAnsi="Times New Roman" w:cs="Times New Roman"/>
          <w:kern w:val="24"/>
          <w:sz w:val="24"/>
          <w:szCs w:val="24"/>
          <w:lang w:eastAsia="en-GB"/>
        </w:rPr>
        <w:t xml:space="preserve">a </w:t>
      </w:r>
      <w:r w:rsidR="00DC5D35" w:rsidRPr="00EB2576">
        <w:rPr>
          <w:rFonts w:ascii="Times New Roman" w:hAnsi="Times New Roman" w:cs="Times New Roman"/>
          <w:kern w:val="24"/>
          <w:sz w:val="24"/>
          <w:szCs w:val="24"/>
          <w:lang w:eastAsia="en-GB"/>
        </w:rPr>
        <w:t>RPL</w:t>
      </w:r>
      <w:r w:rsidR="0038206D" w:rsidRPr="00EB2576">
        <w:rPr>
          <w:rFonts w:ascii="Times New Roman" w:hAnsi="Times New Roman" w:cs="Times New Roman"/>
          <w:kern w:val="24"/>
          <w:sz w:val="24"/>
          <w:szCs w:val="24"/>
          <w:lang w:eastAsia="en-GB"/>
        </w:rPr>
        <w:t>,</w:t>
      </w:r>
      <w:r w:rsidR="00FB76D7" w:rsidRPr="00EB2576">
        <w:rPr>
          <w:rFonts w:ascii="Times New Roman" w:hAnsi="Times New Roman" w:cs="Times New Roman"/>
          <w:kern w:val="24"/>
          <w:sz w:val="24"/>
          <w:szCs w:val="24"/>
          <w:lang w:eastAsia="en-GB"/>
        </w:rPr>
        <w:t xml:space="preserve"> using </w:t>
      </w:r>
      <w:r w:rsidR="006D4B0B" w:rsidRPr="00EB2576">
        <w:rPr>
          <w:rFonts w:ascii="Times New Roman" w:hAnsi="Times New Roman" w:cs="Times New Roman"/>
          <w:kern w:val="24"/>
          <w:sz w:val="24"/>
          <w:szCs w:val="24"/>
          <w:lang w:eastAsia="en-GB"/>
        </w:rPr>
        <w:t>carefully considered conditions</w:t>
      </w:r>
      <w:r w:rsidR="00FB76D7" w:rsidRPr="00EB2576">
        <w:rPr>
          <w:rFonts w:ascii="Times New Roman" w:hAnsi="Times New Roman" w:cs="Times New Roman"/>
          <w:kern w:val="24"/>
          <w:sz w:val="24"/>
          <w:szCs w:val="24"/>
          <w:lang w:eastAsia="en-GB"/>
        </w:rPr>
        <w:t xml:space="preserve">. </w:t>
      </w:r>
      <w:r w:rsidR="00413FC2" w:rsidRPr="00EB2576">
        <w:rPr>
          <w:rFonts w:ascii="Times New Roman" w:hAnsi="Times New Roman" w:cs="Times New Roman"/>
          <w:kern w:val="24"/>
          <w:sz w:val="24"/>
          <w:szCs w:val="24"/>
          <w:lang w:eastAsia="en-GB"/>
        </w:rPr>
        <w:t xml:space="preserve">Three peptides were selectively enriched </w:t>
      </w:r>
      <w:r w:rsidR="00413FC2" w:rsidRPr="00EB2576">
        <w:rPr>
          <w:rFonts w:ascii="Times New Roman" w:hAnsi="Times New Roman" w:cs="Times New Roman"/>
          <w:b/>
          <w:bCs/>
          <w:kern w:val="24"/>
          <w:sz w:val="24"/>
          <w:szCs w:val="24"/>
          <w:lang w:eastAsia="en-GB"/>
        </w:rPr>
        <w:t>only</w:t>
      </w:r>
      <w:r w:rsidR="00413FC2" w:rsidRPr="00EB2576">
        <w:rPr>
          <w:rFonts w:ascii="Times New Roman" w:hAnsi="Times New Roman" w:cs="Times New Roman"/>
          <w:kern w:val="24"/>
          <w:sz w:val="24"/>
          <w:szCs w:val="24"/>
          <w:lang w:eastAsia="en-GB"/>
        </w:rPr>
        <w:t xml:space="preserve"> on the ATI positive selection in comparison to the control selections</w:t>
      </w:r>
      <w:r w:rsidR="00C05B8C" w:rsidRPr="00EB2576">
        <w:rPr>
          <w:rFonts w:ascii="Times New Roman" w:hAnsi="Times New Roman" w:cs="Times New Roman"/>
          <w:kern w:val="24"/>
          <w:sz w:val="24"/>
          <w:szCs w:val="24"/>
          <w:lang w:eastAsia="en-GB"/>
        </w:rPr>
        <w:t xml:space="preserve"> using normal AB sera and no sera</w:t>
      </w:r>
      <w:r w:rsidR="00413FC2" w:rsidRPr="00EB2576">
        <w:rPr>
          <w:rFonts w:ascii="Times New Roman" w:hAnsi="Times New Roman" w:cs="Times New Roman"/>
          <w:kern w:val="24"/>
          <w:sz w:val="24"/>
          <w:szCs w:val="24"/>
          <w:lang w:eastAsia="en-GB"/>
        </w:rPr>
        <w:t xml:space="preserve">. </w:t>
      </w:r>
      <w:r w:rsidR="00A4468C" w:rsidRPr="00EB2576">
        <w:rPr>
          <w:rFonts w:ascii="Times New Roman" w:hAnsi="Times New Roman" w:cs="Times New Roman"/>
          <w:kern w:val="24"/>
          <w:sz w:val="24"/>
          <w:szCs w:val="24"/>
          <w:lang w:eastAsia="en-GB"/>
        </w:rPr>
        <w:t xml:space="preserve">Using a </w:t>
      </w:r>
      <w:proofErr w:type="spellStart"/>
      <w:r w:rsidR="00A4468C" w:rsidRPr="00EB2576">
        <w:rPr>
          <w:rFonts w:ascii="Times New Roman" w:hAnsi="Times New Roman" w:cs="Times New Roman"/>
          <w:kern w:val="24"/>
          <w:sz w:val="24"/>
          <w:szCs w:val="24"/>
          <w:lang w:eastAsia="en-GB"/>
        </w:rPr>
        <w:t>mimitope</w:t>
      </w:r>
      <w:proofErr w:type="spellEnd"/>
      <w:r w:rsidR="00A4468C" w:rsidRPr="00EB2576">
        <w:rPr>
          <w:rFonts w:ascii="Times New Roman" w:hAnsi="Times New Roman" w:cs="Times New Roman"/>
          <w:kern w:val="24"/>
          <w:sz w:val="24"/>
          <w:szCs w:val="24"/>
          <w:lang w:eastAsia="en-GB"/>
        </w:rPr>
        <w:t xml:space="preserve"> prediction tool:</w:t>
      </w:r>
      <w:r w:rsidR="00056CFF" w:rsidRPr="00EB2576">
        <w:rPr>
          <w:rFonts w:ascii="Times New Roman" w:hAnsi="Times New Roman" w:cs="Times New Roman"/>
          <w:kern w:val="24"/>
          <w:sz w:val="24"/>
          <w:szCs w:val="24"/>
          <w:lang w:eastAsia="en-GB"/>
        </w:rPr>
        <w:t xml:space="preserve"> </w:t>
      </w:r>
      <w:proofErr w:type="spellStart"/>
      <w:r w:rsidR="00056CFF" w:rsidRPr="00EB2576">
        <w:rPr>
          <w:rFonts w:ascii="Times New Roman" w:hAnsi="Times New Roman" w:cs="Times New Roman"/>
          <w:kern w:val="24"/>
          <w:sz w:val="24"/>
          <w:szCs w:val="24"/>
          <w:lang w:eastAsia="en-GB"/>
        </w:rPr>
        <w:t>Pepsurf</w:t>
      </w:r>
      <w:proofErr w:type="spellEnd"/>
      <w:r w:rsidR="00141124" w:rsidRPr="00EB2576">
        <w:rPr>
          <w:rFonts w:ascii="Times New Roman" w:hAnsi="Times New Roman" w:cs="Times New Roman"/>
          <w:kern w:val="24"/>
          <w:sz w:val="24"/>
          <w:szCs w:val="24"/>
          <w:lang w:eastAsia="en-GB"/>
        </w:rPr>
        <w:t>,</w:t>
      </w:r>
      <w:r w:rsidR="00A4468C" w:rsidRPr="00EB2576">
        <w:rPr>
          <w:rFonts w:ascii="Times New Roman" w:hAnsi="Times New Roman" w:cs="Times New Roman"/>
          <w:kern w:val="24"/>
          <w:sz w:val="24"/>
          <w:szCs w:val="24"/>
          <w:lang w:eastAsia="en-GB"/>
        </w:rPr>
        <w:t xml:space="preserve"> the selected peptides </w:t>
      </w:r>
      <w:r w:rsidR="00407C5A" w:rsidRPr="00EB2576">
        <w:rPr>
          <w:rFonts w:ascii="Times New Roman" w:hAnsi="Times New Roman" w:cs="Times New Roman"/>
          <w:kern w:val="24"/>
          <w:sz w:val="24"/>
          <w:szCs w:val="24"/>
          <w:lang w:eastAsia="en-GB"/>
        </w:rPr>
        <w:t xml:space="preserve">were used to predict </w:t>
      </w:r>
      <w:r w:rsidR="00056CFF" w:rsidRPr="00EB2576">
        <w:rPr>
          <w:rFonts w:ascii="Times New Roman" w:hAnsi="Times New Roman" w:cs="Times New Roman"/>
          <w:kern w:val="24"/>
          <w:sz w:val="24"/>
          <w:szCs w:val="24"/>
          <w:lang w:eastAsia="en-GB"/>
        </w:rPr>
        <w:t xml:space="preserve">conformational epitopes on the infliximab molecule. </w:t>
      </w:r>
      <w:r w:rsidR="00413FC2" w:rsidRPr="00EB2576">
        <w:rPr>
          <w:rFonts w:ascii="Times New Roman" w:hAnsi="Times New Roman" w:cs="Times New Roman"/>
          <w:kern w:val="24"/>
          <w:sz w:val="24"/>
          <w:szCs w:val="24"/>
          <w:lang w:eastAsia="en-GB"/>
        </w:rPr>
        <w:t>There was o</w:t>
      </w:r>
      <w:r w:rsidR="00FB76D7" w:rsidRPr="00EB2576">
        <w:rPr>
          <w:rFonts w:ascii="Times New Roman" w:hAnsi="Times New Roman" w:cs="Times New Roman"/>
          <w:kern w:val="24"/>
          <w:sz w:val="24"/>
          <w:szCs w:val="24"/>
          <w:lang w:eastAsia="en-GB"/>
        </w:rPr>
        <w:t>verlap with</w:t>
      </w:r>
      <w:r w:rsidR="00413FC2" w:rsidRPr="00EB2576">
        <w:rPr>
          <w:rFonts w:ascii="Times New Roman" w:hAnsi="Times New Roman" w:cs="Times New Roman"/>
          <w:kern w:val="24"/>
          <w:sz w:val="24"/>
          <w:szCs w:val="24"/>
          <w:lang w:eastAsia="en-GB"/>
        </w:rPr>
        <w:t xml:space="preserve"> a linear</w:t>
      </w:r>
      <w:r w:rsidR="00FB76D7" w:rsidRPr="00EB2576">
        <w:rPr>
          <w:rFonts w:ascii="Times New Roman" w:hAnsi="Times New Roman" w:cs="Times New Roman"/>
          <w:kern w:val="24"/>
          <w:sz w:val="24"/>
          <w:szCs w:val="24"/>
          <w:lang w:eastAsia="en-GB"/>
        </w:rPr>
        <w:t xml:space="preserve"> epitope </w:t>
      </w:r>
      <w:r w:rsidR="00413FC2" w:rsidRPr="00EB2576">
        <w:rPr>
          <w:rFonts w:ascii="Times New Roman" w:hAnsi="Times New Roman" w:cs="Times New Roman"/>
          <w:kern w:val="24"/>
          <w:sz w:val="24"/>
          <w:szCs w:val="24"/>
          <w:lang w:eastAsia="en-GB"/>
        </w:rPr>
        <w:t xml:space="preserve">selected </w:t>
      </w:r>
      <w:r w:rsidR="00FB76D7" w:rsidRPr="00EB2576">
        <w:rPr>
          <w:rFonts w:ascii="Times New Roman" w:hAnsi="Times New Roman" w:cs="Times New Roman"/>
          <w:kern w:val="24"/>
          <w:sz w:val="24"/>
          <w:szCs w:val="24"/>
          <w:lang w:eastAsia="en-GB"/>
        </w:rPr>
        <w:t>from GFL</w:t>
      </w:r>
      <w:r w:rsidR="00407C5A" w:rsidRPr="00EB2576">
        <w:rPr>
          <w:rFonts w:ascii="Times New Roman" w:hAnsi="Times New Roman" w:cs="Times New Roman"/>
          <w:kern w:val="24"/>
          <w:sz w:val="24"/>
          <w:szCs w:val="24"/>
          <w:lang w:eastAsia="en-GB"/>
        </w:rPr>
        <w:t xml:space="preserve">, </w:t>
      </w:r>
      <w:r w:rsidR="000F7F6D" w:rsidRPr="00EB2576">
        <w:rPr>
          <w:rFonts w:ascii="Times New Roman" w:hAnsi="Times New Roman" w:cs="Times New Roman"/>
          <w:kern w:val="24"/>
          <w:sz w:val="24"/>
          <w:szCs w:val="24"/>
          <w:lang w:eastAsia="en-GB"/>
        </w:rPr>
        <w:t>indicating</w:t>
      </w:r>
      <w:r w:rsidR="00407C5A" w:rsidRPr="00EB2576">
        <w:rPr>
          <w:rFonts w:ascii="Times New Roman" w:hAnsi="Times New Roman" w:cs="Times New Roman"/>
          <w:kern w:val="24"/>
          <w:sz w:val="24"/>
          <w:szCs w:val="24"/>
          <w:lang w:eastAsia="en-GB"/>
        </w:rPr>
        <w:t xml:space="preserve"> the </w:t>
      </w:r>
      <w:r w:rsidR="000F7F6D" w:rsidRPr="00EB2576">
        <w:rPr>
          <w:rFonts w:ascii="Times New Roman" w:hAnsi="Times New Roman" w:cs="Times New Roman"/>
          <w:kern w:val="24"/>
          <w:sz w:val="24"/>
          <w:szCs w:val="24"/>
          <w:lang w:eastAsia="en-GB"/>
        </w:rPr>
        <w:t>regions predicted on infliximab are</w:t>
      </w:r>
      <w:r w:rsidR="00407C5A" w:rsidRPr="00EB2576">
        <w:rPr>
          <w:rFonts w:ascii="Times New Roman" w:hAnsi="Times New Roman" w:cs="Times New Roman"/>
          <w:kern w:val="24"/>
          <w:sz w:val="24"/>
          <w:szCs w:val="24"/>
          <w:lang w:eastAsia="en-GB"/>
        </w:rPr>
        <w:t xml:space="preserve"> immunologically important</w:t>
      </w:r>
      <w:r w:rsidR="00FB76D7" w:rsidRPr="00EB2576">
        <w:rPr>
          <w:rFonts w:ascii="Times New Roman" w:hAnsi="Times New Roman" w:cs="Times New Roman"/>
          <w:kern w:val="24"/>
          <w:sz w:val="24"/>
          <w:szCs w:val="24"/>
          <w:lang w:eastAsia="en-GB"/>
        </w:rPr>
        <w:t xml:space="preserve">.  </w:t>
      </w:r>
    </w:p>
    <w:p w14:paraId="7198209A" w14:textId="64981D04" w:rsidR="008A79C7" w:rsidRPr="00EB2576" w:rsidRDefault="008A79C7" w:rsidP="0041056A">
      <w:pPr>
        <w:pStyle w:val="Heading1"/>
        <w:spacing w:line="480" w:lineRule="auto"/>
        <w:rPr>
          <w:rFonts w:ascii="Times New Roman" w:hAnsi="Times New Roman" w:cs="Times New Roman"/>
          <w:sz w:val="32"/>
          <w:szCs w:val="32"/>
        </w:rPr>
      </w:pPr>
      <w:bookmarkStart w:id="325" w:name="_Toc116031749"/>
      <w:bookmarkStart w:id="326" w:name="_Toc151020555"/>
      <w:r w:rsidRPr="00EB2576">
        <w:rPr>
          <w:rFonts w:ascii="Times New Roman" w:hAnsi="Times New Roman" w:cs="Times New Roman"/>
          <w:sz w:val="32"/>
          <w:szCs w:val="32"/>
        </w:rPr>
        <w:lastRenderedPageBreak/>
        <w:t xml:space="preserve">Chapter </w:t>
      </w:r>
      <w:r w:rsidR="0031067D" w:rsidRPr="00EB2576">
        <w:rPr>
          <w:rFonts w:ascii="Times New Roman" w:hAnsi="Times New Roman" w:cs="Times New Roman"/>
          <w:sz w:val="32"/>
          <w:szCs w:val="32"/>
        </w:rPr>
        <w:t>7</w:t>
      </w:r>
      <w:r w:rsidRPr="00EB2576">
        <w:rPr>
          <w:rFonts w:ascii="Times New Roman" w:hAnsi="Times New Roman" w:cs="Times New Roman"/>
          <w:sz w:val="32"/>
          <w:szCs w:val="32"/>
        </w:rPr>
        <w:t>: Summary, final Discussion and future directions</w:t>
      </w:r>
      <w:bookmarkEnd w:id="325"/>
      <w:bookmarkEnd w:id="326"/>
    </w:p>
    <w:p w14:paraId="132797F8" w14:textId="77777777" w:rsidR="0041056A" w:rsidRPr="00EB2576" w:rsidRDefault="0041056A" w:rsidP="0041056A"/>
    <w:p w14:paraId="7427B4AB" w14:textId="607273E4" w:rsidR="008A79C7" w:rsidRPr="00EB2576" w:rsidRDefault="008A79C7" w:rsidP="008A79C7">
      <w:pPr>
        <w:tabs>
          <w:tab w:val="left" w:pos="1170"/>
        </w:tabs>
        <w:spacing w:line="480" w:lineRule="auto"/>
        <w:rPr>
          <w:rFonts w:ascii="Times New Roman" w:hAnsi="Times New Roman" w:cs="Times New Roman"/>
          <w:sz w:val="24"/>
          <w:szCs w:val="24"/>
        </w:rPr>
      </w:pPr>
      <w:r w:rsidRPr="00EB2576">
        <w:rPr>
          <w:rFonts w:ascii="Times New Roman" w:hAnsi="Times New Roman" w:cs="Times New Roman"/>
          <w:sz w:val="24"/>
          <w:szCs w:val="24"/>
        </w:rPr>
        <w:t>IBD is a lifelong relapsing-remitting inflammatory condition with limited- though expanding - treatment options.</w:t>
      </w:r>
      <w:r w:rsidRPr="00EB2576">
        <w:rPr>
          <w:rFonts w:ascii="Times New Roman" w:eastAsia="+mn-ea" w:hAnsi="Times New Roman" w:cs="Times New Roman"/>
          <w:kern w:val="24"/>
          <w:sz w:val="24"/>
          <w:szCs w:val="24"/>
          <w:lang w:eastAsia="en-GB"/>
        </w:rPr>
        <w:t xml:space="preserve"> Infliximab, a TNFα antagonist is </w:t>
      </w:r>
      <w:r w:rsidRPr="00EB2576">
        <w:rPr>
          <w:rFonts w:ascii="Times New Roman" w:hAnsi="Times New Roman" w:cs="Times New Roman"/>
          <w:sz w:val="24"/>
          <w:szCs w:val="24"/>
        </w:rPr>
        <w:t xml:space="preserve">a key drug for inducing and maintaining remission in IBD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{"citationItems":[{"id":"ITEM-1","itemData":{"DOI":"10.1016/S0140-6736(02)08512-4","ISBN":"0140-6736 0140-6736 (ISSNLinking)","ISSN":"01406736","PMID":"12047962","abstract":"Background: We did a randomised controlled trial to assess the benefit of maintenance infliximab therapy in patients with active Crohn's disease who respond to a single infusion of infliximab. Methods: 573 patients with a score of at least 220 on the Crohn's disease activity index (CDAI) received a 5 mg/kg intravenous infusion of infliximab at week 0. After assessment of response at week 2, patients were randomly assigned repeat infusions of placebo at weeks 2 and 6 and then every 8 weeks thereafter until week 46 (group I), repeat infusions of 5 mg/kg infliximab at the same timepoints (group II), or 5 mg/kg infliximab at weeks 2 and 6 followed by 10 mg/kg (group III). The prespecified co-primary endpoints were the proportion of patients who responded at week 2 and were in remission (CDAI &lt;150) at week 30 and the time to loss of response up to week 54 in patients who responded. Analyses of the co-primary endpoints were by intention to treat. Findings: 335 (58%) patients responded to a single infusion of infliximab within 2 weeks. At week 30, 23 of 110 (21%) group I patients were in remission, compared with 44 of 113 (39%) group II (p=0.003) and 50 of 112 (45%) group III (p=0.0002) patients. Thus, patients in groups II and III combined were more likely to sustain clinical remission than patients in group I (odds ratio 2.7, 95% CI 1.6-4.6). Throughout the 54-week trial, the median time to loss of response was 38 weeks (IQR 15 to &gt;54) and more than 54 weeks (21 to &gt;54) for groups II and III, respectively, compared with 19 weeks (10-45) for group I (p=0.002 and p=0.0002, respectively). Infliximab safety was consistent with that seen in other trials of infliximab in Crohn's disease and rheumatoid arthritis. In particular, the incidence of serious infections was similar across treatment groups. Interpretation: Patients with Crohn's disease who respond to an initial dose of infliximab are more likely to be in remission at weeks 30 and 54, to discontinue corticosteroids, and to maintain their response for a longer period of time, if infliximab treatment is maintained every 8 weeks.","author":[{"dropping-particle":"","family":"Hanauer","given":"Stephen B.","non-dropping-particle":"","parse-names":false,"suffix":""},{"dropping-particle":"","family":"Feagan","given":"Brian G.","non-dropping-particle":"","parse-names":false,"suffix":""},{"dropping-particle":"","family":"Lichtenstein","given":"Gary R.","non-dropping-particle":"","parse-names":false,"suffix":""},{"dropping-particle":"","family":"Mayer","given":"Lloyd F.","non-dropping-particle":"","parse-names":false,"suffix":""},{"dropping-particle":"","family":"Schreiber","given":"S.","non-dropping-particle":"","parse-names":false,"suffix":""},{"dropping-particle":"","family":"Colombel","given":"Jean Frederic","non-dropping-particle":"","parse-names":false,"suffix":""},{"dropping-particle":"","family":"Rachmilewitz","given":"Daniel","non-dropping-particle":"","parse-names":false,"suffix":""},{"dropping-particle":"","family":"Wolf","given":"Douglas C.","non-dropping-particle":"","parse-names":false,"suffix":""},{"dropping-particle":"","family":"Olson","given":"Allan","non-dropping-particle":"","parse-names":false,"suffix":""},{"dropping-particle":"","family":"Bao","given":"Weihang","non-dropping-particle":"","parse-names":false,"suffix":""},{"dropping-particle":"","family":"Rutgeerts","given":"Paul","non-dropping-particle":"","parse-names":false,"suffix":""}],"container-title":"Lancet","id":"ITEM-1","issue":"9317","issued":{"date-parts":[["2002"]]},"page":"1541-1549","title":"Maintenance infliximab for Crohn's disease: The ACCENT I randomised trial","type":"article-journal","volume":"359"},"uris":["http://www.mendeley.com/documents/?uuid=844b6336-4760-41c2-82e5-847a2013f86e","http://www.mendeley.com/documents/?uuid=5483f861-6172-4b6e-b774-5668ec4ac2ff","http://www.mendeley.com/documents/?uuid=629eb4eb-d397-4a69-89a0-06c26df17f32"]},{"id":"ITEM-2","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Medicine","id":"ITEM-2","issue":"9","issued":{"date-parts":[["2004","2","26"]]},"page":"876-885","title":"Infliximab Maintenance Therapy for Fistulizing Crohn's Disease","type":"article-journal","volume":"350"},"uris":["http://www.mendeley.com/documents/?uuid=e5b2eebf-4086-4cc0-a1ba-8c13017fea30","http://www.mendeley.com/documents/?uuid=34b5d054-c552-4c5a-92a6-3ce3829a8ec9","http://www.mendeley.com/documents/?uuid=d5a74abf-713b-45ca-9e76-608b0a3dc258"]},{"id":"ITEM-3","itemData":{"DOI":"10.1056/NEJMoa050516","ISBN":"1533-4406","ISSN":"0028-4793","PMID":"16339095","abstract":"Background Infliximab, a chimeric monoclonal antibody directed against tumor necrosis factor α, is an established treatment for Crohn's disease but not ulcerative colitis. Methods Two randomized, double-blind, placebo-controlled studies — the Active Ulcerative Colitis Trials 1 and 2 (ACT 1 and ACT 2, respectively) — evaluated the efficacy of infliximab for induction and maintenance therapy in adults with ulcerative colitis. In each study, 364 patients with moderate-to-severe active ulcerative colitis despite treatment with concurrent medications received placebo or infliximab (5 mg or 10 mg per kilogram of body weight) intravenously at weeks 0, 2, and 6 and then every eight weeks through week 46 (in ACT 1) or week 22 (in ACT 2). Patients were followed for 54 weeks in ACT 1 and 30 weeks in ACT 2. Results In ACT 1, 69 percent of patients who received 5 mg of infliximab and 61 percent of those who received 10 mg had a clinical response at week 8, as compared with 37 percent of those who received placebo (P&lt;0...","author":[{"dropping-particle":"","family":"Rutgeerts","given":"Paul","non-dropping-particle":"","parse-names":false,"suffix":""},{"dropping-particle":"","family":"Sandborn","given":"William J.","non-dropping-particle":"","parse-names":false,"suffix":""},{"dropping-particle":"","family":"Feagan","given":"Brian G.","non-dropping-particle":"","parse-names":false,"suffix":""},{"dropping-particle":"","family":"Reinisch","given":"Walter","non-dropping-particle":"","parse-names":false,"suffix":""},{"dropping-particle":"","family":"Olson","given":"Allan","non-dropping-particle":"","parse-names":false,"suffix":""},{"dropping-particle":"","family":"Johanns","given":"Jewel","non-dropping-particle":"","parse-names":false,"suffix":""},{"dropping-particle":"","family":"Travers","given":"Suzanne","non-dropping-particle":"","parse-names":false,"suffix":""},{"dropping-particle":"","family":"Rachmilewitz","given":"Daniel","non-dropping-particle":"","parse-names":false,"suffix":""},{"dropping-particle":"","family":"Hanauer","given":"Stephen B.","non-dropping-particle":"","parse-names":false,"suffix":""},{"dropping-particle":"","family":"Lichtenstein","given":"Gary R.","non-dropping-particle":"","parse-names":false,"suffix":""},{"dropping-particle":"","family":"Villiers","given":"Willem J.S.","non-dropping-particle":"de","parse-names":false,"suffix":""},{"dropping-particle":"","family":"Present","given":"Daniel","non-dropping-particle":"","parse-names":false,"suffix":""},{"dropping-particle":"","family":"Sands","given":"Bruce E.","non-dropping-particle":"","parse-names":false,"suffix":""},{"dropping-particle":"","family":"Colombel","given":"Jean Frédéric","non-dropping-particle":"","parse-names":false,"suffix":""}],"container-title":"New England Journal of Medicine","id":"ITEM-3","issue":"23","issued":{"date-parts":[["2005","12"]]},"page":"2462-2476","title":"Infliximab for Induction and Maintenance Therapy for Ulcerative Colitis","type":"article-journal","volume":"353"},"uris":["http://www.mendeley.com/documents/?uuid=12ff60dc-3218-4c7f-941b-43511ca01a12","http://www.mendeley.com/documents/?uuid=08d02a08-fdd3-4eb9-b2ae-070a39d39fc5","http://www.mendeley.com/documents/?uuid=adc04817-1669-4784-a3ae-7f5273bc984e"]},{"id":"ITEM-4","itemData":{"DOI":"10.1053/j.gastro.2013.10.052","ISBN":"0016-5085 (ISSNLinking)","ISSN":"00165085","PMID":"24512909","abstract":"Background &amp; Aims The comparative efficacy and safety of infliximab and azathioprine therapy alone or in combination for ulcerative colitis (UC) have not been evaluated previously. Methods This randomized, double-blind trial evaluated the efficacy and safety of 16 weeks of treatment with infliximab monotherapy, azathioprine monotherapy, or the 2 drugs combined in tumor necrosis factor-?? antagonist-naive adults with moderate to severe UC. Patients were assigned randomly to receive intravenous infusions of infliximab 5 mg/kg at weeks 0, 2, 6, and 14 plus daily oral placebo capsules; oral azathioprine 2.5 mg/kg daily plus placebo infusions on the infliximab schedule; or combination therapy with the 2 drugs. Corticosteroid-free clinical remission (primary end point, week 16) was evaluated at weeks 8 and 16. The study was terminated before the enrollment target was reached. Results A total of 239 patients were included in efficacy analyses. Baseline characteristics were similar between treatment groups. Corticosteroid-free remission at week 16 was achieved by 39.7% (31 of 78) of patients receiving infliximab/azathioprine, compared with 22.1% (17 of 77) receiving infliximab alone (P =.017) and 23.7% (18 of 76) receiving azathioprine alone (P =.032). Mucosal healing at week 16 occurred in 62.8% (49 of 78) of patients receiving infliximab/azathioprine, compared with 54.6% (42 of 77) receiving infliximab (P =.295) and 36.8% (28 of 76) receiving azathioprine (P =.001). Serious infections occurred in 2 patients (1 patient receiving infliximab, and 1 patient receiving azathioprine). Conclusions Anti-tumor necrosis factor-??-naive patients with moderate to severe UC treated with infliximab plus azathioprine were more likely to achieve corticosteroid-free remission at 16 weeks than those receiving either monotherapy. Combination therapy led to significantly better mucosal healing than azathioprine monotherapy. ClinicalTrials.gov number, NCT00537316. ?? 2014 by the AGA Institute.","author":[{"dropping-particle":"","family":"Panaccione","given":"Remo","non-dropping-particle":"","parse-names":false,"suffix":""},{"dropping-particle":"","family":"Ghosh","given":"Subrata","non-dropping-particle":"","parse-names":false,"suffix":""},{"dropping-particle":"","family":"Middleton","given":"Stephen","non-dropping-particle":"","parse-names":false,"suffix":""},{"dropping-particle":"","family":"Márquez","given":"Juan R.","non-dropping-particle":"","parse-names":false,"suffix":""},{"dropping-particle":"","family":"Scott","given":"Boyd B.","non-dropping-particle":"","parse-names":false,"suffix":""},{"dropping-particle":"","family":"Flint","given":"Laurence","non-dropping-particle":"","parse-names":false,"suffix":""},{"dropping-particle":"","family":"Hoogstraten","given":"Hubert J.F.","non-dropping-particle":"van","parse-names":false,"suffix":""},{"dropping-particle":"","family":"Chen","given":"Annie C.","non-dropping-particle":"","parse-names":false,"suffix":""},{"dropping-particle":"","family":"Zheng","given":"Hanzhe","non-dropping-particle":"","parse-names":false,"suffix":""},{"dropping-particle":"","family":"Danese","given":"Silvio","non-dropping-particle":"","parse-names":false,"suffix":""},{"dropping-particle":"","family":"Rutgeerts","given":"Paul","non-dropping-particle":"","parse-names":false,"suffix":""}],"container-title":"Gastroenterology","id":"ITEM-4","issue":"2","issued":{"date-parts":[["2014","2"]]},"page":"392-400.e3","publisher":"Elsevier, Inc","title":"Combination Therapy With Infliximab and Azathioprine Is Superior to Monotherapy With Either Agent in Ulcerative Colitis","type":"article-journal","volume":"146"},"uris":["http://www.mendeley.com/documents/?uuid=7d3ff8db-85cb-44ce-8726-309b3f16ca12","http://www.mendeley.com/documents/?uuid=87109f7b-3768-4489-a57b-54f7c3742e95","http://www.mendeley.com/documents/?uuid=6489a91f-c1ba-452a-bc79-75c9eaab612f"]}],"mendeley":{"formattedCitation":"&lt;sup&gt;27,53–55&lt;/sup&gt;","plainTextFormattedCitation":"27,53–55","previouslyFormattedCitation":"&lt;sup&gt;27,53–55&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27,53–55</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Similar to other biological therapies in IBD, secondary loss of response occurs in up to 50% of patients at 1 year follow up </w:t>
      </w:r>
      <w:r w:rsidRPr="00EB2576">
        <w:rPr>
          <w:rFonts w:ascii="Times New Roman" w:hAnsi="Times New Roman" w:cs="Times New Roman"/>
          <w:sz w:val="24"/>
          <w:szCs w:val="24"/>
          <w:vertAlign w:val="superscript"/>
        </w:rPr>
        <w:fldChar w:fldCharType="begin" w:fldLock="1"/>
      </w:r>
      <w:r w:rsidR="00DD0F87" w:rsidRPr="00EB2576">
        <w:rPr>
          <w:rFonts w:ascii="Times New Roman" w:hAnsi="Times New Roman" w:cs="Times New Roman"/>
          <w:sz w:val="24"/>
          <w:szCs w:val="24"/>
          <w:vertAlign w:val="superscript"/>
        </w:rPr>
        <w:instrText>ADDIN CSL_CITATION {"citationItems":[{"id":"ITEM-1","itemData":{"DOI":"10.1111/j.1365-2036.2011.04612.x","ISBN":"1365-2036","ISSN":"02692813","PMID":"21366636","abstract":"Loss of response to anti-TNF agents in Crohn's disease is an emerging clinical problem.","author":[{"dropping-particle":"","family":"Ben-Horin","given":"S.","non-dropping-particle":"","parse-names":false,"suffix":""},{"dropping-particle":"","family":"Chowers","given":"Y.","non-dropping-particle":"","parse-names":false,"suffix":""}],"container-title":"Alimentary Pharmacology &amp; Therapeutics","id":"ITEM-1","issue":"9","issued":{"date-parts":[["2011","5"]]},"page":"987-995","title":"Review article: loss of response to anti-TNF treatments in Crohn’s disease","type":"article-journal","volume":"33"},"uris":["http://www.mendeley.com/documents/?uuid=9d296738-3548-4847-84c0-4c4505c75cea","http://www.mendeley.com/documents/?uuid=f0556fd3-f59e-431a-93ff-e07ea1c3e1f2","http://www.mendeley.com/documents/?uuid=41e52449-6843-4303-b4df-ae27a9670a4f"]},{"id":"ITEM-2","itemData":{"DOI":"10.1111/j.1365-2036.2011.04986.x","ISSN":"02692813","author":[{"dropping-particle":"","family":"Rostholder","given":"Emily","non-dropping-particle":"","parse-names":false,"suffix":""},{"dropping-particle":"","family":"Ahmed","given":"Awais","non-dropping-particle":"","parse-names":false,"suffix":""},{"dropping-particle":"","family":"Cheifetz","given":"Adam S","non-dropping-particle":"","parse-names":false,"suffix":""},{"dropping-particle":"","family":"Moss","given":"Alan C","non-dropping-particle":"","parse-names":false,"suffix":""}],"container-title":"Alimentary Pharmacology &amp; Therapeutics","id":"ITEM-2","issue":"5","issued":{"date-parts":[["2012","3"]]},"page":"562-567","title":"Outcomes after escalation of infliximab therapy in ambulatory patients with moderately active ulcerative colitis","type":"article-journal","volume":"35"},"uris":["http://www.mendeley.com/documents/?uuid=c9f588f9-d63e-4c3a-9760-e357f2f9eed1","http://www.mendeley.com/documents/?uuid=7b984b9b-8604-4754-a50b-372ac5ba27cc","http://www.mendeley.com/documents/?uuid=5deaa6d0-bc25-4ff5-b118-7ac3b71cd964"]}],"mendeley":{"formattedCitation":"&lt;sup&gt;28,29&lt;/sup&gt;","plainTextFormattedCitation":"28,29","previouslyFormattedCitation":"&lt;sup&gt;28,29&lt;/sup&gt;"},"properties":{"noteIndex":0},"schema":"https://github.com/citation-style-language/schema/raw/master/csl-citation.json"}</w:instrText>
      </w:r>
      <w:r w:rsidRPr="00EB2576">
        <w:rPr>
          <w:rFonts w:ascii="Times New Roman" w:hAnsi="Times New Roman" w:cs="Times New Roman"/>
          <w:sz w:val="24"/>
          <w:szCs w:val="24"/>
          <w:vertAlign w:val="superscript"/>
        </w:rPr>
        <w:fldChar w:fldCharType="separate"/>
      </w:r>
      <w:r w:rsidR="00A00D49" w:rsidRPr="00EB2576">
        <w:rPr>
          <w:rFonts w:ascii="Times New Roman" w:hAnsi="Times New Roman" w:cs="Times New Roman"/>
          <w:noProof/>
          <w:sz w:val="24"/>
          <w:szCs w:val="24"/>
          <w:vertAlign w:val="superscript"/>
        </w:rPr>
        <w:t>28,29</w:t>
      </w:r>
      <w:r w:rsidRPr="00EB2576">
        <w:rPr>
          <w:rFonts w:ascii="Times New Roman" w:hAnsi="Times New Roman" w:cs="Times New Roman"/>
          <w:sz w:val="24"/>
          <w:szCs w:val="24"/>
          <w:vertAlign w:val="superscript"/>
        </w:rPr>
        <w:fldChar w:fldCharType="end"/>
      </w:r>
      <w:r w:rsidRPr="00EB2576">
        <w:rPr>
          <w:rFonts w:ascii="Times New Roman" w:hAnsi="Times New Roman" w:cs="Times New Roman"/>
          <w:sz w:val="24"/>
          <w:szCs w:val="24"/>
        </w:rPr>
        <w:t xml:space="preserve">  - but there may be a number of causes for this. Understanding the reasons for this loss of response is important for optimising patient care. In the case of infliximab, </w:t>
      </w:r>
      <w:r w:rsidR="003166D9" w:rsidRPr="00EB2576">
        <w:rPr>
          <w:rFonts w:ascii="Times New Roman" w:hAnsi="Times New Roman" w:cs="Times New Roman"/>
          <w:sz w:val="24"/>
          <w:szCs w:val="24"/>
        </w:rPr>
        <w:t>ATI</w:t>
      </w:r>
      <w:r w:rsidRPr="00EB2576">
        <w:rPr>
          <w:rFonts w:ascii="Times New Roman" w:hAnsi="Times New Roman" w:cs="Times New Roman"/>
          <w:sz w:val="24"/>
          <w:szCs w:val="24"/>
        </w:rPr>
        <w:t xml:space="preserve"> are likely to contribute to secondary loss of response in some of these patients and to other adverse effects including infusion reactions. </w:t>
      </w:r>
    </w:p>
    <w:p w14:paraId="324B06B9" w14:textId="77777777" w:rsidR="008A79C7" w:rsidRPr="00EB2576" w:rsidRDefault="008A79C7" w:rsidP="008A79C7">
      <w:pPr>
        <w:tabs>
          <w:tab w:val="left" w:pos="1170"/>
        </w:tabs>
        <w:spacing w:line="480" w:lineRule="auto"/>
        <w:rPr>
          <w:rFonts w:ascii="Times New Roman" w:hAnsi="Times New Roman" w:cs="Times New Roman"/>
          <w:b/>
          <w:bCs/>
          <w:sz w:val="24"/>
          <w:szCs w:val="24"/>
        </w:rPr>
      </w:pPr>
    </w:p>
    <w:p w14:paraId="034DB1C4" w14:textId="009B5BDE" w:rsidR="008A79C7" w:rsidRPr="00EB2576" w:rsidRDefault="008A79C7" w:rsidP="008A79C7">
      <w:pPr>
        <w:tabs>
          <w:tab w:val="left" w:pos="1170"/>
        </w:tabs>
        <w:spacing w:line="480" w:lineRule="auto"/>
        <w:rPr>
          <w:rFonts w:ascii="Times New Roman" w:hAnsi="Times New Roman" w:cs="Times New Roman"/>
          <w:b/>
          <w:bCs/>
          <w:sz w:val="24"/>
          <w:szCs w:val="24"/>
        </w:rPr>
      </w:pPr>
      <w:r w:rsidRPr="00EB2576">
        <w:rPr>
          <w:rFonts w:ascii="Times New Roman" w:hAnsi="Times New Roman" w:cs="Times New Roman"/>
          <w:b/>
          <w:bCs/>
          <w:sz w:val="24"/>
          <w:szCs w:val="24"/>
        </w:rPr>
        <w:t xml:space="preserve">The overall aim of this PhD thesis was to add to the understanding of antibody formation to infliximab on a clinical and immunological level: to identify risk factors for the development of ATI, confirm the associated clinical outcomes using a drug tolerant antibody assay and to use phage display to identify linear and conformational epitopes on infliximab. The overall workflow is therefore described in Figure </w:t>
      </w:r>
      <w:r w:rsidR="0066692D" w:rsidRPr="00EB2576">
        <w:rPr>
          <w:rFonts w:ascii="Times New Roman" w:hAnsi="Times New Roman" w:cs="Times New Roman"/>
          <w:b/>
          <w:bCs/>
          <w:sz w:val="24"/>
          <w:szCs w:val="24"/>
        </w:rPr>
        <w:t>11</w:t>
      </w:r>
      <w:r w:rsidRPr="00EB2576">
        <w:rPr>
          <w:rFonts w:ascii="Times New Roman" w:hAnsi="Times New Roman" w:cs="Times New Roman"/>
          <w:b/>
          <w:bCs/>
          <w:sz w:val="24"/>
          <w:szCs w:val="24"/>
        </w:rPr>
        <w:t>.</w:t>
      </w:r>
    </w:p>
    <w:p w14:paraId="56A9556A" w14:textId="77777777" w:rsidR="008A79C7" w:rsidRPr="00EB2576" w:rsidRDefault="008A79C7" w:rsidP="008A79C7">
      <w:pPr>
        <w:tabs>
          <w:tab w:val="left" w:pos="1170"/>
        </w:tabs>
        <w:spacing w:line="480" w:lineRule="auto"/>
        <w:rPr>
          <w:rFonts w:ascii="Times New Roman" w:hAnsi="Times New Roman" w:cs="Times New Roman"/>
          <w:b/>
          <w:bCs/>
          <w:sz w:val="24"/>
          <w:szCs w:val="24"/>
        </w:rPr>
      </w:pPr>
    </w:p>
    <w:p w14:paraId="393E999A" w14:textId="2A0B173C" w:rsidR="008A79C7" w:rsidRPr="00EB2576" w:rsidRDefault="008A79C7" w:rsidP="008A79C7">
      <w:pPr>
        <w:tabs>
          <w:tab w:val="left" w:pos="1170"/>
        </w:tabs>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Initial clinical work focused on a retrospective review of 214 IBD patients. Patients had TDM and a clinical assessment at </w:t>
      </w:r>
      <w:r w:rsidRPr="00EB2576">
        <w:rPr>
          <w:rFonts w:ascii="Times New Roman" w:hAnsi="Times New Roman" w:cs="Times New Roman"/>
          <w:i/>
          <w:iCs/>
          <w:sz w:val="24"/>
          <w:szCs w:val="24"/>
        </w:rPr>
        <w:t>every</w:t>
      </w:r>
      <w:r w:rsidRPr="00EB2576">
        <w:rPr>
          <w:rFonts w:ascii="Times New Roman" w:hAnsi="Times New Roman" w:cs="Times New Roman"/>
          <w:sz w:val="24"/>
          <w:szCs w:val="24"/>
        </w:rPr>
        <w:t xml:space="preserve"> infliximab infusion to address inconsistencies in the literature regarding the association of ATI  to clinical outcomes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{"citationItems":[{"id":"ITEM-1","itemData":{"DOI":"10.1203/PDR.0b013e318208451d","ISSN":"0031-3998","abstract":"Over the past decade, the treatment of a variety of immune-mediated diseases has improved greatly due to the introduction of biologics for therapies in cases that are nonresponsive to traditional treatments. However, a side effect not encountered in traditional treatments is the immunogenicity of the biologics themselves. Our aim was to investigate the anti-infliximab-antibody response in pediatric patients receiving infliximab for juvenile idiopathic arthritis and other pediatric rheumatic diseases, with a focus on an analysis of the binding sites of these antibodies. We show that anti-infliximab antibodies developed in 43% of patients receiving infliximab therapy. Neutralization studies showed that in all these patients, the antibodies were directed toward the variable domains of infliximab, as they inhibited binding of infliximab to TNF. A more precise determination of the antibody epitopes using synthetic peptides was not achieved, indicating that all the antibody binding sites were composed of discontinuous segments of infliximab.","author":[{"dropping-particle":"","family":"Kosmač","given":"Miha","non-dropping-particle":"","parse-names":false,"suffix":""},{"dropping-particle":"","family":"Avčin","given":"Tadej","non-dropping-particle":"","parse-names":false,"suffix":""},{"dropping-particle":"","family":"Toplak","given":"Nataša","non-dropping-particle":"","parse-names":false,"suffix":""},{"dropping-particle":"","family":"Simonini","given":"Gabriele","non-dropping-particle":"","parse-names":false,"suffix":""},{"dropping-particle":"","family":"Cimaz","given":"Rolando","non-dropping-particle":"","parse-names":false,"suffix":""},{"dropping-particle":"","family":"Šerbec","given":"Vladka Čurin","non-dropping-particle":"","parse-names":false,"suffix":""}],"container-title":"Pediatric Research","id":"ITEM-1","issue":"3","issued":{"date-parts":[["2011","3"]]},"page":"243-248","title":"Exploring the Binding Sites of Anti-Infliximab Antibodies in Pediatric Patients With Rheumatic Diseases Treated With Infliximab","type":"article-journal","volume":"69"},"uris":["http://www.mendeley.com/documents/?uuid=f7db2305-5109-4d29-ac76-cd4b6a0a4d77","http://www.mendeley.com/documents/?uuid=0511c79a-96bd-40a2-af29-f049a3a21845","http://www.mendeley.com/documents/?uuid=925af7a5-56f9-4fd9-927d-af1d328fd760"]},{"id":"ITEM-2","itemData":{"DOI":"10.1136/annrheumdis-2014-206237","ISBN":"2015207503","ISSN":"0003-4967","PMID":"25342759","abstract":"BACKGROUND: In a subset of patients, anti tumour necrosis factor (TNF) therapeutic antibodies are immunogenic, resulting in the formation of antidrug antibodies (ADAs). Neutralising ADAs compete with TNF for its binding site and reduces the effective serum concentration, causing clinical non-response. It is however unknown to which extent ADAs are neutralising. OBJECTIVES: To study which proportion of antibodies to human(ised) anti-TNF (adalimumab, golimumab, certolizumab) as well as chimeric anti-TNF (infliximab) is neutralising. METHODS: Neutralising capacity of ADAs was assessed using a TNF competition assay in ADA-positive sera of patients treated with adalimumab (n=21), golimumab (n=4), certolizumab (n=9) or infliximab (n=34) sent in to our diagnostic department. RESULTS: In 34 sera with ADAs to adalimumab, golimumab or certolizumab, &gt;97% of the antibodies were neutralising. In 34 sera with ADAs to infliximab &gt;90% of the antibodies were neutralising. Further characterisation of the broader antibody response to infliximab revealed that non-neutralising antibodies to infliximab do not target murine domains, but may bind infliximab-unique domains not involved in TNF binding (located outside the paratope). CONCLUSIONS: Our study shows that ADAs to human(ised) as well as chimeric anti-TNF therapeutic antibodies are largely neutralising. This highly restricted ADA response suggests an immunodominant role for the paratope of anti-TNF therapeutics.","author":[{"dropping-particle":"","family":"Schie","given":"K A","non-dropping-particle":"van","parse-names":false,"suffix":""},{"dropping-particle":"","family":"Hart","given":"M H","non-dropping-particle":"","parse-names":false,"suffix":""},{"dropping-particle":"","family":"Groot","given":"E R","non-dropping-particle":"de","parse-names":false,"suffix":""},{"dropping-particle":"","family":"Kruithof","given":"S","non-dropping-particle":"","parse-names":false,"suffix":""},{"dropping-particle":"","family":"Aarden","given":"L A","non-dropping-particle":"","parse-names":false,"suffix":""},{"dropping-particle":"","family":"Wolbink","given":"G J","non-dropping-particle":"","parse-names":false,"suffix":""},{"dropping-particle":"","family":"Rispens","given":"T","non-dropping-particle":"","parse-names":false,"suffix":""}],"container-title":"Annals of the Rheumatic Diseases","id":"ITEM-2","issue":"1","issued":{"date-parts":[["2015","1"]]},"page":"311-314","title":"The antibody response against human and chimeric anti-TNF therapeutic antibodies primarily targets the TNF binding region","type":"article-journal","volume":"74"},"uris":["http://www.mendeley.com/documents/?uuid=31c8ce99-274e-43ab-85bc-166af6d15cb9","http://www.mendeley.com/documents/?uuid=88348dd5-67d7-400b-8df7-14291c4d8a58","http://www.mendeley.com/documents/?uuid=c5c9c2d8-4bea-431e-974f-09a2aa2b2007"]}],"mendeley":{"formattedCitation":"&lt;sup&gt;33,146&lt;/sup&gt;","plainTextFormattedCitation":"33,146","previouslyFormattedCitation":"&lt;sup&gt;33,146&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33,146</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mendeley":{"formattedCitation":"&lt;sup&gt;159&lt;/sup&gt;","plainTextFormattedCitation":"159","previouslyFormattedCitation":"&lt;sup&gt;159&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159</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Using a drug tolerant antibody assay, ATI were shown to be prevalent and significantly associated with poor clinical outcomes of loss of </w:t>
      </w:r>
      <w:r w:rsidR="00CB4BA8" w:rsidRPr="00EB2576">
        <w:rPr>
          <w:rFonts w:ascii="Times New Roman" w:hAnsi="Times New Roman" w:cs="Times New Roman"/>
          <w:sz w:val="24"/>
          <w:szCs w:val="24"/>
        </w:rPr>
        <w:t>clinical remission</w:t>
      </w:r>
      <w:r w:rsidRPr="00EB2576">
        <w:rPr>
          <w:rFonts w:ascii="Times New Roman" w:hAnsi="Times New Roman" w:cs="Times New Roman"/>
          <w:sz w:val="24"/>
          <w:szCs w:val="24"/>
        </w:rPr>
        <w:t>, reduced infliximab drug levels and adverse drug reactions. In our cohort, ATI development</w:t>
      </w:r>
      <w:r w:rsidRPr="00EB2576">
        <w:rPr>
          <w:rFonts w:ascii="Times New Roman" w:eastAsiaTheme="minorHAnsi" w:hAnsi="Times New Roman" w:cs="Times New Roman"/>
          <w:sz w:val="24"/>
          <w:szCs w:val="24"/>
        </w:rPr>
        <w:t xml:space="preserve"> was most likely in the first 12 months of treatment, as nearly 80% of</w:t>
      </w:r>
      <w:r w:rsidR="00CB4BA8" w:rsidRPr="00EB2576">
        <w:rPr>
          <w:rFonts w:ascii="Times New Roman" w:eastAsiaTheme="minorHAnsi" w:hAnsi="Times New Roman" w:cs="Times New Roman"/>
          <w:sz w:val="24"/>
          <w:szCs w:val="24"/>
        </w:rPr>
        <w:t xml:space="preserve"> </w:t>
      </w:r>
      <w:r w:rsidR="00CB4BA8" w:rsidRPr="00EB2576">
        <w:rPr>
          <w:rFonts w:ascii="Times New Roman" w:eastAsiaTheme="minorHAnsi" w:hAnsi="Times New Roman" w:cs="Times New Roman"/>
          <w:sz w:val="24"/>
          <w:szCs w:val="24"/>
        </w:rPr>
        <w:lastRenderedPageBreak/>
        <w:t>patients</w:t>
      </w:r>
      <w:r w:rsidRPr="00EB2576">
        <w:rPr>
          <w:rFonts w:ascii="Times New Roman" w:eastAsiaTheme="minorHAnsi" w:hAnsi="Times New Roman" w:cs="Times New Roman"/>
          <w:sz w:val="24"/>
          <w:szCs w:val="24"/>
        </w:rPr>
        <w:t xml:space="preserve"> developed ATI during this period. Our study confirmed previous findings that concomitant immunosuppression with thiopurines and methotrexate was protective against ATI development </w:t>
      </w:r>
      <w:r w:rsidRPr="00EB2576">
        <w:rPr>
          <w:rFonts w:ascii="Times New Roman" w:eastAsiaTheme="minorHAnsi" w:hAnsi="Times New Roman" w:cs="Times New Roman"/>
          <w:sz w:val="24"/>
          <w:szCs w:val="24"/>
        </w:rPr>
        <w:fldChar w:fldCharType="begin" w:fldLock="1"/>
      </w:r>
      <w:r w:rsidR="00DD0F87" w:rsidRPr="00EB2576">
        <w:rPr>
          <w:rFonts w:ascii="Times New Roman" w:eastAsiaTheme="minorHAnsi" w:hAnsi="Times New Roman" w:cs="Times New Roman"/>
          <w:sz w:val="24"/>
          <w:szCs w:val="24"/>
        </w:rPr>
        <w:instrText>ADDIN CSL_CITATION {"citationItems":[{"id":"ITEM-1","itemData":{"DOI":"10.1056/NEJMoa020888","ISBN":"1462-0332 (Electronic)\\r1462-0324 (Linking)","ISSN":"0028-4793","PMID":"21427177","abstract":"OBJECTIVE: To analyse the clinical relevance of the production of anti-infliximab antibodies (anti-infliximab Abs) in patients with RA undergoing infliximab treatment over a prolonged period of time. METHODS: Clinical characteristics, serum trough infliximab and antibody levels were evaluated in 85 RA patients treated with infliximab for a median of 4.42 (interval 0.4-10.2) years. DAS in 28 joints (DAS-28), EULAR response criteria and survival of treatment were assessed at 3 time points (6 months, 12 months and &gt;4 years). RESULTS: Antibodies against infliximab were detected in 28 (32.9%) patients and were present in all EULAR non-responder patients. Antibody levels were higher in EULAR non-responders throughout the study period (P = 0.05 at 6 months, P = 0.02 at 1 year, P = 0.003 at &gt;4 years) compared with EULAR (good and moderate) responders. Nine (10.5%) patients, all of them with high-serum anti-infliximab Ab levels, developed infusion-related reactions. Patients with anti-infliximab Abs more often required increased infliximab doses (51.7%) (P = 0.032) and median survival time on treatment was shorter (4.15 vs 8.89 years) (P = 0.0006). MTX co-therapy was not associated with lower proportion of anti-infliximab Ab-positive patients, but those receiving both infliximab and MTX had lower levels of anti-infliximab Abs (P = 0.073) and longer survival (P = 0.015) on treatment. CONCLUSION: The formation of anti-infliximab Abs during treatment with infliximab is associated with a loss of clinical response, the appearance of infusion reactions and discontinuation of treatment.","author":[{"dropping-particle":"","family":"Baert","given":"Filip","non-dropping-particle":"","parse-names":false,"suffix":""},{"dropping-particle":"","family":"Noman","given":"Maja","non-dropping-particle":"","parse-names":false,"suffix":""},{"dropping-particle":"","family":"Vermeire","given":"Severine","non-dropping-particle":"","parse-names":false,"suffix":""},{"dropping-particle":"","family":"Assche","given":"Gert","non-dropping-particle":"Van","parse-names":false,"suffix":""},{"dropping-particle":"","family":"Haens","given":"Geert","non-dropping-particle":"D'","parse-names":false,"suffix":""},{"dropping-particle":"","family":"Carbonez","given":"An","non-dropping-particle":"","parse-names":false,"suffix":""},{"dropping-particle":"","family":"Rutgeerts","given":"Paul","non-dropping-particle":"","parse-names":false,"suffix":""}],"container-title":"New England Journal of Medicine","id":"ITEM-1","issue":"7","issued":{"date-parts":[["2003","2","13"]]},"page":"601-608","title":"Influence of Immunogenicity on the Long-Term Efficacy of Infliximab in Crohn's Disease","type":"article-journal","volume":"348"},"uris":["http://www.mendeley.com/documents/?uuid=a7f617eb-fb32-4b78-b0e6-6fa31fb61500"]},{"id":"ITEM-2","itemData":{"DOI":"10.1056/NEJMoa030815","ISBN":"00284793","ISSN":"0028-4793","PMID":"14985485","abstract":"BACKGROUND Infliximab, a monoclonal antibody against tumor necrosis factor, is an effective maintenance therapy for patients with Crohn's disease without fistulas. It is not known whether infliximab is an effective maintenance therapy for patients with fistulas. METHODS We performed a multicenter, double-blind, randomized, placebo-controlled trial to evaluate the efficacy of infliximab maintenance therapy in 306 adult patients with Crohn's disease and one or more draining abdominal or perianal fistulas of at least three months' duration. Patients received 5 mg of infliximab per kilogram of body weight intravenously on weeks 0, 2, and 6. A total of 195 patients who had a response at weeks 10 and 14 and 87 patients who had no response were then randomly assigned to receive placebo or 5 mg of infliximab per kilogram every eight weeks and to be followed to week 54. The primary analysis was the time to the loss of response among patients who had a response at week 14 and underwent randomization. RESULTS The time to loss of response was significantly longer for patients who received infliximab maintenance therapy than for those who received placebo maintenance (more than 40 weeks vs. 14 weeks, P&lt;0.001). At week 54, 19 percent of patients in the placebo maintenance group had a complete absence of draining fistulas, as compared with 36 percent of patients in the infliximab maintenance group (P=0.009). CONCLUSIONS Patients with fistulizing Crohn's disease who have a response to induction therapy with infliximab have an increased likelihood of a sustained response over a 54-week period if infliximab treatment is continued every 8 weeks.","author":[{"dropping-particle":"","family":"Sands","given":"Bruce E.","non-dropping-particle":"","parse-names":false,"suffix":""},{"dropping-particle":"","family":"Anderson","given":"Frank H.","non-dropping-particle":"","parse-names":false,"suffix":""},{"dropping-particle":"","family":"Bernstein","given":"Charles N.","non-dropping-particle":"","parse-names":false,"suffix":""},{"dropping-particle":"","family":"Chey","given":"William Y.","non-dropping-particle":"","parse-names":false,"suffix":""},{"dropping-particle":"","family":"Feagan","given":"Brian G.","non-dropping-particle":"","parse-names":false,"suffix":""},{"dropping-particle":"","family":"Fedorak","given":"Richard N.","non-dropping-particle":"","parse-names":false,"suffix":""},{"dropping-particle":"","family":"Kamm","given":"Michael A.","non-dropping-particle":"","parse-names":false,"suffix":""},{"dropping-particle":"","family":"Korzenik","given":"Joshua R.","non-dropping-particle":"","parse-names":false,"suffix":""},{"dropping-particle":"","family":"Lashner","given":"Bret A.","non-dropping-particle":"","parse-names":false,"suffix":""},{"dropping-particle":"","family":"Onken","given":"Jane E.","non-dropping-particle":"","parse-names":false,"suffix":""},{"dropping-particle":"","family":"Rachmilewitz","given":"Daniel","non-dropping-particle":"","parse-names":false,"suffix":""},{"dropping-particle":"","family":"Rutgeerts","given":"Paul","non-dropping-particle":"","parse-names":false,"suffix":""},{"dropping-particle":"","family":"Wild","given":"Gary","non-dropping-particle":"","parse-names":false,"suffix":""},{"dropping-particle":"","family":"Wolf","given":"Douglas C.","non-dropping-particle":"","parse-names":false,"suffix":""},{"dropping-particle":"","family":"Marsters","given":"Paul A.","non-dropping-particle":"","parse-names":false,"suffix":""},{"dropping-particle":"","family":"Travers","given":"Suzanne B.","non-dropping-particle":"","parse-names":false,"suffix":""},{"dropping-particle":"","family":"Blank","given":"Marion A.","non-dropping-particle":"","parse-names":false,"suffix":""},{"dropping-particle":"","family":"Deventer","given":"Sander J.","non-dropping-particle":"van","parse-names":false,"suffix":""}],"container-title":"New England Journal of Medicine","id":"ITEM-2","issue":"9","issued":{"date-parts":[["2004","2","26"]]},"page":"876-885","title":"Infliximab Maintenance Therapy for Fistulizing Crohn's Disease","type":"article-journal","volume":"350"},"uris":["http://www.mendeley.com/documents/?uuid=d5a74abf-713b-45ca-9e76-608b0a3dc258"]},{"id":"ITEM-3","itemData":{"DOI":"10.1097/00005176-200405000-00008","ISSN":"0277-2116","author":[{"dropping-particle":"","family":"Miele","given":"Erasmo","non-dropping-particle":"","parse-names":false,"suffix":""},{"dropping-particle":"","family":"Markowitz","given":"Jonathan E.","non-dropping-particle":"","parse-names":false,"suffix":""},{"dropping-particle":"","family":"Mamula","given":"Petar","non-dropping-particle":"","parse-names":false,"suffix":""},{"dropping-particle":"","family":"Baldassano","given":"Robert N.","non-dropping-particle":"","parse-names":false,"suffix":""}],"container-title":"Journal of Pediatric Gastroenterology and Nutrition","id":"ITEM-3","issue":"5","issued":{"date-parts":[["2004","5"]]},"page":"502-508","title":"Human Antichimeric Antibody in Children and Young Adults with Inflammatory Bowel Disease Receiving Infliximab","type":"article-journal","volume":"38"},"uris":["http://www.mendeley.com/documents/?uuid=51de584f-6705-4e38-8c06-69138d140794"]},{"id":"ITEM-4","itemData":{"DOI":"10.1136/gut.2006.099978","ISBN":"0017-5749 (Print)\\r0017-5749 (Linking)","ISSN":"0017-5749","PMID":"17229796","abstract":"BACKGROUND: Episodic infliximab (IFX) treatment is associated with the formation of antibodies to IFX (ATIs) in the majority of patients, which can lead to infusion reactions and a shorter duration of response. Concomitant use of immunosuppressives (IS) reduces the risk of ATI formation. AIMS AND METHODS: To investigate which of the IS-that is, methotrexate (MTX) or azathioprine (AZA)-is most effective at reducing the risk of ATI formation, a multicentre cohort of 174 patients with Crohn's disease, treated with IFX in an on-demand schedule, was prospectively studied. Three groups were studied: no IS (n = 59), concomitant MTX (n = 50) and concomitant AZA (n = 65). ATI and IFX concentrations were measured in a blinded manner at Prometheus Laboratories before and 4 weeks after each infusion. RESULTS: ATIs were detected in 55% (96/174) of the patients. The concomitant use of IS therapy (AZA or MTX) was associated with a lower incidence of ATIs (53/115; 46%) compared with patients not taking concomitant IS therapy (43/59; 73%; p&lt;0.001). The incidence of ATIs was not different for the MTX group (44%) compared with the AZA group (48%). Patients not taking IS therapy had lower IFX levels (median 2.42 microg/ml (interquartile range (IQR) 1-10.8), maximum 21 microg/ml) 4 weeks after any follow-up infusion than patients taking concomitant IS therapy (median 6.45 microg/ml (IQR 3-11.6), maximum 21 microg/ml; p = 0.065), but there was no difference between MTX or AZA. In patients who developed significant ATIs &gt;8 microg/ml during follow-up, the IFX levels 4 weeks after the first infusion were retrospectively found to be significantly lower than in patients who did not develop ATIs on follow-up or had inconclusive ATIs. CONCLUSION: Concomitant IS therapy reduces ATI formation associated with IFX treatment and improves the pharmacokinetics of IFX. There is no difference between MTX and AZA in reducing these risks. ATI profoundly influences the pharmacokinetics of IFX. The formation of ATIs &gt;8 microg/ml is associated with lower serum levels of IFX already at 4 weeks after its first administration.","author":[{"dropping-particle":"","family":"Vermeire","given":"S.","non-dropping-particle":"","parse-names":false,"suffix":""},{"dropping-particle":"","family":"Noman","given":"M.","non-dropping-particle":"","parse-names":false,"suffix":""},{"dropping-particle":"","family":"Assche","given":"G.","non-dropping-particle":"Van","parse-names":false,"suffix":""},{"dropping-particle":"","family":"Baert","given":"F.","non-dropping-particle":"","parse-names":false,"suffix":""},{"dropping-particle":"","family":"D'Haens","given":"G.","non-dropping-particle":"","parse-names":false,"suffix":""},{"dropping-particle":"","family":"Rutgeerts","given":"P.","non-dropping-particle":"","parse-names":false,"suffix":""}],"container-title":"Gut","id":"ITEM-4","issue":"9","issued":{"date-parts":[["2007","4"]]},"page":"1226-1231","title":"Effectiveness of concomitant immunosuppressive therapy in suppressing the formation of antibodies to infliximab in Crohn's disease","type":"article-journal","volume":"56"},"uris":["http://www.mendeley.com/documents/?uuid=4523f3ea-618f-418c-956d-ea41de61efe0"]},{"id":"ITEM-5","itemData":{"DOI":"10.1053/j.gastro.2013.11.024","ISBN":"00165085","ISSN":"00165085","PMID":"24269926","abstract":"Background &amp; Aims Methotrexate and infliximab are effective therapies for Crohn's disease (CD). In the combination of maintenance methotrexate- infliximab trial, we evaluated the potential superiority of combination therapy over infliximab alone. Methods In a 50-week, double-blind, placebo-controlled trial, we compared methotrexate and infliximab with infliximab alone in 126 patients with CD who had initiated prednisone induction therapy (15-40 mg/day) within the preceding 6 weeks. Patients were assigned randomly to groups given methotrexate at an initial weekly dose of 10 mg, escalating to 25 mg/week (n = 63), or placebo (n = 63). Both groups received infliximab (5 mg/kg of body weight) at weeks 1, 3, 7, and 14, and every 8 weeks thereafter. Prednisone was tapered, beginning at week 1, and discontinued no later than week 14. The primary outcome was time to treatment failure, defined as a lack of prednisone-free remission (CD Activity Index, &lt;150) at week 14 or failure to maintain remission through week 50. Results Patients' baseline characteristics were similar between groups. By week 50, the actuarial rate of treatment failure was 30.6% in the combination therapy group compared with 29.8% in the infliximab monotherapy group (P =.63; hazard ratio, 1.16; 95% confidence interval, 0.62-2.17). Prespecified subgroup analyses failed to show a benefit in patients with short disease duration or an increased level of C-reactive protein. No clinically meaningful differences were observed in secondary outcomes. Combination therapy was well tolerated. Conclusions The combination of infliximab and methotrexate, although safe, was no more effective than infliximab alone in patients with CD receiving treatment with prednisone. ClincialTrials.gov number, NCT00132899. © 2014 by the AGA Institute.","author":[{"dropping-particle":"","family":"Feagan","given":"Brian G.","non-dropping-particle":"","parse-names":false,"suffix":""},{"dropping-particle":"","family":"McDonald","given":"John W.D.","non-dropping-particle":"","parse-names":false,"suffix":""},{"dropping-particle":"","family":"Panaccione","given":"Remo","non-dropping-particle":"","parse-names":false,"suffix":""},{"dropping-particle":"","family":"Enns","given":"Robert A.","non-dropping-particle":"","parse-names":false,"suffix":""},{"dropping-particle":"","family":"Bernstein","given":"Charles N.","non-dropping-particle":"","parse-names":false,"suffix":""},{"dropping-particle":"","family":"Ponich","given":"Terry P.","non-dropping-particle":"","parse-names":false,"suffix":""},{"dropping-particle":"","family":"Bourdages","given":"Raymond","non-dropping-particle":"","parse-names":false,"suffix":""},{"dropping-particle":"","family":"MacIntosh","given":"Donald G.","non-dropping-particle":"","parse-names":false,"suffix":""},{"dropping-particle":"","family":"Dallaire","given":"Chrystian","non-dropping-particle":"","parse-names":false,"suffix":""},{"dropping-particle":"","family":"Cohen","given":"Albert","non-dropping-particle":"","parse-names":false,"suffix":""},{"dropping-particle":"","family":"Fedorak","given":"Richard N.","non-dropping-particle":"","parse-names":false,"suffix":""},{"dropping-particle":"","family":"Paré","given":"Pierre","non-dropping-particle":"","parse-names":false,"suffix":""},{"dropping-particle":"","family":"Bitton","given":"Alain","non-dropping-particle":"","parse-names":false,"suffix":""},{"dropping-particle":"","family":"Saibil","given":"Fred","non-dropping-particle":"","parse-names":false,"suffix":""},{"dropping-particle":"","family":"Anderson","given":"Frank","non-dropping-particle":"","parse-names":false,"suffix":""},{"dropping-particle":"","family":"Donner","given":"Allan","non-dropping-particle":"","parse-names":false,"suffix":""},{"dropping-particle":"","family":"Wong","given":"Cindy J.","non-dropping-particle":"","parse-names":false,"suffix":""},{"dropping-particle":"","family":"Zou","given":"Guangyong","non-dropping-particle":"","parse-names":false,"suffix":""},{"dropping-particle":"","family":"Vandervoort","given":"Margaret K.","non-dropping-particle":"","parse-names":false,"suffix":""},{"dropping-particle":"","family":"Hopkins","given":"Marybeth","non-dropping-particle":"","parse-names":false,"suffix":""},{"dropping-particle":"","family":"Greenberg","given":"Gordon R.","non-dropping-particle":"","parse-names":false,"suffix":""}],"container-title":"Gastroenterology","id":"ITEM-5","issue":"3","issued":{"date-parts":[["2014","3"]]},"page":"681-688.e1","publisher":"Elsevier, Inc","title":"Methotrexate in Combination With Infliximab Is No More Effective Than Infliximab Alone in Patients With Crohn's Disease","type":"article-journal","volume":"146"},"uris":["http://www.mendeley.com/documents/?uuid=51a28eb3-b2d9-4cd4-9b79-3dde7e5b5c81"]}],"mendeley":{"formattedCitation":"&lt;sup&gt;55,118,130,171,172&lt;/sup&gt;","plainTextFormattedCitation":"55,118,130,171,172","previouslyFormattedCitation":"&lt;sup&gt;55,118,130,171,172&lt;/sup&gt;"},"properties":{"noteIndex":0},"schema":"https://github.com/citation-style-language/schema/raw/master/csl-citation.json"}</w:instrText>
      </w:r>
      <w:r w:rsidRPr="00EB2576">
        <w:rPr>
          <w:rFonts w:ascii="Times New Roman" w:eastAsiaTheme="minorHAnsi" w:hAnsi="Times New Roman" w:cs="Times New Roman"/>
          <w:sz w:val="24"/>
          <w:szCs w:val="24"/>
        </w:rPr>
        <w:fldChar w:fldCharType="separate"/>
      </w:r>
      <w:r w:rsidR="00A00D49" w:rsidRPr="00EB2576">
        <w:rPr>
          <w:rFonts w:ascii="Times New Roman" w:eastAsiaTheme="minorHAnsi" w:hAnsi="Times New Roman" w:cs="Times New Roman"/>
          <w:noProof/>
          <w:sz w:val="24"/>
          <w:szCs w:val="24"/>
          <w:vertAlign w:val="superscript"/>
        </w:rPr>
        <w:t>55,118,130,171,172</w:t>
      </w:r>
      <w:r w:rsidRPr="00EB2576">
        <w:rPr>
          <w:rFonts w:ascii="Times New Roman" w:eastAsiaTheme="minorHAnsi" w:hAnsi="Times New Roman" w:cs="Times New Roman"/>
          <w:sz w:val="24"/>
          <w:szCs w:val="24"/>
        </w:rPr>
        <w:fldChar w:fldCharType="end"/>
      </w:r>
      <w:r w:rsidRPr="00EB2576">
        <w:rPr>
          <w:rFonts w:ascii="Times New Roman" w:eastAsiaTheme="minorHAnsi" w:hAnsi="Times New Roman" w:cs="Times New Roman"/>
          <w:sz w:val="24"/>
          <w:szCs w:val="24"/>
        </w:rPr>
        <w:t xml:space="preserve">, but suggests that this protective effect may only be present in the first 6 months. Therefore, beyond 6 months of infliximab treatment, </w:t>
      </w:r>
      <w:r w:rsidR="00CB4BA8" w:rsidRPr="00EB2576">
        <w:rPr>
          <w:rFonts w:ascii="Times New Roman" w:eastAsiaTheme="minorHAnsi" w:hAnsi="Times New Roman" w:cs="Times New Roman"/>
          <w:sz w:val="24"/>
          <w:szCs w:val="24"/>
        </w:rPr>
        <w:t xml:space="preserve">the </w:t>
      </w:r>
      <w:r w:rsidRPr="00EB2576">
        <w:rPr>
          <w:rFonts w:ascii="Times New Roman" w:eastAsiaTheme="minorHAnsi" w:hAnsi="Times New Roman" w:cs="Times New Roman"/>
          <w:sz w:val="24"/>
          <w:szCs w:val="24"/>
        </w:rPr>
        <w:t>risks of ongoing combination therapy should be considered.</w:t>
      </w:r>
      <w:r w:rsidRPr="00EB2576">
        <w:rPr>
          <w:rFonts w:ascii="Times New Roman" w:hAnsi="Times New Roman" w:cs="Times New Roman"/>
          <w:sz w:val="24"/>
          <w:szCs w:val="24"/>
        </w:rPr>
        <w:t xml:space="preserve"> </w:t>
      </w:r>
    </w:p>
    <w:p w14:paraId="31978E79" w14:textId="77777777" w:rsidR="008A79C7" w:rsidRPr="00EB2576" w:rsidRDefault="008A79C7" w:rsidP="008A79C7">
      <w:pPr>
        <w:tabs>
          <w:tab w:val="left" w:pos="1170"/>
        </w:tabs>
        <w:spacing w:line="480" w:lineRule="auto"/>
        <w:rPr>
          <w:rFonts w:ascii="Times New Roman" w:hAnsi="Times New Roman" w:cs="Times New Roman"/>
          <w:b/>
          <w:bCs/>
          <w:sz w:val="24"/>
          <w:szCs w:val="24"/>
        </w:rPr>
      </w:pPr>
    </w:p>
    <w:p w14:paraId="1E419685" w14:textId="77190124" w:rsidR="008A79C7" w:rsidRPr="00EB2576" w:rsidRDefault="008A79C7" w:rsidP="008A79C7">
      <w:pPr>
        <w:kinsoku w:val="0"/>
        <w:overflowPunct w:val="0"/>
        <w:spacing w:before="86" w:after="0" w:line="480" w:lineRule="auto"/>
        <w:textAlignment w:val="baseline"/>
        <w:rPr>
          <w:rFonts w:ascii="Times New Roman" w:hAnsi="Times New Roman" w:cs="Times New Roman"/>
          <w:sz w:val="24"/>
          <w:szCs w:val="24"/>
        </w:rPr>
      </w:pPr>
      <w:r w:rsidRPr="00EB2576">
        <w:rPr>
          <w:rFonts w:ascii="Times New Roman" w:hAnsi="Times New Roman" w:cs="Times New Roman"/>
          <w:sz w:val="24"/>
          <w:szCs w:val="24"/>
        </w:rPr>
        <w:t xml:space="preserve">As ATI are so prevalent, </w:t>
      </w:r>
      <w:r w:rsidR="00FC2DF2" w:rsidRPr="00EB2576">
        <w:rPr>
          <w:rFonts w:ascii="Times New Roman" w:hAnsi="Times New Roman" w:cs="Times New Roman"/>
          <w:sz w:val="24"/>
          <w:szCs w:val="24"/>
        </w:rPr>
        <w:t xml:space="preserve">it is important to </w:t>
      </w:r>
      <w:r w:rsidRPr="00EB2576">
        <w:rPr>
          <w:rFonts w:ascii="Times New Roman" w:hAnsi="Times New Roman" w:cs="Times New Roman"/>
          <w:sz w:val="24"/>
          <w:szCs w:val="24"/>
        </w:rPr>
        <w:t>assess</w:t>
      </w:r>
      <w:r w:rsidR="00FC2DF2" w:rsidRPr="00EB2576">
        <w:rPr>
          <w:rFonts w:ascii="Times New Roman" w:hAnsi="Times New Roman" w:cs="Times New Roman"/>
          <w:sz w:val="24"/>
          <w:szCs w:val="24"/>
        </w:rPr>
        <w:t xml:space="preserve"> </w:t>
      </w:r>
      <w:r w:rsidRPr="00EB2576">
        <w:rPr>
          <w:rFonts w:ascii="Times New Roman" w:hAnsi="Times New Roman" w:cs="Times New Roman"/>
          <w:sz w:val="24"/>
          <w:szCs w:val="24"/>
        </w:rPr>
        <w:t>the effectiveness of treatment strategies in th</w:t>
      </w:r>
      <w:r w:rsidR="00FC2DF2" w:rsidRPr="00EB2576">
        <w:rPr>
          <w:rFonts w:ascii="Times New Roman" w:hAnsi="Times New Roman" w:cs="Times New Roman"/>
          <w:sz w:val="24"/>
          <w:szCs w:val="24"/>
        </w:rPr>
        <w:t>is cohort</w:t>
      </w:r>
      <w:r w:rsidRPr="00EB2576">
        <w:rPr>
          <w:rFonts w:ascii="Times New Roman" w:hAnsi="Times New Roman" w:cs="Times New Roman"/>
          <w:sz w:val="24"/>
          <w:szCs w:val="24"/>
        </w:rPr>
        <w:t xml:space="preserve">. Although the patient can be switched to a different </w:t>
      </w:r>
      <w:r w:rsidR="00FC2DF2" w:rsidRPr="00EB2576">
        <w:rPr>
          <w:rFonts w:ascii="Times New Roman" w:hAnsi="Times New Roman" w:cs="Times New Roman"/>
          <w:sz w:val="24"/>
          <w:szCs w:val="24"/>
        </w:rPr>
        <w:t>treatment</w:t>
      </w:r>
      <w:r w:rsidRPr="00EB2576">
        <w:rPr>
          <w:rFonts w:ascii="Times New Roman" w:hAnsi="Times New Roman" w:cs="Times New Roman"/>
          <w:sz w:val="24"/>
          <w:szCs w:val="24"/>
        </w:rPr>
        <w:t xml:space="preserve">, due to the chronic nature of IBD and the finite number of medications, optimising the current medication is essential. We therefore reviewed the effectiveness of infliximab DE in a cohort of patients with subtherapeutic drug levels, with and without ATI. </w:t>
      </w:r>
      <w:r w:rsidRPr="00EB2576">
        <w:rPr>
          <w:rFonts w:ascii="Times New Roman" w:eastAsia="MS PGothic" w:hAnsi="Times New Roman" w:cs="Times New Roman"/>
          <w:kern w:val="24"/>
          <w:sz w:val="24"/>
          <w:szCs w:val="24"/>
        </w:rPr>
        <w:t xml:space="preserve">Infliximab DE is discussed in national guidelines as a treatment </w:t>
      </w:r>
      <w:r w:rsidR="005C2E0F" w:rsidRPr="00EB2576">
        <w:rPr>
          <w:rFonts w:ascii="Times New Roman" w:eastAsia="MS PGothic" w:hAnsi="Times New Roman" w:cs="Times New Roman"/>
          <w:kern w:val="24"/>
          <w:sz w:val="24"/>
          <w:szCs w:val="24"/>
        </w:rPr>
        <w:t>strategy</w:t>
      </w:r>
      <w:r w:rsidRPr="00EB2576">
        <w:rPr>
          <w:rFonts w:ascii="Times New Roman" w:eastAsia="MS PGothic" w:hAnsi="Times New Roman" w:cs="Times New Roman"/>
          <w:kern w:val="24"/>
          <w:sz w:val="24"/>
          <w:szCs w:val="24"/>
        </w:rPr>
        <w:t xml:space="preserve"> </w:t>
      </w:r>
      <w:r w:rsidRPr="00EB2576">
        <w:rPr>
          <w:rFonts w:ascii="Times New Roman" w:eastAsia="MS PGothic" w:hAnsi="Times New Roman" w:cs="Times New Roman"/>
          <w:kern w:val="24"/>
          <w:sz w:val="24"/>
          <w:szCs w:val="24"/>
        </w:rPr>
        <w:fldChar w:fldCharType="begin" w:fldLock="1"/>
      </w:r>
      <w:r w:rsidR="00DD0F87" w:rsidRPr="00EB2576">
        <w:rPr>
          <w:rFonts w:ascii="Times New Roman" w:eastAsia="MS PGothic" w:hAnsi="Times New Roman" w:cs="Times New Roman"/>
          <w:kern w:val="24"/>
          <w:sz w:val="24"/>
          <w:szCs w:val="24"/>
        </w:rPr>
        <w:instrText>ADDIN CSL_CITATION {"citationItems":[{"id":"ITEM-1","itemData":{"DOI":"10.1136/gutjnl-2019-318484","ISSN":"14683288","PMID":"31562236","abstract":"Ulcerative colitis and Crohn's disease are the principal forms of inflammatory bowel disease. Both represent chronic inflammation of the gastrointestinal tract, which displays heterogeneity in inflammatory and symptomatic burden between patients and within individuals over time. Optimal management relies on understanding and tailoring evidence-based interventions by clinicians in partnership with patients. This guideline for management of inflammatory bowel disease in adults over 16 years of age was developed by Stakeholders representing UK physicians (British Society of Gastroenterology), surgeons (Association of Coloproctology of Great Britain and Ireland), specialist nurses (Royal College of Nursing), paediatricians (British Society of Paediatric Gastroenterology, Hepatology and Nutrition), dietitians (British Dietetic Association), radiologists (British Society of Gastrointestinal and Abdominal Radiology), general practitioners (Primary Care Society for Gastroenterology) and patients (Crohn's and Colitis UK). A systematic review of 88 247 publications and a Delphi consensus process involving 81 multidisciplinary clinicians and patients was undertaken to develop 168 evidence- and expert opinion-based recommendations for pharmacological, non-pharmacological and surgical interventions, as well as optimal service delivery in the management of both ulcerative colitis and Crohn's disease. Comprehensive up-to-date guidance is provided regarding indications for, initiation and monitoring of immunosuppressive therapies, nutrition interventions, pre-, peri- and postoperative management, as well as structure and function of the multidisciplinary team and integration between primary and secondary care. Twenty research priorities to inform future clinical management are presented, alongside objective measurement of priority importance, determined by 2379 electronic survey responses from individuals living with ulcerative colitis and Crohn's disease, including patients, their families and friends.","author":[{"dropping-particle":"","family":"Lamb","given":"Christopher Andrew","non-dropping-particle":"","parse-names":false,"suffix":""},{"dropping-particle":"","family":"Kennedy","given":"Nicholas A.","non-dropping-particle":"","parse-names":false,"suffix":""},{"dropping-particle":"","family":"Raine","given":"Tim","non-dropping-particle":"","parse-names":false,"suffix":""},{"dropping-particle":"","family":"Hendy","given":"Philip Anthony","non-dropping-particle":"","parse-names":false,"suffix":""},{"dropping-particle":"","family":"Smith","given":"Philip J.","non-dropping-particle":"","parse-names":false,"suffix":""},{"dropping-particle":"","family":"Limdi","given":"Jimmy K.","non-dropping-particle":"","parse-names":false,"suffix":""},{"dropping-particle":"","family":"Hayee","given":"Bu'Hussain","non-dropping-particle":"","parse-names":false,"suffix":""},{"dropping-particle":"","family":"Lomer","given":"Miranda C.E.","non-dropping-particle":"","parse-names":false,"suffix":""},{"dropping-particle":"","family":"Parkes","given":"Gareth C.","non-dropping-particle":"","parse-names":false,"suffix":""},{"dropping-particle":"","family":"Selinger","given":"Christian","non-dropping-particle":"","parse-names":false,"suffix":""},{"dropping-particle":"","family":"Barrett","given":"Kevin J.","non-dropping-particle":"","parse-names":false,"suffix":""},{"dropping-particle":"","family":"Davies","given":"R. Justin","non-dropping-particle":"","parse-names":false,"suffix":""},{"dropping-particle":"","family":"Bennett","given":"Cathy","non-dropping-particle":"","parse-names":false,"suffix":""},{"dropping-particle":"","family":"Gittens","given":"Stuart","non-dropping-particle":"","parse-names":false,"suffix":""},{"dropping-particle":"","family":"Dunlop","given":"Malcolm G.","non-dropping-particle":"","parse-names":false,"suffix":""},{"dropping-particle":"","family":"Faiz","given":"Omar","non-dropping-particle":"","parse-names":false,"suffix":""},{"dropping-particle":"","family":"Fraser","given":"Aileen","non-dropping-particle":"","parse-names":false,"suffix":""},{"dropping-particle":"","family":"Garrick","given":"Vikki","non-dropping-particle":"","parse-names":false,"suffix":""},{"dropping-particle":"","family":"Johnston","given":"Paul D.","non-dropping-particle":"","parse-names":false,"suffix":""},{"dropping-particle":"","family":"Parkes","given":"Miles","non-dropping-particle":"","parse-names":false,"suffix":""},{"dropping-particle":"","family":"Sanderson","given":"Jeremy","non-dropping-particle":"","parse-names":false,"suffix":""},{"dropping-particle":"","family":"Terry","given":"Helen","non-dropping-particle":"","parse-names":false,"suffix":""},{"dropping-particle":"","family":"Gaya","given":"Daniel R.","non-dropping-particle":"","parse-names":false,"suffix":""},{"dropping-particle":"","family":"Iqbal","given":"Tariq H.","non-dropping-particle":"","parse-names":false,"suffix":""},{"dropping-particle":"","family":"Taylor","given":"Stuart A.","non-dropping-particle":"","parse-names":false,"suffix":""},{"dropping-particle":"","family":"Smith","given":"Melissa","non-dropping-particle":"","parse-names":false,"suffix":""},{"dropping-particle":"","family":"Brookes","given":"Matthew","non-dropping-particle":"","parse-names":false,"suffix":""},{"dropping-particle":"","family":"Hansen","given":"Richard","non-dropping-particle":"","parse-names":false,"suffix":""},{"dropping-particle":"","family":"Hawthorne","given":"A. Barney","non-dropping-particle":"","parse-names":false,"suffix":""}],"container-title":"Gut","id":"ITEM-1","issued":{"date-parts":[["2019"]]},"page":"s1-s106","title":"British Society of Gastroenterology consensus guidelines on the management of inflammatory bowel disease in adults","type":"article-journal","volume":"68"},"uris":["http://www.mendeley.com/documents/?uuid=609ffbd6-7f0c-40a5-9d61-2f9fb5b7414e"]},{"id":"ITEM-2","itemData":{"abstract":"The recommendations in this guidance represent the view of NICE, arrived at after careful consideration of the evidence available. When exercising their judgement, health professionals are expected to take this guidance fully into account, alongside the individual needs, preferences and values of their patients. The application of the recommendations in this guidance are at the discretion of health professionals and their individual patients and do not override the responsibility of healthcare professionals to make decisions appropriate to the circumstances of the individual patient, in consultation with the patient and/or their carer or guardian. Commissioners and/or providers have a responsibility to provide the funding required to enable the guidance to be applied when individual health professionals and their patients wish to use it, in accordance with the NHS Constitution. They should do so in light of their duties to have due regard to the need to eliminate unlawful discrimination, to advance equality of opportunity and to reduce health inequalities. Infliximab and adalimumab for the treatment of Crohn's disease (TA187)","author":[{"dropping-particle":"","family":"National Institute for Health and Care Excellence","given":"","non-dropping-particle":"","parse-names":false,"suffix":""}],"id":"ITEM-2","issue":"May","issued":{"date-parts":[["2013"]]},"page":"1-44","title":"Infliximab and adalimumab for the treatment of Crohn ' s disease [TA187]","type":"article-journal"},"uris":["http://www.mendeley.com/documents/?uuid=ed31d8aa-605e-49a6-ae75-28b32d4485c4"]}],"mendeley":{"formattedCitation":"&lt;sup&gt;17,22&lt;/sup&gt;","plainTextFormattedCitation":"17,22","previouslyFormattedCitation":"&lt;sup&gt;17,22&lt;/sup&gt;"},"properties":{"noteIndex":0},"schema":"https://github.com/citation-style-language/schema/raw/master/csl-citation.json"}</w:instrText>
      </w:r>
      <w:r w:rsidRPr="00EB2576">
        <w:rPr>
          <w:rFonts w:ascii="Times New Roman" w:eastAsia="MS PGothic" w:hAnsi="Times New Roman" w:cs="Times New Roman"/>
          <w:kern w:val="24"/>
          <w:sz w:val="24"/>
          <w:szCs w:val="24"/>
        </w:rPr>
        <w:fldChar w:fldCharType="separate"/>
      </w:r>
      <w:r w:rsidR="00A00D49" w:rsidRPr="00EB2576">
        <w:rPr>
          <w:rFonts w:ascii="Times New Roman" w:eastAsia="MS PGothic" w:hAnsi="Times New Roman" w:cs="Times New Roman"/>
          <w:noProof/>
          <w:kern w:val="24"/>
          <w:sz w:val="24"/>
          <w:szCs w:val="24"/>
          <w:vertAlign w:val="superscript"/>
        </w:rPr>
        <w:t>17,22</w:t>
      </w:r>
      <w:r w:rsidRPr="00EB2576">
        <w:rPr>
          <w:rFonts w:ascii="Times New Roman" w:eastAsia="MS PGothic" w:hAnsi="Times New Roman" w:cs="Times New Roman"/>
          <w:kern w:val="24"/>
          <w:sz w:val="24"/>
          <w:szCs w:val="24"/>
        </w:rPr>
        <w:fldChar w:fldCharType="end"/>
      </w:r>
      <w:r w:rsidRPr="00EB2576">
        <w:rPr>
          <w:rFonts w:ascii="Times New Roman" w:eastAsia="MS PGothic" w:hAnsi="Times New Roman" w:cs="Times New Roman"/>
          <w:kern w:val="24"/>
          <w:sz w:val="24"/>
          <w:szCs w:val="24"/>
        </w:rPr>
        <w:t xml:space="preserve">. However, evaluation of DE, especially as a long-term </w:t>
      </w:r>
      <w:r w:rsidR="005C2E0F" w:rsidRPr="00EB2576">
        <w:rPr>
          <w:rFonts w:ascii="Times New Roman" w:eastAsia="MS PGothic" w:hAnsi="Times New Roman" w:cs="Times New Roman"/>
          <w:kern w:val="24"/>
          <w:sz w:val="24"/>
          <w:szCs w:val="24"/>
        </w:rPr>
        <w:t>plan</w:t>
      </w:r>
      <w:r w:rsidRPr="00EB2576">
        <w:rPr>
          <w:rFonts w:ascii="Times New Roman" w:eastAsia="MS PGothic" w:hAnsi="Times New Roman" w:cs="Times New Roman"/>
          <w:kern w:val="24"/>
          <w:sz w:val="24"/>
          <w:szCs w:val="24"/>
        </w:rPr>
        <w:t xml:space="preserve"> based on ATI status </w:t>
      </w:r>
      <w:r w:rsidR="00FC2DF2" w:rsidRPr="00EB2576">
        <w:rPr>
          <w:rFonts w:ascii="Times New Roman" w:eastAsia="MS PGothic" w:hAnsi="Times New Roman" w:cs="Times New Roman"/>
          <w:kern w:val="24"/>
          <w:sz w:val="24"/>
          <w:szCs w:val="24"/>
        </w:rPr>
        <w:t>remains</w:t>
      </w:r>
      <w:r w:rsidRPr="00EB2576">
        <w:rPr>
          <w:rFonts w:ascii="Times New Roman" w:eastAsia="MS PGothic" w:hAnsi="Times New Roman" w:cs="Times New Roman"/>
          <w:kern w:val="24"/>
          <w:sz w:val="24"/>
          <w:szCs w:val="24"/>
        </w:rPr>
        <w:t xml:space="preserve"> limited. </w:t>
      </w:r>
      <w:r w:rsidRPr="00EB2576">
        <w:rPr>
          <w:rFonts w:ascii="Times New Roman" w:hAnsi="Times New Roman" w:cs="Times New Roman"/>
          <w:sz w:val="24"/>
          <w:szCs w:val="24"/>
        </w:rPr>
        <w:t xml:space="preserve">Our work describes the experience of infliximab DE in a large tertiary centre, in 92 patients over a median of 44 weeks. Infliximab DE led to a significant increase in trough drug levels in those with positive ATI and was associated with a high rate of clinical remission at 6 months. The results indicate that DE should be considered in all those with subtherapeutic levels. </w:t>
      </w:r>
    </w:p>
    <w:p w14:paraId="667BB128" w14:textId="77777777" w:rsidR="008A79C7" w:rsidRPr="00EB2576" w:rsidRDefault="008A79C7" w:rsidP="008A79C7">
      <w:pPr>
        <w:kinsoku w:val="0"/>
        <w:overflowPunct w:val="0"/>
        <w:spacing w:before="86" w:after="0" w:line="480" w:lineRule="auto"/>
        <w:textAlignment w:val="baseline"/>
        <w:rPr>
          <w:rFonts w:ascii="Times New Roman" w:eastAsia="MS PGothic" w:hAnsi="Times New Roman" w:cs="Times New Roman"/>
          <w:kern w:val="24"/>
          <w:sz w:val="24"/>
          <w:szCs w:val="24"/>
        </w:rPr>
      </w:pPr>
    </w:p>
    <w:p w14:paraId="3248315C" w14:textId="1940C12A" w:rsidR="008A79C7" w:rsidRPr="00EB2576" w:rsidRDefault="008A79C7" w:rsidP="008A79C7">
      <w:pPr>
        <w:tabs>
          <w:tab w:val="left" w:pos="1170"/>
        </w:tabs>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Although patients were closely monitored and had a clinical review and CRP at every infusion, limitations of the clinical studies were that faecal calprotectin or endoscopy were not routinely </w:t>
      </w:r>
      <w:r w:rsidR="00C049C9" w:rsidRPr="00EB2576">
        <w:rPr>
          <w:rFonts w:ascii="Times New Roman" w:hAnsi="Times New Roman" w:cs="Times New Roman"/>
          <w:sz w:val="24"/>
          <w:szCs w:val="24"/>
        </w:rPr>
        <w:t>performed</w:t>
      </w:r>
      <w:r w:rsidRPr="00EB2576">
        <w:rPr>
          <w:rFonts w:ascii="Times New Roman" w:hAnsi="Times New Roman" w:cs="Times New Roman"/>
          <w:sz w:val="24"/>
          <w:szCs w:val="24"/>
        </w:rPr>
        <w:t xml:space="preserve"> to guide clinical assessment. However, this is reflective of real-life patient care as treatment was guided by clinical review. </w:t>
      </w:r>
    </w:p>
    <w:p w14:paraId="169A6A7F" w14:textId="77777777" w:rsidR="008A79C7" w:rsidRPr="00EB2576" w:rsidRDefault="008A79C7" w:rsidP="008A79C7">
      <w:pPr>
        <w:spacing w:line="480" w:lineRule="auto"/>
        <w:rPr>
          <w:rFonts w:ascii="Times New Roman" w:hAnsi="Times New Roman" w:cs="Times New Roman"/>
          <w:sz w:val="24"/>
          <w:szCs w:val="24"/>
        </w:rPr>
      </w:pPr>
    </w:p>
    <w:p w14:paraId="3CF435F8" w14:textId="77777777" w:rsidR="008A79C7" w:rsidRPr="00EB2576" w:rsidRDefault="008A79C7" w:rsidP="008A79C7">
      <w:pPr>
        <w:spacing w:line="480" w:lineRule="auto"/>
        <w:rPr>
          <w:rFonts w:ascii="Times New Roman" w:hAnsi="Times New Roman" w:cs="Times New Roman"/>
          <w:sz w:val="24"/>
          <w:szCs w:val="24"/>
        </w:rPr>
      </w:pPr>
    </w:p>
    <w:p w14:paraId="7FC74EE5" w14:textId="261A61DC" w:rsidR="008A79C7" w:rsidRPr="00EB2576" w:rsidRDefault="008A79C7" w:rsidP="008A79C7">
      <w:pPr>
        <w:spacing w:line="480" w:lineRule="auto"/>
        <w:rPr>
          <w:rFonts w:ascii="Times New Roman" w:hAnsi="Times New Roman" w:cs="Times New Roman"/>
          <w:sz w:val="24"/>
          <w:szCs w:val="24"/>
        </w:rPr>
      </w:pPr>
      <w:r w:rsidRPr="00EB2576">
        <w:rPr>
          <w:rFonts w:ascii="Times New Roman" w:hAnsi="Times New Roman" w:cs="Times New Roman"/>
          <w:sz w:val="24"/>
          <w:szCs w:val="24"/>
        </w:rPr>
        <w:lastRenderedPageBreak/>
        <w:t xml:space="preserve">Having described the clinical impact of ATI in a large clinical cohort, I went on to investigate the molecular determinants of the immunogenicity on the infliximab molecule. This comprised of using a phage display to examine for linear and conformational epitopes. From my clinical work where I had carefully followed up and </w:t>
      </w:r>
      <w:proofErr w:type="spellStart"/>
      <w:r w:rsidRPr="00EB2576">
        <w:rPr>
          <w:rFonts w:ascii="Times New Roman" w:hAnsi="Times New Roman" w:cs="Times New Roman"/>
          <w:sz w:val="24"/>
          <w:szCs w:val="24"/>
        </w:rPr>
        <w:t>phenotyped</w:t>
      </w:r>
      <w:proofErr w:type="spellEnd"/>
      <w:r w:rsidRPr="00EB2576">
        <w:rPr>
          <w:rFonts w:ascii="Times New Roman" w:hAnsi="Times New Roman" w:cs="Times New Roman"/>
          <w:sz w:val="24"/>
          <w:szCs w:val="24"/>
        </w:rPr>
        <w:t xml:space="preserve"> IBD patients, I </w:t>
      </w:r>
      <w:r w:rsidR="00C049C9" w:rsidRPr="00EB2576">
        <w:rPr>
          <w:rFonts w:ascii="Times New Roman" w:hAnsi="Times New Roman" w:cs="Times New Roman"/>
          <w:sz w:val="24"/>
          <w:szCs w:val="24"/>
        </w:rPr>
        <w:t>pooled sera from</w:t>
      </w:r>
      <w:r w:rsidRPr="00EB2576">
        <w:rPr>
          <w:rFonts w:ascii="Times New Roman" w:hAnsi="Times New Roman" w:cs="Times New Roman"/>
          <w:sz w:val="24"/>
          <w:szCs w:val="24"/>
        </w:rPr>
        <w:t xml:space="preserve"> </w:t>
      </w:r>
      <w:r w:rsidR="00C049C9" w:rsidRPr="00EB2576">
        <w:rPr>
          <w:rFonts w:ascii="Times New Roman" w:hAnsi="Times New Roman" w:cs="Times New Roman"/>
          <w:sz w:val="24"/>
          <w:szCs w:val="24"/>
        </w:rPr>
        <w:t>eight</w:t>
      </w:r>
      <w:r w:rsidRPr="00EB2576">
        <w:rPr>
          <w:rFonts w:ascii="Times New Roman" w:hAnsi="Times New Roman" w:cs="Times New Roman"/>
          <w:sz w:val="24"/>
          <w:szCs w:val="24"/>
        </w:rPr>
        <w:t xml:space="preserve"> patients with positive ATI and different clinical outcomes. Pooled sera and two different phage display libraries were used to </w:t>
      </w:r>
      <w:r w:rsidR="00C049C9" w:rsidRPr="00EB2576">
        <w:rPr>
          <w:rFonts w:ascii="Times New Roman" w:hAnsi="Times New Roman" w:cs="Times New Roman"/>
          <w:sz w:val="24"/>
          <w:szCs w:val="24"/>
        </w:rPr>
        <w:t xml:space="preserve">optimise selection of </w:t>
      </w:r>
      <w:r w:rsidRPr="00EB2576">
        <w:rPr>
          <w:rFonts w:ascii="Times New Roman" w:hAnsi="Times New Roman" w:cs="Times New Roman"/>
          <w:sz w:val="24"/>
          <w:szCs w:val="24"/>
        </w:rPr>
        <w:t xml:space="preserve">clinically relevant epitopes. </w:t>
      </w:r>
    </w:p>
    <w:p w14:paraId="1C2AA54C" w14:textId="77777777" w:rsidR="008A79C7" w:rsidRPr="00EB2576" w:rsidRDefault="008A79C7" w:rsidP="008A79C7">
      <w:pPr>
        <w:spacing w:line="480" w:lineRule="auto"/>
        <w:rPr>
          <w:rFonts w:ascii="Times New Roman" w:hAnsi="Times New Roman" w:cs="Times New Roman"/>
          <w:sz w:val="24"/>
          <w:szCs w:val="24"/>
        </w:rPr>
      </w:pPr>
    </w:p>
    <w:p w14:paraId="2B142310" w14:textId="65639B4E" w:rsidR="008A79C7" w:rsidRPr="00EB2576" w:rsidRDefault="008A79C7" w:rsidP="008A79C7">
      <w:pPr>
        <w:tabs>
          <w:tab w:val="left" w:pos="567"/>
          <w:tab w:val="left" w:pos="3544"/>
          <w:tab w:val="left" w:pos="3686"/>
        </w:tabs>
        <w:spacing w:line="480" w:lineRule="auto"/>
        <w:rPr>
          <w:rFonts w:ascii="Times New Roman" w:hAnsi="Times New Roman" w:cs="Times New Roman"/>
          <w:sz w:val="24"/>
          <w:szCs w:val="24"/>
        </w:rPr>
      </w:pPr>
      <w:r w:rsidRPr="00EB2576">
        <w:rPr>
          <w:rFonts w:ascii="Times New Roman" w:hAnsi="Times New Roman" w:cs="Times New Roman"/>
          <w:sz w:val="24"/>
          <w:szCs w:val="24"/>
        </w:rPr>
        <w:t>My skillset and knowledge were highlighted in generation of an infliximab Fab GFL. I employed different strategies to optimise conditions for cloning infliximab Fab gene fragments into a phagemid vector. This library was to be used for serological selection of linear epitopes; however, we then developed a novel infliximab full GFL with cloned overlapping in-frame fragments of the whole infliximab peptide. NGS</w:t>
      </w:r>
      <w:r w:rsidRPr="00EB2576">
        <w:rPr>
          <w:rFonts w:ascii="Times New Roman" w:eastAsia="Times New Roman" w:hAnsi="Times New Roman" w:cs="Times New Roman"/>
          <w:sz w:val="24"/>
          <w:szCs w:val="24"/>
          <w:lang w:val="en-US" w:eastAsia="en-GB"/>
        </w:rPr>
        <w:t xml:space="preserve"> confirmed coverage of the entire infliximab peptide sequence</w:t>
      </w:r>
      <w:r w:rsidR="004A5D9C" w:rsidRPr="00EB2576">
        <w:rPr>
          <w:rFonts w:ascii="Times New Roman" w:eastAsia="Times New Roman" w:hAnsi="Times New Roman" w:cs="Times New Roman"/>
          <w:sz w:val="24"/>
          <w:szCs w:val="24"/>
          <w:lang w:val="en-US" w:eastAsia="en-GB"/>
        </w:rPr>
        <w:t>, therefore this was used for linear epitope selection</w:t>
      </w:r>
      <w:r w:rsidRPr="00EB2576">
        <w:rPr>
          <w:rFonts w:ascii="Times New Roman" w:eastAsia="Times New Roman" w:hAnsi="Times New Roman" w:cs="Times New Roman"/>
          <w:sz w:val="24"/>
          <w:szCs w:val="24"/>
          <w:lang w:val="en-US" w:eastAsia="en-GB"/>
        </w:rPr>
        <w:t>.</w:t>
      </w:r>
      <w:r w:rsidRPr="00EB2576">
        <w:rPr>
          <w:rFonts w:ascii="Times New Roman" w:hAnsi="Times New Roman" w:cs="Times New Roman"/>
          <w:kern w:val="24"/>
          <w:sz w:val="24"/>
          <w:szCs w:val="24"/>
          <w:lang w:eastAsia="en-GB"/>
        </w:rPr>
        <w:t xml:space="preserve"> </w:t>
      </w:r>
      <w:r w:rsidRPr="00EB2576">
        <w:rPr>
          <w:rFonts w:ascii="Times New Roman" w:hAnsi="Times New Roman" w:cs="Times New Roman"/>
          <w:sz w:val="24"/>
          <w:szCs w:val="24"/>
        </w:rPr>
        <w:t xml:space="preserve">In addition, </w:t>
      </w:r>
      <w:proofErr w:type="spellStart"/>
      <w:r w:rsidRPr="00EB2576">
        <w:rPr>
          <w:rFonts w:ascii="Times New Roman" w:hAnsi="Times New Roman" w:cs="Times New Roman"/>
          <w:sz w:val="24"/>
          <w:szCs w:val="24"/>
        </w:rPr>
        <w:t>hyperphage</w:t>
      </w:r>
      <w:proofErr w:type="spellEnd"/>
      <w:r w:rsidRPr="00EB2576">
        <w:rPr>
          <w:rFonts w:ascii="Times New Roman" w:hAnsi="Times New Roman" w:cs="Times New Roman"/>
          <w:sz w:val="24"/>
          <w:szCs w:val="24"/>
        </w:rPr>
        <w:t xml:space="preserve"> as helper phage was used </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978-3-642-01144-3_14","author":[{"dropping-particle":"","family":"Breitling","given":"Frank","non-dropping-particle":"","parse-names":false,"suffix":""},{"dropping-particle":"","family":"Broders","given":"Olaf","non-dropping-particle":"","parse-names":false,"suffix":""},{"dropping-particle":"","family":"Helmsing","given":"Saskia","non-dropping-particle":"","parse-names":false,"suffix":""},{"dropping-particle":"","family":"Hust","given":"Michael","non-dropping-particle":"","parse-names":false,"suffix":""},{"dropping-particle":"","family":"Dübel","given":"Stefan","non-dropping-particle":"","parse-names":false,"suffix":""}],"container-title":"Antibody Engineering","id":"ITEM-1","issued":{"date-parts":[["2010"]]},"page":"197-206","publisher":"Springer Berlin Heidelberg","publisher-place":"Berlin, Heidelberg","title":"Improving Phage Display Throughput by Using Hyperphage, Miniaturized Titration and pVIII (g8p) ELISA","type":"chapter"},"uris":["http://www.mendeley.com/documents/?uuid=1c55873a-4e6a-41e0-a5fd-de10791f0f4e"]},{"id":"ITEM-2","itemData":{"DOI":"10.1371/journal.pntd.0007131","ISSN":"1935-2735","author":[{"dropping-particle":"","family":"Ramli","given":"Siti Roszilawati","non-dropping-particle":"","parse-names":false,"suffix":""},{"dropping-particle":"","family":"Moreira","given":"Gustavo M. S. G.","non-dropping-particle":"","parse-names":false,"suffix":""},{"dropping-particle":"","family":"Zantow","given":"Jonas","non-dropping-particle":"","parse-names":false,"suffix":""},{"dropping-particle":"","family":"Goris","given":"Marga G. A.","non-dropping-particle":"","parse-names":false,"suffix":""},{"dropping-particle":"","family":"Nguyen","given":"Van Kinh","non-dropping-particle":"","parse-names":false,"suffix":""},{"dropping-particle":"","family":"Novoselova","given":"Natalia","non-dropping-particle":"","parse-names":false,"suffix":""},{"dropping-particle":"","family":"Pessler","given":"Frank","non-dropping-particle":"","parse-names":false,"suffix":""},{"dropping-particle":"","family":"Hust","given":"Michael","non-dropping-particle":"","parse-names":false,"suffix":""}],"container-title":"PLOS Neglected Tropical Diseases","editor":[{"dropping-particle":"","family":"Coburn","given":"Jenifer","non-dropping-particle":"","parse-names":false,"suffix":""}],"id":"ITEM-2","issue":"1","issued":{"date-parts":[["2019","1","24"]]},"page":"e0007131","title":"Discovery of Leptospira spp. seroreactive peptides using ORFeome phage display","type":"article-journal","volume":"13"},"uris":["http://www.mendeley.com/documents/?uuid=647a8814-c834-4af8-9364-e6b04cff1680"]}],"mendeley":{"formattedCitation":"&lt;sup&gt;188,189&lt;/sup&gt;","plainTextFormattedCitation":"188,189","previouslyFormattedCitation":"&lt;sup&gt;188,189&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188,189</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These two methods ensured all phage variants in the library displayed infliximab peptides to significantly increase the likelihood of epitope selection.  Three peptides were heavily enriched in the ATI positive selection and all overlapped with CDRs: </w:t>
      </w:r>
      <w:r w:rsidR="0059041F" w:rsidRPr="00EB2576">
        <w:rPr>
          <w:rFonts w:ascii="Times New Roman" w:hAnsi="Times New Roman" w:cs="Times New Roman"/>
          <w:sz w:val="24"/>
          <w:szCs w:val="24"/>
        </w:rPr>
        <w:t>GFL h</w:t>
      </w:r>
      <w:r w:rsidRPr="00EB2576">
        <w:rPr>
          <w:rFonts w:ascii="Times New Roman" w:hAnsi="Times New Roman" w:cs="Times New Roman"/>
          <w:sz w:val="24"/>
          <w:szCs w:val="24"/>
        </w:rPr>
        <w:t xml:space="preserve">eavy </w:t>
      </w:r>
      <w:r w:rsidR="0059041F" w:rsidRPr="00EB2576">
        <w:rPr>
          <w:rFonts w:ascii="Times New Roman" w:hAnsi="Times New Roman" w:cs="Times New Roman"/>
          <w:sz w:val="24"/>
          <w:szCs w:val="24"/>
        </w:rPr>
        <w:t>c</w:t>
      </w:r>
      <w:r w:rsidRPr="00EB2576">
        <w:rPr>
          <w:rFonts w:ascii="Times New Roman" w:hAnsi="Times New Roman" w:cs="Times New Roman"/>
          <w:sz w:val="24"/>
          <w:szCs w:val="24"/>
        </w:rPr>
        <w:t xml:space="preserve">hain </w:t>
      </w:r>
      <w:r w:rsidR="0059041F" w:rsidRPr="00EB2576">
        <w:rPr>
          <w:rFonts w:ascii="Times New Roman" w:hAnsi="Times New Roman" w:cs="Times New Roman"/>
          <w:sz w:val="24"/>
          <w:szCs w:val="24"/>
        </w:rPr>
        <w:t>p</w:t>
      </w:r>
      <w:r w:rsidRPr="00EB2576">
        <w:rPr>
          <w:rFonts w:ascii="Times New Roman" w:hAnsi="Times New Roman" w:cs="Times New Roman"/>
          <w:sz w:val="24"/>
          <w:szCs w:val="24"/>
        </w:rPr>
        <w:t>eptide 1 fully i</w:t>
      </w:r>
      <w:r w:rsidR="0059041F" w:rsidRPr="00EB2576">
        <w:rPr>
          <w:rFonts w:ascii="Times New Roman" w:hAnsi="Times New Roman" w:cs="Times New Roman"/>
          <w:sz w:val="24"/>
          <w:szCs w:val="24"/>
        </w:rPr>
        <w:t>ncluded</w:t>
      </w:r>
      <w:r w:rsidRPr="00EB2576">
        <w:rPr>
          <w:rFonts w:ascii="Times New Roman" w:hAnsi="Times New Roman" w:cs="Times New Roman"/>
          <w:sz w:val="24"/>
          <w:szCs w:val="24"/>
        </w:rPr>
        <w:t xml:space="preserve"> heavy chain CDR 1, </w:t>
      </w:r>
      <w:r w:rsidR="00D74A91" w:rsidRPr="00EB2576">
        <w:rPr>
          <w:rFonts w:ascii="Times New Roman" w:hAnsi="Times New Roman" w:cs="Times New Roman"/>
          <w:sz w:val="24"/>
          <w:szCs w:val="24"/>
        </w:rPr>
        <w:t>GFL l</w:t>
      </w:r>
      <w:r w:rsidRPr="00EB2576">
        <w:rPr>
          <w:rFonts w:ascii="Times New Roman" w:hAnsi="Times New Roman" w:cs="Times New Roman"/>
          <w:sz w:val="24"/>
          <w:szCs w:val="24"/>
        </w:rPr>
        <w:t xml:space="preserve">ight </w:t>
      </w:r>
      <w:r w:rsidR="00D74A91" w:rsidRPr="00EB2576">
        <w:rPr>
          <w:rFonts w:ascii="Times New Roman" w:hAnsi="Times New Roman" w:cs="Times New Roman"/>
          <w:sz w:val="24"/>
          <w:szCs w:val="24"/>
        </w:rPr>
        <w:t>c</w:t>
      </w:r>
      <w:r w:rsidRPr="00EB2576">
        <w:rPr>
          <w:rFonts w:ascii="Times New Roman" w:hAnsi="Times New Roman" w:cs="Times New Roman"/>
          <w:sz w:val="24"/>
          <w:szCs w:val="24"/>
        </w:rPr>
        <w:t xml:space="preserve">hain </w:t>
      </w:r>
      <w:r w:rsidR="00D74A91" w:rsidRPr="00EB2576">
        <w:rPr>
          <w:rFonts w:ascii="Times New Roman" w:hAnsi="Times New Roman" w:cs="Times New Roman"/>
          <w:sz w:val="24"/>
          <w:szCs w:val="24"/>
        </w:rPr>
        <w:t>p</w:t>
      </w:r>
      <w:r w:rsidRPr="00EB2576">
        <w:rPr>
          <w:rFonts w:ascii="Times New Roman" w:hAnsi="Times New Roman" w:cs="Times New Roman"/>
          <w:sz w:val="24"/>
          <w:szCs w:val="24"/>
        </w:rPr>
        <w:t xml:space="preserve">eptide </w:t>
      </w:r>
      <w:r w:rsidR="00B27D16" w:rsidRPr="00EB2576">
        <w:rPr>
          <w:rFonts w:ascii="Times New Roman" w:hAnsi="Times New Roman" w:cs="Times New Roman"/>
          <w:sz w:val="24"/>
          <w:szCs w:val="24"/>
        </w:rPr>
        <w:t>2</w:t>
      </w:r>
      <w:r w:rsidRPr="00EB2576">
        <w:rPr>
          <w:rFonts w:ascii="Times New Roman" w:hAnsi="Times New Roman" w:cs="Times New Roman"/>
          <w:sz w:val="24"/>
          <w:szCs w:val="24"/>
        </w:rPr>
        <w:t xml:space="preserve"> and </w:t>
      </w:r>
      <w:r w:rsidR="00D74A91" w:rsidRPr="00EB2576">
        <w:rPr>
          <w:rFonts w:ascii="Times New Roman" w:hAnsi="Times New Roman" w:cs="Times New Roman"/>
          <w:sz w:val="24"/>
          <w:szCs w:val="24"/>
        </w:rPr>
        <w:t>GFL l</w:t>
      </w:r>
      <w:r w:rsidRPr="00EB2576">
        <w:rPr>
          <w:rFonts w:ascii="Times New Roman" w:hAnsi="Times New Roman" w:cs="Times New Roman"/>
          <w:sz w:val="24"/>
          <w:szCs w:val="24"/>
        </w:rPr>
        <w:t xml:space="preserve">ight </w:t>
      </w:r>
      <w:r w:rsidR="00D74A91" w:rsidRPr="00EB2576">
        <w:rPr>
          <w:rFonts w:ascii="Times New Roman" w:hAnsi="Times New Roman" w:cs="Times New Roman"/>
          <w:sz w:val="24"/>
          <w:szCs w:val="24"/>
        </w:rPr>
        <w:t>c</w:t>
      </w:r>
      <w:r w:rsidRPr="00EB2576">
        <w:rPr>
          <w:rFonts w:ascii="Times New Roman" w:hAnsi="Times New Roman" w:cs="Times New Roman"/>
          <w:sz w:val="24"/>
          <w:szCs w:val="24"/>
        </w:rPr>
        <w:t xml:space="preserve">hain </w:t>
      </w:r>
      <w:r w:rsidR="00D74A91" w:rsidRPr="00EB2576">
        <w:rPr>
          <w:rFonts w:ascii="Times New Roman" w:hAnsi="Times New Roman" w:cs="Times New Roman"/>
          <w:sz w:val="24"/>
          <w:szCs w:val="24"/>
        </w:rPr>
        <w:t>p</w:t>
      </w:r>
      <w:r w:rsidRPr="00EB2576">
        <w:rPr>
          <w:rFonts w:ascii="Times New Roman" w:hAnsi="Times New Roman" w:cs="Times New Roman"/>
          <w:sz w:val="24"/>
          <w:szCs w:val="24"/>
        </w:rPr>
        <w:t xml:space="preserve">eptide </w:t>
      </w:r>
      <w:r w:rsidR="00B27D16" w:rsidRPr="00EB2576">
        <w:rPr>
          <w:rFonts w:ascii="Times New Roman" w:hAnsi="Times New Roman" w:cs="Times New Roman"/>
          <w:sz w:val="24"/>
          <w:szCs w:val="24"/>
        </w:rPr>
        <w:t>3</w:t>
      </w:r>
      <w:r w:rsidRPr="00EB2576">
        <w:rPr>
          <w:rFonts w:ascii="Times New Roman" w:hAnsi="Times New Roman" w:cs="Times New Roman"/>
          <w:sz w:val="24"/>
          <w:szCs w:val="24"/>
        </w:rPr>
        <w:t xml:space="preserve"> overlapped with the light chain CDR 1 and 2.  Two studies have previously identified linear epitopes on infliximab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sera","type":"article-journal","volume":"13"},"uris":["http://www.mendeley.com/documents/?uuid=bcf394e7-6aed-4512-afae-c8849bb95e49"]},{"id":"ITEM-2","itemData":{"DOI":"10.1111/apt.14808","ISSN":"13652036","PMID":"29873091","abstract":"Aim: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Therapeutics","id":"ITEM-2","issue":"5","issued":{"date-parts":[["2018"]]},"page":"507-522","title":"Antigenic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159,160&lt;/sup&gt;","plainTextFormattedCitation":"159,160","previouslyFormattedCitation":"&lt;sup&gt;159,160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159,160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However, these studies were limited by the lack of clinical information on the patients’ whose sera was used </w:t>
      </w:r>
      <w:r w:rsidRPr="00EB2576">
        <w:rPr>
          <w:rFonts w:ascii="Times New Roman" w:hAnsi="Times New Roman" w:cs="Times New Roman"/>
          <w:sz w:val="24"/>
          <w:szCs w:val="24"/>
        </w:rPr>
        <w:fldChar w:fldCharType="begin" w:fldLock="1"/>
      </w:r>
      <w:r w:rsidR="00DD0F87" w:rsidRPr="00EB2576">
        <w:rPr>
          <w:rFonts w:ascii="Times New Roman" w:hAnsi="Times New Roman" w:cs="Times New Roman"/>
          <w:sz w:val="24"/>
          <w:szCs w:val="24"/>
        </w:rPr>
        <w:instrText>ADDIN CSL_CITATION {"citationItems":[{"id":"ITEM-1","itemData":{"DOI":"10.1186/s12967-015-0706-7","ISSN":"1479-5876","PMID":"26511203","abstract":"Background: Autoimmune diseases like rheumatoid arthritis and inflammatory bowel disease are treated with TNF-alpha-blocking antibodies such as infliximab and adalimumab. A common side effect of therapeutic antibodies is the induction of anti-drug antibodies, which may reduce therapeutic efficacy. Methods: In order to reveal immunogenic epitopes on infliximab which are responsible for the adverse effects, sera from patients treated with infliximab were screened by ELISA for anti-infliximab antibodies. Sera containing high levels of anti-drug-antibodies (&gt;1.25 μg/ml) were analyzed in an oligopeptide microarray system containing immobilized 15-meric oligopeptides from the infliximab amino acid sequence. Immunogenic infliximab IgG-epitopes were identified by infrared fluorescence scanning and comparison of infliximab-treated patients versus untreated controls. Results: Six relevant epitopes on infliximab were recognized by the majority of all patient sera: 4 in the variable and 2 in the constant region. Three of the epitopes in the variable region are located in the TNF-alpha binding region of infliximab. The fourth epitope of the variable part of infliximab is located close to the TNF-alpha binding region and contains an N-glycosylation sequon. The sera positive for anti-infliximab antibodies do not contain antibodies against adalimumab as determined by ELISA. Thus, there is no infliximab-adalimumab cross-reactivity as determined by these systems. Conclusions: Our data shall contribute to a knowledge-based recommendation for a potentially necessary therapy switch from infliximab to another type of TNF-alpha-blocker. The characterization of immunogenic epitopes on therapeutic monoclonal antibodies using unprocessed patient sera shall lead to direct translational aspects for the development of less immunogenic therapeutic antibodies. Patients benefit from less adverse events and longer lasting drug effects.","author":[{"dropping-particle":"","family":"Homann","given":"Arne","non-dropping-particle":"","parse-names":false,"suffix":""},{"dropping-particle":"","family":"Röckendorf","given":"Niels","non-dropping-particle":"","parse-names":false,"suffix":""},{"dropping-particle":"","family":"Kromminga","given":"Arno","non-dropping-particle":"","parse-names":false,"suffix":""},{"dropping-particle":"","family":"Frey","given":"Andreas","non-dropping-particle":"","parse-names":false,"suffix":""},{"dropping-particle":"","family":"Jappe","given":"Uta","non-dropping-particle":"","parse-names":false,"suffix":""}],"container-title":"Journal of Translational Medicine","id":"ITEM-1","issue":"1","issued":{"date-parts":[["2015","12","29"]]},"page":"339","publisher":"BioMed Central","title":"B cell epitopes on infliximab identified by oligopeptide microarray with unprocessed patient sera","type":"article-journal","volume":"13"},"uris":["http://www.mendeley.com/documents/?uuid=bcf394e7-6aed-4512-afae-c8849bb95e49"]},{"id":"ITEM-2","itemData":{"DOI":"10.1111/apt.14808","ISSN":"13652036","PMID":"29873091","abstract":"Aim: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Therapeutics","id":"ITEM-2","issue":"5","issued":{"date-parts":[["2018"]]},"page":"507-522","title":"Antigenic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159,160&lt;/sup&gt;","plainTextFormattedCitation":"159,160","previouslyFormattedCitation":"&lt;sup&gt;159,160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A00D49" w:rsidRPr="00EB2576">
        <w:rPr>
          <w:rFonts w:ascii="Times New Roman" w:hAnsi="Times New Roman" w:cs="Times New Roman"/>
          <w:noProof/>
          <w:sz w:val="24"/>
          <w:szCs w:val="24"/>
          <w:vertAlign w:val="superscript"/>
        </w:rPr>
        <w:t>159,160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In the later study using phage display, the epitopes identified were large and spanned most of the infliximab protein sequence, making it difficult to identify specific antigenic areas </w:t>
      </w:r>
      <w:r w:rsidRPr="00EB2576">
        <w:rPr>
          <w:rFonts w:ascii="Times New Roman" w:hAnsi="Times New Roman" w:cs="Times New Roman"/>
          <w:sz w:val="24"/>
          <w:szCs w:val="24"/>
        </w:rPr>
        <w:fldChar w:fldCharType="begin" w:fldLock="1"/>
      </w:r>
      <w:r w:rsidR="00A00D49" w:rsidRPr="00EB2576">
        <w:rPr>
          <w:rFonts w:ascii="Times New Roman" w:hAnsi="Times New Roman" w:cs="Times New Roman"/>
          <w:sz w:val="24"/>
          <w:szCs w:val="24"/>
        </w:rPr>
        <w:instrText>ADDIN CSL_CITATION {"citationItems":[{"id":"ITEM-1","itemData":{"DOI":"10.1111/apt.14808","ISSN":"13652036","PMID":"29873091","abstract":"Aim: To test the cross-immunogenicity of anti-CT-P13 IBD patients’ sera to CT-P13/infliximab originator and the comparative antigenicity evoked by CT-P13/infliximab originator sera. Methods: Sera of patients with IBD with measurable anti-CT-P13 antibodies were tested for their cross-reactivity to 5 batches of infliximab originator and CT-P13. Anti-drug antibody positive sera from treated patients were used to compare antigenic epitopes. Results: All 42 anti-CT-P13 and 37 anti-infliximab originator IBD sera were cross-reactive with infliximab originator and CT-P13 respectively. Concentration of anti-drug antibodies against infliximab originator or CT-P13 were strongly correlated both for IgG1 and IgG4 (P &lt; 0.001). Anti-CT-P13 sera of patients with IBD (n = 32) exerted similar functional inhibition on CT-P13 or infliximab originator TNF binding capacity and showed reduced binding to CT-P13 in the presence of five different batches of CT-P13 and infliximab originator. Anti-CT-P13 and anti-infliximab originator IBD sera selectively enriched phage-peptides from the VH (CDR1 and CDR3) and VL domains (CDR2 and CDR3) of infliximab. Sera reactivity detected major infliximab epitopes in these regions of infliximab in 60%-79% of patients, and no significant differences were identified between CT-P13 and infliximab originator immunogenic sera. Minor epitopes were localised in framework regions of infliximab with reduced antibody reactivity shown, in 30%-50% of patients. Monoclonal antibodies derived from naïve individuals and ADA-positive IBD patients treated with CT-P13 provided comparable epitope specificity to five different batches of CT-P13 and infliximab originator. Conclusions: These results strongly support a similar antigenic profile for infliximab originator and CT-P13, and point toward a safe switching between the two drugs in anti-drug antibody negative patients.","author":[{"dropping-particle":"","family":"Goncalves","given":"J.","non-dropping-particle":"","parse-names":false,"suffix":""},{"dropping-particle":"","family":"Santos","given":"M.","non-dropping-particle":"","parse-names":false,"suffix":""},{"dropping-particle":"","family":"Acurcio","given":"R.","non-dropping-particle":"","parse-names":false,"suffix":""},{"dropping-particle":"","family":"Iria","given":"I.","non-dropping-particle":"","parse-names":false,"suffix":""},{"dropping-particle":"","family":"Gouveia","given":"L.","non-dropping-particle":"","parse-names":false,"suffix":""},{"dropping-particle":"","family":"Matos Brito","given":"P.","non-dropping-particle":"","parse-names":false,"suffix":""},{"dropping-particle":"","family":"Catarina Cunha-Santos","given":"A.","non-dropping-particle":"","parse-names":false,"suffix":""},{"dropping-particle":"","family":"Barbas","given":"A.","non-dropping-particle":"","parse-names":false,"suffix":""},{"dropping-particle":"","family":"Galvão","given":"J.","non-dropping-particle":"","parse-names":false,"suffix":""},{"dropping-particle":"","family":"Barbosa","given":"I.","non-dropping-particle":"","parse-names":false,"suffix":""},{"dropping-particle":"","family":"Aires da Silva","given":"F.","non-dropping-particle":"","parse-names":false,"suffix":""},{"dropping-particle":"","family":"Alcobia","given":"A.","non-dropping-particle":"","parse-names":false,"suffix":""},{"dropping-particle":"","family":"Cavaco","given":"M.","non-dropping-particle":"","parse-names":false,"suffix":""},{"dropping-particle":"","family":"Cardoso","given":"M.","non-dropping-particle":"","parse-names":false,"suffix":""},{"dropping-particle":"","family":"Delgado Alves","given":"J.","non-dropping-particle":"","parse-names":false,"suffix":""},{"dropping-particle":"","family":"Carey","given":"J. J.","non-dropping-particle":"","parse-names":false,"suffix":""},{"dropping-particle":"","family":"Dörner","given":"T.","non-dropping-particle":"","parse-names":false,"suffix":""},{"dropping-particle":"","family":"Eurico Fonseca","given":"J.","non-dropping-particle":"","parse-names":false,"suffix":""},{"dropping-particle":"","family":"Palmela","given":"C.","non-dropping-particle":"","parse-names":false,"suffix":""},{"dropping-particle":"","family":"Torres","given":"J.","non-dropping-particle":"","parse-names":false,"suffix":""},{"dropping-particle":"","family":"Lima Vieira","given":"C.","non-dropping-particle":"","parse-names":false,"suffix":""},{"dropping-particle":"","family":"Trabuco","given":"D.","non-dropping-particle":"","parse-names":false,"suffix":""},{"dropping-particle":"","family":"Fiorino","given":"G.","non-dropping-particle":"","parse-names":false,"suffix":""},{"dropping-particle":"","family":"Strik","given":"A.","non-dropping-particle":"","parse-names":false,"suffix":""},{"dropping-particle":"","family":"Yavzori","given":"M.","non-dropping-particle":"","parse-names":false,"suffix":""},{"dropping-particle":"","family":"Rosa","given":"I.","non-dropping-particle":"","parse-names":false,"suffix":""},{"dropping-particle":"","family":"Correia","given":"L.","non-dropping-particle":"","parse-names":false,"suffix":""},{"dropping-particle":"","family":"Magro","given":"F.","non-dropping-particle":"","parse-names":false,"suffix":""},{"dropping-particle":"","family":"D'Haens","given":"G.","non-dropping-particle":"","parse-names":false,"suffix":""},{"dropping-particle":"","family":"Ben-Horin","given":"S.","non-dropping-particle":"","parse-names":false,"suffix":""},{"dropping-particle":"","family":"Lakatos","given":"P. L.","non-dropping-particle":"","parse-names":false,"suffix":""},{"dropping-particle":"","family":"Danese","given":"S.","non-dropping-particle":"","parse-names":false,"suffix":""}],"container-title":"Alimentary Pharmacology and Therapeutics","id":"ITEM-1","issue":"5","issued":{"date-parts":[["2018"]]},"page":"507-522","title":"Antigenic response to CT-P13 and infliximab originator in inflammatory bowel disease patients shows similar epitope recognition","type":"article-journal","volume":"48"},"uris":["http://www.mendeley.com/documents/?uuid=84daf2e1-9a41-4fe4-bd0e-39a4351d814c"]}],"mendeley":{"formattedCitation":"&lt;sup&gt;160&lt;/sup&gt;","plainTextFormattedCitation":"160","previouslyFormattedCitation":"&lt;sup&gt;160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C80274" w:rsidRPr="00EB2576">
        <w:rPr>
          <w:rFonts w:ascii="Times New Roman" w:hAnsi="Times New Roman" w:cs="Times New Roman"/>
          <w:noProof/>
          <w:sz w:val="24"/>
          <w:szCs w:val="24"/>
          <w:vertAlign w:val="superscript"/>
        </w:rPr>
        <w:t>160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p>
    <w:p w14:paraId="7BF60CC8" w14:textId="77777777" w:rsidR="008A79C7" w:rsidRPr="00EB2576" w:rsidRDefault="008A79C7" w:rsidP="008A79C7">
      <w:pPr>
        <w:autoSpaceDE w:val="0"/>
        <w:autoSpaceDN w:val="0"/>
        <w:adjustRightInd w:val="0"/>
        <w:spacing w:after="0" w:line="480" w:lineRule="auto"/>
        <w:jc w:val="left"/>
        <w:rPr>
          <w:rFonts w:ascii="Times New Roman" w:hAnsi="Times New Roman" w:cs="Times New Roman"/>
          <w:b/>
          <w:bCs/>
          <w:sz w:val="24"/>
          <w:szCs w:val="24"/>
        </w:rPr>
      </w:pPr>
    </w:p>
    <w:p w14:paraId="29555D07" w14:textId="77777777" w:rsidR="008A79C7" w:rsidRPr="00EB2576" w:rsidRDefault="008A79C7" w:rsidP="008A79C7">
      <w:pPr>
        <w:spacing w:line="480" w:lineRule="auto"/>
        <w:rPr>
          <w:rFonts w:ascii="Times New Roman" w:hAnsi="Times New Roman" w:cs="Times New Roman"/>
          <w:sz w:val="24"/>
          <w:szCs w:val="24"/>
        </w:rPr>
      </w:pPr>
    </w:p>
    <w:p w14:paraId="4ADE9F7F" w14:textId="397E6580" w:rsidR="008A79C7" w:rsidRPr="00EB2576" w:rsidRDefault="008A79C7" w:rsidP="008A79C7">
      <w:pPr>
        <w:spacing w:line="480" w:lineRule="auto"/>
        <w:rPr>
          <w:rFonts w:ascii="Times New Roman" w:hAnsi="Times New Roman" w:cs="Times New Roman"/>
          <w:sz w:val="24"/>
          <w:szCs w:val="24"/>
          <w:shd w:val="clear" w:color="auto" w:fill="FFFFFF"/>
        </w:rPr>
      </w:pPr>
      <w:r w:rsidRPr="00EB2576">
        <w:rPr>
          <w:rFonts w:ascii="Times New Roman" w:hAnsi="Times New Roman" w:cs="Times New Roman"/>
          <w:sz w:val="24"/>
          <w:szCs w:val="24"/>
        </w:rPr>
        <w:lastRenderedPageBreak/>
        <w:t xml:space="preserve">Using the same pooled sera, a large diverse RPL was screened to identify </w:t>
      </w:r>
      <w:r w:rsidRPr="00EB2576">
        <w:rPr>
          <w:rFonts w:ascii="Times New Roman" w:hAnsi="Times New Roman" w:cs="Times New Roman"/>
          <w:kern w:val="24"/>
          <w:sz w:val="24"/>
          <w:szCs w:val="24"/>
        </w:rPr>
        <w:t xml:space="preserve">“mimotopes”: artificial peptides that mimic B cell conformational epitopes that elicits the immune response </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Disease","id":"ITEM-1","issue":"3","issued":{"date-parts":[["2017"]]},"page":"219-225","publisher":"Elsevier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-2","itemData":{"DOI":"10.1086/422753","ISSN":"0022-1899","author":[{"dropping-particle":"","family":"Liu","given":"I‐Ju","non-dropping-particle":"","parse-names":false,"suffix":""},{"dropping-particle":"","family":"Hsueh","given":"Po‐Ren","non-dropping-particle":"","parse-names":false,"suffix":""},{"dropping-particle":"","family":"Lin","given":"Chin‐Tarng","non-dropping-particle":"","parse-names":false,"suffix":""},{"dropping-particle":"","family":"Chiu","given":"Chien‐Yu","non-dropping-particle":"","parse-names":false,"suffix":""},{"dropping-particle":"","family":"Kao","given":"Chuan‐Liang","non-dropping-particle":"","parse-names":false,"suffix":""},{"dropping-particle":"","family":"Liao","given":"Mei‐Ying","non-dropping-particle":"","parse-names":false,"suffix":""},{"dropping-particle":"","family":"Wu","given":"Han‐Chung","non-dropping-particle":"","parse-names":false,"suffix":""}],"container-title":"The Journal of Infectious Diseases","id":"ITEM-2","issue":"4","issued":{"date-parts":[["2004","8","15"]]},"page":"797-809","title":"Disease‐Specific B Cell Epitopes for Serum Antibodies from Patients with Severe Acute Respiratory Syndrome (SARS) and Serologic Detection of SARS Antibodies by Epitope‐Based Peptide Antigens","type":"article-journal","volume":"190"},"uris":["http://www.mendeley.com/documents/?uuid=d631fd1e-35e2-440a-84a1-e6c06ad287c4"]},{"id":"ITEM-3","itemData":{"DOI":"10.1155/2013/983829","ISSN":"1748-670X","abstract":"Metuximab is the generic name of Licartin, a new drug for radioimmunotherapy of hepatocellular carcinoma. Although it is known to be a mouse monoclonal antibody against CD147, the complete epitope mediating the binding of metuximab to CD147 remains unknown. We panned the Ph.D.-12 phage display peptide library against metuximab and got six mimotopes. The following bioinformatics analysis based on mimotopes suggested that metuximab recognizes a conformational epitope composed of more than 20 residues. The residues of its epitope may include T28, V30, K36, L38, K57, F74, D77, S78, D79, D80, Q81, G83, S86, N98, Q100, L101, H102, G103, P104, V131, P132, and K191. The homology modeling of metuximab and the docking of CD147 to metuximab were also performed. Based on the top one docking model, the epitope was predicted to contain 28 residues: AGTVFTTV (23–30), I37, D45, E84, V88, EPMGTANIQLH (92–102), VPP (131–133), Q164, and K191. Almost half of the residues predicted on the basis of mimotope analysis also appear in the docking result, indicating that both results are reliable. As the predicted epitopes of metuximab largely overlap with interfaces of CD147-CD147 interactions, a structural mechanism of metuximab is proposed as blocking the formation of CD147 dimer.","author":[{"dropping-particle":"","family":"He","given":"Bifang","non-dropping-particle":"","parse-names":false,"suffix":""},{"dropping-particle":"","family":"Mao","given":"Canquan","non-dropping-particle":"","parse-names":false,"suffix":""},{"dropping-particle":"","family":"Ru","given":"Beibei","non-dropping-particle":"","parse-names":false,"suffix":""},{"dropping-particle":"","family":"Han","given":"Hesong","non-dropping-particle":"","parse-names":false,"suffix":""},{"dropping-particle":"","family":"Zhou","given":"Peng","non-dropping-particle":"","parse-names":false,"suffix":""},{"dropping-particle":"","family":"Huang","given":"Jian","non-dropping-particle":"","parse-names":false,"suffix":""}],"container-title":"Computational and Mathematical Methods in Medicine","id":"ITEM-3","issued":{"date-parts":[["2013"]]},"page":"1-6","title":"Epitope Mapping of Metuximab on CD147 Using Phage Display and Molecular Docking","type":"article-journal","volume":"2013"},"uris":["http://www.mendeley.com/documents/?uuid=70149f9e-f708-487a-b5d1-c7faada39b38"]},{"id":"ITEM-4","itemData":{"DOI":"10.1002/0471142735.im0908s86","ISBN":"0471142735","ISSN":"1934-3671","PMID":"19653209","abstract":"Combinatorial phage display libraries of random peptides can be used to discover the epitopes of antibodies through a procedure termed \"biopanning.\" The affinity isolation of phage-displayed epitope peptidomimetics allows molecular definition of the epitopes of monoclonal antibodies (MAbs). Panels of MAb-specific peptides allow computational prediction of B cell epitopes. Epitope profiles recognized by polyclonal serum samples can also be generated. Detailed step by step protocols and discussion of applications are provided.","author":[{"dropping-particle":"","family":"Freund","given":"Natalia Tarnovitski","non-dropping-particle":"","parse-names":false,"suffix":""},{"dropping-particle":"","family":"Enshell‐Seijffers","given":"David","non-dropping-particle":"","parse-names":false,"suffix":""},{"dropping-particle":"","family":"Gershoni","given":"Jonathan M","non-dropping-particle":"","parse-names":false,"suffix":""}],"container-title":"Current Protocols in Immunology","id":"ITEM-4","issue":"1","issued":{"date-parts":[["2009","8"]]},"page":"Unit 9.8","title":"Phage Display Selection, Analysis, and Prediction of B Cell Epitopes","type":"article-journal","volume":"86"},"uris":["http://www.mendeley.com/documents/?uuid=237a68b6-3657-43b5-9f76-760b72ca9e05"]},{"id":"ITEM-5","itemData":{"DOI":"10.1155/2017/2680160","ISSN":"2314-8861","abstract":"Adaptive immunity is mediated by T- and B-cells, which are immune cells capable of developing pathogen-specific memory that confers immunological protection. Memory and effector functions of B- and T-cells are predicated on the recognition through specialized receptors of specific targets (antigens) in pathogens. More specifically, B- and T-cells recognize portions within their cognate antigens known as epitopes. There is great interest in identifying epitopes in antigens for a number of practical reasons, including understanding disease etiology, immune monitoring, developing diagnosis assays, and designing epitope-based vaccines. Epitope identification is costly and time-consuming as it requires experimental screening of large arrays of potential epitope candidates. Fortunately, researchers have developed in silico prediction methods that dramatically reduce the burden associated with epitope mapping by decreasing the list of potential epitope candidates for experimental testing. Here, we analyze aspects of antigen recognition by T- and B-cells that are relevant for epitope prediction. Subsequently, we provide a systematic and inclusive review of the most relevant B- and T-cell epitope prediction methods and tools, paying particular attention to their foundations.","author":[{"dropping-particle":"","family":"Sanchez-Trincado","given":"Jose L.","non-dropping-particle":"","parse-names":false,"suffix":""},{"dropping-particle":"","family":"Gomez-Perosanz","given":"Marta","non-dropping-particle":"","parse-names":false,"suffix":""},{"dropping-particle":"","family":"Reche","given":"Pedro A.","non-dropping-particle":"","parse-names":false,"suffix":""}],"container-title":"Journal of Immunology Research","id":"ITEM-5","issued":{"date-parts":[["2017"]]},"page":"1-14","title":"Fundamentals and Methods for T- and B-Cell Epitope Prediction","type":"article-journal","volume":"2017"},"uris":["http://www.mendeley.com/documents/?uuid=afaddd18-c888-419e-bf92-9c3c00919da7"]}],"mendeley":{"formattedCitation":"&lt;sup&gt;158,198–201&lt;/sup&gt;","plainTextFormattedCitation":"158,198–201","previouslyFormattedCitation":"&lt;sup&gt;158,198–201&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158,198–201</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r w:rsidRPr="00EB2576">
        <w:rPr>
          <w:rFonts w:ascii="Times New Roman" w:hAnsi="Times New Roman" w:cs="Times New Roman"/>
          <w:sz w:val="24"/>
          <w:szCs w:val="24"/>
          <w:shd w:val="clear" w:color="auto" w:fill="FFFFFF"/>
        </w:rPr>
        <w:t>These commercial phage display libraries have been successfully used to identify B-cell and T-cell epitope</w:t>
      </w:r>
      <w:r w:rsidR="00942E08" w:rsidRPr="00EB2576">
        <w:rPr>
          <w:rFonts w:ascii="Times New Roman" w:hAnsi="Times New Roman" w:cs="Times New Roman"/>
          <w:sz w:val="24"/>
          <w:szCs w:val="24"/>
          <w:shd w:val="clear" w:color="auto" w:fill="FFFFFF"/>
        </w:rPr>
        <w:t>s,</w:t>
      </w:r>
      <w:r w:rsidRPr="00EB2576">
        <w:rPr>
          <w:rFonts w:ascii="Times New Roman" w:hAnsi="Times New Roman" w:cs="Times New Roman"/>
          <w:sz w:val="24"/>
          <w:szCs w:val="24"/>
          <w:shd w:val="clear" w:color="auto" w:fill="FFFFFF"/>
        </w:rPr>
        <w:t xml:space="preserve"> but have not been previously used for identifying </w:t>
      </w:r>
      <w:r w:rsidR="004C0363" w:rsidRPr="00EB2576">
        <w:rPr>
          <w:rFonts w:ascii="Times New Roman" w:hAnsi="Times New Roman" w:cs="Times New Roman"/>
          <w:sz w:val="24"/>
          <w:szCs w:val="24"/>
          <w:shd w:val="clear" w:color="auto" w:fill="FFFFFF"/>
        </w:rPr>
        <w:t xml:space="preserve">conformational </w:t>
      </w:r>
      <w:r w:rsidRPr="00EB2576">
        <w:rPr>
          <w:rFonts w:ascii="Times New Roman" w:hAnsi="Times New Roman" w:cs="Times New Roman"/>
          <w:sz w:val="24"/>
          <w:szCs w:val="24"/>
          <w:shd w:val="clear" w:color="auto" w:fill="FFFFFF"/>
        </w:rPr>
        <w:t xml:space="preserve">epitopes to </w:t>
      </w:r>
      <w:r w:rsidR="00DB0F52" w:rsidRPr="00EB2576">
        <w:rPr>
          <w:rFonts w:ascii="Times New Roman" w:hAnsi="Times New Roman" w:cs="Times New Roman"/>
          <w:sz w:val="24"/>
          <w:szCs w:val="24"/>
          <w:shd w:val="clear" w:color="auto" w:fill="FFFFFF"/>
        </w:rPr>
        <w:t>ADA</w:t>
      </w:r>
      <w:r w:rsidRPr="00EB2576">
        <w:rPr>
          <w:rFonts w:ascii="Times New Roman" w:hAnsi="Times New Roman" w:cs="Times New Roman"/>
          <w:sz w:val="24"/>
          <w:szCs w:val="24"/>
          <w:shd w:val="clear" w:color="auto" w:fill="FFFFFF"/>
        </w:rPr>
        <w:t xml:space="preserve"> </w:t>
      </w:r>
      <w:r w:rsidRPr="00EB2576">
        <w:rPr>
          <w:rFonts w:ascii="Times New Roman" w:hAnsi="Times New Roman" w:cs="Times New Roman"/>
          <w:sz w:val="24"/>
          <w:szCs w:val="24"/>
          <w:shd w:val="clear" w:color="auto" w:fill="FFFFFF"/>
        </w:rPr>
        <w:fldChar w:fldCharType="begin" w:fldLock="1"/>
      </w:r>
      <w:r w:rsidR="009577AC" w:rsidRPr="00EB2576">
        <w:rPr>
          <w:rFonts w:ascii="Times New Roman" w:hAnsi="Times New Roman" w:cs="Times New Roman"/>
          <w:sz w:val="24"/>
          <w:szCs w:val="24"/>
          <w:shd w:val="clear" w:color="auto" w:fill="FFFFFF"/>
        </w:rPr>
        <w:instrText>ADDIN CSL_CITATION {"citationItems":[{"id":"ITEM-1","itemData":{"DOI":"10.2174/1389450043490668","ISBN":"1389-4501","ISSN":"13894501","PMID":"14738215","abstract":"Antigenic epitopes are the part (contact points) of an antigen involved in specific interaction with the antigen-binding site (the paratope) of an antibody or a T-cell receptor. Detailed analysis of epitopes is important both for the understanding of immunological events and for the development of more effective vaccine and diagnostic tools for various diseases. Identification and characterization of epitopes is a complex process. Although various methods have been developed in this area, there still lacks a simple common approach which can be applied to all epitopes. Since its first introduction more than a decade ago, phage display technology has made a major impact in this area of research. With the exponential growth in this area, it is impractical to review the entire literature detailing all possible applications. Instead, this review aims to focus on specific applications related to the discovery and identification of epitopes which have potential as vaccine candidates or can be used in disease diagnosis.","author":[{"dropping-particle":"","family":"Wang","given":"Lin-Fa","non-dropping-particle":"","parse-names":false,"suffix":""},{"dropping-particle":"","family":"Yu","given":"Meng","non-dropping-particle":"","parse-names":false,"suffix":""}],"container-title":"Current Drug Targets","id":"ITEM-1","issue":"1","issued":{"date-parts":[["2004","1"]]},"page":"1-15","title":"Epitope Identification and Discovery Using Phage Display Libraries: Applications in Vaccine Development and Diagnostics","type":"article-journal","volume":"5"},"uris":["http://www.mendeley.com/documents/?uuid=b07325a6-f039-4c14-8ec6-4e309f86e6c9"]},{"id":"ITEM-2","itemData":{"DOI":"10.1086/422753","ISSN":"0022-1899","author":[{"dropping-particle":"","family":"Liu","given":"I‐Ju","non-dropping-particle":"","parse-names":false,"suffix":""},{"dropping-particle":"","family":"Hsueh","given":"Po‐Ren","non-dropping-particle":"","parse-names":false,"suffix":""},{"dropping-particle":"","family":"Lin","given":"Chin‐Tarng","non-dropping-particle":"","parse-names":false,"suffix":""},{"dropping-particle":"","family":"Chiu","given":"Chien‐Yu","non-dropping-particle":"","parse-names":false,"suffix":""},{"dropping-particle":"","family":"Kao","given":"Chuan‐Liang","non-dropping-particle":"","parse-names":false,"suffix":""},{"dropping-particle":"","family":"Liao","given":"Mei‐Ying","non-dropping-particle":"","parse-names":false,"suffix":""},{"dropping-particle":"","family":"Wu","given":"Han‐Chung","non-dropping-particle":"","parse-names":false,"suffix":""}],"container-title":"The Journal of Infectious Diseases","id":"ITEM-2","issue":"4","issued":{"date-parts":[["2004","8","15"]]},"page":"797-809","title":"Disease‐Specific B Cell Epitopes for Serum Antibodies from Patients with Severe Acute Respiratory Syndrome (SARS) and Serologic Detection of SARS Antibodies by Epitope‐Based Peptide Antigens","type":"article-journal","volume":"190"},"uris":["http://www.mendeley.com/documents/?uuid=d631fd1e-35e2-440a-84a1-e6c06ad287c4"]},{"id":"ITEM-3","itemData":{"DOI":"10.1016/j.diagmicrobio.2016.11.012","ISSN":"18790070","PMID":"27939286","abstract":"Serological methods used to diagnose visceral leishmaniasis (VL) are considered minimally invasive, but they present problems related with their sensitivity and/or specificity. In this study, a subtractive selection using the phage display technology against antibodies from healthy subjects living in endemic and non-endemic areas of disease, as well as from Chagas disease patients and those developing active VL, was developed. The aim of this study was to select bacteriophage-fused epitopes to be used in the serodiagnosis of human VL. Eight phage clones were selected after the bio-panning rounds, and their reactivity was evaluated in a phage-ELISA assay against a human serological panel. A wild-type clone and the recombinant K39-based immunochromatographic test were used as controls. In the results, it was shown that all clones showed an excellent performance to serologically identify VL patients, demonstrating the feasibility of the isolated phages for developing a specific and sensitive serodiagnosis of human VL.","author":[{"dropping-particle":"","family":"Salles","given":"Beatriz C.S.","non-dropping-particle":"","parse-names":false,"suffix":""},{"dropping-particle":"","family":"Costa","given":"Lourena E.","non-dropping-particle":"","parse-names":false,"suffix":""},{"dropping-particle":"","family":"Alves","given":"Patrícia T.","non-dropping-particle":"","parse-names":false,"suffix":""},{"dropping-particle":"","family":"Dias","given":"Ana C.S.","non-dropping-particle":"","parse-names":false,"suffix":""},{"dropping-particle":"","family":"Vaz","given":"Emília R.","non-dropping-particle":"","parse-names":false,"suffix":""},{"dropping-particle":"","family":"Menezes-Souza","given":"Daniel","non-dropping-particle":"","parse-names":false,"suffix":""},{"dropping-particle":"","family":"Ramos","given":"Fernanda F.","non-dropping-particle":"","parse-names":false,"suffix":""},{"dropping-particle":"","family":"Duarte","given":"Mariana C.","non-dropping-particle":"","parse-names":false,"suffix":""},{"dropping-particle":"","family":"Roatt","given":"Bruno M.","non-dropping-particle":"","parse-names":false,"suffix":""},{"dropping-particle":"","family":"Chávez-Fumagalli","given":"Miguel A.","non-dropping-particle":"","parse-names":false,"suffix":""},{"dropping-particle":"","family":"Tavares","given":"Carlos A.P.","non-dropping-particle":"","parse-names":false,"suffix":""},{"dropping-particle":"","family":"Gonçalves","given":"Denise U.","non-dropping-particle":"","parse-names":false,"suffix":""},{"dropping-particle":"","family":"Rocha","given":"Regina L.","non-dropping-particle":"","parse-names":false,"suffix":""},{"dropping-particle":"","family":"Goulart","given":"Luiz R.","non-dropping-particle":"","parse-names":false,"suffix":""},{"dropping-particle":"","family":"Coelho","given":"Eduardo A.F.","non-dropping-particle":"","parse-names":false,"suffix":""}],"container-title":"Diagnostic Microbiology and Infectious Disease","id":"ITEM-3","issue":"3","issued":{"date-parts":[["2017"]]},"page":"219-225","publisher":"Elsevier Inc.","title":"Leishmania infantum mimotopes and a phage–ELISA assay as tools for a sensitive and specific serodiagnosis of human visceral leishmaniasis","type":"article-journal","volume":"87"},"uris":["http://www.mendeley.com/documents/?uuid=69bd1f19-ae2b-4b14-a00f-db3521e41881"]},{"id":"ITEM-4","itemData":{"DOI":"10.1155/2013/983829","ISSN":"1748-670X","abstract":"Metuximab is the generic name of Licartin, a new drug for radioimmunotherapy of hepatocellular carcinoma. Although it is known to be a mouse monoclonal antibody against CD147, the complete epitope mediating the binding of metuximab to CD147 remains unknown. We panned the Ph.D.-12 phage display peptide library against metuximab and got six mimotopes. The following bioinformatics analysis based on mimotopes suggested that metuximab recognizes a conformational epitope composed of more than 20 residues. The residues of its epitope may include T28, V30, K36, L38, K57, F74, D77, S78, D79, D80, Q81, G83, S86, N98, Q100, L101, H102, G103, P104, V131, P132, and K191. The homology modeling of metuximab and the docking of CD147 to metuximab were also performed. Based on the top one docking model, the epitope was predicted to contain 28 residues: AGTVFTTV (23–30), I37, D45, E84, V88, EPMGTANIQLH (92–102), VPP (131–133), Q164, and K191. Almost half of the residues predicted on the basis of mimotope analysis also appear in the docking result, indicating that both results are reliable. As the predicted epitopes of metuximab largely overlap with interfaces of CD147-CD147 interactions, a structural mechanism of metuximab is proposed as blocking the formation of CD147 dimer.","author":[{"dropping-particle":"","family":"He","given":"Bifang","non-dropping-particle":"","parse-names":false,"suffix":""},{"dropping-particle":"","family":"Mao","given":"Canquan","non-dropping-particle":"","parse-names":false,"suffix":""},{"dropping-particle":"","family":"Ru","given":"Beibei","non-dropping-particle":"","parse-names":false,"suffix":""},{"dropping-particle":"","family":"Han","given":"Hesong","non-dropping-particle":"","parse-names":false,"suffix":""},{"dropping-particle":"","family":"Zhou","given":"Peng","non-dropping-particle":"","parse-names":false,"suffix":""},{"dropping-particle":"","family":"Huang","given":"Jian","non-dropping-particle":"","parse-names":false,"suffix":""}],"container-title":"Computational and Mathematical Methods in Medicine","id":"ITEM-4","issued":{"date-parts":[["2013"]]},"page":"1-6","title":"Epitope Mapping of Metuximab on CD147 Using Phage Display and Molecular Docking","type":"article-journal","volume":"2013"},"uris":["http://www.mendeley.com/documents/?uuid=70149f9e-f708-487a-b5d1-c7faada39b38"]}],"mendeley":{"formattedCitation":"&lt;sup&gt;105,158,198,199&lt;/sup&gt;","plainTextFormattedCitation":"105,158,198,199","previouslyFormattedCitation":"&lt;sup&gt;105,158,198,199&lt;/sup&gt;"},"properties":{"noteIndex":0},"schema":"https://github.com/citation-style-language/schema/raw/master/csl-citation.json"}</w:instrText>
      </w:r>
      <w:r w:rsidRPr="00EB2576">
        <w:rPr>
          <w:rFonts w:ascii="Times New Roman" w:hAnsi="Times New Roman" w:cs="Times New Roman"/>
          <w:sz w:val="24"/>
          <w:szCs w:val="24"/>
          <w:shd w:val="clear" w:color="auto" w:fill="FFFFFF"/>
        </w:rPr>
        <w:fldChar w:fldCharType="separate"/>
      </w:r>
      <w:r w:rsidR="00201474" w:rsidRPr="00EB2576">
        <w:rPr>
          <w:rFonts w:ascii="Times New Roman" w:hAnsi="Times New Roman" w:cs="Times New Roman"/>
          <w:noProof/>
          <w:sz w:val="24"/>
          <w:szCs w:val="24"/>
          <w:shd w:val="clear" w:color="auto" w:fill="FFFFFF"/>
          <w:vertAlign w:val="superscript"/>
        </w:rPr>
        <w:t>105,158,198,199</w:t>
      </w:r>
      <w:r w:rsidRPr="00EB2576">
        <w:rPr>
          <w:rFonts w:ascii="Times New Roman" w:hAnsi="Times New Roman" w:cs="Times New Roman"/>
          <w:sz w:val="24"/>
          <w:szCs w:val="24"/>
          <w:shd w:val="clear" w:color="auto" w:fill="FFFFFF"/>
        </w:rPr>
        <w:fldChar w:fldCharType="end"/>
      </w:r>
      <w:r w:rsidRPr="00EB2576">
        <w:rPr>
          <w:rFonts w:ascii="Times New Roman" w:hAnsi="Times New Roman" w:cs="Times New Roman"/>
          <w:sz w:val="24"/>
          <w:szCs w:val="24"/>
          <w:shd w:val="clear" w:color="auto" w:fill="FFFFFF"/>
        </w:rPr>
        <w:t>.</w:t>
      </w:r>
      <w:r w:rsidRPr="00EB2576">
        <w:rPr>
          <w:rFonts w:ascii="Times New Roman" w:hAnsi="Times New Roman" w:cs="Times New Roman"/>
          <w:sz w:val="24"/>
          <w:szCs w:val="24"/>
        </w:rPr>
        <w:t xml:space="preserve"> Screening of the library was performed using carefully considered conditions to reduce the risk of non-specific binding. Three peptides were selectively enriched from the </w:t>
      </w:r>
      <w:r w:rsidR="00DB0F52" w:rsidRPr="00EB2576">
        <w:rPr>
          <w:rFonts w:ascii="Times New Roman" w:hAnsi="Times New Roman" w:cs="Times New Roman"/>
          <w:sz w:val="24"/>
          <w:szCs w:val="24"/>
        </w:rPr>
        <w:t>RPL</w:t>
      </w:r>
      <w:r w:rsidRPr="00EB2576">
        <w:rPr>
          <w:rFonts w:ascii="Times New Roman" w:hAnsi="Times New Roman" w:cs="Times New Roman"/>
          <w:sz w:val="24"/>
          <w:szCs w:val="24"/>
        </w:rPr>
        <w:t xml:space="preserve"> in the ATI positive </w:t>
      </w:r>
      <w:r w:rsidR="00D74A91" w:rsidRPr="00EB2576">
        <w:rPr>
          <w:rFonts w:ascii="Times New Roman" w:hAnsi="Times New Roman" w:cs="Times New Roman"/>
          <w:sz w:val="24"/>
          <w:szCs w:val="24"/>
        </w:rPr>
        <w:t>selection,</w:t>
      </w:r>
      <w:r w:rsidRPr="00EB2576">
        <w:rPr>
          <w:rFonts w:ascii="Times New Roman" w:hAnsi="Times New Roman" w:cs="Times New Roman"/>
          <w:sz w:val="24"/>
          <w:szCs w:val="24"/>
        </w:rPr>
        <w:t xml:space="preserve"> and </w:t>
      </w:r>
      <w:r w:rsidR="00DB0F52" w:rsidRPr="00EB2576">
        <w:rPr>
          <w:rFonts w:ascii="Times New Roman" w:hAnsi="Times New Roman" w:cs="Times New Roman"/>
          <w:sz w:val="24"/>
          <w:szCs w:val="24"/>
        </w:rPr>
        <w:t xml:space="preserve">these </w:t>
      </w:r>
      <w:r w:rsidRPr="00EB2576">
        <w:rPr>
          <w:rFonts w:ascii="Times New Roman" w:hAnsi="Times New Roman" w:cs="Times New Roman"/>
          <w:sz w:val="24"/>
          <w:szCs w:val="24"/>
        </w:rPr>
        <w:t xml:space="preserve">were not present in the control selections. Using the </w:t>
      </w:r>
      <w:proofErr w:type="spellStart"/>
      <w:r w:rsidRPr="00EB2576">
        <w:rPr>
          <w:rFonts w:ascii="Times New Roman" w:hAnsi="Times New Roman" w:cs="Times New Roman"/>
          <w:sz w:val="24"/>
          <w:szCs w:val="24"/>
        </w:rPr>
        <w:t>Pepsurf</w:t>
      </w:r>
      <w:proofErr w:type="spellEnd"/>
      <w:r w:rsidRPr="00EB2576">
        <w:rPr>
          <w:rFonts w:ascii="Times New Roman" w:hAnsi="Times New Roman" w:cs="Times New Roman"/>
          <w:sz w:val="24"/>
          <w:szCs w:val="24"/>
        </w:rPr>
        <w:t xml:space="preserve"> algorithm, a mimotope prediction tool, three conformational epitopes were predicted. One of the predicted epitopes: RPL </w:t>
      </w:r>
      <w:r w:rsidR="00D74A91" w:rsidRPr="00EB2576">
        <w:rPr>
          <w:rFonts w:ascii="Times New Roman" w:hAnsi="Times New Roman" w:cs="Times New Roman"/>
          <w:sz w:val="24"/>
          <w:szCs w:val="24"/>
        </w:rPr>
        <w:t>l</w:t>
      </w:r>
      <w:r w:rsidRPr="00EB2576">
        <w:rPr>
          <w:rFonts w:ascii="Times New Roman" w:hAnsi="Times New Roman" w:cs="Times New Roman"/>
          <w:sz w:val="24"/>
          <w:szCs w:val="24"/>
        </w:rPr>
        <w:t xml:space="preserve">ight </w:t>
      </w:r>
      <w:r w:rsidR="00D74A91" w:rsidRPr="00EB2576">
        <w:rPr>
          <w:rFonts w:ascii="Times New Roman" w:hAnsi="Times New Roman" w:cs="Times New Roman"/>
          <w:sz w:val="24"/>
          <w:szCs w:val="24"/>
        </w:rPr>
        <w:t>c</w:t>
      </w:r>
      <w:r w:rsidRPr="00EB2576">
        <w:rPr>
          <w:rFonts w:ascii="Times New Roman" w:hAnsi="Times New Roman" w:cs="Times New Roman"/>
          <w:sz w:val="24"/>
          <w:szCs w:val="24"/>
        </w:rPr>
        <w:t xml:space="preserve">hain </w:t>
      </w:r>
      <w:r w:rsidR="00D74A91" w:rsidRPr="00EB2576">
        <w:rPr>
          <w:rFonts w:ascii="Times New Roman" w:hAnsi="Times New Roman" w:cs="Times New Roman"/>
          <w:sz w:val="24"/>
          <w:szCs w:val="24"/>
        </w:rPr>
        <w:t>p</w:t>
      </w:r>
      <w:r w:rsidRPr="00EB2576">
        <w:rPr>
          <w:rFonts w:ascii="Times New Roman" w:hAnsi="Times New Roman" w:cs="Times New Roman"/>
          <w:sz w:val="24"/>
          <w:szCs w:val="24"/>
        </w:rPr>
        <w:t xml:space="preserve">eptide 1 overlapped with a selected linear epitope: GFL </w:t>
      </w:r>
      <w:r w:rsidR="00D74A91" w:rsidRPr="00EB2576">
        <w:rPr>
          <w:rFonts w:ascii="Times New Roman" w:hAnsi="Times New Roman" w:cs="Times New Roman"/>
          <w:sz w:val="24"/>
          <w:szCs w:val="24"/>
        </w:rPr>
        <w:t>l</w:t>
      </w:r>
      <w:r w:rsidRPr="00EB2576">
        <w:rPr>
          <w:rFonts w:ascii="Times New Roman" w:hAnsi="Times New Roman" w:cs="Times New Roman"/>
          <w:sz w:val="24"/>
          <w:szCs w:val="24"/>
        </w:rPr>
        <w:t xml:space="preserve">ight </w:t>
      </w:r>
      <w:r w:rsidR="00D74A91" w:rsidRPr="00EB2576">
        <w:rPr>
          <w:rFonts w:ascii="Times New Roman" w:hAnsi="Times New Roman" w:cs="Times New Roman"/>
          <w:sz w:val="24"/>
          <w:szCs w:val="24"/>
        </w:rPr>
        <w:t>c</w:t>
      </w:r>
      <w:r w:rsidRPr="00EB2576">
        <w:rPr>
          <w:rFonts w:ascii="Times New Roman" w:hAnsi="Times New Roman" w:cs="Times New Roman"/>
          <w:sz w:val="24"/>
          <w:szCs w:val="24"/>
        </w:rPr>
        <w:t xml:space="preserve">hain </w:t>
      </w:r>
      <w:r w:rsidR="00D74A91" w:rsidRPr="00EB2576">
        <w:rPr>
          <w:rFonts w:ascii="Times New Roman" w:hAnsi="Times New Roman" w:cs="Times New Roman"/>
          <w:sz w:val="24"/>
          <w:szCs w:val="24"/>
        </w:rPr>
        <w:t>p</w:t>
      </w:r>
      <w:r w:rsidRPr="00EB2576">
        <w:rPr>
          <w:rFonts w:ascii="Times New Roman" w:hAnsi="Times New Roman" w:cs="Times New Roman"/>
          <w:sz w:val="24"/>
          <w:szCs w:val="24"/>
        </w:rPr>
        <w:t>eptide 3</w:t>
      </w:r>
      <w:r w:rsidRPr="00EB2576">
        <w:rPr>
          <w:rFonts w:ascii="Times New Roman" w:eastAsia="Calibri" w:hAnsi="Times New Roman" w:cs="Times New Roman"/>
          <w:kern w:val="24"/>
          <w:sz w:val="24"/>
          <w:szCs w:val="24"/>
        </w:rPr>
        <w:t>.</w:t>
      </w:r>
      <w:r w:rsidRPr="00EB2576">
        <w:rPr>
          <w:rFonts w:ascii="Times New Roman" w:hAnsi="Times New Roman" w:cs="Times New Roman"/>
          <w:sz w:val="24"/>
          <w:szCs w:val="24"/>
        </w:rPr>
        <w:t xml:space="preserve"> </w:t>
      </w:r>
    </w:p>
    <w:p w14:paraId="5999AFB0" w14:textId="77777777" w:rsidR="008A79C7" w:rsidRPr="00EB2576" w:rsidRDefault="008A79C7" w:rsidP="008A79C7">
      <w:pPr>
        <w:pStyle w:val="NormalWeb"/>
        <w:spacing w:before="200" w:beforeAutospacing="0" w:after="0" w:afterAutospacing="0" w:line="480" w:lineRule="auto"/>
      </w:pPr>
      <w:r w:rsidRPr="00EB2576">
        <w:t xml:space="preserve"> </w:t>
      </w:r>
    </w:p>
    <w:p w14:paraId="77F5E9FF" w14:textId="63AD43AC" w:rsidR="008A79C7" w:rsidRPr="00EB2576" w:rsidRDefault="008A79C7" w:rsidP="008A79C7">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Initial monoclonal phage ELISAs using the selected phage clones from the GFL and the RPL have not demonstrated specificity on ATI positive sera.  A systematic approach was taken, including altering the number of washes, adjusting the concentration of secondary antibody, IgG purification of the sera and acid dissociation of the sera. The ongoing reactivity may be due to non-specific binding of the sera to phage proteins, bacterial or culture media contaminants during the ELISA</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s10529-010-0483-6","ISSN":"0141-5492","author":[{"dropping-particle":"","family":"Woo","given":"Mi-Kyung","non-dropping-particle":"","parse-names":false,"suffix":""},{"dropping-particle":"","family":"Heo","given":"Chang-Kyu","non-dropping-particle":"","parse-names":false,"suffix":""},{"dropping-particle":"","family":"Hwang","given":"Hae-Min","non-dropping-particle":"","parse-names":false,"suffix":""},{"dropping-particle":"","family":"Ko","given":"Jeong-Heon","non-dropping-particle":"","parse-names":false,"suffix":""},{"dropping-particle":"","family":"Yoo","given":"Hyang-Sook","non-dropping-particle":"","parse-names":false,"suffix":""},{"dropping-particle":"","family":"Cho","given":"Eun-Wie","non-dropping-particle":"","parse-names":false,"suffix":""}],"container-title":"Biotechnology Letters","id":"ITEM-1","issue":"4","issued":{"date-parts":[["2011","4","2"]]},"page":"655-661","title":"Optimization of phage-immobilized ELISA for autoantibody profiling in human sera","type":"article-journal","volume":"33"},"uris":["http://www.mendeley.com/documents/?uuid=0a19d6f4-4f93-4990-98ac-08f67cbd06ce"]}],"mendeley":{"formattedCitation":"&lt;sup&gt;190&lt;/sup&gt;","plainTextFormattedCitation":"190","previouslyFormattedCitation":"&lt;sup&gt;190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190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To address this, pre-adsorption with of </w:t>
      </w:r>
      <w:r w:rsidRPr="00EB2576">
        <w:rPr>
          <w:rFonts w:ascii="Times New Roman" w:hAnsi="Times New Roman" w:cs="Times New Roman"/>
          <w:i/>
          <w:iCs/>
          <w:sz w:val="24"/>
          <w:szCs w:val="24"/>
        </w:rPr>
        <w:t>E.</w:t>
      </w:r>
      <w:r w:rsidR="00B642A3" w:rsidRPr="00EB2576">
        <w:rPr>
          <w:rFonts w:ascii="Times New Roman" w:hAnsi="Times New Roman" w:cs="Times New Roman"/>
          <w:i/>
          <w:iCs/>
          <w:sz w:val="24"/>
          <w:szCs w:val="24"/>
        </w:rPr>
        <w:t xml:space="preserve"> </w:t>
      </w:r>
      <w:r w:rsidRPr="00EB2576">
        <w:rPr>
          <w:rFonts w:ascii="Times New Roman" w:hAnsi="Times New Roman" w:cs="Times New Roman"/>
          <w:i/>
          <w:iCs/>
          <w:sz w:val="24"/>
          <w:szCs w:val="24"/>
        </w:rPr>
        <w:t>coli</w:t>
      </w:r>
      <w:r w:rsidRPr="00EB2576">
        <w:rPr>
          <w:rFonts w:ascii="Times New Roman" w:hAnsi="Times New Roman" w:cs="Times New Roman"/>
          <w:sz w:val="24"/>
          <w:szCs w:val="24"/>
        </w:rPr>
        <w:t xml:space="preserve"> extract has been incorporated into the ELISA, but further optimisation is required </w:t>
      </w:r>
      <w:r w:rsidRPr="00EB2576">
        <w:rPr>
          <w:rFonts w:ascii="Times New Roman" w:hAnsi="Times New Roman" w:cs="Times New Roman"/>
          <w:sz w:val="24"/>
          <w:szCs w:val="24"/>
        </w:rPr>
        <w:fldChar w:fldCharType="begin" w:fldLock="1"/>
      </w:r>
      <w:r w:rsidR="009577AC" w:rsidRPr="00EB2576">
        <w:rPr>
          <w:rFonts w:ascii="Times New Roman" w:hAnsi="Times New Roman" w:cs="Times New Roman"/>
          <w:sz w:val="24"/>
          <w:szCs w:val="24"/>
        </w:rPr>
        <w:instrText>ADDIN CSL_CITATION {"citationItems":[{"id":"ITEM-1","itemData":{"DOI":"10.1007/s10529-010-0483-6","ISSN":"0141-5492","author":[{"dropping-particle":"","family":"Woo","given":"Mi-Kyung","non-dropping-particle":"","parse-names":false,"suffix":""},{"dropping-particle":"","family":"Heo","given":"Chang-Kyu","non-dropping-particle":"","parse-names":false,"suffix":""},{"dropping-particle":"","family":"Hwang","given":"Hae-Min","non-dropping-particle":"","parse-names":false,"suffix":""},{"dropping-particle":"","family":"Ko","given":"Jeong-Heon","non-dropping-particle":"","parse-names":false,"suffix":""},{"dropping-particle":"","family":"Yoo","given":"Hyang-Sook","non-dropping-particle":"","parse-names":false,"suffix":""},{"dropping-particle":"","family":"Cho","given":"Eun-Wie","non-dropping-particle":"","parse-names":false,"suffix":""}],"container-title":"Biotechnology Letters","id":"ITEM-1","issue":"4","issued":{"date-parts":[["2011","4","2"]]},"page":"655-661","title":"Optimization of phage-immobilized ELISA for autoantibody profiling in human sera","type":"article-journal","volume":"33"},"uris":["http://www.mendeley.com/documents/?uuid=0a19d6f4-4f93-4990-98ac-08f67cbd06ce"]}],"mendeley":{"formattedCitation":"&lt;sup&gt;190&lt;/sup&gt;","plainTextFormattedCitation":"190","previouslyFormattedCitation":"&lt;sup&gt;190&lt;/sup&gt;"},"properties":{"noteIndex":0},"schema":"https://github.com/citation-style-language/schema/raw/master/csl-citation.json"}</w:instrText>
      </w:r>
      <w:r w:rsidRPr="00EB2576">
        <w:rPr>
          <w:rFonts w:ascii="Times New Roman" w:hAnsi="Times New Roman" w:cs="Times New Roman"/>
          <w:sz w:val="24"/>
          <w:szCs w:val="24"/>
        </w:rPr>
        <w:fldChar w:fldCharType="separate"/>
      </w:r>
      <w:r w:rsidR="00201474" w:rsidRPr="00EB2576">
        <w:rPr>
          <w:rFonts w:ascii="Times New Roman" w:hAnsi="Times New Roman" w:cs="Times New Roman"/>
          <w:noProof/>
          <w:sz w:val="24"/>
          <w:szCs w:val="24"/>
          <w:vertAlign w:val="superscript"/>
        </w:rPr>
        <w:t>190</w:t>
      </w:r>
      <w:r w:rsidRPr="00EB2576">
        <w:rPr>
          <w:rFonts w:ascii="Times New Roman" w:hAnsi="Times New Roman" w:cs="Times New Roman"/>
          <w:sz w:val="24"/>
          <w:szCs w:val="24"/>
        </w:rPr>
        <w:fldChar w:fldCharType="end"/>
      </w:r>
      <w:r w:rsidRPr="00EB2576">
        <w:rPr>
          <w:rFonts w:ascii="Times New Roman" w:hAnsi="Times New Roman" w:cs="Times New Roman"/>
          <w:sz w:val="24"/>
          <w:szCs w:val="24"/>
        </w:rPr>
        <w:t xml:space="preserve">. </w:t>
      </w:r>
    </w:p>
    <w:p w14:paraId="301ECD87" w14:textId="77777777" w:rsidR="008A79C7" w:rsidRPr="00EB2576" w:rsidRDefault="008A79C7" w:rsidP="008A79C7">
      <w:pPr>
        <w:pStyle w:val="Default"/>
        <w:spacing w:line="480" w:lineRule="auto"/>
        <w:rPr>
          <w:rFonts w:ascii="Times New Roman" w:hAnsi="Times New Roman" w:cs="Times New Roman"/>
          <w:color w:val="auto"/>
        </w:rPr>
      </w:pPr>
    </w:p>
    <w:p w14:paraId="05B63DCD" w14:textId="797181AB" w:rsidR="00844F59" w:rsidRPr="00EB2576" w:rsidRDefault="008A79C7" w:rsidP="008A79C7">
      <w:pPr>
        <w:spacing w:line="480" w:lineRule="auto"/>
        <w:rPr>
          <w:rFonts w:ascii="Times New Roman" w:hAnsi="Times New Roman" w:cs="Times New Roman"/>
          <w:kern w:val="24"/>
          <w:sz w:val="24"/>
          <w:szCs w:val="24"/>
          <w:lang w:eastAsia="en-GB"/>
        </w:rPr>
      </w:pPr>
      <w:r w:rsidRPr="00EB2576">
        <w:rPr>
          <w:rFonts w:ascii="Times New Roman" w:hAnsi="Times New Roman" w:cs="Times New Roman"/>
          <w:sz w:val="24"/>
          <w:szCs w:val="24"/>
        </w:rPr>
        <w:t xml:space="preserve">Due to the use of pooled </w:t>
      </w:r>
      <w:r w:rsidR="002110BB" w:rsidRPr="00EB2576">
        <w:rPr>
          <w:rFonts w:ascii="Times New Roman" w:hAnsi="Times New Roman" w:cs="Times New Roman"/>
          <w:sz w:val="24"/>
          <w:szCs w:val="24"/>
        </w:rPr>
        <w:t xml:space="preserve">ATI positive </w:t>
      </w:r>
      <w:r w:rsidRPr="00EB2576">
        <w:rPr>
          <w:rFonts w:ascii="Times New Roman" w:hAnsi="Times New Roman" w:cs="Times New Roman"/>
          <w:sz w:val="24"/>
          <w:szCs w:val="24"/>
        </w:rPr>
        <w:t xml:space="preserve">sera from patients with a range of clinical outcomes and the distinct nature of the peptides selected, which were heavily enriched and include infliximab CDRs, we would suggest these are clinically important epitopes on infliximab. </w:t>
      </w:r>
      <w:r w:rsidRPr="00EB2576">
        <w:rPr>
          <w:rFonts w:ascii="Times New Roman" w:hAnsi="Times New Roman" w:cs="Times New Roman"/>
          <w:kern w:val="24"/>
          <w:sz w:val="24"/>
          <w:szCs w:val="24"/>
          <w:lang w:eastAsia="en-GB"/>
        </w:rPr>
        <w:t xml:space="preserve">The overlap between epitopes identified from the whole GFL and the RPL would further suggest these regions are immunologically important. </w:t>
      </w:r>
    </w:p>
    <w:p w14:paraId="6AABFEE3" w14:textId="77777777" w:rsidR="00512283" w:rsidRPr="00EB2576" w:rsidRDefault="00512283" w:rsidP="00512283">
      <w:pPr>
        <w:autoSpaceDE w:val="0"/>
        <w:autoSpaceDN w:val="0"/>
        <w:adjustRightInd w:val="0"/>
        <w:spacing w:after="0" w:line="480" w:lineRule="auto"/>
        <w:jc w:val="left"/>
        <w:rPr>
          <w:rFonts w:ascii="Times New Roman" w:hAnsi="Times New Roman" w:cs="Times New Roman"/>
          <w:b/>
          <w:bCs/>
          <w:sz w:val="24"/>
          <w:szCs w:val="24"/>
        </w:rPr>
      </w:pPr>
      <w:r w:rsidRPr="00EB2576">
        <w:rPr>
          <w:rFonts w:ascii="Times New Roman" w:hAnsi="Times New Roman" w:cs="Times New Roman"/>
          <w:b/>
          <w:bCs/>
          <w:sz w:val="24"/>
          <w:szCs w:val="24"/>
        </w:rPr>
        <w:lastRenderedPageBreak/>
        <w:t>Future directions</w:t>
      </w:r>
    </w:p>
    <w:p w14:paraId="1F52EC59" w14:textId="77777777" w:rsidR="002F57B8" w:rsidRPr="00EB2576" w:rsidRDefault="002F57B8" w:rsidP="002F57B8">
      <w:pPr>
        <w:spacing w:line="480" w:lineRule="auto"/>
        <w:rPr>
          <w:rFonts w:ascii="Times New Roman" w:hAnsi="Times New Roman" w:cs="Times New Roman"/>
          <w:sz w:val="24"/>
          <w:szCs w:val="24"/>
        </w:rPr>
      </w:pPr>
    </w:p>
    <w:p w14:paraId="2681B4DF" w14:textId="7345CFC5" w:rsidR="00B961F2" w:rsidRPr="00EB2576" w:rsidRDefault="002F57B8" w:rsidP="00067CC9">
      <w:pPr>
        <w:spacing w:line="480" w:lineRule="auto"/>
        <w:rPr>
          <w:rFonts w:ascii="Times New Roman" w:hAnsi="Times New Roman" w:cs="Times New Roman"/>
          <w:sz w:val="24"/>
          <w:szCs w:val="24"/>
        </w:rPr>
      </w:pPr>
      <w:r w:rsidRPr="00EB2576">
        <w:rPr>
          <w:rFonts w:ascii="Times New Roman" w:hAnsi="Times New Roman" w:cs="Times New Roman"/>
          <w:sz w:val="24"/>
          <w:szCs w:val="24"/>
        </w:rPr>
        <w:t xml:space="preserve">Further work on the ELISA of the </w:t>
      </w:r>
      <w:r w:rsidR="0095761F" w:rsidRPr="00EB2576">
        <w:rPr>
          <w:rFonts w:ascii="Times New Roman" w:hAnsi="Times New Roman" w:cs="Times New Roman"/>
          <w:sz w:val="24"/>
          <w:szCs w:val="24"/>
        </w:rPr>
        <w:t>enriched</w:t>
      </w:r>
      <w:r w:rsidRPr="00EB2576">
        <w:rPr>
          <w:rFonts w:ascii="Times New Roman" w:hAnsi="Times New Roman" w:cs="Times New Roman"/>
          <w:sz w:val="24"/>
          <w:szCs w:val="24"/>
        </w:rPr>
        <w:t xml:space="preserve"> peptides </w:t>
      </w:r>
      <w:r w:rsidR="00EC35B7" w:rsidRPr="00EB2576">
        <w:rPr>
          <w:rFonts w:ascii="Times New Roman" w:hAnsi="Times New Roman" w:cs="Times New Roman"/>
          <w:sz w:val="24"/>
          <w:szCs w:val="24"/>
        </w:rPr>
        <w:t xml:space="preserve">from the GFL and the PRL </w:t>
      </w:r>
      <w:r w:rsidRPr="00EB2576">
        <w:rPr>
          <w:rFonts w:ascii="Times New Roman" w:hAnsi="Times New Roman" w:cs="Times New Roman"/>
          <w:sz w:val="24"/>
          <w:szCs w:val="24"/>
        </w:rPr>
        <w:t>is needed to confirm specificity of the ATI positive sera to the</w:t>
      </w:r>
      <w:r w:rsidR="0095761F" w:rsidRPr="00EB2576">
        <w:rPr>
          <w:rFonts w:ascii="Times New Roman" w:hAnsi="Times New Roman" w:cs="Times New Roman"/>
          <w:sz w:val="24"/>
          <w:szCs w:val="24"/>
        </w:rPr>
        <w:t xml:space="preserve"> selected peptides</w:t>
      </w:r>
      <w:r w:rsidRPr="00EB2576">
        <w:rPr>
          <w:rFonts w:ascii="Times New Roman" w:hAnsi="Times New Roman" w:cs="Times New Roman"/>
          <w:sz w:val="24"/>
          <w:szCs w:val="24"/>
        </w:rPr>
        <w:t xml:space="preserve">. </w:t>
      </w:r>
      <w:r w:rsidR="004A3C1B" w:rsidRPr="00EB2576">
        <w:rPr>
          <w:rFonts w:ascii="Times New Roman" w:hAnsi="Times New Roman" w:cs="Times New Roman"/>
          <w:sz w:val="24"/>
          <w:szCs w:val="24"/>
        </w:rPr>
        <w:t xml:space="preserve">An alternative method of assessing specificity of the ATI positive sera to the </w:t>
      </w:r>
      <w:r w:rsidR="00345474" w:rsidRPr="00EB2576">
        <w:rPr>
          <w:rFonts w:ascii="Times New Roman" w:hAnsi="Times New Roman" w:cs="Times New Roman"/>
          <w:sz w:val="24"/>
          <w:szCs w:val="24"/>
        </w:rPr>
        <w:t xml:space="preserve">enriched </w:t>
      </w:r>
      <w:r w:rsidR="004A3C1B" w:rsidRPr="00EB2576">
        <w:rPr>
          <w:rFonts w:ascii="Times New Roman" w:hAnsi="Times New Roman" w:cs="Times New Roman"/>
          <w:sz w:val="24"/>
          <w:szCs w:val="24"/>
        </w:rPr>
        <w:t>peptides would be to incorporate NGS</w:t>
      </w:r>
      <w:r w:rsidR="00345474" w:rsidRPr="00EB2576">
        <w:rPr>
          <w:rFonts w:ascii="Times New Roman" w:hAnsi="Times New Roman" w:cs="Times New Roman"/>
          <w:sz w:val="24"/>
          <w:szCs w:val="24"/>
        </w:rPr>
        <w:t>.</w:t>
      </w:r>
      <w:r w:rsidR="008A589C" w:rsidRPr="00EB2576">
        <w:rPr>
          <w:rFonts w:ascii="Times New Roman" w:hAnsi="Times New Roman" w:cs="Times New Roman"/>
          <w:sz w:val="24"/>
          <w:szCs w:val="24"/>
        </w:rPr>
        <w:t xml:space="preserve"> The infliximab </w:t>
      </w:r>
      <w:r w:rsidR="00416681" w:rsidRPr="00EB2576">
        <w:rPr>
          <w:rFonts w:ascii="Times New Roman" w:hAnsi="Times New Roman" w:cs="Times New Roman"/>
          <w:sz w:val="24"/>
          <w:szCs w:val="24"/>
        </w:rPr>
        <w:t>whole</w:t>
      </w:r>
      <w:r w:rsidR="008A589C" w:rsidRPr="00EB2576">
        <w:rPr>
          <w:rFonts w:ascii="Times New Roman" w:hAnsi="Times New Roman" w:cs="Times New Roman"/>
          <w:sz w:val="24"/>
          <w:szCs w:val="24"/>
        </w:rPr>
        <w:t xml:space="preserve"> GFL and the RPL could be reselected using individual ATI positive serum that was pooled for biopanning</w:t>
      </w:r>
      <w:r w:rsidR="00416681" w:rsidRPr="00EB2576">
        <w:rPr>
          <w:rFonts w:ascii="Times New Roman" w:hAnsi="Times New Roman" w:cs="Times New Roman"/>
          <w:sz w:val="24"/>
          <w:szCs w:val="24"/>
        </w:rPr>
        <w:t xml:space="preserve">. Subsequent NGS of each individual selection </w:t>
      </w:r>
      <w:r w:rsidR="00041324" w:rsidRPr="00EB2576">
        <w:rPr>
          <w:rFonts w:ascii="Times New Roman" w:hAnsi="Times New Roman" w:cs="Times New Roman"/>
          <w:sz w:val="24"/>
          <w:szCs w:val="24"/>
        </w:rPr>
        <w:t xml:space="preserve">would </w:t>
      </w:r>
      <w:r w:rsidR="00416681" w:rsidRPr="00EB2576">
        <w:rPr>
          <w:rFonts w:ascii="Times New Roman" w:hAnsi="Times New Roman" w:cs="Times New Roman"/>
          <w:sz w:val="24"/>
          <w:szCs w:val="24"/>
        </w:rPr>
        <w:t>assess</w:t>
      </w:r>
      <w:r w:rsidR="00041324" w:rsidRPr="00EB2576">
        <w:rPr>
          <w:rFonts w:ascii="Times New Roman" w:hAnsi="Times New Roman" w:cs="Times New Roman"/>
          <w:sz w:val="24"/>
          <w:szCs w:val="24"/>
        </w:rPr>
        <w:t xml:space="preserve"> </w:t>
      </w:r>
      <w:r w:rsidR="00416681" w:rsidRPr="00EB2576">
        <w:rPr>
          <w:rFonts w:ascii="Times New Roman" w:hAnsi="Times New Roman" w:cs="Times New Roman"/>
          <w:sz w:val="24"/>
          <w:szCs w:val="24"/>
        </w:rPr>
        <w:t xml:space="preserve">for enrichment of the selected phage </w:t>
      </w:r>
      <w:r w:rsidR="00572F79" w:rsidRPr="00EB2576">
        <w:rPr>
          <w:rFonts w:ascii="Times New Roman" w:hAnsi="Times New Roman" w:cs="Times New Roman"/>
          <w:sz w:val="24"/>
          <w:szCs w:val="24"/>
        </w:rPr>
        <w:t>variants</w:t>
      </w:r>
      <w:r w:rsidR="00416681" w:rsidRPr="00EB2576">
        <w:rPr>
          <w:rFonts w:ascii="Times New Roman" w:hAnsi="Times New Roman" w:cs="Times New Roman"/>
          <w:sz w:val="24"/>
          <w:szCs w:val="24"/>
        </w:rPr>
        <w:t>.</w:t>
      </w:r>
      <w:r w:rsidR="00B961F2" w:rsidRPr="00EB2576">
        <w:rPr>
          <w:rFonts w:ascii="Times New Roman" w:hAnsi="Times New Roman" w:cs="Times New Roman"/>
          <w:sz w:val="24"/>
          <w:szCs w:val="24"/>
        </w:rPr>
        <w:t xml:space="preserve"> Due to the difficulties with the phage ELISA, a peptide ELISA of synthesised selected peptides would </w:t>
      </w:r>
      <w:r w:rsidR="005B01DC">
        <w:rPr>
          <w:rFonts w:ascii="Times New Roman" w:hAnsi="Times New Roman" w:cs="Times New Roman"/>
          <w:sz w:val="24"/>
          <w:szCs w:val="24"/>
        </w:rPr>
        <w:t xml:space="preserve">also </w:t>
      </w:r>
      <w:r w:rsidR="00B961F2" w:rsidRPr="00EB2576">
        <w:rPr>
          <w:rFonts w:ascii="Times New Roman" w:hAnsi="Times New Roman" w:cs="Times New Roman"/>
          <w:sz w:val="24"/>
          <w:szCs w:val="24"/>
        </w:rPr>
        <w:t>be an option to combat non-specific binding to phage.</w:t>
      </w:r>
    </w:p>
    <w:p w14:paraId="6EC8D282" w14:textId="5904A0E8" w:rsidR="00416681" w:rsidRPr="00EB2576" w:rsidRDefault="00416681" w:rsidP="004A3C1B">
      <w:pPr>
        <w:autoSpaceDE w:val="0"/>
        <w:autoSpaceDN w:val="0"/>
        <w:adjustRightInd w:val="0"/>
        <w:spacing w:after="0" w:line="480" w:lineRule="auto"/>
        <w:jc w:val="left"/>
        <w:rPr>
          <w:rFonts w:ascii="Times New Roman" w:hAnsi="Times New Roman" w:cs="Times New Roman"/>
          <w:sz w:val="24"/>
          <w:szCs w:val="24"/>
        </w:rPr>
      </w:pPr>
    </w:p>
    <w:p w14:paraId="40820589" w14:textId="16A891FD" w:rsidR="00BA46C1" w:rsidRPr="00EB2576" w:rsidRDefault="00A034F8" w:rsidP="00280ACB">
      <w:pPr>
        <w:autoSpaceDE w:val="0"/>
        <w:autoSpaceDN w:val="0"/>
        <w:adjustRightInd w:val="0"/>
        <w:spacing w:after="0" w:line="480" w:lineRule="auto"/>
        <w:jc w:val="left"/>
        <w:rPr>
          <w:rFonts w:ascii="Times New Roman" w:hAnsi="Times New Roman" w:cs="Times New Roman"/>
          <w:sz w:val="24"/>
          <w:szCs w:val="24"/>
        </w:rPr>
      </w:pPr>
      <w:r w:rsidRPr="00EB2576">
        <w:rPr>
          <w:rFonts w:ascii="Times New Roman" w:hAnsi="Times New Roman" w:cs="Times New Roman"/>
          <w:sz w:val="24"/>
          <w:szCs w:val="24"/>
        </w:rPr>
        <w:t>After the development of a</w:t>
      </w:r>
      <w:r w:rsidR="002C4A93" w:rsidRPr="00EB2576">
        <w:rPr>
          <w:rFonts w:ascii="Times New Roman" w:hAnsi="Times New Roman" w:cs="Times New Roman"/>
          <w:sz w:val="24"/>
          <w:szCs w:val="24"/>
        </w:rPr>
        <w:t>n</w:t>
      </w:r>
      <w:r w:rsidRPr="00EB2576">
        <w:rPr>
          <w:rFonts w:ascii="Times New Roman" w:hAnsi="Times New Roman" w:cs="Times New Roman"/>
          <w:sz w:val="24"/>
          <w:szCs w:val="24"/>
        </w:rPr>
        <w:t xml:space="preserve"> ELISA, </w:t>
      </w:r>
      <w:r w:rsidR="002C4A93" w:rsidRPr="00EB2576">
        <w:rPr>
          <w:rFonts w:ascii="Times New Roman" w:hAnsi="Times New Roman" w:cs="Times New Roman"/>
          <w:sz w:val="24"/>
          <w:szCs w:val="24"/>
        </w:rPr>
        <w:t xml:space="preserve">the enriched </w:t>
      </w:r>
      <w:r w:rsidR="00EC35B7" w:rsidRPr="00EB2576">
        <w:rPr>
          <w:rFonts w:ascii="Times New Roman" w:hAnsi="Times New Roman" w:cs="Times New Roman"/>
          <w:sz w:val="24"/>
          <w:szCs w:val="24"/>
        </w:rPr>
        <w:t xml:space="preserve">peptides </w:t>
      </w:r>
      <w:r w:rsidR="002358FD" w:rsidRPr="00EB2576">
        <w:rPr>
          <w:rFonts w:ascii="Times New Roman" w:hAnsi="Times New Roman" w:cs="Times New Roman"/>
          <w:sz w:val="24"/>
          <w:szCs w:val="24"/>
        </w:rPr>
        <w:t>would be s</w:t>
      </w:r>
      <w:r w:rsidR="00EC35B7" w:rsidRPr="00EB2576">
        <w:rPr>
          <w:rFonts w:ascii="Times New Roman" w:hAnsi="Times New Roman" w:cs="Times New Roman"/>
          <w:sz w:val="24"/>
          <w:szCs w:val="24"/>
        </w:rPr>
        <w:t xml:space="preserve">creened against a large selection of </w:t>
      </w:r>
      <w:r w:rsidR="007C58EF" w:rsidRPr="00EB2576">
        <w:rPr>
          <w:rFonts w:ascii="Times New Roman" w:hAnsi="Times New Roman" w:cs="Times New Roman"/>
          <w:sz w:val="24"/>
          <w:szCs w:val="24"/>
        </w:rPr>
        <w:t xml:space="preserve">ATI positive </w:t>
      </w:r>
      <w:r w:rsidR="00CC2D2C" w:rsidRPr="00EB2576">
        <w:rPr>
          <w:rFonts w:ascii="Times New Roman" w:hAnsi="Times New Roman" w:cs="Times New Roman"/>
          <w:sz w:val="24"/>
          <w:szCs w:val="24"/>
        </w:rPr>
        <w:t xml:space="preserve">IBD </w:t>
      </w:r>
      <w:r w:rsidR="00EC35B7" w:rsidRPr="00EB2576">
        <w:rPr>
          <w:rFonts w:ascii="Times New Roman" w:hAnsi="Times New Roman" w:cs="Times New Roman"/>
          <w:sz w:val="24"/>
          <w:szCs w:val="24"/>
        </w:rPr>
        <w:t xml:space="preserve">patients’ sera </w:t>
      </w:r>
      <w:r w:rsidR="007C58EF" w:rsidRPr="00EB2576">
        <w:rPr>
          <w:rFonts w:ascii="Times New Roman" w:hAnsi="Times New Roman" w:cs="Times New Roman"/>
          <w:sz w:val="24"/>
          <w:szCs w:val="24"/>
        </w:rPr>
        <w:t>with different clinical outcomes</w:t>
      </w:r>
      <w:r w:rsidR="00CC2D2C" w:rsidRPr="00EB2576">
        <w:rPr>
          <w:rFonts w:ascii="Times New Roman" w:hAnsi="Times New Roman" w:cs="Times New Roman"/>
          <w:sz w:val="24"/>
          <w:szCs w:val="24"/>
        </w:rPr>
        <w:t>. This would be</w:t>
      </w:r>
      <w:r w:rsidR="007C58EF" w:rsidRPr="00EB2576">
        <w:rPr>
          <w:rFonts w:ascii="Times New Roman" w:hAnsi="Times New Roman" w:cs="Times New Roman"/>
          <w:sz w:val="24"/>
          <w:szCs w:val="24"/>
        </w:rPr>
        <w:t xml:space="preserve"> </w:t>
      </w:r>
      <w:r w:rsidR="00EC35B7" w:rsidRPr="00EB2576">
        <w:rPr>
          <w:rFonts w:ascii="Times New Roman" w:hAnsi="Times New Roman" w:cs="Times New Roman"/>
          <w:sz w:val="24"/>
          <w:szCs w:val="24"/>
        </w:rPr>
        <w:t xml:space="preserve">to identify whether specific epitopes relate to specific clinical outcomes. In doing so, we may be able to </w:t>
      </w:r>
      <w:r w:rsidR="00A85C5D" w:rsidRPr="00EB2576">
        <w:rPr>
          <w:rFonts w:ascii="Times New Roman" w:hAnsi="Times New Roman" w:cs="Times New Roman"/>
          <w:sz w:val="24"/>
          <w:szCs w:val="24"/>
        </w:rPr>
        <w:t>clinically phenotype the epitopes</w:t>
      </w:r>
      <w:r w:rsidR="00870268">
        <w:rPr>
          <w:rFonts w:ascii="Times New Roman" w:hAnsi="Times New Roman" w:cs="Times New Roman"/>
          <w:sz w:val="24"/>
          <w:szCs w:val="24"/>
        </w:rPr>
        <w:t>, which could</w:t>
      </w:r>
      <w:r w:rsidR="00D54DD7" w:rsidRPr="00EB2576">
        <w:rPr>
          <w:rFonts w:ascii="Times New Roman" w:hAnsi="Times New Roman" w:cs="Times New Roman"/>
          <w:sz w:val="24"/>
          <w:szCs w:val="24"/>
        </w:rPr>
        <w:t xml:space="preserve"> help</w:t>
      </w:r>
      <w:r w:rsidR="000C4450" w:rsidRPr="00EB2576">
        <w:rPr>
          <w:rFonts w:ascii="Times New Roman" w:hAnsi="Times New Roman" w:cs="Times New Roman"/>
          <w:sz w:val="24"/>
          <w:szCs w:val="24"/>
        </w:rPr>
        <w:t xml:space="preserve"> </w:t>
      </w:r>
      <w:r w:rsidR="00D54DD7" w:rsidRPr="00EB2576">
        <w:rPr>
          <w:rFonts w:ascii="Times New Roman" w:hAnsi="Times New Roman" w:cs="Times New Roman"/>
          <w:sz w:val="24"/>
          <w:szCs w:val="24"/>
        </w:rPr>
        <w:t xml:space="preserve">understand why a range of clinical outcomes are seen in </w:t>
      </w:r>
      <w:r w:rsidR="00870268">
        <w:rPr>
          <w:rFonts w:ascii="Times New Roman" w:hAnsi="Times New Roman" w:cs="Times New Roman"/>
          <w:sz w:val="24"/>
          <w:szCs w:val="24"/>
        </w:rPr>
        <w:t xml:space="preserve">IBD patients with </w:t>
      </w:r>
      <w:r w:rsidR="00D54DD7" w:rsidRPr="00EB2576">
        <w:rPr>
          <w:rFonts w:ascii="Times New Roman" w:hAnsi="Times New Roman" w:cs="Times New Roman"/>
          <w:sz w:val="24"/>
          <w:szCs w:val="24"/>
        </w:rPr>
        <w:t xml:space="preserve">ATI </w:t>
      </w:r>
      <w:proofErr w:type="spellStart"/>
      <w:r w:rsidR="00D54DD7" w:rsidRPr="00EB2576">
        <w:rPr>
          <w:rFonts w:ascii="Times New Roman" w:hAnsi="Times New Roman" w:cs="Times New Roman"/>
          <w:sz w:val="24"/>
          <w:szCs w:val="24"/>
        </w:rPr>
        <w:t>ie</w:t>
      </w:r>
      <w:proofErr w:type="spellEnd"/>
      <w:r w:rsidR="00D54DD7" w:rsidRPr="00EB2576">
        <w:rPr>
          <w:rFonts w:ascii="Times New Roman" w:hAnsi="Times New Roman" w:cs="Times New Roman"/>
          <w:sz w:val="24"/>
          <w:szCs w:val="24"/>
        </w:rPr>
        <w:t xml:space="preserve"> </w:t>
      </w:r>
      <w:r w:rsidR="00604442" w:rsidRPr="00EB2576">
        <w:rPr>
          <w:rFonts w:ascii="Times New Roman" w:hAnsi="Times New Roman" w:cs="Times New Roman"/>
          <w:sz w:val="24"/>
          <w:szCs w:val="24"/>
        </w:rPr>
        <w:t xml:space="preserve">the epitopes </w:t>
      </w:r>
      <w:r w:rsidR="002978F2" w:rsidRPr="00EB2576">
        <w:rPr>
          <w:rFonts w:ascii="Times New Roman" w:hAnsi="Times New Roman" w:cs="Times New Roman"/>
          <w:sz w:val="24"/>
          <w:szCs w:val="24"/>
        </w:rPr>
        <w:t xml:space="preserve">overlapping CDR </w:t>
      </w:r>
      <w:r w:rsidR="002F2AFC" w:rsidRPr="00EB2576">
        <w:rPr>
          <w:rFonts w:ascii="Times New Roman" w:hAnsi="Times New Roman" w:cs="Times New Roman"/>
          <w:sz w:val="24"/>
          <w:szCs w:val="24"/>
        </w:rPr>
        <w:t xml:space="preserve">may be associated with loss of response and </w:t>
      </w:r>
      <w:r w:rsidR="00604442" w:rsidRPr="00EB2576">
        <w:rPr>
          <w:rFonts w:ascii="Times New Roman" w:hAnsi="Times New Roman" w:cs="Times New Roman"/>
          <w:sz w:val="24"/>
          <w:szCs w:val="24"/>
        </w:rPr>
        <w:t>those in other regions</w:t>
      </w:r>
      <w:r w:rsidR="002F2AFC" w:rsidRPr="00EB2576">
        <w:rPr>
          <w:rFonts w:ascii="Times New Roman" w:hAnsi="Times New Roman" w:cs="Times New Roman"/>
          <w:sz w:val="24"/>
          <w:szCs w:val="24"/>
        </w:rPr>
        <w:t xml:space="preserve"> may be associated with reduced drug levels or adverse drug reactions. In </w:t>
      </w:r>
      <w:r w:rsidR="00EC35B7" w:rsidRPr="00EB2576">
        <w:rPr>
          <w:rFonts w:ascii="Times New Roman" w:hAnsi="Times New Roman" w:cs="Times New Roman"/>
          <w:sz w:val="24"/>
          <w:szCs w:val="24"/>
        </w:rPr>
        <w:t>identify</w:t>
      </w:r>
      <w:r w:rsidR="002F2AFC" w:rsidRPr="00EB2576">
        <w:rPr>
          <w:rFonts w:ascii="Times New Roman" w:hAnsi="Times New Roman" w:cs="Times New Roman"/>
          <w:sz w:val="24"/>
          <w:szCs w:val="24"/>
        </w:rPr>
        <w:t>ing</w:t>
      </w:r>
      <w:r w:rsidR="00EC35B7" w:rsidRPr="00EB2576">
        <w:rPr>
          <w:rFonts w:ascii="Times New Roman" w:hAnsi="Times New Roman" w:cs="Times New Roman"/>
          <w:sz w:val="24"/>
          <w:szCs w:val="24"/>
        </w:rPr>
        <w:t xml:space="preserve"> an epitope associated with loss of response</w:t>
      </w:r>
      <w:r w:rsidR="002F2AFC" w:rsidRPr="00EB2576">
        <w:rPr>
          <w:rFonts w:ascii="Times New Roman" w:hAnsi="Times New Roman" w:cs="Times New Roman"/>
          <w:sz w:val="24"/>
          <w:szCs w:val="24"/>
        </w:rPr>
        <w:t xml:space="preserve"> to infliximab, this could then be used as </w:t>
      </w:r>
      <w:r w:rsidR="00EC35B7" w:rsidRPr="00EB2576">
        <w:rPr>
          <w:rFonts w:ascii="Times New Roman" w:hAnsi="Times New Roman" w:cs="Times New Roman"/>
          <w:sz w:val="24"/>
          <w:szCs w:val="24"/>
        </w:rPr>
        <w:t xml:space="preserve">a biomarker. </w:t>
      </w:r>
      <w:r w:rsidR="003C4994" w:rsidRPr="00EB2576">
        <w:rPr>
          <w:rFonts w:ascii="Times New Roman" w:hAnsi="Times New Roman" w:cs="Times New Roman"/>
          <w:sz w:val="24"/>
          <w:szCs w:val="24"/>
        </w:rPr>
        <w:t xml:space="preserve">Infliximab remains a highly effective treatment for patients with IBD. The onset of infliximab biosimilars means it </w:t>
      </w:r>
      <w:r w:rsidR="00A744AD" w:rsidRPr="00EB2576">
        <w:rPr>
          <w:rFonts w:ascii="Times New Roman" w:hAnsi="Times New Roman" w:cs="Times New Roman"/>
          <w:sz w:val="24"/>
          <w:szCs w:val="24"/>
        </w:rPr>
        <w:t xml:space="preserve">has also become a cost-effective option compared to other monoclonal antibodies licensed for IBD. </w:t>
      </w:r>
      <w:r w:rsidR="00716887" w:rsidRPr="00EB2576">
        <w:rPr>
          <w:rFonts w:ascii="Times New Roman" w:hAnsi="Times New Roman" w:cs="Times New Roman"/>
          <w:sz w:val="24"/>
          <w:szCs w:val="24"/>
        </w:rPr>
        <w:t xml:space="preserve">As ATI are common during infliximab treatment, </w:t>
      </w:r>
      <w:r w:rsidR="00963F4A" w:rsidRPr="00EB2576">
        <w:rPr>
          <w:rFonts w:ascii="Times New Roman" w:hAnsi="Times New Roman" w:cs="Times New Roman"/>
          <w:sz w:val="24"/>
          <w:szCs w:val="24"/>
        </w:rPr>
        <w:t>i</w:t>
      </w:r>
      <w:r w:rsidR="00A744AD" w:rsidRPr="00EB2576">
        <w:rPr>
          <w:rFonts w:ascii="Times New Roman" w:hAnsi="Times New Roman" w:cs="Times New Roman"/>
          <w:sz w:val="24"/>
          <w:szCs w:val="24"/>
        </w:rPr>
        <w:t>dentifying a biomarker associated with loss of response to infliximab</w:t>
      </w:r>
      <w:r w:rsidR="00EC35B7" w:rsidRPr="00EB2576">
        <w:rPr>
          <w:rFonts w:ascii="Times New Roman" w:hAnsi="Times New Roman" w:cs="Times New Roman"/>
          <w:sz w:val="24"/>
          <w:szCs w:val="24"/>
        </w:rPr>
        <w:t xml:space="preserve"> would aid in </w:t>
      </w:r>
      <w:r w:rsidR="00BA46C1" w:rsidRPr="00EB2576">
        <w:rPr>
          <w:rFonts w:ascii="Times New Roman" w:hAnsi="Times New Roman" w:cs="Times New Roman"/>
          <w:sz w:val="24"/>
          <w:szCs w:val="24"/>
        </w:rPr>
        <w:t xml:space="preserve">guiding and </w:t>
      </w:r>
      <w:r w:rsidR="00EC35B7" w:rsidRPr="00EB2576">
        <w:rPr>
          <w:rFonts w:ascii="Times New Roman" w:hAnsi="Times New Roman" w:cs="Times New Roman"/>
          <w:sz w:val="24"/>
          <w:szCs w:val="24"/>
        </w:rPr>
        <w:t>individualising treatment decisions when ATI are encountered</w:t>
      </w:r>
      <w:r w:rsidR="00C36812" w:rsidRPr="00EB2576">
        <w:rPr>
          <w:rFonts w:ascii="Times New Roman" w:hAnsi="Times New Roman" w:cs="Times New Roman"/>
          <w:sz w:val="24"/>
          <w:szCs w:val="24"/>
        </w:rPr>
        <w:t xml:space="preserve">. </w:t>
      </w:r>
      <w:r w:rsidR="00A773C5" w:rsidRPr="00EB2576">
        <w:rPr>
          <w:rFonts w:ascii="Times New Roman" w:hAnsi="Times New Roman" w:cs="Times New Roman"/>
          <w:sz w:val="24"/>
          <w:szCs w:val="24"/>
        </w:rPr>
        <w:t xml:space="preserve"> </w:t>
      </w:r>
      <w:r w:rsidR="00EC35B7" w:rsidRPr="00EB2576">
        <w:rPr>
          <w:rFonts w:ascii="Times New Roman" w:hAnsi="Times New Roman" w:cs="Times New Roman"/>
          <w:sz w:val="24"/>
          <w:szCs w:val="24"/>
        </w:rPr>
        <w:t xml:space="preserve"> </w:t>
      </w:r>
      <w:r w:rsidR="00CC2D2C" w:rsidRPr="00EB2576">
        <w:rPr>
          <w:rFonts w:ascii="Times New Roman" w:hAnsi="Times New Roman" w:cs="Times New Roman"/>
          <w:sz w:val="24"/>
          <w:szCs w:val="24"/>
        </w:rPr>
        <w:t xml:space="preserve"> </w:t>
      </w:r>
    </w:p>
    <w:p w14:paraId="563D7A8B" w14:textId="6BC263C0" w:rsidR="0025158C" w:rsidRPr="00EB2576" w:rsidRDefault="0025158C" w:rsidP="0025158C">
      <w:pPr>
        <w:pStyle w:val="Heading1"/>
        <w:rPr>
          <w:rFonts w:ascii="Times New Roman" w:hAnsi="Times New Roman" w:cs="Times New Roman"/>
        </w:rPr>
      </w:pPr>
      <w:bookmarkStart w:id="327" w:name="_Toc151020556"/>
      <w:r w:rsidRPr="00EB2576">
        <w:rPr>
          <w:rFonts w:ascii="Times New Roman" w:hAnsi="Times New Roman" w:cs="Times New Roman"/>
        </w:rPr>
        <w:lastRenderedPageBreak/>
        <w:t>Bibliography</w:t>
      </w:r>
      <w:bookmarkEnd w:id="327"/>
    </w:p>
    <w:p w14:paraId="68477EFA" w14:textId="77777777" w:rsidR="00784029" w:rsidRPr="00EB2576" w:rsidRDefault="00784029" w:rsidP="00ED4544">
      <w:pPr>
        <w:spacing w:line="240" w:lineRule="auto"/>
        <w:rPr>
          <w:rFonts w:ascii="Times New Roman" w:hAnsi="Times New Roman" w:cs="Times New Roman"/>
          <w:b/>
          <w:sz w:val="24"/>
          <w:szCs w:val="24"/>
        </w:rPr>
      </w:pPr>
    </w:p>
    <w:p w14:paraId="7AF5CA11" w14:textId="4D1EB6A5" w:rsidR="00F12FD6" w:rsidRPr="00EB2576" w:rsidRDefault="00F47367"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b/>
          <w:sz w:val="24"/>
          <w:szCs w:val="24"/>
        </w:rPr>
        <w:fldChar w:fldCharType="begin" w:fldLock="1"/>
      </w:r>
      <w:r w:rsidRPr="00EB2576">
        <w:rPr>
          <w:rFonts w:ascii="Times New Roman" w:hAnsi="Times New Roman" w:cs="Times New Roman"/>
          <w:b/>
          <w:sz w:val="24"/>
          <w:szCs w:val="24"/>
        </w:rPr>
        <w:instrText xml:space="preserve">ADDIN Mendeley Bibliography CSL_BIBLIOGRAPHY </w:instrText>
      </w:r>
      <w:r w:rsidRPr="00EB2576">
        <w:rPr>
          <w:rFonts w:ascii="Times New Roman" w:hAnsi="Times New Roman" w:cs="Times New Roman"/>
          <w:b/>
          <w:sz w:val="24"/>
          <w:szCs w:val="24"/>
        </w:rPr>
        <w:fldChar w:fldCharType="separate"/>
      </w:r>
      <w:r w:rsidR="00F12FD6" w:rsidRPr="00EB2576">
        <w:rPr>
          <w:rFonts w:ascii="Times New Roman" w:hAnsi="Times New Roman" w:cs="Times New Roman"/>
          <w:noProof/>
          <w:sz w:val="24"/>
          <w:szCs w:val="24"/>
        </w:rPr>
        <w:t>1.</w:t>
      </w:r>
      <w:r w:rsidR="00F12FD6" w:rsidRPr="00EB2576">
        <w:rPr>
          <w:rFonts w:ascii="Times New Roman" w:hAnsi="Times New Roman" w:cs="Times New Roman"/>
          <w:noProof/>
          <w:sz w:val="24"/>
          <w:szCs w:val="24"/>
        </w:rPr>
        <w:tab/>
        <w:t xml:space="preserve">Price, A. B. Overlap in the spectrum of non-specific inflammatory bowel disease--’colitis indeterminate’. </w:t>
      </w:r>
      <w:r w:rsidR="00F12FD6" w:rsidRPr="00EB2576">
        <w:rPr>
          <w:rFonts w:ascii="Times New Roman" w:hAnsi="Times New Roman" w:cs="Times New Roman"/>
          <w:i/>
          <w:iCs/>
          <w:noProof/>
          <w:sz w:val="24"/>
          <w:szCs w:val="24"/>
        </w:rPr>
        <w:t>J. Clin. Pathol.</w:t>
      </w:r>
      <w:r w:rsidR="00F12FD6" w:rsidRPr="00EB2576">
        <w:rPr>
          <w:rFonts w:ascii="Times New Roman" w:hAnsi="Times New Roman" w:cs="Times New Roman"/>
          <w:noProof/>
          <w:sz w:val="24"/>
          <w:szCs w:val="24"/>
        </w:rPr>
        <w:t xml:space="preserve"> </w:t>
      </w:r>
      <w:r w:rsidR="00F12FD6" w:rsidRPr="00EB2576">
        <w:rPr>
          <w:rFonts w:ascii="Times New Roman" w:hAnsi="Times New Roman" w:cs="Times New Roman"/>
          <w:b/>
          <w:bCs/>
          <w:noProof/>
          <w:sz w:val="24"/>
          <w:szCs w:val="24"/>
        </w:rPr>
        <w:t>31</w:t>
      </w:r>
      <w:r w:rsidR="00F12FD6" w:rsidRPr="00EB2576">
        <w:rPr>
          <w:rFonts w:ascii="Times New Roman" w:hAnsi="Times New Roman" w:cs="Times New Roman"/>
          <w:noProof/>
          <w:sz w:val="24"/>
          <w:szCs w:val="24"/>
        </w:rPr>
        <w:t>, 567–577 (1978).</w:t>
      </w:r>
    </w:p>
    <w:p w14:paraId="4255E6B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w:t>
      </w:r>
      <w:r w:rsidRPr="00EB2576">
        <w:rPr>
          <w:rFonts w:ascii="Times New Roman" w:hAnsi="Times New Roman" w:cs="Times New Roman"/>
          <w:noProof/>
          <w:sz w:val="24"/>
          <w:szCs w:val="24"/>
        </w:rPr>
        <w:tab/>
        <w:t xml:space="preserve">Carter, M. J., Lobo, A. J., Travis, S. P. L. &amp; IBD Section, B. S. of G. Guidelines for the management of inflammatory bowel disease in adults.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53 Suppl 5</w:t>
      </w:r>
      <w:r w:rsidRPr="00EB2576">
        <w:rPr>
          <w:rFonts w:ascii="Times New Roman" w:hAnsi="Times New Roman" w:cs="Times New Roman"/>
          <w:noProof/>
          <w:sz w:val="24"/>
          <w:szCs w:val="24"/>
        </w:rPr>
        <w:t>, V1-16 (2004).</w:t>
      </w:r>
    </w:p>
    <w:p w14:paraId="74819E2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w:t>
      </w:r>
      <w:r w:rsidRPr="00EB2576">
        <w:rPr>
          <w:rFonts w:ascii="Times New Roman" w:hAnsi="Times New Roman" w:cs="Times New Roman"/>
          <w:noProof/>
          <w:sz w:val="24"/>
          <w:szCs w:val="24"/>
        </w:rPr>
        <w:tab/>
        <w:t xml:space="preserve">Molodecky, N. A.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Increasing Incidence and Prevalence of the Inflammatory Bowel Diseases With Time, Based on Systematic Review.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142</w:t>
      </w:r>
      <w:r w:rsidRPr="00EB2576">
        <w:rPr>
          <w:rFonts w:ascii="Times New Roman" w:hAnsi="Times New Roman" w:cs="Times New Roman"/>
          <w:noProof/>
          <w:sz w:val="24"/>
          <w:szCs w:val="24"/>
        </w:rPr>
        <w:t>, 46-54.e42 (2012).</w:t>
      </w:r>
    </w:p>
    <w:p w14:paraId="2B9E030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w:t>
      </w:r>
      <w:r w:rsidRPr="00EB2576">
        <w:rPr>
          <w:rFonts w:ascii="Times New Roman" w:hAnsi="Times New Roman" w:cs="Times New Roman"/>
          <w:noProof/>
          <w:sz w:val="24"/>
          <w:szCs w:val="24"/>
        </w:rPr>
        <w:tab/>
        <w:t xml:space="preserve">Cosnes, J., Gower–Rousseau, C., Seksik, P. &amp; Cortot, A. Epidemiology and Natural History of Inflammatory Bowel Diseases.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140</w:t>
      </w:r>
      <w:r w:rsidRPr="00EB2576">
        <w:rPr>
          <w:rFonts w:ascii="Times New Roman" w:hAnsi="Times New Roman" w:cs="Times New Roman"/>
          <w:noProof/>
          <w:sz w:val="24"/>
          <w:szCs w:val="24"/>
        </w:rPr>
        <w:t>, 1785-1794.e4 (2011).</w:t>
      </w:r>
    </w:p>
    <w:p w14:paraId="67E820B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w:t>
      </w:r>
      <w:r w:rsidRPr="00EB2576">
        <w:rPr>
          <w:rFonts w:ascii="Times New Roman" w:hAnsi="Times New Roman" w:cs="Times New Roman"/>
          <w:noProof/>
          <w:sz w:val="24"/>
          <w:szCs w:val="24"/>
        </w:rPr>
        <w:tab/>
        <w:t xml:space="preserve">Ogura, Y.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frameshift mutation in NOD2 associated with susceptibility to Crohn’s disease. </w:t>
      </w:r>
      <w:r w:rsidRPr="00EB2576">
        <w:rPr>
          <w:rFonts w:ascii="Times New Roman" w:hAnsi="Times New Roman" w:cs="Times New Roman"/>
          <w:i/>
          <w:iCs/>
          <w:noProof/>
          <w:sz w:val="24"/>
          <w:szCs w:val="24"/>
        </w:rPr>
        <w:t>Nature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411</w:t>
      </w:r>
      <w:r w:rsidRPr="00EB2576">
        <w:rPr>
          <w:rFonts w:ascii="Times New Roman" w:hAnsi="Times New Roman" w:cs="Times New Roman"/>
          <w:noProof/>
          <w:sz w:val="24"/>
          <w:szCs w:val="24"/>
        </w:rPr>
        <w:t>, 603–606 (2001).</w:t>
      </w:r>
    </w:p>
    <w:p w14:paraId="4F3B737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w:t>
      </w:r>
      <w:r w:rsidRPr="00EB2576">
        <w:rPr>
          <w:rFonts w:ascii="Times New Roman" w:hAnsi="Times New Roman" w:cs="Times New Roman"/>
          <w:noProof/>
          <w:sz w:val="24"/>
          <w:szCs w:val="24"/>
        </w:rPr>
        <w:tab/>
        <w:t xml:space="preserve">de Lange, K.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Genome-wide association study implicates immune activation of multiple integrin genes in inflammatory bowel disease. </w:t>
      </w:r>
      <w:r w:rsidRPr="00EB2576">
        <w:rPr>
          <w:rFonts w:ascii="Times New Roman" w:hAnsi="Times New Roman" w:cs="Times New Roman"/>
          <w:i/>
          <w:iCs/>
          <w:noProof/>
          <w:sz w:val="24"/>
          <w:szCs w:val="24"/>
        </w:rPr>
        <w:t>Nat. Genet.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49</w:t>
      </w:r>
      <w:r w:rsidRPr="00EB2576">
        <w:rPr>
          <w:rFonts w:ascii="Times New Roman" w:hAnsi="Times New Roman" w:cs="Times New Roman"/>
          <w:noProof/>
          <w:sz w:val="24"/>
          <w:szCs w:val="24"/>
        </w:rPr>
        <w:t>, 256–261 (2017).</w:t>
      </w:r>
    </w:p>
    <w:p w14:paraId="36C90FB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w:t>
      </w:r>
      <w:r w:rsidRPr="00EB2576">
        <w:rPr>
          <w:rFonts w:ascii="Times New Roman" w:hAnsi="Times New Roman" w:cs="Times New Roman"/>
          <w:noProof/>
          <w:sz w:val="24"/>
          <w:szCs w:val="24"/>
        </w:rPr>
        <w:tab/>
        <w:t xml:space="preserve">Kelsen, J. R., Russo, P. &amp; Sullivan, K. E. Early-Onset Inflammatory Bowel Disease. </w:t>
      </w:r>
      <w:r w:rsidRPr="00EB2576">
        <w:rPr>
          <w:rFonts w:ascii="Times New Roman" w:hAnsi="Times New Roman" w:cs="Times New Roman"/>
          <w:i/>
          <w:iCs/>
          <w:noProof/>
          <w:sz w:val="24"/>
          <w:szCs w:val="24"/>
        </w:rPr>
        <w:t>Immunol. Allergy Clin. North Am.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39</w:t>
      </w:r>
      <w:r w:rsidRPr="00EB2576">
        <w:rPr>
          <w:rFonts w:ascii="Times New Roman" w:hAnsi="Times New Roman" w:cs="Times New Roman"/>
          <w:noProof/>
          <w:sz w:val="24"/>
          <w:szCs w:val="24"/>
        </w:rPr>
        <w:t>, 63–79 (2019).</w:t>
      </w:r>
    </w:p>
    <w:p w14:paraId="5A6CD2D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w:t>
      </w:r>
      <w:r w:rsidRPr="00EB2576">
        <w:rPr>
          <w:rFonts w:ascii="Times New Roman" w:hAnsi="Times New Roman" w:cs="Times New Roman"/>
          <w:noProof/>
          <w:sz w:val="24"/>
          <w:szCs w:val="24"/>
        </w:rPr>
        <w:tab/>
        <w:t xml:space="preserve">Liu, Z.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Genetic architecture of the inflammatory bowel diseases across East Asian and European ancestries. </w:t>
      </w:r>
      <w:r w:rsidRPr="00EB2576">
        <w:rPr>
          <w:rFonts w:ascii="Times New Roman" w:hAnsi="Times New Roman" w:cs="Times New Roman"/>
          <w:i/>
          <w:iCs/>
          <w:noProof/>
          <w:sz w:val="24"/>
          <w:szCs w:val="24"/>
        </w:rPr>
        <w:t>Nat. Genet.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55</w:t>
      </w:r>
      <w:r w:rsidRPr="00EB2576">
        <w:rPr>
          <w:rFonts w:ascii="Times New Roman" w:hAnsi="Times New Roman" w:cs="Times New Roman"/>
          <w:noProof/>
          <w:sz w:val="24"/>
          <w:szCs w:val="24"/>
        </w:rPr>
        <w:t>, 796–806 (2023).</w:t>
      </w:r>
    </w:p>
    <w:p w14:paraId="1BE2845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w:t>
      </w:r>
      <w:r w:rsidRPr="00EB2576">
        <w:rPr>
          <w:rFonts w:ascii="Times New Roman" w:hAnsi="Times New Roman" w:cs="Times New Roman"/>
          <w:noProof/>
          <w:sz w:val="24"/>
          <w:szCs w:val="24"/>
        </w:rPr>
        <w:tab/>
        <w:t xml:space="preserve">Economou, M., Trikalinos, T. A., Loizou, K. T., Tsianos, E. V. &amp; Ioannidis, J. P. A. Differential Effects of NOD2 Variants on Crohn’s Disease Risk and Phenotype in Diverse Populations: A Metaanalysis. </w:t>
      </w:r>
      <w:r w:rsidRPr="00EB2576">
        <w:rPr>
          <w:rFonts w:ascii="Times New Roman" w:hAnsi="Times New Roman" w:cs="Times New Roman"/>
          <w:i/>
          <w:iCs/>
          <w:noProof/>
          <w:sz w:val="24"/>
          <w:szCs w:val="24"/>
        </w:rPr>
        <w:t>Am.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99</w:t>
      </w:r>
      <w:r w:rsidRPr="00EB2576">
        <w:rPr>
          <w:rFonts w:ascii="Times New Roman" w:hAnsi="Times New Roman" w:cs="Times New Roman"/>
          <w:noProof/>
          <w:sz w:val="24"/>
          <w:szCs w:val="24"/>
        </w:rPr>
        <w:t>, 2393–2404 (2004).</w:t>
      </w:r>
    </w:p>
    <w:p w14:paraId="5BFCA4F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w:t>
      </w:r>
      <w:r w:rsidRPr="00EB2576">
        <w:rPr>
          <w:rFonts w:ascii="Times New Roman" w:hAnsi="Times New Roman" w:cs="Times New Roman"/>
          <w:noProof/>
          <w:sz w:val="24"/>
          <w:szCs w:val="24"/>
        </w:rPr>
        <w:tab/>
        <w:t xml:space="preserve">Biasci, D.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blood-based prognostic biomarker in IBD.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68</w:t>
      </w:r>
      <w:r w:rsidRPr="00EB2576">
        <w:rPr>
          <w:rFonts w:ascii="Times New Roman" w:hAnsi="Times New Roman" w:cs="Times New Roman"/>
          <w:noProof/>
          <w:sz w:val="24"/>
          <w:szCs w:val="24"/>
        </w:rPr>
        <w:t>, 1386–1395 (2019).</w:t>
      </w:r>
    </w:p>
    <w:p w14:paraId="0651BF5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w:t>
      </w:r>
      <w:r w:rsidRPr="00EB2576">
        <w:rPr>
          <w:rFonts w:ascii="Times New Roman" w:hAnsi="Times New Roman" w:cs="Times New Roman"/>
          <w:noProof/>
          <w:sz w:val="24"/>
          <w:szCs w:val="24"/>
        </w:rPr>
        <w:tab/>
        <w:t xml:space="preserve">Orholm,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Familial Occurrence of Inflammatory Bowel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324</w:t>
      </w:r>
      <w:r w:rsidRPr="00EB2576">
        <w:rPr>
          <w:rFonts w:ascii="Times New Roman" w:hAnsi="Times New Roman" w:cs="Times New Roman"/>
          <w:noProof/>
          <w:sz w:val="24"/>
          <w:szCs w:val="24"/>
        </w:rPr>
        <w:t>, 84–88 (1991).</w:t>
      </w:r>
    </w:p>
    <w:p w14:paraId="0926797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w:t>
      </w:r>
      <w:r w:rsidRPr="00EB2576">
        <w:rPr>
          <w:rFonts w:ascii="Times New Roman" w:hAnsi="Times New Roman" w:cs="Times New Roman"/>
          <w:noProof/>
          <w:sz w:val="24"/>
          <w:szCs w:val="24"/>
        </w:rPr>
        <w:tab/>
        <w:t xml:space="preserve">Sartor, R. B. &amp; Mazmanian, S. K. Intestinal Microbes in Inflammatory Bowel Diseases. </w:t>
      </w:r>
      <w:r w:rsidRPr="00EB2576">
        <w:rPr>
          <w:rFonts w:ascii="Times New Roman" w:hAnsi="Times New Roman" w:cs="Times New Roman"/>
          <w:i/>
          <w:iCs/>
          <w:noProof/>
          <w:sz w:val="24"/>
          <w:szCs w:val="24"/>
        </w:rPr>
        <w:t>Am. J. Gastroenterol. Suppl.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w:t>
      </w:r>
      <w:r w:rsidRPr="00EB2576">
        <w:rPr>
          <w:rFonts w:ascii="Times New Roman" w:hAnsi="Times New Roman" w:cs="Times New Roman"/>
          <w:noProof/>
          <w:sz w:val="24"/>
          <w:szCs w:val="24"/>
        </w:rPr>
        <w:t>, 15–21 (2012).</w:t>
      </w:r>
    </w:p>
    <w:p w14:paraId="240EDD0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w:t>
      </w:r>
      <w:r w:rsidRPr="00EB2576">
        <w:rPr>
          <w:rFonts w:ascii="Times New Roman" w:hAnsi="Times New Roman" w:cs="Times New Roman"/>
          <w:noProof/>
          <w:sz w:val="24"/>
          <w:szCs w:val="24"/>
        </w:rPr>
        <w:tab/>
        <w:t xml:space="preserve">Zheng, D., Liwinski, T. &amp; Elinav, E. Interaction between microbiota and immunity in health and disease. </w:t>
      </w:r>
      <w:r w:rsidRPr="00EB2576">
        <w:rPr>
          <w:rFonts w:ascii="Times New Roman" w:hAnsi="Times New Roman" w:cs="Times New Roman"/>
          <w:i/>
          <w:iCs/>
          <w:noProof/>
          <w:sz w:val="24"/>
          <w:szCs w:val="24"/>
        </w:rPr>
        <w:t>Cell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30</w:t>
      </w:r>
      <w:r w:rsidRPr="00EB2576">
        <w:rPr>
          <w:rFonts w:ascii="Times New Roman" w:hAnsi="Times New Roman" w:cs="Times New Roman"/>
          <w:noProof/>
          <w:sz w:val="24"/>
          <w:szCs w:val="24"/>
        </w:rPr>
        <w:t>, 492–506 (2020).</w:t>
      </w:r>
    </w:p>
    <w:p w14:paraId="6941B5E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w:t>
      </w:r>
      <w:r w:rsidRPr="00EB2576">
        <w:rPr>
          <w:rFonts w:ascii="Times New Roman" w:hAnsi="Times New Roman" w:cs="Times New Roman"/>
          <w:noProof/>
          <w:sz w:val="24"/>
          <w:szCs w:val="24"/>
        </w:rPr>
        <w:tab/>
        <w:t xml:space="preserve">Sasaki, M. &amp; Klapproth, J.-M. A. The Role of Bacteria in the Pathogenesis of Ulcerative Colitis. </w:t>
      </w:r>
      <w:r w:rsidRPr="00EB2576">
        <w:rPr>
          <w:rFonts w:ascii="Times New Roman" w:hAnsi="Times New Roman" w:cs="Times New Roman"/>
          <w:i/>
          <w:iCs/>
          <w:noProof/>
          <w:sz w:val="24"/>
          <w:szCs w:val="24"/>
        </w:rPr>
        <w:t>J. Signal Transduct.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2012</w:t>
      </w:r>
      <w:r w:rsidRPr="00EB2576">
        <w:rPr>
          <w:rFonts w:ascii="Times New Roman" w:hAnsi="Times New Roman" w:cs="Times New Roman"/>
          <w:noProof/>
          <w:sz w:val="24"/>
          <w:szCs w:val="24"/>
        </w:rPr>
        <w:t>, 1–6 (2012).</w:t>
      </w:r>
    </w:p>
    <w:p w14:paraId="18ED05E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w:t>
      </w:r>
      <w:r w:rsidRPr="00EB2576">
        <w:rPr>
          <w:rFonts w:ascii="Times New Roman" w:hAnsi="Times New Roman" w:cs="Times New Roman"/>
          <w:noProof/>
          <w:sz w:val="24"/>
          <w:szCs w:val="24"/>
        </w:rPr>
        <w:tab/>
        <w:t xml:space="preserve">Cottone,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Smoking habits and recurrence in Crohn’s disease.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106</w:t>
      </w:r>
      <w:r w:rsidRPr="00EB2576">
        <w:rPr>
          <w:rFonts w:ascii="Times New Roman" w:hAnsi="Times New Roman" w:cs="Times New Roman"/>
          <w:noProof/>
          <w:sz w:val="24"/>
          <w:szCs w:val="24"/>
        </w:rPr>
        <w:t>, 643–648 (1994).</w:t>
      </w:r>
    </w:p>
    <w:p w14:paraId="58089A0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w:t>
      </w:r>
      <w:r w:rsidRPr="00EB2576">
        <w:rPr>
          <w:rFonts w:ascii="Times New Roman" w:hAnsi="Times New Roman" w:cs="Times New Roman"/>
          <w:noProof/>
          <w:sz w:val="24"/>
          <w:szCs w:val="24"/>
        </w:rPr>
        <w:tab/>
        <w:t xml:space="preserve">Thomas, G. A. O. Role of smoking in inflammatory bowel disease: implications for therapy. </w:t>
      </w:r>
      <w:r w:rsidRPr="00EB2576">
        <w:rPr>
          <w:rFonts w:ascii="Times New Roman" w:hAnsi="Times New Roman" w:cs="Times New Roman"/>
          <w:i/>
          <w:iCs/>
          <w:noProof/>
          <w:sz w:val="24"/>
          <w:szCs w:val="24"/>
        </w:rPr>
        <w:t>Postgrad. Med. J.</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76</w:t>
      </w:r>
      <w:r w:rsidRPr="00EB2576">
        <w:rPr>
          <w:rFonts w:ascii="Times New Roman" w:hAnsi="Times New Roman" w:cs="Times New Roman"/>
          <w:noProof/>
          <w:sz w:val="24"/>
          <w:szCs w:val="24"/>
        </w:rPr>
        <w:t>, 273–279 (2000).</w:t>
      </w:r>
    </w:p>
    <w:p w14:paraId="5D0ADFD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w:t>
      </w:r>
      <w:r w:rsidRPr="00EB2576">
        <w:rPr>
          <w:rFonts w:ascii="Times New Roman" w:hAnsi="Times New Roman" w:cs="Times New Roman"/>
          <w:noProof/>
          <w:sz w:val="24"/>
          <w:szCs w:val="24"/>
        </w:rPr>
        <w:tab/>
        <w:t xml:space="preserve">Lamb, C. A.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British Society of Gastroenterology consensus guidelines on the management of inflammatory bowel disease in adults.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68</w:t>
      </w:r>
      <w:r w:rsidRPr="00EB2576">
        <w:rPr>
          <w:rFonts w:ascii="Times New Roman" w:hAnsi="Times New Roman" w:cs="Times New Roman"/>
          <w:noProof/>
          <w:sz w:val="24"/>
          <w:szCs w:val="24"/>
        </w:rPr>
        <w:t>, s1–s106 (2019).</w:t>
      </w:r>
    </w:p>
    <w:p w14:paraId="0539B29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w:t>
      </w:r>
      <w:r w:rsidRPr="00EB2576">
        <w:rPr>
          <w:rFonts w:ascii="Times New Roman" w:hAnsi="Times New Roman" w:cs="Times New Roman"/>
          <w:noProof/>
          <w:sz w:val="24"/>
          <w:szCs w:val="24"/>
        </w:rPr>
        <w:tab/>
        <w:t xml:space="preserve">Feakins, R. M. Inflammatory bowel disease biopsies: updated British Society of Gastroenterology reporting guidelines. </w:t>
      </w:r>
      <w:r w:rsidRPr="00EB2576">
        <w:rPr>
          <w:rFonts w:ascii="Times New Roman" w:hAnsi="Times New Roman" w:cs="Times New Roman"/>
          <w:i/>
          <w:iCs/>
          <w:noProof/>
          <w:sz w:val="24"/>
          <w:szCs w:val="24"/>
        </w:rPr>
        <w:t>J. Clin. Pathol.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66</w:t>
      </w:r>
      <w:r w:rsidRPr="00EB2576">
        <w:rPr>
          <w:rFonts w:ascii="Times New Roman" w:hAnsi="Times New Roman" w:cs="Times New Roman"/>
          <w:noProof/>
          <w:sz w:val="24"/>
          <w:szCs w:val="24"/>
        </w:rPr>
        <w:t>, 1005–1026 (2013).</w:t>
      </w:r>
    </w:p>
    <w:p w14:paraId="1184236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19.</w:t>
      </w:r>
      <w:r w:rsidRPr="00EB2576">
        <w:rPr>
          <w:rFonts w:ascii="Times New Roman" w:hAnsi="Times New Roman" w:cs="Times New Roman"/>
          <w:noProof/>
          <w:sz w:val="24"/>
          <w:szCs w:val="24"/>
        </w:rPr>
        <w:tab/>
        <w:t>National Institute for Health and Care Excellence. Crohn’s disease: management (Nice Guidelines). 1–34 (2012).</w:t>
      </w:r>
    </w:p>
    <w:p w14:paraId="154E8E7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w:t>
      </w:r>
      <w:r w:rsidRPr="00EB2576">
        <w:rPr>
          <w:rFonts w:ascii="Times New Roman" w:hAnsi="Times New Roman" w:cs="Times New Roman"/>
          <w:noProof/>
          <w:sz w:val="24"/>
          <w:szCs w:val="24"/>
        </w:rPr>
        <w:tab/>
        <w:t>National Institute for Health and Care Excellence. Ulcerative colitis: management (CG166). (2013).</w:t>
      </w:r>
    </w:p>
    <w:p w14:paraId="01BB5A1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21.</w:t>
      </w:r>
      <w:r w:rsidRPr="00EB2576">
        <w:rPr>
          <w:rFonts w:ascii="Times New Roman" w:hAnsi="Times New Roman" w:cs="Times New Roman"/>
          <w:noProof/>
          <w:sz w:val="24"/>
          <w:szCs w:val="24"/>
        </w:rPr>
        <w:tab/>
        <w:t>National Institute for Health and Care Excellence. Vedolizumab for treating moderately to severely active Crohn’s disease after prior therapy [TA352]. (2015).</w:t>
      </w:r>
    </w:p>
    <w:p w14:paraId="0B7C2AC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22.</w:t>
      </w:r>
      <w:r w:rsidRPr="00EB2576">
        <w:rPr>
          <w:rFonts w:ascii="Times New Roman" w:hAnsi="Times New Roman" w:cs="Times New Roman"/>
          <w:noProof/>
          <w:sz w:val="24"/>
          <w:szCs w:val="24"/>
        </w:rPr>
        <w:tab/>
        <w:t>National Institute for Health and Care Excellence. Infliximab and adalimumab for the treatment of Crohn ’ s disease [TA187]. 1–44 (2013).</w:t>
      </w:r>
    </w:p>
    <w:p w14:paraId="3581E8E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23.</w:t>
      </w:r>
      <w:r w:rsidRPr="00EB2576">
        <w:rPr>
          <w:rFonts w:ascii="Times New Roman" w:hAnsi="Times New Roman" w:cs="Times New Roman"/>
          <w:noProof/>
          <w:sz w:val="24"/>
          <w:szCs w:val="24"/>
        </w:rPr>
        <w:tab/>
        <w:t>National Institute for Health and Care Excellence. Infliximab, adalimumab and golimumab for treating moderately to severely active ulcerative colitis after the failure of conventional therapy [TA329]. (2015).</w:t>
      </w:r>
    </w:p>
    <w:p w14:paraId="53D0401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24.</w:t>
      </w:r>
      <w:r w:rsidRPr="00EB2576">
        <w:rPr>
          <w:rFonts w:ascii="Times New Roman" w:hAnsi="Times New Roman" w:cs="Times New Roman"/>
          <w:noProof/>
          <w:sz w:val="24"/>
          <w:szCs w:val="24"/>
        </w:rPr>
        <w:tab/>
        <w:t xml:space="preserve">Feagan, B.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Ustekinumab as Induction and Maintenance Therapy for Crohn’s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375</w:t>
      </w:r>
      <w:r w:rsidRPr="00EB2576">
        <w:rPr>
          <w:rFonts w:ascii="Times New Roman" w:hAnsi="Times New Roman" w:cs="Times New Roman"/>
          <w:noProof/>
          <w:sz w:val="24"/>
          <w:szCs w:val="24"/>
        </w:rPr>
        <w:t>, 1946–1960 (2016).</w:t>
      </w:r>
    </w:p>
    <w:p w14:paraId="7736C78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25.</w:t>
      </w:r>
      <w:r w:rsidRPr="00EB2576">
        <w:rPr>
          <w:rFonts w:ascii="Times New Roman" w:hAnsi="Times New Roman" w:cs="Times New Roman"/>
          <w:noProof/>
          <w:sz w:val="24"/>
          <w:szCs w:val="24"/>
        </w:rPr>
        <w:tab/>
        <w:t>National Institute for Health and Care Excellence. Tofacitinib for moderately to severely active ulcerative colitis. Technology appraisal guidance [TA547]. (2018).</w:t>
      </w:r>
    </w:p>
    <w:p w14:paraId="0B909F5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26.</w:t>
      </w:r>
      <w:r w:rsidRPr="00EB2576">
        <w:rPr>
          <w:rFonts w:ascii="Times New Roman" w:hAnsi="Times New Roman" w:cs="Times New Roman"/>
          <w:noProof/>
          <w:sz w:val="24"/>
          <w:szCs w:val="24"/>
        </w:rPr>
        <w:tab/>
        <w:t xml:space="preserve">Sprakes, M. B., Ford, A. C., Warren, L., Greer, D. &amp; Hamlin, J. Efficacy, tolerability, and predictors of response to infliximab therapy for Crohn’s disease: A large single centre experience.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w:t>
      </w:r>
      <w:r w:rsidRPr="00EB2576">
        <w:rPr>
          <w:rFonts w:ascii="Times New Roman" w:hAnsi="Times New Roman" w:cs="Times New Roman"/>
          <w:noProof/>
          <w:sz w:val="24"/>
          <w:szCs w:val="24"/>
        </w:rPr>
        <w:t>, 143–153 (2012).</w:t>
      </w:r>
    </w:p>
    <w:p w14:paraId="463CBF3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27.</w:t>
      </w:r>
      <w:r w:rsidRPr="00EB2576">
        <w:rPr>
          <w:rFonts w:ascii="Times New Roman" w:hAnsi="Times New Roman" w:cs="Times New Roman"/>
          <w:noProof/>
          <w:sz w:val="24"/>
          <w:szCs w:val="24"/>
        </w:rPr>
        <w:tab/>
        <w:t xml:space="preserve">Rutgeerts, P.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for Induction and Maintenance Therapy for Ulcerative Colitis.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353</w:t>
      </w:r>
      <w:r w:rsidRPr="00EB2576">
        <w:rPr>
          <w:rFonts w:ascii="Times New Roman" w:hAnsi="Times New Roman" w:cs="Times New Roman"/>
          <w:noProof/>
          <w:sz w:val="24"/>
          <w:szCs w:val="24"/>
        </w:rPr>
        <w:t>, 2462–2476 (2005).</w:t>
      </w:r>
    </w:p>
    <w:p w14:paraId="2380843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28.</w:t>
      </w:r>
      <w:r w:rsidRPr="00EB2576">
        <w:rPr>
          <w:rFonts w:ascii="Times New Roman" w:hAnsi="Times New Roman" w:cs="Times New Roman"/>
          <w:noProof/>
          <w:sz w:val="24"/>
          <w:szCs w:val="24"/>
        </w:rPr>
        <w:tab/>
        <w:t xml:space="preserve">Ben-Horin, S. &amp; Chowers, Y. Review article: loss of response to anti-TNF treatments in Crohn’s disease.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33</w:t>
      </w:r>
      <w:r w:rsidRPr="00EB2576">
        <w:rPr>
          <w:rFonts w:ascii="Times New Roman" w:hAnsi="Times New Roman" w:cs="Times New Roman"/>
          <w:noProof/>
          <w:sz w:val="24"/>
          <w:szCs w:val="24"/>
        </w:rPr>
        <w:t>, 987–995 (2011).</w:t>
      </w:r>
    </w:p>
    <w:p w14:paraId="145BEBC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29.</w:t>
      </w:r>
      <w:r w:rsidRPr="00EB2576">
        <w:rPr>
          <w:rFonts w:ascii="Times New Roman" w:hAnsi="Times New Roman" w:cs="Times New Roman"/>
          <w:noProof/>
          <w:sz w:val="24"/>
          <w:szCs w:val="24"/>
        </w:rPr>
        <w:tab/>
        <w:t xml:space="preserve">Rostholder, E., Ahmed, A., Cheifetz, A. S. &amp; Moss, A. C. Outcomes after escalation of infliximab therapy in ambulatory patients with moderately active ulcerative colitis.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w:t>
      </w:r>
      <w:r w:rsidRPr="00EB2576">
        <w:rPr>
          <w:rFonts w:ascii="Times New Roman" w:hAnsi="Times New Roman" w:cs="Times New Roman"/>
          <w:noProof/>
          <w:sz w:val="24"/>
          <w:szCs w:val="24"/>
        </w:rPr>
        <w:t>, 562–567 (2012).</w:t>
      </w:r>
    </w:p>
    <w:p w14:paraId="2571BA1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30.</w:t>
      </w:r>
      <w:r w:rsidRPr="00EB2576">
        <w:rPr>
          <w:rFonts w:ascii="Times New Roman" w:hAnsi="Times New Roman" w:cs="Times New Roman"/>
          <w:noProof/>
          <w:sz w:val="24"/>
          <w:szCs w:val="24"/>
        </w:rPr>
        <w:tab/>
        <w:t xml:space="preserve">Roda, G., Jharap, B., Neeraj, N. &amp; Colombel, J.-F. Loss of Response to Anti-TNFs: Definition, Epidemiology, and Management. </w:t>
      </w:r>
      <w:r w:rsidRPr="00EB2576">
        <w:rPr>
          <w:rFonts w:ascii="Times New Roman" w:hAnsi="Times New Roman" w:cs="Times New Roman"/>
          <w:i/>
          <w:iCs/>
          <w:noProof/>
          <w:sz w:val="24"/>
          <w:szCs w:val="24"/>
        </w:rPr>
        <w:t>Clin. Transl.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w:t>
      </w:r>
      <w:r w:rsidRPr="00EB2576">
        <w:rPr>
          <w:rFonts w:ascii="Times New Roman" w:hAnsi="Times New Roman" w:cs="Times New Roman"/>
          <w:noProof/>
          <w:sz w:val="24"/>
          <w:szCs w:val="24"/>
        </w:rPr>
        <w:t>, e135 (2016).</w:t>
      </w:r>
    </w:p>
    <w:p w14:paraId="16FCDB0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31.</w:t>
      </w:r>
      <w:r w:rsidRPr="00EB2576">
        <w:rPr>
          <w:rFonts w:ascii="Times New Roman" w:hAnsi="Times New Roman" w:cs="Times New Roman"/>
          <w:noProof/>
          <w:sz w:val="24"/>
          <w:szCs w:val="24"/>
        </w:rPr>
        <w:tab/>
        <w:t xml:space="preserve">Ma, C.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Long-term Maintenance of Clinical, Endoscopic, and Radiographic Response to Ustekinumab in Moderate-to-Severe Crohnʼs Disease.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23</w:t>
      </w:r>
      <w:r w:rsidRPr="00EB2576">
        <w:rPr>
          <w:rFonts w:ascii="Times New Roman" w:hAnsi="Times New Roman" w:cs="Times New Roman"/>
          <w:noProof/>
          <w:sz w:val="24"/>
          <w:szCs w:val="24"/>
        </w:rPr>
        <w:t>, 833–839 (2017).</w:t>
      </w:r>
    </w:p>
    <w:p w14:paraId="7D6C3B4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32.</w:t>
      </w:r>
      <w:r w:rsidRPr="00EB2576">
        <w:rPr>
          <w:rFonts w:ascii="Times New Roman" w:hAnsi="Times New Roman" w:cs="Times New Roman"/>
          <w:noProof/>
          <w:sz w:val="24"/>
          <w:szCs w:val="24"/>
        </w:rPr>
        <w:tab/>
        <w:t xml:space="preserve">Shmidt,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Predictors and Management of Loss of Response to Vedolizumab in Inflammatory Bowel Disease.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24</w:t>
      </w:r>
      <w:r w:rsidRPr="00EB2576">
        <w:rPr>
          <w:rFonts w:ascii="Times New Roman" w:hAnsi="Times New Roman" w:cs="Times New Roman"/>
          <w:noProof/>
          <w:sz w:val="24"/>
          <w:szCs w:val="24"/>
        </w:rPr>
        <w:t>, 2461–2467 (2018).</w:t>
      </w:r>
    </w:p>
    <w:p w14:paraId="3C2A8CB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33.</w:t>
      </w:r>
      <w:r w:rsidRPr="00EB2576">
        <w:rPr>
          <w:rFonts w:ascii="Times New Roman" w:hAnsi="Times New Roman" w:cs="Times New Roman"/>
          <w:noProof/>
          <w:sz w:val="24"/>
          <w:szCs w:val="24"/>
        </w:rPr>
        <w:tab/>
        <w:t xml:space="preserve">van Schie, K. A.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antibody response against human and chimeric anti-TNF therapeutic antibodies primarily targets the TNF binding region. </w:t>
      </w:r>
      <w:r w:rsidRPr="00EB2576">
        <w:rPr>
          <w:rFonts w:ascii="Times New Roman" w:hAnsi="Times New Roman" w:cs="Times New Roman"/>
          <w:i/>
          <w:iCs/>
          <w:noProof/>
          <w:sz w:val="24"/>
          <w:szCs w:val="24"/>
        </w:rPr>
        <w:t>Ann. Rheum.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74</w:t>
      </w:r>
      <w:r w:rsidRPr="00EB2576">
        <w:rPr>
          <w:rFonts w:ascii="Times New Roman" w:hAnsi="Times New Roman" w:cs="Times New Roman"/>
          <w:noProof/>
          <w:sz w:val="24"/>
          <w:szCs w:val="24"/>
        </w:rPr>
        <w:t>, 311–314 (2015).</w:t>
      </w:r>
    </w:p>
    <w:p w14:paraId="47657A2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34.</w:t>
      </w:r>
      <w:r w:rsidRPr="00EB2576">
        <w:rPr>
          <w:rFonts w:ascii="Times New Roman" w:hAnsi="Times New Roman" w:cs="Times New Roman"/>
          <w:noProof/>
          <w:sz w:val="24"/>
          <w:szCs w:val="24"/>
        </w:rPr>
        <w:tab/>
        <w:t xml:space="preserve">Dreesen,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Monitoring a Combination of Calprotectin and Infliximab Identifies Patients With Mucosal Healing of Crohn’s Disease.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18</w:t>
      </w:r>
      <w:r w:rsidRPr="00EB2576">
        <w:rPr>
          <w:rFonts w:ascii="Times New Roman" w:hAnsi="Times New Roman" w:cs="Times New Roman"/>
          <w:noProof/>
          <w:sz w:val="24"/>
          <w:szCs w:val="24"/>
        </w:rPr>
        <w:t>, 637-646.e11 (2020).</w:t>
      </w:r>
    </w:p>
    <w:p w14:paraId="1B0B5DE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35.</w:t>
      </w:r>
      <w:r w:rsidRPr="00EB2576">
        <w:rPr>
          <w:rFonts w:ascii="Times New Roman" w:hAnsi="Times New Roman" w:cs="Times New Roman"/>
          <w:noProof/>
          <w:sz w:val="24"/>
          <w:szCs w:val="24"/>
        </w:rPr>
        <w:tab/>
        <w:t xml:space="preserve">Holbrook, J., Lara-Reyna, S., Jarosz-Griffiths, H. &amp; McDermott, M. F. Tumour necrosis </w:t>
      </w:r>
      <w:r w:rsidRPr="00EB2576">
        <w:rPr>
          <w:rFonts w:ascii="Times New Roman" w:hAnsi="Times New Roman" w:cs="Times New Roman"/>
          <w:noProof/>
          <w:sz w:val="24"/>
          <w:szCs w:val="24"/>
        </w:rPr>
        <w:lastRenderedPageBreak/>
        <w:t xml:space="preserve">factor signalling in health and disease. </w:t>
      </w:r>
      <w:r w:rsidRPr="00EB2576">
        <w:rPr>
          <w:rFonts w:ascii="Times New Roman" w:hAnsi="Times New Roman" w:cs="Times New Roman"/>
          <w:i/>
          <w:iCs/>
          <w:noProof/>
          <w:sz w:val="24"/>
          <w:szCs w:val="24"/>
        </w:rPr>
        <w:t>F1000Research</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w:t>
      </w:r>
      <w:r w:rsidRPr="00EB2576">
        <w:rPr>
          <w:rFonts w:ascii="Times New Roman" w:hAnsi="Times New Roman" w:cs="Times New Roman"/>
          <w:noProof/>
          <w:sz w:val="24"/>
          <w:szCs w:val="24"/>
        </w:rPr>
        <w:t>, 111 (2019).</w:t>
      </w:r>
    </w:p>
    <w:p w14:paraId="1E1DD11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36.</w:t>
      </w:r>
      <w:r w:rsidRPr="00EB2576">
        <w:rPr>
          <w:rFonts w:ascii="Times New Roman" w:hAnsi="Times New Roman" w:cs="Times New Roman"/>
          <w:noProof/>
          <w:sz w:val="24"/>
          <w:szCs w:val="24"/>
        </w:rPr>
        <w:tab/>
        <w:t xml:space="preserve">Danese, S. Mechanisms of action of infliximab in inflammatory bowel disease: an anti-inflammatory multitasker. </w:t>
      </w:r>
      <w:r w:rsidRPr="00EB2576">
        <w:rPr>
          <w:rFonts w:ascii="Times New Roman" w:hAnsi="Times New Roman" w:cs="Times New Roman"/>
          <w:i/>
          <w:iCs/>
          <w:noProof/>
          <w:sz w:val="24"/>
          <w:szCs w:val="24"/>
        </w:rPr>
        <w:t>Dig. Liver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40</w:t>
      </w:r>
      <w:r w:rsidRPr="00EB2576">
        <w:rPr>
          <w:rFonts w:ascii="Times New Roman" w:hAnsi="Times New Roman" w:cs="Times New Roman"/>
          <w:noProof/>
          <w:sz w:val="24"/>
          <w:szCs w:val="24"/>
        </w:rPr>
        <w:t>, S225–S228 (2008).</w:t>
      </w:r>
    </w:p>
    <w:p w14:paraId="78EC24D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37.</w:t>
      </w:r>
      <w:r w:rsidRPr="00EB2576">
        <w:rPr>
          <w:rFonts w:ascii="Times New Roman" w:hAnsi="Times New Roman" w:cs="Times New Roman"/>
          <w:noProof/>
          <w:sz w:val="24"/>
          <w:szCs w:val="24"/>
        </w:rPr>
        <w:tab/>
        <w:t xml:space="preserve">Mauser, J. &amp; Hyams, J. Infliximab: A novel chimeric monoclonal antibody for the treatment of Crohn’s disease. </w:t>
      </w:r>
      <w:r w:rsidRPr="00EB2576">
        <w:rPr>
          <w:rFonts w:ascii="Times New Roman" w:hAnsi="Times New Roman" w:cs="Times New Roman"/>
          <w:i/>
          <w:iCs/>
          <w:noProof/>
          <w:sz w:val="24"/>
          <w:szCs w:val="24"/>
        </w:rPr>
        <w:t>Clin.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21</w:t>
      </w:r>
      <w:r w:rsidRPr="00EB2576">
        <w:rPr>
          <w:rFonts w:ascii="Times New Roman" w:hAnsi="Times New Roman" w:cs="Times New Roman"/>
          <w:noProof/>
          <w:sz w:val="24"/>
          <w:szCs w:val="24"/>
        </w:rPr>
        <w:t>, 932–942 (1999).</w:t>
      </w:r>
    </w:p>
    <w:p w14:paraId="164E4E1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38.</w:t>
      </w:r>
      <w:r w:rsidRPr="00EB2576">
        <w:rPr>
          <w:rFonts w:ascii="Times New Roman" w:hAnsi="Times New Roman" w:cs="Times New Roman"/>
          <w:noProof/>
          <w:sz w:val="24"/>
          <w:szCs w:val="24"/>
        </w:rPr>
        <w:tab/>
        <w:t xml:space="preserve">Pennica, D.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Human tumour necrosis factor: precursor structure, expression and homology to lymphotoxin. </w:t>
      </w:r>
      <w:r w:rsidRPr="00EB2576">
        <w:rPr>
          <w:rFonts w:ascii="Times New Roman" w:hAnsi="Times New Roman" w:cs="Times New Roman"/>
          <w:i/>
          <w:iCs/>
          <w:noProof/>
          <w:sz w:val="24"/>
          <w:szCs w:val="24"/>
        </w:rPr>
        <w:t>Nature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312</w:t>
      </w:r>
      <w:r w:rsidRPr="00EB2576">
        <w:rPr>
          <w:rFonts w:ascii="Times New Roman" w:hAnsi="Times New Roman" w:cs="Times New Roman"/>
          <w:noProof/>
          <w:sz w:val="24"/>
          <w:szCs w:val="24"/>
        </w:rPr>
        <w:t>, 724–729 (1984).</w:t>
      </w:r>
    </w:p>
    <w:p w14:paraId="5517415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39.</w:t>
      </w:r>
      <w:r w:rsidRPr="00EB2576">
        <w:rPr>
          <w:rFonts w:ascii="Times New Roman" w:hAnsi="Times New Roman" w:cs="Times New Roman"/>
          <w:noProof/>
          <w:sz w:val="24"/>
          <w:szCs w:val="24"/>
        </w:rPr>
        <w:tab/>
        <w:t xml:space="preserve">Michlewska, S., Dransfield, I., Megson, I. L. &amp; Rossi, A. G. Macrophage phagocytosis of apoptotic neutrophils is critically regulated by the opposing actions of pro‐inflammatory and anti‐inflammatory agents: key role for TNF‐α. </w:t>
      </w:r>
      <w:r w:rsidRPr="00EB2576">
        <w:rPr>
          <w:rFonts w:ascii="Times New Roman" w:hAnsi="Times New Roman" w:cs="Times New Roman"/>
          <w:i/>
          <w:iCs/>
          <w:noProof/>
          <w:sz w:val="24"/>
          <w:szCs w:val="24"/>
        </w:rPr>
        <w:t>FASEB J.</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23</w:t>
      </w:r>
      <w:r w:rsidRPr="00EB2576">
        <w:rPr>
          <w:rFonts w:ascii="Times New Roman" w:hAnsi="Times New Roman" w:cs="Times New Roman"/>
          <w:noProof/>
          <w:sz w:val="24"/>
          <w:szCs w:val="24"/>
        </w:rPr>
        <w:t>, 844–854 (2009).</w:t>
      </w:r>
    </w:p>
    <w:p w14:paraId="7832972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40.</w:t>
      </w:r>
      <w:r w:rsidRPr="00EB2576">
        <w:rPr>
          <w:rFonts w:ascii="Times New Roman" w:hAnsi="Times New Roman" w:cs="Times New Roman"/>
          <w:noProof/>
          <w:sz w:val="24"/>
          <w:szCs w:val="24"/>
        </w:rPr>
        <w:tab/>
        <w:t xml:space="preserve">Parameswaran, N. &amp; Patial, S. Tumor necrosis factor-α signaling in macrophages. </w:t>
      </w:r>
      <w:r w:rsidRPr="00EB2576">
        <w:rPr>
          <w:rFonts w:ascii="Times New Roman" w:hAnsi="Times New Roman" w:cs="Times New Roman"/>
          <w:i/>
          <w:iCs/>
          <w:noProof/>
          <w:sz w:val="24"/>
          <w:szCs w:val="24"/>
        </w:rPr>
        <w:t>Crit. Rev. Eukaryot. Gene Expr.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w:t>
      </w:r>
      <w:r w:rsidRPr="00EB2576">
        <w:rPr>
          <w:rFonts w:ascii="Times New Roman" w:hAnsi="Times New Roman" w:cs="Times New Roman"/>
          <w:noProof/>
          <w:sz w:val="24"/>
          <w:szCs w:val="24"/>
        </w:rPr>
        <w:t>, 87–103 (2010).</w:t>
      </w:r>
    </w:p>
    <w:p w14:paraId="47DD5FE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41.</w:t>
      </w:r>
      <w:r w:rsidRPr="00EB2576">
        <w:rPr>
          <w:rFonts w:ascii="Times New Roman" w:hAnsi="Times New Roman" w:cs="Times New Roman"/>
          <w:noProof/>
          <w:sz w:val="24"/>
          <w:szCs w:val="24"/>
        </w:rPr>
        <w:tab/>
        <w:t xml:space="preserve">Tipping, P. G. &amp; Hancock, W. W. Production of tumor necrosis factor and interleukin-1 by macrophages from human atheromatous plaques. </w:t>
      </w:r>
      <w:r w:rsidRPr="00EB2576">
        <w:rPr>
          <w:rFonts w:ascii="Times New Roman" w:hAnsi="Times New Roman" w:cs="Times New Roman"/>
          <w:i/>
          <w:iCs/>
          <w:noProof/>
          <w:sz w:val="24"/>
          <w:szCs w:val="24"/>
        </w:rPr>
        <w:t>Am. J. Pathol.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142</w:t>
      </w:r>
      <w:r w:rsidRPr="00EB2576">
        <w:rPr>
          <w:rFonts w:ascii="Times New Roman" w:hAnsi="Times New Roman" w:cs="Times New Roman"/>
          <w:noProof/>
          <w:sz w:val="24"/>
          <w:szCs w:val="24"/>
        </w:rPr>
        <w:t>, 1721–8 (1993).</w:t>
      </w:r>
    </w:p>
    <w:p w14:paraId="12B4E55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42.</w:t>
      </w:r>
      <w:r w:rsidRPr="00EB2576">
        <w:rPr>
          <w:rFonts w:ascii="Times New Roman" w:hAnsi="Times New Roman" w:cs="Times New Roman"/>
          <w:noProof/>
          <w:sz w:val="24"/>
          <w:szCs w:val="24"/>
        </w:rPr>
        <w:tab/>
        <w:t xml:space="preserve">Ross, R. Atherosclerosis — An Inflammatory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340</w:t>
      </w:r>
      <w:r w:rsidRPr="00EB2576">
        <w:rPr>
          <w:rFonts w:ascii="Times New Roman" w:hAnsi="Times New Roman" w:cs="Times New Roman"/>
          <w:noProof/>
          <w:sz w:val="24"/>
          <w:szCs w:val="24"/>
        </w:rPr>
        <w:t>, 115–126 (1999).</w:t>
      </w:r>
    </w:p>
    <w:p w14:paraId="40CE9B2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43.</w:t>
      </w:r>
      <w:r w:rsidRPr="00EB2576">
        <w:rPr>
          <w:rFonts w:ascii="Times New Roman" w:hAnsi="Times New Roman" w:cs="Times New Roman"/>
          <w:noProof/>
          <w:sz w:val="24"/>
          <w:szCs w:val="24"/>
        </w:rPr>
        <w:tab/>
        <w:t xml:space="preserve">Feng, X. Regulatory roles and molecular signaling of TNF family members in osteoclasts. </w:t>
      </w:r>
      <w:r w:rsidRPr="00EB2576">
        <w:rPr>
          <w:rFonts w:ascii="Times New Roman" w:hAnsi="Times New Roman" w:cs="Times New Roman"/>
          <w:i/>
          <w:iCs/>
          <w:noProof/>
          <w:sz w:val="24"/>
          <w:szCs w:val="24"/>
        </w:rPr>
        <w:t>Gene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350</w:t>
      </w:r>
      <w:r w:rsidRPr="00EB2576">
        <w:rPr>
          <w:rFonts w:ascii="Times New Roman" w:hAnsi="Times New Roman" w:cs="Times New Roman"/>
          <w:noProof/>
          <w:sz w:val="24"/>
          <w:szCs w:val="24"/>
        </w:rPr>
        <w:t>, 1–13 (2005).</w:t>
      </w:r>
    </w:p>
    <w:p w14:paraId="51225C7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44.</w:t>
      </w:r>
      <w:r w:rsidRPr="00EB2576">
        <w:rPr>
          <w:rFonts w:ascii="Times New Roman" w:hAnsi="Times New Roman" w:cs="Times New Roman"/>
          <w:noProof/>
          <w:sz w:val="24"/>
          <w:szCs w:val="24"/>
        </w:rPr>
        <w:tab/>
        <w:t xml:space="preserve">Kalliolias, G. D. &amp; Ivashkiv, L. B. TNF biology, pathogenic mechanisms and emerging therapeutic strategies. </w:t>
      </w:r>
      <w:r w:rsidRPr="00EB2576">
        <w:rPr>
          <w:rFonts w:ascii="Times New Roman" w:hAnsi="Times New Roman" w:cs="Times New Roman"/>
          <w:i/>
          <w:iCs/>
          <w:noProof/>
          <w:sz w:val="24"/>
          <w:szCs w:val="24"/>
        </w:rPr>
        <w:t>Nat. Rev. Rheumatol.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12</w:t>
      </w:r>
      <w:r w:rsidRPr="00EB2576">
        <w:rPr>
          <w:rFonts w:ascii="Times New Roman" w:hAnsi="Times New Roman" w:cs="Times New Roman"/>
          <w:noProof/>
          <w:sz w:val="24"/>
          <w:szCs w:val="24"/>
        </w:rPr>
        <w:t>, 49–62 (2015).</w:t>
      </w:r>
    </w:p>
    <w:p w14:paraId="2E42176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45.</w:t>
      </w:r>
      <w:r w:rsidRPr="00EB2576">
        <w:rPr>
          <w:rFonts w:ascii="Times New Roman" w:hAnsi="Times New Roman" w:cs="Times New Roman"/>
          <w:noProof/>
          <w:sz w:val="24"/>
          <w:szCs w:val="24"/>
        </w:rPr>
        <w:tab/>
        <w:t xml:space="preserve">Knight, D.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Construction and initial characterization of a mouse-human chimeric anti-TNF antibody. </w:t>
      </w:r>
      <w:r w:rsidRPr="00EB2576">
        <w:rPr>
          <w:rFonts w:ascii="Times New Roman" w:hAnsi="Times New Roman" w:cs="Times New Roman"/>
          <w:i/>
          <w:iCs/>
          <w:noProof/>
          <w:sz w:val="24"/>
          <w:szCs w:val="24"/>
        </w:rPr>
        <w:t>Mol.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30</w:t>
      </w:r>
      <w:r w:rsidRPr="00EB2576">
        <w:rPr>
          <w:rFonts w:ascii="Times New Roman" w:hAnsi="Times New Roman" w:cs="Times New Roman"/>
          <w:noProof/>
          <w:sz w:val="24"/>
          <w:szCs w:val="24"/>
        </w:rPr>
        <w:t>, 1443–1453 (1993).</w:t>
      </w:r>
    </w:p>
    <w:p w14:paraId="3888798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46.</w:t>
      </w:r>
      <w:r w:rsidRPr="00EB2576">
        <w:rPr>
          <w:rFonts w:ascii="Times New Roman" w:hAnsi="Times New Roman" w:cs="Times New Roman"/>
          <w:noProof/>
          <w:sz w:val="24"/>
          <w:szCs w:val="24"/>
        </w:rPr>
        <w:tab/>
        <w:t xml:space="preserve">Neurath, M. F.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Predominant pathogenic role of tumor necrosis factor in experimental colitis in mice. </w:t>
      </w:r>
      <w:r w:rsidRPr="00EB2576">
        <w:rPr>
          <w:rFonts w:ascii="Times New Roman" w:hAnsi="Times New Roman" w:cs="Times New Roman"/>
          <w:i/>
          <w:iCs/>
          <w:noProof/>
          <w:sz w:val="24"/>
          <w:szCs w:val="24"/>
        </w:rPr>
        <w:t>Eur J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27</w:t>
      </w:r>
      <w:r w:rsidRPr="00EB2576">
        <w:rPr>
          <w:rFonts w:ascii="Times New Roman" w:hAnsi="Times New Roman" w:cs="Times New Roman"/>
          <w:noProof/>
          <w:sz w:val="24"/>
          <w:szCs w:val="24"/>
        </w:rPr>
        <w:t>, 1743–1750 (1997).</w:t>
      </w:r>
    </w:p>
    <w:p w14:paraId="66ABD35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47.</w:t>
      </w:r>
      <w:r w:rsidRPr="00EB2576">
        <w:rPr>
          <w:rFonts w:ascii="Times New Roman" w:hAnsi="Times New Roman" w:cs="Times New Roman"/>
          <w:noProof/>
          <w:sz w:val="24"/>
          <w:szCs w:val="24"/>
        </w:rPr>
        <w:tab/>
        <w:t xml:space="preserve">Neilly PJD, Campbell GR, A. N. &amp; Al., E. Faecal and systemic tumour necrosis factor in experimental inflammatory bowel disease. </w:t>
      </w:r>
      <w:r w:rsidRPr="00EB2576">
        <w:rPr>
          <w:rFonts w:ascii="Times New Roman" w:hAnsi="Times New Roman" w:cs="Times New Roman"/>
          <w:i/>
          <w:iCs/>
          <w:noProof/>
          <w:sz w:val="24"/>
          <w:szCs w:val="24"/>
        </w:rPr>
        <w:t>Surg Res Commun</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18</w:t>
      </w:r>
      <w:r w:rsidRPr="00EB2576">
        <w:rPr>
          <w:rFonts w:ascii="Times New Roman" w:hAnsi="Times New Roman" w:cs="Times New Roman"/>
          <w:noProof/>
          <w:sz w:val="24"/>
          <w:szCs w:val="24"/>
        </w:rPr>
        <w:t>, 11–17 (1995).</w:t>
      </w:r>
    </w:p>
    <w:p w14:paraId="68D8790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48.</w:t>
      </w:r>
      <w:r w:rsidRPr="00EB2576">
        <w:rPr>
          <w:rFonts w:ascii="Times New Roman" w:hAnsi="Times New Roman" w:cs="Times New Roman"/>
          <w:noProof/>
          <w:sz w:val="24"/>
          <w:szCs w:val="24"/>
        </w:rPr>
        <w:tab/>
        <w:t xml:space="preserve">Braegger, C. P., Nicholls, S., Murch, S. H., Stephens, S. &amp; MacDonald, T. T. Tumour necrosis factor alpha in stool as a marker of intestinal inflammation. </w:t>
      </w:r>
      <w:r w:rsidRPr="00EB2576">
        <w:rPr>
          <w:rFonts w:ascii="Times New Roman" w:hAnsi="Times New Roman" w:cs="Times New Roman"/>
          <w:i/>
          <w:iCs/>
          <w:noProof/>
          <w:sz w:val="24"/>
          <w:szCs w:val="24"/>
        </w:rPr>
        <w:t>Lancet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339</w:t>
      </w:r>
      <w:r w:rsidRPr="00EB2576">
        <w:rPr>
          <w:rFonts w:ascii="Times New Roman" w:hAnsi="Times New Roman" w:cs="Times New Roman"/>
          <w:noProof/>
          <w:sz w:val="24"/>
          <w:szCs w:val="24"/>
        </w:rPr>
        <w:t>, 89–91 (1992).</w:t>
      </w:r>
    </w:p>
    <w:p w14:paraId="53A76D5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49.</w:t>
      </w:r>
      <w:r w:rsidRPr="00EB2576">
        <w:rPr>
          <w:rFonts w:ascii="Times New Roman" w:hAnsi="Times New Roman" w:cs="Times New Roman"/>
          <w:noProof/>
          <w:sz w:val="24"/>
          <w:szCs w:val="24"/>
        </w:rPr>
        <w:tab/>
        <w:t xml:space="preserve">Beil, W. J., Weller, P. F., Peppercorn, M. A., Galli, S. J. &amp; Dvorak, A. M. Ultrastructural immunogold localization of subcellular sites of TNF-alpha in colonic Crohn’s disease. </w:t>
      </w:r>
      <w:r w:rsidRPr="00EB2576">
        <w:rPr>
          <w:rFonts w:ascii="Times New Roman" w:hAnsi="Times New Roman" w:cs="Times New Roman"/>
          <w:i/>
          <w:iCs/>
          <w:noProof/>
          <w:sz w:val="24"/>
          <w:szCs w:val="24"/>
        </w:rPr>
        <w:t>J. Leukoc. Biol.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58</w:t>
      </w:r>
      <w:r w:rsidRPr="00EB2576">
        <w:rPr>
          <w:rFonts w:ascii="Times New Roman" w:hAnsi="Times New Roman" w:cs="Times New Roman"/>
          <w:noProof/>
          <w:sz w:val="24"/>
          <w:szCs w:val="24"/>
        </w:rPr>
        <w:t>, 284–298 (1995).</w:t>
      </w:r>
    </w:p>
    <w:p w14:paraId="59196E4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50.</w:t>
      </w:r>
      <w:r w:rsidRPr="00EB2576">
        <w:rPr>
          <w:rFonts w:ascii="Times New Roman" w:hAnsi="Times New Roman" w:cs="Times New Roman"/>
          <w:noProof/>
          <w:sz w:val="24"/>
          <w:szCs w:val="24"/>
        </w:rPr>
        <w:tab/>
        <w:t xml:space="preserve">Reimund, J.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Increased production of tumour necrosis factor-alpha interleukin-1 beta, and interleukin-6 by morphologically normal intestinal biopsies from patients with Crohn’s disease.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39</w:t>
      </w:r>
      <w:r w:rsidRPr="00EB2576">
        <w:rPr>
          <w:rFonts w:ascii="Times New Roman" w:hAnsi="Times New Roman" w:cs="Times New Roman"/>
          <w:noProof/>
          <w:sz w:val="24"/>
          <w:szCs w:val="24"/>
        </w:rPr>
        <w:t>, 684–689 (1996).</w:t>
      </w:r>
    </w:p>
    <w:p w14:paraId="3FA7856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51.</w:t>
      </w:r>
      <w:r w:rsidRPr="00EB2576">
        <w:rPr>
          <w:rFonts w:ascii="Times New Roman" w:hAnsi="Times New Roman" w:cs="Times New Roman"/>
          <w:noProof/>
          <w:sz w:val="24"/>
          <w:szCs w:val="24"/>
        </w:rPr>
        <w:tab/>
        <w:t xml:space="preserve">Komatsu,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Tumor necrosis factor-?? in serum of patients with inflammatory bowel disease as measured by a highly sensitive immuno-PCR. </w:t>
      </w:r>
      <w:r w:rsidRPr="00EB2576">
        <w:rPr>
          <w:rFonts w:ascii="Times New Roman" w:hAnsi="Times New Roman" w:cs="Times New Roman"/>
          <w:i/>
          <w:iCs/>
          <w:noProof/>
          <w:sz w:val="24"/>
          <w:szCs w:val="24"/>
        </w:rPr>
        <w:t>Clin. Chem.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47</w:t>
      </w:r>
      <w:r w:rsidRPr="00EB2576">
        <w:rPr>
          <w:rFonts w:ascii="Times New Roman" w:hAnsi="Times New Roman" w:cs="Times New Roman"/>
          <w:noProof/>
          <w:sz w:val="24"/>
          <w:szCs w:val="24"/>
        </w:rPr>
        <w:t>, 1297–1301 (2001).</w:t>
      </w:r>
    </w:p>
    <w:p w14:paraId="18B6DAA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52.</w:t>
      </w:r>
      <w:r w:rsidRPr="00EB2576">
        <w:rPr>
          <w:rFonts w:ascii="Times New Roman" w:hAnsi="Times New Roman" w:cs="Times New Roman"/>
          <w:noProof/>
          <w:sz w:val="24"/>
          <w:szCs w:val="24"/>
        </w:rPr>
        <w:tab/>
        <w:t xml:space="preserve">Song, S., Yang, L., Trepicchio, W. L. &amp; Wyant, T. Understanding the Supersensitive Anti-Drug Antibody Assay: Unexpected High Anti-Drug Antibody Incidence and Its Clinical Relevance. </w:t>
      </w:r>
      <w:r w:rsidRPr="00EB2576">
        <w:rPr>
          <w:rFonts w:ascii="Times New Roman" w:hAnsi="Times New Roman" w:cs="Times New Roman"/>
          <w:i/>
          <w:iCs/>
          <w:noProof/>
          <w:sz w:val="24"/>
          <w:szCs w:val="24"/>
        </w:rPr>
        <w:t>J. Immunol.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2016</w:t>
      </w:r>
      <w:r w:rsidRPr="00EB2576">
        <w:rPr>
          <w:rFonts w:ascii="Times New Roman" w:hAnsi="Times New Roman" w:cs="Times New Roman"/>
          <w:noProof/>
          <w:sz w:val="24"/>
          <w:szCs w:val="24"/>
        </w:rPr>
        <w:t>, (2016).</w:t>
      </w:r>
    </w:p>
    <w:p w14:paraId="39EEFEA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53.</w:t>
      </w:r>
      <w:r w:rsidRPr="00EB2576">
        <w:rPr>
          <w:rFonts w:ascii="Times New Roman" w:hAnsi="Times New Roman" w:cs="Times New Roman"/>
          <w:noProof/>
          <w:sz w:val="24"/>
          <w:szCs w:val="24"/>
        </w:rPr>
        <w:tab/>
        <w:t xml:space="preserve">Hanauer, S.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Maintenance infliximab for Crohn’s disease: The ACCENT I randomised trial. </w:t>
      </w:r>
      <w:r w:rsidRPr="00EB2576">
        <w:rPr>
          <w:rFonts w:ascii="Times New Roman" w:hAnsi="Times New Roman" w:cs="Times New Roman"/>
          <w:i/>
          <w:iCs/>
          <w:noProof/>
          <w:sz w:val="24"/>
          <w:szCs w:val="24"/>
        </w:rPr>
        <w:t>Lancet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359</w:t>
      </w:r>
      <w:r w:rsidRPr="00EB2576">
        <w:rPr>
          <w:rFonts w:ascii="Times New Roman" w:hAnsi="Times New Roman" w:cs="Times New Roman"/>
          <w:noProof/>
          <w:sz w:val="24"/>
          <w:szCs w:val="24"/>
        </w:rPr>
        <w:t>, 1541–1549 (2002).</w:t>
      </w:r>
    </w:p>
    <w:p w14:paraId="20AC192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54.</w:t>
      </w:r>
      <w:r w:rsidRPr="00EB2576">
        <w:rPr>
          <w:rFonts w:ascii="Times New Roman" w:hAnsi="Times New Roman" w:cs="Times New Roman"/>
          <w:noProof/>
          <w:sz w:val="24"/>
          <w:szCs w:val="24"/>
        </w:rPr>
        <w:tab/>
        <w:t xml:space="preserve">Panaccione,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Combination Therapy With Infliximab and Azathioprine Is Superior to Monotherapy With Either Agent in Ulcerative Colitis.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146</w:t>
      </w:r>
      <w:r w:rsidRPr="00EB2576">
        <w:rPr>
          <w:rFonts w:ascii="Times New Roman" w:hAnsi="Times New Roman" w:cs="Times New Roman"/>
          <w:noProof/>
          <w:sz w:val="24"/>
          <w:szCs w:val="24"/>
        </w:rPr>
        <w:t>, 392-400.e3 (2014).</w:t>
      </w:r>
    </w:p>
    <w:p w14:paraId="054E71E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55.</w:t>
      </w:r>
      <w:r w:rsidRPr="00EB2576">
        <w:rPr>
          <w:rFonts w:ascii="Times New Roman" w:hAnsi="Times New Roman" w:cs="Times New Roman"/>
          <w:noProof/>
          <w:sz w:val="24"/>
          <w:szCs w:val="24"/>
        </w:rPr>
        <w:tab/>
        <w:t xml:space="preserve">Sands, B.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Maintenance Therapy for Fistulizing Crohn’s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350</w:t>
      </w:r>
      <w:r w:rsidRPr="00EB2576">
        <w:rPr>
          <w:rFonts w:ascii="Times New Roman" w:hAnsi="Times New Roman" w:cs="Times New Roman"/>
          <w:noProof/>
          <w:sz w:val="24"/>
          <w:szCs w:val="24"/>
        </w:rPr>
        <w:t>, 876–885 (2004).</w:t>
      </w:r>
    </w:p>
    <w:p w14:paraId="2D75226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56.</w:t>
      </w:r>
      <w:r w:rsidRPr="00EB2576">
        <w:rPr>
          <w:rFonts w:ascii="Times New Roman" w:hAnsi="Times New Roman" w:cs="Times New Roman"/>
          <w:noProof/>
          <w:sz w:val="24"/>
          <w:szCs w:val="24"/>
        </w:rPr>
        <w:tab/>
        <w:t xml:space="preserve">Kornbluth, A. Infliximab Approved for Use in Crohnʼs Disease: A Report on the FDA GI Advisory Committee Conference.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w:t>
      </w:r>
      <w:r w:rsidRPr="00EB2576">
        <w:rPr>
          <w:rFonts w:ascii="Times New Roman" w:hAnsi="Times New Roman" w:cs="Times New Roman"/>
          <w:noProof/>
          <w:sz w:val="24"/>
          <w:szCs w:val="24"/>
        </w:rPr>
        <w:t>, 328–329 (1998).</w:t>
      </w:r>
    </w:p>
    <w:p w14:paraId="01B5C80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57.</w:t>
      </w:r>
      <w:r w:rsidRPr="00EB2576">
        <w:rPr>
          <w:rFonts w:ascii="Times New Roman" w:hAnsi="Times New Roman" w:cs="Times New Roman"/>
          <w:noProof/>
          <w:sz w:val="24"/>
          <w:szCs w:val="24"/>
        </w:rPr>
        <w:tab/>
        <w:t xml:space="preserve">Lourdes Ruiz-Rebollo,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Crohn’s disease presenting as pyloric stenosis. </w:t>
      </w:r>
      <w:r w:rsidRPr="00EB2576">
        <w:rPr>
          <w:rFonts w:ascii="Times New Roman" w:hAnsi="Times New Roman" w:cs="Times New Roman"/>
          <w:i/>
          <w:iCs/>
          <w:noProof/>
          <w:sz w:val="24"/>
          <w:szCs w:val="24"/>
        </w:rPr>
        <w:t>Rev. Esp. Enfermedades Dig.</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103</w:t>
      </w:r>
      <w:r w:rsidRPr="00EB2576">
        <w:rPr>
          <w:rFonts w:ascii="Times New Roman" w:hAnsi="Times New Roman" w:cs="Times New Roman"/>
          <w:noProof/>
          <w:sz w:val="24"/>
          <w:szCs w:val="24"/>
        </w:rPr>
        <w:t>, 211–212 (2011).</w:t>
      </w:r>
    </w:p>
    <w:p w14:paraId="35C84D2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58.</w:t>
      </w:r>
      <w:r w:rsidRPr="00EB2576">
        <w:rPr>
          <w:rFonts w:ascii="Times New Roman" w:hAnsi="Times New Roman" w:cs="Times New Roman"/>
          <w:noProof/>
          <w:sz w:val="24"/>
          <w:szCs w:val="24"/>
        </w:rPr>
        <w:tab/>
        <w:t xml:space="preserve">Scallon B, Cai A, Solowski N,  et al. Binding and Functional Comparisons of Two Types of Tumor Necrosis Factor Antagonists. </w:t>
      </w:r>
      <w:r w:rsidRPr="00EB2576">
        <w:rPr>
          <w:rFonts w:ascii="Times New Roman" w:hAnsi="Times New Roman" w:cs="Times New Roman"/>
          <w:i/>
          <w:iCs/>
          <w:noProof/>
          <w:sz w:val="24"/>
          <w:szCs w:val="24"/>
        </w:rPr>
        <w:t>J. Pharmacol. Exp.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301</w:t>
      </w:r>
      <w:r w:rsidRPr="00EB2576">
        <w:rPr>
          <w:rFonts w:ascii="Times New Roman" w:hAnsi="Times New Roman" w:cs="Times New Roman"/>
          <w:noProof/>
          <w:sz w:val="24"/>
          <w:szCs w:val="24"/>
        </w:rPr>
        <w:t>, 418–426 (2002).</w:t>
      </w:r>
    </w:p>
    <w:p w14:paraId="60448E0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59.</w:t>
      </w:r>
      <w:r w:rsidRPr="00EB2576">
        <w:rPr>
          <w:rFonts w:ascii="Times New Roman" w:hAnsi="Times New Roman" w:cs="Times New Roman"/>
          <w:noProof/>
          <w:sz w:val="24"/>
          <w:szCs w:val="24"/>
        </w:rPr>
        <w:tab/>
        <w:t xml:space="preserve">Levin, A. D., Wildenberg, M. E. &amp; van den Brink, G. R. Mechanism of Action of Anti-TNF Therapy in Inflammatory Bowel Disease.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w:t>
      </w:r>
      <w:r w:rsidRPr="00EB2576">
        <w:rPr>
          <w:rFonts w:ascii="Times New Roman" w:hAnsi="Times New Roman" w:cs="Times New Roman"/>
          <w:noProof/>
          <w:sz w:val="24"/>
          <w:szCs w:val="24"/>
        </w:rPr>
        <w:t>, 989–997 (2016).</w:t>
      </w:r>
    </w:p>
    <w:p w14:paraId="4108E67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60.</w:t>
      </w:r>
      <w:r w:rsidRPr="00EB2576">
        <w:rPr>
          <w:rFonts w:ascii="Times New Roman" w:hAnsi="Times New Roman" w:cs="Times New Roman"/>
          <w:noProof/>
          <w:sz w:val="24"/>
          <w:szCs w:val="24"/>
        </w:rPr>
        <w:tab/>
        <w:t xml:space="preserve">Tracey, D., Klareskog, L., Sasso, E. H., Salfeld, J. G. &amp; Tak, P. P. Tumor necrosis factor antagonist mechanisms of action: A comprehensive review. </w:t>
      </w:r>
      <w:r w:rsidRPr="00EB2576">
        <w:rPr>
          <w:rFonts w:ascii="Times New Roman" w:hAnsi="Times New Roman" w:cs="Times New Roman"/>
          <w:i/>
          <w:iCs/>
          <w:noProof/>
          <w:sz w:val="24"/>
          <w:szCs w:val="24"/>
        </w:rPr>
        <w:t>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117</w:t>
      </w:r>
      <w:r w:rsidRPr="00EB2576">
        <w:rPr>
          <w:rFonts w:ascii="Times New Roman" w:hAnsi="Times New Roman" w:cs="Times New Roman"/>
          <w:noProof/>
          <w:sz w:val="24"/>
          <w:szCs w:val="24"/>
        </w:rPr>
        <w:t>, 244–279 (2008).</w:t>
      </w:r>
    </w:p>
    <w:p w14:paraId="0D7DB00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61.</w:t>
      </w:r>
      <w:r w:rsidRPr="00EB2576">
        <w:rPr>
          <w:rFonts w:ascii="Times New Roman" w:hAnsi="Times New Roman" w:cs="Times New Roman"/>
          <w:noProof/>
          <w:sz w:val="24"/>
          <w:szCs w:val="24"/>
        </w:rPr>
        <w:tab/>
        <w:t xml:space="preserve">Hemperly, A. &amp; Vande Casteele, N. Clinical Pharmacokinetics and Pharmacodynamics of Infliximab in the Treatment of Inflammatory Bowel Disease. </w:t>
      </w:r>
      <w:r w:rsidRPr="00EB2576">
        <w:rPr>
          <w:rFonts w:ascii="Times New Roman" w:hAnsi="Times New Roman" w:cs="Times New Roman"/>
          <w:i/>
          <w:iCs/>
          <w:noProof/>
          <w:sz w:val="24"/>
          <w:szCs w:val="24"/>
        </w:rPr>
        <w:t>Clin. Pharmacokinet.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57</w:t>
      </w:r>
      <w:r w:rsidRPr="00EB2576">
        <w:rPr>
          <w:rFonts w:ascii="Times New Roman" w:hAnsi="Times New Roman" w:cs="Times New Roman"/>
          <w:noProof/>
          <w:sz w:val="24"/>
          <w:szCs w:val="24"/>
        </w:rPr>
        <w:t>, 929–942 (2018).</w:t>
      </w:r>
    </w:p>
    <w:p w14:paraId="29D7E09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62.</w:t>
      </w:r>
      <w:r w:rsidRPr="00EB2576">
        <w:rPr>
          <w:rFonts w:ascii="Times New Roman" w:hAnsi="Times New Roman" w:cs="Times New Roman"/>
          <w:noProof/>
          <w:sz w:val="24"/>
          <w:szCs w:val="24"/>
        </w:rPr>
        <w:tab/>
        <w:t xml:space="preserve">Targan, S.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Short-Term Study of Chimeric Monoclonal Antibody cA2 to Tumor Necrosis Factor α for Crohn’s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337</w:t>
      </w:r>
      <w:r w:rsidRPr="00EB2576">
        <w:rPr>
          <w:rFonts w:ascii="Times New Roman" w:hAnsi="Times New Roman" w:cs="Times New Roman"/>
          <w:noProof/>
          <w:sz w:val="24"/>
          <w:szCs w:val="24"/>
        </w:rPr>
        <w:t>, 1029–1036 (1997).</w:t>
      </w:r>
    </w:p>
    <w:p w14:paraId="59D053C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63.</w:t>
      </w:r>
      <w:r w:rsidRPr="00EB2576">
        <w:rPr>
          <w:rFonts w:ascii="Times New Roman" w:hAnsi="Times New Roman" w:cs="Times New Roman"/>
          <w:noProof/>
          <w:sz w:val="24"/>
          <w:szCs w:val="24"/>
        </w:rPr>
        <w:tab/>
        <w:t xml:space="preserve">Wagner C, Mace K, DeWoody K,  et al. Infliximab treatment benefits correlate with pharmacodynamic parameters in Crohn’s disease patients. in </w:t>
      </w:r>
      <w:r w:rsidRPr="00EB2576">
        <w:rPr>
          <w:rFonts w:ascii="Times New Roman" w:hAnsi="Times New Roman" w:cs="Times New Roman"/>
          <w:i/>
          <w:iCs/>
          <w:noProof/>
          <w:sz w:val="24"/>
          <w:szCs w:val="24"/>
        </w:rPr>
        <w:t>Presented at World Congress of Gastroenterology Meeting. Vienna, Austria. Abstract 1252.</w:t>
      </w:r>
      <w:r w:rsidRPr="00EB2576">
        <w:rPr>
          <w:rFonts w:ascii="Times New Roman" w:hAnsi="Times New Roman" w:cs="Times New Roman"/>
          <w:noProof/>
          <w:sz w:val="24"/>
          <w:szCs w:val="24"/>
        </w:rPr>
        <w:t xml:space="preserve"> (1998).</w:t>
      </w:r>
    </w:p>
    <w:p w14:paraId="282ADF5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64.</w:t>
      </w:r>
      <w:r w:rsidRPr="00EB2576">
        <w:rPr>
          <w:rFonts w:ascii="Times New Roman" w:hAnsi="Times New Roman" w:cs="Times New Roman"/>
          <w:noProof/>
          <w:sz w:val="24"/>
          <w:szCs w:val="24"/>
        </w:rPr>
        <w:tab/>
        <w:t xml:space="preserve">Billiet, T.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Genetic Variation in the Neonatal Fc-Receptor Affects Anti-TNF Drug Concentrations in Inflammatory Bowel Disease. </w:t>
      </w:r>
      <w:r w:rsidRPr="00EB2576">
        <w:rPr>
          <w:rFonts w:ascii="Times New Roman" w:hAnsi="Times New Roman" w:cs="Times New Roman"/>
          <w:i/>
          <w:iCs/>
          <w:noProof/>
          <w:sz w:val="24"/>
          <w:szCs w:val="24"/>
        </w:rPr>
        <w:t>Am.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111</w:t>
      </w:r>
      <w:r w:rsidRPr="00EB2576">
        <w:rPr>
          <w:rFonts w:ascii="Times New Roman" w:hAnsi="Times New Roman" w:cs="Times New Roman"/>
          <w:noProof/>
          <w:sz w:val="24"/>
          <w:szCs w:val="24"/>
        </w:rPr>
        <w:t>, 1438–1445 (2016).</w:t>
      </w:r>
    </w:p>
    <w:p w14:paraId="0FC71BF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65.</w:t>
      </w:r>
      <w:r w:rsidRPr="00EB2576">
        <w:rPr>
          <w:rFonts w:ascii="Times New Roman" w:hAnsi="Times New Roman" w:cs="Times New Roman"/>
          <w:noProof/>
          <w:sz w:val="24"/>
          <w:szCs w:val="24"/>
        </w:rPr>
        <w:tab/>
        <w:t xml:space="preserve">Schroeder, H. W. &amp; Cavacini, L. Structure and function of immunoglobulins. </w:t>
      </w:r>
      <w:r w:rsidRPr="00EB2576">
        <w:rPr>
          <w:rFonts w:ascii="Times New Roman" w:hAnsi="Times New Roman" w:cs="Times New Roman"/>
          <w:i/>
          <w:iCs/>
          <w:noProof/>
          <w:sz w:val="24"/>
          <w:szCs w:val="24"/>
        </w:rPr>
        <w:t>J. Allergy Clin.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125</w:t>
      </w:r>
      <w:r w:rsidRPr="00EB2576">
        <w:rPr>
          <w:rFonts w:ascii="Times New Roman" w:hAnsi="Times New Roman" w:cs="Times New Roman"/>
          <w:noProof/>
          <w:sz w:val="24"/>
          <w:szCs w:val="24"/>
        </w:rPr>
        <w:t>, S41–S52 (2010).</w:t>
      </w:r>
    </w:p>
    <w:p w14:paraId="6487D8B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66.</w:t>
      </w:r>
      <w:r w:rsidRPr="00EB2576">
        <w:rPr>
          <w:rFonts w:ascii="Times New Roman" w:hAnsi="Times New Roman" w:cs="Times New Roman"/>
          <w:noProof/>
          <w:sz w:val="24"/>
          <w:szCs w:val="24"/>
        </w:rPr>
        <w:tab/>
        <w:t xml:space="preserve">Colombel, J. F.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Azathioprine, or Combination Therapy for Crohn’s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362</w:t>
      </w:r>
      <w:r w:rsidRPr="00EB2576">
        <w:rPr>
          <w:rFonts w:ascii="Times New Roman" w:hAnsi="Times New Roman" w:cs="Times New Roman"/>
          <w:noProof/>
          <w:sz w:val="24"/>
          <w:szCs w:val="24"/>
        </w:rPr>
        <w:t>, 1383–1395 (2010).</w:t>
      </w:r>
    </w:p>
    <w:p w14:paraId="4A92FC5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67.</w:t>
      </w:r>
      <w:r w:rsidRPr="00EB2576">
        <w:rPr>
          <w:rFonts w:ascii="Times New Roman" w:hAnsi="Times New Roman" w:cs="Times New Roman"/>
          <w:noProof/>
          <w:sz w:val="24"/>
          <w:szCs w:val="24"/>
        </w:rPr>
        <w:tab/>
        <w:t>National Institute for Health and Care Excellence. Infliximab for acute exacerbations of ulcerative colitis Technology appraisal guidance [TA163]. 1–28 (2008).</w:t>
      </w:r>
    </w:p>
    <w:p w14:paraId="03E67C9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68.</w:t>
      </w:r>
      <w:r w:rsidRPr="00EB2576">
        <w:rPr>
          <w:rFonts w:ascii="Times New Roman" w:hAnsi="Times New Roman" w:cs="Times New Roman"/>
          <w:noProof/>
          <w:sz w:val="24"/>
          <w:szCs w:val="24"/>
        </w:rPr>
        <w:tab/>
        <w:t xml:space="preserve">Dong, C., Metzger, M., Holsbø, E., Perduca, V. &amp; Carbonnel, F. Systematic review with meta-analysis: mortality in acute severe ulcerative colitis.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51</w:t>
      </w:r>
      <w:r w:rsidRPr="00EB2576">
        <w:rPr>
          <w:rFonts w:ascii="Times New Roman" w:hAnsi="Times New Roman" w:cs="Times New Roman"/>
          <w:noProof/>
          <w:sz w:val="24"/>
          <w:szCs w:val="24"/>
        </w:rPr>
        <w:t xml:space="preserve">, </w:t>
      </w:r>
      <w:r w:rsidRPr="00EB2576">
        <w:rPr>
          <w:rFonts w:ascii="Times New Roman" w:hAnsi="Times New Roman" w:cs="Times New Roman"/>
          <w:noProof/>
          <w:sz w:val="24"/>
          <w:szCs w:val="24"/>
        </w:rPr>
        <w:lastRenderedPageBreak/>
        <w:t>8–33 (2020).</w:t>
      </w:r>
    </w:p>
    <w:p w14:paraId="3C46FD3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69.</w:t>
      </w:r>
      <w:r w:rsidRPr="00EB2576">
        <w:rPr>
          <w:rFonts w:ascii="Times New Roman" w:hAnsi="Times New Roman" w:cs="Times New Roman"/>
          <w:noProof/>
          <w:sz w:val="24"/>
          <w:szCs w:val="24"/>
        </w:rPr>
        <w:tab/>
        <w:t xml:space="preserve">Carbonnel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Predictive factors of outcome of intensive intravenous treatment for attacks of ulcerative colitis.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273–279 (2000).</w:t>
      </w:r>
    </w:p>
    <w:p w14:paraId="0A6D9FB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70.</w:t>
      </w:r>
      <w:r w:rsidRPr="00EB2576">
        <w:rPr>
          <w:rFonts w:ascii="Times New Roman" w:hAnsi="Times New Roman" w:cs="Times New Roman"/>
          <w:noProof/>
          <w:sz w:val="24"/>
          <w:szCs w:val="24"/>
        </w:rPr>
        <w:tab/>
        <w:t xml:space="preserve">Ford, A. C.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Efficacy of Biological Therapies in Inflammatory Bowel Disease: Systematic Review and Meta-Analysis. </w:t>
      </w:r>
      <w:r w:rsidRPr="00EB2576">
        <w:rPr>
          <w:rFonts w:ascii="Times New Roman" w:hAnsi="Times New Roman" w:cs="Times New Roman"/>
          <w:i/>
          <w:iCs/>
          <w:noProof/>
          <w:sz w:val="24"/>
          <w:szCs w:val="24"/>
        </w:rPr>
        <w:t>Am.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106</w:t>
      </w:r>
      <w:r w:rsidRPr="00EB2576">
        <w:rPr>
          <w:rFonts w:ascii="Times New Roman" w:hAnsi="Times New Roman" w:cs="Times New Roman"/>
          <w:noProof/>
          <w:sz w:val="24"/>
          <w:szCs w:val="24"/>
        </w:rPr>
        <w:t>, 644–659 (2011).</w:t>
      </w:r>
    </w:p>
    <w:p w14:paraId="2A9617A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71.</w:t>
      </w:r>
      <w:r w:rsidRPr="00EB2576">
        <w:rPr>
          <w:rFonts w:ascii="Times New Roman" w:hAnsi="Times New Roman" w:cs="Times New Roman"/>
          <w:noProof/>
          <w:sz w:val="24"/>
          <w:szCs w:val="24"/>
        </w:rPr>
        <w:tab/>
        <w:t xml:space="preserve">Halpin, S. J. Efficacy of infliximab in acute severe ulcerative colitis: A single-centre experience. </w:t>
      </w:r>
      <w:r w:rsidRPr="00EB2576">
        <w:rPr>
          <w:rFonts w:ascii="Times New Roman" w:hAnsi="Times New Roman" w:cs="Times New Roman"/>
          <w:i/>
          <w:iCs/>
          <w:noProof/>
          <w:sz w:val="24"/>
          <w:szCs w:val="24"/>
        </w:rPr>
        <w:t>World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19</w:t>
      </w:r>
      <w:r w:rsidRPr="00EB2576">
        <w:rPr>
          <w:rFonts w:ascii="Times New Roman" w:hAnsi="Times New Roman" w:cs="Times New Roman"/>
          <w:noProof/>
          <w:sz w:val="24"/>
          <w:szCs w:val="24"/>
        </w:rPr>
        <w:t>, 1091 (2013).</w:t>
      </w:r>
    </w:p>
    <w:p w14:paraId="5B168DD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72.</w:t>
      </w:r>
      <w:r w:rsidRPr="00EB2576">
        <w:rPr>
          <w:rFonts w:ascii="Times New Roman" w:hAnsi="Times New Roman" w:cs="Times New Roman"/>
          <w:noProof/>
          <w:sz w:val="24"/>
          <w:szCs w:val="24"/>
        </w:rPr>
        <w:tab/>
        <w:t>Committee., J. F. British National Formulary (online) London: Infliximab. Available at: https://bnf.nice.org.uk/drug/infliximab.html#indicationsAndDoses. (Accessed: 23rd March 2021)</w:t>
      </w:r>
    </w:p>
    <w:p w14:paraId="0B4CCDC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73.</w:t>
      </w:r>
      <w:r w:rsidRPr="00EB2576">
        <w:rPr>
          <w:rFonts w:ascii="Times New Roman" w:hAnsi="Times New Roman" w:cs="Times New Roman"/>
          <w:noProof/>
          <w:sz w:val="24"/>
          <w:szCs w:val="24"/>
        </w:rPr>
        <w:tab/>
        <w:t xml:space="preserve">Singh, S., Fumery, M., Sandborn, W. J. &amp; Murad, M. H. Systematic review and network meta-analysis: first- and second-line biologic therapies for moderate-severe Crohn’s disease.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48</w:t>
      </w:r>
      <w:r w:rsidRPr="00EB2576">
        <w:rPr>
          <w:rFonts w:ascii="Times New Roman" w:hAnsi="Times New Roman" w:cs="Times New Roman"/>
          <w:noProof/>
          <w:sz w:val="24"/>
          <w:szCs w:val="24"/>
        </w:rPr>
        <w:t>, 394–409 (2018).</w:t>
      </w:r>
    </w:p>
    <w:p w14:paraId="1C7ED5C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74.</w:t>
      </w:r>
      <w:r w:rsidRPr="00EB2576">
        <w:rPr>
          <w:rFonts w:ascii="Times New Roman" w:hAnsi="Times New Roman" w:cs="Times New Roman"/>
          <w:noProof/>
          <w:sz w:val="24"/>
          <w:szCs w:val="24"/>
        </w:rPr>
        <w:tab/>
        <w:t xml:space="preserve">Lichtenstein, G.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for Crohn’s Disease: More Than 13 Years of Real-world Experience.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24</w:t>
      </w:r>
      <w:r w:rsidRPr="00EB2576">
        <w:rPr>
          <w:rFonts w:ascii="Times New Roman" w:hAnsi="Times New Roman" w:cs="Times New Roman"/>
          <w:noProof/>
          <w:sz w:val="24"/>
          <w:szCs w:val="24"/>
        </w:rPr>
        <w:t>, 490–501 (2018).</w:t>
      </w:r>
    </w:p>
    <w:p w14:paraId="48DC43F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75.</w:t>
      </w:r>
      <w:r w:rsidRPr="00EB2576">
        <w:rPr>
          <w:rFonts w:ascii="Times New Roman" w:hAnsi="Times New Roman" w:cs="Times New Roman"/>
          <w:noProof/>
          <w:sz w:val="24"/>
          <w:szCs w:val="24"/>
        </w:rPr>
        <w:tab/>
        <w:t xml:space="preserve">Keane,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Tuberculosis Associated with Infliximab, a Tumor Necrosis Factor α–Neutralizing Agent.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345</w:t>
      </w:r>
      <w:r w:rsidRPr="00EB2576">
        <w:rPr>
          <w:rFonts w:ascii="Times New Roman" w:hAnsi="Times New Roman" w:cs="Times New Roman"/>
          <w:noProof/>
          <w:sz w:val="24"/>
          <w:szCs w:val="24"/>
        </w:rPr>
        <w:t>, 1098–1104 (2001).</w:t>
      </w:r>
    </w:p>
    <w:p w14:paraId="4528C45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76.</w:t>
      </w:r>
      <w:r w:rsidRPr="00EB2576">
        <w:rPr>
          <w:rFonts w:ascii="Times New Roman" w:hAnsi="Times New Roman" w:cs="Times New Roman"/>
          <w:noProof/>
          <w:sz w:val="24"/>
          <w:szCs w:val="24"/>
        </w:rPr>
        <w:tab/>
        <w:t xml:space="preserve">Abitbol, Y.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Negative Screening Does Not Rule Out the Risk of Tuberculosis in Patients with Inflammatory Bowel Disease Undergoing Anti-TNF Treatment: A Descriptive Study on the GETAID Cohort.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w:t>
      </w:r>
      <w:r w:rsidRPr="00EB2576">
        <w:rPr>
          <w:rFonts w:ascii="Times New Roman" w:hAnsi="Times New Roman" w:cs="Times New Roman"/>
          <w:noProof/>
          <w:sz w:val="24"/>
          <w:szCs w:val="24"/>
        </w:rPr>
        <w:t>, 1179–1185 (2016).</w:t>
      </w:r>
    </w:p>
    <w:p w14:paraId="4801BE8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77.</w:t>
      </w:r>
      <w:r w:rsidRPr="00EB2576">
        <w:rPr>
          <w:rFonts w:ascii="Times New Roman" w:hAnsi="Times New Roman" w:cs="Times New Roman"/>
          <w:noProof/>
          <w:sz w:val="24"/>
          <w:szCs w:val="24"/>
        </w:rPr>
        <w:tab/>
        <w:t xml:space="preserve">Lee, S. J. &amp; Kavanaugh, A. Adverse reactions to biologic agents: Focus on autoimmune disease therapies. </w:t>
      </w:r>
      <w:r w:rsidRPr="00EB2576">
        <w:rPr>
          <w:rFonts w:ascii="Times New Roman" w:hAnsi="Times New Roman" w:cs="Times New Roman"/>
          <w:i/>
          <w:iCs/>
          <w:noProof/>
          <w:sz w:val="24"/>
          <w:szCs w:val="24"/>
        </w:rPr>
        <w:t>J. Allergy Clin.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116</w:t>
      </w:r>
      <w:r w:rsidRPr="00EB2576">
        <w:rPr>
          <w:rFonts w:ascii="Times New Roman" w:hAnsi="Times New Roman" w:cs="Times New Roman"/>
          <w:noProof/>
          <w:sz w:val="24"/>
          <w:szCs w:val="24"/>
        </w:rPr>
        <w:t>, 900–905 (2005).</w:t>
      </w:r>
    </w:p>
    <w:p w14:paraId="05F761B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78.</w:t>
      </w:r>
      <w:r w:rsidRPr="00EB2576">
        <w:rPr>
          <w:rFonts w:ascii="Times New Roman" w:hAnsi="Times New Roman" w:cs="Times New Roman"/>
          <w:noProof/>
          <w:sz w:val="24"/>
          <w:szCs w:val="24"/>
        </w:rPr>
        <w:tab/>
        <w:t xml:space="preserve">Lichtenstein, L.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Infliximab-Related Infusion Reactions: Systematic Review.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806–815 (2015).</w:t>
      </w:r>
    </w:p>
    <w:p w14:paraId="7E6B878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79.</w:t>
      </w:r>
      <w:r w:rsidRPr="00EB2576">
        <w:rPr>
          <w:rFonts w:ascii="Times New Roman" w:hAnsi="Times New Roman" w:cs="Times New Roman"/>
          <w:noProof/>
          <w:sz w:val="24"/>
          <w:szCs w:val="24"/>
        </w:rPr>
        <w:tab/>
        <w:t xml:space="preserve">Andersen, N. N.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Association Between Tumor Necrosis Factor-α Antagonists and Risk of Cancer in Patients With Inflammatory Bowel Disease. </w:t>
      </w:r>
      <w:r w:rsidRPr="00EB2576">
        <w:rPr>
          <w:rFonts w:ascii="Times New Roman" w:hAnsi="Times New Roman" w:cs="Times New Roman"/>
          <w:i/>
          <w:iCs/>
          <w:noProof/>
          <w:sz w:val="24"/>
          <w:szCs w:val="24"/>
        </w:rPr>
        <w:t>JAMA</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311</w:t>
      </w:r>
      <w:r w:rsidRPr="00EB2576">
        <w:rPr>
          <w:rFonts w:ascii="Times New Roman" w:hAnsi="Times New Roman" w:cs="Times New Roman"/>
          <w:noProof/>
          <w:sz w:val="24"/>
          <w:szCs w:val="24"/>
        </w:rPr>
        <w:t>, 2406 (2014).</w:t>
      </w:r>
    </w:p>
    <w:p w14:paraId="7E3C64F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80.</w:t>
      </w:r>
      <w:r w:rsidRPr="00EB2576">
        <w:rPr>
          <w:rFonts w:ascii="Times New Roman" w:hAnsi="Times New Roman" w:cs="Times New Roman"/>
          <w:noProof/>
          <w:sz w:val="24"/>
          <w:szCs w:val="24"/>
        </w:rPr>
        <w:tab/>
        <w:t xml:space="preserve">Beaugerie, L.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Lymphoproliferative disorders in patients receiving thiopurines for inflammatory bowel disease: a prospective observational cohort study. </w:t>
      </w:r>
      <w:r w:rsidRPr="00EB2576">
        <w:rPr>
          <w:rFonts w:ascii="Times New Roman" w:hAnsi="Times New Roman" w:cs="Times New Roman"/>
          <w:i/>
          <w:iCs/>
          <w:noProof/>
          <w:sz w:val="24"/>
          <w:szCs w:val="24"/>
        </w:rPr>
        <w:t>Lancet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374</w:t>
      </w:r>
      <w:r w:rsidRPr="00EB2576">
        <w:rPr>
          <w:rFonts w:ascii="Times New Roman" w:hAnsi="Times New Roman" w:cs="Times New Roman"/>
          <w:noProof/>
          <w:sz w:val="24"/>
          <w:szCs w:val="24"/>
        </w:rPr>
        <w:t>, 1617–1625 (2009).</w:t>
      </w:r>
    </w:p>
    <w:p w14:paraId="6DFB61C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81.</w:t>
      </w:r>
      <w:r w:rsidRPr="00EB2576">
        <w:rPr>
          <w:rFonts w:ascii="Times New Roman" w:hAnsi="Times New Roman" w:cs="Times New Roman"/>
          <w:noProof/>
          <w:sz w:val="24"/>
          <w:szCs w:val="24"/>
        </w:rPr>
        <w:tab/>
        <w:t xml:space="preserve">Subramaniam, K., D’Rozario, J. &amp; Pavli, P. Lymphoma and other lymphoproliferative disorders in inflammatory bowel disease: A review. </w:t>
      </w:r>
      <w:r w:rsidRPr="00EB2576">
        <w:rPr>
          <w:rFonts w:ascii="Times New Roman" w:hAnsi="Times New Roman" w:cs="Times New Roman"/>
          <w:i/>
          <w:iCs/>
          <w:noProof/>
          <w:sz w:val="24"/>
          <w:szCs w:val="24"/>
        </w:rPr>
        <w:t>J.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28</w:t>
      </w:r>
      <w:r w:rsidRPr="00EB2576">
        <w:rPr>
          <w:rFonts w:ascii="Times New Roman" w:hAnsi="Times New Roman" w:cs="Times New Roman"/>
          <w:noProof/>
          <w:sz w:val="24"/>
          <w:szCs w:val="24"/>
        </w:rPr>
        <w:t>, 24–30 (2013).</w:t>
      </w:r>
    </w:p>
    <w:p w14:paraId="5FE2F2B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82.</w:t>
      </w:r>
      <w:r w:rsidRPr="00EB2576">
        <w:rPr>
          <w:rFonts w:ascii="Times New Roman" w:hAnsi="Times New Roman" w:cs="Times New Roman"/>
          <w:noProof/>
          <w:sz w:val="24"/>
          <w:szCs w:val="24"/>
        </w:rPr>
        <w:tab/>
        <w:t xml:space="preserve">Shah, E. D.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Systematic review: hepatosplenic T-cell lymphoma on biologic therapy for inflammatory bowel disease, including data from the Food and Drug Administration Adverse Event Reporting System.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51</w:t>
      </w:r>
      <w:r w:rsidRPr="00EB2576">
        <w:rPr>
          <w:rFonts w:ascii="Times New Roman" w:hAnsi="Times New Roman" w:cs="Times New Roman"/>
          <w:noProof/>
          <w:sz w:val="24"/>
          <w:szCs w:val="24"/>
        </w:rPr>
        <w:t>, 527–533 (2020).</w:t>
      </w:r>
    </w:p>
    <w:p w14:paraId="20867E8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83.</w:t>
      </w:r>
      <w:r w:rsidRPr="00EB2576">
        <w:rPr>
          <w:rFonts w:ascii="Times New Roman" w:hAnsi="Times New Roman" w:cs="Times New Roman"/>
          <w:noProof/>
          <w:sz w:val="24"/>
          <w:szCs w:val="24"/>
        </w:rPr>
        <w:tab/>
        <w:t xml:space="preserve">World Health Organization. Guidelines on Evaluation of Similar Biotherapeutic Products (SBPs). </w:t>
      </w:r>
      <w:r w:rsidRPr="00EB2576">
        <w:rPr>
          <w:rFonts w:ascii="Times New Roman" w:hAnsi="Times New Roman" w:cs="Times New Roman"/>
          <w:i/>
          <w:iCs/>
          <w:noProof/>
          <w:sz w:val="24"/>
          <w:szCs w:val="24"/>
        </w:rPr>
        <w:t>WHO Tech. Rep. Ser.</w:t>
      </w:r>
      <w:r w:rsidRPr="00EB2576">
        <w:rPr>
          <w:rFonts w:ascii="Times New Roman" w:hAnsi="Times New Roman" w:cs="Times New Roman"/>
          <w:noProof/>
          <w:sz w:val="24"/>
          <w:szCs w:val="24"/>
        </w:rPr>
        <w:t xml:space="preserve"> 34 (2009).</w:t>
      </w:r>
    </w:p>
    <w:p w14:paraId="62B1847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84.</w:t>
      </w:r>
      <w:r w:rsidRPr="00EB2576">
        <w:rPr>
          <w:rFonts w:ascii="Times New Roman" w:hAnsi="Times New Roman" w:cs="Times New Roman"/>
          <w:noProof/>
          <w:sz w:val="24"/>
          <w:szCs w:val="24"/>
        </w:rPr>
        <w:tab/>
        <w:t xml:space="preserve">Jung, S. 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Physicochemical characterization of Remsima®. </w:t>
      </w:r>
      <w:r w:rsidRPr="00EB2576">
        <w:rPr>
          <w:rFonts w:ascii="Times New Roman" w:hAnsi="Times New Roman" w:cs="Times New Roman"/>
          <w:i/>
          <w:iCs/>
          <w:noProof/>
          <w:sz w:val="24"/>
          <w:szCs w:val="24"/>
        </w:rPr>
        <w:t>MAbs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w:t>
      </w:r>
      <w:r w:rsidRPr="00EB2576">
        <w:rPr>
          <w:rFonts w:ascii="Times New Roman" w:hAnsi="Times New Roman" w:cs="Times New Roman"/>
          <w:noProof/>
          <w:sz w:val="24"/>
          <w:szCs w:val="24"/>
        </w:rPr>
        <w:t>, 1163–1177 (2014).</w:t>
      </w:r>
    </w:p>
    <w:p w14:paraId="4F32DD1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85.</w:t>
      </w:r>
      <w:r w:rsidRPr="00EB2576">
        <w:rPr>
          <w:rFonts w:ascii="Times New Roman" w:hAnsi="Times New Roman" w:cs="Times New Roman"/>
          <w:noProof/>
          <w:sz w:val="24"/>
          <w:szCs w:val="24"/>
        </w:rPr>
        <w:tab/>
        <w:t xml:space="preserve">Shin, D., Kim, Y., Kim, Y. S., Körnicke, T. &amp; Fuhr, R. A Randomized, Phase I </w:t>
      </w:r>
      <w:r w:rsidRPr="00EB2576">
        <w:rPr>
          <w:rFonts w:ascii="Times New Roman" w:hAnsi="Times New Roman" w:cs="Times New Roman"/>
          <w:noProof/>
          <w:sz w:val="24"/>
          <w:szCs w:val="24"/>
        </w:rPr>
        <w:lastRenderedPageBreak/>
        <w:t xml:space="preserve">Pharmacokinetic Study Comparing SB2 and Infliximab Reference Product (Remicade®) in Healthy Subjects. </w:t>
      </w:r>
      <w:r w:rsidRPr="00EB2576">
        <w:rPr>
          <w:rFonts w:ascii="Times New Roman" w:hAnsi="Times New Roman" w:cs="Times New Roman"/>
          <w:i/>
          <w:iCs/>
          <w:noProof/>
          <w:sz w:val="24"/>
          <w:szCs w:val="24"/>
        </w:rPr>
        <w:t>BioDrugs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29</w:t>
      </w:r>
      <w:r w:rsidRPr="00EB2576">
        <w:rPr>
          <w:rFonts w:ascii="Times New Roman" w:hAnsi="Times New Roman" w:cs="Times New Roman"/>
          <w:noProof/>
          <w:sz w:val="24"/>
          <w:szCs w:val="24"/>
        </w:rPr>
        <w:t>, 381–388 (2015).</w:t>
      </w:r>
    </w:p>
    <w:p w14:paraId="6D5950E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86.</w:t>
      </w:r>
      <w:r w:rsidRPr="00EB2576">
        <w:rPr>
          <w:rFonts w:ascii="Times New Roman" w:hAnsi="Times New Roman" w:cs="Times New Roman"/>
          <w:noProof/>
          <w:sz w:val="24"/>
          <w:szCs w:val="24"/>
        </w:rPr>
        <w:tab/>
        <w:t xml:space="preserve">Beyer, B., Walch, N., Jungbauer, A. &amp; Lingg, N. How Similar Is Biosimilar? A Comparison of Infliximab Therapeutics in Regard to Charge Variant Profile and Antigen Binding Affinity. </w:t>
      </w:r>
      <w:r w:rsidRPr="00EB2576">
        <w:rPr>
          <w:rFonts w:ascii="Times New Roman" w:hAnsi="Times New Roman" w:cs="Times New Roman"/>
          <w:i/>
          <w:iCs/>
          <w:noProof/>
          <w:sz w:val="24"/>
          <w:szCs w:val="24"/>
        </w:rPr>
        <w:t>Biotechnol. J.</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1800340 (2019).</w:t>
      </w:r>
    </w:p>
    <w:p w14:paraId="16810CE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87.</w:t>
      </w:r>
      <w:r w:rsidRPr="00EB2576">
        <w:rPr>
          <w:rFonts w:ascii="Times New Roman" w:hAnsi="Times New Roman" w:cs="Times New Roman"/>
          <w:noProof/>
          <w:sz w:val="24"/>
          <w:szCs w:val="24"/>
        </w:rPr>
        <w:tab/>
        <w:t xml:space="preserve">Ebbers, H. C.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Batch-to-Batch Consistency of SB4 and SB2, Etanercept and Infliximab Biosimilars. </w:t>
      </w:r>
      <w:r w:rsidRPr="00EB2576">
        <w:rPr>
          <w:rFonts w:ascii="Times New Roman" w:hAnsi="Times New Roman" w:cs="Times New Roman"/>
          <w:i/>
          <w:iCs/>
          <w:noProof/>
          <w:sz w:val="24"/>
          <w:szCs w:val="24"/>
        </w:rPr>
        <w:t>BioDrugs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34</w:t>
      </w:r>
      <w:r w:rsidRPr="00EB2576">
        <w:rPr>
          <w:rFonts w:ascii="Times New Roman" w:hAnsi="Times New Roman" w:cs="Times New Roman"/>
          <w:noProof/>
          <w:sz w:val="24"/>
          <w:szCs w:val="24"/>
        </w:rPr>
        <w:t>, 225–233 (2020).</w:t>
      </w:r>
    </w:p>
    <w:p w14:paraId="6FD7C35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88.</w:t>
      </w:r>
      <w:r w:rsidRPr="00EB2576">
        <w:rPr>
          <w:rFonts w:ascii="Times New Roman" w:hAnsi="Times New Roman" w:cs="Times New Roman"/>
          <w:noProof/>
          <w:sz w:val="24"/>
          <w:szCs w:val="24"/>
        </w:rPr>
        <w:tab/>
        <w:t xml:space="preserve">Ben-Horin,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Cross-immunogenicity: antibodies to infliximab in Remicade-treated patients with IBD similarly recognise the biosimilar Remsima.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65</w:t>
      </w:r>
      <w:r w:rsidRPr="00EB2576">
        <w:rPr>
          <w:rFonts w:ascii="Times New Roman" w:hAnsi="Times New Roman" w:cs="Times New Roman"/>
          <w:noProof/>
          <w:sz w:val="24"/>
          <w:szCs w:val="24"/>
        </w:rPr>
        <w:t>, 1132–1138 (2016).</w:t>
      </w:r>
    </w:p>
    <w:p w14:paraId="436CE16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89.</w:t>
      </w:r>
      <w:r w:rsidRPr="00EB2576">
        <w:rPr>
          <w:rFonts w:ascii="Times New Roman" w:hAnsi="Times New Roman" w:cs="Times New Roman"/>
          <w:noProof/>
          <w:sz w:val="24"/>
          <w:szCs w:val="24"/>
        </w:rPr>
        <w:tab/>
        <w:t xml:space="preserve">Fiorino,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Full Interchangeability in Regard to Immunogenicity Between the Infliximab Reference Biologic and Biosimilars CT-P13 and SB2 in Inflammatory Bowel Disease.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24</w:t>
      </w:r>
      <w:r w:rsidRPr="00EB2576">
        <w:rPr>
          <w:rFonts w:ascii="Times New Roman" w:hAnsi="Times New Roman" w:cs="Times New Roman"/>
          <w:noProof/>
          <w:sz w:val="24"/>
          <w:szCs w:val="24"/>
        </w:rPr>
        <w:t>, 601–606 (2018).</w:t>
      </w:r>
    </w:p>
    <w:p w14:paraId="430F0FE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90.</w:t>
      </w:r>
      <w:r w:rsidRPr="00EB2576">
        <w:rPr>
          <w:rFonts w:ascii="Times New Roman" w:hAnsi="Times New Roman" w:cs="Times New Roman"/>
          <w:noProof/>
          <w:sz w:val="24"/>
          <w:szCs w:val="24"/>
        </w:rPr>
        <w:tab/>
        <w:t xml:space="preserve">Yoo, D. H.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randomised, double-blind, parallel-group study to demonstrate equivalence in efficacy and safety of CT-P13 compared with innovator infliximab when coadministered with methotrexate in patients with active rheumatoid arthritis: the PLANETRA study. </w:t>
      </w:r>
      <w:r w:rsidRPr="00EB2576">
        <w:rPr>
          <w:rFonts w:ascii="Times New Roman" w:hAnsi="Times New Roman" w:cs="Times New Roman"/>
          <w:i/>
          <w:iCs/>
          <w:noProof/>
          <w:sz w:val="24"/>
          <w:szCs w:val="24"/>
        </w:rPr>
        <w:t>Ann. Rheum.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72</w:t>
      </w:r>
      <w:r w:rsidRPr="00EB2576">
        <w:rPr>
          <w:rFonts w:ascii="Times New Roman" w:hAnsi="Times New Roman" w:cs="Times New Roman"/>
          <w:noProof/>
          <w:sz w:val="24"/>
          <w:szCs w:val="24"/>
        </w:rPr>
        <w:t>, 1613–1620 (2013).</w:t>
      </w:r>
    </w:p>
    <w:p w14:paraId="33E18CD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91.</w:t>
      </w:r>
      <w:r w:rsidRPr="00EB2576">
        <w:rPr>
          <w:rFonts w:ascii="Times New Roman" w:hAnsi="Times New Roman" w:cs="Times New Roman"/>
          <w:noProof/>
          <w:sz w:val="24"/>
          <w:szCs w:val="24"/>
        </w:rPr>
        <w:tab/>
        <w:t xml:space="preserve">Park, W.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randomised, double-blind, multicentre, parallel-group, prospective study comparing the pharmacokinetics, safety, and efficacy of CT-P13 and innovator infliximab in patients with ankylosing spondylitis: the PLANETAS study. </w:t>
      </w:r>
      <w:r w:rsidRPr="00EB2576">
        <w:rPr>
          <w:rFonts w:ascii="Times New Roman" w:hAnsi="Times New Roman" w:cs="Times New Roman"/>
          <w:i/>
          <w:iCs/>
          <w:noProof/>
          <w:sz w:val="24"/>
          <w:szCs w:val="24"/>
        </w:rPr>
        <w:t>Ann. Rheum.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72</w:t>
      </w:r>
      <w:r w:rsidRPr="00EB2576">
        <w:rPr>
          <w:rFonts w:ascii="Times New Roman" w:hAnsi="Times New Roman" w:cs="Times New Roman"/>
          <w:noProof/>
          <w:sz w:val="24"/>
          <w:szCs w:val="24"/>
        </w:rPr>
        <w:t>, 1605–1612 (2013).</w:t>
      </w:r>
    </w:p>
    <w:p w14:paraId="6EE6283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92.</w:t>
      </w:r>
      <w:r w:rsidRPr="00EB2576">
        <w:rPr>
          <w:rFonts w:ascii="Times New Roman" w:hAnsi="Times New Roman" w:cs="Times New Roman"/>
          <w:noProof/>
          <w:sz w:val="24"/>
          <w:szCs w:val="24"/>
        </w:rPr>
        <w:tab/>
        <w:t xml:space="preserve">Choe, J.-Y.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randomised, double-blind, phase III study comparing SB2, an infliximab biosimilar, to the infliximab reference product Remicade in patients with moderate to severe rheumatoid arthritis despite methotrexate therapy. </w:t>
      </w:r>
      <w:r w:rsidRPr="00EB2576">
        <w:rPr>
          <w:rFonts w:ascii="Times New Roman" w:hAnsi="Times New Roman" w:cs="Times New Roman"/>
          <w:i/>
          <w:iCs/>
          <w:noProof/>
          <w:sz w:val="24"/>
          <w:szCs w:val="24"/>
        </w:rPr>
        <w:t>Ann. Rheum.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76</w:t>
      </w:r>
      <w:r w:rsidRPr="00EB2576">
        <w:rPr>
          <w:rFonts w:ascii="Times New Roman" w:hAnsi="Times New Roman" w:cs="Times New Roman"/>
          <w:noProof/>
          <w:sz w:val="24"/>
          <w:szCs w:val="24"/>
        </w:rPr>
        <w:t>, 58–64 (2017).</w:t>
      </w:r>
    </w:p>
    <w:p w14:paraId="0EA0D03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93.</w:t>
      </w:r>
      <w:r w:rsidRPr="00EB2576">
        <w:rPr>
          <w:rFonts w:ascii="Times New Roman" w:hAnsi="Times New Roman" w:cs="Times New Roman"/>
          <w:noProof/>
          <w:sz w:val="24"/>
          <w:szCs w:val="24"/>
        </w:rPr>
        <w:tab/>
        <w:t xml:space="preserve">Joergensen, K. 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Biosimilar Infliximab (CT-P13) is not Inferior to Originator Infliximab: Explorative IBD Subgroup-Analyses in Crohn’s Disease and Ulcerative Colitis from the Nor-Switch Trial.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152</w:t>
      </w:r>
      <w:r w:rsidRPr="00EB2576">
        <w:rPr>
          <w:rFonts w:ascii="Times New Roman" w:hAnsi="Times New Roman" w:cs="Times New Roman"/>
          <w:noProof/>
          <w:sz w:val="24"/>
          <w:szCs w:val="24"/>
        </w:rPr>
        <w:t>, S65–S66 (2017).</w:t>
      </w:r>
    </w:p>
    <w:p w14:paraId="4A5FD35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94.</w:t>
      </w:r>
      <w:r w:rsidRPr="00EB2576">
        <w:rPr>
          <w:rFonts w:ascii="Times New Roman" w:hAnsi="Times New Roman" w:cs="Times New Roman"/>
          <w:noProof/>
          <w:sz w:val="24"/>
          <w:szCs w:val="24"/>
        </w:rPr>
        <w:tab/>
        <w:t xml:space="preserve">Gisbert, J. P. &amp; Chaparro, M. Switching from an originator anti-TNF to a biosimilar in patients with inflammatory bowel disease: Can it be recommended? A systematic review. </w:t>
      </w:r>
      <w:r w:rsidRPr="00EB2576">
        <w:rPr>
          <w:rFonts w:ascii="Times New Roman" w:hAnsi="Times New Roman" w:cs="Times New Roman"/>
          <w:i/>
          <w:iCs/>
          <w:noProof/>
          <w:sz w:val="24"/>
          <w:szCs w:val="24"/>
        </w:rPr>
        <w:t>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41</w:t>
      </w:r>
      <w:r w:rsidRPr="00EB2576">
        <w:rPr>
          <w:rFonts w:ascii="Times New Roman" w:hAnsi="Times New Roman" w:cs="Times New Roman"/>
          <w:noProof/>
          <w:sz w:val="24"/>
          <w:szCs w:val="24"/>
        </w:rPr>
        <w:t>, 389–405 (2018).</w:t>
      </w:r>
    </w:p>
    <w:p w14:paraId="593AE3B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95.</w:t>
      </w:r>
      <w:r w:rsidRPr="00EB2576">
        <w:rPr>
          <w:rFonts w:ascii="Times New Roman" w:hAnsi="Times New Roman" w:cs="Times New Roman"/>
          <w:noProof/>
          <w:sz w:val="24"/>
          <w:szCs w:val="24"/>
        </w:rPr>
        <w:tab/>
        <w:t xml:space="preserve">Ye, B. D.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Efficacy and safety of biosimilar CT-P13 compared with originator infliximab in patients with active Crohn’s disease: an international, randomised, double-blind, phase 3 non-inferiority study. </w:t>
      </w:r>
      <w:r w:rsidRPr="00EB2576">
        <w:rPr>
          <w:rFonts w:ascii="Times New Roman" w:hAnsi="Times New Roman" w:cs="Times New Roman"/>
          <w:i/>
          <w:iCs/>
          <w:noProof/>
          <w:sz w:val="24"/>
          <w:szCs w:val="24"/>
        </w:rPr>
        <w:t>Lancet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393</w:t>
      </w:r>
      <w:r w:rsidRPr="00EB2576">
        <w:rPr>
          <w:rFonts w:ascii="Times New Roman" w:hAnsi="Times New Roman" w:cs="Times New Roman"/>
          <w:noProof/>
          <w:sz w:val="24"/>
          <w:szCs w:val="24"/>
        </w:rPr>
        <w:t>, 1699–1707 (2019).</w:t>
      </w:r>
    </w:p>
    <w:p w14:paraId="433F48D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96.</w:t>
      </w:r>
      <w:r w:rsidRPr="00EB2576">
        <w:rPr>
          <w:rFonts w:ascii="Times New Roman" w:hAnsi="Times New Roman" w:cs="Times New Roman"/>
          <w:noProof/>
          <w:sz w:val="24"/>
          <w:szCs w:val="24"/>
        </w:rPr>
        <w:tab/>
        <w:t xml:space="preserve">Smolen, J.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Comparing biosimilar SB2 with reference infliximab after 54 weeks of a double-blind trial: clinical, structural and safety results. </w:t>
      </w:r>
      <w:r w:rsidRPr="00EB2576">
        <w:rPr>
          <w:rFonts w:ascii="Times New Roman" w:hAnsi="Times New Roman" w:cs="Times New Roman"/>
          <w:i/>
          <w:iCs/>
          <w:noProof/>
          <w:sz w:val="24"/>
          <w:szCs w:val="24"/>
        </w:rPr>
        <w:t>Rheumatology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56</w:t>
      </w:r>
      <w:r w:rsidRPr="00EB2576">
        <w:rPr>
          <w:rFonts w:ascii="Times New Roman" w:hAnsi="Times New Roman" w:cs="Times New Roman"/>
          <w:noProof/>
          <w:sz w:val="24"/>
          <w:szCs w:val="24"/>
        </w:rPr>
        <w:t>, 1771–1779 (2017).</w:t>
      </w:r>
    </w:p>
    <w:p w14:paraId="6DDA13A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97.</w:t>
      </w:r>
      <w:r w:rsidRPr="00EB2576">
        <w:rPr>
          <w:rFonts w:ascii="Times New Roman" w:hAnsi="Times New Roman" w:cs="Times New Roman"/>
          <w:noProof/>
          <w:sz w:val="24"/>
          <w:szCs w:val="24"/>
        </w:rPr>
        <w:tab/>
        <w:t xml:space="preserve">Fischer,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Long-term effectiveness, safety and immunogenicity of the biosimilar SB2 in inflammatory bowel disease patients after switching from originator infliximab. </w:t>
      </w:r>
      <w:r w:rsidRPr="00EB2576">
        <w:rPr>
          <w:rFonts w:ascii="Times New Roman" w:hAnsi="Times New Roman" w:cs="Times New Roman"/>
          <w:i/>
          <w:iCs/>
          <w:noProof/>
          <w:sz w:val="24"/>
          <w:szCs w:val="24"/>
        </w:rPr>
        <w:t>Therap. Adv.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175628482098280 (2021).</w:t>
      </w:r>
    </w:p>
    <w:p w14:paraId="6230ECA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98.</w:t>
      </w:r>
      <w:r w:rsidRPr="00EB2576">
        <w:rPr>
          <w:rFonts w:ascii="Times New Roman" w:hAnsi="Times New Roman" w:cs="Times New Roman"/>
          <w:noProof/>
          <w:sz w:val="24"/>
          <w:szCs w:val="24"/>
        </w:rPr>
        <w:tab/>
        <w:t xml:space="preserve">Massimi, D.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Switching from Infliximab Originator to SB2 Biosimilar in Inflammatory Bowel Diseases: A Multicentric Prospective Real-Life Study. </w:t>
      </w:r>
      <w:r w:rsidRPr="00EB2576">
        <w:rPr>
          <w:rFonts w:ascii="Times New Roman" w:hAnsi="Times New Roman" w:cs="Times New Roman"/>
          <w:i/>
          <w:iCs/>
          <w:noProof/>
          <w:sz w:val="24"/>
          <w:szCs w:val="24"/>
        </w:rPr>
        <w:t xml:space="preserve">Therap. </w:t>
      </w:r>
      <w:r w:rsidRPr="00EB2576">
        <w:rPr>
          <w:rFonts w:ascii="Times New Roman" w:hAnsi="Times New Roman" w:cs="Times New Roman"/>
          <w:i/>
          <w:iCs/>
          <w:noProof/>
          <w:sz w:val="24"/>
          <w:szCs w:val="24"/>
        </w:rPr>
        <w:lastRenderedPageBreak/>
        <w:t>Adv.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175628482110233 (2021).</w:t>
      </w:r>
    </w:p>
    <w:p w14:paraId="09F457D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99.</w:t>
      </w:r>
      <w:r w:rsidRPr="00EB2576">
        <w:rPr>
          <w:rFonts w:ascii="Times New Roman" w:hAnsi="Times New Roman" w:cs="Times New Roman"/>
          <w:noProof/>
          <w:sz w:val="24"/>
          <w:szCs w:val="24"/>
        </w:rPr>
        <w:tab/>
        <w:t>European Medicines Agency. Assessment Report: REMSIMA. 1–105 (2013).</w:t>
      </w:r>
    </w:p>
    <w:p w14:paraId="7DDA359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100.</w:t>
      </w:r>
      <w:r w:rsidRPr="00EB2576">
        <w:rPr>
          <w:rFonts w:ascii="Times New Roman" w:hAnsi="Times New Roman" w:cs="Times New Roman"/>
          <w:noProof/>
          <w:sz w:val="24"/>
          <w:szCs w:val="24"/>
        </w:rPr>
        <w:tab/>
        <w:t xml:space="preserve">European Medicines Agency. EPAR Summary for the public Flixabi infliximab. </w:t>
      </w:r>
      <w:r w:rsidRPr="00EB2576">
        <w:rPr>
          <w:rFonts w:ascii="Times New Roman" w:hAnsi="Times New Roman" w:cs="Times New Roman"/>
          <w:b/>
          <w:bCs/>
          <w:noProof/>
          <w:sz w:val="24"/>
          <w:szCs w:val="24"/>
        </w:rPr>
        <w:t>44</w:t>
      </w:r>
      <w:r w:rsidRPr="00EB2576">
        <w:rPr>
          <w:rFonts w:ascii="Times New Roman" w:hAnsi="Times New Roman" w:cs="Times New Roman"/>
          <w:noProof/>
          <w:sz w:val="24"/>
          <w:szCs w:val="24"/>
        </w:rPr>
        <w:t>, (2016).</w:t>
      </w:r>
    </w:p>
    <w:p w14:paraId="37467F9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101.</w:t>
      </w:r>
      <w:r w:rsidRPr="00EB2576">
        <w:rPr>
          <w:rFonts w:ascii="Times New Roman" w:hAnsi="Times New Roman" w:cs="Times New Roman"/>
          <w:noProof/>
          <w:sz w:val="24"/>
          <w:szCs w:val="24"/>
        </w:rPr>
        <w:tab/>
        <w:t xml:space="preserve">Kuriakose, A., Chirmule, N. &amp; Nair, P. Immunogenicity of Biotherapeutics: Causes and Association with Posttranslational Modifications. </w:t>
      </w:r>
      <w:r w:rsidRPr="00EB2576">
        <w:rPr>
          <w:rFonts w:ascii="Times New Roman" w:hAnsi="Times New Roman" w:cs="Times New Roman"/>
          <w:i/>
          <w:iCs/>
          <w:noProof/>
          <w:sz w:val="24"/>
          <w:szCs w:val="24"/>
        </w:rPr>
        <w:t>J. Immunol.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2016</w:t>
      </w:r>
      <w:r w:rsidRPr="00EB2576">
        <w:rPr>
          <w:rFonts w:ascii="Times New Roman" w:hAnsi="Times New Roman" w:cs="Times New Roman"/>
          <w:noProof/>
          <w:sz w:val="24"/>
          <w:szCs w:val="24"/>
        </w:rPr>
        <w:t>, 1–18 (2016).</w:t>
      </w:r>
    </w:p>
    <w:p w14:paraId="269A152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102.</w:t>
      </w:r>
      <w:r w:rsidRPr="00EB2576">
        <w:rPr>
          <w:rFonts w:ascii="Times New Roman" w:hAnsi="Times New Roman" w:cs="Times New Roman"/>
          <w:noProof/>
          <w:sz w:val="24"/>
          <w:szCs w:val="24"/>
        </w:rPr>
        <w:tab/>
        <w:t>European Medicines Agency. Remicade scientific discussion. 1–30 (2005).</w:t>
      </w:r>
    </w:p>
    <w:p w14:paraId="0029793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103.</w:t>
      </w:r>
      <w:r w:rsidRPr="00EB2576">
        <w:rPr>
          <w:rFonts w:ascii="Times New Roman" w:hAnsi="Times New Roman" w:cs="Times New Roman"/>
          <w:noProof/>
          <w:sz w:val="24"/>
          <w:szCs w:val="24"/>
        </w:rPr>
        <w:tab/>
        <w:t xml:space="preserve">Gimeno-Gracia, M., Gargallo-Puyuelo, C. J. &amp; Gomollón, F. Bioequivalence studies with anti-TNF biosimilars. </w:t>
      </w:r>
      <w:r w:rsidRPr="00EB2576">
        <w:rPr>
          <w:rFonts w:ascii="Times New Roman" w:hAnsi="Times New Roman" w:cs="Times New Roman"/>
          <w:i/>
          <w:iCs/>
          <w:noProof/>
          <w:sz w:val="24"/>
          <w:szCs w:val="24"/>
        </w:rPr>
        <w:t>Expert Opin. Biol.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19</w:t>
      </w:r>
      <w:r w:rsidRPr="00EB2576">
        <w:rPr>
          <w:rFonts w:ascii="Times New Roman" w:hAnsi="Times New Roman" w:cs="Times New Roman"/>
          <w:noProof/>
          <w:sz w:val="24"/>
          <w:szCs w:val="24"/>
        </w:rPr>
        <w:t>, 1031–1043 (2019).</w:t>
      </w:r>
    </w:p>
    <w:p w14:paraId="521B1D5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104.</w:t>
      </w:r>
      <w:r w:rsidRPr="00EB2576">
        <w:rPr>
          <w:rFonts w:ascii="Times New Roman" w:hAnsi="Times New Roman" w:cs="Times New Roman"/>
          <w:noProof/>
          <w:sz w:val="24"/>
          <w:szCs w:val="24"/>
        </w:rPr>
        <w:tab/>
        <w:t xml:space="preserve">Sela-Culang, I., Kunik, V. &amp; Ofran, Y. The Structural Basis of Antibody-Antigen Recognition. </w:t>
      </w:r>
      <w:r w:rsidRPr="00EB2576">
        <w:rPr>
          <w:rFonts w:ascii="Times New Roman" w:hAnsi="Times New Roman" w:cs="Times New Roman"/>
          <w:i/>
          <w:iCs/>
          <w:noProof/>
          <w:sz w:val="24"/>
          <w:szCs w:val="24"/>
        </w:rPr>
        <w:t>Front.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w:t>
      </w:r>
      <w:r w:rsidRPr="00EB2576">
        <w:rPr>
          <w:rFonts w:ascii="Times New Roman" w:hAnsi="Times New Roman" w:cs="Times New Roman"/>
          <w:noProof/>
          <w:sz w:val="24"/>
          <w:szCs w:val="24"/>
        </w:rPr>
        <w:t>, 1–13 (2013).</w:t>
      </w:r>
    </w:p>
    <w:p w14:paraId="7541C34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105.</w:t>
      </w:r>
      <w:r w:rsidRPr="00EB2576">
        <w:rPr>
          <w:rFonts w:ascii="Times New Roman" w:hAnsi="Times New Roman" w:cs="Times New Roman"/>
          <w:noProof/>
          <w:sz w:val="24"/>
          <w:szCs w:val="24"/>
        </w:rPr>
        <w:tab/>
        <w:t xml:space="preserve">Wang, L.-F. &amp; Yu, M. Epitope Identification and Discovery Using Phage Display Libraries: Applications in Vaccine Development and Diagnostics. </w:t>
      </w:r>
      <w:r w:rsidRPr="00EB2576">
        <w:rPr>
          <w:rFonts w:ascii="Times New Roman" w:hAnsi="Times New Roman" w:cs="Times New Roman"/>
          <w:i/>
          <w:iCs/>
          <w:noProof/>
          <w:sz w:val="24"/>
          <w:szCs w:val="24"/>
        </w:rPr>
        <w:t>Curr. Drug Targets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w:t>
      </w:r>
      <w:r w:rsidRPr="00EB2576">
        <w:rPr>
          <w:rFonts w:ascii="Times New Roman" w:hAnsi="Times New Roman" w:cs="Times New Roman"/>
          <w:noProof/>
          <w:sz w:val="24"/>
          <w:szCs w:val="24"/>
        </w:rPr>
        <w:t>, 1–15 (2004).</w:t>
      </w:r>
    </w:p>
    <w:p w14:paraId="76EDBB9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106.</w:t>
      </w:r>
      <w:r w:rsidRPr="00EB2576">
        <w:rPr>
          <w:rFonts w:ascii="Times New Roman" w:hAnsi="Times New Roman" w:cs="Times New Roman"/>
          <w:noProof/>
          <w:sz w:val="24"/>
          <w:szCs w:val="24"/>
        </w:rPr>
        <w:tab/>
        <w:t xml:space="preserve">Frank SA. </w:t>
      </w:r>
      <w:r w:rsidRPr="00EB2576">
        <w:rPr>
          <w:rFonts w:ascii="Times New Roman" w:hAnsi="Times New Roman" w:cs="Times New Roman"/>
          <w:i/>
          <w:iCs/>
          <w:noProof/>
          <w:sz w:val="24"/>
          <w:szCs w:val="24"/>
        </w:rPr>
        <w:t>Immunology and Evolution of Infectious Disease. Princeton (NJ): Princeton University Press; 2002. Chapter 4, Specificity and Cross-Reactivity.</w:t>
      </w:r>
      <w:r w:rsidRPr="00EB2576">
        <w:rPr>
          <w:rFonts w:ascii="Times New Roman" w:hAnsi="Times New Roman" w:cs="Times New Roman"/>
          <w:noProof/>
          <w:sz w:val="24"/>
          <w:szCs w:val="24"/>
        </w:rPr>
        <w:t xml:space="preserve"> (2002).</w:t>
      </w:r>
    </w:p>
    <w:p w14:paraId="19422AE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107.</w:t>
      </w:r>
      <w:r w:rsidRPr="00EB2576">
        <w:rPr>
          <w:rFonts w:ascii="Times New Roman" w:hAnsi="Times New Roman" w:cs="Times New Roman"/>
          <w:noProof/>
          <w:sz w:val="24"/>
          <w:szCs w:val="24"/>
        </w:rPr>
        <w:tab/>
        <w:t xml:space="preserve">De Groot, A. S. &amp; Scott, D. W. Immunogenicity of protein therapeutics. </w:t>
      </w:r>
      <w:r w:rsidRPr="00EB2576">
        <w:rPr>
          <w:rFonts w:ascii="Times New Roman" w:hAnsi="Times New Roman" w:cs="Times New Roman"/>
          <w:i/>
          <w:iCs/>
          <w:noProof/>
          <w:sz w:val="24"/>
          <w:szCs w:val="24"/>
        </w:rPr>
        <w:t>Trends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28</w:t>
      </w:r>
      <w:r w:rsidRPr="00EB2576">
        <w:rPr>
          <w:rFonts w:ascii="Times New Roman" w:hAnsi="Times New Roman" w:cs="Times New Roman"/>
          <w:noProof/>
          <w:sz w:val="24"/>
          <w:szCs w:val="24"/>
        </w:rPr>
        <w:t>, 482–490 (2007).</w:t>
      </w:r>
    </w:p>
    <w:p w14:paraId="1A74CFC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108.</w:t>
      </w:r>
      <w:r w:rsidRPr="00EB2576">
        <w:rPr>
          <w:rFonts w:ascii="Times New Roman" w:hAnsi="Times New Roman" w:cs="Times New Roman"/>
          <w:noProof/>
          <w:sz w:val="24"/>
          <w:szCs w:val="24"/>
        </w:rPr>
        <w:tab/>
        <w:t xml:space="preserve">Janeway CA Jr, Travers P, Walport M,  et al. B-cell activation by armed helper T cells. in </w:t>
      </w:r>
      <w:r w:rsidRPr="00EB2576">
        <w:rPr>
          <w:rFonts w:ascii="Times New Roman" w:hAnsi="Times New Roman" w:cs="Times New Roman"/>
          <w:i/>
          <w:iCs/>
          <w:noProof/>
          <w:sz w:val="24"/>
          <w:szCs w:val="24"/>
        </w:rPr>
        <w:t>Immunobiology: The Immune System in Health and Disease. 5th edition.</w:t>
      </w:r>
      <w:r w:rsidRPr="00EB2576">
        <w:rPr>
          <w:rFonts w:ascii="Times New Roman" w:hAnsi="Times New Roman" w:cs="Times New Roman"/>
          <w:noProof/>
          <w:sz w:val="24"/>
          <w:szCs w:val="24"/>
        </w:rPr>
        <w:t xml:space="preserve"> (ed. Garland Science) (2001).</w:t>
      </w:r>
    </w:p>
    <w:p w14:paraId="0E54332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109.</w:t>
      </w:r>
      <w:r w:rsidRPr="00EB2576">
        <w:rPr>
          <w:rFonts w:ascii="Times New Roman" w:hAnsi="Times New Roman" w:cs="Times New Roman"/>
          <w:noProof/>
          <w:sz w:val="24"/>
          <w:szCs w:val="24"/>
        </w:rPr>
        <w:tab/>
        <w:t xml:space="preserve">Köhler, G. &amp; Milstein, C. Continuous cultures of fused cells secreting antibody of predefined specificity. </w:t>
      </w:r>
      <w:r w:rsidRPr="00EB2576">
        <w:rPr>
          <w:rFonts w:ascii="Times New Roman" w:hAnsi="Times New Roman" w:cs="Times New Roman"/>
          <w:i/>
          <w:iCs/>
          <w:noProof/>
          <w:sz w:val="24"/>
          <w:szCs w:val="24"/>
        </w:rPr>
        <w:t>Nature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256</w:t>
      </w:r>
      <w:r w:rsidRPr="00EB2576">
        <w:rPr>
          <w:rFonts w:ascii="Times New Roman" w:hAnsi="Times New Roman" w:cs="Times New Roman"/>
          <w:noProof/>
          <w:sz w:val="24"/>
          <w:szCs w:val="24"/>
        </w:rPr>
        <w:t>, 495–7 (1975).</w:t>
      </w:r>
    </w:p>
    <w:p w14:paraId="4F3A3C0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110.</w:t>
      </w:r>
      <w:r w:rsidRPr="00EB2576">
        <w:rPr>
          <w:rFonts w:ascii="Times New Roman" w:hAnsi="Times New Roman" w:cs="Times New Roman"/>
          <w:noProof/>
          <w:sz w:val="24"/>
          <w:szCs w:val="24"/>
        </w:rPr>
        <w:tab/>
        <w:t xml:space="preserve">Rich RR, Fleisher TA, Shearer WT, Schroeder H, F. A. and W. C. </w:t>
      </w:r>
      <w:r w:rsidRPr="00EB2576">
        <w:rPr>
          <w:rFonts w:ascii="Times New Roman" w:hAnsi="Times New Roman" w:cs="Times New Roman"/>
          <w:i/>
          <w:iCs/>
          <w:noProof/>
          <w:sz w:val="24"/>
          <w:szCs w:val="24"/>
        </w:rPr>
        <w:t>Clinical Immunology, 4th Edition.</w:t>
      </w:r>
      <w:r w:rsidRPr="00EB2576">
        <w:rPr>
          <w:rFonts w:ascii="Times New Roman" w:hAnsi="Times New Roman" w:cs="Times New Roman"/>
          <w:noProof/>
          <w:sz w:val="24"/>
          <w:szCs w:val="24"/>
        </w:rPr>
        <w:t xml:space="preserve"> (Saunders, 2012).</w:t>
      </w:r>
    </w:p>
    <w:p w14:paraId="081E880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111.</w:t>
      </w:r>
      <w:r w:rsidRPr="00EB2576">
        <w:rPr>
          <w:rFonts w:ascii="Times New Roman" w:hAnsi="Times New Roman" w:cs="Times New Roman"/>
          <w:noProof/>
          <w:sz w:val="24"/>
          <w:szCs w:val="24"/>
        </w:rPr>
        <w:tab/>
        <w:t xml:space="preserve">Baker, M., Reynolds, H. M., Lumicisi, B. &amp; Bryson, C. J. Immunogenicity of protein therapeutics: The key causes, consequences and challenges. </w:t>
      </w:r>
      <w:r w:rsidRPr="00EB2576">
        <w:rPr>
          <w:rFonts w:ascii="Times New Roman" w:hAnsi="Times New Roman" w:cs="Times New Roman"/>
          <w:i/>
          <w:iCs/>
          <w:noProof/>
          <w:sz w:val="24"/>
          <w:szCs w:val="24"/>
        </w:rPr>
        <w:t>Self. Nonself.</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w:t>
      </w:r>
      <w:r w:rsidRPr="00EB2576">
        <w:rPr>
          <w:rFonts w:ascii="Times New Roman" w:hAnsi="Times New Roman" w:cs="Times New Roman"/>
          <w:noProof/>
          <w:sz w:val="24"/>
          <w:szCs w:val="24"/>
        </w:rPr>
        <w:t>, 314–322 (2010).</w:t>
      </w:r>
    </w:p>
    <w:p w14:paraId="16545A9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112.</w:t>
      </w:r>
      <w:r w:rsidRPr="00EB2576">
        <w:rPr>
          <w:rFonts w:ascii="Times New Roman" w:hAnsi="Times New Roman" w:cs="Times New Roman"/>
          <w:noProof/>
          <w:sz w:val="24"/>
          <w:szCs w:val="24"/>
        </w:rPr>
        <w:tab/>
        <w:t xml:space="preserve">Boven, 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increased incidence of pure red cell aplasia with an Eprex formulation in uncoated rubber stopper syringes. </w:t>
      </w:r>
      <w:r w:rsidRPr="00EB2576">
        <w:rPr>
          <w:rFonts w:ascii="Times New Roman" w:hAnsi="Times New Roman" w:cs="Times New Roman"/>
          <w:i/>
          <w:iCs/>
          <w:noProof/>
          <w:sz w:val="24"/>
          <w:szCs w:val="24"/>
        </w:rPr>
        <w:t>Kidney Int.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67</w:t>
      </w:r>
      <w:r w:rsidRPr="00EB2576">
        <w:rPr>
          <w:rFonts w:ascii="Times New Roman" w:hAnsi="Times New Roman" w:cs="Times New Roman"/>
          <w:noProof/>
          <w:sz w:val="24"/>
          <w:szCs w:val="24"/>
        </w:rPr>
        <w:t>, 2346–2353 (2005).</w:t>
      </w:r>
    </w:p>
    <w:p w14:paraId="3D233C1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113.</w:t>
      </w:r>
      <w:r w:rsidRPr="00EB2576">
        <w:rPr>
          <w:rFonts w:ascii="Times New Roman" w:hAnsi="Times New Roman" w:cs="Times New Roman"/>
          <w:noProof/>
          <w:sz w:val="24"/>
          <w:szCs w:val="24"/>
        </w:rPr>
        <w:tab/>
        <w:t xml:space="preserve">Wadhwa, M., Knezevic, I., Kang, H.-N. &amp; Thorpe, R. Immunogenicity assessment of biotherapeutic products: An overview of assays and their utility. </w:t>
      </w:r>
      <w:r w:rsidRPr="00EB2576">
        <w:rPr>
          <w:rFonts w:ascii="Times New Roman" w:hAnsi="Times New Roman" w:cs="Times New Roman"/>
          <w:i/>
          <w:iCs/>
          <w:noProof/>
          <w:sz w:val="24"/>
          <w:szCs w:val="24"/>
        </w:rPr>
        <w:t>Biologicals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43</w:t>
      </w:r>
      <w:r w:rsidRPr="00EB2576">
        <w:rPr>
          <w:rFonts w:ascii="Times New Roman" w:hAnsi="Times New Roman" w:cs="Times New Roman"/>
          <w:noProof/>
          <w:sz w:val="24"/>
          <w:szCs w:val="24"/>
        </w:rPr>
        <w:t>, 298–306 (2015).</w:t>
      </w:r>
    </w:p>
    <w:p w14:paraId="0BC5799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114.</w:t>
      </w:r>
      <w:r w:rsidRPr="00EB2576">
        <w:rPr>
          <w:rFonts w:ascii="Times New Roman" w:hAnsi="Times New Roman" w:cs="Times New Roman"/>
          <w:noProof/>
          <w:sz w:val="24"/>
          <w:szCs w:val="24"/>
        </w:rPr>
        <w:tab/>
        <w:t xml:space="preserve">ASTERMARK, J. Basic aspects of inhibitors to factors VIII and IX and the influence of non-genetic risk factors. </w:t>
      </w:r>
      <w:r w:rsidRPr="00EB2576">
        <w:rPr>
          <w:rFonts w:ascii="Times New Roman" w:hAnsi="Times New Roman" w:cs="Times New Roman"/>
          <w:i/>
          <w:iCs/>
          <w:noProof/>
          <w:sz w:val="24"/>
          <w:szCs w:val="24"/>
        </w:rPr>
        <w:t>Haemophilia</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12</w:t>
      </w:r>
      <w:r w:rsidRPr="00EB2576">
        <w:rPr>
          <w:rFonts w:ascii="Times New Roman" w:hAnsi="Times New Roman" w:cs="Times New Roman"/>
          <w:noProof/>
          <w:sz w:val="24"/>
          <w:szCs w:val="24"/>
        </w:rPr>
        <w:t>, 8–14 (2006).</w:t>
      </w:r>
    </w:p>
    <w:p w14:paraId="31D6DFB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115.</w:t>
      </w:r>
      <w:r w:rsidRPr="00EB2576">
        <w:rPr>
          <w:rFonts w:ascii="Times New Roman" w:hAnsi="Times New Roman" w:cs="Times New Roman"/>
          <w:noProof/>
          <w:sz w:val="24"/>
          <w:szCs w:val="24"/>
        </w:rPr>
        <w:tab/>
        <w:t xml:space="preserve">Singh, S. K. Impact of Product-Related Factors on Immunogenicity of Biotherapeutics. </w:t>
      </w:r>
      <w:r w:rsidRPr="00EB2576">
        <w:rPr>
          <w:rFonts w:ascii="Times New Roman" w:hAnsi="Times New Roman" w:cs="Times New Roman"/>
          <w:i/>
          <w:iCs/>
          <w:noProof/>
          <w:sz w:val="24"/>
          <w:szCs w:val="24"/>
        </w:rPr>
        <w:t>J. Pharm. Sci.</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100</w:t>
      </w:r>
      <w:r w:rsidRPr="00EB2576">
        <w:rPr>
          <w:rFonts w:ascii="Times New Roman" w:hAnsi="Times New Roman" w:cs="Times New Roman"/>
          <w:noProof/>
          <w:sz w:val="24"/>
          <w:szCs w:val="24"/>
        </w:rPr>
        <w:t>, 354–387 (2011).</w:t>
      </w:r>
    </w:p>
    <w:p w14:paraId="1B512FF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116.</w:t>
      </w:r>
      <w:r w:rsidRPr="00EB2576">
        <w:rPr>
          <w:rFonts w:ascii="Times New Roman" w:hAnsi="Times New Roman" w:cs="Times New Roman"/>
          <w:noProof/>
          <w:sz w:val="24"/>
          <w:szCs w:val="24"/>
        </w:rPr>
        <w:tab/>
        <w:t xml:space="preserve">Vande Casteele, N.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Detection of infliximab levels and anti-infliximab antibodies: a comparison of three different assays.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36</w:t>
      </w:r>
      <w:r w:rsidRPr="00EB2576">
        <w:rPr>
          <w:rFonts w:ascii="Times New Roman" w:hAnsi="Times New Roman" w:cs="Times New Roman"/>
          <w:noProof/>
          <w:sz w:val="24"/>
          <w:szCs w:val="24"/>
        </w:rPr>
        <w:t>, 765–771 (2012).</w:t>
      </w:r>
    </w:p>
    <w:p w14:paraId="14AB0C2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117.</w:t>
      </w:r>
      <w:r w:rsidRPr="00EB2576">
        <w:rPr>
          <w:rFonts w:ascii="Times New Roman" w:hAnsi="Times New Roman" w:cs="Times New Roman"/>
          <w:noProof/>
          <w:sz w:val="24"/>
          <w:szCs w:val="24"/>
        </w:rPr>
        <w:tab/>
        <w:t>Immunodiagnostik AG. IDK monitor Infliximab total ADA ELISA. (2015).</w:t>
      </w:r>
    </w:p>
    <w:p w14:paraId="00FED93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118.</w:t>
      </w:r>
      <w:r w:rsidRPr="00EB2576">
        <w:rPr>
          <w:rFonts w:ascii="Times New Roman" w:hAnsi="Times New Roman" w:cs="Times New Roman"/>
          <w:noProof/>
          <w:sz w:val="24"/>
          <w:szCs w:val="24"/>
        </w:rPr>
        <w:tab/>
        <w:t xml:space="preserve">Baert, F.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Influence of Immunogenicity on the Long-Term Efficacy of Infliximab in Crohn’s Disease.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348</w:t>
      </w:r>
      <w:r w:rsidRPr="00EB2576">
        <w:rPr>
          <w:rFonts w:ascii="Times New Roman" w:hAnsi="Times New Roman" w:cs="Times New Roman"/>
          <w:noProof/>
          <w:sz w:val="24"/>
          <w:szCs w:val="24"/>
        </w:rPr>
        <w:t>, 601–608 (2003).</w:t>
      </w:r>
    </w:p>
    <w:p w14:paraId="4BDFD5A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119.</w:t>
      </w:r>
      <w:r w:rsidRPr="00EB2576">
        <w:rPr>
          <w:rFonts w:ascii="Times New Roman" w:hAnsi="Times New Roman" w:cs="Times New Roman"/>
          <w:noProof/>
          <w:sz w:val="24"/>
          <w:szCs w:val="24"/>
        </w:rPr>
        <w:tab/>
        <w:t xml:space="preserve">Cornillie, F.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Postinduction serum infliximab trough level and decrease of C-reactive protein level are associated with durable sustained response to infliximab: a retrospective analysis of the ACCENT I trial.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63</w:t>
      </w:r>
      <w:r w:rsidRPr="00EB2576">
        <w:rPr>
          <w:rFonts w:ascii="Times New Roman" w:hAnsi="Times New Roman" w:cs="Times New Roman"/>
          <w:noProof/>
          <w:sz w:val="24"/>
          <w:szCs w:val="24"/>
        </w:rPr>
        <w:t>, 1721–1727 (2014).</w:t>
      </w:r>
    </w:p>
    <w:p w14:paraId="6514CDE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120.</w:t>
      </w:r>
      <w:r w:rsidRPr="00EB2576">
        <w:rPr>
          <w:rFonts w:ascii="Times New Roman" w:hAnsi="Times New Roman" w:cs="Times New Roman"/>
          <w:noProof/>
          <w:sz w:val="24"/>
          <w:szCs w:val="24"/>
        </w:rPr>
        <w:tab/>
        <w:t xml:space="preserve">Vande Casteele, N.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Trough Concentrations of Infliximab Guide Dosing for Patients With Inflammatory Bowel Disease.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148</w:t>
      </w:r>
      <w:r w:rsidRPr="00EB2576">
        <w:rPr>
          <w:rFonts w:ascii="Times New Roman" w:hAnsi="Times New Roman" w:cs="Times New Roman"/>
          <w:noProof/>
          <w:sz w:val="24"/>
          <w:szCs w:val="24"/>
        </w:rPr>
        <w:t>, 1320-1329.e3 (2015).</w:t>
      </w:r>
    </w:p>
    <w:p w14:paraId="6A2CC30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121.</w:t>
      </w:r>
      <w:r w:rsidRPr="00EB2576">
        <w:rPr>
          <w:rFonts w:ascii="Times New Roman" w:hAnsi="Times New Roman" w:cs="Times New Roman"/>
          <w:noProof/>
          <w:sz w:val="24"/>
          <w:szCs w:val="24"/>
        </w:rPr>
        <w:tab/>
        <w:t xml:space="preserve">Vande Casteele, N.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relationship between infliximab concentrations, antibodies to infliximab and disease activity in Crohn’s disease.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64</w:t>
      </w:r>
      <w:r w:rsidRPr="00EB2576">
        <w:rPr>
          <w:rFonts w:ascii="Times New Roman" w:hAnsi="Times New Roman" w:cs="Times New Roman"/>
          <w:noProof/>
          <w:sz w:val="24"/>
          <w:szCs w:val="24"/>
        </w:rPr>
        <w:t>, 1539–1545 (2015).</w:t>
      </w:r>
    </w:p>
    <w:p w14:paraId="5241E94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122.</w:t>
      </w:r>
      <w:r w:rsidRPr="00EB2576">
        <w:rPr>
          <w:rFonts w:ascii="Times New Roman" w:hAnsi="Times New Roman" w:cs="Times New Roman"/>
          <w:noProof/>
          <w:sz w:val="24"/>
          <w:szCs w:val="24"/>
        </w:rPr>
        <w:tab/>
        <w:t xml:space="preserve">Lázár-Molnár, E. &amp; Delgado, J. C. Immunogenicity Assessment of Tumor Necrosis Factor Antagonists in the Clinical Laboratory. </w:t>
      </w:r>
      <w:r w:rsidRPr="00EB2576">
        <w:rPr>
          <w:rFonts w:ascii="Times New Roman" w:hAnsi="Times New Roman" w:cs="Times New Roman"/>
          <w:i/>
          <w:iCs/>
          <w:noProof/>
          <w:sz w:val="24"/>
          <w:szCs w:val="24"/>
        </w:rPr>
        <w:t>Clin. Chem.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62</w:t>
      </w:r>
      <w:r w:rsidRPr="00EB2576">
        <w:rPr>
          <w:rFonts w:ascii="Times New Roman" w:hAnsi="Times New Roman" w:cs="Times New Roman"/>
          <w:noProof/>
          <w:sz w:val="24"/>
          <w:szCs w:val="24"/>
        </w:rPr>
        <w:t>, 1186–1198 (2016).</w:t>
      </w:r>
    </w:p>
    <w:p w14:paraId="459E786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123.</w:t>
      </w:r>
      <w:r w:rsidRPr="00EB2576">
        <w:rPr>
          <w:rFonts w:ascii="Times New Roman" w:hAnsi="Times New Roman" w:cs="Times New Roman"/>
          <w:noProof/>
          <w:sz w:val="24"/>
          <w:szCs w:val="24"/>
        </w:rPr>
        <w:tab/>
        <w:t xml:space="preserve">Davies, A. M. &amp; Sutton, B. J. Human IgG4: a structural perspective. </w:t>
      </w:r>
      <w:r w:rsidRPr="00EB2576">
        <w:rPr>
          <w:rFonts w:ascii="Times New Roman" w:hAnsi="Times New Roman" w:cs="Times New Roman"/>
          <w:i/>
          <w:iCs/>
          <w:noProof/>
          <w:sz w:val="24"/>
          <w:szCs w:val="24"/>
        </w:rPr>
        <w:t>Immunol. Rev.</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268</w:t>
      </w:r>
      <w:r w:rsidRPr="00EB2576">
        <w:rPr>
          <w:rFonts w:ascii="Times New Roman" w:hAnsi="Times New Roman" w:cs="Times New Roman"/>
          <w:noProof/>
          <w:sz w:val="24"/>
          <w:szCs w:val="24"/>
        </w:rPr>
        <w:t>, 139–159 (2015).</w:t>
      </w:r>
    </w:p>
    <w:p w14:paraId="6B7D985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124.</w:t>
      </w:r>
      <w:r w:rsidRPr="00EB2576">
        <w:rPr>
          <w:rFonts w:ascii="Times New Roman" w:hAnsi="Times New Roman" w:cs="Times New Roman"/>
          <w:noProof/>
          <w:sz w:val="24"/>
          <w:szCs w:val="24"/>
        </w:rPr>
        <w:tab/>
        <w:t xml:space="preserve">Afonso,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Detection of anti-infliximab antibodies is impacted by antibody titer, infliximab level and IgG4 antibodies: a systematic comparison of three different assays. </w:t>
      </w:r>
      <w:r w:rsidRPr="00EB2576">
        <w:rPr>
          <w:rFonts w:ascii="Times New Roman" w:hAnsi="Times New Roman" w:cs="Times New Roman"/>
          <w:i/>
          <w:iCs/>
          <w:noProof/>
          <w:sz w:val="24"/>
          <w:szCs w:val="24"/>
        </w:rPr>
        <w:t>Therap. Adv.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781–794 (2016).</w:t>
      </w:r>
    </w:p>
    <w:p w14:paraId="4C4A907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125.</w:t>
      </w:r>
      <w:r w:rsidRPr="00EB2576">
        <w:rPr>
          <w:rFonts w:ascii="Times New Roman" w:hAnsi="Times New Roman" w:cs="Times New Roman"/>
          <w:noProof/>
          <w:sz w:val="24"/>
          <w:szCs w:val="24"/>
        </w:rPr>
        <w:tab/>
        <w:t xml:space="preserve">Wang, S.-L.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Development and validation of a homogeneous mobility shift assay for the measurement of infliximab and antibodies-to-infliximab levels in patient serum. </w:t>
      </w:r>
      <w:r w:rsidRPr="00EB2576">
        <w:rPr>
          <w:rFonts w:ascii="Times New Roman" w:hAnsi="Times New Roman" w:cs="Times New Roman"/>
          <w:i/>
          <w:iCs/>
          <w:noProof/>
          <w:sz w:val="24"/>
          <w:szCs w:val="24"/>
        </w:rPr>
        <w:t>J. Immunol. Methods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382</w:t>
      </w:r>
      <w:r w:rsidRPr="00EB2576">
        <w:rPr>
          <w:rFonts w:ascii="Times New Roman" w:hAnsi="Times New Roman" w:cs="Times New Roman"/>
          <w:noProof/>
          <w:sz w:val="24"/>
          <w:szCs w:val="24"/>
        </w:rPr>
        <w:t>, 177–188 (2012).</w:t>
      </w:r>
    </w:p>
    <w:p w14:paraId="6395AC2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126.</w:t>
      </w:r>
      <w:r w:rsidRPr="00EB2576">
        <w:rPr>
          <w:rFonts w:ascii="Times New Roman" w:hAnsi="Times New Roman" w:cs="Times New Roman"/>
          <w:noProof/>
          <w:sz w:val="24"/>
          <w:szCs w:val="24"/>
        </w:rPr>
        <w:tab/>
        <w:t xml:space="preserve">Rachel Nice1| Neil Chanchlani2, 3| Harry Green3| Claire Bewshea3|Tariq Ahmad2, 3| James R. Goodhand2, 3| Timothy J. McDonald1|Mandy H. Perry1| Nicholas A. Kennedy. Validating the positivity thresholds of drug-tolerant anti-infliximab and anti-adalimumab antibody assays. </w:t>
      </w:r>
      <w:r w:rsidRPr="00EB2576">
        <w:rPr>
          <w:rFonts w:ascii="Times New Roman" w:hAnsi="Times New Roman" w:cs="Times New Roman"/>
          <w:i/>
          <w:iCs/>
          <w:noProof/>
          <w:sz w:val="24"/>
          <w:szCs w:val="24"/>
        </w:rPr>
        <w:t>Aliment Pharmacol Ther. 2021;53128–137</w:t>
      </w:r>
      <w:r w:rsidRPr="00EB2576">
        <w:rPr>
          <w:rFonts w:ascii="Times New Roman" w:hAnsi="Times New Roman" w:cs="Times New Roman"/>
          <w:noProof/>
          <w:sz w:val="24"/>
          <w:szCs w:val="24"/>
        </w:rPr>
        <w:t xml:space="preserve"> doi:10.1111/apt.16135</w:t>
      </w:r>
    </w:p>
    <w:p w14:paraId="7FFA3C7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127.</w:t>
      </w:r>
      <w:r w:rsidRPr="00EB2576">
        <w:rPr>
          <w:rFonts w:ascii="Times New Roman" w:hAnsi="Times New Roman" w:cs="Times New Roman"/>
          <w:noProof/>
          <w:sz w:val="24"/>
          <w:szCs w:val="24"/>
        </w:rPr>
        <w:tab/>
        <w:t xml:space="preserve">Billiet, T.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Mo1745 The Development of Antibodies to Infliximab in Inflammatory Bowel Disease Is Influenced by HLA-DRB1.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148</w:t>
      </w:r>
      <w:r w:rsidRPr="00EB2576">
        <w:rPr>
          <w:rFonts w:ascii="Times New Roman" w:hAnsi="Times New Roman" w:cs="Times New Roman"/>
          <w:noProof/>
          <w:sz w:val="24"/>
          <w:szCs w:val="24"/>
        </w:rPr>
        <w:t>, S-700-S-701 (2015).</w:t>
      </w:r>
    </w:p>
    <w:p w14:paraId="3DEE9B7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128.</w:t>
      </w:r>
      <w:r w:rsidRPr="00EB2576">
        <w:rPr>
          <w:rFonts w:ascii="Times New Roman" w:hAnsi="Times New Roman" w:cs="Times New Roman"/>
          <w:noProof/>
          <w:sz w:val="24"/>
          <w:szCs w:val="24"/>
        </w:rPr>
        <w:tab/>
        <w:t xml:space="preserve">Sazonovs, A.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HLA-DQA1*05 Carriage Associated With Development of Anti-Drug Antibodies to Infliximab and Adalimumab in Patients With Crohn’s Disease.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158</w:t>
      </w:r>
      <w:r w:rsidRPr="00EB2576">
        <w:rPr>
          <w:rFonts w:ascii="Times New Roman" w:hAnsi="Times New Roman" w:cs="Times New Roman"/>
          <w:noProof/>
          <w:sz w:val="24"/>
          <w:szCs w:val="24"/>
        </w:rPr>
        <w:t>, 189–199 (2020).</w:t>
      </w:r>
    </w:p>
    <w:p w14:paraId="05CDFB6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129.</w:t>
      </w:r>
      <w:r w:rsidRPr="00EB2576">
        <w:rPr>
          <w:rFonts w:ascii="Times New Roman" w:hAnsi="Times New Roman" w:cs="Times New Roman"/>
          <w:noProof/>
          <w:sz w:val="24"/>
          <w:szCs w:val="24"/>
        </w:rPr>
        <w:tab/>
        <w:t xml:space="preserve">Ungar,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temporal evolution of antidrug antibodies in patients with inflammatory bowel disease treated with infliximab.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63</w:t>
      </w:r>
      <w:r w:rsidRPr="00EB2576">
        <w:rPr>
          <w:rFonts w:ascii="Times New Roman" w:hAnsi="Times New Roman" w:cs="Times New Roman"/>
          <w:noProof/>
          <w:sz w:val="24"/>
          <w:szCs w:val="24"/>
        </w:rPr>
        <w:t>, 1258–1264 (2014).</w:t>
      </w:r>
    </w:p>
    <w:p w14:paraId="4A3308A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130.</w:t>
      </w:r>
      <w:r w:rsidRPr="00EB2576">
        <w:rPr>
          <w:rFonts w:ascii="Times New Roman" w:hAnsi="Times New Roman" w:cs="Times New Roman"/>
          <w:noProof/>
          <w:sz w:val="24"/>
          <w:szCs w:val="24"/>
        </w:rPr>
        <w:tab/>
        <w:t xml:space="preserve">Feagan, B.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Methotrexate in Combination With Infliximab Is No More Effective Than Infliximab Alone in Patients With Crohn’s Disease.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146</w:t>
      </w:r>
      <w:r w:rsidRPr="00EB2576">
        <w:rPr>
          <w:rFonts w:ascii="Times New Roman" w:hAnsi="Times New Roman" w:cs="Times New Roman"/>
          <w:noProof/>
          <w:sz w:val="24"/>
          <w:szCs w:val="24"/>
        </w:rPr>
        <w:t>, 681-688.e1 (2014).</w:t>
      </w:r>
    </w:p>
    <w:p w14:paraId="22DF747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131.</w:t>
      </w:r>
      <w:r w:rsidRPr="00EB2576">
        <w:rPr>
          <w:rFonts w:ascii="Times New Roman" w:hAnsi="Times New Roman" w:cs="Times New Roman"/>
          <w:noProof/>
          <w:sz w:val="24"/>
          <w:szCs w:val="24"/>
        </w:rPr>
        <w:tab/>
        <w:t xml:space="preserve">Seow, C. H.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Trough serum infliximab: a predictive factor of clinical outcome for infliximab treatment in acute ulcerative colitis.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59</w:t>
      </w:r>
      <w:r w:rsidRPr="00EB2576">
        <w:rPr>
          <w:rFonts w:ascii="Times New Roman" w:hAnsi="Times New Roman" w:cs="Times New Roman"/>
          <w:noProof/>
          <w:sz w:val="24"/>
          <w:szCs w:val="24"/>
        </w:rPr>
        <w:t>, 49–54 (2010).</w:t>
      </w:r>
    </w:p>
    <w:p w14:paraId="7182C60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132.</w:t>
      </w:r>
      <w:r w:rsidRPr="00EB2576">
        <w:rPr>
          <w:rFonts w:ascii="Times New Roman" w:hAnsi="Times New Roman" w:cs="Times New Roman"/>
          <w:noProof/>
          <w:sz w:val="24"/>
          <w:szCs w:val="24"/>
        </w:rPr>
        <w:tab/>
        <w:t xml:space="preserve">Hanauer, S.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Incidence and importance of antibody responses to infliximab after maintenance or episodic treatment in Crohn’s disease.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w:t>
      </w:r>
      <w:r w:rsidRPr="00EB2576">
        <w:rPr>
          <w:rFonts w:ascii="Times New Roman" w:hAnsi="Times New Roman" w:cs="Times New Roman"/>
          <w:noProof/>
          <w:sz w:val="24"/>
          <w:szCs w:val="24"/>
        </w:rPr>
        <w:t>, 542–553 (2004).</w:t>
      </w:r>
    </w:p>
    <w:p w14:paraId="40F2DB9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133.</w:t>
      </w:r>
      <w:r w:rsidRPr="00EB2576">
        <w:rPr>
          <w:rFonts w:ascii="Times New Roman" w:hAnsi="Times New Roman" w:cs="Times New Roman"/>
          <w:noProof/>
          <w:sz w:val="24"/>
          <w:szCs w:val="24"/>
        </w:rPr>
        <w:tab/>
        <w:t xml:space="preserve">Adedokun, O.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Association Between Serum Concentration of Infliximab and Efficacy in Adult Patients With Ulcerative Colitis.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147</w:t>
      </w:r>
      <w:r w:rsidRPr="00EB2576">
        <w:rPr>
          <w:rFonts w:ascii="Times New Roman" w:hAnsi="Times New Roman" w:cs="Times New Roman"/>
          <w:noProof/>
          <w:sz w:val="24"/>
          <w:szCs w:val="24"/>
        </w:rPr>
        <w:t>, 1296-1307.e5 (2014).</w:t>
      </w:r>
    </w:p>
    <w:p w14:paraId="3FE032B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134.</w:t>
      </w:r>
      <w:r w:rsidRPr="00EB2576">
        <w:rPr>
          <w:rFonts w:ascii="Times New Roman" w:hAnsi="Times New Roman" w:cs="Times New Roman"/>
          <w:noProof/>
          <w:sz w:val="24"/>
          <w:szCs w:val="24"/>
        </w:rPr>
        <w:tab/>
        <w:t xml:space="preserve">Bortlik,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trough levels may predict sustained response to infliximab in patients with Crohn’s disease.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w:t>
      </w:r>
      <w:r w:rsidRPr="00EB2576">
        <w:rPr>
          <w:rFonts w:ascii="Times New Roman" w:hAnsi="Times New Roman" w:cs="Times New Roman"/>
          <w:noProof/>
          <w:sz w:val="24"/>
          <w:szCs w:val="24"/>
        </w:rPr>
        <w:t>, 736–743 (2013).</w:t>
      </w:r>
    </w:p>
    <w:p w14:paraId="170642B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135.</w:t>
      </w:r>
      <w:r w:rsidRPr="00EB2576">
        <w:rPr>
          <w:rFonts w:ascii="Times New Roman" w:hAnsi="Times New Roman" w:cs="Times New Roman"/>
          <w:noProof/>
          <w:sz w:val="24"/>
          <w:szCs w:val="24"/>
        </w:rPr>
        <w:tab/>
        <w:t xml:space="preserve">GU,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P586 Higher infliximab and adalimumab trough levels are associated with fistula healing in patients with fistulising perianal Crohn’s disease.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S490–S491 (2020).</w:t>
      </w:r>
    </w:p>
    <w:p w14:paraId="66393A3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136.</w:t>
      </w:r>
      <w:r w:rsidRPr="00EB2576">
        <w:rPr>
          <w:rFonts w:ascii="Times New Roman" w:hAnsi="Times New Roman" w:cs="Times New Roman"/>
          <w:noProof/>
          <w:sz w:val="24"/>
          <w:szCs w:val="24"/>
        </w:rPr>
        <w:tab/>
        <w:t xml:space="preserve">Yarur, A.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Higher infliximab trough levels are associated with perianal fistula healing in patients with Crohn’s disease.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45</w:t>
      </w:r>
      <w:r w:rsidRPr="00EB2576">
        <w:rPr>
          <w:rFonts w:ascii="Times New Roman" w:hAnsi="Times New Roman" w:cs="Times New Roman"/>
          <w:noProof/>
          <w:sz w:val="24"/>
          <w:szCs w:val="24"/>
        </w:rPr>
        <w:t>, 933–940 (2017).</w:t>
      </w:r>
    </w:p>
    <w:p w14:paraId="3C7B5FD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137.</w:t>
      </w:r>
      <w:r w:rsidRPr="00EB2576">
        <w:rPr>
          <w:rFonts w:ascii="Times New Roman" w:hAnsi="Times New Roman" w:cs="Times New Roman"/>
          <w:noProof/>
          <w:sz w:val="24"/>
          <w:szCs w:val="24"/>
        </w:rPr>
        <w:tab/>
        <w:t xml:space="preserve">Roblin, X.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Combination of C-reactive Protein, Infliximab Trough Levels, and Stable but Not Transient Antibodies to Infliximab Are Associated With Loss of Response to Infliximab in Inflammatory Bowel Disease.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525–531 (2015).</w:t>
      </w:r>
    </w:p>
    <w:p w14:paraId="6418B1B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138.</w:t>
      </w:r>
      <w:r w:rsidRPr="00EB2576">
        <w:rPr>
          <w:rFonts w:ascii="Times New Roman" w:hAnsi="Times New Roman" w:cs="Times New Roman"/>
          <w:noProof/>
          <w:sz w:val="24"/>
          <w:szCs w:val="24"/>
        </w:rPr>
        <w:tab/>
        <w:t xml:space="preserve">Levesque, B.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 prospective cohort study to determine the relationship between serum infliximab concentration and efficacy in patients with luminal Crohn’s disease.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39</w:t>
      </w:r>
      <w:r w:rsidRPr="00EB2576">
        <w:rPr>
          <w:rFonts w:ascii="Times New Roman" w:hAnsi="Times New Roman" w:cs="Times New Roman"/>
          <w:noProof/>
          <w:sz w:val="24"/>
          <w:szCs w:val="24"/>
        </w:rPr>
        <w:t>, 1126–1135 (2014).</w:t>
      </w:r>
    </w:p>
    <w:p w14:paraId="2266A7E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139.</w:t>
      </w:r>
      <w:r w:rsidRPr="00EB2576">
        <w:rPr>
          <w:rFonts w:ascii="Times New Roman" w:hAnsi="Times New Roman" w:cs="Times New Roman"/>
          <w:noProof/>
          <w:sz w:val="24"/>
          <w:szCs w:val="24"/>
        </w:rPr>
        <w:tab/>
        <w:t xml:space="preserve">Schroeder, K. W., Tremaine, W. J. &amp; Ilstrup, D. M. Coated Oral 5-Aminosalicylic Acid Therapy for Mildly to Moderately Active Ulcerative Colitis. </w:t>
      </w:r>
      <w:r w:rsidRPr="00EB2576">
        <w:rPr>
          <w:rFonts w:ascii="Times New Roman" w:hAnsi="Times New Roman" w:cs="Times New Roman"/>
          <w:i/>
          <w:iCs/>
          <w:noProof/>
          <w:sz w:val="24"/>
          <w:szCs w:val="24"/>
        </w:rPr>
        <w:t>N. Engl. J.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317</w:t>
      </w:r>
      <w:r w:rsidRPr="00EB2576">
        <w:rPr>
          <w:rFonts w:ascii="Times New Roman" w:hAnsi="Times New Roman" w:cs="Times New Roman"/>
          <w:noProof/>
          <w:sz w:val="24"/>
          <w:szCs w:val="24"/>
        </w:rPr>
        <w:t>, 1625–1629 (1987).</w:t>
      </w:r>
    </w:p>
    <w:p w14:paraId="5744FEE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140.</w:t>
      </w:r>
      <w:r w:rsidRPr="00EB2576">
        <w:rPr>
          <w:rFonts w:ascii="Times New Roman" w:hAnsi="Times New Roman" w:cs="Times New Roman"/>
          <w:noProof/>
          <w:sz w:val="24"/>
          <w:szCs w:val="24"/>
        </w:rPr>
        <w:tab/>
        <w:t xml:space="preserve">Harvey, R. F. &amp; Bradshaw, J. M. A SIMPLE INDEX OF CROHN’S-DISEASE ACTIVITY. </w:t>
      </w:r>
      <w:r w:rsidRPr="00EB2576">
        <w:rPr>
          <w:rFonts w:ascii="Times New Roman" w:hAnsi="Times New Roman" w:cs="Times New Roman"/>
          <w:i/>
          <w:iCs/>
          <w:noProof/>
          <w:sz w:val="24"/>
          <w:szCs w:val="24"/>
        </w:rPr>
        <w:t>Lancet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315</w:t>
      </w:r>
      <w:r w:rsidRPr="00EB2576">
        <w:rPr>
          <w:rFonts w:ascii="Times New Roman" w:hAnsi="Times New Roman" w:cs="Times New Roman"/>
          <w:noProof/>
          <w:sz w:val="24"/>
          <w:szCs w:val="24"/>
        </w:rPr>
        <w:t>, 514 (1980).</w:t>
      </w:r>
    </w:p>
    <w:p w14:paraId="0CF3823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141.</w:t>
      </w:r>
      <w:r w:rsidRPr="00EB2576">
        <w:rPr>
          <w:rFonts w:ascii="Times New Roman" w:hAnsi="Times New Roman" w:cs="Times New Roman"/>
          <w:noProof/>
          <w:sz w:val="24"/>
          <w:szCs w:val="24"/>
        </w:rPr>
        <w:tab/>
        <w:t xml:space="preserve">Walmsley, R. S., Ayres, R. C. S., Pounder, R. E. &amp; Allan, R. N. A simple clinical colitis activity index.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43</w:t>
      </w:r>
      <w:r w:rsidRPr="00EB2576">
        <w:rPr>
          <w:rFonts w:ascii="Times New Roman" w:hAnsi="Times New Roman" w:cs="Times New Roman"/>
          <w:noProof/>
          <w:sz w:val="24"/>
          <w:szCs w:val="24"/>
        </w:rPr>
        <w:t>, 29–32 (1998).</w:t>
      </w:r>
    </w:p>
    <w:p w14:paraId="74D653F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142.</w:t>
      </w:r>
      <w:r w:rsidRPr="00EB2576">
        <w:rPr>
          <w:rFonts w:ascii="Times New Roman" w:hAnsi="Times New Roman" w:cs="Times New Roman"/>
          <w:noProof/>
          <w:sz w:val="24"/>
          <w:szCs w:val="24"/>
        </w:rPr>
        <w:tab/>
        <w:t xml:space="preserve">Best, W. R., Becktel, J. M., Singleton, J. W. &amp; Kern, F. Development of a Crohn’s disease activity index. National Cooperative Crohn’s Disease Study.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70</w:t>
      </w:r>
      <w:r w:rsidRPr="00EB2576">
        <w:rPr>
          <w:rFonts w:ascii="Times New Roman" w:hAnsi="Times New Roman" w:cs="Times New Roman"/>
          <w:noProof/>
          <w:sz w:val="24"/>
          <w:szCs w:val="24"/>
        </w:rPr>
        <w:t>, 439–44 (1976).</w:t>
      </w:r>
    </w:p>
    <w:p w14:paraId="5D5FED1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143.</w:t>
      </w:r>
      <w:r w:rsidRPr="00EB2576">
        <w:rPr>
          <w:rFonts w:ascii="Times New Roman" w:hAnsi="Times New Roman" w:cs="Times New Roman"/>
          <w:noProof/>
          <w:sz w:val="24"/>
          <w:szCs w:val="24"/>
        </w:rPr>
        <w:tab/>
        <w:t xml:space="preserve">Lee, L. Y. W., Sanderson, J. D. &amp; Irving, P. M. Anti-infliximab antibodies in inflammatory bowel disease. </w:t>
      </w:r>
      <w:r w:rsidRPr="00EB2576">
        <w:rPr>
          <w:rFonts w:ascii="Times New Roman" w:hAnsi="Times New Roman" w:cs="Times New Roman"/>
          <w:i/>
          <w:iCs/>
          <w:noProof/>
          <w:sz w:val="24"/>
          <w:szCs w:val="24"/>
        </w:rPr>
        <w:t>Eur. J.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24</w:t>
      </w:r>
      <w:r w:rsidRPr="00EB2576">
        <w:rPr>
          <w:rFonts w:ascii="Times New Roman" w:hAnsi="Times New Roman" w:cs="Times New Roman"/>
          <w:noProof/>
          <w:sz w:val="24"/>
          <w:szCs w:val="24"/>
        </w:rPr>
        <w:t>, 1078–1085 (2012).</w:t>
      </w:r>
    </w:p>
    <w:p w14:paraId="44186F5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144.</w:t>
      </w:r>
      <w:r w:rsidRPr="00EB2576">
        <w:rPr>
          <w:rFonts w:ascii="Times New Roman" w:hAnsi="Times New Roman" w:cs="Times New Roman"/>
          <w:noProof/>
          <w:sz w:val="24"/>
          <w:szCs w:val="24"/>
        </w:rPr>
        <w:tab/>
        <w:t xml:space="preserve">Nanda, K. S., Cheifetz, A. S. &amp; Moss, A. C. Impact of Antibodies to Infliximab on Clinical Outcomes and Serum Infliximab Levels in Patients With Inflammatory Bowel Disease (IBD): A Meta-Analysis. </w:t>
      </w:r>
      <w:r w:rsidRPr="00EB2576">
        <w:rPr>
          <w:rFonts w:ascii="Times New Roman" w:hAnsi="Times New Roman" w:cs="Times New Roman"/>
          <w:i/>
          <w:iCs/>
          <w:noProof/>
          <w:sz w:val="24"/>
          <w:szCs w:val="24"/>
        </w:rPr>
        <w:t>Am.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108</w:t>
      </w:r>
      <w:r w:rsidRPr="00EB2576">
        <w:rPr>
          <w:rFonts w:ascii="Times New Roman" w:hAnsi="Times New Roman" w:cs="Times New Roman"/>
          <w:noProof/>
          <w:sz w:val="24"/>
          <w:szCs w:val="24"/>
        </w:rPr>
        <w:t>, 40–47 (2013).</w:t>
      </w:r>
    </w:p>
    <w:p w14:paraId="7874357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145.</w:t>
      </w:r>
      <w:r w:rsidRPr="00EB2576">
        <w:rPr>
          <w:rFonts w:ascii="Times New Roman" w:hAnsi="Times New Roman" w:cs="Times New Roman"/>
          <w:noProof/>
          <w:sz w:val="24"/>
          <w:szCs w:val="24"/>
        </w:rPr>
        <w:tab/>
        <w:t xml:space="preserve">O’Meara, S., Nanda, K. S. &amp; Moss, A. C. Antibodies to Infliximab and Risk of Infusion Reactions in Patients With Inflammatory Bowel Disease. </w:t>
      </w:r>
      <w:r w:rsidRPr="00EB2576">
        <w:rPr>
          <w:rFonts w:ascii="Times New Roman" w:hAnsi="Times New Roman" w:cs="Times New Roman"/>
          <w:i/>
          <w:iCs/>
          <w:noProof/>
          <w:sz w:val="24"/>
          <w:szCs w:val="24"/>
        </w:rPr>
        <w:t>Inflamm. Bowel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w:t>
      </w:r>
      <w:r w:rsidRPr="00EB2576">
        <w:rPr>
          <w:rFonts w:ascii="Times New Roman" w:hAnsi="Times New Roman" w:cs="Times New Roman"/>
          <w:noProof/>
          <w:sz w:val="24"/>
          <w:szCs w:val="24"/>
        </w:rPr>
        <w:t>, 1–6 (2014).</w:t>
      </w:r>
    </w:p>
    <w:p w14:paraId="1D3426C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146.</w:t>
      </w:r>
      <w:r w:rsidRPr="00EB2576">
        <w:rPr>
          <w:rFonts w:ascii="Times New Roman" w:hAnsi="Times New Roman" w:cs="Times New Roman"/>
          <w:noProof/>
          <w:sz w:val="24"/>
          <w:szCs w:val="24"/>
        </w:rPr>
        <w:tab/>
        <w:t xml:space="preserve">Kosmač, M.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Exploring the Binding Sites of Anti-Infliximab Antibodies in Pediatric Patients With Rheumatic Diseases Treated With Infliximab. </w:t>
      </w:r>
      <w:r w:rsidRPr="00EB2576">
        <w:rPr>
          <w:rFonts w:ascii="Times New Roman" w:hAnsi="Times New Roman" w:cs="Times New Roman"/>
          <w:i/>
          <w:iCs/>
          <w:noProof/>
          <w:sz w:val="24"/>
          <w:szCs w:val="24"/>
        </w:rPr>
        <w:t>Pediatr.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69</w:t>
      </w:r>
      <w:r w:rsidRPr="00EB2576">
        <w:rPr>
          <w:rFonts w:ascii="Times New Roman" w:hAnsi="Times New Roman" w:cs="Times New Roman"/>
          <w:noProof/>
          <w:sz w:val="24"/>
          <w:szCs w:val="24"/>
        </w:rPr>
        <w:t>, 243–248 (2011).</w:t>
      </w:r>
    </w:p>
    <w:p w14:paraId="74C015E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147.</w:t>
      </w:r>
      <w:r w:rsidRPr="00EB2576">
        <w:rPr>
          <w:rFonts w:ascii="Times New Roman" w:hAnsi="Times New Roman" w:cs="Times New Roman"/>
          <w:noProof/>
          <w:sz w:val="24"/>
          <w:szCs w:val="24"/>
        </w:rPr>
        <w:tab/>
        <w:t xml:space="preserve">Van Regenmortel, M. H. V. Structural and functional approaches to the study of protein antigenicity. </w:t>
      </w:r>
      <w:r w:rsidRPr="00EB2576">
        <w:rPr>
          <w:rFonts w:ascii="Times New Roman" w:hAnsi="Times New Roman" w:cs="Times New Roman"/>
          <w:i/>
          <w:iCs/>
          <w:noProof/>
          <w:sz w:val="24"/>
          <w:szCs w:val="24"/>
        </w:rPr>
        <w:t>Immunol. Today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w:t>
      </w:r>
      <w:r w:rsidRPr="00EB2576">
        <w:rPr>
          <w:rFonts w:ascii="Times New Roman" w:hAnsi="Times New Roman" w:cs="Times New Roman"/>
          <w:noProof/>
          <w:sz w:val="24"/>
          <w:szCs w:val="24"/>
        </w:rPr>
        <w:t>, 266–272 (1989).</w:t>
      </w:r>
    </w:p>
    <w:p w14:paraId="0814291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148.</w:t>
      </w:r>
      <w:r w:rsidRPr="00EB2576">
        <w:rPr>
          <w:rFonts w:ascii="Times New Roman" w:hAnsi="Times New Roman" w:cs="Times New Roman"/>
          <w:noProof/>
          <w:sz w:val="24"/>
          <w:szCs w:val="24"/>
        </w:rPr>
        <w:tab/>
        <w:t xml:space="preserve">Smith, G. Filamentous fusion phage: novel expression vectors that display cloned </w:t>
      </w:r>
      <w:r w:rsidRPr="00EB2576">
        <w:rPr>
          <w:rFonts w:ascii="Times New Roman" w:hAnsi="Times New Roman" w:cs="Times New Roman"/>
          <w:noProof/>
          <w:sz w:val="24"/>
          <w:szCs w:val="24"/>
        </w:rPr>
        <w:lastRenderedPageBreak/>
        <w:t xml:space="preserve">antigens on the virion surface. </w:t>
      </w:r>
      <w:r w:rsidRPr="00EB2576">
        <w:rPr>
          <w:rFonts w:ascii="Times New Roman" w:hAnsi="Times New Roman" w:cs="Times New Roman"/>
          <w:i/>
          <w:iCs/>
          <w:noProof/>
          <w:sz w:val="24"/>
          <w:szCs w:val="24"/>
        </w:rPr>
        <w:t>Science (80-. ).</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228</w:t>
      </w:r>
      <w:r w:rsidRPr="00EB2576">
        <w:rPr>
          <w:rFonts w:ascii="Times New Roman" w:hAnsi="Times New Roman" w:cs="Times New Roman"/>
          <w:noProof/>
          <w:sz w:val="24"/>
          <w:szCs w:val="24"/>
        </w:rPr>
        <w:t>, 1315–1317 (1985).</w:t>
      </w:r>
    </w:p>
    <w:p w14:paraId="087819D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149.</w:t>
      </w:r>
      <w:r w:rsidRPr="00EB2576">
        <w:rPr>
          <w:rFonts w:ascii="Times New Roman" w:hAnsi="Times New Roman" w:cs="Times New Roman"/>
          <w:noProof/>
          <w:sz w:val="24"/>
          <w:szCs w:val="24"/>
        </w:rPr>
        <w:tab/>
        <w:t xml:space="preserve">Rasched, I. &amp; Oberer, E. Ff coliphages: structural and functional relationships. </w:t>
      </w:r>
      <w:r w:rsidRPr="00EB2576">
        <w:rPr>
          <w:rFonts w:ascii="Times New Roman" w:hAnsi="Times New Roman" w:cs="Times New Roman"/>
          <w:i/>
          <w:iCs/>
          <w:noProof/>
          <w:sz w:val="24"/>
          <w:szCs w:val="24"/>
        </w:rPr>
        <w:t>Microbiol. Rev.</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50</w:t>
      </w:r>
      <w:r w:rsidRPr="00EB2576">
        <w:rPr>
          <w:rFonts w:ascii="Times New Roman" w:hAnsi="Times New Roman" w:cs="Times New Roman"/>
          <w:noProof/>
          <w:sz w:val="24"/>
          <w:szCs w:val="24"/>
        </w:rPr>
        <w:t>, 401–27 (1986).</w:t>
      </w:r>
    </w:p>
    <w:p w14:paraId="0284FEF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150.</w:t>
      </w:r>
      <w:r w:rsidRPr="00EB2576">
        <w:rPr>
          <w:rFonts w:ascii="Times New Roman" w:hAnsi="Times New Roman" w:cs="Times New Roman"/>
          <w:noProof/>
          <w:sz w:val="24"/>
          <w:szCs w:val="24"/>
        </w:rPr>
        <w:tab/>
        <w:t xml:space="preserve">Qi, H., Lu, H., Qiu, H.-J., Petrenko, V. &amp; Liu, A. Phagemid Vectors for Phage Display: Properties, Characteristics and Construction. </w:t>
      </w:r>
      <w:r w:rsidRPr="00EB2576">
        <w:rPr>
          <w:rFonts w:ascii="Times New Roman" w:hAnsi="Times New Roman" w:cs="Times New Roman"/>
          <w:i/>
          <w:iCs/>
          <w:noProof/>
          <w:sz w:val="24"/>
          <w:szCs w:val="24"/>
        </w:rPr>
        <w:t>J. Mol. Biol.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417</w:t>
      </w:r>
      <w:r w:rsidRPr="00EB2576">
        <w:rPr>
          <w:rFonts w:ascii="Times New Roman" w:hAnsi="Times New Roman" w:cs="Times New Roman"/>
          <w:noProof/>
          <w:sz w:val="24"/>
          <w:szCs w:val="24"/>
        </w:rPr>
        <w:t>, 129–143 (2012).</w:t>
      </w:r>
    </w:p>
    <w:p w14:paraId="43360EB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151.</w:t>
      </w:r>
      <w:r w:rsidRPr="00EB2576">
        <w:rPr>
          <w:rFonts w:ascii="Times New Roman" w:hAnsi="Times New Roman" w:cs="Times New Roman"/>
          <w:noProof/>
          <w:sz w:val="24"/>
          <w:szCs w:val="24"/>
        </w:rPr>
        <w:tab/>
        <w:t xml:space="preserve">O’Connell, D., Becerril, B., Roy-Burman, A., Daws, M. &amp; Marks, J. D. Phage versus Phagemid Libraries for Generation of Human Monoclonal Antibodies. </w:t>
      </w:r>
      <w:r w:rsidRPr="00EB2576">
        <w:rPr>
          <w:rFonts w:ascii="Times New Roman" w:hAnsi="Times New Roman" w:cs="Times New Roman"/>
          <w:i/>
          <w:iCs/>
          <w:noProof/>
          <w:sz w:val="24"/>
          <w:szCs w:val="24"/>
        </w:rPr>
        <w:t>J. Mol. Biol.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321</w:t>
      </w:r>
      <w:r w:rsidRPr="00EB2576">
        <w:rPr>
          <w:rFonts w:ascii="Times New Roman" w:hAnsi="Times New Roman" w:cs="Times New Roman"/>
          <w:noProof/>
          <w:sz w:val="24"/>
          <w:szCs w:val="24"/>
        </w:rPr>
        <w:t>, 49–56 (2002).</w:t>
      </w:r>
    </w:p>
    <w:p w14:paraId="0BE04DA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152.</w:t>
      </w:r>
      <w:r w:rsidRPr="00EB2576">
        <w:rPr>
          <w:rFonts w:ascii="Times New Roman" w:hAnsi="Times New Roman" w:cs="Times New Roman"/>
          <w:noProof/>
          <w:sz w:val="24"/>
          <w:szCs w:val="24"/>
        </w:rPr>
        <w:tab/>
        <w:t xml:space="preserve">Webster, R. Biology of the filamentous bacteriophage. in </w:t>
      </w:r>
      <w:r w:rsidRPr="00EB2576">
        <w:rPr>
          <w:rFonts w:ascii="Times New Roman" w:hAnsi="Times New Roman" w:cs="Times New Roman"/>
          <w:i/>
          <w:iCs/>
          <w:noProof/>
          <w:sz w:val="24"/>
          <w:szCs w:val="24"/>
        </w:rPr>
        <w:t>Phage Display of Peptides and Proteins: A Laboratory Manual.</w:t>
      </w:r>
      <w:r w:rsidRPr="00EB2576">
        <w:rPr>
          <w:rFonts w:ascii="Times New Roman" w:hAnsi="Times New Roman" w:cs="Times New Roman"/>
          <w:noProof/>
          <w:sz w:val="24"/>
          <w:szCs w:val="24"/>
        </w:rPr>
        <w:t xml:space="preserve"> (eds. Kay, B. K., Winter, J. &amp; McCafferty, J.) 4–5 (Academic Press, 1996).</w:t>
      </w:r>
    </w:p>
    <w:p w14:paraId="37105DE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153.</w:t>
      </w:r>
      <w:r w:rsidRPr="00EB2576">
        <w:rPr>
          <w:rFonts w:ascii="Times New Roman" w:hAnsi="Times New Roman" w:cs="Times New Roman"/>
          <w:noProof/>
          <w:sz w:val="24"/>
          <w:szCs w:val="24"/>
        </w:rPr>
        <w:tab/>
        <w:t xml:space="preserve">Bazan, J., Całkosiński, I. &amp; Gamian, A. Phage display—A powerful technique for immunotherapy. </w:t>
      </w:r>
      <w:r w:rsidRPr="00EB2576">
        <w:rPr>
          <w:rFonts w:ascii="Times New Roman" w:hAnsi="Times New Roman" w:cs="Times New Roman"/>
          <w:i/>
          <w:iCs/>
          <w:noProof/>
          <w:sz w:val="24"/>
          <w:szCs w:val="24"/>
        </w:rPr>
        <w:t>Hum. Vaccin. Immunother.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w:t>
      </w:r>
      <w:r w:rsidRPr="00EB2576">
        <w:rPr>
          <w:rFonts w:ascii="Times New Roman" w:hAnsi="Times New Roman" w:cs="Times New Roman"/>
          <w:noProof/>
          <w:sz w:val="24"/>
          <w:szCs w:val="24"/>
        </w:rPr>
        <w:t>, 1817–1828 (2012).</w:t>
      </w:r>
    </w:p>
    <w:p w14:paraId="09EF5D6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154.</w:t>
      </w:r>
      <w:r w:rsidRPr="00EB2576">
        <w:rPr>
          <w:rFonts w:ascii="Times New Roman" w:hAnsi="Times New Roman" w:cs="Times New Roman"/>
          <w:noProof/>
          <w:sz w:val="24"/>
          <w:szCs w:val="24"/>
        </w:rPr>
        <w:tab/>
        <w:t xml:space="preserve">Kay, B. K. &amp; Hoess, R. H. Principle and applications of phage display. in </w:t>
      </w:r>
      <w:r w:rsidRPr="00EB2576">
        <w:rPr>
          <w:rFonts w:ascii="Times New Roman" w:hAnsi="Times New Roman" w:cs="Times New Roman"/>
          <w:i/>
          <w:iCs/>
          <w:noProof/>
          <w:sz w:val="24"/>
          <w:szCs w:val="24"/>
        </w:rPr>
        <w:t>Phage Display of Peptides and Proteins: A Laboratory Manual.</w:t>
      </w:r>
      <w:r w:rsidRPr="00EB2576">
        <w:rPr>
          <w:rFonts w:ascii="Times New Roman" w:hAnsi="Times New Roman" w:cs="Times New Roman"/>
          <w:noProof/>
          <w:sz w:val="24"/>
          <w:szCs w:val="24"/>
        </w:rPr>
        <w:t xml:space="preserve"> 22–24</w:t>
      </w:r>
    </w:p>
    <w:p w14:paraId="3EDE32B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155.</w:t>
      </w:r>
      <w:r w:rsidRPr="00EB2576">
        <w:rPr>
          <w:rFonts w:ascii="Times New Roman" w:hAnsi="Times New Roman" w:cs="Times New Roman"/>
          <w:noProof/>
          <w:sz w:val="24"/>
          <w:szCs w:val="24"/>
        </w:rPr>
        <w:tab/>
        <w:t xml:space="preserve">Sheehan, J. &amp; Marasco, W. A. Phage and Yeast Display. </w:t>
      </w:r>
      <w:r w:rsidRPr="00EB2576">
        <w:rPr>
          <w:rFonts w:ascii="Times New Roman" w:hAnsi="Times New Roman" w:cs="Times New Roman"/>
          <w:i/>
          <w:iCs/>
          <w:noProof/>
          <w:sz w:val="24"/>
          <w:szCs w:val="24"/>
        </w:rPr>
        <w:t>Microbiol. Spectr.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w:t>
      </w:r>
      <w:r w:rsidRPr="00EB2576">
        <w:rPr>
          <w:rFonts w:ascii="Times New Roman" w:hAnsi="Times New Roman" w:cs="Times New Roman"/>
          <w:noProof/>
          <w:sz w:val="24"/>
          <w:szCs w:val="24"/>
        </w:rPr>
        <w:t>, 1–12 (2015).</w:t>
      </w:r>
    </w:p>
    <w:p w14:paraId="6D4DA16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156.</w:t>
      </w:r>
      <w:r w:rsidRPr="00EB2576">
        <w:rPr>
          <w:rFonts w:ascii="Times New Roman" w:hAnsi="Times New Roman" w:cs="Times New Roman"/>
          <w:noProof/>
          <w:sz w:val="24"/>
          <w:szCs w:val="24"/>
        </w:rPr>
        <w:tab/>
        <w:t xml:space="preserve">Alves, P. T., Fujimura, P. T., Morais, L. D. da S. &amp; Goulart, L. R. Revisiting the CD14: Epitope mapping by Phage Display. </w:t>
      </w:r>
      <w:r w:rsidRPr="00EB2576">
        <w:rPr>
          <w:rFonts w:ascii="Times New Roman" w:hAnsi="Times New Roman" w:cs="Times New Roman"/>
          <w:i/>
          <w:iCs/>
          <w:noProof/>
          <w:sz w:val="24"/>
          <w:szCs w:val="24"/>
        </w:rPr>
        <w:t>Immunobiology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219</w:t>
      </w:r>
      <w:r w:rsidRPr="00EB2576">
        <w:rPr>
          <w:rFonts w:ascii="Times New Roman" w:hAnsi="Times New Roman" w:cs="Times New Roman"/>
          <w:noProof/>
          <w:sz w:val="24"/>
          <w:szCs w:val="24"/>
        </w:rPr>
        <w:t>, 822–829 (2014).</w:t>
      </w:r>
    </w:p>
    <w:p w14:paraId="5636BCD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157.</w:t>
      </w:r>
      <w:r w:rsidRPr="00EB2576">
        <w:rPr>
          <w:rFonts w:ascii="Times New Roman" w:hAnsi="Times New Roman" w:cs="Times New Roman"/>
          <w:noProof/>
          <w:sz w:val="24"/>
          <w:szCs w:val="24"/>
        </w:rPr>
        <w:tab/>
        <w:t xml:space="preserve">Kurup,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Characterization of Anti-heparan Sulfate Phage Display Antibodies AO4B08 and HS4E4. </w:t>
      </w:r>
      <w:r w:rsidRPr="00EB2576">
        <w:rPr>
          <w:rFonts w:ascii="Times New Roman" w:hAnsi="Times New Roman" w:cs="Times New Roman"/>
          <w:i/>
          <w:iCs/>
          <w:noProof/>
          <w:sz w:val="24"/>
          <w:szCs w:val="24"/>
        </w:rPr>
        <w:t>J. Biol. Chem.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282</w:t>
      </w:r>
      <w:r w:rsidRPr="00EB2576">
        <w:rPr>
          <w:rFonts w:ascii="Times New Roman" w:hAnsi="Times New Roman" w:cs="Times New Roman"/>
          <w:noProof/>
          <w:sz w:val="24"/>
          <w:szCs w:val="24"/>
        </w:rPr>
        <w:t>, 21032–21042 (2007).</w:t>
      </w:r>
    </w:p>
    <w:p w14:paraId="0CF79A3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158.</w:t>
      </w:r>
      <w:r w:rsidRPr="00EB2576">
        <w:rPr>
          <w:rFonts w:ascii="Times New Roman" w:hAnsi="Times New Roman" w:cs="Times New Roman"/>
          <w:noProof/>
          <w:sz w:val="24"/>
          <w:szCs w:val="24"/>
        </w:rPr>
        <w:tab/>
        <w:t xml:space="preserve">Salles, B. C.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Leishmania infantum mimotopes and a phage–ELISA assay as tools for a sensitive and specific serodiagnosis of human visceral leishmaniasis. </w:t>
      </w:r>
      <w:r w:rsidRPr="00EB2576">
        <w:rPr>
          <w:rFonts w:ascii="Times New Roman" w:hAnsi="Times New Roman" w:cs="Times New Roman"/>
          <w:i/>
          <w:iCs/>
          <w:noProof/>
          <w:sz w:val="24"/>
          <w:szCs w:val="24"/>
        </w:rPr>
        <w:t>Diagn. Microbiol. Infect.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87</w:t>
      </w:r>
      <w:r w:rsidRPr="00EB2576">
        <w:rPr>
          <w:rFonts w:ascii="Times New Roman" w:hAnsi="Times New Roman" w:cs="Times New Roman"/>
          <w:noProof/>
          <w:sz w:val="24"/>
          <w:szCs w:val="24"/>
        </w:rPr>
        <w:t>, 219–225 (2017).</w:t>
      </w:r>
    </w:p>
    <w:p w14:paraId="11E2F69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159.</w:t>
      </w:r>
      <w:r w:rsidRPr="00EB2576">
        <w:rPr>
          <w:rFonts w:ascii="Times New Roman" w:hAnsi="Times New Roman" w:cs="Times New Roman"/>
          <w:noProof/>
          <w:sz w:val="24"/>
          <w:szCs w:val="24"/>
        </w:rPr>
        <w:tab/>
        <w:t xml:space="preserve">Homann, A., Röckendorf, N., Kromminga, A., Frey, A. &amp; Jappe, U. B cell epitopes on infliximab identified by oligopeptide microarray with unprocessed patient sera. </w:t>
      </w:r>
      <w:r w:rsidRPr="00EB2576">
        <w:rPr>
          <w:rFonts w:ascii="Times New Roman" w:hAnsi="Times New Roman" w:cs="Times New Roman"/>
          <w:i/>
          <w:iCs/>
          <w:noProof/>
          <w:sz w:val="24"/>
          <w:szCs w:val="24"/>
        </w:rPr>
        <w:t>J. Transl.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13</w:t>
      </w:r>
      <w:r w:rsidRPr="00EB2576">
        <w:rPr>
          <w:rFonts w:ascii="Times New Roman" w:hAnsi="Times New Roman" w:cs="Times New Roman"/>
          <w:noProof/>
          <w:sz w:val="24"/>
          <w:szCs w:val="24"/>
        </w:rPr>
        <w:t>, 339 (2015).</w:t>
      </w:r>
    </w:p>
    <w:p w14:paraId="4B1B89F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160.</w:t>
      </w:r>
      <w:r w:rsidRPr="00EB2576">
        <w:rPr>
          <w:rFonts w:ascii="Times New Roman" w:hAnsi="Times New Roman" w:cs="Times New Roman"/>
          <w:noProof/>
          <w:sz w:val="24"/>
          <w:szCs w:val="24"/>
        </w:rPr>
        <w:tab/>
        <w:t xml:space="preserve">Goncalves,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Antigenic response to CT-P13 and infliximab originator in inflammatory bowel disease patients shows similar epitope recognition.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48</w:t>
      </w:r>
      <w:r w:rsidRPr="00EB2576">
        <w:rPr>
          <w:rFonts w:ascii="Times New Roman" w:hAnsi="Times New Roman" w:cs="Times New Roman"/>
          <w:noProof/>
          <w:sz w:val="24"/>
          <w:szCs w:val="24"/>
        </w:rPr>
        <w:t>, 507–522 (2018).</w:t>
      </w:r>
    </w:p>
    <w:p w14:paraId="7A89045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161.</w:t>
      </w:r>
      <w:r w:rsidRPr="00EB2576">
        <w:rPr>
          <w:rFonts w:ascii="Times New Roman" w:hAnsi="Times New Roman" w:cs="Times New Roman"/>
          <w:noProof/>
          <w:sz w:val="24"/>
          <w:szCs w:val="24"/>
        </w:rPr>
        <w:tab/>
        <w:t xml:space="preserve">Van Stappen, T.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Clinical relevance of detecting anti-infliximab antibodies with a drug-tolerant assay: post hoc analysis of the TAXIT trial.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67</w:t>
      </w:r>
      <w:r w:rsidRPr="00EB2576">
        <w:rPr>
          <w:rFonts w:ascii="Times New Roman" w:hAnsi="Times New Roman" w:cs="Times New Roman"/>
          <w:noProof/>
          <w:sz w:val="24"/>
          <w:szCs w:val="24"/>
        </w:rPr>
        <w:t>, 818–826 (2018).</w:t>
      </w:r>
    </w:p>
    <w:p w14:paraId="7578C3F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162.</w:t>
      </w:r>
      <w:r w:rsidRPr="00EB2576">
        <w:rPr>
          <w:rFonts w:ascii="Times New Roman" w:hAnsi="Times New Roman" w:cs="Times New Roman"/>
          <w:noProof/>
          <w:sz w:val="24"/>
          <w:szCs w:val="24"/>
        </w:rPr>
        <w:tab/>
        <w:t xml:space="preserve">Kim, J. S., Kim, S. H., Kwon, B. &amp; Hong, S. Comparison of immunogenicity test methods used in clinical studies of infliximab and its biosimilar (CT-P13). </w:t>
      </w:r>
      <w:r w:rsidRPr="00EB2576">
        <w:rPr>
          <w:rFonts w:ascii="Times New Roman" w:hAnsi="Times New Roman" w:cs="Times New Roman"/>
          <w:i/>
          <w:iCs/>
          <w:noProof/>
          <w:sz w:val="24"/>
          <w:szCs w:val="24"/>
        </w:rPr>
        <w:t>Expert Rev. Clin.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w:t>
      </w:r>
      <w:r w:rsidRPr="00EB2576">
        <w:rPr>
          <w:rFonts w:ascii="Times New Roman" w:hAnsi="Times New Roman" w:cs="Times New Roman"/>
          <w:noProof/>
          <w:sz w:val="24"/>
          <w:szCs w:val="24"/>
        </w:rPr>
        <w:t>, 33–41 (2015).</w:t>
      </w:r>
    </w:p>
    <w:p w14:paraId="3501C6E6"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163.</w:t>
      </w:r>
      <w:r w:rsidRPr="00EB2576">
        <w:rPr>
          <w:rFonts w:ascii="Times New Roman" w:hAnsi="Times New Roman" w:cs="Times New Roman"/>
          <w:noProof/>
          <w:sz w:val="24"/>
          <w:szCs w:val="24"/>
        </w:rPr>
        <w:tab/>
        <w:t>Immunodiagnostik AG. IDK monitor Infliximab drug level ELISA. (2015).</w:t>
      </w:r>
    </w:p>
    <w:p w14:paraId="2038310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164.</w:t>
      </w:r>
      <w:r w:rsidRPr="00EB2576">
        <w:rPr>
          <w:rFonts w:ascii="Times New Roman" w:hAnsi="Times New Roman" w:cs="Times New Roman"/>
          <w:noProof/>
          <w:sz w:val="24"/>
          <w:szCs w:val="24"/>
        </w:rPr>
        <w:tab/>
        <w:t xml:space="preserve">D’Haens,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Increasing Infliximab Dose Based on Symptoms, Biomarkers, and Serum Drug Concentrations Does Not Increase Clinical, Endoscopic, and Corticosteroid-Free Remission in Patients With Active Luminal Crohn’s Disease. </w:t>
      </w:r>
      <w:r w:rsidRPr="00EB2576">
        <w:rPr>
          <w:rFonts w:ascii="Times New Roman" w:hAnsi="Times New Roman" w:cs="Times New Roman"/>
          <w:i/>
          <w:iCs/>
          <w:noProof/>
          <w:sz w:val="24"/>
          <w:szCs w:val="24"/>
        </w:rPr>
        <w:t>Gastroenterology</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154</w:t>
      </w:r>
      <w:r w:rsidRPr="00EB2576">
        <w:rPr>
          <w:rFonts w:ascii="Times New Roman" w:hAnsi="Times New Roman" w:cs="Times New Roman"/>
          <w:noProof/>
          <w:sz w:val="24"/>
          <w:szCs w:val="24"/>
        </w:rPr>
        <w:t>, 1343-1351.e1 (2018).</w:t>
      </w:r>
    </w:p>
    <w:p w14:paraId="26BCF03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165.</w:t>
      </w:r>
      <w:r w:rsidRPr="00EB2576">
        <w:rPr>
          <w:rFonts w:ascii="Times New Roman" w:hAnsi="Times New Roman" w:cs="Times New Roman"/>
          <w:noProof/>
          <w:sz w:val="24"/>
          <w:szCs w:val="24"/>
        </w:rPr>
        <w:tab/>
        <w:t xml:space="preserve">Kennedy, N. A.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OP031 Clinical effectiveness, safety and immunogenicity of anti-TNF therapy in Crohn’s disease: 12-month data from the PANTS study.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12</w:t>
      </w:r>
      <w:r w:rsidRPr="00EB2576">
        <w:rPr>
          <w:rFonts w:ascii="Times New Roman" w:hAnsi="Times New Roman" w:cs="Times New Roman"/>
          <w:noProof/>
          <w:sz w:val="24"/>
          <w:szCs w:val="24"/>
        </w:rPr>
        <w:t>, S021–S021 (2018).</w:t>
      </w:r>
    </w:p>
    <w:p w14:paraId="3957792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166.</w:t>
      </w:r>
      <w:r w:rsidRPr="00EB2576">
        <w:rPr>
          <w:rFonts w:ascii="Times New Roman" w:hAnsi="Times New Roman" w:cs="Times New Roman"/>
          <w:noProof/>
          <w:sz w:val="24"/>
          <w:szCs w:val="24"/>
        </w:rPr>
        <w:tab/>
        <w:t xml:space="preserve">Bodini,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Infliximab trough levels and persistent vs transient antibodies measured early after induction predict long-term clinical remission in patients with inflammatory bowel disease. </w:t>
      </w:r>
      <w:r w:rsidRPr="00EB2576">
        <w:rPr>
          <w:rFonts w:ascii="Times New Roman" w:hAnsi="Times New Roman" w:cs="Times New Roman"/>
          <w:i/>
          <w:iCs/>
          <w:noProof/>
          <w:sz w:val="24"/>
          <w:szCs w:val="24"/>
        </w:rPr>
        <w:t>Dig. Liver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50</w:t>
      </w:r>
      <w:r w:rsidRPr="00EB2576">
        <w:rPr>
          <w:rFonts w:ascii="Times New Roman" w:hAnsi="Times New Roman" w:cs="Times New Roman"/>
          <w:noProof/>
          <w:sz w:val="24"/>
          <w:szCs w:val="24"/>
        </w:rPr>
        <w:t>, 452–456 (2018).</w:t>
      </w:r>
    </w:p>
    <w:p w14:paraId="6BD039A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167.</w:t>
      </w:r>
      <w:r w:rsidRPr="00EB2576">
        <w:rPr>
          <w:rFonts w:ascii="Times New Roman" w:hAnsi="Times New Roman" w:cs="Times New Roman"/>
          <w:noProof/>
          <w:sz w:val="24"/>
          <w:szCs w:val="24"/>
        </w:rPr>
        <w:tab/>
        <w:t xml:space="preserve">Oh, E. H.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Clinical correlations of infliximab trough levels and antibodies to infliximab in South Korean patients with Crohn’s disease. </w:t>
      </w:r>
      <w:r w:rsidRPr="00EB2576">
        <w:rPr>
          <w:rFonts w:ascii="Times New Roman" w:hAnsi="Times New Roman" w:cs="Times New Roman"/>
          <w:i/>
          <w:iCs/>
          <w:noProof/>
          <w:sz w:val="24"/>
          <w:szCs w:val="24"/>
        </w:rPr>
        <w:t>World J. Gastroenterol.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23</w:t>
      </w:r>
      <w:r w:rsidRPr="00EB2576">
        <w:rPr>
          <w:rFonts w:ascii="Times New Roman" w:hAnsi="Times New Roman" w:cs="Times New Roman"/>
          <w:noProof/>
          <w:sz w:val="24"/>
          <w:szCs w:val="24"/>
        </w:rPr>
        <w:t>, 1489 (2017).</w:t>
      </w:r>
    </w:p>
    <w:p w14:paraId="2E402C4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168.</w:t>
      </w:r>
      <w:r w:rsidRPr="00EB2576">
        <w:rPr>
          <w:rFonts w:ascii="Times New Roman" w:hAnsi="Times New Roman" w:cs="Times New Roman"/>
          <w:noProof/>
          <w:sz w:val="24"/>
          <w:szCs w:val="24"/>
        </w:rPr>
        <w:tab/>
        <w:t xml:space="preserve">Lobaton, T.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P367 The availability of infliximab trough levels in IBD patients on maintenance therapy deeply impacts therapeutic decision-making.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w:t>
      </w:r>
      <w:r w:rsidRPr="00EB2576">
        <w:rPr>
          <w:rFonts w:ascii="Times New Roman" w:hAnsi="Times New Roman" w:cs="Times New Roman"/>
          <w:noProof/>
          <w:sz w:val="24"/>
          <w:szCs w:val="24"/>
        </w:rPr>
        <w:t>, S265–S265 (2017).</w:t>
      </w:r>
    </w:p>
    <w:p w14:paraId="6EF0A38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169.</w:t>
      </w:r>
      <w:r w:rsidRPr="00EB2576">
        <w:rPr>
          <w:rFonts w:ascii="Times New Roman" w:hAnsi="Times New Roman" w:cs="Times New Roman"/>
          <w:noProof/>
          <w:sz w:val="24"/>
          <w:szCs w:val="24"/>
        </w:rPr>
        <w:tab/>
        <w:t xml:space="preserve">Perry, M. H. &amp; McDonald, T. J. Method Comparison Between ELISAs Suggests Therapeutic Ranges for Infliximab Should Be Assay-Specific. </w:t>
      </w:r>
      <w:r w:rsidRPr="00EB2576">
        <w:rPr>
          <w:rFonts w:ascii="Times New Roman" w:hAnsi="Times New Roman" w:cs="Times New Roman"/>
          <w:i/>
          <w:iCs/>
          <w:noProof/>
          <w:sz w:val="24"/>
          <w:szCs w:val="24"/>
        </w:rPr>
        <w:t>J. Appl. Lab.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w:t>
      </w:r>
      <w:r w:rsidRPr="00EB2576">
        <w:rPr>
          <w:rFonts w:ascii="Times New Roman" w:hAnsi="Times New Roman" w:cs="Times New Roman"/>
          <w:noProof/>
          <w:sz w:val="24"/>
          <w:szCs w:val="24"/>
        </w:rPr>
        <w:t>, 515–517 (2018).</w:t>
      </w:r>
    </w:p>
    <w:p w14:paraId="20BF0B5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170.</w:t>
      </w:r>
      <w:r w:rsidRPr="00EB2576">
        <w:rPr>
          <w:rFonts w:ascii="Times New Roman" w:hAnsi="Times New Roman" w:cs="Times New Roman"/>
          <w:noProof/>
          <w:sz w:val="24"/>
          <w:szCs w:val="24"/>
        </w:rPr>
        <w:tab/>
        <w:t xml:space="preserve">Metcalfe, C.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first World Health Organization International Standard for infliximab products: A step towards maintaining harmonized biological activity. </w:t>
      </w:r>
      <w:r w:rsidRPr="00EB2576">
        <w:rPr>
          <w:rFonts w:ascii="Times New Roman" w:hAnsi="Times New Roman" w:cs="Times New Roman"/>
          <w:i/>
          <w:iCs/>
          <w:noProof/>
          <w:sz w:val="24"/>
          <w:szCs w:val="24"/>
        </w:rPr>
        <w:t>MAbs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w:t>
      </w:r>
      <w:r w:rsidRPr="00EB2576">
        <w:rPr>
          <w:rFonts w:ascii="Times New Roman" w:hAnsi="Times New Roman" w:cs="Times New Roman"/>
          <w:noProof/>
          <w:sz w:val="24"/>
          <w:szCs w:val="24"/>
        </w:rPr>
        <w:t>, 13–25 (2019).</w:t>
      </w:r>
    </w:p>
    <w:p w14:paraId="5C22447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171.</w:t>
      </w:r>
      <w:r w:rsidRPr="00EB2576">
        <w:rPr>
          <w:rFonts w:ascii="Times New Roman" w:hAnsi="Times New Roman" w:cs="Times New Roman"/>
          <w:noProof/>
          <w:sz w:val="24"/>
          <w:szCs w:val="24"/>
        </w:rPr>
        <w:tab/>
        <w:t xml:space="preserve">Miele, E., Markowitz, J. E., Mamula, P. &amp; Baldassano, R. N. Human Antichimeric Antibody in Children and Young Adults with Inflammatory Bowel Disease Receiving Infliximab. </w:t>
      </w:r>
      <w:r w:rsidRPr="00EB2576">
        <w:rPr>
          <w:rFonts w:ascii="Times New Roman" w:hAnsi="Times New Roman" w:cs="Times New Roman"/>
          <w:i/>
          <w:iCs/>
          <w:noProof/>
          <w:sz w:val="24"/>
          <w:szCs w:val="24"/>
        </w:rPr>
        <w:t>J. Pediatr. Gastroenterol. Nutr.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38</w:t>
      </w:r>
      <w:r w:rsidRPr="00EB2576">
        <w:rPr>
          <w:rFonts w:ascii="Times New Roman" w:hAnsi="Times New Roman" w:cs="Times New Roman"/>
          <w:noProof/>
          <w:sz w:val="24"/>
          <w:szCs w:val="24"/>
        </w:rPr>
        <w:t>, 502–508 (2004).</w:t>
      </w:r>
    </w:p>
    <w:p w14:paraId="29AA91B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172.</w:t>
      </w:r>
      <w:r w:rsidRPr="00EB2576">
        <w:rPr>
          <w:rFonts w:ascii="Times New Roman" w:hAnsi="Times New Roman" w:cs="Times New Roman"/>
          <w:noProof/>
          <w:sz w:val="24"/>
          <w:szCs w:val="24"/>
        </w:rPr>
        <w:tab/>
        <w:t xml:space="preserve">Vermeire, S.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Effectiveness of concomitant immunosuppressive therapy in suppressing the formation of antibodies to infliximab in Crohn’s disease. </w:t>
      </w:r>
      <w:r w:rsidRPr="00EB2576">
        <w:rPr>
          <w:rFonts w:ascii="Times New Roman" w:hAnsi="Times New Roman" w:cs="Times New Roman"/>
          <w:i/>
          <w:iCs/>
          <w:noProof/>
          <w:sz w:val="24"/>
          <w:szCs w:val="24"/>
        </w:rPr>
        <w:t>Gut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56</w:t>
      </w:r>
      <w:r w:rsidRPr="00EB2576">
        <w:rPr>
          <w:rFonts w:ascii="Times New Roman" w:hAnsi="Times New Roman" w:cs="Times New Roman"/>
          <w:noProof/>
          <w:sz w:val="24"/>
          <w:szCs w:val="24"/>
        </w:rPr>
        <w:t>, 1226–1231 (2007).</w:t>
      </w:r>
    </w:p>
    <w:p w14:paraId="0FA490D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173.</w:t>
      </w:r>
      <w:r w:rsidRPr="00EB2576">
        <w:rPr>
          <w:rFonts w:ascii="Times New Roman" w:hAnsi="Times New Roman" w:cs="Times New Roman"/>
          <w:noProof/>
          <w:sz w:val="24"/>
          <w:szCs w:val="24"/>
        </w:rPr>
        <w:tab/>
        <w:t xml:space="preserve">Mahmoud,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Immunomodulator Withdrawal From Anti-TNF Therapy Is Not Associated With Loss of Response in Inflammatory Bowel Disease.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w:t>
      </w:r>
      <w:r w:rsidRPr="00EB2576">
        <w:rPr>
          <w:rFonts w:ascii="Times New Roman" w:hAnsi="Times New Roman" w:cs="Times New Roman"/>
          <w:noProof/>
          <w:sz w:val="24"/>
          <w:szCs w:val="24"/>
        </w:rPr>
        <w:t>, 2577-2587.e6 (2022).</w:t>
      </w:r>
    </w:p>
    <w:p w14:paraId="37564C6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174.</w:t>
      </w:r>
      <w:r w:rsidRPr="00EB2576">
        <w:rPr>
          <w:rFonts w:ascii="Times New Roman" w:hAnsi="Times New Roman" w:cs="Times New Roman"/>
          <w:noProof/>
          <w:sz w:val="24"/>
          <w:szCs w:val="24"/>
        </w:rPr>
        <w:tab/>
        <w:t xml:space="preserve">Louis,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Withdrawal of infliximab or concomitant immunosuppressant therapy in patients with Crohn’s disease on combination therapy (SPARE): a multicentre, open-label, randomised controlled trial. </w:t>
      </w:r>
      <w:r w:rsidRPr="00EB2576">
        <w:rPr>
          <w:rFonts w:ascii="Times New Roman" w:hAnsi="Times New Roman" w:cs="Times New Roman"/>
          <w:i/>
          <w:iCs/>
          <w:noProof/>
          <w:sz w:val="24"/>
          <w:szCs w:val="24"/>
        </w:rPr>
        <w:t>Lancet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w:t>
      </w:r>
      <w:r w:rsidRPr="00EB2576">
        <w:rPr>
          <w:rFonts w:ascii="Times New Roman" w:hAnsi="Times New Roman" w:cs="Times New Roman"/>
          <w:noProof/>
          <w:sz w:val="24"/>
          <w:szCs w:val="24"/>
        </w:rPr>
        <w:t>, 215–227 (2023).</w:t>
      </w:r>
    </w:p>
    <w:p w14:paraId="04BD9DE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175.</w:t>
      </w:r>
      <w:r w:rsidRPr="00EB2576">
        <w:rPr>
          <w:rFonts w:ascii="Times New Roman" w:hAnsi="Times New Roman" w:cs="Times New Roman"/>
          <w:noProof/>
          <w:sz w:val="24"/>
          <w:szCs w:val="24"/>
        </w:rPr>
        <w:tab/>
        <w:t xml:space="preserve">Dreesen,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OP25 Targeting endoscopic outcomes through combined pharmacokinetic and pharmacodynamic monitoring of infliximab therapy in patients with Crohn’s disease. </w:t>
      </w:r>
      <w:r w:rsidRPr="00EB2576">
        <w:rPr>
          <w:rFonts w:ascii="Times New Roman" w:hAnsi="Times New Roman" w:cs="Times New Roman"/>
          <w:i/>
          <w:iCs/>
          <w:noProof/>
          <w:sz w:val="24"/>
          <w:szCs w:val="24"/>
        </w:rPr>
        <w:t>J. Crohn’s Colitis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13</w:t>
      </w:r>
      <w:r w:rsidRPr="00EB2576">
        <w:rPr>
          <w:rFonts w:ascii="Times New Roman" w:hAnsi="Times New Roman" w:cs="Times New Roman"/>
          <w:noProof/>
          <w:sz w:val="24"/>
          <w:szCs w:val="24"/>
        </w:rPr>
        <w:t>, S016–S018 (2019).</w:t>
      </w:r>
    </w:p>
    <w:p w14:paraId="796061C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176.</w:t>
      </w:r>
      <w:r w:rsidRPr="00EB2576">
        <w:rPr>
          <w:rFonts w:ascii="Times New Roman" w:hAnsi="Times New Roman" w:cs="Times New Roman"/>
          <w:noProof/>
          <w:sz w:val="24"/>
          <w:szCs w:val="24"/>
        </w:rPr>
        <w:tab/>
        <w:t xml:space="preserve">Avila-Pedretti, G.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Variation at FCGR2A and Functionally Related Genes Is Associated with the Response to Anti-TNF Therapy in Rheumatoid Arthritis. </w:t>
      </w:r>
      <w:r w:rsidRPr="00EB2576">
        <w:rPr>
          <w:rFonts w:ascii="Times New Roman" w:hAnsi="Times New Roman" w:cs="Times New Roman"/>
          <w:i/>
          <w:iCs/>
          <w:noProof/>
          <w:sz w:val="24"/>
          <w:szCs w:val="24"/>
        </w:rPr>
        <w:t>PLoS One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w:t>
      </w:r>
      <w:r w:rsidRPr="00EB2576">
        <w:rPr>
          <w:rFonts w:ascii="Times New Roman" w:hAnsi="Times New Roman" w:cs="Times New Roman"/>
          <w:noProof/>
          <w:sz w:val="24"/>
          <w:szCs w:val="24"/>
        </w:rPr>
        <w:t>, e0122088 (2015).</w:t>
      </w:r>
    </w:p>
    <w:p w14:paraId="01937FC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177.</w:t>
      </w:r>
      <w:r w:rsidRPr="00EB2576">
        <w:rPr>
          <w:rFonts w:ascii="Times New Roman" w:hAnsi="Times New Roman" w:cs="Times New Roman"/>
          <w:noProof/>
          <w:sz w:val="24"/>
          <w:szCs w:val="24"/>
        </w:rPr>
        <w:tab/>
        <w:t xml:space="preserve">Tutuncu, Z.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Fcγ receptor type IIIA polymorphisms influence treatment outcomes in patients with inflammatory arthritis treated with tumor necrosis factor α-blocking agents. </w:t>
      </w:r>
      <w:r w:rsidRPr="00EB2576">
        <w:rPr>
          <w:rFonts w:ascii="Times New Roman" w:hAnsi="Times New Roman" w:cs="Times New Roman"/>
          <w:i/>
          <w:iCs/>
          <w:noProof/>
          <w:sz w:val="24"/>
          <w:szCs w:val="24"/>
        </w:rPr>
        <w:t>Arthritis Rheum.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52</w:t>
      </w:r>
      <w:r w:rsidRPr="00EB2576">
        <w:rPr>
          <w:rFonts w:ascii="Times New Roman" w:hAnsi="Times New Roman" w:cs="Times New Roman"/>
          <w:noProof/>
          <w:sz w:val="24"/>
          <w:szCs w:val="24"/>
        </w:rPr>
        <w:t>, 2693–2696 (2005).</w:t>
      </w:r>
    </w:p>
    <w:p w14:paraId="129A04EF"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178.</w:t>
      </w:r>
      <w:r w:rsidRPr="00EB2576">
        <w:rPr>
          <w:rFonts w:ascii="Times New Roman" w:hAnsi="Times New Roman" w:cs="Times New Roman"/>
          <w:noProof/>
          <w:sz w:val="24"/>
          <w:szCs w:val="24"/>
        </w:rPr>
        <w:tab/>
        <w:t xml:space="preserve">Maser, E. A., Villela, R., Silverberg, M. S. &amp; Greenberg, G. R. Association of Trough Serum Infliximab to Clinical Outcome After Scheduled Maintenance Treatment for Crohn’s Disease.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w:t>
      </w:r>
      <w:r w:rsidRPr="00EB2576">
        <w:rPr>
          <w:rFonts w:ascii="Times New Roman" w:hAnsi="Times New Roman" w:cs="Times New Roman"/>
          <w:noProof/>
          <w:sz w:val="24"/>
          <w:szCs w:val="24"/>
        </w:rPr>
        <w:t>, 1248–1254 (2006).</w:t>
      </w:r>
    </w:p>
    <w:p w14:paraId="39BC002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lastRenderedPageBreak/>
        <w:t>179.</w:t>
      </w:r>
      <w:r w:rsidRPr="00EB2576">
        <w:rPr>
          <w:rFonts w:ascii="Times New Roman" w:hAnsi="Times New Roman" w:cs="Times New Roman"/>
          <w:noProof/>
          <w:sz w:val="24"/>
          <w:szCs w:val="24"/>
        </w:rPr>
        <w:tab/>
        <w:t xml:space="preserve">Dreesen,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Anti-infliximab antibody concentrations can guide treatment intensification in patients with Crohn’s disease who lose clinical response. </w:t>
      </w:r>
      <w:r w:rsidRPr="00EB2576">
        <w:rPr>
          <w:rFonts w:ascii="Times New Roman" w:hAnsi="Times New Roman" w:cs="Times New Roman"/>
          <w:i/>
          <w:iCs/>
          <w:noProof/>
          <w:sz w:val="24"/>
          <w:szCs w:val="24"/>
        </w:rPr>
        <w:t>Aliment. Pharmacol. Ther.</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47</w:t>
      </w:r>
      <w:r w:rsidRPr="00EB2576">
        <w:rPr>
          <w:rFonts w:ascii="Times New Roman" w:hAnsi="Times New Roman" w:cs="Times New Roman"/>
          <w:noProof/>
          <w:sz w:val="24"/>
          <w:szCs w:val="24"/>
        </w:rPr>
        <w:t>, 346–355 (2018).</w:t>
      </w:r>
    </w:p>
    <w:p w14:paraId="7C5F519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180.</w:t>
      </w:r>
      <w:r w:rsidRPr="00EB2576">
        <w:rPr>
          <w:rFonts w:ascii="Times New Roman" w:hAnsi="Times New Roman" w:cs="Times New Roman"/>
          <w:noProof/>
          <w:sz w:val="24"/>
          <w:szCs w:val="24"/>
        </w:rPr>
        <w:tab/>
        <w:t xml:space="preserve">Yanai, H.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Levels of Drug and Antidrug Antibodies Are Associated With Outcome of Interventions After Loss of Response to Infliximab or Adalimumab.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13</w:t>
      </w:r>
      <w:r w:rsidRPr="00EB2576">
        <w:rPr>
          <w:rFonts w:ascii="Times New Roman" w:hAnsi="Times New Roman" w:cs="Times New Roman"/>
          <w:noProof/>
          <w:sz w:val="24"/>
          <w:szCs w:val="24"/>
        </w:rPr>
        <w:t>, 522-530.e2 (2015).</w:t>
      </w:r>
    </w:p>
    <w:p w14:paraId="6FC9050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181.</w:t>
      </w:r>
      <w:r w:rsidRPr="00EB2576">
        <w:rPr>
          <w:rFonts w:ascii="Times New Roman" w:hAnsi="Times New Roman" w:cs="Times New Roman"/>
          <w:noProof/>
          <w:sz w:val="24"/>
          <w:szCs w:val="24"/>
        </w:rPr>
        <w:tab/>
        <w:t xml:space="preserve">Papamichael, 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Appropriate Therapeutic Drug Monitoring of Biologic Agents for Patients With Inflammatory Bowel Diseases. </w:t>
      </w:r>
      <w:r w:rsidRPr="00EB2576">
        <w:rPr>
          <w:rFonts w:ascii="Times New Roman" w:hAnsi="Times New Roman" w:cs="Times New Roman"/>
          <w:i/>
          <w:iCs/>
          <w:noProof/>
          <w:sz w:val="24"/>
          <w:szCs w:val="24"/>
        </w:rPr>
        <w:t>Clin. Gastroenterol. Hepatol.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17</w:t>
      </w:r>
      <w:r w:rsidRPr="00EB2576">
        <w:rPr>
          <w:rFonts w:ascii="Times New Roman" w:hAnsi="Times New Roman" w:cs="Times New Roman"/>
          <w:noProof/>
          <w:sz w:val="24"/>
          <w:szCs w:val="24"/>
        </w:rPr>
        <w:t>, 1655-1668.e3 (2019).</w:t>
      </w:r>
    </w:p>
    <w:p w14:paraId="0DD310B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182.</w:t>
      </w:r>
      <w:r w:rsidRPr="00EB2576">
        <w:rPr>
          <w:rFonts w:ascii="Times New Roman" w:hAnsi="Times New Roman" w:cs="Times New Roman"/>
          <w:noProof/>
          <w:sz w:val="24"/>
          <w:szCs w:val="24"/>
        </w:rPr>
        <w:tab/>
        <w:t xml:space="preserve">Jung, S. 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Physicochemical characterization of Remsima®. </w:t>
      </w:r>
      <w:r w:rsidRPr="00EB2576">
        <w:rPr>
          <w:rFonts w:ascii="Times New Roman" w:hAnsi="Times New Roman" w:cs="Times New Roman"/>
          <w:i/>
          <w:iCs/>
          <w:noProof/>
          <w:sz w:val="24"/>
          <w:szCs w:val="24"/>
        </w:rPr>
        <w:t>MAbs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6</w:t>
      </w:r>
      <w:r w:rsidRPr="00EB2576">
        <w:rPr>
          <w:rFonts w:ascii="Times New Roman" w:hAnsi="Times New Roman" w:cs="Times New Roman"/>
          <w:noProof/>
          <w:sz w:val="24"/>
          <w:szCs w:val="24"/>
        </w:rPr>
        <w:t>, 1163–1177 (2014).</w:t>
      </w:r>
    </w:p>
    <w:p w14:paraId="75346230"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183.</w:t>
      </w:r>
      <w:r w:rsidRPr="00EB2576">
        <w:rPr>
          <w:rFonts w:ascii="Times New Roman" w:hAnsi="Times New Roman" w:cs="Times New Roman"/>
          <w:noProof/>
          <w:sz w:val="24"/>
          <w:szCs w:val="24"/>
        </w:rPr>
        <w:tab/>
        <w:t xml:space="preserve">Hufton, S.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The Breadth of Cross Sub-Type Neutralisation Activity of a Single Domain Antibody to Influenza Hemagglutinin Can Be Increased by Antibody Valency. </w:t>
      </w:r>
      <w:r w:rsidRPr="00EB2576">
        <w:rPr>
          <w:rFonts w:ascii="Times New Roman" w:hAnsi="Times New Roman" w:cs="Times New Roman"/>
          <w:i/>
          <w:iCs/>
          <w:noProof/>
          <w:sz w:val="24"/>
          <w:szCs w:val="24"/>
        </w:rPr>
        <w:t>PLoS One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e103294 (2014).</w:t>
      </w:r>
    </w:p>
    <w:p w14:paraId="75A7D05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184.</w:t>
      </w:r>
      <w:r w:rsidRPr="00EB2576">
        <w:rPr>
          <w:rFonts w:ascii="Times New Roman" w:hAnsi="Times New Roman" w:cs="Times New Roman"/>
          <w:noProof/>
          <w:sz w:val="24"/>
          <w:szCs w:val="24"/>
        </w:rPr>
        <w:tab/>
        <w:t xml:space="preserve">Gardner, C. O., Eskridge, K. M., Zhang, H. T. &amp; Weeks, D. P. Estimating the Probability That a Genomic Library Contains a Specific DNA Sequence. </w:t>
      </w:r>
      <w:r w:rsidRPr="00EB2576">
        <w:rPr>
          <w:rFonts w:ascii="Times New Roman" w:hAnsi="Times New Roman" w:cs="Times New Roman"/>
          <w:i/>
          <w:iCs/>
          <w:noProof/>
          <w:sz w:val="24"/>
          <w:szCs w:val="24"/>
        </w:rPr>
        <w:t>J. Agric. Biol. Environ. Stat.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w:t>
      </w:r>
      <w:r w:rsidRPr="00EB2576">
        <w:rPr>
          <w:rFonts w:ascii="Times New Roman" w:hAnsi="Times New Roman" w:cs="Times New Roman"/>
          <w:noProof/>
          <w:sz w:val="24"/>
          <w:szCs w:val="24"/>
        </w:rPr>
        <w:t>, 1 (1999).</w:t>
      </w:r>
    </w:p>
    <w:p w14:paraId="41F13C4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185.</w:t>
      </w:r>
      <w:r w:rsidRPr="00EB2576">
        <w:rPr>
          <w:rFonts w:ascii="Times New Roman" w:hAnsi="Times New Roman" w:cs="Times New Roman"/>
          <w:noProof/>
          <w:sz w:val="24"/>
          <w:szCs w:val="24"/>
        </w:rPr>
        <w:tab/>
        <w:t xml:space="preserve">Pirez-ortin JE, Li Del Olmo M, Matallana E, T. V. Making Your Own Gene Library. </w:t>
      </w:r>
      <w:r w:rsidRPr="00EB2576">
        <w:rPr>
          <w:rFonts w:ascii="Times New Roman" w:hAnsi="Times New Roman" w:cs="Times New Roman"/>
          <w:i/>
          <w:iCs/>
          <w:noProof/>
          <w:sz w:val="24"/>
          <w:szCs w:val="24"/>
        </w:rPr>
        <w:t>Biochem. Educ.</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25</w:t>
      </w:r>
      <w:r w:rsidRPr="00EB2576">
        <w:rPr>
          <w:rFonts w:ascii="Times New Roman" w:hAnsi="Times New Roman" w:cs="Times New Roman"/>
          <w:noProof/>
          <w:sz w:val="24"/>
          <w:szCs w:val="24"/>
        </w:rPr>
        <w:t>, 237–241 (1997).</w:t>
      </w:r>
    </w:p>
    <w:p w14:paraId="5EA1539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186.</w:t>
      </w:r>
      <w:r w:rsidRPr="00EB2576">
        <w:rPr>
          <w:rFonts w:ascii="Times New Roman" w:hAnsi="Times New Roman" w:cs="Times New Roman"/>
          <w:noProof/>
          <w:sz w:val="24"/>
          <w:szCs w:val="24"/>
        </w:rPr>
        <w:tab/>
        <w:t xml:space="preserve">Behjati, S. &amp; Tarpey, P. S. What is next generation sequencing? </w:t>
      </w:r>
      <w:r w:rsidRPr="00EB2576">
        <w:rPr>
          <w:rFonts w:ascii="Times New Roman" w:hAnsi="Times New Roman" w:cs="Times New Roman"/>
          <w:i/>
          <w:iCs/>
          <w:noProof/>
          <w:sz w:val="24"/>
          <w:szCs w:val="24"/>
        </w:rPr>
        <w:t>Arch. Dis. Child. - Educ. Pract. 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98</w:t>
      </w:r>
      <w:r w:rsidRPr="00EB2576">
        <w:rPr>
          <w:rFonts w:ascii="Times New Roman" w:hAnsi="Times New Roman" w:cs="Times New Roman"/>
          <w:noProof/>
          <w:sz w:val="24"/>
          <w:szCs w:val="24"/>
        </w:rPr>
        <w:t>, 236–238 (2013).</w:t>
      </w:r>
    </w:p>
    <w:p w14:paraId="6E0FC63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187.</w:t>
      </w:r>
      <w:r w:rsidRPr="00EB2576">
        <w:rPr>
          <w:rFonts w:ascii="Times New Roman" w:hAnsi="Times New Roman" w:cs="Times New Roman"/>
          <w:noProof/>
          <w:sz w:val="24"/>
          <w:szCs w:val="24"/>
        </w:rPr>
        <w:tab/>
        <w:t xml:space="preserve">Gullapalli, R. R., Desai, K. V., Santana-Santos, L., Kant, J. A. &amp; Becich, M. J. Next generation sequencing in clinical medicine: Challenges and lessons for pathology and biomedical informatics. </w:t>
      </w:r>
      <w:r w:rsidRPr="00EB2576">
        <w:rPr>
          <w:rFonts w:ascii="Times New Roman" w:hAnsi="Times New Roman" w:cs="Times New Roman"/>
          <w:i/>
          <w:iCs/>
          <w:noProof/>
          <w:sz w:val="24"/>
          <w:szCs w:val="24"/>
        </w:rPr>
        <w:t>J. Pathol. Inform.</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w:t>
      </w:r>
      <w:r w:rsidRPr="00EB2576">
        <w:rPr>
          <w:rFonts w:ascii="Times New Roman" w:hAnsi="Times New Roman" w:cs="Times New Roman"/>
          <w:noProof/>
          <w:sz w:val="24"/>
          <w:szCs w:val="24"/>
        </w:rPr>
        <w:t>, 40 (2012).</w:t>
      </w:r>
    </w:p>
    <w:p w14:paraId="6E34962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188.</w:t>
      </w:r>
      <w:r w:rsidRPr="00EB2576">
        <w:rPr>
          <w:rFonts w:ascii="Times New Roman" w:hAnsi="Times New Roman" w:cs="Times New Roman"/>
          <w:noProof/>
          <w:sz w:val="24"/>
          <w:szCs w:val="24"/>
        </w:rPr>
        <w:tab/>
        <w:t xml:space="preserve">Breitling, F., Broders, O., Helmsing, S., Hust, M. &amp; Dübel, S. Improving Phage Display Throughput by Using Hyperphage, Miniaturized Titration and pVIII (g8p) ELISA. in </w:t>
      </w:r>
      <w:r w:rsidRPr="00EB2576">
        <w:rPr>
          <w:rFonts w:ascii="Times New Roman" w:hAnsi="Times New Roman" w:cs="Times New Roman"/>
          <w:i/>
          <w:iCs/>
          <w:noProof/>
          <w:sz w:val="24"/>
          <w:szCs w:val="24"/>
        </w:rPr>
        <w:t>Antibody Engineering</w:t>
      </w:r>
      <w:r w:rsidRPr="00EB2576">
        <w:rPr>
          <w:rFonts w:ascii="Times New Roman" w:hAnsi="Times New Roman" w:cs="Times New Roman"/>
          <w:noProof/>
          <w:sz w:val="24"/>
          <w:szCs w:val="24"/>
        </w:rPr>
        <w:t xml:space="preserve"> 197–206 (Springer Berlin Heidelberg, 2010). doi:10.1007/978-3-642-01144-3_14</w:t>
      </w:r>
    </w:p>
    <w:p w14:paraId="727061F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189.</w:t>
      </w:r>
      <w:r w:rsidRPr="00EB2576">
        <w:rPr>
          <w:rFonts w:ascii="Times New Roman" w:hAnsi="Times New Roman" w:cs="Times New Roman"/>
          <w:noProof/>
          <w:sz w:val="24"/>
          <w:szCs w:val="24"/>
        </w:rPr>
        <w:tab/>
        <w:t xml:space="preserve">Ramli, S.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Discovery of Leptospira spp. seroreactive peptides using ORFeome phage display. </w:t>
      </w:r>
      <w:r w:rsidRPr="00EB2576">
        <w:rPr>
          <w:rFonts w:ascii="Times New Roman" w:hAnsi="Times New Roman" w:cs="Times New Roman"/>
          <w:i/>
          <w:iCs/>
          <w:noProof/>
          <w:sz w:val="24"/>
          <w:szCs w:val="24"/>
        </w:rPr>
        <w:t>PLoS Negl. Trop.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13</w:t>
      </w:r>
      <w:r w:rsidRPr="00EB2576">
        <w:rPr>
          <w:rFonts w:ascii="Times New Roman" w:hAnsi="Times New Roman" w:cs="Times New Roman"/>
          <w:noProof/>
          <w:sz w:val="24"/>
          <w:szCs w:val="24"/>
        </w:rPr>
        <w:t>, e0007131 (2019).</w:t>
      </w:r>
    </w:p>
    <w:p w14:paraId="5C6AB21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190.</w:t>
      </w:r>
      <w:r w:rsidRPr="00EB2576">
        <w:rPr>
          <w:rFonts w:ascii="Times New Roman" w:hAnsi="Times New Roman" w:cs="Times New Roman"/>
          <w:noProof/>
          <w:sz w:val="24"/>
          <w:szCs w:val="24"/>
        </w:rPr>
        <w:tab/>
        <w:t xml:space="preserve">Woo, M.-K.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Optimization of phage-immobilized ELISA for autoantibody profiling in human sera. </w:t>
      </w:r>
      <w:r w:rsidRPr="00EB2576">
        <w:rPr>
          <w:rFonts w:ascii="Times New Roman" w:hAnsi="Times New Roman" w:cs="Times New Roman"/>
          <w:i/>
          <w:iCs/>
          <w:noProof/>
          <w:sz w:val="24"/>
          <w:szCs w:val="24"/>
        </w:rPr>
        <w:t>Biotechnol. Lett.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33</w:t>
      </w:r>
      <w:r w:rsidRPr="00EB2576">
        <w:rPr>
          <w:rFonts w:ascii="Times New Roman" w:hAnsi="Times New Roman" w:cs="Times New Roman"/>
          <w:noProof/>
          <w:sz w:val="24"/>
          <w:szCs w:val="24"/>
        </w:rPr>
        <w:t>, 655–661 (2011).</w:t>
      </w:r>
    </w:p>
    <w:p w14:paraId="0440191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191.</w:t>
      </w:r>
      <w:r w:rsidRPr="00EB2576">
        <w:rPr>
          <w:rFonts w:ascii="Times New Roman" w:hAnsi="Times New Roman" w:cs="Times New Roman"/>
          <w:noProof/>
          <w:sz w:val="24"/>
          <w:szCs w:val="24"/>
        </w:rPr>
        <w:tab/>
        <w:t xml:space="preserve">Luong, T., Salabarria, A.-C., Edwards, R. A. &amp; Roach, D. R. Standardized bacteriophage purification for personalized phage therapy. </w:t>
      </w:r>
      <w:r w:rsidRPr="00EB2576">
        <w:rPr>
          <w:rFonts w:ascii="Times New Roman" w:hAnsi="Times New Roman" w:cs="Times New Roman"/>
          <w:i/>
          <w:iCs/>
          <w:noProof/>
          <w:sz w:val="24"/>
          <w:szCs w:val="24"/>
        </w:rPr>
        <w:t>Nat. Protoc.</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15</w:t>
      </w:r>
      <w:r w:rsidRPr="00EB2576">
        <w:rPr>
          <w:rFonts w:ascii="Times New Roman" w:hAnsi="Times New Roman" w:cs="Times New Roman"/>
          <w:noProof/>
          <w:sz w:val="24"/>
          <w:szCs w:val="24"/>
        </w:rPr>
        <w:t>, 2867–2890 (2020).</w:t>
      </w:r>
    </w:p>
    <w:p w14:paraId="2A0E77C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192.</w:t>
      </w:r>
      <w:r w:rsidRPr="00EB2576">
        <w:rPr>
          <w:rFonts w:ascii="Times New Roman" w:hAnsi="Times New Roman" w:cs="Times New Roman"/>
          <w:noProof/>
          <w:sz w:val="24"/>
          <w:szCs w:val="24"/>
        </w:rPr>
        <w:tab/>
        <w:t xml:space="preserve">Yang, W.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Next-generation sequencing enables the discovery of more diverse positive clones from a phage-displayed antibody library. </w:t>
      </w:r>
      <w:r w:rsidRPr="00EB2576">
        <w:rPr>
          <w:rFonts w:ascii="Times New Roman" w:hAnsi="Times New Roman" w:cs="Times New Roman"/>
          <w:i/>
          <w:iCs/>
          <w:noProof/>
          <w:sz w:val="24"/>
          <w:szCs w:val="24"/>
        </w:rPr>
        <w:t>Exp. Mol.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49</w:t>
      </w:r>
      <w:r w:rsidRPr="00EB2576">
        <w:rPr>
          <w:rFonts w:ascii="Times New Roman" w:hAnsi="Times New Roman" w:cs="Times New Roman"/>
          <w:noProof/>
          <w:sz w:val="24"/>
          <w:szCs w:val="24"/>
        </w:rPr>
        <w:t>, e308–e308 (2017).</w:t>
      </w:r>
    </w:p>
    <w:p w14:paraId="08167FB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193.</w:t>
      </w:r>
      <w:r w:rsidRPr="00EB2576">
        <w:rPr>
          <w:rFonts w:ascii="Times New Roman" w:hAnsi="Times New Roman" w:cs="Times New Roman"/>
          <w:noProof/>
          <w:sz w:val="24"/>
          <w:szCs w:val="24"/>
        </w:rPr>
        <w:tab/>
        <w:t xml:space="preserve">Braun, R.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Application of Next Generation Sequencing (NGS) in Phage Displayed Peptide Selection to Support the Identification of Arsenic-Binding Motifs. </w:t>
      </w:r>
      <w:r w:rsidRPr="00EB2576">
        <w:rPr>
          <w:rFonts w:ascii="Times New Roman" w:hAnsi="Times New Roman" w:cs="Times New Roman"/>
          <w:i/>
          <w:iCs/>
          <w:noProof/>
          <w:sz w:val="24"/>
          <w:szCs w:val="24"/>
        </w:rPr>
        <w:t>Viruses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12</w:t>
      </w:r>
      <w:r w:rsidRPr="00EB2576">
        <w:rPr>
          <w:rFonts w:ascii="Times New Roman" w:hAnsi="Times New Roman" w:cs="Times New Roman"/>
          <w:noProof/>
          <w:sz w:val="24"/>
          <w:szCs w:val="24"/>
        </w:rPr>
        <w:t>, 1360 (2020).</w:t>
      </w:r>
    </w:p>
    <w:p w14:paraId="622D4DB7"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194.</w:t>
      </w:r>
      <w:r w:rsidRPr="00EB2576">
        <w:rPr>
          <w:rFonts w:ascii="Times New Roman" w:hAnsi="Times New Roman" w:cs="Times New Roman"/>
          <w:noProof/>
          <w:sz w:val="24"/>
          <w:szCs w:val="24"/>
        </w:rPr>
        <w:tab/>
        <w:t xml:space="preserve">Dias-Neto, E.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Next-Generation Phage Display: Integrating and Comparing </w:t>
      </w:r>
      <w:r w:rsidRPr="00EB2576">
        <w:rPr>
          <w:rFonts w:ascii="Times New Roman" w:hAnsi="Times New Roman" w:cs="Times New Roman"/>
          <w:noProof/>
          <w:sz w:val="24"/>
          <w:szCs w:val="24"/>
        </w:rPr>
        <w:lastRenderedPageBreak/>
        <w:t xml:space="preserve">Available Molecular Tools to Enable Cost-Effective High-Throughput Analysis. </w:t>
      </w:r>
      <w:r w:rsidRPr="00EB2576">
        <w:rPr>
          <w:rFonts w:ascii="Times New Roman" w:hAnsi="Times New Roman" w:cs="Times New Roman"/>
          <w:i/>
          <w:iCs/>
          <w:noProof/>
          <w:sz w:val="24"/>
          <w:szCs w:val="24"/>
        </w:rPr>
        <w:t>PLoS One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4</w:t>
      </w:r>
      <w:r w:rsidRPr="00EB2576">
        <w:rPr>
          <w:rFonts w:ascii="Times New Roman" w:hAnsi="Times New Roman" w:cs="Times New Roman"/>
          <w:noProof/>
          <w:sz w:val="24"/>
          <w:szCs w:val="24"/>
        </w:rPr>
        <w:t>, e8338 (2009).</w:t>
      </w:r>
    </w:p>
    <w:p w14:paraId="7F0B49F5"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195.</w:t>
      </w:r>
      <w:r w:rsidRPr="00EB2576">
        <w:rPr>
          <w:rFonts w:ascii="Times New Roman" w:hAnsi="Times New Roman" w:cs="Times New Roman"/>
          <w:noProof/>
          <w:sz w:val="24"/>
          <w:szCs w:val="24"/>
        </w:rPr>
        <w:tab/>
        <w:t xml:space="preserve">Turner, K.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Next-Generation Sequencing of a Single Domain Antibody Repertoire Reveals Quality of Phage Display Selected Candidates. </w:t>
      </w:r>
      <w:r w:rsidRPr="00EB2576">
        <w:rPr>
          <w:rFonts w:ascii="Times New Roman" w:hAnsi="Times New Roman" w:cs="Times New Roman"/>
          <w:i/>
          <w:iCs/>
          <w:noProof/>
          <w:sz w:val="24"/>
          <w:szCs w:val="24"/>
        </w:rPr>
        <w:t>PLoS One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w:t>
      </w:r>
      <w:r w:rsidRPr="00EB2576">
        <w:rPr>
          <w:rFonts w:ascii="Times New Roman" w:hAnsi="Times New Roman" w:cs="Times New Roman"/>
          <w:noProof/>
          <w:sz w:val="24"/>
          <w:szCs w:val="24"/>
        </w:rPr>
        <w:t>, e0149393 (2016).</w:t>
      </w:r>
    </w:p>
    <w:p w14:paraId="6F212C1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196.</w:t>
      </w:r>
      <w:r w:rsidRPr="00EB2576">
        <w:rPr>
          <w:rFonts w:ascii="Times New Roman" w:hAnsi="Times New Roman" w:cs="Times New Roman"/>
          <w:noProof/>
          <w:sz w:val="24"/>
          <w:szCs w:val="24"/>
        </w:rPr>
        <w:tab/>
        <w:t xml:space="preserve">Rouet, R., Jackson, K. J. L., Langley, D. B. &amp; Christ, D. Next-Generation Sequencing of Antibody Display Repertoires. </w:t>
      </w:r>
      <w:r w:rsidRPr="00EB2576">
        <w:rPr>
          <w:rFonts w:ascii="Times New Roman" w:hAnsi="Times New Roman" w:cs="Times New Roman"/>
          <w:i/>
          <w:iCs/>
          <w:noProof/>
          <w:sz w:val="24"/>
          <w:szCs w:val="24"/>
        </w:rPr>
        <w:t>Front.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(2018).</w:t>
      </w:r>
    </w:p>
    <w:p w14:paraId="66A58ABB"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197.</w:t>
      </w:r>
      <w:r w:rsidRPr="00EB2576">
        <w:rPr>
          <w:rFonts w:ascii="Times New Roman" w:hAnsi="Times New Roman" w:cs="Times New Roman"/>
          <w:noProof/>
          <w:sz w:val="24"/>
          <w:szCs w:val="24"/>
        </w:rPr>
        <w:tab/>
        <w:t xml:space="preserve">Ferdous, S., Kelm, S., Baker, T. S., Shi, J. &amp; Martin, A. C. R. B-cell epitopes: Discontinuity and conformational analysis. </w:t>
      </w:r>
      <w:r w:rsidRPr="00EB2576">
        <w:rPr>
          <w:rFonts w:ascii="Times New Roman" w:hAnsi="Times New Roman" w:cs="Times New Roman"/>
          <w:i/>
          <w:iCs/>
          <w:noProof/>
          <w:sz w:val="24"/>
          <w:szCs w:val="24"/>
        </w:rPr>
        <w:t>Mol.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114</w:t>
      </w:r>
      <w:r w:rsidRPr="00EB2576">
        <w:rPr>
          <w:rFonts w:ascii="Times New Roman" w:hAnsi="Times New Roman" w:cs="Times New Roman"/>
          <w:noProof/>
          <w:sz w:val="24"/>
          <w:szCs w:val="24"/>
        </w:rPr>
        <w:t>, 643–650 (2019).</w:t>
      </w:r>
    </w:p>
    <w:p w14:paraId="77C8051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198.</w:t>
      </w:r>
      <w:r w:rsidRPr="00EB2576">
        <w:rPr>
          <w:rFonts w:ascii="Times New Roman" w:hAnsi="Times New Roman" w:cs="Times New Roman"/>
          <w:noProof/>
          <w:sz w:val="24"/>
          <w:szCs w:val="24"/>
        </w:rPr>
        <w:tab/>
        <w:t xml:space="preserve">Liu, I.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Disease‐Specific B Cell Epitopes for Serum Antibodies from Patients with Severe Acute Respiratory Syndrome (SARS) and Serologic Detection of SARS Antibodies by Epitope‐Based Peptide Antigens. </w:t>
      </w:r>
      <w:r w:rsidRPr="00EB2576">
        <w:rPr>
          <w:rFonts w:ascii="Times New Roman" w:hAnsi="Times New Roman" w:cs="Times New Roman"/>
          <w:i/>
          <w:iCs/>
          <w:noProof/>
          <w:sz w:val="24"/>
          <w:szCs w:val="24"/>
        </w:rPr>
        <w:t>J. Infect.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190</w:t>
      </w:r>
      <w:r w:rsidRPr="00EB2576">
        <w:rPr>
          <w:rFonts w:ascii="Times New Roman" w:hAnsi="Times New Roman" w:cs="Times New Roman"/>
          <w:noProof/>
          <w:sz w:val="24"/>
          <w:szCs w:val="24"/>
        </w:rPr>
        <w:t>, 797–809 (2004).</w:t>
      </w:r>
    </w:p>
    <w:p w14:paraId="4F7754E9"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199.</w:t>
      </w:r>
      <w:r w:rsidRPr="00EB2576">
        <w:rPr>
          <w:rFonts w:ascii="Times New Roman" w:hAnsi="Times New Roman" w:cs="Times New Roman"/>
          <w:noProof/>
          <w:sz w:val="24"/>
          <w:szCs w:val="24"/>
        </w:rPr>
        <w:tab/>
        <w:t xml:space="preserve">He, B.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Epitope Mapping of Metuximab on CD147 Using Phage Display and Molecular Docking. </w:t>
      </w:r>
      <w:r w:rsidRPr="00EB2576">
        <w:rPr>
          <w:rFonts w:ascii="Times New Roman" w:hAnsi="Times New Roman" w:cs="Times New Roman"/>
          <w:i/>
          <w:iCs/>
          <w:noProof/>
          <w:sz w:val="24"/>
          <w:szCs w:val="24"/>
        </w:rPr>
        <w:t>Comput. Math. Methods Med.</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2013</w:t>
      </w:r>
      <w:r w:rsidRPr="00EB2576">
        <w:rPr>
          <w:rFonts w:ascii="Times New Roman" w:hAnsi="Times New Roman" w:cs="Times New Roman"/>
          <w:noProof/>
          <w:sz w:val="24"/>
          <w:szCs w:val="24"/>
        </w:rPr>
        <w:t>, 1–6 (2013).</w:t>
      </w:r>
    </w:p>
    <w:p w14:paraId="300152AD"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200.</w:t>
      </w:r>
      <w:r w:rsidRPr="00EB2576">
        <w:rPr>
          <w:rFonts w:ascii="Times New Roman" w:hAnsi="Times New Roman" w:cs="Times New Roman"/>
          <w:noProof/>
          <w:sz w:val="24"/>
          <w:szCs w:val="24"/>
        </w:rPr>
        <w:tab/>
        <w:t xml:space="preserve">Sanchez-Trincado, J. L., Gomez-Perosanz, M. &amp; Reche, P. A. Fundamentals and Methods for T- and B-Cell Epitope Prediction. </w:t>
      </w:r>
      <w:r w:rsidRPr="00EB2576">
        <w:rPr>
          <w:rFonts w:ascii="Times New Roman" w:hAnsi="Times New Roman" w:cs="Times New Roman"/>
          <w:i/>
          <w:iCs/>
          <w:noProof/>
          <w:sz w:val="24"/>
          <w:szCs w:val="24"/>
        </w:rPr>
        <w:t>J. Immunol.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2017</w:t>
      </w:r>
      <w:r w:rsidRPr="00EB2576">
        <w:rPr>
          <w:rFonts w:ascii="Times New Roman" w:hAnsi="Times New Roman" w:cs="Times New Roman"/>
          <w:noProof/>
          <w:sz w:val="24"/>
          <w:szCs w:val="24"/>
        </w:rPr>
        <w:t>, 1–14 (2017).</w:t>
      </w:r>
    </w:p>
    <w:p w14:paraId="3DCD7D21"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201.</w:t>
      </w:r>
      <w:r w:rsidRPr="00EB2576">
        <w:rPr>
          <w:rFonts w:ascii="Times New Roman" w:hAnsi="Times New Roman" w:cs="Times New Roman"/>
          <w:noProof/>
          <w:sz w:val="24"/>
          <w:szCs w:val="24"/>
        </w:rPr>
        <w:tab/>
        <w:t xml:space="preserve">Freund, N. T., Enshell‐Seijffers, D. &amp; Gershoni, J. M. Phage Display Selection, Analysis, and Prediction of B Cell Epitopes. </w:t>
      </w:r>
      <w:r w:rsidRPr="00EB2576">
        <w:rPr>
          <w:rFonts w:ascii="Times New Roman" w:hAnsi="Times New Roman" w:cs="Times New Roman"/>
          <w:i/>
          <w:iCs/>
          <w:noProof/>
          <w:sz w:val="24"/>
          <w:szCs w:val="24"/>
        </w:rPr>
        <w:t>Curr. Protoc. Immunol.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86</w:t>
      </w:r>
      <w:r w:rsidRPr="00EB2576">
        <w:rPr>
          <w:rFonts w:ascii="Times New Roman" w:hAnsi="Times New Roman" w:cs="Times New Roman"/>
          <w:noProof/>
          <w:sz w:val="24"/>
          <w:szCs w:val="24"/>
        </w:rPr>
        <w:t>, Unit 9.8 (2009).</w:t>
      </w:r>
    </w:p>
    <w:p w14:paraId="0F46435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202.</w:t>
      </w:r>
      <w:r w:rsidRPr="00EB2576">
        <w:rPr>
          <w:rFonts w:ascii="Times New Roman" w:hAnsi="Times New Roman" w:cs="Times New Roman"/>
          <w:noProof/>
          <w:sz w:val="24"/>
          <w:szCs w:val="24"/>
        </w:rPr>
        <w:tab/>
        <w:t xml:space="preserve">Yang, L., Biswas, M. E. &amp; Chen, P. Study of Binding between Protein A and Immunoglobulin G Using a Surface Tension Probe. </w:t>
      </w:r>
      <w:r w:rsidRPr="00EB2576">
        <w:rPr>
          <w:rFonts w:ascii="Times New Roman" w:hAnsi="Times New Roman" w:cs="Times New Roman"/>
          <w:i/>
          <w:iCs/>
          <w:noProof/>
          <w:sz w:val="24"/>
          <w:szCs w:val="24"/>
        </w:rPr>
        <w:t>Biophys. J.</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84</w:t>
      </w:r>
      <w:r w:rsidRPr="00EB2576">
        <w:rPr>
          <w:rFonts w:ascii="Times New Roman" w:hAnsi="Times New Roman" w:cs="Times New Roman"/>
          <w:noProof/>
          <w:sz w:val="24"/>
          <w:szCs w:val="24"/>
        </w:rPr>
        <w:t>, 509–522 (2003).</w:t>
      </w:r>
    </w:p>
    <w:p w14:paraId="1593219A"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203.</w:t>
      </w:r>
      <w:r w:rsidRPr="00EB2576">
        <w:rPr>
          <w:rFonts w:ascii="Times New Roman" w:hAnsi="Times New Roman" w:cs="Times New Roman"/>
          <w:noProof/>
          <w:sz w:val="24"/>
          <w:szCs w:val="24"/>
        </w:rPr>
        <w:tab/>
        <w:t>Midoro-Horiuti, T. &amp; Goldblum, R. M. Epitope Mapping with Random Phage Display Library. in 477–484 (2014). doi:10.1007/978-1-62703-992-5_28</w:t>
      </w:r>
    </w:p>
    <w:p w14:paraId="487CCA1E"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204.</w:t>
      </w:r>
      <w:r w:rsidRPr="00EB2576">
        <w:rPr>
          <w:rFonts w:ascii="Times New Roman" w:hAnsi="Times New Roman" w:cs="Times New Roman"/>
          <w:noProof/>
          <w:sz w:val="24"/>
          <w:szCs w:val="24"/>
        </w:rPr>
        <w:tab/>
        <w:t xml:space="preserve">Mayrose, I.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Pepitope: epitope mapping from affinity-selected peptides. </w:t>
      </w:r>
      <w:r w:rsidRPr="00EB2576">
        <w:rPr>
          <w:rFonts w:ascii="Times New Roman" w:hAnsi="Times New Roman" w:cs="Times New Roman"/>
          <w:i/>
          <w:iCs/>
          <w:noProof/>
          <w:sz w:val="24"/>
          <w:szCs w:val="24"/>
        </w:rPr>
        <w:t>Bioinformatics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23</w:t>
      </w:r>
      <w:r w:rsidRPr="00EB2576">
        <w:rPr>
          <w:rFonts w:ascii="Times New Roman" w:hAnsi="Times New Roman" w:cs="Times New Roman"/>
          <w:noProof/>
          <w:sz w:val="24"/>
          <w:szCs w:val="24"/>
        </w:rPr>
        <w:t>, 3244–3246 (2007).</w:t>
      </w:r>
    </w:p>
    <w:p w14:paraId="7662AB13"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205.</w:t>
      </w:r>
      <w:r w:rsidRPr="00EB2576">
        <w:rPr>
          <w:rFonts w:ascii="Times New Roman" w:hAnsi="Times New Roman" w:cs="Times New Roman"/>
          <w:noProof/>
          <w:sz w:val="24"/>
          <w:szCs w:val="24"/>
        </w:rPr>
        <w:tab/>
        <w:t xml:space="preserve">Li, X.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Identification of IgE and IgG epitopes on native Bos d 4 allergen specific to allergic children. </w:t>
      </w:r>
      <w:r w:rsidRPr="00EB2576">
        <w:rPr>
          <w:rFonts w:ascii="Times New Roman" w:hAnsi="Times New Roman" w:cs="Times New Roman"/>
          <w:i/>
          <w:iCs/>
          <w:noProof/>
          <w:sz w:val="24"/>
          <w:szCs w:val="24"/>
        </w:rPr>
        <w:t>Food Funct.</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7</w:t>
      </w:r>
      <w:r w:rsidRPr="00EB2576">
        <w:rPr>
          <w:rFonts w:ascii="Times New Roman" w:hAnsi="Times New Roman" w:cs="Times New Roman"/>
          <w:noProof/>
          <w:sz w:val="24"/>
          <w:szCs w:val="24"/>
        </w:rPr>
        <w:t>, 2996–3005 (2016).</w:t>
      </w:r>
    </w:p>
    <w:p w14:paraId="4249F15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206.</w:t>
      </w:r>
      <w:r w:rsidRPr="00EB2576">
        <w:rPr>
          <w:rFonts w:ascii="Times New Roman" w:hAnsi="Times New Roman" w:cs="Times New Roman"/>
          <w:noProof/>
          <w:sz w:val="24"/>
          <w:szCs w:val="24"/>
        </w:rPr>
        <w:tab/>
        <w:t xml:space="preserve">Hartmann, C.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Peptide mimotopes recognized by antibodies cetuximab and matuzumab induce a functionally equivalent anti-EGFR immune response. </w:t>
      </w:r>
      <w:r w:rsidRPr="00EB2576">
        <w:rPr>
          <w:rFonts w:ascii="Times New Roman" w:hAnsi="Times New Roman" w:cs="Times New Roman"/>
          <w:i/>
          <w:iCs/>
          <w:noProof/>
          <w:sz w:val="24"/>
          <w:szCs w:val="24"/>
        </w:rPr>
        <w:t>Oncogene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29</w:t>
      </w:r>
      <w:r w:rsidRPr="00EB2576">
        <w:rPr>
          <w:rFonts w:ascii="Times New Roman" w:hAnsi="Times New Roman" w:cs="Times New Roman"/>
          <w:noProof/>
          <w:sz w:val="24"/>
          <w:szCs w:val="24"/>
        </w:rPr>
        <w:t>, 4517–4527 (2010).</w:t>
      </w:r>
    </w:p>
    <w:p w14:paraId="29BD4132"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207.</w:t>
      </w:r>
      <w:r w:rsidRPr="00EB2576">
        <w:rPr>
          <w:rFonts w:ascii="Times New Roman" w:hAnsi="Times New Roman" w:cs="Times New Roman"/>
          <w:noProof/>
          <w:sz w:val="24"/>
          <w:szCs w:val="24"/>
        </w:rPr>
        <w:tab/>
        <w:t xml:space="preserve">Tang, C.-T.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An Epitope-Substituted DNA Vaccine Improves Safety and Immunogenicity against Dengue Virus Type 2. </w:t>
      </w:r>
      <w:r w:rsidRPr="00EB2576">
        <w:rPr>
          <w:rFonts w:ascii="Times New Roman" w:hAnsi="Times New Roman" w:cs="Times New Roman"/>
          <w:i/>
          <w:iCs/>
          <w:noProof/>
          <w:sz w:val="24"/>
          <w:szCs w:val="24"/>
        </w:rPr>
        <w:t>PLoS Negl. Trop. Dis.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9</w:t>
      </w:r>
      <w:r w:rsidRPr="00EB2576">
        <w:rPr>
          <w:rFonts w:ascii="Times New Roman" w:hAnsi="Times New Roman" w:cs="Times New Roman"/>
          <w:noProof/>
          <w:sz w:val="24"/>
          <w:szCs w:val="24"/>
        </w:rPr>
        <w:t>, e0003903 (2015).</w:t>
      </w:r>
    </w:p>
    <w:p w14:paraId="5C7AEEC8"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208.</w:t>
      </w:r>
      <w:r w:rsidRPr="00EB2576">
        <w:rPr>
          <w:rFonts w:ascii="Times New Roman" w:hAnsi="Times New Roman" w:cs="Times New Roman"/>
          <w:noProof/>
          <w:sz w:val="24"/>
          <w:szCs w:val="24"/>
        </w:rPr>
        <w:tab/>
        <w:t xml:space="preserve">Chikaev, A. N.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Selection of Peptide Mimics of HIV-1 Epitope Recognized by Neutralizing Antibody VRC01. </w:t>
      </w:r>
      <w:r w:rsidRPr="00EB2576">
        <w:rPr>
          <w:rFonts w:ascii="Times New Roman" w:hAnsi="Times New Roman" w:cs="Times New Roman"/>
          <w:i/>
          <w:iCs/>
          <w:noProof/>
          <w:sz w:val="24"/>
          <w:szCs w:val="24"/>
        </w:rPr>
        <w:t>PLoS One</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10</w:t>
      </w:r>
      <w:r w:rsidRPr="00EB2576">
        <w:rPr>
          <w:rFonts w:ascii="Times New Roman" w:hAnsi="Times New Roman" w:cs="Times New Roman"/>
          <w:noProof/>
          <w:sz w:val="24"/>
          <w:szCs w:val="24"/>
        </w:rPr>
        <w:t>, e0120847 (2015).</w:t>
      </w:r>
    </w:p>
    <w:p w14:paraId="732763C4"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szCs w:val="24"/>
        </w:rPr>
      </w:pPr>
      <w:r w:rsidRPr="00EB2576">
        <w:rPr>
          <w:rFonts w:ascii="Times New Roman" w:hAnsi="Times New Roman" w:cs="Times New Roman"/>
          <w:noProof/>
          <w:sz w:val="24"/>
          <w:szCs w:val="24"/>
        </w:rPr>
        <w:t>209.</w:t>
      </w:r>
      <w:r w:rsidRPr="00EB2576">
        <w:rPr>
          <w:rFonts w:ascii="Times New Roman" w:hAnsi="Times New Roman" w:cs="Times New Roman"/>
          <w:noProof/>
          <w:sz w:val="24"/>
          <w:szCs w:val="24"/>
        </w:rPr>
        <w:tab/>
        <w:t xml:space="preserve">Mayrose, I.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Epitope mapping using combinatorial phage-display libraries: a graph-based algorithm. </w:t>
      </w:r>
      <w:r w:rsidRPr="00EB2576">
        <w:rPr>
          <w:rFonts w:ascii="Times New Roman" w:hAnsi="Times New Roman" w:cs="Times New Roman"/>
          <w:i/>
          <w:iCs/>
          <w:noProof/>
          <w:sz w:val="24"/>
          <w:szCs w:val="24"/>
        </w:rPr>
        <w:t>Nucleic Acids Res.</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35</w:t>
      </w:r>
      <w:r w:rsidRPr="00EB2576">
        <w:rPr>
          <w:rFonts w:ascii="Times New Roman" w:hAnsi="Times New Roman" w:cs="Times New Roman"/>
          <w:noProof/>
          <w:sz w:val="24"/>
          <w:szCs w:val="24"/>
        </w:rPr>
        <w:t>, 69–78 (2007).</w:t>
      </w:r>
    </w:p>
    <w:p w14:paraId="492B52BC" w14:textId="77777777" w:rsidR="00F12FD6" w:rsidRPr="00EB2576" w:rsidRDefault="00F12FD6" w:rsidP="00F12FD6">
      <w:pPr>
        <w:widowControl w:val="0"/>
        <w:autoSpaceDE w:val="0"/>
        <w:autoSpaceDN w:val="0"/>
        <w:adjustRightInd w:val="0"/>
        <w:spacing w:line="240" w:lineRule="auto"/>
        <w:ind w:left="640" w:hanging="640"/>
        <w:rPr>
          <w:rFonts w:ascii="Times New Roman" w:hAnsi="Times New Roman" w:cs="Times New Roman"/>
          <w:noProof/>
          <w:sz w:val="24"/>
        </w:rPr>
      </w:pPr>
      <w:r w:rsidRPr="00EB2576">
        <w:rPr>
          <w:rFonts w:ascii="Times New Roman" w:hAnsi="Times New Roman" w:cs="Times New Roman"/>
          <w:noProof/>
          <w:sz w:val="24"/>
          <w:szCs w:val="24"/>
        </w:rPr>
        <w:t>210.</w:t>
      </w:r>
      <w:r w:rsidRPr="00EB2576">
        <w:rPr>
          <w:rFonts w:ascii="Times New Roman" w:hAnsi="Times New Roman" w:cs="Times New Roman"/>
          <w:noProof/>
          <w:sz w:val="24"/>
          <w:szCs w:val="24"/>
        </w:rPr>
        <w:tab/>
        <w:t xml:space="preserve">Vaughan, T. J. </w:t>
      </w:r>
      <w:r w:rsidRPr="00EB2576">
        <w:rPr>
          <w:rFonts w:ascii="Times New Roman" w:hAnsi="Times New Roman" w:cs="Times New Roman"/>
          <w:i/>
          <w:iCs/>
          <w:noProof/>
          <w:sz w:val="24"/>
          <w:szCs w:val="24"/>
        </w:rPr>
        <w:t>et al.</w:t>
      </w:r>
      <w:r w:rsidRPr="00EB2576">
        <w:rPr>
          <w:rFonts w:ascii="Times New Roman" w:hAnsi="Times New Roman" w:cs="Times New Roman"/>
          <w:noProof/>
          <w:sz w:val="24"/>
          <w:szCs w:val="24"/>
        </w:rPr>
        <w:t xml:space="preserve"> Human Antibodies with Sub-nanomolar Affinities Isolated from a Large Non-immunized Phage Display Library. </w:t>
      </w:r>
      <w:r w:rsidRPr="00EB2576">
        <w:rPr>
          <w:rFonts w:ascii="Times New Roman" w:hAnsi="Times New Roman" w:cs="Times New Roman"/>
          <w:i/>
          <w:iCs/>
          <w:noProof/>
          <w:sz w:val="24"/>
          <w:szCs w:val="24"/>
        </w:rPr>
        <w:t>Nat. Biotechnol.</w:t>
      </w:r>
      <w:r w:rsidRPr="00EB2576">
        <w:rPr>
          <w:rFonts w:ascii="Times New Roman" w:hAnsi="Times New Roman" w:cs="Times New Roman"/>
          <w:noProof/>
          <w:sz w:val="24"/>
          <w:szCs w:val="24"/>
        </w:rPr>
        <w:t xml:space="preserve"> </w:t>
      </w:r>
      <w:r w:rsidRPr="00EB2576">
        <w:rPr>
          <w:rFonts w:ascii="Times New Roman" w:hAnsi="Times New Roman" w:cs="Times New Roman"/>
          <w:b/>
          <w:bCs/>
          <w:noProof/>
          <w:sz w:val="24"/>
          <w:szCs w:val="24"/>
        </w:rPr>
        <w:t>14</w:t>
      </w:r>
      <w:r w:rsidRPr="00EB2576">
        <w:rPr>
          <w:rFonts w:ascii="Times New Roman" w:hAnsi="Times New Roman" w:cs="Times New Roman"/>
          <w:noProof/>
          <w:sz w:val="24"/>
          <w:szCs w:val="24"/>
        </w:rPr>
        <w:t>, 309–314 (1996).</w:t>
      </w:r>
    </w:p>
    <w:p w14:paraId="157FCB3D" w14:textId="0B552CEE" w:rsidR="00550B8C" w:rsidRPr="0041056A" w:rsidRDefault="00F47367" w:rsidP="0041056A">
      <w:pPr>
        <w:widowControl w:val="0"/>
        <w:autoSpaceDE w:val="0"/>
        <w:autoSpaceDN w:val="0"/>
        <w:adjustRightInd w:val="0"/>
        <w:spacing w:line="240" w:lineRule="auto"/>
        <w:ind w:left="640" w:hanging="640"/>
        <w:rPr>
          <w:rFonts w:ascii="Times New Roman" w:eastAsia="Times New Roman" w:hAnsi="Times New Roman" w:cs="Times New Roman"/>
          <w:sz w:val="20"/>
          <w:szCs w:val="20"/>
          <w:lang w:eastAsia="en-GB"/>
        </w:rPr>
      </w:pPr>
      <w:r w:rsidRPr="00EB2576">
        <w:rPr>
          <w:rFonts w:ascii="Times New Roman" w:hAnsi="Times New Roman" w:cs="Times New Roman"/>
          <w:b/>
          <w:sz w:val="24"/>
          <w:szCs w:val="24"/>
        </w:rPr>
        <w:fldChar w:fldCharType="end"/>
      </w:r>
    </w:p>
    <w:p w14:paraId="3B87BA1B" w14:textId="5E2CF59A" w:rsidR="00FD1EA1" w:rsidRPr="00076F53" w:rsidRDefault="00FD1EA1" w:rsidP="00FD1EA1">
      <w:pPr>
        <w:pStyle w:val="Heading1"/>
        <w:rPr>
          <w:rFonts w:ascii="Times New Roman" w:hAnsi="Times New Roman" w:cs="Times New Roman"/>
          <w:sz w:val="32"/>
          <w:szCs w:val="32"/>
        </w:rPr>
      </w:pPr>
      <w:bookmarkStart w:id="328" w:name="_Toc151020557"/>
      <w:r w:rsidRPr="00076F53">
        <w:rPr>
          <w:rFonts w:ascii="Times New Roman" w:hAnsi="Times New Roman" w:cs="Times New Roman"/>
          <w:sz w:val="32"/>
          <w:szCs w:val="32"/>
        </w:rPr>
        <w:lastRenderedPageBreak/>
        <w:t>Appendix 1: Publications and presentations</w:t>
      </w:r>
      <w:bookmarkEnd w:id="328"/>
    </w:p>
    <w:p w14:paraId="60FB6823" w14:textId="77777777" w:rsidR="00FD1EA1" w:rsidRPr="00610483" w:rsidRDefault="00FD1EA1" w:rsidP="00610483">
      <w:pPr>
        <w:spacing w:line="480" w:lineRule="auto"/>
        <w:rPr>
          <w:rFonts w:ascii="Times New Roman" w:hAnsi="Times New Roman" w:cs="Times New Roman"/>
          <w:sz w:val="24"/>
          <w:szCs w:val="24"/>
        </w:rPr>
      </w:pPr>
    </w:p>
    <w:p w14:paraId="27D6E7C0" w14:textId="77777777" w:rsidR="00FD1EA1" w:rsidRPr="00610483" w:rsidRDefault="00FD1EA1" w:rsidP="00610483">
      <w:pPr>
        <w:spacing w:line="480" w:lineRule="auto"/>
        <w:rPr>
          <w:rFonts w:ascii="Times New Roman" w:hAnsi="Times New Roman" w:cs="Times New Roman"/>
          <w:b/>
          <w:bCs/>
          <w:sz w:val="24"/>
          <w:szCs w:val="24"/>
        </w:rPr>
      </w:pPr>
      <w:r w:rsidRPr="00610483">
        <w:rPr>
          <w:rFonts w:ascii="Times New Roman" w:hAnsi="Times New Roman" w:cs="Times New Roman"/>
          <w:b/>
          <w:bCs/>
          <w:sz w:val="24"/>
          <w:szCs w:val="24"/>
        </w:rPr>
        <w:t>Presentations directly relating to this work:</w:t>
      </w:r>
    </w:p>
    <w:p w14:paraId="2280D215" w14:textId="40421835" w:rsidR="00FD1EA1" w:rsidRPr="00610483" w:rsidRDefault="00FD1EA1" w:rsidP="00610483">
      <w:pPr>
        <w:spacing w:line="480" w:lineRule="auto"/>
        <w:rPr>
          <w:rFonts w:ascii="Times New Roman" w:hAnsi="Times New Roman" w:cs="Times New Roman"/>
          <w:sz w:val="24"/>
          <w:szCs w:val="24"/>
        </w:rPr>
      </w:pPr>
      <w:r w:rsidRPr="00610483">
        <w:rPr>
          <w:rFonts w:ascii="Times New Roman" w:hAnsi="Times New Roman" w:cs="Times New Roman"/>
          <w:sz w:val="24"/>
          <w:szCs w:val="24"/>
        </w:rPr>
        <w:t>Tun G, Downey R, Robinson K </w:t>
      </w:r>
      <w:r w:rsidRPr="00610483">
        <w:rPr>
          <w:rFonts w:ascii="Times New Roman" w:hAnsi="Times New Roman" w:cs="Times New Roman"/>
          <w:i/>
          <w:iCs/>
          <w:sz w:val="24"/>
          <w:szCs w:val="24"/>
        </w:rPr>
        <w:t>et al</w:t>
      </w:r>
      <w:r w:rsidRPr="00610483">
        <w:rPr>
          <w:rFonts w:ascii="Times New Roman" w:hAnsi="Times New Roman" w:cs="Times New Roman"/>
          <w:sz w:val="24"/>
          <w:szCs w:val="24"/>
        </w:rPr>
        <w:t>. P1040 Outcomes of patients in remission with inflammatory bowel disease with undetectable infliximab trough levels and positive antibodies to infliximab. UEG Journal abstract issue 2017; A528.</w:t>
      </w:r>
    </w:p>
    <w:p w14:paraId="4F8CFBB3" w14:textId="074D743D" w:rsidR="005774CA" w:rsidRPr="00610483" w:rsidRDefault="002205C4" w:rsidP="00610483">
      <w:pPr>
        <w:shd w:val="clear" w:color="auto" w:fill="FFFFFF"/>
        <w:spacing w:after="0" w:line="480" w:lineRule="auto"/>
        <w:jc w:val="left"/>
        <w:rPr>
          <w:rFonts w:ascii="Times New Roman" w:eastAsia="Times New Roman" w:hAnsi="Times New Roman" w:cs="Times New Roman"/>
          <w:sz w:val="24"/>
          <w:szCs w:val="24"/>
          <w:lang w:eastAsia="en-GB"/>
        </w:rPr>
      </w:pPr>
      <w:r w:rsidRPr="00610483">
        <w:rPr>
          <w:rFonts w:ascii="Times New Roman" w:eastAsia="Times New Roman" w:hAnsi="Times New Roman" w:cs="Times New Roman"/>
          <w:sz w:val="24"/>
          <w:szCs w:val="24"/>
          <w:lang w:eastAsia="en-GB"/>
        </w:rPr>
        <w:t xml:space="preserve">Poster presentation at </w:t>
      </w:r>
      <w:r w:rsidR="005774CA" w:rsidRPr="00610483">
        <w:rPr>
          <w:rFonts w:ascii="Times New Roman" w:eastAsia="Times New Roman" w:hAnsi="Times New Roman" w:cs="Times New Roman"/>
          <w:sz w:val="24"/>
          <w:szCs w:val="24"/>
          <w:lang w:eastAsia="en-GB"/>
        </w:rPr>
        <w:t>United European Gastroenterology conference 2017</w:t>
      </w:r>
      <w:r w:rsidRPr="00610483">
        <w:rPr>
          <w:rFonts w:ascii="Times New Roman" w:eastAsia="Times New Roman" w:hAnsi="Times New Roman" w:cs="Times New Roman"/>
          <w:sz w:val="24"/>
          <w:szCs w:val="24"/>
          <w:lang w:eastAsia="en-GB"/>
        </w:rPr>
        <w:t>.</w:t>
      </w:r>
    </w:p>
    <w:p w14:paraId="2BA9CAA0" w14:textId="77777777" w:rsidR="005774CA" w:rsidRPr="00610483" w:rsidRDefault="005774CA"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p>
    <w:p w14:paraId="255DC290" w14:textId="6E684C8E" w:rsidR="00FE6E6F" w:rsidRPr="00610483" w:rsidRDefault="00FE6E6F" w:rsidP="00610483">
      <w:pPr>
        <w:shd w:val="clear" w:color="auto" w:fill="FFFFFF"/>
        <w:spacing w:after="0" w:line="480" w:lineRule="auto"/>
        <w:jc w:val="left"/>
        <w:rPr>
          <w:rFonts w:ascii="Times New Roman" w:eastAsia="Times New Roman" w:hAnsi="Times New Roman" w:cs="Times New Roman"/>
          <w:sz w:val="24"/>
          <w:szCs w:val="24"/>
          <w:lang w:eastAsia="en-GB"/>
        </w:rPr>
      </w:pPr>
      <w:r w:rsidRPr="00610483">
        <w:rPr>
          <w:rFonts w:ascii="Times New Roman" w:eastAsia="Times New Roman" w:hAnsi="Times New Roman" w:cs="Times New Roman"/>
          <w:sz w:val="24"/>
          <w:szCs w:val="24"/>
          <w:lang w:eastAsia="en-GB"/>
        </w:rPr>
        <w:t>Tun GS, Marshall L, Thompson L, et al</w:t>
      </w:r>
      <w:r w:rsidR="005774CA" w:rsidRPr="00610483">
        <w:rPr>
          <w:rFonts w:ascii="Times New Roman" w:eastAsia="Times New Roman" w:hAnsi="Times New Roman" w:cs="Times New Roman"/>
          <w:sz w:val="24"/>
          <w:szCs w:val="24"/>
          <w:lang w:eastAsia="en-GB"/>
        </w:rPr>
        <w:t>.</w:t>
      </w:r>
      <w:r w:rsidR="00F60B2C" w:rsidRPr="00610483">
        <w:rPr>
          <w:rFonts w:ascii="Times New Roman" w:eastAsia="Times New Roman" w:hAnsi="Times New Roman" w:cs="Times New Roman"/>
          <w:sz w:val="24"/>
          <w:szCs w:val="24"/>
          <w:lang w:eastAsia="en-GB"/>
        </w:rPr>
        <w:t xml:space="preserve"> </w:t>
      </w:r>
      <w:r w:rsidRPr="00610483">
        <w:rPr>
          <w:rFonts w:ascii="Times New Roman" w:eastAsia="Times New Roman" w:hAnsi="Times New Roman" w:cs="Times New Roman"/>
          <w:sz w:val="24"/>
          <w:szCs w:val="24"/>
          <w:lang w:eastAsia="en-GB"/>
        </w:rPr>
        <w:t>OWE-01 The effect of infliximab dose escalation in inflammatory bowel disease patients with antibodies to infliximab</w:t>
      </w:r>
      <w:r w:rsidR="00F60B2C" w:rsidRPr="00610483">
        <w:rPr>
          <w:rFonts w:ascii="Times New Roman" w:eastAsia="Times New Roman" w:hAnsi="Times New Roman" w:cs="Times New Roman"/>
          <w:sz w:val="24"/>
          <w:szCs w:val="24"/>
          <w:lang w:eastAsia="en-GB"/>
        </w:rPr>
        <w:t xml:space="preserve">. </w:t>
      </w:r>
      <w:r w:rsidRPr="00610483">
        <w:rPr>
          <w:rFonts w:ascii="Times New Roman" w:eastAsia="Times New Roman" w:hAnsi="Times New Roman" w:cs="Times New Roman"/>
          <w:sz w:val="24"/>
          <w:szCs w:val="24"/>
          <w:lang w:eastAsia="en-GB"/>
        </w:rPr>
        <w:t>Gut 2019;68:A61-A62.</w:t>
      </w:r>
    </w:p>
    <w:p w14:paraId="6A874028" w14:textId="69371CF6" w:rsidR="00843ABA" w:rsidRPr="00610483" w:rsidRDefault="002205C4" w:rsidP="00610483">
      <w:pPr>
        <w:shd w:val="clear" w:color="auto" w:fill="FFFFFF"/>
        <w:spacing w:after="0" w:line="480" w:lineRule="auto"/>
        <w:jc w:val="left"/>
        <w:rPr>
          <w:rFonts w:ascii="Times New Roman" w:eastAsia="Times New Roman" w:hAnsi="Times New Roman" w:cs="Times New Roman"/>
          <w:sz w:val="24"/>
          <w:szCs w:val="24"/>
          <w:lang w:eastAsia="en-GB"/>
        </w:rPr>
      </w:pPr>
      <w:bookmarkStart w:id="329" w:name="_Hlk132633772"/>
      <w:r w:rsidRPr="00610483">
        <w:rPr>
          <w:rFonts w:ascii="Times New Roman" w:eastAsia="Times New Roman" w:hAnsi="Times New Roman" w:cs="Times New Roman"/>
          <w:sz w:val="24"/>
          <w:szCs w:val="24"/>
          <w:lang w:eastAsia="en-GB"/>
        </w:rPr>
        <w:t xml:space="preserve">Platform presentation at </w:t>
      </w:r>
      <w:r w:rsidR="005774CA" w:rsidRPr="00610483">
        <w:rPr>
          <w:rFonts w:ascii="Times New Roman" w:eastAsia="Times New Roman" w:hAnsi="Times New Roman" w:cs="Times New Roman"/>
          <w:sz w:val="24"/>
          <w:szCs w:val="24"/>
          <w:lang w:eastAsia="en-GB"/>
        </w:rPr>
        <w:t>British Society of Gastroenterology Conference 2019</w:t>
      </w:r>
      <w:r w:rsidRPr="00610483">
        <w:rPr>
          <w:rFonts w:ascii="Times New Roman" w:eastAsia="Times New Roman" w:hAnsi="Times New Roman" w:cs="Times New Roman"/>
          <w:sz w:val="24"/>
          <w:szCs w:val="24"/>
          <w:lang w:eastAsia="en-GB"/>
        </w:rPr>
        <w:t>.</w:t>
      </w:r>
    </w:p>
    <w:bookmarkEnd w:id="329"/>
    <w:p w14:paraId="37FE99DA" w14:textId="77777777" w:rsidR="002205C4" w:rsidRPr="00610483" w:rsidRDefault="002205C4" w:rsidP="00610483">
      <w:pPr>
        <w:shd w:val="clear" w:color="auto" w:fill="FFFFFF"/>
        <w:spacing w:after="0" w:line="480" w:lineRule="auto"/>
        <w:jc w:val="left"/>
        <w:rPr>
          <w:rFonts w:ascii="Times New Roman" w:eastAsia="Times New Roman" w:hAnsi="Times New Roman" w:cs="Times New Roman"/>
          <w:sz w:val="24"/>
          <w:szCs w:val="24"/>
          <w:lang w:eastAsia="en-GB"/>
        </w:rPr>
      </w:pPr>
    </w:p>
    <w:p w14:paraId="3453A838" w14:textId="4BBF95AE" w:rsidR="00843ABA" w:rsidRPr="00610483" w:rsidRDefault="00843ABA" w:rsidP="00610483">
      <w:pPr>
        <w:shd w:val="clear" w:color="auto" w:fill="FFFFFF"/>
        <w:spacing w:after="0" w:line="480" w:lineRule="auto"/>
        <w:jc w:val="left"/>
        <w:rPr>
          <w:rFonts w:ascii="Times New Roman" w:eastAsia="Times New Roman" w:hAnsi="Times New Roman" w:cs="Times New Roman"/>
          <w:sz w:val="24"/>
          <w:szCs w:val="24"/>
          <w:lang w:eastAsia="en-GB"/>
        </w:rPr>
      </w:pPr>
      <w:r w:rsidRPr="00610483">
        <w:rPr>
          <w:rFonts w:ascii="Times New Roman" w:eastAsia="Times New Roman" w:hAnsi="Times New Roman" w:cs="Times New Roman"/>
          <w:sz w:val="24"/>
          <w:szCs w:val="24"/>
          <w:lang w:eastAsia="en-GB"/>
        </w:rPr>
        <w:t>Zin Tun GS, Orecchia M, Wild G, et al</w:t>
      </w:r>
      <w:r w:rsidR="002205C4" w:rsidRPr="00610483">
        <w:rPr>
          <w:rFonts w:ascii="Times New Roman" w:eastAsia="Times New Roman" w:hAnsi="Times New Roman" w:cs="Times New Roman"/>
          <w:sz w:val="24"/>
          <w:szCs w:val="24"/>
          <w:lang w:eastAsia="en-GB"/>
        </w:rPr>
        <w:t>.</w:t>
      </w:r>
      <w:r w:rsidR="00F60B2C" w:rsidRPr="00610483">
        <w:rPr>
          <w:rFonts w:ascii="Times New Roman" w:eastAsia="Times New Roman" w:hAnsi="Times New Roman" w:cs="Times New Roman"/>
          <w:sz w:val="24"/>
          <w:szCs w:val="24"/>
          <w:lang w:eastAsia="en-GB"/>
        </w:rPr>
        <w:t xml:space="preserve"> </w:t>
      </w:r>
      <w:r w:rsidRPr="00610483">
        <w:rPr>
          <w:rFonts w:ascii="Times New Roman" w:eastAsia="Times New Roman" w:hAnsi="Times New Roman" w:cs="Times New Roman"/>
          <w:sz w:val="24"/>
          <w:szCs w:val="24"/>
          <w:lang w:eastAsia="en-GB"/>
        </w:rPr>
        <w:t>P211 Identification of linear and conformational epitopes on the infliximab molecule</w:t>
      </w:r>
      <w:r w:rsidR="002205C4" w:rsidRPr="00610483">
        <w:rPr>
          <w:rFonts w:ascii="Times New Roman" w:eastAsia="Times New Roman" w:hAnsi="Times New Roman" w:cs="Times New Roman"/>
          <w:sz w:val="24"/>
          <w:szCs w:val="24"/>
          <w:lang w:eastAsia="en-GB"/>
        </w:rPr>
        <w:t>.</w:t>
      </w:r>
      <w:r w:rsidR="00F60B2C" w:rsidRPr="00610483">
        <w:rPr>
          <w:rFonts w:ascii="Times New Roman" w:eastAsia="Times New Roman" w:hAnsi="Times New Roman" w:cs="Times New Roman"/>
          <w:sz w:val="24"/>
          <w:szCs w:val="24"/>
          <w:lang w:eastAsia="en-GB"/>
        </w:rPr>
        <w:t xml:space="preserve"> </w:t>
      </w:r>
      <w:r w:rsidRPr="00610483">
        <w:rPr>
          <w:rFonts w:ascii="Times New Roman" w:eastAsia="Times New Roman" w:hAnsi="Times New Roman" w:cs="Times New Roman"/>
          <w:sz w:val="24"/>
          <w:szCs w:val="24"/>
          <w:lang w:eastAsia="en-GB"/>
        </w:rPr>
        <w:t>Gut 2022;71:A144.</w:t>
      </w:r>
    </w:p>
    <w:p w14:paraId="2783A88F" w14:textId="29EF314B" w:rsidR="002205C4" w:rsidRPr="00610483" w:rsidRDefault="002205C4" w:rsidP="00610483">
      <w:pPr>
        <w:shd w:val="clear" w:color="auto" w:fill="FFFFFF"/>
        <w:spacing w:after="0" w:line="480" w:lineRule="auto"/>
        <w:jc w:val="left"/>
        <w:rPr>
          <w:rFonts w:ascii="Times New Roman" w:eastAsia="Times New Roman" w:hAnsi="Times New Roman" w:cs="Times New Roman"/>
          <w:sz w:val="24"/>
          <w:szCs w:val="24"/>
          <w:lang w:eastAsia="en-GB"/>
        </w:rPr>
      </w:pPr>
      <w:r w:rsidRPr="00610483">
        <w:rPr>
          <w:rFonts w:ascii="Times New Roman" w:eastAsia="Times New Roman" w:hAnsi="Times New Roman" w:cs="Times New Roman"/>
          <w:sz w:val="24"/>
          <w:szCs w:val="24"/>
          <w:lang w:eastAsia="en-GB"/>
        </w:rPr>
        <w:t>Poster presentation at British Society of Gastroenterology Conference 20</w:t>
      </w:r>
      <w:r w:rsidR="00185C4F" w:rsidRPr="00610483">
        <w:rPr>
          <w:rFonts w:ascii="Times New Roman" w:eastAsia="Times New Roman" w:hAnsi="Times New Roman" w:cs="Times New Roman"/>
          <w:sz w:val="24"/>
          <w:szCs w:val="24"/>
          <w:lang w:eastAsia="en-GB"/>
        </w:rPr>
        <w:t>22</w:t>
      </w:r>
      <w:r w:rsidRPr="00610483">
        <w:rPr>
          <w:rFonts w:ascii="Times New Roman" w:eastAsia="Times New Roman" w:hAnsi="Times New Roman" w:cs="Times New Roman"/>
          <w:sz w:val="24"/>
          <w:szCs w:val="24"/>
          <w:lang w:eastAsia="en-GB"/>
        </w:rPr>
        <w:t>.</w:t>
      </w:r>
    </w:p>
    <w:p w14:paraId="07C79BCC" w14:textId="77777777" w:rsidR="00105AF0" w:rsidRPr="00610483" w:rsidRDefault="00105AF0" w:rsidP="00610483">
      <w:pPr>
        <w:spacing w:line="480" w:lineRule="auto"/>
        <w:rPr>
          <w:rFonts w:ascii="Times New Roman" w:hAnsi="Times New Roman" w:cs="Times New Roman"/>
          <w:sz w:val="24"/>
          <w:szCs w:val="24"/>
          <w:shd w:val="clear" w:color="auto" w:fill="FFFFFF"/>
        </w:rPr>
      </w:pPr>
    </w:p>
    <w:p w14:paraId="061E3AB3" w14:textId="5CA6A086" w:rsidR="00105AF0" w:rsidRPr="00610483" w:rsidRDefault="00105AF0" w:rsidP="00610483">
      <w:pPr>
        <w:spacing w:line="480" w:lineRule="auto"/>
        <w:rPr>
          <w:rFonts w:ascii="Times New Roman" w:hAnsi="Times New Roman" w:cs="Times New Roman"/>
          <w:sz w:val="24"/>
          <w:szCs w:val="24"/>
          <w:shd w:val="clear" w:color="auto" w:fill="FFFFFF"/>
        </w:rPr>
      </w:pPr>
      <w:r w:rsidRPr="00610483">
        <w:rPr>
          <w:rFonts w:ascii="Times New Roman" w:hAnsi="Times New Roman" w:cs="Times New Roman"/>
          <w:sz w:val="24"/>
          <w:szCs w:val="24"/>
          <w:shd w:val="clear" w:color="auto" w:fill="FFFFFF"/>
        </w:rPr>
        <w:t xml:space="preserve">Tun, Gloria S., Martin A. Orecchia, </w:t>
      </w:r>
      <w:r w:rsidR="002205C4" w:rsidRPr="00610483">
        <w:rPr>
          <w:rFonts w:ascii="Times New Roman" w:hAnsi="Times New Roman" w:cs="Times New Roman"/>
          <w:sz w:val="24"/>
          <w:szCs w:val="24"/>
          <w:shd w:val="clear" w:color="auto" w:fill="FFFFFF"/>
        </w:rPr>
        <w:t>et al.</w:t>
      </w:r>
      <w:r w:rsidR="00F60B2C" w:rsidRPr="00610483">
        <w:rPr>
          <w:rFonts w:ascii="Times New Roman" w:hAnsi="Times New Roman" w:cs="Times New Roman"/>
          <w:sz w:val="24"/>
          <w:szCs w:val="24"/>
          <w:shd w:val="clear" w:color="auto" w:fill="FFFFFF"/>
        </w:rPr>
        <w:t xml:space="preserve"> </w:t>
      </w:r>
      <w:r w:rsidRPr="00610483">
        <w:rPr>
          <w:rFonts w:ascii="Times New Roman" w:hAnsi="Times New Roman" w:cs="Times New Roman"/>
          <w:sz w:val="24"/>
          <w:szCs w:val="24"/>
          <w:shd w:val="clear" w:color="auto" w:fill="FFFFFF"/>
        </w:rPr>
        <w:t xml:space="preserve">EP1296: </w:t>
      </w:r>
      <w:r w:rsidR="00F754BD" w:rsidRPr="00610483">
        <w:rPr>
          <w:rFonts w:ascii="Times New Roman" w:hAnsi="Times New Roman" w:cs="Times New Roman"/>
          <w:sz w:val="24"/>
          <w:szCs w:val="24"/>
          <w:shd w:val="clear" w:color="auto" w:fill="FFFFFF"/>
        </w:rPr>
        <w:t xml:space="preserve">Selection of phage display designer whole gene fragment library and random peptide library to identify linear and conformational epitopes on a biosimilar infliximab molecule. </w:t>
      </w:r>
      <w:r w:rsidRPr="00610483">
        <w:rPr>
          <w:rFonts w:ascii="Times New Roman" w:hAnsi="Times New Roman" w:cs="Times New Roman"/>
          <w:sz w:val="24"/>
          <w:szCs w:val="24"/>
          <w:shd w:val="clear" w:color="auto" w:fill="FFFFFF"/>
        </w:rPr>
        <w:t>Gastroenterology 162, no. 7 (2022): S-1091.</w:t>
      </w:r>
    </w:p>
    <w:p w14:paraId="13FAFFAE" w14:textId="77777777" w:rsidR="00185C4F" w:rsidRPr="00610483" w:rsidRDefault="002205C4" w:rsidP="00610483">
      <w:pPr>
        <w:spacing w:line="480" w:lineRule="auto"/>
        <w:rPr>
          <w:rFonts w:ascii="Times New Roman" w:hAnsi="Times New Roman" w:cs="Times New Roman"/>
          <w:sz w:val="24"/>
          <w:szCs w:val="24"/>
          <w:shd w:val="clear" w:color="auto" w:fill="FFFFFF"/>
        </w:rPr>
      </w:pPr>
      <w:r w:rsidRPr="00610483">
        <w:rPr>
          <w:rFonts w:ascii="Times New Roman" w:hAnsi="Times New Roman" w:cs="Times New Roman"/>
          <w:sz w:val="24"/>
          <w:szCs w:val="24"/>
          <w:shd w:val="clear" w:color="auto" w:fill="FFFFFF"/>
        </w:rPr>
        <w:t xml:space="preserve">Poster presentation at </w:t>
      </w:r>
      <w:r w:rsidR="00185C4F" w:rsidRPr="00610483">
        <w:rPr>
          <w:rFonts w:ascii="Times New Roman" w:hAnsi="Times New Roman" w:cs="Times New Roman"/>
          <w:sz w:val="24"/>
          <w:szCs w:val="24"/>
          <w:shd w:val="clear" w:color="auto" w:fill="FFFFFF"/>
        </w:rPr>
        <w:t>Digestive Diseases Week conference 2022</w:t>
      </w:r>
    </w:p>
    <w:p w14:paraId="0D522514" w14:textId="77777777" w:rsidR="00BF7BAE" w:rsidRPr="00610483" w:rsidRDefault="00BF7BAE" w:rsidP="00610483">
      <w:pPr>
        <w:spacing w:line="480" w:lineRule="auto"/>
        <w:rPr>
          <w:rFonts w:ascii="Times New Roman" w:hAnsi="Times New Roman" w:cs="Times New Roman"/>
          <w:color w:val="222222"/>
          <w:sz w:val="24"/>
          <w:szCs w:val="24"/>
          <w:shd w:val="clear" w:color="auto" w:fill="FFFFFF"/>
        </w:rPr>
      </w:pPr>
    </w:p>
    <w:p w14:paraId="09EBF529" w14:textId="77777777" w:rsidR="009D0EAC" w:rsidRDefault="009D0EAC" w:rsidP="00610483">
      <w:pPr>
        <w:spacing w:line="480" w:lineRule="auto"/>
        <w:rPr>
          <w:rFonts w:ascii="Times New Roman" w:hAnsi="Times New Roman" w:cs="Times New Roman"/>
          <w:b/>
          <w:bCs/>
          <w:color w:val="222222"/>
          <w:sz w:val="24"/>
          <w:szCs w:val="24"/>
          <w:shd w:val="clear" w:color="auto" w:fill="FFFFFF"/>
        </w:rPr>
      </w:pPr>
    </w:p>
    <w:p w14:paraId="08B745B3" w14:textId="77777777" w:rsidR="009D0EAC" w:rsidRDefault="009D0EAC" w:rsidP="00610483">
      <w:pPr>
        <w:spacing w:line="480" w:lineRule="auto"/>
        <w:rPr>
          <w:rFonts w:ascii="Times New Roman" w:hAnsi="Times New Roman" w:cs="Times New Roman"/>
          <w:b/>
          <w:bCs/>
          <w:color w:val="222222"/>
          <w:sz w:val="24"/>
          <w:szCs w:val="24"/>
          <w:shd w:val="clear" w:color="auto" w:fill="FFFFFF"/>
        </w:rPr>
      </w:pPr>
    </w:p>
    <w:p w14:paraId="7D5C318E" w14:textId="3C28EA74" w:rsidR="00BF7BAE" w:rsidRPr="00610483" w:rsidRDefault="00BF7BAE" w:rsidP="00610483">
      <w:pPr>
        <w:spacing w:line="480" w:lineRule="auto"/>
        <w:rPr>
          <w:rFonts w:ascii="Times New Roman" w:hAnsi="Times New Roman" w:cs="Times New Roman"/>
          <w:b/>
          <w:bCs/>
          <w:color w:val="222222"/>
          <w:sz w:val="24"/>
          <w:szCs w:val="24"/>
          <w:shd w:val="clear" w:color="auto" w:fill="FFFFFF"/>
        </w:rPr>
      </w:pPr>
      <w:r w:rsidRPr="00610483">
        <w:rPr>
          <w:rFonts w:ascii="Times New Roman" w:hAnsi="Times New Roman" w:cs="Times New Roman"/>
          <w:b/>
          <w:bCs/>
          <w:color w:val="222222"/>
          <w:sz w:val="24"/>
          <w:szCs w:val="24"/>
          <w:shd w:val="clear" w:color="auto" w:fill="FFFFFF"/>
        </w:rPr>
        <w:lastRenderedPageBreak/>
        <w:t>Presentations not directly related to work:</w:t>
      </w:r>
    </w:p>
    <w:p w14:paraId="65130929" w14:textId="5E01964A" w:rsidR="0049108F" w:rsidRPr="00610483" w:rsidRDefault="0049108F"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proofErr w:type="spellStart"/>
      <w:r w:rsidRPr="00610483">
        <w:rPr>
          <w:rFonts w:ascii="Times New Roman" w:eastAsia="Times New Roman" w:hAnsi="Times New Roman" w:cs="Times New Roman"/>
          <w:color w:val="333333"/>
          <w:sz w:val="24"/>
          <w:szCs w:val="24"/>
          <w:lang w:eastAsia="en-GB"/>
        </w:rPr>
        <w:t>Hadjinicolaou</w:t>
      </w:r>
      <w:proofErr w:type="spellEnd"/>
      <w:r w:rsidRPr="00610483">
        <w:rPr>
          <w:rFonts w:ascii="Times New Roman" w:eastAsia="Times New Roman" w:hAnsi="Times New Roman" w:cs="Times New Roman"/>
          <w:color w:val="333333"/>
          <w:sz w:val="24"/>
          <w:szCs w:val="24"/>
          <w:lang w:eastAsia="en-GB"/>
        </w:rPr>
        <w:t> A, Beg S, </w:t>
      </w:r>
      <w:r w:rsidRPr="00610483">
        <w:rPr>
          <w:rFonts w:ascii="Times New Roman" w:eastAsia="Times New Roman" w:hAnsi="Times New Roman" w:cs="Times New Roman"/>
          <w:b/>
          <w:bCs/>
          <w:color w:val="333333"/>
          <w:sz w:val="24"/>
          <w:szCs w:val="24"/>
          <w:lang w:eastAsia="en-GB"/>
        </w:rPr>
        <w:t>Tun G</w:t>
      </w:r>
      <w:r w:rsidRPr="00610483">
        <w:rPr>
          <w:rFonts w:ascii="Times New Roman" w:eastAsia="Times New Roman" w:hAnsi="Times New Roman" w:cs="Times New Roman"/>
          <w:color w:val="333333"/>
          <w:sz w:val="24"/>
          <w:szCs w:val="24"/>
          <w:lang w:eastAsia="en-GB"/>
        </w:rPr>
        <w:t>, et al</w:t>
      </w:r>
      <w:r w:rsidR="00F60B2C" w:rsidRPr="00610483">
        <w:rPr>
          <w:rFonts w:ascii="Times New Roman" w:eastAsia="Times New Roman" w:hAnsi="Times New Roman" w:cs="Times New Roman"/>
          <w:color w:val="333333"/>
          <w:sz w:val="24"/>
          <w:szCs w:val="24"/>
          <w:lang w:eastAsia="en-GB"/>
        </w:rPr>
        <w:t xml:space="preserve">. </w:t>
      </w:r>
      <w:r w:rsidRPr="00610483">
        <w:rPr>
          <w:rFonts w:ascii="Times New Roman" w:eastAsia="Times New Roman" w:hAnsi="Times New Roman" w:cs="Times New Roman"/>
          <w:color w:val="333333"/>
          <w:sz w:val="24"/>
          <w:szCs w:val="24"/>
          <w:lang w:eastAsia="en-GB"/>
        </w:rPr>
        <w:t>PTH-121 Referral pathway and age influence the likelihood of biopsy to exclude eosinophilic oesophagitis in dysphagia</w:t>
      </w:r>
    </w:p>
    <w:p w14:paraId="265356D8" w14:textId="77777777" w:rsidR="0049108F" w:rsidRPr="00610483" w:rsidRDefault="0049108F"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r w:rsidRPr="00610483">
        <w:rPr>
          <w:rFonts w:ascii="Times New Roman" w:eastAsia="Times New Roman" w:hAnsi="Times New Roman" w:cs="Times New Roman"/>
          <w:color w:val="333333"/>
          <w:sz w:val="24"/>
          <w:szCs w:val="24"/>
          <w:lang w:eastAsia="en-GB"/>
        </w:rPr>
        <w:t>Gut 2018;67:A149.</w:t>
      </w:r>
    </w:p>
    <w:p w14:paraId="729B0F29" w14:textId="77777777" w:rsidR="0049108F" w:rsidRPr="00610483" w:rsidRDefault="0049108F" w:rsidP="00610483">
      <w:pPr>
        <w:spacing w:line="480" w:lineRule="auto"/>
        <w:rPr>
          <w:rFonts w:ascii="Times New Roman" w:hAnsi="Times New Roman" w:cs="Times New Roman"/>
          <w:color w:val="222222"/>
          <w:sz w:val="24"/>
          <w:szCs w:val="24"/>
          <w:shd w:val="clear" w:color="auto" w:fill="FFFFFF"/>
        </w:rPr>
      </w:pPr>
    </w:p>
    <w:p w14:paraId="1A44F070" w14:textId="0898E74D" w:rsidR="00F60B2C" w:rsidRPr="00610483" w:rsidRDefault="00F60B2C"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r w:rsidRPr="00610483">
        <w:rPr>
          <w:rFonts w:ascii="Times New Roman" w:eastAsia="Times New Roman" w:hAnsi="Times New Roman" w:cs="Times New Roman"/>
          <w:color w:val="333333"/>
          <w:sz w:val="24"/>
          <w:szCs w:val="24"/>
          <w:lang w:eastAsia="en-GB"/>
        </w:rPr>
        <w:t>Beg S, </w:t>
      </w:r>
      <w:proofErr w:type="spellStart"/>
      <w:r w:rsidRPr="00610483">
        <w:rPr>
          <w:rFonts w:ascii="Times New Roman" w:eastAsia="Times New Roman" w:hAnsi="Times New Roman" w:cs="Times New Roman"/>
          <w:color w:val="333333"/>
          <w:sz w:val="24"/>
          <w:szCs w:val="24"/>
          <w:lang w:eastAsia="en-GB"/>
        </w:rPr>
        <w:t>Hadjinicolaou</w:t>
      </w:r>
      <w:proofErr w:type="spellEnd"/>
      <w:r w:rsidRPr="00610483">
        <w:rPr>
          <w:rFonts w:ascii="Times New Roman" w:eastAsia="Times New Roman" w:hAnsi="Times New Roman" w:cs="Times New Roman"/>
          <w:color w:val="333333"/>
          <w:sz w:val="24"/>
          <w:szCs w:val="24"/>
          <w:lang w:eastAsia="en-GB"/>
        </w:rPr>
        <w:t> A, </w:t>
      </w:r>
      <w:r w:rsidRPr="00610483">
        <w:rPr>
          <w:rFonts w:ascii="Times New Roman" w:eastAsia="Times New Roman" w:hAnsi="Times New Roman" w:cs="Times New Roman"/>
          <w:b/>
          <w:bCs/>
          <w:color w:val="333333"/>
          <w:sz w:val="24"/>
          <w:szCs w:val="24"/>
          <w:lang w:eastAsia="en-GB"/>
        </w:rPr>
        <w:t>Tun G</w:t>
      </w:r>
      <w:r w:rsidRPr="00610483">
        <w:rPr>
          <w:rFonts w:ascii="Times New Roman" w:eastAsia="Times New Roman" w:hAnsi="Times New Roman" w:cs="Times New Roman"/>
          <w:i/>
          <w:iCs/>
          <w:color w:val="333333"/>
          <w:sz w:val="24"/>
          <w:szCs w:val="24"/>
          <w:lang w:eastAsia="en-GB"/>
        </w:rPr>
        <w:t>, et al.</w:t>
      </w:r>
      <w:r w:rsidRPr="00610483">
        <w:rPr>
          <w:rFonts w:ascii="Times New Roman" w:eastAsia="Times New Roman" w:hAnsi="Times New Roman" w:cs="Times New Roman"/>
          <w:color w:val="333333"/>
          <w:sz w:val="24"/>
          <w:szCs w:val="24"/>
          <w:lang w:eastAsia="en-GB"/>
        </w:rPr>
        <w:t xml:space="preserve"> PTH-125 Variation in the investigation and diagnosis of eosinophilic </w:t>
      </w:r>
      <w:proofErr w:type="spellStart"/>
      <w:r w:rsidRPr="00610483">
        <w:rPr>
          <w:rFonts w:ascii="Times New Roman" w:eastAsia="Times New Roman" w:hAnsi="Times New Roman" w:cs="Times New Roman"/>
          <w:color w:val="333333"/>
          <w:sz w:val="24"/>
          <w:szCs w:val="24"/>
          <w:lang w:eastAsia="en-GB"/>
        </w:rPr>
        <w:t>oesophagitisin</w:t>
      </w:r>
      <w:proofErr w:type="spellEnd"/>
      <w:r w:rsidRPr="00610483">
        <w:rPr>
          <w:rFonts w:ascii="Times New Roman" w:eastAsia="Times New Roman" w:hAnsi="Times New Roman" w:cs="Times New Roman"/>
          <w:color w:val="333333"/>
          <w:sz w:val="24"/>
          <w:szCs w:val="24"/>
          <w:lang w:eastAsia="en-GB"/>
        </w:rPr>
        <w:t xml:space="preserve"> daily clinical practice</w:t>
      </w:r>
    </w:p>
    <w:p w14:paraId="629A9399" w14:textId="77777777" w:rsidR="00F60B2C" w:rsidRPr="00610483" w:rsidRDefault="00F60B2C" w:rsidP="00610483">
      <w:pPr>
        <w:spacing w:line="480" w:lineRule="auto"/>
        <w:rPr>
          <w:rFonts w:ascii="Times New Roman" w:eastAsia="Times New Roman" w:hAnsi="Times New Roman" w:cs="Times New Roman"/>
          <w:color w:val="333333"/>
          <w:sz w:val="24"/>
          <w:szCs w:val="24"/>
          <w:lang w:eastAsia="en-GB"/>
        </w:rPr>
      </w:pPr>
      <w:r w:rsidRPr="00610483">
        <w:rPr>
          <w:rFonts w:ascii="Times New Roman" w:eastAsia="Times New Roman" w:hAnsi="Times New Roman" w:cs="Times New Roman"/>
          <w:color w:val="333333"/>
          <w:sz w:val="24"/>
          <w:szCs w:val="24"/>
          <w:lang w:eastAsia="en-GB"/>
        </w:rPr>
        <w:t>Gut</w:t>
      </w:r>
      <w:r w:rsidRPr="00610483">
        <w:rPr>
          <w:rFonts w:ascii="Times New Roman" w:eastAsia="Times New Roman" w:hAnsi="Times New Roman" w:cs="Times New Roman"/>
          <w:i/>
          <w:iCs/>
          <w:color w:val="333333"/>
          <w:sz w:val="24"/>
          <w:szCs w:val="24"/>
          <w:lang w:eastAsia="en-GB"/>
        </w:rPr>
        <w:t> </w:t>
      </w:r>
      <w:r w:rsidRPr="00610483">
        <w:rPr>
          <w:rFonts w:ascii="Times New Roman" w:eastAsia="Times New Roman" w:hAnsi="Times New Roman" w:cs="Times New Roman"/>
          <w:color w:val="333333"/>
          <w:sz w:val="24"/>
          <w:szCs w:val="24"/>
          <w:lang w:eastAsia="en-GB"/>
        </w:rPr>
        <w:t>2018;67:A151</w:t>
      </w:r>
    </w:p>
    <w:p w14:paraId="022B01A1" w14:textId="77777777" w:rsidR="00F60B2C" w:rsidRPr="00610483" w:rsidRDefault="00F60B2C" w:rsidP="00610483">
      <w:pPr>
        <w:spacing w:line="480" w:lineRule="auto"/>
        <w:rPr>
          <w:rFonts w:ascii="Times New Roman" w:eastAsia="Times New Roman" w:hAnsi="Times New Roman" w:cs="Times New Roman"/>
          <w:color w:val="333333"/>
          <w:sz w:val="24"/>
          <w:szCs w:val="24"/>
          <w:lang w:eastAsia="en-GB"/>
        </w:rPr>
      </w:pPr>
    </w:p>
    <w:p w14:paraId="720C5AF4" w14:textId="118B8859" w:rsidR="00F60B2C" w:rsidRPr="00610483" w:rsidRDefault="00F60B2C"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r w:rsidRPr="00610483">
        <w:rPr>
          <w:rFonts w:ascii="Times New Roman" w:eastAsia="Times New Roman" w:hAnsi="Times New Roman" w:cs="Times New Roman"/>
          <w:color w:val="333333"/>
          <w:sz w:val="24"/>
          <w:szCs w:val="24"/>
          <w:lang w:eastAsia="en-GB"/>
        </w:rPr>
        <w:t>Tai D, </w:t>
      </w:r>
      <w:r w:rsidRPr="00610483">
        <w:rPr>
          <w:rFonts w:ascii="Times New Roman" w:eastAsia="Times New Roman" w:hAnsi="Times New Roman" w:cs="Times New Roman"/>
          <w:b/>
          <w:bCs/>
          <w:color w:val="333333"/>
          <w:sz w:val="24"/>
          <w:szCs w:val="24"/>
          <w:lang w:eastAsia="en-GB"/>
        </w:rPr>
        <w:t>Tun GS</w:t>
      </w:r>
      <w:r w:rsidRPr="00610483">
        <w:rPr>
          <w:rFonts w:ascii="Times New Roman" w:eastAsia="Times New Roman" w:hAnsi="Times New Roman" w:cs="Times New Roman"/>
          <w:color w:val="333333"/>
          <w:sz w:val="24"/>
          <w:szCs w:val="24"/>
          <w:lang w:eastAsia="en-GB"/>
        </w:rPr>
        <w:t>, Jalal M</w:t>
      </w:r>
      <w:r w:rsidRPr="00610483">
        <w:rPr>
          <w:rFonts w:ascii="Times New Roman" w:eastAsia="Times New Roman" w:hAnsi="Times New Roman" w:cs="Times New Roman"/>
          <w:i/>
          <w:iCs/>
          <w:color w:val="333333"/>
          <w:sz w:val="24"/>
          <w:szCs w:val="24"/>
          <w:lang w:eastAsia="en-GB"/>
        </w:rPr>
        <w:t>, et al.</w:t>
      </w:r>
      <w:r w:rsidRPr="00610483">
        <w:rPr>
          <w:rFonts w:ascii="Times New Roman" w:eastAsia="Times New Roman" w:hAnsi="Times New Roman" w:cs="Times New Roman"/>
          <w:color w:val="333333"/>
          <w:sz w:val="24"/>
          <w:szCs w:val="24"/>
          <w:lang w:eastAsia="en-GB"/>
        </w:rPr>
        <w:t xml:space="preserve"> PTH-060 An assessment of quality of, and factors affecting, </w:t>
      </w:r>
      <w:proofErr w:type="spellStart"/>
      <w:r w:rsidRPr="00610483">
        <w:rPr>
          <w:rFonts w:ascii="Times New Roman" w:eastAsia="Times New Roman" w:hAnsi="Times New Roman" w:cs="Times New Roman"/>
          <w:color w:val="333333"/>
          <w:sz w:val="24"/>
          <w:szCs w:val="24"/>
          <w:lang w:eastAsia="en-GB"/>
        </w:rPr>
        <w:t>oesophagogastroduodenoscopy</w:t>
      </w:r>
      <w:proofErr w:type="spellEnd"/>
      <w:r w:rsidRPr="00610483">
        <w:rPr>
          <w:rFonts w:ascii="Times New Roman" w:eastAsia="Times New Roman" w:hAnsi="Times New Roman" w:cs="Times New Roman"/>
          <w:color w:val="333333"/>
          <w:sz w:val="24"/>
          <w:szCs w:val="24"/>
          <w:lang w:eastAsia="en-GB"/>
        </w:rPr>
        <w:t xml:space="preserve"> (OGD)</w:t>
      </w:r>
    </w:p>
    <w:p w14:paraId="5F0A3774" w14:textId="77777777" w:rsidR="00F60B2C" w:rsidRPr="00610483" w:rsidRDefault="00F60B2C"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r w:rsidRPr="00610483">
        <w:rPr>
          <w:rFonts w:ascii="Times New Roman" w:eastAsia="Times New Roman" w:hAnsi="Times New Roman" w:cs="Times New Roman"/>
          <w:i/>
          <w:iCs/>
          <w:color w:val="333333"/>
          <w:sz w:val="24"/>
          <w:szCs w:val="24"/>
          <w:lang w:eastAsia="en-GB"/>
        </w:rPr>
        <w:t>Gut </w:t>
      </w:r>
      <w:r w:rsidRPr="00610483">
        <w:rPr>
          <w:rFonts w:ascii="Times New Roman" w:eastAsia="Times New Roman" w:hAnsi="Times New Roman" w:cs="Times New Roman"/>
          <w:color w:val="333333"/>
          <w:sz w:val="24"/>
          <w:szCs w:val="24"/>
          <w:lang w:eastAsia="en-GB"/>
        </w:rPr>
        <w:t>2018;67:A41-A42.</w:t>
      </w:r>
    </w:p>
    <w:p w14:paraId="2D465972" w14:textId="77777777" w:rsidR="00F60B2C" w:rsidRPr="00610483" w:rsidRDefault="00F60B2C" w:rsidP="00610483">
      <w:pPr>
        <w:shd w:val="clear" w:color="auto" w:fill="FFFFFF"/>
        <w:spacing w:after="0" w:line="480" w:lineRule="auto"/>
        <w:jc w:val="left"/>
        <w:rPr>
          <w:rFonts w:ascii="Times New Roman" w:eastAsia="Times New Roman" w:hAnsi="Times New Roman" w:cs="Times New Roman"/>
          <w:color w:val="333333"/>
          <w:sz w:val="24"/>
          <w:szCs w:val="24"/>
          <w:lang w:eastAsia="en-GB"/>
        </w:rPr>
      </w:pPr>
    </w:p>
    <w:p w14:paraId="43083FA8" w14:textId="051B2EDD" w:rsidR="00FD1EA1" w:rsidRPr="00610483" w:rsidRDefault="00F771D8" w:rsidP="00610483">
      <w:pPr>
        <w:spacing w:line="480" w:lineRule="auto"/>
        <w:rPr>
          <w:rFonts w:ascii="Times New Roman" w:hAnsi="Times New Roman" w:cs="Times New Roman"/>
          <w:color w:val="222222"/>
          <w:sz w:val="24"/>
          <w:szCs w:val="24"/>
          <w:shd w:val="clear" w:color="auto" w:fill="FFFFFF"/>
        </w:rPr>
      </w:pPr>
      <w:r w:rsidRPr="00610483">
        <w:rPr>
          <w:rFonts w:ascii="Times New Roman" w:hAnsi="Times New Roman" w:cs="Times New Roman"/>
          <w:color w:val="222222"/>
          <w:sz w:val="24"/>
          <w:szCs w:val="24"/>
          <w:shd w:val="clear" w:color="auto" w:fill="FFFFFF"/>
        </w:rPr>
        <w:t>Tai D, Jalal</w:t>
      </w:r>
      <w:r w:rsidR="0049108F" w:rsidRPr="00610483">
        <w:rPr>
          <w:rFonts w:ascii="Times New Roman" w:hAnsi="Times New Roman" w:cs="Times New Roman"/>
          <w:color w:val="222222"/>
          <w:sz w:val="24"/>
          <w:szCs w:val="24"/>
          <w:shd w:val="clear" w:color="auto" w:fill="FFFFFF"/>
        </w:rPr>
        <w:t xml:space="preserve"> M</w:t>
      </w:r>
      <w:r w:rsidRPr="00610483">
        <w:rPr>
          <w:rFonts w:ascii="Times New Roman" w:hAnsi="Times New Roman" w:cs="Times New Roman"/>
          <w:color w:val="222222"/>
          <w:sz w:val="24"/>
          <w:szCs w:val="24"/>
          <w:shd w:val="clear" w:color="auto" w:fill="FFFFFF"/>
        </w:rPr>
        <w:t xml:space="preserve">, </w:t>
      </w:r>
      <w:r w:rsidRPr="00610483">
        <w:rPr>
          <w:rFonts w:ascii="Times New Roman" w:hAnsi="Times New Roman" w:cs="Times New Roman"/>
          <w:b/>
          <w:bCs/>
          <w:color w:val="222222"/>
          <w:sz w:val="24"/>
          <w:szCs w:val="24"/>
          <w:shd w:val="clear" w:color="auto" w:fill="FFFFFF"/>
        </w:rPr>
        <w:t>Tun</w:t>
      </w:r>
      <w:r w:rsidR="0049108F" w:rsidRPr="00610483">
        <w:rPr>
          <w:rFonts w:ascii="Times New Roman" w:hAnsi="Times New Roman" w:cs="Times New Roman"/>
          <w:b/>
          <w:bCs/>
          <w:color w:val="222222"/>
          <w:sz w:val="24"/>
          <w:szCs w:val="24"/>
          <w:shd w:val="clear" w:color="auto" w:fill="FFFFFF"/>
        </w:rPr>
        <w:t xml:space="preserve"> G</w:t>
      </w:r>
      <w:r w:rsidRPr="00610483">
        <w:rPr>
          <w:rFonts w:ascii="Times New Roman" w:hAnsi="Times New Roman" w:cs="Times New Roman"/>
          <w:color w:val="222222"/>
          <w:sz w:val="24"/>
          <w:szCs w:val="24"/>
          <w:shd w:val="clear" w:color="auto" w:fill="FFFFFF"/>
        </w:rPr>
        <w:t xml:space="preserve">, </w:t>
      </w:r>
      <w:r w:rsidR="0049108F" w:rsidRPr="00610483">
        <w:rPr>
          <w:rFonts w:ascii="Times New Roman" w:hAnsi="Times New Roman" w:cs="Times New Roman"/>
          <w:color w:val="222222"/>
          <w:sz w:val="24"/>
          <w:szCs w:val="24"/>
          <w:shd w:val="clear" w:color="auto" w:fill="FFFFFF"/>
        </w:rPr>
        <w:t>et al</w:t>
      </w:r>
      <w:r w:rsidRPr="00610483">
        <w:rPr>
          <w:rFonts w:ascii="Times New Roman" w:hAnsi="Times New Roman" w:cs="Times New Roman"/>
          <w:color w:val="222222"/>
          <w:sz w:val="24"/>
          <w:szCs w:val="24"/>
          <w:shd w:val="clear" w:color="auto" w:fill="FFFFFF"/>
        </w:rPr>
        <w:t>.</w:t>
      </w:r>
      <w:r w:rsidR="00F60B2C" w:rsidRPr="00610483">
        <w:rPr>
          <w:rFonts w:ascii="Times New Roman" w:hAnsi="Times New Roman" w:cs="Times New Roman"/>
          <w:color w:val="222222"/>
          <w:sz w:val="24"/>
          <w:szCs w:val="24"/>
          <w:shd w:val="clear" w:color="auto" w:fill="FFFFFF"/>
        </w:rPr>
        <w:t xml:space="preserve"> </w:t>
      </w:r>
      <w:r w:rsidRPr="00610483">
        <w:rPr>
          <w:rFonts w:ascii="Times New Roman" w:hAnsi="Times New Roman" w:cs="Times New Roman"/>
          <w:color w:val="222222"/>
          <w:sz w:val="24"/>
          <w:szCs w:val="24"/>
          <w:shd w:val="clear" w:color="auto" w:fill="FFFFFF"/>
        </w:rPr>
        <w:t>PTU-121 The value of endoscopic biopsies in routine upper gastrointestinal endoscopy</w:t>
      </w:r>
      <w:r w:rsidR="0049108F" w:rsidRPr="00610483">
        <w:rPr>
          <w:rFonts w:ascii="Times New Roman" w:hAnsi="Times New Roman" w:cs="Times New Roman"/>
          <w:color w:val="222222"/>
          <w:sz w:val="24"/>
          <w:szCs w:val="24"/>
          <w:shd w:val="clear" w:color="auto" w:fill="FFFFFF"/>
        </w:rPr>
        <w:t>.</w:t>
      </w:r>
      <w:r w:rsidRPr="00610483">
        <w:rPr>
          <w:rFonts w:ascii="Times New Roman" w:hAnsi="Times New Roman" w:cs="Times New Roman"/>
          <w:color w:val="222222"/>
          <w:sz w:val="24"/>
          <w:szCs w:val="24"/>
          <w:shd w:val="clear" w:color="auto" w:fill="FFFFFF"/>
        </w:rPr>
        <w:t xml:space="preserve"> Gut 68, no. </w:t>
      </w:r>
      <w:proofErr w:type="spellStart"/>
      <w:r w:rsidRPr="00610483">
        <w:rPr>
          <w:rFonts w:ascii="Times New Roman" w:hAnsi="Times New Roman" w:cs="Times New Roman"/>
          <w:color w:val="222222"/>
          <w:sz w:val="24"/>
          <w:szCs w:val="24"/>
          <w:shd w:val="clear" w:color="auto" w:fill="FFFFFF"/>
        </w:rPr>
        <w:t>Suppl</w:t>
      </w:r>
      <w:proofErr w:type="spellEnd"/>
      <w:r w:rsidRPr="00610483">
        <w:rPr>
          <w:rFonts w:ascii="Times New Roman" w:hAnsi="Times New Roman" w:cs="Times New Roman"/>
          <w:color w:val="222222"/>
          <w:sz w:val="24"/>
          <w:szCs w:val="24"/>
          <w:shd w:val="clear" w:color="auto" w:fill="FFFFFF"/>
        </w:rPr>
        <w:t xml:space="preserve"> 2 (2019): A55.</w:t>
      </w:r>
    </w:p>
    <w:p w14:paraId="68AEC363" w14:textId="77777777" w:rsidR="0049108F" w:rsidRPr="00610483" w:rsidRDefault="0049108F" w:rsidP="00610483">
      <w:pPr>
        <w:spacing w:line="480" w:lineRule="auto"/>
        <w:rPr>
          <w:rFonts w:ascii="Times New Roman" w:hAnsi="Times New Roman" w:cs="Times New Roman"/>
          <w:color w:val="222222"/>
          <w:sz w:val="24"/>
          <w:szCs w:val="24"/>
          <w:shd w:val="clear" w:color="auto" w:fill="FFFFFF"/>
        </w:rPr>
      </w:pPr>
    </w:p>
    <w:p w14:paraId="7A1020AF"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67748CB2"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131ABF8F"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4ADBB3B2"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5DB2D7C6"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4F9F9349"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7C445FD0" w14:textId="77777777" w:rsidR="009D0EAC" w:rsidRDefault="009D0EAC" w:rsidP="00610483">
      <w:pPr>
        <w:shd w:val="clear" w:color="auto" w:fill="FFFFFF"/>
        <w:spacing w:after="0" w:line="480" w:lineRule="auto"/>
        <w:jc w:val="left"/>
        <w:rPr>
          <w:rFonts w:ascii="Times New Roman" w:hAnsi="Times New Roman" w:cs="Times New Roman"/>
          <w:b/>
          <w:bCs/>
          <w:sz w:val="24"/>
          <w:szCs w:val="24"/>
        </w:rPr>
      </w:pPr>
    </w:p>
    <w:p w14:paraId="2E7EDA36" w14:textId="37E23628" w:rsidR="00FD1EA1" w:rsidRPr="00610483" w:rsidRDefault="00FD1EA1" w:rsidP="00610483">
      <w:pPr>
        <w:shd w:val="clear" w:color="auto" w:fill="FFFFFF"/>
        <w:spacing w:after="0" w:line="480" w:lineRule="auto"/>
        <w:jc w:val="left"/>
        <w:rPr>
          <w:rFonts w:ascii="Times New Roman" w:eastAsia="Times New Roman" w:hAnsi="Times New Roman" w:cs="Times New Roman"/>
          <w:b/>
          <w:bCs/>
          <w:color w:val="333333"/>
          <w:sz w:val="24"/>
          <w:szCs w:val="24"/>
          <w:lang w:eastAsia="en-GB"/>
        </w:rPr>
      </w:pPr>
      <w:r w:rsidRPr="00610483">
        <w:rPr>
          <w:rFonts w:ascii="Times New Roman" w:hAnsi="Times New Roman" w:cs="Times New Roman"/>
          <w:b/>
          <w:bCs/>
          <w:sz w:val="24"/>
          <w:szCs w:val="24"/>
        </w:rPr>
        <w:lastRenderedPageBreak/>
        <w:t>Publications directly relating to this work:</w:t>
      </w:r>
    </w:p>
    <w:p w14:paraId="53861CB6" w14:textId="1720C5D1" w:rsidR="00FD1EA1" w:rsidRPr="00610483" w:rsidRDefault="00876526" w:rsidP="00610483">
      <w:pPr>
        <w:spacing w:line="480" w:lineRule="auto"/>
        <w:rPr>
          <w:rFonts w:ascii="Times New Roman" w:hAnsi="Times New Roman" w:cs="Times New Roman"/>
          <w:sz w:val="24"/>
          <w:szCs w:val="24"/>
        </w:rPr>
      </w:pPr>
      <w:r w:rsidRPr="00610483">
        <w:rPr>
          <w:rFonts w:ascii="Times New Roman" w:hAnsi="Times New Roman" w:cs="Times New Roman"/>
          <w:color w:val="1C1D1E"/>
          <w:sz w:val="24"/>
          <w:szCs w:val="24"/>
          <w:shd w:val="clear" w:color="auto" w:fill="FFFFFF"/>
        </w:rPr>
        <w:t>Tun, GSZ, Downey, R, Robinson, K, et al. High prevalence of antibodies to infliximab and their relation to clinical outcomes in inflammatory bowel disease patients. </w:t>
      </w:r>
      <w:r w:rsidRPr="00610483">
        <w:rPr>
          <w:rFonts w:ascii="Times New Roman" w:hAnsi="Times New Roman" w:cs="Times New Roman"/>
          <w:i/>
          <w:iCs/>
          <w:color w:val="1C1D1E"/>
          <w:sz w:val="24"/>
          <w:szCs w:val="24"/>
          <w:shd w:val="clear" w:color="auto" w:fill="FFFFFF"/>
        </w:rPr>
        <w:t>GastroHep</w:t>
      </w:r>
      <w:r w:rsidRPr="00610483">
        <w:rPr>
          <w:rFonts w:ascii="Times New Roman" w:hAnsi="Times New Roman" w:cs="Times New Roman"/>
          <w:color w:val="1C1D1E"/>
          <w:sz w:val="24"/>
          <w:szCs w:val="24"/>
          <w:shd w:val="clear" w:color="auto" w:fill="FFFFFF"/>
        </w:rPr>
        <w:t>. 2019; 1: 214– 222. </w:t>
      </w:r>
      <w:hyperlink r:id="rId70" w:history="1">
        <w:r w:rsidRPr="00610483">
          <w:rPr>
            <w:rFonts w:ascii="Times New Roman" w:hAnsi="Times New Roman" w:cs="Times New Roman"/>
            <w:color w:val="0000FF"/>
            <w:sz w:val="24"/>
            <w:szCs w:val="24"/>
            <w:u w:val="single"/>
            <w:shd w:val="clear" w:color="auto" w:fill="FFFFFF"/>
          </w:rPr>
          <w:t>https://doi.org/10.1002/ygh2.363</w:t>
        </w:r>
      </w:hyperlink>
    </w:p>
    <w:p w14:paraId="56BC0DD5" w14:textId="77777777" w:rsidR="00B52BC5" w:rsidRPr="00610483" w:rsidRDefault="00B52BC5" w:rsidP="00610483">
      <w:pPr>
        <w:spacing w:line="480" w:lineRule="auto"/>
        <w:rPr>
          <w:rFonts w:ascii="Times New Roman" w:hAnsi="Times New Roman" w:cs="Times New Roman"/>
          <w:sz w:val="24"/>
          <w:szCs w:val="24"/>
        </w:rPr>
      </w:pPr>
    </w:p>
    <w:p w14:paraId="432EEC7F" w14:textId="1F73D0C8" w:rsidR="00B52BC5" w:rsidRPr="00610483" w:rsidRDefault="00B52BC5" w:rsidP="00610483">
      <w:pPr>
        <w:spacing w:line="480" w:lineRule="auto"/>
        <w:rPr>
          <w:rFonts w:ascii="Times New Roman" w:hAnsi="Times New Roman" w:cs="Times New Roman"/>
          <w:sz w:val="24"/>
          <w:szCs w:val="24"/>
        </w:rPr>
      </w:pPr>
      <w:r w:rsidRPr="00610483">
        <w:rPr>
          <w:rFonts w:ascii="Times New Roman" w:hAnsi="Times New Roman" w:cs="Times New Roman"/>
          <w:color w:val="000000"/>
          <w:sz w:val="24"/>
          <w:szCs w:val="24"/>
          <w:shd w:val="clear" w:color="auto" w:fill="FFFFFF"/>
        </w:rPr>
        <w:t xml:space="preserve">Tun, </w:t>
      </w:r>
      <w:proofErr w:type="spellStart"/>
      <w:r w:rsidRPr="00610483">
        <w:rPr>
          <w:rFonts w:ascii="Times New Roman" w:hAnsi="Times New Roman" w:cs="Times New Roman"/>
          <w:color w:val="000000"/>
          <w:sz w:val="24"/>
          <w:szCs w:val="24"/>
          <w:shd w:val="clear" w:color="auto" w:fill="FFFFFF"/>
        </w:rPr>
        <w:t>GSZ.</w:t>
      </w:r>
      <w:r w:rsidRPr="00610483">
        <w:rPr>
          <w:rFonts w:ascii="Times New Roman" w:hAnsi="Times New Roman" w:cs="Times New Roman"/>
          <w:color w:val="000000"/>
          <w:sz w:val="24"/>
          <w:szCs w:val="24"/>
          <w:shd w:val="clear" w:color="auto" w:fill="FFFFFF"/>
          <w:vertAlign w:val="superscript"/>
        </w:rPr>
        <w:t>a</w:t>
      </w:r>
      <w:proofErr w:type="spellEnd"/>
      <w:r w:rsidRPr="00610483">
        <w:rPr>
          <w:rFonts w:ascii="Times New Roman" w:hAnsi="Times New Roman" w:cs="Times New Roman"/>
          <w:color w:val="000000"/>
          <w:sz w:val="24"/>
          <w:szCs w:val="24"/>
          <w:shd w:val="clear" w:color="auto" w:fill="FFFFFF"/>
        </w:rPr>
        <w:t>; Robinson,</w:t>
      </w:r>
      <w:r w:rsidR="002757B4">
        <w:rPr>
          <w:rFonts w:ascii="Times New Roman" w:hAnsi="Times New Roman" w:cs="Times New Roman"/>
          <w:color w:val="000000"/>
          <w:sz w:val="24"/>
          <w:szCs w:val="24"/>
          <w:shd w:val="clear" w:color="auto" w:fill="FFFFFF"/>
        </w:rPr>
        <w:t xml:space="preserve"> K</w:t>
      </w:r>
      <w:r w:rsidRPr="00610483">
        <w:rPr>
          <w:rFonts w:ascii="Times New Roman" w:hAnsi="Times New Roman" w:cs="Times New Roman"/>
          <w:color w:val="000000"/>
          <w:sz w:val="24"/>
          <w:szCs w:val="24"/>
          <w:shd w:val="clear" w:color="auto" w:fill="FFFFFF"/>
        </w:rPr>
        <w:t xml:space="preserve">; Marshall, </w:t>
      </w:r>
      <w:r w:rsidR="002757B4">
        <w:rPr>
          <w:rFonts w:ascii="Times New Roman" w:hAnsi="Times New Roman" w:cs="Times New Roman"/>
          <w:color w:val="000000"/>
          <w:sz w:val="24"/>
          <w:szCs w:val="24"/>
          <w:shd w:val="clear" w:color="auto" w:fill="FFFFFF"/>
        </w:rPr>
        <w:t>L</w:t>
      </w:r>
      <w:r w:rsidRPr="00610483">
        <w:rPr>
          <w:rFonts w:ascii="Times New Roman" w:hAnsi="Times New Roman" w:cs="Times New Roman"/>
          <w:color w:val="000000"/>
          <w:sz w:val="24"/>
          <w:szCs w:val="24"/>
          <w:shd w:val="clear" w:color="auto" w:fill="FFFFFF"/>
        </w:rPr>
        <w:t xml:space="preserve">; </w:t>
      </w:r>
      <w:r w:rsidR="00987B49">
        <w:rPr>
          <w:rFonts w:ascii="Times New Roman" w:hAnsi="Times New Roman" w:cs="Times New Roman"/>
          <w:color w:val="000000"/>
          <w:sz w:val="24"/>
          <w:szCs w:val="24"/>
          <w:shd w:val="clear" w:color="auto" w:fill="FFFFFF"/>
        </w:rPr>
        <w:t>et al</w:t>
      </w:r>
      <w:r w:rsidRPr="00610483">
        <w:rPr>
          <w:rFonts w:ascii="Times New Roman" w:hAnsi="Times New Roman" w:cs="Times New Roman"/>
          <w:color w:val="000000"/>
          <w:sz w:val="24"/>
          <w:szCs w:val="24"/>
          <w:shd w:val="clear" w:color="auto" w:fill="FFFFFF"/>
        </w:rPr>
        <w:t>. The effect of infliximab dose escalation in inflammatory bowel disease patients with antibodies to infliximab. European Journal of Gastroenterology &amp; Hepatology 34(3):p 295-301, March 2022. | DOI: 10.1097/MEG.0000000000002289</w:t>
      </w:r>
    </w:p>
    <w:p w14:paraId="5B085CD0" w14:textId="77777777" w:rsidR="00FD1EA1" w:rsidRPr="00610483" w:rsidRDefault="00FD1EA1" w:rsidP="00610483">
      <w:pPr>
        <w:spacing w:line="480" w:lineRule="auto"/>
        <w:rPr>
          <w:rFonts w:ascii="Times New Roman" w:hAnsi="Times New Roman" w:cs="Times New Roman"/>
          <w:b/>
          <w:bCs/>
          <w:sz w:val="24"/>
          <w:szCs w:val="24"/>
        </w:rPr>
      </w:pPr>
    </w:p>
    <w:p w14:paraId="6ADD8A93" w14:textId="37383B75" w:rsidR="00FD1EA1" w:rsidRPr="002757B4" w:rsidRDefault="00FD1EA1" w:rsidP="002757B4">
      <w:pPr>
        <w:spacing w:line="480" w:lineRule="auto"/>
        <w:rPr>
          <w:rFonts w:ascii="Times New Roman" w:hAnsi="Times New Roman" w:cs="Times New Roman"/>
          <w:sz w:val="24"/>
          <w:szCs w:val="24"/>
        </w:rPr>
      </w:pPr>
      <w:r w:rsidRPr="002757B4">
        <w:rPr>
          <w:rFonts w:ascii="Times New Roman" w:hAnsi="Times New Roman" w:cs="Times New Roman"/>
          <w:b/>
          <w:bCs/>
          <w:sz w:val="24"/>
          <w:szCs w:val="24"/>
        </w:rPr>
        <w:t>P</w:t>
      </w:r>
      <w:r w:rsidR="00914BA6" w:rsidRPr="002757B4">
        <w:rPr>
          <w:rFonts w:ascii="Times New Roman" w:hAnsi="Times New Roman" w:cs="Times New Roman"/>
          <w:b/>
          <w:bCs/>
          <w:sz w:val="24"/>
          <w:szCs w:val="24"/>
        </w:rPr>
        <w:t>ublica</w:t>
      </w:r>
      <w:r w:rsidRPr="002757B4">
        <w:rPr>
          <w:rFonts w:ascii="Times New Roman" w:hAnsi="Times New Roman" w:cs="Times New Roman"/>
          <w:b/>
          <w:bCs/>
          <w:sz w:val="24"/>
          <w:szCs w:val="24"/>
        </w:rPr>
        <w:t>tions not directly related to this work:</w:t>
      </w:r>
    </w:p>
    <w:p w14:paraId="0A518927" w14:textId="69B80398" w:rsidR="008527EF" w:rsidRPr="002757B4" w:rsidRDefault="006A4A56" w:rsidP="002757B4">
      <w:pPr>
        <w:shd w:val="clear" w:color="auto" w:fill="FFFFFF"/>
        <w:spacing w:after="0" w:line="480" w:lineRule="auto"/>
        <w:jc w:val="left"/>
        <w:rPr>
          <w:rFonts w:ascii="Times New Roman" w:hAnsi="Times New Roman" w:cs="Times New Roman"/>
          <w:color w:val="212121"/>
          <w:sz w:val="24"/>
          <w:szCs w:val="24"/>
          <w:shd w:val="clear" w:color="auto" w:fill="FFFFFF"/>
        </w:rPr>
      </w:pPr>
      <w:r w:rsidRPr="002757B4">
        <w:rPr>
          <w:rFonts w:ascii="Times New Roman" w:hAnsi="Times New Roman" w:cs="Times New Roman"/>
          <w:color w:val="212121"/>
          <w:sz w:val="24"/>
          <w:szCs w:val="24"/>
          <w:shd w:val="clear" w:color="auto" w:fill="FFFFFF"/>
        </w:rPr>
        <w:t>Tun GS, Harris A, Lobo AJ. Ulcerative colitis: management in adults, children and young people - concise guidance</w:t>
      </w:r>
      <w:r w:rsidRPr="002757B4">
        <w:rPr>
          <w:rFonts w:ascii="Times New Roman" w:hAnsi="Times New Roman" w:cs="Times New Roman"/>
          <w:color w:val="212121"/>
          <w:sz w:val="24"/>
          <w:szCs w:val="24"/>
          <w:shd w:val="clear" w:color="auto" w:fill="FFFFFF"/>
        </w:rPr>
        <w:t> </w:t>
      </w:r>
      <w:r w:rsidRPr="002757B4">
        <w:rPr>
          <w:rFonts w:ascii="Times New Roman" w:hAnsi="Times New Roman" w:cs="Times New Roman"/>
          <w:color w:val="212121"/>
          <w:sz w:val="24"/>
          <w:szCs w:val="24"/>
          <w:shd w:val="clear" w:color="auto" w:fill="FFFFFF"/>
        </w:rPr>
        <w:t xml:space="preserve">. Clin Med (Lond). 2017 Oct;17(5):429-433. </w:t>
      </w:r>
      <w:proofErr w:type="spellStart"/>
      <w:r w:rsidRPr="002757B4">
        <w:rPr>
          <w:rFonts w:ascii="Times New Roman" w:hAnsi="Times New Roman" w:cs="Times New Roman"/>
          <w:color w:val="212121"/>
          <w:sz w:val="24"/>
          <w:szCs w:val="24"/>
          <w:shd w:val="clear" w:color="auto" w:fill="FFFFFF"/>
        </w:rPr>
        <w:t>doi</w:t>
      </w:r>
      <w:proofErr w:type="spellEnd"/>
      <w:r w:rsidRPr="002757B4">
        <w:rPr>
          <w:rFonts w:ascii="Times New Roman" w:hAnsi="Times New Roman" w:cs="Times New Roman"/>
          <w:color w:val="212121"/>
          <w:sz w:val="24"/>
          <w:szCs w:val="24"/>
          <w:shd w:val="clear" w:color="auto" w:fill="FFFFFF"/>
        </w:rPr>
        <w:t xml:space="preserve">: 10.7861/clinmedicine.17-5-429. </w:t>
      </w:r>
    </w:p>
    <w:p w14:paraId="4A4E564D" w14:textId="77777777" w:rsidR="008F558D" w:rsidRPr="002757B4" w:rsidRDefault="008F558D" w:rsidP="002757B4">
      <w:pPr>
        <w:shd w:val="clear" w:color="auto" w:fill="FFFFFF"/>
        <w:spacing w:after="0" w:line="480" w:lineRule="auto"/>
        <w:jc w:val="left"/>
        <w:rPr>
          <w:rFonts w:ascii="Times New Roman" w:hAnsi="Times New Roman" w:cs="Times New Roman"/>
          <w:color w:val="212121"/>
          <w:sz w:val="24"/>
          <w:szCs w:val="24"/>
          <w:shd w:val="clear" w:color="auto" w:fill="FFFFFF"/>
        </w:rPr>
      </w:pPr>
    </w:p>
    <w:p w14:paraId="239A90B4" w14:textId="5B363695" w:rsidR="00FB6C3F" w:rsidRPr="002757B4" w:rsidRDefault="008F558D" w:rsidP="002757B4">
      <w:pPr>
        <w:shd w:val="clear" w:color="auto" w:fill="FFFFFF"/>
        <w:spacing w:after="0" w:line="480" w:lineRule="auto"/>
        <w:jc w:val="left"/>
        <w:rPr>
          <w:rFonts w:ascii="Times New Roman" w:eastAsia="Times New Roman" w:hAnsi="Times New Roman" w:cs="Times New Roman"/>
          <w:sz w:val="24"/>
          <w:szCs w:val="24"/>
          <w:lang w:eastAsia="en-GB"/>
        </w:rPr>
      </w:pPr>
      <w:r w:rsidRPr="002757B4">
        <w:rPr>
          <w:rFonts w:ascii="Times New Roman" w:hAnsi="Times New Roman" w:cs="Times New Roman"/>
          <w:color w:val="212121"/>
          <w:sz w:val="24"/>
          <w:szCs w:val="24"/>
          <w:shd w:val="clear" w:color="auto" w:fill="FFFFFF"/>
        </w:rPr>
        <w:t>Tun GS, Cripps S, Lobo AJ. Crohn's disease: management in adults, children and young people - concise guidance</w:t>
      </w:r>
      <w:r w:rsidRPr="002757B4">
        <w:rPr>
          <w:rFonts w:ascii="Times New Roman" w:hAnsi="Times New Roman" w:cs="Times New Roman"/>
          <w:color w:val="212121"/>
          <w:sz w:val="24"/>
          <w:szCs w:val="24"/>
          <w:shd w:val="clear" w:color="auto" w:fill="FFFFFF"/>
        </w:rPr>
        <w:t> </w:t>
      </w:r>
      <w:r w:rsidRPr="002757B4">
        <w:rPr>
          <w:rFonts w:ascii="Times New Roman" w:hAnsi="Times New Roman" w:cs="Times New Roman"/>
          <w:color w:val="212121"/>
          <w:sz w:val="24"/>
          <w:szCs w:val="24"/>
          <w:shd w:val="clear" w:color="auto" w:fill="FFFFFF"/>
        </w:rPr>
        <w:t xml:space="preserve">. Clin Med (Lond). 2018 Jun;18(3):231-236. </w:t>
      </w:r>
      <w:proofErr w:type="spellStart"/>
      <w:r w:rsidRPr="002757B4">
        <w:rPr>
          <w:rFonts w:ascii="Times New Roman" w:hAnsi="Times New Roman" w:cs="Times New Roman"/>
          <w:color w:val="212121"/>
          <w:sz w:val="24"/>
          <w:szCs w:val="24"/>
          <w:shd w:val="clear" w:color="auto" w:fill="FFFFFF"/>
        </w:rPr>
        <w:t>doi</w:t>
      </w:r>
      <w:proofErr w:type="spellEnd"/>
      <w:r w:rsidRPr="002757B4">
        <w:rPr>
          <w:rFonts w:ascii="Times New Roman" w:hAnsi="Times New Roman" w:cs="Times New Roman"/>
          <w:color w:val="212121"/>
          <w:sz w:val="24"/>
          <w:szCs w:val="24"/>
          <w:shd w:val="clear" w:color="auto" w:fill="FFFFFF"/>
        </w:rPr>
        <w:t>: 10.7861/clinmedicine.18-3-231. </w:t>
      </w:r>
    </w:p>
    <w:p w14:paraId="6A62E718" w14:textId="77777777" w:rsidR="008F558D" w:rsidRPr="002757B4" w:rsidRDefault="008F558D" w:rsidP="002757B4">
      <w:pPr>
        <w:shd w:val="clear" w:color="auto" w:fill="FFFFFF"/>
        <w:spacing w:after="0" w:line="480" w:lineRule="auto"/>
        <w:jc w:val="left"/>
        <w:rPr>
          <w:rFonts w:ascii="Times New Roman" w:hAnsi="Times New Roman" w:cs="Times New Roman"/>
          <w:sz w:val="24"/>
          <w:szCs w:val="24"/>
        </w:rPr>
      </w:pPr>
    </w:p>
    <w:p w14:paraId="3614EB73" w14:textId="1CCDD11B" w:rsidR="008527EF" w:rsidRPr="002757B4" w:rsidRDefault="008E1187" w:rsidP="002757B4">
      <w:pPr>
        <w:shd w:val="clear" w:color="auto" w:fill="FFFFFF"/>
        <w:spacing w:after="0" w:line="480" w:lineRule="auto"/>
        <w:jc w:val="left"/>
        <w:rPr>
          <w:rFonts w:ascii="Times New Roman" w:hAnsi="Times New Roman" w:cs="Times New Roman"/>
          <w:color w:val="212121"/>
          <w:sz w:val="24"/>
          <w:szCs w:val="24"/>
          <w:shd w:val="clear" w:color="auto" w:fill="FFFFFF"/>
        </w:rPr>
      </w:pPr>
      <w:r w:rsidRPr="002757B4">
        <w:rPr>
          <w:rFonts w:ascii="Times New Roman" w:hAnsi="Times New Roman" w:cs="Times New Roman"/>
          <w:color w:val="212121"/>
          <w:sz w:val="24"/>
          <w:szCs w:val="24"/>
          <w:shd w:val="clear" w:color="auto" w:fill="FFFFFF"/>
        </w:rPr>
        <w:t xml:space="preserve">Tun GSZ, Raza M, Hale MF, Lobo AJ. Polymerase chain reaction for detection of mucosal cytomegalovirus infection in patients with acute ulcerative colitis. Ann Gastroenterol. 2019 Jan-Feb;32(1):81-87. </w:t>
      </w:r>
      <w:proofErr w:type="spellStart"/>
      <w:r w:rsidRPr="002757B4">
        <w:rPr>
          <w:rFonts w:ascii="Times New Roman" w:hAnsi="Times New Roman" w:cs="Times New Roman"/>
          <w:color w:val="212121"/>
          <w:sz w:val="24"/>
          <w:szCs w:val="24"/>
          <w:shd w:val="clear" w:color="auto" w:fill="FFFFFF"/>
        </w:rPr>
        <w:t>doi</w:t>
      </w:r>
      <w:proofErr w:type="spellEnd"/>
      <w:r w:rsidRPr="002757B4">
        <w:rPr>
          <w:rFonts w:ascii="Times New Roman" w:hAnsi="Times New Roman" w:cs="Times New Roman"/>
          <w:color w:val="212121"/>
          <w:sz w:val="24"/>
          <w:szCs w:val="24"/>
          <w:shd w:val="clear" w:color="auto" w:fill="FFFFFF"/>
        </w:rPr>
        <w:t>: 10.20524/aog.2018.0318. </w:t>
      </w:r>
    </w:p>
    <w:p w14:paraId="056EF7D8" w14:textId="77777777" w:rsidR="008E1187" w:rsidRPr="002757B4" w:rsidRDefault="008E1187" w:rsidP="002757B4">
      <w:pPr>
        <w:shd w:val="clear" w:color="auto" w:fill="FFFFFF"/>
        <w:spacing w:after="0" w:line="480" w:lineRule="auto"/>
        <w:jc w:val="left"/>
        <w:rPr>
          <w:rFonts w:ascii="Times New Roman" w:eastAsia="Times New Roman" w:hAnsi="Times New Roman" w:cs="Times New Roman"/>
          <w:sz w:val="24"/>
          <w:szCs w:val="24"/>
          <w:lang w:eastAsia="en-GB"/>
        </w:rPr>
      </w:pPr>
    </w:p>
    <w:p w14:paraId="0D2CEE7C" w14:textId="2CEB06B4" w:rsidR="00FD1EA1" w:rsidRPr="002757B4" w:rsidRDefault="007C1D30" w:rsidP="002757B4">
      <w:pPr>
        <w:spacing w:line="480" w:lineRule="auto"/>
        <w:rPr>
          <w:rFonts w:ascii="Times New Roman" w:hAnsi="Times New Roman" w:cs="Times New Roman"/>
          <w:color w:val="212121"/>
          <w:sz w:val="24"/>
          <w:szCs w:val="24"/>
          <w:shd w:val="clear" w:color="auto" w:fill="FFFFFF"/>
        </w:rPr>
      </w:pPr>
      <w:r w:rsidRPr="002757B4">
        <w:rPr>
          <w:rFonts w:ascii="Times New Roman" w:hAnsi="Times New Roman" w:cs="Times New Roman"/>
          <w:color w:val="212121"/>
          <w:sz w:val="24"/>
          <w:szCs w:val="24"/>
          <w:shd w:val="clear" w:color="auto" w:fill="FFFFFF"/>
        </w:rPr>
        <w:lastRenderedPageBreak/>
        <w:t xml:space="preserve">Zin Tun GS, Gleeson D, Al-Joudeh A, Dube A. Immune-mediated hepatitis with the Moderna vaccine, no longer a coincidence but confirmed. J Hepatol. 2022 Mar;76(3):747-749. </w:t>
      </w:r>
      <w:proofErr w:type="spellStart"/>
      <w:r w:rsidRPr="002757B4">
        <w:rPr>
          <w:rFonts w:ascii="Times New Roman" w:hAnsi="Times New Roman" w:cs="Times New Roman"/>
          <w:color w:val="212121"/>
          <w:sz w:val="24"/>
          <w:szCs w:val="24"/>
          <w:shd w:val="clear" w:color="auto" w:fill="FFFFFF"/>
        </w:rPr>
        <w:t>doi</w:t>
      </w:r>
      <w:proofErr w:type="spellEnd"/>
      <w:r w:rsidRPr="002757B4">
        <w:rPr>
          <w:rFonts w:ascii="Times New Roman" w:hAnsi="Times New Roman" w:cs="Times New Roman"/>
          <w:color w:val="212121"/>
          <w:sz w:val="24"/>
          <w:szCs w:val="24"/>
          <w:shd w:val="clear" w:color="auto" w:fill="FFFFFF"/>
        </w:rPr>
        <w:t xml:space="preserve">: 10.1016/j.jhep.2021.09.031. </w:t>
      </w:r>
      <w:proofErr w:type="spellStart"/>
      <w:r w:rsidRPr="002757B4">
        <w:rPr>
          <w:rFonts w:ascii="Times New Roman" w:hAnsi="Times New Roman" w:cs="Times New Roman"/>
          <w:color w:val="212121"/>
          <w:sz w:val="24"/>
          <w:szCs w:val="24"/>
          <w:shd w:val="clear" w:color="auto" w:fill="FFFFFF"/>
        </w:rPr>
        <w:t>Epub</w:t>
      </w:r>
      <w:proofErr w:type="spellEnd"/>
      <w:r w:rsidRPr="002757B4">
        <w:rPr>
          <w:rFonts w:ascii="Times New Roman" w:hAnsi="Times New Roman" w:cs="Times New Roman"/>
          <w:color w:val="212121"/>
          <w:sz w:val="24"/>
          <w:szCs w:val="24"/>
          <w:shd w:val="clear" w:color="auto" w:fill="FFFFFF"/>
        </w:rPr>
        <w:t xml:space="preserve"> 2021 Oct 5. PMID: 34619252; PMCID: PMC8491984.</w:t>
      </w:r>
    </w:p>
    <w:p w14:paraId="7C36FA07" w14:textId="77777777" w:rsidR="007C1D30" w:rsidRPr="002757B4" w:rsidRDefault="007C1D30" w:rsidP="002757B4">
      <w:pPr>
        <w:spacing w:line="480" w:lineRule="auto"/>
        <w:rPr>
          <w:rFonts w:ascii="Times New Roman" w:hAnsi="Times New Roman" w:cs="Times New Roman"/>
          <w:sz w:val="24"/>
          <w:szCs w:val="24"/>
        </w:rPr>
      </w:pPr>
    </w:p>
    <w:p w14:paraId="4AD69BD1" w14:textId="1C60086B" w:rsidR="006001D8" w:rsidRPr="006001D8" w:rsidRDefault="006001D8" w:rsidP="002757B4">
      <w:pPr>
        <w:shd w:val="clear" w:color="auto" w:fill="FFFFFF"/>
        <w:spacing w:after="0" w:line="480" w:lineRule="auto"/>
        <w:jc w:val="left"/>
        <w:rPr>
          <w:rFonts w:ascii="Times New Roman" w:eastAsia="Times New Roman" w:hAnsi="Times New Roman" w:cs="Times New Roman"/>
          <w:color w:val="333333"/>
          <w:sz w:val="24"/>
          <w:szCs w:val="24"/>
          <w:lang w:eastAsia="en-GB"/>
        </w:rPr>
      </w:pPr>
      <w:r w:rsidRPr="002757B4">
        <w:rPr>
          <w:rFonts w:ascii="Times New Roman" w:eastAsia="Times New Roman" w:hAnsi="Times New Roman" w:cs="Times New Roman"/>
          <w:color w:val="333333"/>
          <w:sz w:val="24"/>
          <w:szCs w:val="24"/>
          <w:lang w:eastAsia="en-GB"/>
        </w:rPr>
        <w:t>R</w:t>
      </w:r>
      <w:r w:rsidRPr="006001D8">
        <w:rPr>
          <w:rFonts w:ascii="Times New Roman" w:eastAsia="Times New Roman" w:hAnsi="Times New Roman" w:cs="Times New Roman"/>
          <w:color w:val="333333"/>
          <w:sz w:val="24"/>
          <w:szCs w:val="24"/>
          <w:lang w:eastAsia="en-GB"/>
        </w:rPr>
        <w:t>aju SA, Ching H, </w:t>
      </w:r>
      <w:r w:rsidR="00987B49" w:rsidRPr="002757B4">
        <w:rPr>
          <w:rFonts w:ascii="Times New Roman" w:eastAsia="Times New Roman" w:hAnsi="Times New Roman" w:cs="Times New Roman"/>
          <w:b/>
          <w:bCs/>
          <w:color w:val="333333"/>
          <w:sz w:val="24"/>
          <w:szCs w:val="24"/>
          <w:lang w:eastAsia="en-GB"/>
        </w:rPr>
        <w:t>G Tun</w:t>
      </w:r>
      <w:r w:rsidRPr="006001D8">
        <w:rPr>
          <w:rFonts w:ascii="Times New Roman" w:eastAsia="Times New Roman" w:hAnsi="Times New Roman" w:cs="Times New Roman"/>
          <w:i/>
          <w:iCs/>
          <w:color w:val="333333"/>
          <w:sz w:val="24"/>
          <w:szCs w:val="24"/>
          <w:lang w:eastAsia="en-GB"/>
        </w:rPr>
        <w:t>, et al</w:t>
      </w:r>
      <w:r w:rsidR="00987B49" w:rsidRPr="002757B4">
        <w:rPr>
          <w:rFonts w:ascii="Times New Roman" w:eastAsia="Times New Roman" w:hAnsi="Times New Roman" w:cs="Times New Roman"/>
          <w:i/>
          <w:iCs/>
          <w:color w:val="333333"/>
          <w:sz w:val="24"/>
          <w:szCs w:val="24"/>
          <w:lang w:eastAsia="en-GB"/>
        </w:rPr>
        <w:t>.</w:t>
      </w:r>
      <w:r w:rsidR="00987B49" w:rsidRPr="002757B4">
        <w:rPr>
          <w:rFonts w:ascii="Times New Roman" w:eastAsia="Times New Roman" w:hAnsi="Times New Roman" w:cs="Times New Roman"/>
          <w:color w:val="333333"/>
          <w:sz w:val="24"/>
          <w:szCs w:val="24"/>
          <w:lang w:eastAsia="en-GB"/>
        </w:rPr>
        <w:t xml:space="preserve"> </w:t>
      </w:r>
      <w:r w:rsidRPr="006001D8">
        <w:rPr>
          <w:rFonts w:ascii="Times New Roman" w:eastAsia="Times New Roman" w:hAnsi="Times New Roman" w:cs="Times New Roman"/>
          <w:color w:val="333333"/>
          <w:sz w:val="24"/>
          <w:szCs w:val="24"/>
          <w:lang w:eastAsia="en-GB"/>
        </w:rPr>
        <w:t>Does reverse mentoring work in the NHS: a feasibility study of clinicians in practice</w:t>
      </w:r>
      <w:r w:rsidR="00987B49" w:rsidRPr="002757B4">
        <w:rPr>
          <w:rFonts w:ascii="Times New Roman" w:eastAsia="Times New Roman" w:hAnsi="Times New Roman" w:cs="Times New Roman"/>
          <w:color w:val="333333"/>
          <w:sz w:val="24"/>
          <w:szCs w:val="24"/>
          <w:lang w:eastAsia="en-GB"/>
        </w:rPr>
        <w:t xml:space="preserve">. </w:t>
      </w:r>
      <w:r w:rsidRPr="006001D8">
        <w:rPr>
          <w:rFonts w:ascii="Times New Roman" w:eastAsia="Times New Roman" w:hAnsi="Times New Roman" w:cs="Times New Roman"/>
          <w:i/>
          <w:iCs/>
          <w:color w:val="333333"/>
          <w:sz w:val="24"/>
          <w:szCs w:val="24"/>
          <w:lang w:eastAsia="en-GB"/>
        </w:rPr>
        <w:t>BMJ</w:t>
      </w:r>
      <w:r w:rsidR="00987B49" w:rsidRPr="002757B4">
        <w:rPr>
          <w:rFonts w:ascii="Times New Roman" w:eastAsia="Times New Roman" w:hAnsi="Times New Roman" w:cs="Times New Roman"/>
          <w:i/>
          <w:iCs/>
          <w:color w:val="333333"/>
          <w:sz w:val="24"/>
          <w:szCs w:val="24"/>
          <w:lang w:eastAsia="en-GB"/>
        </w:rPr>
        <w:t xml:space="preserve"> </w:t>
      </w:r>
      <w:r w:rsidRPr="006001D8">
        <w:rPr>
          <w:rFonts w:ascii="Times New Roman" w:eastAsia="Times New Roman" w:hAnsi="Times New Roman" w:cs="Times New Roman"/>
          <w:i/>
          <w:iCs/>
          <w:color w:val="333333"/>
          <w:sz w:val="24"/>
          <w:szCs w:val="24"/>
          <w:lang w:eastAsia="en-GB"/>
        </w:rPr>
        <w:t>Open </w:t>
      </w:r>
      <w:r w:rsidRPr="006001D8">
        <w:rPr>
          <w:rFonts w:ascii="Times New Roman" w:eastAsia="Times New Roman" w:hAnsi="Times New Roman" w:cs="Times New Roman"/>
          <w:color w:val="333333"/>
          <w:sz w:val="24"/>
          <w:szCs w:val="24"/>
          <w:lang w:eastAsia="en-GB"/>
        </w:rPr>
        <w:t>2022;</w:t>
      </w:r>
      <w:r w:rsidR="00987B49" w:rsidRPr="002757B4">
        <w:rPr>
          <w:rFonts w:ascii="Times New Roman" w:eastAsia="Times New Roman" w:hAnsi="Times New Roman" w:cs="Times New Roman"/>
          <w:color w:val="333333"/>
          <w:sz w:val="24"/>
          <w:szCs w:val="24"/>
          <w:lang w:eastAsia="en-GB"/>
        </w:rPr>
        <w:t xml:space="preserve"> </w:t>
      </w:r>
      <w:r w:rsidRPr="006001D8">
        <w:rPr>
          <w:rFonts w:ascii="Times New Roman" w:eastAsia="Times New Roman" w:hAnsi="Times New Roman" w:cs="Times New Roman"/>
          <w:b/>
          <w:bCs/>
          <w:color w:val="333333"/>
          <w:sz w:val="24"/>
          <w:szCs w:val="24"/>
          <w:lang w:eastAsia="en-GB"/>
        </w:rPr>
        <w:t>12:</w:t>
      </w:r>
      <w:r w:rsidRPr="006001D8">
        <w:rPr>
          <w:rFonts w:ascii="Times New Roman" w:eastAsia="Times New Roman" w:hAnsi="Times New Roman" w:cs="Times New Roman"/>
          <w:color w:val="333333"/>
          <w:sz w:val="24"/>
          <w:szCs w:val="24"/>
          <w:lang w:eastAsia="en-GB"/>
        </w:rPr>
        <w:t>e062361. </w:t>
      </w:r>
      <w:r w:rsidR="00987B49" w:rsidRPr="002757B4">
        <w:rPr>
          <w:rFonts w:ascii="Times New Roman" w:eastAsia="Times New Roman" w:hAnsi="Times New Roman" w:cs="Times New Roman"/>
          <w:color w:val="333333"/>
          <w:sz w:val="24"/>
          <w:szCs w:val="24"/>
          <w:lang w:eastAsia="en-GB"/>
        </w:rPr>
        <w:t>D</w:t>
      </w:r>
      <w:r w:rsidRPr="006001D8">
        <w:rPr>
          <w:rFonts w:ascii="Times New Roman" w:eastAsia="Times New Roman" w:hAnsi="Times New Roman" w:cs="Times New Roman"/>
          <w:color w:val="333333"/>
          <w:sz w:val="24"/>
          <w:szCs w:val="24"/>
          <w:lang w:eastAsia="en-GB"/>
        </w:rPr>
        <w:t>oi: 10.1136/bmjopen-2022-062361</w:t>
      </w:r>
    </w:p>
    <w:p w14:paraId="77992BDD" w14:textId="77777777" w:rsidR="008527EF" w:rsidRPr="002757B4" w:rsidRDefault="008527EF" w:rsidP="002757B4">
      <w:pPr>
        <w:spacing w:line="480" w:lineRule="auto"/>
        <w:rPr>
          <w:rFonts w:ascii="Times New Roman" w:hAnsi="Times New Roman" w:cs="Times New Roman"/>
          <w:sz w:val="24"/>
          <w:szCs w:val="24"/>
        </w:rPr>
      </w:pPr>
    </w:p>
    <w:p w14:paraId="0A891C00" w14:textId="77777777" w:rsidR="006B3F7A" w:rsidRPr="00610483" w:rsidRDefault="006B3F7A" w:rsidP="00610483">
      <w:pPr>
        <w:spacing w:line="480" w:lineRule="auto"/>
        <w:rPr>
          <w:rFonts w:ascii="Times New Roman" w:hAnsi="Times New Roman" w:cs="Times New Roman"/>
          <w:sz w:val="24"/>
          <w:szCs w:val="24"/>
        </w:rPr>
      </w:pPr>
    </w:p>
    <w:p w14:paraId="0FC5D48E" w14:textId="77777777" w:rsidR="00FD1EA1" w:rsidRPr="00610483" w:rsidRDefault="00FD1EA1" w:rsidP="00610483">
      <w:pPr>
        <w:pStyle w:val="Heading1"/>
        <w:spacing w:line="480" w:lineRule="auto"/>
        <w:rPr>
          <w:rFonts w:ascii="Times New Roman" w:hAnsi="Times New Roman" w:cs="Times New Roman"/>
          <w:b w:val="0"/>
          <w:bCs w:val="0"/>
          <w:sz w:val="24"/>
          <w:szCs w:val="24"/>
        </w:rPr>
      </w:pPr>
    </w:p>
    <w:p w14:paraId="33780655" w14:textId="77777777" w:rsidR="00FD1EA1" w:rsidRPr="00610483" w:rsidRDefault="00FD1EA1" w:rsidP="00610483">
      <w:pPr>
        <w:spacing w:line="480" w:lineRule="auto"/>
        <w:rPr>
          <w:rFonts w:ascii="Times New Roman" w:hAnsi="Times New Roman" w:cs="Times New Roman"/>
          <w:sz w:val="24"/>
          <w:szCs w:val="24"/>
        </w:rPr>
      </w:pPr>
    </w:p>
    <w:p w14:paraId="07FDF086" w14:textId="77777777" w:rsidR="00711B03" w:rsidRPr="00610483" w:rsidRDefault="00711B03" w:rsidP="00610483">
      <w:pPr>
        <w:spacing w:line="480" w:lineRule="auto"/>
        <w:rPr>
          <w:rFonts w:ascii="Times New Roman" w:hAnsi="Times New Roman" w:cs="Times New Roman"/>
          <w:sz w:val="24"/>
          <w:szCs w:val="24"/>
        </w:rPr>
      </w:pPr>
    </w:p>
    <w:p w14:paraId="2311F5A8" w14:textId="77777777" w:rsidR="00711B03" w:rsidRPr="00610483" w:rsidRDefault="00711B03" w:rsidP="00610483">
      <w:pPr>
        <w:spacing w:line="480" w:lineRule="auto"/>
        <w:rPr>
          <w:rFonts w:ascii="Times New Roman" w:hAnsi="Times New Roman" w:cs="Times New Roman"/>
          <w:sz w:val="24"/>
          <w:szCs w:val="24"/>
        </w:rPr>
      </w:pPr>
    </w:p>
    <w:p w14:paraId="2223FAC5" w14:textId="77777777" w:rsidR="00711B03" w:rsidRPr="00610483" w:rsidRDefault="00711B03" w:rsidP="00610483">
      <w:pPr>
        <w:spacing w:line="480" w:lineRule="auto"/>
        <w:rPr>
          <w:rFonts w:ascii="Times New Roman" w:hAnsi="Times New Roman" w:cs="Times New Roman"/>
          <w:sz w:val="24"/>
          <w:szCs w:val="24"/>
        </w:rPr>
      </w:pPr>
    </w:p>
    <w:p w14:paraId="373E750C" w14:textId="77777777" w:rsidR="00711B03" w:rsidRPr="00610483" w:rsidRDefault="00711B03" w:rsidP="00610483">
      <w:pPr>
        <w:spacing w:line="480" w:lineRule="auto"/>
        <w:rPr>
          <w:rFonts w:ascii="Times New Roman" w:hAnsi="Times New Roman" w:cs="Times New Roman"/>
          <w:sz w:val="24"/>
          <w:szCs w:val="24"/>
        </w:rPr>
      </w:pPr>
    </w:p>
    <w:p w14:paraId="1C53F0F6" w14:textId="77777777" w:rsidR="00711B03" w:rsidRDefault="00711B03" w:rsidP="00FD1EA1"/>
    <w:p w14:paraId="03FB9019" w14:textId="77777777" w:rsidR="00711B03" w:rsidRDefault="00711B03" w:rsidP="00FD1EA1"/>
    <w:p w14:paraId="352A36F8" w14:textId="77777777" w:rsidR="009D0EAC" w:rsidRDefault="009D0EAC" w:rsidP="009D0EAC"/>
    <w:p w14:paraId="73E97102" w14:textId="77777777" w:rsidR="009C54AF" w:rsidRDefault="009C54AF" w:rsidP="009D0EAC"/>
    <w:p w14:paraId="105A645A" w14:textId="77777777" w:rsidR="009C54AF" w:rsidRDefault="009C54AF" w:rsidP="009D0EAC"/>
    <w:p w14:paraId="4310076D" w14:textId="77777777" w:rsidR="009C54AF" w:rsidRDefault="009C54AF" w:rsidP="009D0EAC"/>
    <w:p w14:paraId="26B7803C" w14:textId="77777777" w:rsidR="009C54AF" w:rsidRPr="009D0EAC" w:rsidRDefault="009C54AF" w:rsidP="009D0EAC"/>
    <w:p w14:paraId="1E97ADF1" w14:textId="27C9CAE4" w:rsidR="00FD1EA1" w:rsidRDefault="00FD1EA1" w:rsidP="00FD1EA1">
      <w:pPr>
        <w:pStyle w:val="Heading1"/>
        <w:rPr>
          <w:rFonts w:ascii="Times New Roman" w:hAnsi="Times New Roman" w:cs="Times New Roman"/>
          <w:sz w:val="32"/>
          <w:szCs w:val="32"/>
        </w:rPr>
      </w:pPr>
      <w:bookmarkStart w:id="330" w:name="_Toc151020558"/>
      <w:r w:rsidRPr="00076F53">
        <w:rPr>
          <w:rFonts w:ascii="Times New Roman" w:hAnsi="Times New Roman" w:cs="Times New Roman"/>
          <w:sz w:val="32"/>
          <w:szCs w:val="32"/>
        </w:rPr>
        <w:lastRenderedPageBreak/>
        <w:t>Appendix 2: Patient information leaflet</w:t>
      </w:r>
      <w:bookmarkEnd w:id="330"/>
      <w:r w:rsidRPr="00076F53">
        <w:rPr>
          <w:rFonts w:ascii="Times New Roman" w:hAnsi="Times New Roman" w:cs="Times New Roman"/>
          <w:sz w:val="32"/>
          <w:szCs w:val="32"/>
        </w:rPr>
        <w:t xml:space="preserve"> </w:t>
      </w:r>
    </w:p>
    <w:p w14:paraId="2DD1D646" w14:textId="77777777" w:rsidR="00711B03" w:rsidRDefault="00711B03" w:rsidP="00FD1EA1">
      <w:pPr>
        <w:jc w:val="center"/>
        <w:rPr>
          <w:rFonts w:ascii="Arial" w:hAnsi="Arial" w:cs="Arial"/>
          <w:b/>
          <w:u w:val="single"/>
        </w:rPr>
      </w:pPr>
    </w:p>
    <w:p w14:paraId="3BF8BFD5" w14:textId="4866E0FB" w:rsidR="00FD1EA1" w:rsidRDefault="00FD1EA1" w:rsidP="00FD1EA1">
      <w:pPr>
        <w:jc w:val="center"/>
        <w:rPr>
          <w:rFonts w:ascii="Arial" w:hAnsi="Arial" w:cs="Arial"/>
          <w:b/>
          <w:u w:val="single"/>
        </w:rPr>
      </w:pPr>
      <w:r>
        <w:rPr>
          <w:rFonts w:ascii="Arial" w:hAnsi="Arial" w:cs="Arial"/>
          <w:b/>
          <w:u w:val="single"/>
        </w:rPr>
        <w:t>ANTIBODY RESPONSES TO INFLIXIMAB TREATMENT IN PATIENTS WITH INFLAMMATORY BOWEL DISEASE (ULCERATIVE COLITIS AND CROHN’S DISEASE)</w:t>
      </w:r>
    </w:p>
    <w:p w14:paraId="50E41A95" w14:textId="77777777" w:rsidR="00FD1EA1" w:rsidRDefault="00FD1EA1" w:rsidP="00FD1EA1">
      <w:pPr>
        <w:jc w:val="center"/>
        <w:rPr>
          <w:rFonts w:ascii="Arial" w:hAnsi="Arial" w:cs="Arial"/>
        </w:rPr>
      </w:pPr>
    </w:p>
    <w:p w14:paraId="59DC958D" w14:textId="77777777" w:rsidR="00FD1EA1" w:rsidRPr="00834DDB" w:rsidRDefault="00FD1EA1" w:rsidP="00FD1EA1">
      <w:pPr>
        <w:jc w:val="center"/>
        <w:rPr>
          <w:rFonts w:ascii="Arial" w:hAnsi="Arial" w:cs="Arial"/>
          <w:b/>
        </w:rPr>
      </w:pPr>
      <w:r>
        <w:rPr>
          <w:rFonts w:ascii="Arial" w:hAnsi="Arial" w:cs="Arial"/>
          <w:b/>
        </w:rPr>
        <w:t>PATIENT INFORMATION SHEET</w:t>
      </w:r>
    </w:p>
    <w:p w14:paraId="7E6230BD" w14:textId="77777777" w:rsidR="00FD1EA1" w:rsidRDefault="00FD1EA1" w:rsidP="00FD1EA1">
      <w:pPr>
        <w:jc w:val="center"/>
        <w:rPr>
          <w:rFonts w:ascii="Arial" w:hAnsi="Arial" w:cs="Arial"/>
        </w:rPr>
      </w:pPr>
    </w:p>
    <w:p w14:paraId="17F4BFCB" w14:textId="77777777" w:rsidR="00FD1EA1" w:rsidRDefault="00FD1EA1" w:rsidP="00FD1EA1">
      <w:pPr>
        <w:rPr>
          <w:rFonts w:ascii="Arial" w:hAnsi="Arial" w:cs="Arial"/>
          <w:i/>
        </w:rPr>
      </w:pPr>
      <w:r>
        <w:rPr>
          <w:rFonts w:ascii="Arial" w:hAnsi="Arial" w:cs="Arial"/>
          <w:i/>
        </w:rPr>
        <w:t xml:space="preserve">You are being invited to take part in a research study. Before you decide it is important for you to understand why the research is being done and what it will involve. </w:t>
      </w:r>
    </w:p>
    <w:p w14:paraId="236E8F69" w14:textId="77777777" w:rsidR="00FD1EA1" w:rsidRDefault="00FD1EA1" w:rsidP="00FD1EA1">
      <w:pPr>
        <w:rPr>
          <w:rFonts w:ascii="Arial" w:hAnsi="Arial" w:cs="Arial"/>
          <w:i/>
        </w:rPr>
      </w:pPr>
    </w:p>
    <w:p w14:paraId="63807F9E" w14:textId="77777777" w:rsidR="00FD1EA1" w:rsidRDefault="00FD1EA1" w:rsidP="00FD1EA1">
      <w:pPr>
        <w:rPr>
          <w:rFonts w:ascii="Arial" w:hAnsi="Arial" w:cs="Arial"/>
          <w:i/>
        </w:rPr>
      </w:pPr>
      <w:r>
        <w:rPr>
          <w:rFonts w:ascii="Arial" w:hAnsi="Arial" w:cs="Arial"/>
          <w:i/>
        </w:rPr>
        <w:t>Please take time to read the following information carefully and discuss it with friends, relatives and your GP if you wish. Ask us if there is anything that is not clear or if you would like more information. Take time to decide whether or not you wish to take part.</w:t>
      </w:r>
    </w:p>
    <w:p w14:paraId="53ACAD62" w14:textId="77777777" w:rsidR="00FD1EA1" w:rsidRDefault="00FD1EA1" w:rsidP="00FD1EA1">
      <w:pPr>
        <w:rPr>
          <w:rFonts w:ascii="Arial" w:hAnsi="Arial" w:cs="Arial"/>
          <w:i/>
        </w:rPr>
      </w:pPr>
    </w:p>
    <w:p w14:paraId="22847267" w14:textId="77777777" w:rsidR="00FD1EA1" w:rsidRDefault="00FD1EA1" w:rsidP="00FD1EA1">
      <w:pPr>
        <w:rPr>
          <w:rFonts w:ascii="Arial" w:hAnsi="Arial" w:cs="Arial"/>
          <w:i/>
        </w:rPr>
      </w:pPr>
      <w:r>
        <w:rPr>
          <w:rFonts w:ascii="Arial" w:hAnsi="Arial" w:cs="Arial"/>
          <w:i/>
        </w:rPr>
        <w:t>Consumers for Ethics in Research (CERES) publish a leaflet entitled ‘Medical Research and You’. This leaflet gives more information about medical research and looks at some questions you may want to ask. A copy may be obtained from CERES, PO Box 1365, London N16 0BW.</w:t>
      </w:r>
    </w:p>
    <w:p w14:paraId="4E259F2D" w14:textId="77777777" w:rsidR="00FD1EA1" w:rsidRDefault="00FD1EA1" w:rsidP="00FD1EA1">
      <w:pPr>
        <w:rPr>
          <w:rFonts w:ascii="Arial" w:hAnsi="Arial" w:cs="Arial"/>
          <w:b/>
        </w:rPr>
      </w:pPr>
    </w:p>
    <w:p w14:paraId="14585F50" w14:textId="77777777" w:rsidR="00FD1EA1" w:rsidRDefault="00FD1EA1" w:rsidP="00FD1EA1">
      <w:pPr>
        <w:rPr>
          <w:rFonts w:ascii="Arial" w:hAnsi="Arial" w:cs="Arial"/>
          <w:b/>
        </w:rPr>
      </w:pPr>
      <w:r>
        <w:rPr>
          <w:rFonts w:ascii="Arial" w:hAnsi="Arial" w:cs="Arial"/>
          <w:b/>
        </w:rPr>
        <w:t>What is the purpose of the study?</w:t>
      </w:r>
    </w:p>
    <w:p w14:paraId="1D4D2B00" w14:textId="77777777" w:rsidR="00FD1EA1" w:rsidRDefault="00FD1EA1" w:rsidP="00FD1EA1">
      <w:pPr>
        <w:rPr>
          <w:rFonts w:ascii="Arial" w:hAnsi="Arial" w:cs="Arial"/>
        </w:rPr>
      </w:pPr>
    </w:p>
    <w:p w14:paraId="3477558D" w14:textId="77777777" w:rsidR="00FD1EA1" w:rsidRDefault="00FD1EA1" w:rsidP="00FD1EA1">
      <w:pPr>
        <w:rPr>
          <w:rFonts w:ascii="Arial" w:hAnsi="Arial" w:cs="Arial"/>
        </w:rPr>
      </w:pPr>
      <w:r>
        <w:rPr>
          <w:rFonts w:ascii="Arial" w:hAnsi="Arial" w:cs="Arial"/>
        </w:rPr>
        <w:t xml:space="preserve">You have been approached because you are about to start – or have already started treatment – with a medication called infliximab. This drug has had a significant benefit in the treatment of patients with inflammatory bowel disease, but its benefit is sometimes limited by the body producing antibodies against it, which may prevent it from working as well, or lead to reactions to the drug. There is little information about the different types of antibodies that the body can produce and the significance of these different types. We hope that identifying these types of antibody will help to identify patients where we can adjust the treatment more effectively and perhaps design new drugs which cause fewer antibodies. It is also a way of monitoring antibodies against the new biosimilar forms of infliximab. </w:t>
      </w:r>
    </w:p>
    <w:p w14:paraId="6119BEB0" w14:textId="77777777" w:rsidR="00FD1EA1" w:rsidRDefault="00FD1EA1" w:rsidP="00FD1EA1">
      <w:pPr>
        <w:rPr>
          <w:rFonts w:ascii="Arial" w:hAnsi="Arial" w:cs="Arial"/>
        </w:rPr>
      </w:pPr>
    </w:p>
    <w:p w14:paraId="33B5562E" w14:textId="77777777" w:rsidR="00FD1EA1" w:rsidRDefault="00FD1EA1" w:rsidP="00FD1EA1">
      <w:pPr>
        <w:rPr>
          <w:rFonts w:ascii="Arial" w:hAnsi="Arial" w:cs="Arial"/>
        </w:rPr>
      </w:pPr>
      <w:r>
        <w:rPr>
          <w:rFonts w:ascii="Arial" w:hAnsi="Arial" w:cs="Arial"/>
        </w:rPr>
        <w:t xml:space="preserve">This is a collaborative study between the IBD team in Sheffield and the National Institute for Biological Standards and Controls in London. </w:t>
      </w:r>
    </w:p>
    <w:p w14:paraId="4EB8004C" w14:textId="77777777" w:rsidR="00FD1EA1" w:rsidRDefault="00FD1EA1" w:rsidP="00FD1EA1">
      <w:pPr>
        <w:rPr>
          <w:rFonts w:ascii="Arial" w:hAnsi="Arial" w:cs="Arial"/>
        </w:rPr>
      </w:pPr>
    </w:p>
    <w:p w14:paraId="03F0386F" w14:textId="77777777" w:rsidR="00FD1EA1" w:rsidRDefault="00FD1EA1" w:rsidP="00FD1EA1">
      <w:pPr>
        <w:rPr>
          <w:rFonts w:ascii="Arial" w:hAnsi="Arial" w:cs="Arial"/>
          <w:b/>
        </w:rPr>
      </w:pPr>
      <w:r>
        <w:rPr>
          <w:rFonts w:ascii="Arial" w:hAnsi="Arial" w:cs="Arial"/>
          <w:b/>
        </w:rPr>
        <w:t>What will be involved if we agree to take part in the study?</w:t>
      </w:r>
    </w:p>
    <w:p w14:paraId="31B19F1D" w14:textId="77777777" w:rsidR="00FD1EA1" w:rsidRDefault="00FD1EA1" w:rsidP="00FD1EA1">
      <w:pPr>
        <w:rPr>
          <w:rFonts w:ascii="Arial" w:hAnsi="Arial" w:cs="Arial"/>
        </w:rPr>
      </w:pPr>
    </w:p>
    <w:p w14:paraId="0E969E38" w14:textId="1790272E" w:rsidR="00282E27" w:rsidRPr="00282E27" w:rsidRDefault="00FD1EA1" w:rsidP="00FD1EA1">
      <w:pPr>
        <w:rPr>
          <w:rFonts w:ascii="Arial" w:hAnsi="Arial" w:cs="Arial"/>
        </w:rPr>
      </w:pPr>
      <w:r>
        <w:rPr>
          <w:rFonts w:ascii="Arial" w:hAnsi="Arial" w:cs="Arial"/>
        </w:rPr>
        <w:t xml:space="preserve">When you attend for each of your infliximab infusions, we would like to take additional samples of blood, which will be used to measure the different types of antibodies using special laboratory techniques at the National Institute for Biological Standards and Controls in London. Some of the blood would therefore need to be transported there. The laboratory there has all </w:t>
      </w:r>
      <w:r>
        <w:rPr>
          <w:rFonts w:ascii="Arial" w:hAnsi="Arial" w:cs="Arial"/>
        </w:rPr>
        <w:lastRenderedPageBreak/>
        <w:t xml:space="preserve">the appropriate accreditation for this form of research. We would take up to an </w:t>
      </w:r>
      <w:r w:rsidRPr="007D4FB9">
        <w:rPr>
          <w:rFonts w:ascii="Arial" w:hAnsi="Arial" w:cs="Arial"/>
        </w:rPr>
        <w:t>additional 50ml (5 tubes) of blood</w:t>
      </w:r>
      <w:r>
        <w:rPr>
          <w:rFonts w:ascii="Arial" w:hAnsi="Arial" w:cs="Arial"/>
        </w:rPr>
        <w:t>. Blood samples will be taken at baseline, week 2, week 6 then every 8 weeks for two years. This coincides with your standard hospital appointments. Over the course of full participation (2 years) this would mean a total of up to an additional 700ml of blood samples would be taken</w:t>
      </w:r>
      <w:r w:rsidRPr="00245A1D">
        <w:rPr>
          <w:rFonts w:ascii="Arial" w:hAnsi="Arial" w:cs="Arial"/>
        </w:rPr>
        <w:t>. If you showed very high levels of antibody to infliximab in the blood, we might also approach you again, at a later date, to ask for a further sample of blood – as it is these antibodies that we are particularly keen to study. Samples of blood and cells isolated may be stored for future assessment using these techniques.</w:t>
      </w:r>
    </w:p>
    <w:p w14:paraId="6253DC3C" w14:textId="77777777" w:rsidR="00282E27" w:rsidRDefault="00282E27" w:rsidP="00FD1EA1">
      <w:pPr>
        <w:rPr>
          <w:rFonts w:ascii="Arial" w:hAnsi="Arial" w:cs="Arial"/>
          <w:b/>
        </w:rPr>
      </w:pPr>
    </w:p>
    <w:p w14:paraId="46B04943" w14:textId="103BD480" w:rsidR="00FD1EA1" w:rsidRDefault="00FD1EA1" w:rsidP="00FD1EA1">
      <w:pPr>
        <w:rPr>
          <w:rFonts w:ascii="Arial" w:hAnsi="Arial" w:cs="Arial"/>
          <w:b/>
        </w:rPr>
      </w:pPr>
      <w:r>
        <w:rPr>
          <w:rFonts w:ascii="Arial" w:hAnsi="Arial" w:cs="Arial"/>
          <w:b/>
        </w:rPr>
        <w:t>Are there any risks to taking part?</w:t>
      </w:r>
    </w:p>
    <w:p w14:paraId="73F760DC" w14:textId="77777777" w:rsidR="00FD1EA1" w:rsidRDefault="00FD1EA1" w:rsidP="00FD1EA1">
      <w:pPr>
        <w:rPr>
          <w:rFonts w:ascii="Arial" w:hAnsi="Arial" w:cs="Arial"/>
          <w:b/>
        </w:rPr>
      </w:pPr>
    </w:p>
    <w:p w14:paraId="744BC9BC" w14:textId="77777777" w:rsidR="00FD1EA1" w:rsidRDefault="00FD1EA1" w:rsidP="00FD1EA1">
      <w:pPr>
        <w:rPr>
          <w:rFonts w:ascii="Arial" w:hAnsi="Arial" w:cs="Arial"/>
        </w:rPr>
      </w:pPr>
      <w:r>
        <w:rPr>
          <w:rFonts w:ascii="Arial" w:hAnsi="Arial" w:cs="Arial"/>
        </w:rPr>
        <w:t>We don’t think that there is any risk over and above the risks from the blood samples you have taken at the time of the infusion anyway. The amount of blood taken would not carry a significant risk.</w:t>
      </w:r>
    </w:p>
    <w:p w14:paraId="1A872E34" w14:textId="77777777" w:rsidR="00FD1EA1" w:rsidRDefault="00FD1EA1" w:rsidP="00FD1EA1">
      <w:pPr>
        <w:rPr>
          <w:rFonts w:ascii="Arial" w:hAnsi="Arial" w:cs="Arial"/>
        </w:rPr>
      </w:pPr>
    </w:p>
    <w:p w14:paraId="2325D412" w14:textId="77777777" w:rsidR="00FD1EA1" w:rsidRDefault="00FD1EA1" w:rsidP="00FD1EA1">
      <w:pPr>
        <w:rPr>
          <w:rFonts w:ascii="Arial" w:hAnsi="Arial" w:cs="Arial"/>
          <w:b/>
        </w:rPr>
      </w:pPr>
      <w:r>
        <w:rPr>
          <w:rFonts w:ascii="Arial" w:hAnsi="Arial" w:cs="Arial"/>
          <w:b/>
        </w:rPr>
        <w:t xml:space="preserve">When will the samples be taken? </w:t>
      </w:r>
    </w:p>
    <w:p w14:paraId="7D45843C" w14:textId="77777777" w:rsidR="00FD1EA1" w:rsidRDefault="00FD1EA1" w:rsidP="00FD1EA1">
      <w:pPr>
        <w:rPr>
          <w:rFonts w:ascii="Arial" w:hAnsi="Arial" w:cs="Arial"/>
          <w:b/>
        </w:rPr>
      </w:pPr>
    </w:p>
    <w:p w14:paraId="6EEEFFDC" w14:textId="77777777" w:rsidR="00FD1EA1" w:rsidRDefault="00FD1EA1" w:rsidP="00FD1EA1">
      <w:pPr>
        <w:rPr>
          <w:rFonts w:ascii="Arial" w:hAnsi="Arial" w:cs="Arial"/>
        </w:rPr>
      </w:pPr>
      <w:r>
        <w:rPr>
          <w:rFonts w:ascii="Arial" w:hAnsi="Arial" w:cs="Arial"/>
        </w:rPr>
        <w:t>These would be taken at the same time as the samples that we usually take when you attend for you infliximab infusion. No additional needle or cannula would be needed.</w:t>
      </w:r>
    </w:p>
    <w:p w14:paraId="61DA83BF" w14:textId="77777777" w:rsidR="00FD1EA1" w:rsidRDefault="00FD1EA1" w:rsidP="00FD1EA1">
      <w:pPr>
        <w:rPr>
          <w:rFonts w:ascii="Arial" w:hAnsi="Arial" w:cs="Arial"/>
        </w:rPr>
      </w:pPr>
    </w:p>
    <w:p w14:paraId="16FD14B9" w14:textId="77777777" w:rsidR="00FD1EA1" w:rsidRDefault="00FD1EA1" w:rsidP="00FD1EA1">
      <w:pPr>
        <w:rPr>
          <w:rFonts w:ascii="Arial" w:hAnsi="Arial" w:cs="Arial"/>
          <w:b/>
        </w:rPr>
      </w:pPr>
      <w:r>
        <w:rPr>
          <w:rFonts w:ascii="Arial" w:hAnsi="Arial" w:cs="Arial"/>
          <w:b/>
        </w:rPr>
        <w:t>Do I have to take part in the study?</w:t>
      </w:r>
    </w:p>
    <w:p w14:paraId="0610CAFD" w14:textId="77777777" w:rsidR="00FD1EA1" w:rsidRDefault="00FD1EA1" w:rsidP="00FD1EA1">
      <w:pPr>
        <w:rPr>
          <w:rFonts w:ascii="Arial" w:hAnsi="Arial" w:cs="Arial"/>
        </w:rPr>
      </w:pPr>
    </w:p>
    <w:p w14:paraId="4D47EDDA" w14:textId="77777777" w:rsidR="00FD1EA1" w:rsidRDefault="00FD1EA1" w:rsidP="00FD1EA1">
      <w:pPr>
        <w:rPr>
          <w:rFonts w:ascii="Arial" w:hAnsi="Arial" w:cs="Arial"/>
        </w:rPr>
      </w:pPr>
      <w:r>
        <w:rPr>
          <w:rFonts w:ascii="Arial" w:hAnsi="Arial" w:cs="Arial"/>
          <w:b/>
        </w:rPr>
        <w:t>NO.</w:t>
      </w:r>
      <w:r>
        <w:rPr>
          <w:rFonts w:ascii="Arial" w:hAnsi="Arial" w:cs="Arial"/>
        </w:rPr>
        <w:t xml:space="preserve">  You are free to refuse to join the study and may withdraw at any time.  You will receive the same quality of care at the hospital whether you join the study or not.</w:t>
      </w:r>
    </w:p>
    <w:p w14:paraId="5B7CA8E6" w14:textId="77777777" w:rsidR="00FD1EA1" w:rsidRDefault="00FD1EA1" w:rsidP="00FD1EA1">
      <w:pPr>
        <w:rPr>
          <w:rFonts w:ascii="Arial" w:hAnsi="Arial" w:cs="Arial"/>
        </w:rPr>
      </w:pPr>
    </w:p>
    <w:p w14:paraId="36F24116" w14:textId="77777777" w:rsidR="00FD1EA1" w:rsidRDefault="00FD1EA1" w:rsidP="00FD1EA1">
      <w:pPr>
        <w:rPr>
          <w:rFonts w:ascii="Arial" w:hAnsi="Arial" w:cs="Arial"/>
          <w:b/>
        </w:rPr>
      </w:pPr>
      <w:r>
        <w:rPr>
          <w:rFonts w:ascii="Arial" w:hAnsi="Arial" w:cs="Arial"/>
          <w:b/>
        </w:rPr>
        <w:t>What other information will be collected in the study?</w:t>
      </w:r>
    </w:p>
    <w:p w14:paraId="06B7C72E" w14:textId="77777777" w:rsidR="00FD1EA1" w:rsidRDefault="00FD1EA1" w:rsidP="00FD1EA1">
      <w:pPr>
        <w:rPr>
          <w:rFonts w:ascii="Arial" w:hAnsi="Arial" w:cs="Arial"/>
        </w:rPr>
      </w:pPr>
    </w:p>
    <w:p w14:paraId="5360EF8D" w14:textId="77777777" w:rsidR="00FD1EA1" w:rsidRDefault="00FD1EA1" w:rsidP="00FD1EA1">
      <w:pPr>
        <w:rPr>
          <w:rFonts w:ascii="Arial" w:hAnsi="Arial" w:cs="Arial"/>
        </w:rPr>
      </w:pPr>
      <w:r>
        <w:rPr>
          <w:rFonts w:ascii="Arial" w:hAnsi="Arial" w:cs="Arial"/>
        </w:rPr>
        <w:t>In addition, and with your agreement, a member of the research team will record details of your condition, your current and previous medication and any reactions to the drug, so that we can relate the presence of antibodies to your overall condition.</w:t>
      </w:r>
    </w:p>
    <w:p w14:paraId="48D2C4C5" w14:textId="77777777" w:rsidR="00FD1EA1" w:rsidRDefault="00FD1EA1" w:rsidP="00FD1EA1">
      <w:pPr>
        <w:rPr>
          <w:rFonts w:ascii="Arial" w:hAnsi="Arial" w:cs="Arial"/>
        </w:rPr>
      </w:pPr>
    </w:p>
    <w:p w14:paraId="58D39D85" w14:textId="77777777" w:rsidR="00FD1EA1" w:rsidRDefault="00FD1EA1" w:rsidP="00FD1EA1">
      <w:pPr>
        <w:rPr>
          <w:rFonts w:ascii="Arial" w:hAnsi="Arial" w:cs="Arial"/>
          <w:b/>
        </w:rPr>
      </w:pPr>
      <w:r>
        <w:rPr>
          <w:rFonts w:ascii="Arial" w:hAnsi="Arial" w:cs="Arial"/>
          <w:b/>
        </w:rPr>
        <w:t>Will there be effects on my treatment?</w:t>
      </w:r>
    </w:p>
    <w:p w14:paraId="494EDCFE" w14:textId="77777777" w:rsidR="00FD1EA1" w:rsidRDefault="00FD1EA1" w:rsidP="00FD1EA1">
      <w:pPr>
        <w:rPr>
          <w:rFonts w:ascii="Arial" w:hAnsi="Arial" w:cs="Arial"/>
        </w:rPr>
      </w:pPr>
    </w:p>
    <w:p w14:paraId="7180E8C4" w14:textId="77777777" w:rsidR="00FD1EA1" w:rsidRDefault="00FD1EA1" w:rsidP="00FD1EA1">
      <w:pPr>
        <w:rPr>
          <w:rFonts w:ascii="Arial" w:hAnsi="Arial" w:cs="Arial"/>
        </w:rPr>
      </w:pPr>
      <w:r>
        <w:rPr>
          <w:rFonts w:ascii="Arial" w:hAnsi="Arial" w:cs="Arial"/>
          <w:b/>
        </w:rPr>
        <w:t>No</w:t>
      </w:r>
      <w:r>
        <w:rPr>
          <w:rFonts w:ascii="Arial" w:hAnsi="Arial" w:cs="Arial"/>
        </w:rPr>
        <w:t>, your participation in the study is not connected to your treatment in any way.</w:t>
      </w:r>
    </w:p>
    <w:p w14:paraId="796EA800" w14:textId="77777777" w:rsidR="00FD1EA1" w:rsidRDefault="00FD1EA1" w:rsidP="00FD1EA1">
      <w:pPr>
        <w:rPr>
          <w:rFonts w:ascii="Arial" w:hAnsi="Arial" w:cs="Arial"/>
        </w:rPr>
      </w:pPr>
    </w:p>
    <w:p w14:paraId="2530117F" w14:textId="77777777" w:rsidR="00FD1EA1" w:rsidRDefault="00FD1EA1" w:rsidP="00FD1EA1">
      <w:pPr>
        <w:rPr>
          <w:rFonts w:ascii="Arial" w:hAnsi="Arial" w:cs="Arial"/>
          <w:b/>
        </w:rPr>
      </w:pPr>
      <w:r>
        <w:rPr>
          <w:rFonts w:ascii="Arial" w:hAnsi="Arial" w:cs="Arial"/>
          <w:b/>
        </w:rPr>
        <w:t>Will the information obtained in the study be confidential?</w:t>
      </w:r>
    </w:p>
    <w:p w14:paraId="401BF49A" w14:textId="77777777" w:rsidR="00FD1EA1" w:rsidRDefault="00FD1EA1" w:rsidP="00FD1EA1">
      <w:pPr>
        <w:rPr>
          <w:rFonts w:ascii="Arial" w:hAnsi="Arial" w:cs="Arial"/>
        </w:rPr>
      </w:pPr>
    </w:p>
    <w:p w14:paraId="0B838C05" w14:textId="77777777" w:rsidR="00FD1EA1" w:rsidRDefault="00FD1EA1" w:rsidP="00FD1EA1">
      <w:pPr>
        <w:rPr>
          <w:rFonts w:ascii="Arial" w:hAnsi="Arial" w:cs="Arial"/>
        </w:rPr>
      </w:pPr>
      <w:r>
        <w:rPr>
          <w:rFonts w:ascii="Arial" w:hAnsi="Arial" w:cs="Arial"/>
        </w:rPr>
        <w:lastRenderedPageBreak/>
        <w:t>Anything identified in the study will be recorded in confidence. No names will be mentioned in any reports of the study and care will be taken so that individuals cannot be identified from details in reports of the results of the study.</w:t>
      </w:r>
    </w:p>
    <w:p w14:paraId="509F47A6" w14:textId="77777777" w:rsidR="00FD1EA1" w:rsidRDefault="00FD1EA1" w:rsidP="00FD1EA1">
      <w:pPr>
        <w:rPr>
          <w:rFonts w:ascii="Arial" w:hAnsi="Arial" w:cs="Arial"/>
        </w:rPr>
      </w:pPr>
    </w:p>
    <w:p w14:paraId="098C8F1D" w14:textId="77777777" w:rsidR="00FD1EA1" w:rsidRDefault="00FD1EA1" w:rsidP="00FD1EA1">
      <w:pPr>
        <w:rPr>
          <w:rFonts w:ascii="Arial" w:hAnsi="Arial" w:cs="Arial"/>
          <w:b/>
        </w:rPr>
      </w:pPr>
      <w:r>
        <w:rPr>
          <w:rFonts w:ascii="Arial" w:hAnsi="Arial" w:cs="Arial"/>
          <w:b/>
        </w:rPr>
        <w:t>Will anyone else be told about my participation in the study?</w:t>
      </w:r>
    </w:p>
    <w:p w14:paraId="705AFCE9" w14:textId="77777777" w:rsidR="00FD1EA1" w:rsidRDefault="00FD1EA1" w:rsidP="00FD1EA1">
      <w:pPr>
        <w:rPr>
          <w:rFonts w:ascii="Arial" w:hAnsi="Arial" w:cs="Arial"/>
        </w:rPr>
      </w:pPr>
    </w:p>
    <w:p w14:paraId="6DA56B61" w14:textId="77777777" w:rsidR="00FD1EA1" w:rsidRPr="00282E27" w:rsidRDefault="00FD1EA1" w:rsidP="00FD1EA1">
      <w:pPr>
        <w:rPr>
          <w:rFonts w:ascii="Arial" w:hAnsi="Arial" w:cs="Arial"/>
          <w:bCs/>
        </w:rPr>
      </w:pPr>
      <w:r w:rsidRPr="00282E27">
        <w:rPr>
          <w:rFonts w:ascii="Arial" w:hAnsi="Arial" w:cs="Arial"/>
          <w:bCs/>
        </w:rPr>
        <w:t>No. No one will be informed of your participation in the study</w:t>
      </w:r>
    </w:p>
    <w:p w14:paraId="7E156870" w14:textId="77777777" w:rsidR="00FD1EA1" w:rsidRDefault="00FD1EA1" w:rsidP="00FD1EA1">
      <w:pPr>
        <w:rPr>
          <w:rFonts w:ascii="Arial" w:hAnsi="Arial" w:cs="Arial"/>
          <w:b/>
        </w:rPr>
      </w:pPr>
    </w:p>
    <w:p w14:paraId="165488CD" w14:textId="77777777" w:rsidR="00FD1EA1" w:rsidRDefault="00FD1EA1" w:rsidP="00FD1EA1">
      <w:pPr>
        <w:rPr>
          <w:rFonts w:ascii="Arial" w:hAnsi="Arial" w:cs="Arial"/>
          <w:b/>
        </w:rPr>
      </w:pPr>
      <w:r>
        <w:rPr>
          <w:rFonts w:ascii="Arial" w:hAnsi="Arial" w:cs="Arial"/>
          <w:b/>
        </w:rPr>
        <w:t>What if I wish to complain about the way in which this study has been conducted?</w:t>
      </w:r>
    </w:p>
    <w:p w14:paraId="4410DA8B" w14:textId="77777777" w:rsidR="00FD1EA1" w:rsidRDefault="00FD1EA1" w:rsidP="00FD1EA1">
      <w:pPr>
        <w:rPr>
          <w:rFonts w:ascii="Arial" w:hAnsi="Arial" w:cs="Arial"/>
          <w:b/>
        </w:rPr>
      </w:pPr>
    </w:p>
    <w:p w14:paraId="559CD791" w14:textId="77777777" w:rsidR="00FD1EA1" w:rsidRDefault="00FD1EA1" w:rsidP="00FD1EA1">
      <w:pPr>
        <w:rPr>
          <w:rFonts w:ascii="Arial" w:hAnsi="Arial" w:cs="Arial"/>
        </w:rPr>
      </w:pPr>
      <w:r>
        <w:rPr>
          <w:rFonts w:ascii="Arial" w:hAnsi="Arial" w:cs="Arial"/>
        </w:rPr>
        <w:t xml:space="preserve">If you have </w:t>
      </w:r>
      <w:r>
        <w:rPr>
          <w:rFonts w:ascii="Arial" w:hAnsi="Arial" w:cs="Arial"/>
          <w:i/>
        </w:rPr>
        <w:t>any</w:t>
      </w:r>
      <w:r>
        <w:rPr>
          <w:rFonts w:ascii="Arial" w:hAnsi="Arial" w:cs="Arial"/>
        </w:rPr>
        <w:t xml:space="preserve"> cause to complain about </w:t>
      </w:r>
      <w:r>
        <w:rPr>
          <w:rFonts w:ascii="Arial" w:hAnsi="Arial" w:cs="Arial"/>
          <w:i/>
        </w:rPr>
        <w:t>any</w:t>
      </w:r>
      <w:r>
        <w:rPr>
          <w:rFonts w:ascii="Arial" w:hAnsi="Arial" w:cs="Arial"/>
        </w:rPr>
        <w:t xml:space="preserve"> aspect of the way in which you have been approached or treated during the course of this study, the normal National Health Service complaints mechanisms are available to you and are not compromised in any way because you have taken part in a research study.</w:t>
      </w:r>
    </w:p>
    <w:p w14:paraId="7D06C40B" w14:textId="77777777" w:rsidR="00FD1EA1" w:rsidRDefault="00FD1EA1" w:rsidP="00FD1EA1">
      <w:pPr>
        <w:rPr>
          <w:rFonts w:ascii="Arial" w:hAnsi="Arial" w:cs="Arial"/>
        </w:rPr>
      </w:pPr>
    </w:p>
    <w:p w14:paraId="079BC932" w14:textId="77777777" w:rsidR="00FD1EA1" w:rsidRDefault="00FD1EA1" w:rsidP="00FD1EA1">
      <w:pPr>
        <w:rPr>
          <w:rFonts w:ascii="Arial" w:hAnsi="Arial" w:cs="Arial"/>
          <w:i/>
        </w:rPr>
      </w:pPr>
      <w:r>
        <w:rPr>
          <w:rFonts w:ascii="Arial" w:hAnsi="Arial" w:cs="Arial"/>
        </w:rPr>
        <w:t xml:space="preserve">If you have any complaints or concerns please contact the Principal Investigator: </w:t>
      </w:r>
      <w:r>
        <w:rPr>
          <w:rFonts w:ascii="Arial" w:hAnsi="Arial" w:cs="Arial"/>
          <w:i/>
        </w:rPr>
        <w:t>Professor Alan Lobo, Gastroenterology Unit, Royal Hallamshire Hospital, Sheffield.</w:t>
      </w:r>
    </w:p>
    <w:p w14:paraId="7E82258D" w14:textId="77777777" w:rsidR="00FD1EA1" w:rsidRDefault="00FD1EA1" w:rsidP="00FD1EA1">
      <w:pPr>
        <w:rPr>
          <w:rFonts w:ascii="Arial" w:hAnsi="Arial" w:cs="Arial"/>
        </w:rPr>
      </w:pPr>
    </w:p>
    <w:p w14:paraId="61E7A0BC" w14:textId="77777777" w:rsidR="00FD1EA1" w:rsidRDefault="00FD1EA1" w:rsidP="00FD1EA1">
      <w:pPr>
        <w:rPr>
          <w:rFonts w:ascii="Arial" w:hAnsi="Arial" w:cs="Arial"/>
        </w:rPr>
      </w:pPr>
      <w:r>
        <w:rPr>
          <w:rFonts w:ascii="Arial" w:hAnsi="Arial" w:cs="Arial"/>
        </w:rPr>
        <w:t xml:space="preserve">Otherwise you can use the normal hospital complaints procedure and contact the following person: </w:t>
      </w:r>
      <w:r>
        <w:rPr>
          <w:rFonts w:ascii="Arial" w:hAnsi="Arial" w:cs="Arial"/>
          <w:i/>
        </w:rPr>
        <w:t>(name and address of appropriate Trust officer).</w:t>
      </w:r>
    </w:p>
    <w:p w14:paraId="0E0E38B9" w14:textId="77777777" w:rsidR="00FD1EA1" w:rsidRDefault="00FD1EA1" w:rsidP="00FD1EA1">
      <w:pPr>
        <w:rPr>
          <w:rFonts w:ascii="Arial" w:hAnsi="Arial" w:cs="Arial"/>
        </w:rPr>
      </w:pPr>
    </w:p>
    <w:p w14:paraId="7AD5600F" w14:textId="77777777" w:rsidR="00282E27" w:rsidRDefault="00282E27" w:rsidP="00FD1EA1">
      <w:pPr>
        <w:rPr>
          <w:rFonts w:ascii="Arial" w:hAnsi="Arial" w:cs="Arial"/>
        </w:rPr>
      </w:pPr>
    </w:p>
    <w:p w14:paraId="76727135" w14:textId="77777777" w:rsidR="00282E27" w:rsidRDefault="00282E27" w:rsidP="00FD1EA1">
      <w:pPr>
        <w:rPr>
          <w:rFonts w:ascii="Arial" w:hAnsi="Arial" w:cs="Arial"/>
        </w:rPr>
      </w:pPr>
    </w:p>
    <w:p w14:paraId="566C26D8" w14:textId="77777777" w:rsidR="00282E27" w:rsidRDefault="00282E27" w:rsidP="00FD1EA1">
      <w:pPr>
        <w:rPr>
          <w:rFonts w:ascii="Arial" w:hAnsi="Arial" w:cs="Arial"/>
        </w:rPr>
      </w:pPr>
    </w:p>
    <w:p w14:paraId="3E6BEF42" w14:textId="77777777" w:rsidR="00282E27" w:rsidRDefault="00282E27" w:rsidP="00FD1EA1">
      <w:pPr>
        <w:rPr>
          <w:rFonts w:ascii="Arial" w:hAnsi="Arial" w:cs="Arial"/>
        </w:rPr>
      </w:pPr>
    </w:p>
    <w:p w14:paraId="56244E4B" w14:textId="77777777" w:rsidR="00282E27" w:rsidRDefault="00282E27" w:rsidP="00FD1EA1">
      <w:pPr>
        <w:rPr>
          <w:rFonts w:ascii="Arial" w:hAnsi="Arial" w:cs="Arial"/>
        </w:rPr>
      </w:pPr>
    </w:p>
    <w:p w14:paraId="2BAD2FFF" w14:textId="77777777" w:rsidR="00282E27" w:rsidRDefault="00282E27" w:rsidP="00FD1EA1">
      <w:pPr>
        <w:rPr>
          <w:rFonts w:ascii="Arial" w:hAnsi="Arial" w:cs="Arial"/>
        </w:rPr>
      </w:pPr>
    </w:p>
    <w:p w14:paraId="47F839A8" w14:textId="77777777" w:rsidR="00282E27" w:rsidRDefault="00282E27" w:rsidP="00FD1EA1">
      <w:pPr>
        <w:rPr>
          <w:rFonts w:ascii="Arial" w:hAnsi="Arial" w:cs="Arial"/>
        </w:rPr>
      </w:pPr>
    </w:p>
    <w:p w14:paraId="68ED3F65" w14:textId="77777777" w:rsidR="00282E27" w:rsidRDefault="00282E27" w:rsidP="00FD1EA1">
      <w:pPr>
        <w:rPr>
          <w:rFonts w:ascii="Arial" w:hAnsi="Arial" w:cs="Arial"/>
        </w:rPr>
      </w:pPr>
    </w:p>
    <w:p w14:paraId="2AFDE238" w14:textId="77777777" w:rsidR="00282E27" w:rsidRDefault="00282E27" w:rsidP="00FD1EA1">
      <w:pPr>
        <w:rPr>
          <w:rFonts w:ascii="Arial" w:hAnsi="Arial" w:cs="Arial"/>
        </w:rPr>
      </w:pPr>
    </w:p>
    <w:p w14:paraId="67B15A6F" w14:textId="77777777" w:rsidR="00282E27" w:rsidRDefault="00282E27" w:rsidP="00FD1EA1">
      <w:pPr>
        <w:rPr>
          <w:rFonts w:ascii="Arial" w:hAnsi="Arial" w:cs="Arial"/>
        </w:rPr>
      </w:pPr>
    </w:p>
    <w:p w14:paraId="58FEE398" w14:textId="77777777" w:rsidR="00282E27" w:rsidRDefault="00282E27" w:rsidP="00FD1EA1">
      <w:pPr>
        <w:rPr>
          <w:rFonts w:ascii="Arial" w:hAnsi="Arial" w:cs="Arial"/>
        </w:rPr>
      </w:pPr>
    </w:p>
    <w:p w14:paraId="52A2BE50" w14:textId="77777777" w:rsidR="00FD1EA1" w:rsidRDefault="00FD1EA1" w:rsidP="00FD1EA1"/>
    <w:p w14:paraId="6F060491" w14:textId="456E31D5" w:rsidR="00FD1EA1" w:rsidRPr="00076F53" w:rsidRDefault="00FD1EA1" w:rsidP="00282E27">
      <w:pPr>
        <w:pStyle w:val="Heading1"/>
        <w:rPr>
          <w:rFonts w:ascii="Times New Roman" w:hAnsi="Times New Roman" w:cs="Times New Roman"/>
          <w:sz w:val="32"/>
          <w:szCs w:val="32"/>
        </w:rPr>
      </w:pPr>
      <w:bookmarkStart w:id="331" w:name="_Toc151020559"/>
      <w:r w:rsidRPr="00076F53">
        <w:rPr>
          <w:rFonts w:ascii="Times New Roman" w:hAnsi="Times New Roman" w:cs="Times New Roman"/>
          <w:sz w:val="32"/>
          <w:szCs w:val="32"/>
        </w:rPr>
        <w:lastRenderedPageBreak/>
        <w:t>Appendix 3: Consent form</w:t>
      </w:r>
      <w:bookmarkEnd w:id="331"/>
      <w:r w:rsidRPr="00076F53">
        <w:rPr>
          <w:rFonts w:ascii="Times New Roman" w:hAnsi="Times New Roman" w:cs="Times New Roman"/>
          <w:sz w:val="32"/>
          <w:szCs w:val="32"/>
        </w:rPr>
        <w:t xml:space="preserve"> </w:t>
      </w:r>
    </w:p>
    <w:p w14:paraId="54EA29C8" w14:textId="77777777" w:rsidR="00FD1EA1" w:rsidRDefault="00FD1EA1" w:rsidP="00FD1EA1"/>
    <w:p w14:paraId="55B29097" w14:textId="7000BBCE" w:rsidR="00FD1EA1" w:rsidRPr="00FD1EA1" w:rsidRDefault="003F2254" w:rsidP="00FD1EA1">
      <w:pPr>
        <w:tabs>
          <w:tab w:val="left" w:pos="1245"/>
        </w:tabs>
        <w:rPr>
          <w:rFonts w:ascii="Times New Roman" w:hAnsi="Times New Roman" w:cs="Times New Roman"/>
          <w:sz w:val="24"/>
          <w:szCs w:val="24"/>
        </w:rPr>
      </w:pPr>
      <w:r w:rsidRPr="003F2254">
        <w:rPr>
          <w:noProof/>
        </w:rPr>
        <w:drawing>
          <wp:inline distT="0" distB="0" distL="0" distR="0" wp14:anchorId="74C11B22" wp14:editId="3278568B">
            <wp:extent cx="5731510" cy="7636510"/>
            <wp:effectExtent l="0" t="0" r="2540" b="254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7636510"/>
                    </a:xfrm>
                    <a:prstGeom prst="rect">
                      <a:avLst/>
                    </a:prstGeom>
                    <a:noFill/>
                    <a:ln>
                      <a:noFill/>
                    </a:ln>
                  </pic:spPr>
                </pic:pic>
              </a:graphicData>
            </a:graphic>
          </wp:inline>
        </w:drawing>
      </w:r>
    </w:p>
    <w:sectPr w:rsidR="00FD1EA1" w:rsidRPr="00FD1EA1">
      <w:footerReference w:type="default" r:id="rId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E68AA8" w14:textId="77777777" w:rsidR="00043F3E" w:rsidRDefault="00043F3E" w:rsidP="00C308AA">
      <w:pPr>
        <w:spacing w:after="0" w:line="240" w:lineRule="auto"/>
      </w:pPr>
      <w:r>
        <w:separator/>
      </w:r>
    </w:p>
  </w:endnote>
  <w:endnote w:type="continuationSeparator" w:id="0">
    <w:p w14:paraId="024001C9" w14:textId="77777777" w:rsidR="00043F3E" w:rsidRDefault="00043F3E" w:rsidP="00C30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Cambria"/>
    <w:charset w:val="00"/>
    <w:family w:val="roman"/>
    <w:pitch w:val="variable"/>
    <w:sig w:usb0="60000287" w:usb1="00000001"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MS PGothic">
    <w:panose1 w:val="020B0600070205080204"/>
    <w:charset w:val="80"/>
    <w:family w:val="swiss"/>
    <w:pitch w:val="variable"/>
    <w:sig w:usb0="E00002FF" w:usb1="6AC7FDFB" w:usb2="08000012" w:usb3="00000000" w:csb0="0002009F"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Lato">
    <w:charset w:val="00"/>
    <w:family w:val="swiss"/>
    <w:pitch w:val="variable"/>
    <w:sig w:usb0="E10002FF" w:usb1="5000ECFF" w:usb2="00000021" w:usb3="00000000" w:csb0="0000019F" w:csb1="00000000"/>
  </w:font>
  <w:font w:name="AdvTT4e89fb21">
    <w:altName w:val="Cambria"/>
    <w:panose1 w:val="00000000000000000000"/>
    <w:charset w:val="00"/>
    <w:family w:val="roman"/>
    <w:notTrueType/>
    <w:pitch w:val="default"/>
    <w:sig w:usb0="00000003" w:usb1="00000000" w:usb2="00000000" w:usb3="00000000" w:csb0="00000001" w:csb1="00000000"/>
  </w:font>
  <w:font w:name="TimesNewRomanPSMT">
    <w:charset w:val="00"/>
    <w:family w:val="roman"/>
    <w:pitch w:val="variable"/>
    <w:sig w:usb0="E0002AFF" w:usb1="C0007841" w:usb2="00000009" w:usb3="00000000" w:csb0="000001FF" w:csb1="00000000"/>
  </w:font>
  <w:font w:name="SabonLTStd-Roman">
    <w:altName w:val="Yu Gothic"/>
    <w:panose1 w:val="00000000000000000000"/>
    <w:charset w:val="80"/>
    <w:family w:val="roman"/>
    <w:notTrueType/>
    <w:pitch w:val="default"/>
    <w:sig w:usb0="00000003" w:usb1="08070000" w:usb2="00000010" w:usb3="00000000" w:csb0="00020001" w:csb1="00000000"/>
  </w:font>
  <w:font w:name="Code">
    <w:altName w:val="Yu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437458"/>
      <w:docPartObj>
        <w:docPartGallery w:val="Page Numbers (Bottom of Page)"/>
        <w:docPartUnique/>
      </w:docPartObj>
    </w:sdtPr>
    <w:sdtEndPr>
      <w:rPr>
        <w:color w:val="7F7F7F" w:themeColor="background1" w:themeShade="7F"/>
        <w:spacing w:val="60"/>
      </w:rPr>
    </w:sdtEndPr>
    <w:sdtContent>
      <w:p w14:paraId="2271F043" w14:textId="3948EA54" w:rsidR="00573D07" w:rsidRDefault="00573D07">
        <w:pPr>
          <w:pBdr>
            <w:top w:val="single" w:sz="4" w:space="1" w:color="D9D9D9" w:themeColor="background1" w:themeShade="D9"/>
          </w:pBdr>
          <w:jc w:val="right"/>
        </w:pPr>
        <w:r>
          <w:fldChar w:fldCharType="begin"/>
        </w:r>
        <w:r>
          <w:instrText xml:space="preserve"> PAGE   \* MERGEFORMAT </w:instrText>
        </w:r>
        <w:r>
          <w:fldChar w:fldCharType="separate"/>
        </w:r>
        <w:r>
          <w:rPr>
            <w:noProof/>
          </w:rPr>
          <w:t>58</w:t>
        </w:r>
        <w:r>
          <w:rPr>
            <w:noProof/>
          </w:rPr>
          <w:fldChar w:fldCharType="end"/>
        </w:r>
        <w:r>
          <w:t xml:space="preserve"> | </w:t>
        </w:r>
        <w:r>
          <w:rPr>
            <w:color w:val="7F7F7F" w:themeColor="background1" w:themeShade="7F"/>
            <w:spacing w:val="60"/>
          </w:rPr>
          <w:t>Page</w:t>
        </w:r>
      </w:p>
    </w:sdtContent>
  </w:sdt>
  <w:p w14:paraId="30014C86" w14:textId="77777777" w:rsidR="00573D07" w:rsidRDefault="00573D0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47AC8" w14:textId="77777777" w:rsidR="00043F3E" w:rsidRDefault="00043F3E" w:rsidP="00C308AA">
      <w:pPr>
        <w:spacing w:after="0" w:line="240" w:lineRule="auto"/>
      </w:pPr>
      <w:r>
        <w:separator/>
      </w:r>
    </w:p>
  </w:footnote>
  <w:footnote w:type="continuationSeparator" w:id="0">
    <w:p w14:paraId="7738C355" w14:textId="77777777" w:rsidR="00043F3E" w:rsidRDefault="00043F3E" w:rsidP="00C308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05CE"/>
    <w:multiLevelType w:val="multilevel"/>
    <w:tmpl w:val="E138A3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B62E36"/>
    <w:multiLevelType w:val="hybridMultilevel"/>
    <w:tmpl w:val="F6164E18"/>
    <w:lvl w:ilvl="0" w:tplc="7CC04AAC">
      <w:start w:val="1"/>
      <w:numFmt w:val="bullet"/>
      <w:lvlText w:val="-"/>
      <w:lvlJc w:val="left"/>
      <w:pPr>
        <w:tabs>
          <w:tab w:val="num" w:pos="720"/>
        </w:tabs>
        <w:ind w:left="720" w:hanging="360"/>
      </w:pPr>
      <w:rPr>
        <w:rFonts w:ascii="Times New Roman" w:hAnsi="Times New Roman" w:hint="default"/>
      </w:rPr>
    </w:lvl>
    <w:lvl w:ilvl="1" w:tplc="1A9C1816" w:tentative="1">
      <w:start w:val="1"/>
      <w:numFmt w:val="bullet"/>
      <w:lvlText w:val="-"/>
      <w:lvlJc w:val="left"/>
      <w:pPr>
        <w:tabs>
          <w:tab w:val="num" w:pos="1440"/>
        </w:tabs>
        <w:ind w:left="1440" w:hanging="360"/>
      </w:pPr>
      <w:rPr>
        <w:rFonts w:ascii="Times New Roman" w:hAnsi="Times New Roman" w:hint="default"/>
      </w:rPr>
    </w:lvl>
    <w:lvl w:ilvl="2" w:tplc="82B02890" w:tentative="1">
      <w:start w:val="1"/>
      <w:numFmt w:val="bullet"/>
      <w:lvlText w:val="-"/>
      <w:lvlJc w:val="left"/>
      <w:pPr>
        <w:tabs>
          <w:tab w:val="num" w:pos="2160"/>
        </w:tabs>
        <w:ind w:left="2160" w:hanging="360"/>
      </w:pPr>
      <w:rPr>
        <w:rFonts w:ascii="Times New Roman" w:hAnsi="Times New Roman" w:hint="default"/>
      </w:rPr>
    </w:lvl>
    <w:lvl w:ilvl="3" w:tplc="993860B4" w:tentative="1">
      <w:start w:val="1"/>
      <w:numFmt w:val="bullet"/>
      <w:lvlText w:val="-"/>
      <w:lvlJc w:val="left"/>
      <w:pPr>
        <w:tabs>
          <w:tab w:val="num" w:pos="2880"/>
        </w:tabs>
        <w:ind w:left="2880" w:hanging="360"/>
      </w:pPr>
      <w:rPr>
        <w:rFonts w:ascii="Times New Roman" w:hAnsi="Times New Roman" w:hint="default"/>
      </w:rPr>
    </w:lvl>
    <w:lvl w:ilvl="4" w:tplc="4D9231F6" w:tentative="1">
      <w:start w:val="1"/>
      <w:numFmt w:val="bullet"/>
      <w:lvlText w:val="-"/>
      <w:lvlJc w:val="left"/>
      <w:pPr>
        <w:tabs>
          <w:tab w:val="num" w:pos="3600"/>
        </w:tabs>
        <w:ind w:left="3600" w:hanging="360"/>
      </w:pPr>
      <w:rPr>
        <w:rFonts w:ascii="Times New Roman" w:hAnsi="Times New Roman" w:hint="default"/>
      </w:rPr>
    </w:lvl>
    <w:lvl w:ilvl="5" w:tplc="21286740" w:tentative="1">
      <w:start w:val="1"/>
      <w:numFmt w:val="bullet"/>
      <w:lvlText w:val="-"/>
      <w:lvlJc w:val="left"/>
      <w:pPr>
        <w:tabs>
          <w:tab w:val="num" w:pos="4320"/>
        </w:tabs>
        <w:ind w:left="4320" w:hanging="360"/>
      </w:pPr>
      <w:rPr>
        <w:rFonts w:ascii="Times New Roman" w:hAnsi="Times New Roman" w:hint="default"/>
      </w:rPr>
    </w:lvl>
    <w:lvl w:ilvl="6" w:tplc="6B66B148" w:tentative="1">
      <w:start w:val="1"/>
      <w:numFmt w:val="bullet"/>
      <w:lvlText w:val="-"/>
      <w:lvlJc w:val="left"/>
      <w:pPr>
        <w:tabs>
          <w:tab w:val="num" w:pos="5040"/>
        </w:tabs>
        <w:ind w:left="5040" w:hanging="360"/>
      </w:pPr>
      <w:rPr>
        <w:rFonts w:ascii="Times New Roman" w:hAnsi="Times New Roman" w:hint="default"/>
      </w:rPr>
    </w:lvl>
    <w:lvl w:ilvl="7" w:tplc="B4026084" w:tentative="1">
      <w:start w:val="1"/>
      <w:numFmt w:val="bullet"/>
      <w:lvlText w:val="-"/>
      <w:lvlJc w:val="left"/>
      <w:pPr>
        <w:tabs>
          <w:tab w:val="num" w:pos="5760"/>
        </w:tabs>
        <w:ind w:left="5760" w:hanging="360"/>
      </w:pPr>
      <w:rPr>
        <w:rFonts w:ascii="Times New Roman" w:hAnsi="Times New Roman" w:hint="default"/>
      </w:rPr>
    </w:lvl>
    <w:lvl w:ilvl="8" w:tplc="0AF0D8E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9A526CD"/>
    <w:multiLevelType w:val="hybridMultilevel"/>
    <w:tmpl w:val="822C3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1D1E07"/>
    <w:multiLevelType w:val="multilevel"/>
    <w:tmpl w:val="5B80A60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3363108"/>
    <w:multiLevelType w:val="hybridMultilevel"/>
    <w:tmpl w:val="63901726"/>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4AC442F"/>
    <w:multiLevelType w:val="multilevel"/>
    <w:tmpl w:val="FEA0D874"/>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6CF2DB4"/>
    <w:multiLevelType w:val="hybridMultilevel"/>
    <w:tmpl w:val="10DC19BA"/>
    <w:lvl w:ilvl="0" w:tplc="615EC304">
      <w:start w:val="1"/>
      <w:numFmt w:val="bullet"/>
      <w:lvlText w:val="•"/>
      <w:lvlJc w:val="left"/>
      <w:pPr>
        <w:tabs>
          <w:tab w:val="num" w:pos="720"/>
        </w:tabs>
        <w:ind w:left="720" w:hanging="360"/>
      </w:pPr>
      <w:rPr>
        <w:rFonts w:ascii="Arial" w:hAnsi="Arial" w:hint="default"/>
      </w:rPr>
    </w:lvl>
    <w:lvl w:ilvl="1" w:tplc="F2E4B544" w:tentative="1">
      <w:start w:val="1"/>
      <w:numFmt w:val="bullet"/>
      <w:lvlText w:val="•"/>
      <w:lvlJc w:val="left"/>
      <w:pPr>
        <w:tabs>
          <w:tab w:val="num" w:pos="1440"/>
        </w:tabs>
        <w:ind w:left="1440" w:hanging="360"/>
      </w:pPr>
      <w:rPr>
        <w:rFonts w:ascii="Arial" w:hAnsi="Arial" w:hint="default"/>
      </w:rPr>
    </w:lvl>
    <w:lvl w:ilvl="2" w:tplc="A6082A2E" w:tentative="1">
      <w:start w:val="1"/>
      <w:numFmt w:val="bullet"/>
      <w:lvlText w:val="•"/>
      <w:lvlJc w:val="left"/>
      <w:pPr>
        <w:tabs>
          <w:tab w:val="num" w:pos="2160"/>
        </w:tabs>
        <w:ind w:left="2160" w:hanging="360"/>
      </w:pPr>
      <w:rPr>
        <w:rFonts w:ascii="Arial" w:hAnsi="Arial" w:hint="default"/>
      </w:rPr>
    </w:lvl>
    <w:lvl w:ilvl="3" w:tplc="9F38A044" w:tentative="1">
      <w:start w:val="1"/>
      <w:numFmt w:val="bullet"/>
      <w:lvlText w:val="•"/>
      <w:lvlJc w:val="left"/>
      <w:pPr>
        <w:tabs>
          <w:tab w:val="num" w:pos="2880"/>
        </w:tabs>
        <w:ind w:left="2880" w:hanging="360"/>
      </w:pPr>
      <w:rPr>
        <w:rFonts w:ascii="Arial" w:hAnsi="Arial" w:hint="default"/>
      </w:rPr>
    </w:lvl>
    <w:lvl w:ilvl="4" w:tplc="B8A062AE" w:tentative="1">
      <w:start w:val="1"/>
      <w:numFmt w:val="bullet"/>
      <w:lvlText w:val="•"/>
      <w:lvlJc w:val="left"/>
      <w:pPr>
        <w:tabs>
          <w:tab w:val="num" w:pos="3600"/>
        </w:tabs>
        <w:ind w:left="3600" w:hanging="360"/>
      </w:pPr>
      <w:rPr>
        <w:rFonts w:ascii="Arial" w:hAnsi="Arial" w:hint="default"/>
      </w:rPr>
    </w:lvl>
    <w:lvl w:ilvl="5" w:tplc="3BFCAF2C" w:tentative="1">
      <w:start w:val="1"/>
      <w:numFmt w:val="bullet"/>
      <w:lvlText w:val="•"/>
      <w:lvlJc w:val="left"/>
      <w:pPr>
        <w:tabs>
          <w:tab w:val="num" w:pos="4320"/>
        </w:tabs>
        <w:ind w:left="4320" w:hanging="360"/>
      </w:pPr>
      <w:rPr>
        <w:rFonts w:ascii="Arial" w:hAnsi="Arial" w:hint="default"/>
      </w:rPr>
    </w:lvl>
    <w:lvl w:ilvl="6" w:tplc="AC3AAEF2" w:tentative="1">
      <w:start w:val="1"/>
      <w:numFmt w:val="bullet"/>
      <w:lvlText w:val="•"/>
      <w:lvlJc w:val="left"/>
      <w:pPr>
        <w:tabs>
          <w:tab w:val="num" w:pos="5040"/>
        </w:tabs>
        <w:ind w:left="5040" w:hanging="360"/>
      </w:pPr>
      <w:rPr>
        <w:rFonts w:ascii="Arial" w:hAnsi="Arial" w:hint="default"/>
      </w:rPr>
    </w:lvl>
    <w:lvl w:ilvl="7" w:tplc="FF6EDD0E" w:tentative="1">
      <w:start w:val="1"/>
      <w:numFmt w:val="bullet"/>
      <w:lvlText w:val="•"/>
      <w:lvlJc w:val="left"/>
      <w:pPr>
        <w:tabs>
          <w:tab w:val="num" w:pos="5760"/>
        </w:tabs>
        <w:ind w:left="5760" w:hanging="360"/>
      </w:pPr>
      <w:rPr>
        <w:rFonts w:ascii="Arial" w:hAnsi="Arial" w:hint="default"/>
      </w:rPr>
    </w:lvl>
    <w:lvl w:ilvl="8" w:tplc="FCC6C08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7286904"/>
    <w:multiLevelType w:val="multilevel"/>
    <w:tmpl w:val="1018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D3439F"/>
    <w:multiLevelType w:val="hybridMultilevel"/>
    <w:tmpl w:val="F60840C8"/>
    <w:lvl w:ilvl="0" w:tplc="CA38469A">
      <w:start w:val="1"/>
      <w:numFmt w:val="bullet"/>
      <w:lvlText w:val="•"/>
      <w:lvlJc w:val="left"/>
      <w:pPr>
        <w:tabs>
          <w:tab w:val="num" w:pos="720"/>
        </w:tabs>
        <w:ind w:left="720" w:hanging="360"/>
      </w:pPr>
      <w:rPr>
        <w:rFonts w:ascii="Arial" w:hAnsi="Arial" w:hint="default"/>
      </w:rPr>
    </w:lvl>
    <w:lvl w:ilvl="1" w:tplc="EF149676" w:tentative="1">
      <w:start w:val="1"/>
      <w:numFmt w:val="bullet"/>
      <w:lvlText w:val="•"/>
      <w:lvlJc w:val="left"/>
      <w:pPr>
        <w:tabs>
          <w:tab w:val="num" w:pos="1440"/>
        </w:tabs>
        <w:ind w:left="1440" w:hanging="360"/>
      </w:pPr>
      <w:rPr>
        <w:rFonts w:ascii="Arial" w:hAnsi="Arial" w:hint="default"/>
      </w:rPr>
    </w:lvl>
    <w:lvl w:ilvl="2" w:tplc="C344AAA4" w:tentative="1">
      <w:start w:val="1"/>
      <w:numFmt w:val="bullet"/>
      <w:lvlText w:val="•"/>
      <w:lvlJc w:val="left"/>
      <w:pPr>
        <w:tabs>
          <w:tab w:val="num" w:pos="2160"/>
        </w:tabs>
        <w:ind w:left="2160" w:hanging="360"/>
      </w:pPr>
      <w:rPr>
        <w:rFonts w:ascii="Arial" w:hAnsi="Arial" w:hint="default"/>
      </w:rPr>
    </w:lvl>
    <w:lvl w:ilvl="3" w:tplc="DBF01008" w:tentative="1">
      <w:start w:val="1"/>
      <w:numFmt w:val="bullet"/>
      <w:lvlText w:val="•"/>
      <w:lvlJc w:val="left"/>
      <w:pPr>
        <w:tabs>
          <w:tab w:val="num" w:pos="2880"/>
        </w:tabs>
        <w:ind w:left="2880" w:hanging="360"/>
      </w:pPr>
      <w:rPr>
        <w:rFonts w:ascii="Arial" w:hAnsi="Arial" w:hint="default"/>
      </w:rPr>
    </w:lvl>
    <w:lvl w:ilvl="4" w:tplc="789C842C" w:tentative="1">
      <w:start w:val="1"/>
      <w:numFmt w:val="bullet"/>
      <w:lvlText w:val="•"/>
      <w:lvlJc w:val="left"/>
      <w:pPr>
        <w:tabs>
          <w:tab w:val="num" w:pos="3600"/>
        </w:tabs>
        <w:ind w:left="3600" w:hanging="360"/>
      </w:pPr>
      <w:rPr>
        <w:rFonts w:ascii="Arial" w:hAnsi="Arial" w:hint="default"/>
      </w:rPr>
    </w:lvl>
    <w:lvl w:ilvl="5" w:tplc="2AB60D32" w:tentative="1">
      <w:start w:val="1"/>
      <w:numFmt w:val="bullet"/>
      <w:lvlText w:val="•"/>
      <w:lvlJc w:val="left"/>
      <w:pPr>
        <w:tabs>
          <w:tab w:val="num" w:pos="4320"/>
        </w:tabs>
        <w:ind w:left="4320" w:hanging="360"/>
      </w:pPr>
      <w:rPr>
        <w:rFonts w:ascii="Arial" w:hAnsi="Arial" w:hint="default"/>
      </w:rPr>
    </w:lvl>
    <w:lvl w:ilvl="6" w:tplc="71A2C78C" w:tentative="1">
      <w:start w:val="1"/>
      <w:numFmt w:val="bullet"/>
      <w:lvlText w:val="•"/>
      <w:lvlJc w:val="left"/>
      <w:pPr>
        <w:tabs>
          <w:tab w:val="num" w:pos="5040"/>
        </w:tabs>
        <w:ind w:left="5040" w:hanging="360"/>
      </w:pPr>
      <w:rPr>
        <w:rFonts w:ascii="Arial" w:hAnsi="Arial" w:hint="default"/>
      </w:rPr>
    </w:lvl>
    <w:lvl w:ilvl="7" w:tplc="C0AE7828" w:tentative="1">
      <w:start w:val="1"/>
      <w:numFmt w:val="bullet"/>
      <w:lvlText w:val="•"/>
      <w:lvlJc w:val="left"/>
      <w:pPr>
        <w:tabs>
          <w:tab w:val="num" w:pos="5760"/>
        </w:tabs>
        <w:ind w:left="5760" w:hanging="360"/>
      </w:pPr>
      <w:rPr>
        <w:rFonts w:ascii="Arial" w:hAnsi="Arial" w:hint="default"/>
      </w:rPr>
    </w:lvl>
    <w:lvl w:ilvl="8" w:tplc="F41A19F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A6175A4"/>
    <w:multiLevelType w:val="hybridMultilevel"/>
    <w:tmpl w:val="B360212A"/>
    <w:lvl w:ilvl="0" w:tplc="8B0CCF9E">
      <w:start w:val="1"/>
      <w:numFmt w:val="bullet"/>
      <w:lvlText w:val="•"/>
      <w:lvlJc w:val="left"/>
      <w:pPr>
        <w:tabs>
          <w:tab w:val="num" w:pos="720"/>
        </w:tabs>
        <w:ind w:left="720" w:hanging="360"/>
      </w:pPr>
      <w:rPr>
        <w:rFonts w:ascii="Arial" w:hAnsi="Arial" w:hint="default"/>
      </w:rPr>
    </w:lvl>
    <w:lvl w:ilvl="1" w:tplc="73923748" w:tentative="1">
      <w:start w:val="1"/>
      <w:numFmt w:val="bullet"/>
      <w:lvlText w:val="•"/>
      <w:lvlJc w:val="left"/>
      <w:pPr>
        <w:tabs>
          <w:tab w:val="num" w:pos="1440"/>
        </w:tabs>
        <w:ind w:left="1440" w:hanging="360"/>
      </w:pPr>
      <w:rPr>
        <w:rFonts w:ascii="Arial" w:hAnsi="Arial" w:hint="default"/>
      </w:rPr>
    </w:lvl>
    <w:lvl w:ilvl="2" w:tplc="442A64A2" w:tentative="1">
      <w:start w:val="1"/>
      <w:numFmt w:val="bullet"/>
      <w:lvlText w:val="•"/>
      <w:lvlJc w:val="left"/>
      <w:pPr>
        <w:tabs>
          <w:tab w:val="num" w:pos="2160"/>
        </w:tabs>
        <w:ind w:left="2160" w:hanging="360"/>
      </w:pPr>
      <w:rPr>
        <w:rFonts w:ascii="Arial" w:hAnsi="Arial" w:hint="default"/>
      </w:rPr>
    </w:lvl>
    <w:lvl w:ilvl="3" w:tplc="F266F80E" w:tentative="1">
      <w:start w:val="1"/>
      <w:numFmt w:val="bullet"/>
      <w:lvlText w:val="•"/>
      <w:lvlJc w:val="left"/>
      <w:pPr>
        <w:tabs>
          <w:tab w:val="num" w:pos="2880"/>
        </w:tabs>
        <w:ind w:left="2880" w:hanging="360"/>
      </w:pPr>
      <w:rPr>
        <w:rFonts w:ascii="Arial" w:hAnsi="Arial" w:hint="default"/>
      </w:rPr>
    </w:lvl>
    <w:lvl w:ilvl="4" w:tplc="B6C2D16C" w:tentative="1">
      <w:start w:val="1"/>
      <w:numFmt w:val="bullet"/>
      <w:lvlText w:val="•"/>
      <w:lvlJc w:val="left"/>
      <w:pPr>
        <w:tabs>
          <w:tab w:val="num" w:pos="3600"/>
        </w:tabs>
        <w:ind w:left="3600" w:hanging="360"/>
      </w:pPr>
      <w:rPr>
        <w:rFonts w:ascii="Arial" w:hAnsi="Arial" w:hint="default"/>
      </w:rPr>
    </w:lvl>
    <w:lvl w:ilvl="5" w:tplc="AE2ECA62" w:tentative="1">
      <w:start w:val="1"/>
      <w:numFmt w:val="bullet"/>
      <w:lvlText w:val="•"/>
      <w:lvlJc w:val="left"/>
      <w:pPr>
        <w:tabs>
          <w:tab w:val="num" w:pos="4320"/>
        </w:tabs>
        <w:ind w:left="4320" w:hanging="360"/>
      </w:pPr>
      <w:rPr>
        <w:rFonts w:ascii="Arial" w:hAnsi="Arial" w:hint="default"/>
      </w:rPr>
    </w:lvl>
    <w:lvl w:ilvl="6" w:tplc="B718B4C0" w:tentative="1">
      <w:start w:val="1"/>
      <w:numFmt w:val="bullet"/>
      <w:lvlText w:val="•"/>
      <w:lvlJc w:val="left"/>
      <w:pPr>
        <w:tabs>
          <w:tab w:val="num" w:pos="5040"/>
        </w:tabs>
        <w:ind w:left="5040" w:hanging="360"/>
      </w:pPr>
      <w:rPr>
        <w:rFonts w:ascii="Arial" w:hAnsi="Arial" w:hint="default"/>
      </w:rPr>
    </w:lvl>
    <w:lvl w:ilvl="7" w:tplc="B38EE708" w:tentative="1">
      <w:start w:val="1"/>
      <w:numFmt w:val="bullet"/>
      <w:lvlText w:val="•"/>
      <w:lvlJc w:val="left"/>
      <w:pPr>
        <w:tabs>
          <w:tab w:val="num" w:pos="5760"/>
        </w:tabs>
        <w:ind w:left="5760" w:hanging="360"/>
      </w:pPr>
      <w:rPr>
        <w:rFonts w:ascii="Arial" w:hAnsi="Arial" w:hint="default"/>
      </w:rPr>
    </w:lvl>
    <w:lvl w:ilvl="8" w:tplc="9DC88E0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F895A91"/>
    <w:multiLevelType w:val="hybridMultilevel"/>
    <w:tmpl w:val="370E7640"/>
    <w:lvl w:ilvl="0" w:tplc="736C96C2">
      <w:start w:val="7"/>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886922"/>
    <w:multiLevelType w:val="hybridMultilevel"/>
    <w:tmpl w:val="70A0465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ED7B3E"/>
    <w:multiLevelType w:val="hybridMultilevel"/>
    <w:tmpl w:val="37701B4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51A65F8"/>
    <w:multiLevelType w:val="hybridMultilevel"/>
    <w:tmpl w:val="86AC1A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9DC7519"/>
    <w:multiLevelType w:val="multilevel"/>
    <w:tmpl w:val="398E5FA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5" w15:restartNumberingAfterBreak="0">
    <w:nsid w:val="3B5155EE"/>
    <w:multiLevelType w:val="hybridMultilevel"/>
    <w:tmpl w:val="BED0D2B8"/>
    <w:lvl w:ilvl="0" w:tplc="82C67E7C">
      <w:start w:val="1"/>
      <w:numFmt w:val="bullet"/>
      <w:lvlText w:val="•"/>
      <w:lvlJc w:val="left"/>
      <w:pPr>
        <w:tabs>
          <w:tab w:val="num" w:pos="720"/>
        </w:tabs>
        <w:ind w:left="720" w:hanging="360"/>
      </w:pPr>
      <w:rPr>
        <w:rFonts w:ascii="Arial" w:hAnsi="Arial" w:hint="default"/>
      </w:rPr>
    </w:lvl>
    <w:lvl w:ilvl="1" w:tplc="C12E745E" w:tentative="1">
      <w:start w:val="1"/>
      <w:numFmt w:val="bullet"/>
      <w:lvlText w:val="•"/>
      <w:lvlJc w:val="left"/>
      <w:pPr>
        <w:tabs>
          <w:tab w:val="num" w:pos="1440"/>
        </w:tabs>
        <w:ind w:left="1440" w:hanging="360"/>
      </w:pPr>
      <w:rPr>
        <w:rFonts w:ascii="Arial" w:hAnsi="Arial" w:hint="default"/>
      </w:rPr>
    </w:lvl>
    <w:lvl w:ilvl="2" w:tplc="A670A928" w:tentative="1">
      <w:start w:val="1"/>
      <w:numFmt w:val="bullet"/>
      <w:lvlText w:val="•"/>
      <w:lvlJc w:val="left"/>
      <w:pPr>
        <w:tabs>
          <w:tab w:val="num" w:pos="2160"/>
        </w:tabs>
        <w:ind w:left="2160" w:hanging="360"/>
      </w:pPr>
      <w:rPr>
        <w:rFonts w:ascii="Arial" w:hAnsi="Arial" w:hint="default"/>
      </w:rPr>
    </w:lvl>
    <w:lvl w:ilvl="3" w:tplc="18B438F0" w:tentative="1">
      <w:start w:val="1"/>
      <w:numFmt w:val="bullet"/>
      <w:lvlText w:val="•"/>
      <w:lvlJc w:val="left"/>
      <w:pPr>
        <w:tabs>
          <w:tab w:val="num" w:pos="2880"/>
        </w:tabs>
        <w:ind w:left="2880" w:hanging="360"/>
      </w:pPr>
      <w:rPr>
        <w:rFonts w:ascii="Arial" w:hAnsi="Arial" w:hint="default"/>
      </w:rPr>
    </w:lvl>
    <w:lvl w:ilvl="4" w:tplc="C5DE64A8" w:tentative="1">
      <w:start w:val="1"/>
      <w:numFmt w:val="bullet"/>
      <w:lvlText w:val="•"/>
      <w:lvlJc w:val="left"/>
      <w:pPr>
        <w:tabs>
          <w:tab w:val="num" w:pos="3600"/>
        </w:tabs>
        <w:ind w:left="3600" w:hanging="360"/>
      </w:pPr>
      <w:rPr>
        <w:rFonts w:ascii="Arial" w:hAnsi="Arial" w:hint="default"/>
      </w:rPr>
    </w:lvl>
    <w:lvl w:ilvl="5" w:tplc="E9CCFEB0" w:tentative="1">
      <w:start w:val="1"/>
      <w:numFmt w:val="bullet"/>
      <w:lvlText w:val="•"/>
      <w:lvlJc w:val="left"/>
      <w:pPr>
        <w:tabs>
          <w:tab w:val="num" w:pos="4320"/>
        </w:tabs>
        <w:ind w:left="4320" w:hanging="360"/>
      </w:pPr>
      <w:rPr>
        <w:rFonts w:ascii="Arial" w:hAnsi="Arial" w:hint="default"/>
      </w:rPr>
    </w:lvl>
    <w:lvl w:ilvl="6" w:tplc="33280042" w:tentative="1">
      <w:start w:val="1"/>
      <w:numFmt w:val="bullet"/>
      <w:lvlText w:val="•"/>
      <w:lvlJc w:val="left"/>
      <w:pPr>
        <w:tabs>
          <w:tab w:val="num" w:pos="5040"/>
        </w:tabs>
        <w:ind w:left="5040" w:hanging="360"/>
      </w:pPr>
      <w:rPr>
        <w:rFonts w:ascii="Arial" w:hAnsi="Arial" w:hint="default"/>
      </w:rPr>
    </w:lvl>
    <w:lvl w:ilvl="7" w:tplc="6674DFEA" w:tentative="1">
      <w:start w:val="1"/>
      <w:numFmt w:val="bullet"/>
      <w:lvlText w:val="•"/>
      <w:lvlJc w:val="left"/>
      <w:pPr>
        <w:tabs>
          <w:tab w:val="num" w:pos="5760"/>
        </w:tabs>
        <w:ind w:left="5760" w:hanging="360"/>
      </w:pPr>
      <w:rPr>
        <w:rFonts w:ascii="Arial" w:hAnsi="Arial" w:hint="default"/>
      </w:rPr>
    </w:lvl>
    <w:lvl w:ilvl="8" w:tplc="C5A274F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C210A7C"/>
    <w:multiLevelType w:val="multilevel"/>
    <w:tmpl w:val="E882706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C2F2065"/>
    <w:multiLevelType w:val="hybridMultilevel"/>
    <w:tmpl w:val="91608ABA"/>
    <w:lvl w:ilvl="0" w:tplc="C330ACD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3E370D9A"/>
    <w:multiLevelType w:val="hybridMultilevel"/>
    <w:tmpl w:val="5FA4A4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B690E5"/>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434F7105"/>
    <w:multiLevelType w:val="hybridMultilevel"/>
    <w:tmpl w:val="B54CB454"/>
    <w:lvl w:ilvl="0" w:tplc="6CEAD79A">
      <w:start w:val="1"/>
      <w:numFmt w:val="lowerLetter"/>
      <w:lvlText w:val="%1)"/>
      <w:lvlJc w:val="left"/>
      <w:pPr>
        <w:ind w:left="720" w:hanging="360"/>
      </w:pPr>
      <w:rPr>
        <w:rFonts w:asciiTheme="minorHAnsi" w:eastAsiaTheme="minorEastAsia" w:hAnsiTheme="minorHAnsi" w:cstheme="minorBid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3A42E4B"/>
    <w:multiLevelType w:val="hybridMultilevel"/>
    <w:tmpl w:val="6AB8999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4D72A19"/>
    <w:multiLevelType w:val="multilevel"/>
    <w:tmpl w:val="570613C2"/>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55C13AE"/>
    <w:multiLevelType w:val="multilevel"/>
    <w:tmpl w:val="3BEC60C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63C3FDA"/>
    <w:multiLevelType w:val="hybridMultilevel"/>
    <w:tmpl w:val="98C06A24"/>
    <w:lvl w:ilvl="0" w:tplc="57EA4018">
      <w:start w:val="1"/>
      <w:numFmt w:val="bullet"/>
      <w:lvlText w:val="•"/>
      <w:lvlJc w:val="left"/>
      <w:pPr>
        <w:tabs>
          <w:tab w:val="num" w:pos="720"/>
        </w:tabs>
        <w:ind w:left="720" w:hanging="360"/>
      </w:pPr>
      <w:rPr>
        <w:rFonts w:ascii="Arial" w:hAnsi="Arial" w:hint="default"/>
      </w:rPr>
    </w:lvl>
    <w:lvl w:ilvl="1" w:tplc="328EDE2C" w:tentative="1">
      <w:start w:val="1"/>
      <w:numFmt w:val="bullet"/>
      <w:lvlText w:val="•"/>
      <w:lvlJc w:val="left"/>
      <w:pPr>
        <w:tabs>
          <w:tab w:val="num" w:pos="1440"/>
        </w:tabs>
        <w:ind w:left="1440" w:hanging="360"/>
      </w:pPr>
      <w:rPr>
        <w:rFonts w:ascii="Arial" w:hAnsi="Arial" w:hint="default"/>
      </w:rPr>
    </w:lvl>
    <w:lvl w:ilvl="2" w:tplc="E222D574" w:tentative="1">
      <w:start w:val="1"/>
      <w:numFmt w:val="bullet"/>
      <w:lvlText w:val="•"/>
      <w:lvlJc w:val="left"/>
      <w:pPr>
        <w:tabs>
          <w:tab w:val="num" w:pos="2160"/>
        </w:tabs>
        <w:ind w:left="2160" w:hanging="360"/>
      </w:pPr>
      <w:rPr>
        <w:rFonts w:ascii="Arial" w:hAnsi="Arial" w:hint="default"/>
      </w:rPr>
    </w:lvl>
    <w:lvl w:ilvl="3" w:tplc="5C48CFDE" w:tentative="1">
      <w:start w:val="1"/>
      <w:numFmt w:val="bullet"/>
      <w:lvlText w:val="•"/>
      <w:lvlJc w:val="left"/>
      <w:pPr>
        <w:tabs>
          <w:tab w:val="num" w:pos="2880"/>
        </w:tabs>
        <w:ind w:left="2880" w:hanging="360"/>
      </w:pPr>
      <w:rPr>
        <w:rFonts w:ascii="Arial" w:hAnsi="Arial" w:hint="default"/>
      </w:rPr>
    </w:lvl>
    <w:lvl w:ilvl="4" w:tplc="1B68DA9C" w:tentative="1">
      <w:start w:val="1"/>
      <w:numFmt w:val="bullet"/>
      <w:lvlText w:val="•"/>
      <w:lvlJc w:val="left"/>
      <w:pPr>
        <w:tabs>
          <w:tab w:val="num" w:pos="3600"/>
        </w:tabs>
        <w:ind w:left="3600" w:hanging="360"/>
      </w:pPr>
      <w:rPr>
        <w:rFonts w:ascii="Arial" w:hAnsi="Arial" w:hint="default"/>
      </w:rPr>
    </w:lvl>
    <w:lvl w:ilvl="5" w:tplc="31084540" w:tentative="1">
      <w:start w:val="1"/>
      <w:numFmt w:val="bullet"/>
      <w:lvlText w:val="•"/>
      <w:lvlJc w:val="left"/>
      <w:pPr>
        <w:tabs>
          <w:tab w:val="num" w:pos="4320"/>
        </w:tabs>
        <w:ind w:left="4320" w:hanging="360"/>
      </w:pPr>
      <w:rPr>
        <w:rFonts w:ascii="Arial" w:hAnsi="Arial" w:hint="default"/>
      </w:rPr>
    </w:lvl>
    <w:lvl w:ilvl="6" w:tplc="208A941E" w:tentative="1">
      <w:start w:val="1"/>
      <w:numFmt w:val="bullet"/>
      <w:lvlText w:val="•"/>
      <w:lvlJc w:val="left"/>
      <w:pPr>
        <w:tabs>
          <w:tab w:val="num" w:pos="5040"/>
        </w:tabs>
        <w:ind w:left="5040" w:hanging="360"/>
      </w:pPr>
      <w:rPr>
        <w:rFonts w:ascii="Arial" w:hAnsi="Arial" w:hint="default"/>
      </w:rPr>
    </w:lvl>
    <w:lvl w:ilvl="7" w:tplc="B26458F6" w:tentative="1">
      <w:start w:val="1"/>
      <w:numFmt w:val="bullet"/>
      <w:lvlText w:val="•"/>
      <w:lvlJc w:val="left"/>
      <w:pPr>
        <w:tabs>
          <w:tab w:val="num" w:pos="5760"/>
        </w:tabs>
        <w:ind w:left="5760" w:hanging="360"/>
      </w:pPr>
      <w:rPr>
        <w:rFonts w:ascii="Arial" w:hAnsi="Arial" w:hint="default"/>
      </w:rPr>
    </w:lvl>
    <w:lvl w:ilvl="8" w:tplc="33BC039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D52030C"/>
    <w:multiLevelType w:val="multilevel"/>
    <w:tmpl w:val="38940B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01A435A"/>
    <w:multiLevelType w:val="hybridMultilevel"/>
    <w:tmpl w:val="996A11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1BD11F3"/>
    <w:multiLevelType w:val="multilevel"/>
    <w:tmpl w:val="AEE06E72"/>
    <w:lvl w:ilvl="0">
      <w:start w:val="1"/>
      <w:numFmt w:val="decimal"/>
      <w:lvlText w:val="%1."/>
      <w:lvlJc w:val="left"/>
      <w:pPr>
        <w:ind w:left="720" w:hanging="360"/>
      </w:pPr>
      <w:rPr>
        <w:rFonts w:ascii="Times New Roman" w:eastAsiaTheme="minorEastAsia" w:hAnsi="Times New Roman" w:cs="Times New Roman"/>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53E53277"/>
    <w:multiLevelType w:val="multilevel"/>
    <w:tmpl w:val="92DA4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6AB2B8A"/>
    <w:multiLevelType w:val="multilevel"/>
    <w:tmpl w:val="016E1A9C"/>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59DA5395"/>
    <w:multiLevelType w:val="hybridMultilevel"/>
    <w:tmpl w:val="66D2EBD0"/>
    <w:lvl w:ilvl="0" w:tplc="41048440">
      <w:start w:val="1"/>
      <w:numFmt w:val="bullet"/>
      <w:lvlText w:val="•"/>
      <w:lvlJc w:val="left"/>
      <w:pPr>
        <w:tabs>
          <w:tab w:val="num" w:pos="720"/>
        </w:tabs>
        <w:ind w:left="720" w:hanging="360"/>
      </w:pPr>
      <w:rPr>
        <w:rFonts w:ascii="Arial" w:hAnsi="Arial" w:hint="default"/>
      </w:rPr>
    </w:lvl>
    <w:lvl w:ilvl="1" w:tplc="1DA4802A" w:tentative="1">
      <w:start w:val="1"/>
      <w:numFmt w:val="bullet"/>
      <w:lvlText w:val="•"/>
      <w:lvlJc w:val="left"/>
      <w:pPr>
        <w:tabs>
          <w:tab w:val="num" w:pos="1440"/>
        </w:tabs>
        <w:ind w:left="1440" w:hanging="360"/>
      </w:pPr>
      <w:rPr>
        <w:rFonts w:ascii="Arial" w:hAnsi="Arial" w:hint="default"/>
      </w:rPr>
    </w:lvl>
    <w:lvl w:ilvl="2" w:tplc="50869B02" w:tentative="1">
      <w:start w:val="1"/>
      <w:numFmt w:val="bullet"/>
      <w:lvlText w:val="•"/>
      <w:lvlJc w:val="left"/>
      <w:pPr>
        <w:tabs>
          <w:tab w:val="num" w:pos="2160"/>
        </w:tabs>
        <w:ind w:left="2160" w:hanging="360"/>
      </w:pPr>
      <w:rPr>
        <w:rFonts w:ascii="Arial" w:hAnsi="Arial" w:hint="default"/>
      </w:rPr>
    </w:lvl>
    <w:lvl w:ilvl="3" w:tplc="2108ACDC" w:tentative="1">
      <w:start w:val="1"/>
      <w:numFmt w:val="bullet"/>
      <w:lvlText w:val="•"/>
      <w:lvlJc w:val="left"/>
      <w:pPr>
        <w:tabs>
          <w:tab w:val="num" w:pos="2880"/>
        </w:tabs>
        <w:ind w:left="2880" w:hanging="360"/>
      </w:pPr>
      <w:rPr>
        <w:rFonts w:ascii="Arial" w:hAnsi="Arial" w:hint="default"/>
      </w:rPr>
    </w:lvl>
    <w:lvl w:ilvl="4" w:tplc="F70043EE" w:tentative="1">
      <w:start w:val="1"/>
      <w:numFmt w:val="bullet"/>
      <w:lvlText w:val="•"/>
      <w:lvlJc w:val="left"/>
      <w:pPr>
        <w:tabs>
          <w:tab w:val="num" w:pos="3600"/>
        </w:tabs>
        <w:ind w:left="3600" w:hanging="360"/>
      </w:pPr>
      <w:rPr>
        <w:rFonts w:ascii="Arial" w:hAnsi="Arial" w:hint="default"/>
      </w:rPr>
    </w:lvl>
    <w:lvl w:ilvl="5" w:tplc="55B0BE9E" w:tentative="1">
      <w:start w:val="1"/>
      <w:numFmt w:val="bullet"/>
      <w:lvlText w:val="•"/>
      <w:lvlJc w:val="left"/>
      <w:pPr>
        <w:tabs>
          <w:tab w:val="num" w:pos="4320"/>
        </w:tabs>
        <w:ind w:left="4320" w:hanging="360"/>
      </w:pPr>
      <w:rPr>
        <w:rFonts w:ascii="Arial" w:hAnsi="Arial" w:hint="default"/>
      </w:rPr>
    </w:lvl>
    <w:lvl w:ilvl="6" w:tplc="3B2EA33A" w:tentative="1">
      <w:start w:val="1"/>
      <w:numFmt w:val="bullet"/>
      <w:lvlText w:val="•"/>
      <w:lvlJc w:val="left"/>
      <w:pPr>
        <w:tabs>
          <w:tab w:val="num" w:pos="5040"/>
        </w:tabs>
        <w:ind w:left="5040" w:hanging="360"/>
      </w:pPr>
      <w:rPr>
        <w:rFonts w:ascii="Arial" w:hAnsi="Arial" w:hint="default"/>
      </w:rPr>
    </w:lvl>
    <w:lvl w:ilvl="7" w:tplc="6BA89522" w:tentative="1">
      <w:start w:val="1"/>
      <w:numFmt w:val="bullet"/>
      <w:lvlText w:val="•"/>
      <w:lvlJc w:val="left"/>
      <w:pPr>
        <w:tabs>
          <w:tab w:val="num" w:pos="5760"/>
        </w:tabs>
        <w:ind w:left="5760" w:hanging="360"/>
      </w:pPr>
      <w:rPr>
        <w:rFonts w:ascii="Arial" w:hAnsi="Arial" w:hint="default"/>
      </w:rPr>
    </w:lvl>
    <w:lvl w:ilvl="8" w:tplc="D508151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D985DED"/>
    <w:multiLevelType w:val="hybridMultilevel"/>
    <w:tmpl w:val="EA50864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ECC72A0"/>
    <w:multiLevelType w:val="hybridMultilevel"/>
    <w:tmpl w:val="7E3C3AA0"/>
    <w:lvl w:ilvl="0" w:tplc="8C42224A">
      <w:start w:val="1"/>
      <w:numFmt w:val="bullet"/>
      <w:lvlText w:val="•"/>
      <w:lvlJc w:val="left"/>
      <w:pPr>
        <w:tabs>
          <w:tab w:val="num" w:pos="720"/>
        </w:tabs>
        <w:ind w:left="720" w:hanging="360"/>
      </w:pPr>
      <w:rPr>
        <w:rFonts w:ascii="Arial" w:hAnsi="Arial" w:hint="default"/>
      </w:rPr>
    </w:lvl>
    <w:lvl w:ilvl="1" w:tplc="B7386912" w:tentative="1">
      <w:start w:val="1"/>
      <w:numFmt w:val="bullet"/>
      <w:lvlText w:val="•"/>
      <w:lvlJc w:val="left"/>
      <w:pPr>
        <w:tabs>
          <w:tab w:val="num" w:pos="1440"/>
        </w:tabs>
        <w:ind w:left="1440" w:hanging="360"/>
      </w:pPr>
      <w:rPr>
        <w:rFonts w:ascii="Arial" w:hAnsi="Arial" w:hint="default"/>
      </w:rPr>
    </w:lvl>
    <w:lvl w:ilvl="2" w:tplc="59767B6E" w:tentative="1">
      <w:start w:val="1"/>
      <w:numFmt w:val="bullet"/>
      <w:lvlText w:val="•"/>
      <w:lvlJc w:val="left"/>
      <w:pPr>
        <w:tabs>
          <w:tab w:val="num" w:pos="2160"/>
        </w:tabs>
        <w:ind w:left="2160" w:hanging="360"/>
      </w:pPr>
      <w:rPr>
        <w:rFonts w:ascii="Arial" w:hAnsi="Arial" w:hint="default"/>
      </w:rPr>
    </w:lvl>
    <w:lvl w:ilvl="3" w:tplc="AC4A4056" w:tentative="1">
      <w:start w:val="1"/>
      <w:numFmt w:val="bullet"/>
      <w:lvlText w:val="•"/>
      <w:lvlJc w:val="left"/>
      <w:pPr>
        <w:tabs>
          <w:tab w:val="num" w:pos="2880"/>
        </w:tabs>
        <w:ind w:left="2880" w:hanging="360"/>
      </w:pPr>
      <w:rPr>
        <w:rFonts w:ascii="Arial" w:hAnsi="Arial" w:hint="default"/>
      </w:rPr>
    </w:lvl>
    <w:lvl w:ilvl="4" w:tplc="8E968A76" w:tentative="1">
      <w:start w:val="1"/>
      <w:numFmt w:val="bullet"/>
      <w:lvlText w:val="•"/>
      <w:lvlJc w:val="left"/>
      <w:pPr>
        <w:tabs>
          <w:tab w:val="num" w:pos="3600"/>
        </w:tabs>
        <w:ind w:left="3600" w:hanging="360"/>
      </w:pPr>
      <w:rPr>
        <w:rFonts w:ascii="Arial" w:hAnsi="Arial" w:hint="default"/>
      </w:rPr>
    </w:lvl>
    <w:lvl w:ilvl="5" w:tplc="31645A80" w:tentative="1">
      <w:start w:val="1"/>
      <w:numFmt w:val="bullet"/>
      <w:lvlText w:val="•"/>
      <w:lvlJc w:val="left"/>
      <w:pPr>
        <w:tabs>
          <w:tab w:val="num" w:pos="4320"/>
        </w:tabs>
        <w:ind w:left="4320" w:hanging="360"/>
      </w:pPr>
      <w:rPr>
        <w:rFonts w:ascii="Arial" w:hAnsi="Arial" w:hint="default"/>
      </w:rPr>
    </w:lvl>
    <w:lvl w:ilvl="6" w:tplc="792400DA" w:tentative="1">
      <w:start w:val="1"/>
      <w:numFmt w:val="bullet"/>
      <w:lvlText w:val="•"/>
      <w:lvlJc w:val="left"/>
      <w:pPr>
        <w:tabs>
          <w:tab w:val="num" w:pos="5040"/>
        </w:tabs>
        <w:ind w:left="5040" w:hanging="360"/>
      </w:pPr>
      <w:rPr>
        <w:rFonts w:ascii="Arial" w:hAnsi="Arial" w:hint="default"/>
      </w:rPr>
    </w:lvl>
    <w:lvl w:ilvl="7" w:tplc="18DC240C" w:tentative="1">
      <w:start w:val="1"/>
      <w:numFmt w:val="bullet"/>
      <w:lvlText w:val="•"/>
      <w:lvlJc w:val="left"/>
      <w:pPr>
        <w:tabs>
          <w:tab w:val="num" w:pos="5760"/>
        </w:tabs>
        <w:ind w:left="5760" w:hanging="360"/>
      </w:pPr>
      <w:rPr>
        <w:rFonts w:ascii="Arial" w:hAnsi="Arial" w:hint="default"/>
      </w:rPr>
    </w:lvl>
    <w:lvl w:ilvl="8" w:tplc="2E8AE24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FFE5E79"/>
    <w:multiLevelType w:val="multilevel"/>
    <w:tmpl w:val="3EB63E0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27830F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68D44B64"/>
    <w:multiLevelType w:val="hybridMultilevel"/>
    <w:tmpl w:val="EDB6E9AE"/>
    <w:lvl w:ilvl="0" w:tplc="3DEC069C">
      <w:start w:val="1"/>
      <w:numFmt w:val="bullet"/>
      <w:lvlText w:val="•"/>
      <w:lvlJc w:val="left"/>
      <w:pPr>
        <w:tabs>
          <w:tab w:val="num" w:pos="720"/>
        </w:tabs>
        <w:ind w:left="720" w:hanging="360"/>
      </w:pPr>
      <w:rPr>
        <w:rFonts w:ascii="Arial" w:hAnsi="Arial" w:hint="default"/>
      </w:rPr>
    </w:lvl>
    <w:lvl w:ilvl="1" w:tplc="C978A4A8" w:tentative="1">
      <w:start w:val="1"/>
      <w:numFmt w:val="bullet"/>
      <w:lvlText w:val="•"/>
      <w:lvlJc w:val="left"/>
      <w:pPr>
        <w:tabs>
          <w:tab w:val="num" w:pos="1440"/>
        </w:tabs>
        <w:ind w:left="1440" w:hanging="360"/>
      </w:pPr>
      <w:rPr>
        <w:rFonts w:ascii="Arial" w:hAnsi="Arial" w:hint="default"/>
      </w:rPr>
    </w:lvl>
    <w:lvl w:ilvl="2" w:tplc="3F52AB5C" w:tentative="1">
      <w:start w:val="1"/>
      <w:numFmt w:val="bullet"/>
      <w:lvlText w:val="•"/>
      <w:lvlJc w:val="left"/>
      <w:pPr>
        <w:tabs>
          <w:tab w:val="num" w:pos="2160"/>
        </w:tabs>
        <w:ind w:left="2160" w:hanging="360"/>
      </w:pPr>
      <w:rPr>
        <w:rFonts w:ascii="Arial" w:hAnsi="Arial" w:hint="default"/>
      </w:rPr>
    </w:lvl>
    <w:lvl w:ilvl="3" w:tplc="812AB95C" w:tentative="1">
      <w:start w:val="1"/>
      <w:numFmt w:val="bullet"/>
      <w:lvlText w:val="•"/>
      <w:lvlJc w:val="left"/>
      <w:pPr>
        <w:tabs>
          <w:tab w:val="num" w:pos="2880"/>
        </w:tabs>
        <w:ind w:left="2880" w:hanging="360"/>
      </w:pPr>
      <w:rPr>
        <w:rFonts w:ascii="Arial" w:hAnsi="Arial" w:hint="default"/>
      </w:rPr>
    </w:lvl>
    <w:lvl w:ilvl="4" w:tplc="9FD63F08" w:tentative="1">
      <w:start w:val="1"/>
      <w:numFmt w:val="bullet"/>
      <w:lvlText w:val="•"/>
      <w:lvlJc w:val="left"/>
      <w:pPr>
        <w:tabs>
          <w:tab w:val="num" w:pos="3600"/>
        </w:tabs>
        <w:ind w:left="3600" w:hanging="360"/>
      </w:pPr>
      <w:rPr>
        <w:rFonts w:ascii="Arial" w:hAnsi="Arial" w:hint="default"/>
      </w:rPr>
    </w:lvl>
    <w:lvl w:ilvl="5" w:tplc="A58A4E10" w:tentative="1">
      <w:start w:val="1"/>
      <w:numFmt w:val="bullet"/>
      <w:lvlText w:val="•"/>
      <w:lvlJc w:val="left"/>
      <w:pPr>
        <w:tabs>
          <w:tab w:val="num" w:pos="4320"/>
        </w:tabs>
        <w:ind w:left="4320" w:hanging="360"/>
      </w:pPr>
      <w:rPr>
        <w:rFonts w:ascii="Arial" w:hAnsi="Arial" w:hint="default"/>
      </w:rPr>
    </w:lvl>
    <w:lvl w:ilvl="6" w:tplc="2A903076" w:tentative="1">
      <w:start w:val="1"/>
      <w:numFmt w:val="bullet"/>
      <w:lvlText w:val="•"/>
      <w:lvlJc w:val="left"/>
      <w:pPr>
        <w:tabs>
          <w:tab w:val="num" w:pos="5040"/>
        </w:tabs>
        <w:ind w:left="5040" w:hanging="360"/>
      </w:pPr>
      <w:rPr>
        <w:rFonts w:ascii="Arial" w:hAnsi="Arial" w:hint="default"/>
      </w:rPr>
    </w:lvl>
    <w:lvl w:ilvl="7" w:tplc="AA1C7D22" w:tentative="1">
      <w:start w:val="1"/>
      <w:numFmt w:val="bullet"/>
      <w:lvlText w:val="•"/>
      <w:lvlJc w:val="left"/>
      <w:pPr>
        <w:tabs>
          <w:tab w:val="num" w:pos="5760"/>
        </w:tabs>
        <w:ind w:left="5760" w:hanging="360"/>
      </w:pPr>
      <w:rPr>
        <w:rFonts w:ascii="Arial" w:hAnsi="Arial" w:hint="default"/>
      </w:rPr>
    </w:lvl>
    <w:lvl w:ilvl="8" w:tplc="0BFC2CC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986160E"/>
    <w:multiLevelType w:val="hybridMultilevel"/>
    <w:tmpl w:val="4662888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9EC4652"/>
    <w:multiLevelType w:val="hybridMultilevel"/>
    <w:tmpl w:val="0BAC2504"/>
    <w:lvl w:ilvl="0" w:tplc="7ED89E56">
      <w:start w:val="1"/>
      <w:numFmt w:val="bullet"/>
      <w:lvlText w:val="•"/>
      <w:lvlJc w:val="left"/>
      <w:pPr>
        <w:tabs>
          <w:tab w:val="num" w:pos="720"/>
        </w:tabs>
        <w:ind w:left="720" w:hanging="360"/>
      </w:pPr>
      <w:rPr>
        <w:rFonts w:ascii="Arial" w:hAnsi="Arial" w:hint="default"/>
      </w:rPr>
    </w:lvl>
    <w:lvl w:ilvl="1" w:tplc="F0B4B80C" w:tentative="1">
      <w:start w:val="1"/>
      <w:numFmt w:val="bullet"/>
      <w:lvlText w:val="•"/>
      <w:lvlJc w:val="left"/>
      <w:pPr>
        <w:tabs>
          <w:tab w:val="num" w:pos="1440"/>
        </w:tabs>
        <w:ind w:left="1440" w:hanging="360"/>
      </w:pPr>
      <w:rPr>
        <w:rFonts w:ascii="Arial" w:hAnsi="Arial" w:hint="default"/>
      </w:rPr>
    </w:lvl>
    <w:lvl w:ilvl="2" w:tplc="21B47796" w:tentative="1">
      <w:start w:val="1"/>
      <w:numFmt w:val="bullet"/>
      <w:lvlText w:val="•"/>
      <w:lvlJc w:val="left"/>
      <w:pPr>
        <w:tabs>
          <w:tab w:val="num" w:pos="2160"/>
        </w:tabs>
        <w:ind w:left="2160" w:hanging="360"/>
      </w:pPr>
      <w:rPr>
        <w:rFonts w:ascii="Arial" w:hAnsi="Arial" w:hint="default"/>
      </w:rPr>
    </w:lvl>
    <w:lvl w:ilvl="3" w:tplc="177EBE4E" w:tentative="1">
      <w:start w:val="1"/>
      <w:numFmt w:val="bullet"/>
      <w:lvlText w:val="•"/>
      <w:lvlJc w:val="left"/>
      <w:pPr>
        <w:tabs>
          <w:tab w:val="num" w:pos="2880"/>
        </w:tabs>
        <w:ind w:left="2880" w:hanging="360"/>
      </w:pPr>
      <w:rPr>
        <w:rFonts w:ascii="Arial" w:hAnsi="Arial" w:hint="default"/>
      </w:rPr>
    </w:lvl>
    <w:lvl w:ilvl="4" w:tplc="5008D9DE" w:tentative="1">
      <w:start w:val="1"/>
      <w:numFmt w:val="bullet"/>
      <w:lvlText w:val="•"/>
      <w:lvlJc w:val="left"/>
      <w:pPr>
        <w:tabs>
          <w:tab w:val="num" w:pos="3600"/>
        </w:tabs>
        <w:ind w:left="3600" w:hanging="360"/>
      </w:pPr>
      <w:rPr>
        <w:rFonts w:ascii="Arial" w:hAnsi="Arial" w:hint="default"/>
      </w:rPr>
    </w:lvl>
    <w:lvl w:ilvl="5" w:tplc="984AE246" w:tentative="1">
      <w:start w:val="1"/>
      <w:numFmt w:val="bullet"/>
      <w:lvlText w:val="•"/>
      <w:lvlJc w:val="left"/>
      <w:pPr>
        <w:tabs>
          <w:tab w:val="num" w:pos="4320"/>
        </w:tabs>
        <w:ind w:left="4320" w:hanging="360"/>
      </w:pPr>
      <w:rPr>
        <w:rFonts w:ascii="Arial" w:hAnsi="Arial" w:hint="default"/>
      </w:rPr>
    </w:lvl>
    <w:lvl w:ilvl="6" w:tplc="126C2544" w:tentative="1">
      <w:start w:val="1"/>
      <w:numFmt w:val="bullet"/>
      <w:lvlText w:val="•"/>
      <w:lvlJc w:val="left"/>
      <w:pPr>
        <w:tabs>
          <w:tab w:val="num" w:pos="5040"/>
        </w:tabs>
        <w:ind w:left="5040" w:hanging="360"/>
      </w:pPr>
      <w:rPr>
        <w:rFonts w:ascii="Arial" w:hAnsi="Arial" w:hint="default"/>
      </w:rPr>
    </w:lvl>
    <w:lvl w:ilvl="7" w:tplc="2086323A" w:tentative="1">
      <w:start w:val="1"/>
      <w:numFmt w:val="bullet"/>
      <w:lvlText w:val="•"/>
      <w:lvlJc w:val="left"/>
      <w:pPr>
        <w:tabs>
          <w:tab w:val="num" w:pos="5760"/>
        </w:tabs>
        <w:ind w:left="5760" w:hanging="360"/>
      </w:pPr>
      <w:rPr>
        <w:rFonts w:ascii="Arial" w:hAnsi="Arial" w:hint="default"/>
      </w:rPr>
    </w:lvl>
    <w:lvl w:ilvl="8" w:tplc="3C9C954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F4C7E2D"/>
    <w:multiLevelType w:val="hybridMultilevel"/>
    <w:tmpl w:val="614040A8"/>
    <w:lvl w:ilvl="0" w:tplc="C17C666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15:restartNumberingAfterBreak="0">
    <w:nsid w:val="70152AE8"/>
    <w:multiLevelType w:val="hybridMultilevel"/>
    <w:tmpl w:val="A1129D16"/>
    <w:lvl w:ilvl="0" w:tplc="ACB2CCB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663CD2"/>
    <w:multiLevelType w:val="multilevel"/>
    <w:tmpl w:val="73C4A876"/>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15:restartNumberingAfterBreak="0">
    <w:nsid w:val="75B85438"/>
    <w:multiLevelType w:val="hybridMultilevel"/>
    <w:tmpl w:val="E6D417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DDD4CB6"/>
    <w:multiLevelType w:val="multilevel"/>
    <w:tmpl w:val="46D835F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FB51390"/>
    <w:multiLevelType w:val="multilevel"/>
    <w:tmpl w:val="73C4A876"/>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803232802">
    <w:abstractNumId w:val="27"/>
  </w:num>
  <w:num w:numId="2" w16cid:durableId="1750686724">
    <w:abstractNumId w:val="38"/>
  </w:num>
  <w:num w:numId="3" w16cid:durableId="2032142391">
    <w:abstractNumId w:val="14"/>
  </w:num>
  <w:num w:numId="4" w16cid:durableId="1244533490">
    <w:abstractNumId w:val="29"/>
  </w:num>
  <w:num w:numId="5" w16cid:durableId="1007443821">
    <w:abstractNumId w:val="5"/>
  </w:num>
  <w:num w:numId="6" w16cid:durableId="448011679">
    <w:abstractNumId w:val="6"/>
  </w:num>
  <w:num w:numId="7" w16cid:durableId="1289240926">
    <w:abstractNumId w:val="22"/>
  </w:num>
  <w:num w:numId="8" w16cid:durableId="1937715490">
    <w:abstractNumId w:val="43"/>
  </w:num>
  <w:num w:numId="9" w16cid:durableId="1983925577">
    <w:abstractNumId w:val="40"/>
  </w:num>
  <w:num w:numId="10" w16cid:durableId="290017203">
    <w:abstractNumId w:val="3"/>
  </w:num>
  <w:num w:numId="11" w16cid:durableId="181089493">
    <w:abstractNumId w:val="16"/>
  </w:num>
  <w:num w:numId="12" w16cid:durableId="976959420">
    <w:abstractNumId w:val="25"/>
  </w:num>
  <w:num w:numId="13" w16cid:durableId="1617328053">
    <w:abstractNumId w:val="0"/>
  </w:num>
  <w:num w:numId="14" w16cid:durableId="2098550703">
    <w:abstractNumId w:val="21"/>
  </w:num>
  <w:num w:numId="15" w16cid:durableId="1616670180">
    <w:abstractNumId w:val="12"/>
  </w:num>
  <w:num w:numId="16" w16cid:durableId="682316405">
    <w:abstractNumId w:val="31"/>
  </w:num>
  <w:num w:numId="17" w16cid:durableId="702096564">
    <w:abstractNumId w:val="13"/>
  </w:num>
  <w:num w:numId="18" w16cid:durableId="70201224">
    <w:abstractNumId w:val="11"/>
  </w:num>
  <w:num w:numId="19" w16cid:durableId="499152219">
    <w:abstractNumId w:val="18"/>
  </w:num>
  <w:num w:numId="20" w16cid:durableId="401801407">
    <w:abstractNumId w:val="41"/>
  </w:num>
  <w:num w:numId="21" w16cid:durableId="638415055">
    <w:abstractNumId w:val="28"/>
  </w:num>
  <w:num w:numId="22" w16cid:durableId="74937237">
    <w:abstractNumId w:val="39"/>
  </w:num>
  <w:num w:numId="23" w16cid:durableId="747075014">
    <w:abstractNumId w:val="8"/>
  </w:num>
  <w:num w:numId="24" w16cid:durableId="1539078544">
    <w:abstractNumId w:val="15"/>
  </w:num>
  <w:num w:numId="25" w16cid:durableId="199634549">
    <w:abstractNumId w:val="19"/>
  </w:num>
  <w:num w:numId="26" w16cid:durableId="1997151248">
    <w:abstractNumId w:val="34"/>
  </w:num>
  <w:num w:numId="27" w16cid:durableId="1314794008">
    <w:abstractNumId w:val="30"/>
  </w:num>
  <w:num w:numId="28" w16cid:durableId="1720012825">
    <w:abstractNumId w:val="37"/>
  </w:num>
  <w:num w:numId="29" w16cid:durableId="1090931378">
    <w:abstractNumId w:val="7"/>
  </w:num>
  <w:num w:numId="30" w16cid:durableId="371393215">
    <w:abstractNumId w:val="35"/>
  </w:num>
  <w:num w:numId="31" w16cid:durableId="900941531">
    <w:abstractNumId w:val="9"/>
  </w:num>
  <w:num w:numId="32" w16cid:durableId="1030955644">
    <w:abstractNumId w:val="24"/>
  </w:num>
  <w:num w:numId="33" w16cid:durableId="685209382">
    <w:abstractNumId w:val="10"/>
  </w:num>
  <w:num w:numId="34" w16cid:durableId="492064623">
    <w:abstractNumId w:val="2"/>
  </w:num>
  <w:num w:numId="35" w16cid:durableId="1277443044">
    <w:abstractNumId w:val="32"/>
  </w:num>
  <w:num w:numId="36" w16cid:durableId="963080754">
    <w:abstractNumId w:val="4"/>
  </w:num>
  <w:num w:numId="37" w16cid:durableId="668870369">
    <w:abstractNumId w:val="26"/>
  </w:num>
  <w:num w:numId="38" w16cid:durableId="642464886">
    <w:abstractNumId w:val="20"/>
  </w:num>
  <w:num w:numId="39" w16cid:durableId="1510438178">
    <w:abstractNumId w:val="17"/>
  </w:num>
  <w:num w:numId="40" w16cid:durableId="1912496842">
    <w:abstractNumId w:val="36"/>
  </w:num>
  <w:num w:numId="41" w16cid:durableId="740251836">
    <w:abstractNumId w:val="23"/>
  </w:num>
  <w:num w:numId="42" w16cid:durableId="1033655441">
    <w:abstractNumId w:val="33"/>
  </w:num>
  <w:num w:numId="43" w16cid:durableId="1108695649">
    <w:abstractNumId w:val="42"/>
  </w:num>
  <w:num w:numId="44" w16cid:durableId="201518136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85E"/>
    <w:rsid w:val="00000ADA"/>
    <w:rsid w:val="00001183"/>
    <w:rsid w:val="00001BDD"/>
    <w:rsid w:val="0000419C"/>
    <w:rsid w:val="000044B1"/>
    <w:rsid w:val="00004E0A"/>
    <w:rsid w:val="00004EB5"/>
    <w:rsid w:val="00004EC1"/>
    <w:rsid w:val="00005BA2"/>
    <w:rsid w:val="0000629C"/>
    <w:rsid w:val="000067B7"/>
    <w:rsid w:val="0000757C"/>
    <w:rsid w:val="00007DD8"/>
    <w:rsid w:val="000112C8"/>
    <w:rsid w:val="000119D2"/>
    <w:rsid w:val="00013518"/>
    <w:rsid w:val="00013833"/>
    <w:rsid w:val="00013EC7"/>
    <w:rsid w:val="00013FC2"/>
    <w:rsid w:val="00014BB5"/>
    <w:rsid w:val="00014E45"/>
    <w:rsid w:val="00015780"/>
    <w:rsid w:val="000161C2"/>
    <w:rsid w:val="000167C5"/>
    <w:rsid w:val="00016847"/>
    <w:rsid w:val="00016E22"/>
    <w:rsid w:val="0001702C"/>
    <w:rsid w:val="000200F9"/>
    <w:rsid w:val="00020303"/>
    <w:rsid w:val="0002064B"/>
    <w:rsid w:val="00021070"/>
    <w:rsid w:val="0002126A"/>
    <w:rsid w:val="00021DC4"/>
    <w:rsid w:val="00021EC8"/>
    <w:rsid w:val="00023650"/>
    <w:rsid w:val="000245B6"/>
    <w:rsid w:val="0002469C"/>
    <w:rsid w:val="000246EF"/>
    <w:rsid w:val="00024A3D"/>
    <w:rsid w:val="0002500C"/>
    <w:rsid w:val="00025781"/>
    <w:rsid w:val="000258C8"/>
    <w:rsid w:val="000259E8"/>
    <w:rsid w:val="00025B22"/>
    <w:rsid w:val="00026585"/>
    <w:rsid w:val="0002677E"/>
    <w:rsid w:val="00030035"/>
    <w:rsid w:val="00030408"/>
    <w:rsid w:val="00031561"/>
    <w:rsid w:val="00031AB1"/>
    <w:rsid w:val="000327D9"/>
    <w:rsid w:val="00032EAA"/>
    <w:rsid w:val="00033B1C"/>
    <w:rsid w:val="00033F63"/>
    <w:rsid w:val="00034276"/>
    <w:rsid w:val="0003474A"/>
    <w:rsid w:val="000350DE"/>
    <w:rsid w:val="000352A5"/>
    <w:rsid w:val="00036299"/>
    <w:rsid w:val="00036AE8"/>
    <w:rsid w:val="000371BA"/>
    <w:rsid w:val="00037AF6"/>
    <w:rsid w:val="000403E6"/>
    <w:rsid w:val="0004081C"/>
    <w:rsid w:val="00041324"/>
    <w:rsid w:val="00041C8A"/>
    <w:rsid w:val="00041CA5"/>
    <w:rsid w:val="00042636"/>
    <w:rsid w:val="000434A0"/>
    <w:rsid w:val="000435A0"/>
    <w:rsid w:val="00043737"/>
    <w:rsid w:val="00043F3E"/>
    <w:rsid w:val="000442CA"/>
    <w:rsid w:val="00044627"/>
    <w:rsid w:val="00044DFD"/>
    <w:rsid w:val="00044E05"/>
    <w:rsid w:val="00045AA6"/>
    <w:rsid w:val="00046D6B"/>
    <w:rsid w:val="000474D1"/>
    <w:rsid w:val="00047800"/>
    <w:rsid w:val="00047E10"/>
    <w:rsid w:val="0005023D"/>
    <w:rsid w:val="00050816"/>
    <w:rsid w:val="00050C4E"/>
    <w:rsid w:val="00051B4A"/>
    <w:rsid w:val="00052108"/>
    <w:rsid w:val="00052761"/>
    <w:rsid w:val="0005393E"/>
    <w:rsid w:val="00054080"/>
    <w:rsid w:val="00054415"/>
    <w:rsid w:val="0005463B"/>
    <w:rsid w:val="00054D06"/>
    <w:rsid w:val="00055099"/>
    <w:rsid w:val="000557D8"/>
    <w:rsid w:val="00055AFA"/>
    <w:rsid w:val="00056537"/>
    <w:rsid w:val="000569C3"/>
    <w:rsid w:val="00056CFF"/>
    <w:rsid w:val="00056D99"/>
    <w:rsid w:val="00056FD5"/>
    <w:rsid w:val="0005765D"/>
    <w:rsid w:val="000600AE"/>
    <w:rsid w:val="000605BE"/>
    <w:rsid w:val="00060612"/>
    <w:rsid w:val="00060840"/>
    <w:rsid w:val="00061A48"/>
    <w:rsid w:val="00062076"/>
    <w:rsid w:val="00062493"/>
    <w:rsid w:val="00062C30"/>
    <w:rsid w:val="0006328A"/>
    <w:rsid w:val="0006360F"/>
    <w:rsid w:val="0006425B"/>
    <w:rsid w:val="0006445F"/>
    <w:rsid w:val="00064E72"/>
    <w:rsid w:val="00065050"/>
    <w:rsid w:val="000652B3"/>
    <w:rsid w:val="00066378"/>
    <w:rsid w:val="00066D3C"/>
    <w:rsid w:val="00067230"/>
    <w:rsid w:val="0006789C"/>
    <w:rsid w:val="00067AEC"/>
    <w:rsid w:val="00067C5A"/>
    <w:rsid w:val="00067CC9"/>
    <w:rsid w:val="000704A3"/>
    <w:rsid w:val="000706AE"/>
    <w:rsid w:val="00071A84"/>
    <w:rsid w:val="00071C6E"/>
    <w:rsid w:val="00072002"/>
    <w:rsid w:val="00072403"/>
    <w:rsid w:val="000731E5"/>
    <w:rsid w:val="00073BA3"/>
    <w:rsid w:val="000756CF"/>
    <w:rsid w:val="0007667A"/>
    <w:rsid w:val="00076F53"/>
    <w:rsid w:val="0007753B"/>
    <w:rsid w:val="000777CA"/>
    <w:rsid w:val="00077BC0"/>
    <w:rsid w:val="00077C36"/>
    <w:rsid w:val="00077D82"/>
    <w:rsid w:val="00077D97"/>
    <w:rsid w:val="000802D1"/>
    <w:rsid w:val="000807F2"/>
    <w:rsid w:val="000818C6"/>
    <w:rsid w:val="0008205D"/>
    <w:rsid w:val="00082803"/>
    <w:rsid w:val="00082C82"/>
    <w:rsid w:val="000840A0"/>
    <w:rsid w:val="00085082"/>
    <w:rsid w:val="000858BB"/>
    <w:rsid w:val="000859FE"/>
    <w:rsid w:val="0008622B"/>
    <w:rsid w:val="00086F0E"/>
    <w:rsid w:val="0008759A"/>
    <w:rsid w:val="00087BEC"/>
    <w:rsid w:val="00091138"/>
    <w:rsid w:val="000916B2"/>
    <w:rsid w:val="00091A0B"/>
    <w:rsid w:val="00092626"/>
    <w:rsid w:val="00092AE3"/>
    <w:rsid w:val="00094E3C"/>
    <w:rsid w:val="00094FB9"/>
    <w:rsid w:val="00095716"/>
    <w:rsid w:val="00095780"/>
    <w:rsid w:val="00095D43"/>
    <w:rsid w:val="00096DEC"/>
    <w:rsid w:val="00097C99"/>
    <w:rsid w:val="000A06FF"/>
    <w:rsid w:val="000A0923"/>
    <w:rsid w:val="000A0E03"/>
    <w:rsid w:val="000A1359"/>
    <w:rsid w:val="000A3798"/>
    <w:rsid w:val="000A3CD9"/>
    <w:rsid w:val="000A3D59"/>
    <w:rsid w:val="000A4013"/>
    <w:rsid w:val="000A4275"/>
    <w:rsid w:val="000A4D09"/>
    <w:rsid w:val="000A5151"/>
    <w:rsid w:val="000A5B84"/>
    <w:rsid w:val="000A640C"/>
    <w:rsid w:val="000A693A"/>
    <w:rsid w:val="000A6F57"/>
    <w:rsid w:val="000A7A3B"/>
    <w:rsid w:val="000A7D65"/>
    <w:rsid w:val="000B09C6"/>
    <w:rsid w:val="000B0CA9"/>
    <w:rsid w:val="000B2F53"/>
    <w:rsid w:val="000B3511"/>
    <w:rsid w:val="000B3F2E"/>
    <w:rsid w:val="000B4C22"/>
    <w:rsid w:val="000B57AC"/>
    <w:rsid w:val="000B5902"/>
    <w:rsid w:val="000B5AA1"/>
    <w:rsid w:val="000B6C85"/>
    <w:rsid w:val="000B6F0E"/>
    <w:rsid w:val="000B7E86"/>
    <w:rsid w:val="000C005E"/>
    <w:rsid w:val="000C0318"/>
    <w:rsid w:val="000C0FD9"/>
    <w:rsid w:val="000C132D"/>
    <w:rsid w:val="000C15D4"/>
    <w:rsid w:val="000C28F9"/>
    <w:rsid w:val="000C3236"/>
    <w:rsid w:val="000C340E"/>
    <w:rsid w:val="000C4450"/>
    <w:rsid w:val="000C5683"/>
    <w:rsid w:val="000C639B"/>
    <w:rsid w:val="000C65C5"/>
    <w:rsid w:val="000C6848"/>
    <w:rsid w:val="000C6FC8"/>
    <w:rsid w:val="000D028E"/>
    <w:rsid w:val="000D07FD"/>
    <w:rsid w:val="000D0A74"/>
    <w:rsid w:val="000D0CF5"/>
    <w:rsid w:val="000D192E"/>
    <w:rsid w:val="000D20F0"/>
    <w:rsid w:val="000D2633"/>
    <w:rsid w:val="000D2A29"/>
    <w:rsid w:val="000D3F6B"/>
    <w:rsid w:val="000D4458"/>
    <w:rsid w:val="000D51BE"/>
    <w:rsid w:val="000D59C5"/>
    <w:rsid w:val="000D5AB1"/>
    <w:rsid w:val="000D5CC2"/>
    <w:rsid w:val="000D5E25"/>
    <w:rsid w:val="000D6B12"/>
    <w:rsid w:val="000D6CF5"/>
    <w:rsid w:val="000E219D"/>
    <w:rsid w:val="000E2CC0"/>
    <w:rsid w:val="000E35AA"/>
    <w:rsid w:val="000E4165"/>
    <w:rsid w:val="000E4644"/>
    <w:rsid w:val="000E5415"/>
    <w:rsid w:val="000E54CC"/>
    <w:rsid w:val="000E624C"/>
    <w:rsid w:val="000E6C55"/>
    <w:rsid w:val="000E6EBB"/>
    <w:rsid w:val="000F01E3"/>
    <w:rsid w:val="000F1555"/>
    <w:rsid w:val="000F15C2"/>
    <w:rsid w:val="000F19A0"/>
    <w:rsid w:val="000F201E"/>
    <w:rsid w:val="000F20C8"/>
    <w:rsid w:val="000F3671"/>
    <w:rsid w:val="000F4215"/>
    <w:rsid w:val="000F45BA"/>
    <w:rsid w:val="000F4FFF"/>
    <w:rsid w:val="000F5879"/>
    <w:rsid w:val="000F70C5"/>
    <w:rsid w:val="000F7F6D"/>
    <w:rsid w:val="001003C0"/>
    <w:rsid w:val="00102045"/>
    <w:rsid w:val="00102289"/>
    <w:rsid w:val="00102332"/>
    <w:rsid w:val="00102DBD"/>
    <w:rsid w:val="00103373"/>
    <w:rsid w:val="00104B48"/>
    <w:rsid w:val="00104BF5"/>
    <w:rsid w:val="001050AB"/>
    <w:rsid w:val="00105AF0"/>
    <w:rsid w:val="00106321"/>
    <w:rsid w:val="00106CCD"/>
    <w:rsid w:val="00110535"/>
    <w:rsid w:val="00111AC5"/>
    <w:rsid w:val="00112246"/>
    <w:rsid w:val="00112465"/>
    <w:rsid w:val="001134C1"/>
    <w:rsid w:val="0011362D"/>
    <w:rsid w:val="0011393F"/>
    <w:rsid w:val="00113B21"/>
    <w:rsid w:val="001143C8"/>
    <w:rsid w:val="001146B7"/>
    <w:rsid w:val="001149BC"/>
    <w:rsid w:val="00115457"/>
    <w:rsid w:val="00115C96"/>
    <w:rsid w:val="00115D24"/>
    <w:rsid w:val="001161CB"/>
    <w:rsid w:val="00116A91"/>
    <w:rsid w:val="00117961"/>
    <w:rsid w:val="00117B09"/>
    <w:rsid w:val="00117B75"/>
    <w:rsid w:val="00117DA5"/>
    <w:rsid w:val="00117EB6"/>
    <w:rsid w:val="00117FD3"/>
    <w:rsid w:val="001206CC"/>
    <w:rsid w:val="001210CC"/>
    <w:rsid w:val="001210D3"/>
    <w:rsid w:val="00121824"/>
    <w:rsid w:val="00121CA8"/>
    <w:rsid w:val="00122404"/>
    <w:rsid w:val="0012254D"/>
    <w:rsid w:val="00122EC7"/>
    <w:rsid w:val="001233B3"/>
    <w:rsid w:val="00123554"/>
    <w:rsid w:val="00125625"/>
    <w:rsid w:val="00126E3E"/>
    <w:rsid w:val="00126F40"/>
    <w:rsid w:val="00126FE7"/>
    <w:rsid w:val="001273F3"/>
    <w:rsid w:val="00127872"/>
    <w:rsid w:val="00130744"/>
    <w:rsid w:val="0013173B"/>
    <w:rsid w:val="00133832"/>
    <w:rsid w:val="00134205"/>
    <w:rsid w:val="00134284"/>
    <w:rsid w:val="00134C03"/>
    <w:rsid w:val="00134EFD"/>
    <w:rsid w:val="001358D3"/>
    <w:rsid w:val="00135D2C"/>
    <w:rsid w:val="00136320"/>
    <w:rsid w:val="001364BF"/>
    <w:rsid w:val="001364D6"/>
    <w:rsid w:val="0013748A"/>
    <w:rsid w:val="00137900"/>
    <w:rsid w:val="00137C04"/>
    <w:rsid w:val="00140472"/>
    <w:rsid w:val="001406EA"/>
    <w:rsid w:val="001410DA"/>
    <w:rsid w:val="0014110B"/>
    <w:rsid w:val="00141124"/>
    <w:rsid w:val="00141207"/>
    <w:rsid w:val="001420E1"/>
    <w:rsid w:val="0014248F"/>
    <w:rsid w:val="00142532"/>
    <w:rsid w:val="00142A63"/>
    <w:rsid w:val="00143608"/>
    <w:rsid w:val="00145278"/>
    <w:rsid w:val="001452F3"/>
    <w:rsid w:val="001458E0"/>
    <w:rsid w:val="00145904"/>
    <w:rsid w:val="00145D39"/>
    <w:rsid w:val="00145E3B"/>
    <w:rsid w:val="00145FD3"/>
    <w:rsid w:val="001460BC"/>
    <w:rsid w:val="00146BF4"/>
    <w:rsid w:val="00146D7C"/>
    <w:rsid w:val="00147E13"/>
    <w:rsid w:val="00150574"/>
    <w:rsid w:val="00150B28"/>
    <w:rsid w:val="001512C5"/>
    <w:rsid w:val="001519D5"/>
    <w:rsid w:val="00152309"/>
    <w:rsid w:val="00152679"/>
    <w:rsid w:val="0015303D"/>
    <w:rsid w:val="0015321A"/>
    <w:rsid w:val="00153972"/>
    <w:rsid w:val="00153CB6"/>
    <w:rsid w:val="00154699"/>
    <w:rsid w:val="001553C0"/>
    <w:rsid w:val="001565BE"/>
    <w:rsid w:val="00156700"/>
    <w:rsid w:val="00156A3E"/>
    <w:rsid w:val="00156B15"/>
    <w:rsid w:val="00156B2F"/>
    <w:rsid w:val="00156E17"/>
    <w:rsid w:val="00157652"/>
    <w:rsid w:val="001577A7"/>
    <w:rsid w:val="00157CE9"/>
    <w:rsid w:val="00157EA6"/>
    <w:rsid w:val="00160E77"/>
    <w:rsid w:val="001615FD"/>
    <w:rsid w:val="00161686"/>
    <w:rsid w:val="00161C0B"/>
    <w:rsid w:val="00161C56"/>
    <w:rsid w:val="0016208C"/>
    <w:rsid w:val="001626CA"/>
    <w:rsid w:val="001631FE"/>
    <w:rsid w:val="001636C9"/>
    <w:rsid w:val="00163781"/>
    <w:rsid w:val="00163C98"/>
    <w:rsid w:val="00163E54"/>
    <w:rsid w:val="001644F2"/>
    <w:rsid w:val="00164B54"/>
    <w:rsid w:val="0016573C"/>
    <w:rsid w:val="00166783"/>
    <w:rsid w:val="0016691C"/>
    <w:rsid w:val="00166FEE"/>
    <w:rsid w:val="00167635"/>
    <w:rsid w:val="00167850"/>
    <w:rsid w:val="00167B44"/>
    <w:rsid w:val="00167B7D"/>
    <w:rsid w:val="00170BDF"/>
    <w:rsid w:val="001710D1"/>
    <w:rsid w:val="001714A4"/>
    <w:rsid w:val="00171BE2"/>
    <w:rsid w:val="00171D5B"/>
    <w:rsid w:val="00172152"/>
    <w:rsid w:val="001727A2"/>
    <w:rsid w:val="00172CDE"/>
    <w:rsid w:val="00173B5B"/>
    <w:rsid w:val="00173E54"/>
    <w:rsid w:val="001743AD"/>
    <w:rsid w:val="001743FA"/>
    <w:rsid w:val="00174CA3"/>
    <w:rsid w:val="00175803"/>
    <w:rsid w:val="00175932"/>
    <w:rsid w:val="001761C6"/>
    <w:rsid w:val="00176DA9"/>
    <w:rsid w:val="00176E3F"/>
    <w:rsid w:val="00176E89"/>
    <w:rsid w:val="001806B8"/>
    <w:rsid w:val="00180A9C"/>
    <w:rsid w:val="00181081"/>
    <w:rsid w:val="0018152D"/>
    <w:rsid w:val="00181850"/>
    <w:rsid w:val="00182151"/>
    <w:rsid w:val="001830C0"/>
    <w:rsid w:val="00183A04"/>
    <w:rsid w:val="00183B84"/>
    <w:rsid w:val="001849CD"/>
    <w:rsid w:val="00185AF4"/>
    <w:rsid w:val="00185B24"/>
    <w:rsid w:val="00185C4F"/>
    <w:rsid w:val="001879B8"/>
    <w:rsid w:val="00187E9D"/>
    <w:rsid w:val="0019128C"/>
    <w:rsid w:val="0019148B"/>
    <w:rsid w:val="001915B6"/>
    <w:rsid w:val="00191989"/>
    <w:rsid w:val="00192211"/>
    <w:rsid w:val="00192EAE"/>
    <w:rsid w:val="001937E6"/>
    <w:rsid w:val="00194193"/>
    <w:rsid w:val="00194EC7"/>
    <w:rsid w:val="001950BD"/>
    <w:rsid w:val="0019694E"/>
    <w:rsid w:val="00196D6D"/>
    <w:rsid w:val="00196ED7"/>
    <w:rsid w:val="001970ED"/>
    <w:rsid w:val="00197A9A"/>
    <w:rsid w:val="00197D4F"/>
    <w:rsid w:val="001A03FA"/>
    <w:rsid w:val="001A0897"/>
    <w:rsid w:val="001A0DC7"/>
    <w:rsid w:val="001A1563"/>
    <w:rsid w:val="001A178D"/>
    <w:rsid w:val="001A195F"/>
    <w:rsid w:val="001A1AED"/>
    <w:rsid w:val="001A1CE4"/>
    <w:rsid w:val="001A1FBE"/>
    <w:rsid w:val="001A206E"/>
    <w:rsid w:val="001A2B4E"/>
    <w:rsid w:val="001A2B8C"/>
    <w:rsid w:val="001A2CE5"/>
    <w:rsid w:val="001A2E7D"/>
    <w:rsid w:val="001A38D1"/>
    <w:rsid w:val="001A39E9"/>
    <w:rsid w:val="001A3FBB"/>
    <w:rsid w:val="001A4B9B"/>
    <w:rsid w:val="001A4F76"/>
    <w:rsid w:val="001A5B5E"/>
    <w:rsid w:val="001A6EA9"/>
    <w:rsid w:val="001A73BD"/>
    <w:rsid w:val="001A7429"/>
    <w:rsid w:val="001A769C"/>
    <w:rsid w:val="001B0712"/>
    <w:rsid w:val="001B19B5"/>
    <w:rsid w:val="001B1BB2"/>
    <w:rsid w:val="001B39A2"/>
    <w:rsid w:val="001B42F3"/>
    <w:rsid w:val="001B4DC5"/>
    <w:rsid w:val="001B55FC"/>
    <w:rsid w:val="001B5A2F"/>
    <w:rsid w:val="001B5DF5"/>
    <w:rsid w:val="001B62D7"/>
    <w:rsid w:val="001B6388"/>
    <w:rsid w:val="001B66FE"/>
    <w:rsid w:val="001B6AAE"/>
    <w:rsid w:val="001B757D"/>
    <w:rsid w:val="001C0184"/>
    <w:rsid w:val="001C0681"/>
    <w:rsid w:val="001C0D91"/>
    <w:rsid w:val="001C1070"/>
    <w:rsid w:val="001C1E3C"/>
    <w:rsid w:val="001C2809"/>
    <w:rsid w:val="001C2945"/>
    <w:rsid w:val="001C305F"/>
    <w:rsid w:val="001C313B"/>
    <w:rsid w:val="001C3FEE"/>
    <w:rsid w:val="001C4446"/>
    <w:rsid w:val="001C5794"/>
    <w:rsid w:val="001C60E2"/>
    <w:rsid w:val="001C6F30"/>
    <w:rsid w:val="001C74CF"/>
    <w:rsid w:val="001D0B50"/>
    <w:rsid w:val="001D0F94"/>
    <w:rsid w:val="001D0FF5"/>
    <w:rsid w:val="001D2614"/>
    <w:rsid w:val="001D2926"/>
    <w:rsid w:val="001D29ED"/>
    <w:rsid w:val="001D3B1D"/>
    <w:rsid w:val="001D3DFC"/>
    <w:rsid w:val="001D43B6"/>
    <w:rsid w:val="001D4BD8"/>
    <w:rsid w:val="001D6234"/>
    <w:rsid w:val="001D6B8B"/>
    <w:rsid w:val="001D7587"/>
    <w:rsid w:val="001D779F"/>
    <w:rsid w:val="001E000F"/>
    <w:rsid w:val="001E04D8"/>
    <w:rsid w:val="001E1903"/>
    <w:rsid w:val="001E2924"/>
    <w:rsid w:val="001E296A"/>
    <w:rsid w:val="001E2F4D"/>
    <w:rsid w:val="001E349F"/>
    <w:rsid w:val="001E36C0"/>
    <w:rsid w:val="001E4682"/>
    <w:rsid w:val="001E54EC"/>
    <w:rsid w:val="001E5861"/>
    <w:rsid w:val="001E5B52"/>
    <w:rsid w:val="001E6248"/>
    <w:rsid w:val="001E64D3"/>
    <w:rsid w:val="001E676B"/>
    <w:rsid w:val="001E7457"/>
    <w:rsid w:val="001F0E97"/>
    <w:rsid w:val="001F1226"/>
    <w:rsid w:val="001F1719"/>
    <w:rsid w:val="001F29E1"/>
    <w:rsid w:val="001F2CD7"/>
    <w:rsid w:val="001F44C1"/>
    <w:rsid w:val="001F48E7"/>
    <w:rsid w:val="001F4A4A"/>
    <w:rsid w:val="001F5409"/>
    <w:rsid w:val="001F5937"/>
    <w:rsid w:val="001F5DC0"/>
    <w:rsid w:val="001F5E7D"/>
    <w:rsid w:val="001F6438"/>
    <w:rsid w:val="001F7032"/>
    <w:rsid w:val="001F721C"/>
    <w:rsid w:val="001F7C53"/>
    <w:rsid w:val="00200292"/>
    <w:rsid w:val="00200CE5"/>
    <w:rsid w:val="00201474"/>
    <w:rsid w:val="00201641"/>
    <w:rsid w:val="00202490"/>
    <w:rsid w:val="002028CA"/>
    <w:rsid w:val="002029FB"/>
    <w:rsid w:val="00202DA8"/>
    <w:rsid w:val="00203F7D"/>
    <w:rsid w:val="00204296"/>
    <w:rsid w:val="00204825"/>
    <w:rsid w:val="002052AA"/>
    <w:rsid w:val="0020536D"/>
    <w:rsid w:val="00205BFB"/>
    <w:rsid w:val="002060F3"/>
    <w:rsid w:val="002065A4"/>
    <w:rsid w:val="00206637"/>
    <w:rsid w:val="00206CDF"/>
    <w:rsid w:val="0020704B"/>
    <w:rsid w:val="002074AC"/>
    <w:rsid w:val="00207975"/>
    <w:rsid w:val="0021095D"/>
    <w:rsid w:val="002110BB"/>
    <w:rsid w:val="002115AC"/>
    <w:rsid w:val="002125C0"/>
    <w:rsid w:val="00212791"/>
    <w:rsid w:val="00213D17"/>
    <w:rsid w:val="00214913"/>
    <w:rsid w:val="00214999"/>
    <w:rsid w:val="00215E16"/>
    <w:rsid w:val="0021624F"/>
    <w:rsid w:val="00216955"/>
    <w:rsid w:val="00216B0C"/>
    <w:rsid w:val="00216B7A"/>
    <w:rsid w:val="002176B7"/>
    <w:rsid w:val="00217ACC"/>
    <w:rsid w:val="002205C4"/>
    <w:rsid w:val="0022162C"/>
    <w:rsid w:val="00221848"/>
    <w:rsid w:val="00221B2F"/>
    <w:rsid w:val="00221CD5"/>
    <w:rsid w:val="00223582"/>
    <w:rsid w:val="00223E78"/>
    <w:rsid w:val="002242FA"/>
    <w:rsid w:val="002243EE"/>
    <w:rsid w:val="002245BA"/>
    <w:rsid w:val="002246C0"/>
    <w:rsid w:val="00224C96"/>
    <w:rsid w:val="00224FB2"/>
    <w:rsid w:val="0022509E"/>
    <w:rsid w:val="00225E31"/>
    <w:rsid w:val="00226743"/>
    <w:rsid w:val="002267AD"/>
    <w:rsid w:val="00226971"/>
    <w:rsid w:val="0022701F"/>
    <w:rsid w:val="002270DB"/>
    <w:rsid w:val="002272FD"/>
    <w:rsid w:val="00227413"/>
    <w:rsid w:val="00227E9F"/>
    <w:rsid w:val="002300F7"/>
    <w:rsid w:val="0023078B"/>
    <w:rsid w:val="002316DC"/>
    <w:rsid w:val="00231CC8"/>
    <w:rsid w:val="00232240"/>
    <w:rsid w:val="00232DF2"/>
    <w:rsid w:val="00233A0F"/>
    <w:rsid w:val="00234279"/>
    <w:rsid w:val="0023444B"/>
    <w:rsid w:val="00234CDB"/>
    <w:rsid w:val="00234DA7"/>
    <w:rsid w:val="00234FE0"/>
    <w:rsid w:val="00235297"/>
    <w:rsid w:val="002358FD"/>
    <w:rsid w:val="00235BD5"/>
    <w:rsid w:val="00236605"/>
    <w:rsid w:val="0023671B"/>
    <w:rsid w:val="00236C9E"/>
    <w:rsid w:val="0023733E"/>
    <w:rsid w:val="00237760"/>
    <w:rsid w:val="002378B6"/>
    <w:rsid w:val="002407A3"/>
    <w:rsid w:val="00241286"/>
    <w:rsid w:val="0024160D"/>
    <w:rsid w:val="002423C8"/>
    <w:rsid w:val="00242D00"/>
    <w:rsid w:val="00242D3B"/>
    <w:rsid w:val="00243220"/>
    <w:rsid w:val="002436B5"/>
    <w:rsid w:val="0024476A"/>
    <w:rsid w:val="002447FA"/>
    <w:rsid w:val="00244BE0"/>
    <w:rsid w:val="00244E0A"/>
    <w:rsid w:val="00245024"/>
    <w:rsid w:val="00245A43"/>
    <w:rsid w:val="00245EED"/>
    <w:rsid w:val="0024618C"/>
    <w:rsid w:val="00250287"/>
    <w:rsid w:val="00250373"/>
    <w:rsid w:val="00250721"/>
    <w:rsid w:val="002513F6"/>
    <w:rsid w:val="0025158C"/>
    <w:rsid w:val="0025183A"/>
    <w:rsid w:val="00251931"/>
    <w:rsid w:val="00252544"/>
    <w:rsid w:val="00252B23"/>
    <w:rsid w:val="00252BDC"/>
    <w:rsid w:val="00252F40"/>
    <w:rsid w:val="0025311D"/>
    <w:rsid w:val="00253634"/>
    <w:rsid w:val="00254302"/>
    <w:rsid w:val="00254E22"/>
    <w:rsid w:val="002555B4"/>
    <w:rsid w:val="002555D5"/>
    <w:rsid w:val="0025580C"/>
    <w:rsid w:val="002569D1"/>
    <w:rsid w:val="00256B16"/>
    <w:rsid w:val="00256C42"/>
    <w:rsid w:val="00257C26"/>
    <w:rsid w:val="0026095D"/>
    <w:rsid w:val="002611C0"/>
    <w:rsid w:val="002616D8"/>
    <w:rsid w:val="0026194A"/>
    <w:rsid w:val="00262229"/>
    <w:rsid w:val="00262E00"/>
    <w:rsid w:val="0026372B"/>
    <w:rsid w:val="0026404A"/>
    <w:rsid w:val="002645B5"/>
    <w:rsid w:val="00266AA5"/>
    <w:rsid w:val="00267ADD"/>
    <w:rsid w:val="00267EEC"/>
    <w:rsid w:val="00270980"/>
    <w:rsid w:val="00271095"/>
    <w:rsid w:val="0027190C"/>
    <w:rsid w:val="00272968"/>
    <w:rsid w:val="00274F92"/>
    <w:rsid w:val="00274FFF"/>
    <w:rsid w:val="0027579A"/>
    <w:rsid w:val="002757B4"/>
    <w:rsid w:val="00276325"/>
    <w:rsid w:val="00277564"/>
    <w:rsid w:val="00280646"/>
    <w:rsid w:val="00280ACB"/>
    <w:rsid w:val="00280CED"/>
    <w:rsid w:val="00280DD2"/>
    <w:rsid w:val="002810A0"/>
    <w:rsid w:val="002811FC"/>
    <w:rsid w:val="002815D6"/>
    <w:rsid w:val="00282708"/>
    <w:rsid w:val="00282CCC"/>
    <w:rsid w:val="00282E27"/>
    <w:rsid w:val="002836AA"/>
    <w:rsid w:val="002837AD"/>
    <w:rsid w:val="00283809"/>
    <w:rsid w:val="00283E22"/>
    <w:rsid w:val="00284B22"/>
    <w:rsid w:val="002856B2"/>
    <w:rsid w:val="002862A0"/>
    <w:rsid w:val="002867EC"/>
    <w:rsid w:val="002869B0"/>
    <w:rsid w:val="00286E06"/>
    <w:rsid w:val="00286F75"/>
    <w:rsid w:val="0029001F"/>
    <w:rsid w:val="002905EF"/>
    <w:rsid w:val="00290F70"/>
    <w:rsid w:val="00291484"/>
    <w:rsid w:val="00291615"/>
    <w:rsid w:val="00292E7E"/>
    <w:rsid w:val="00293905"/>
    <w:rsid w:val="00294CB8"/>
    <w:rsid w:val="00295856"/>
    <w:rsid w:val="00295E4B"/>
    <w:rsid w:val="00296015"/>
    <w:rsid w:val="00296932"/>
    <w:rsid w:val="00296BC9"/>
    <w:rsid w:val="00296F56"/>
    <w:rsid w:val="002978F2"/>
    <w:rsid w:val="00297A02"/>
    <w:rsid w:val="002A119C"/>
    <w:rsid w:val="002A12E9"/>
    <w:rsid w:val="002A18EB"/>
    <w:rsid w:val="002A21E9"/>
    <w:rsid w:val="002A2221"/>
    <w:rsid w:val="002A285E"/>
    <w:rsid w:val="002A28B6"/>
    <w:rsid w:val="002A294A"/>
    <w:rsid w:val="002A2C3A"/>
    <w:rsid w:val="002A2EE3"/>
    <w:rsid w:val="002A38C8"/>
    <w:rsid w:val="002A3EBB"/>
    <w:rsid w:val="002A4064"/>
    <w:rsid w:val="002A4E67"/>
    <w:rsid w:val="002A6CD0"/>
    <w:rsid w:val="002A6CF4"/>
    <w:rsid w:val="002A7029"/>
    <w:rsid w:val="002A78AD"/>
    <w:rsid w:val="002A7BE2"/>
    <w:rsid w:val="002B079C"/>
    <w:rsid w:val="002B0881"/>
    <w:rsid w:val="002B0894"/>
    <w:rsid w:val="002B093F"/>
    <w:rsid w:val="002B0C9B"/>
    <w:rsid w:val="002B0E90"/>
    <w:rsid w:val="002B13D5"/>
    <w:rsid w:val="002B1624"/>
    <w:rsid w:val="002B16F8"/>
    <w:rsid w:val="002B1EDF"/>
    <w:rsid w:val="002B2DB4"/>
    <w:rsid w:val="002B3903"/>
    <w:rsid w:val="002B3E65"/>
    <w:rsid w:val="002B4FA5"/>
    <w:rsid w:val="002B5659"/>
    <w:rsid w:val="002B59C9"/>
    <w:rsid w:val="002B5CDC"/>
    <w:rsid w:val="002B620F"/>
    <w:rsid w:val="002B65C1"/>
    <w:rsid w:val="002B673B"/>
    <w:rsid w:val="002B7124"/>
    <w:rsid w:val="002C021A"/>
    <w:rsid w:val="002C15AB"/>
    <w:rsid w:val="002C17B4"/>
    <w:rsid w:val="002C19B0"/>
    <w:rsid w:val="002C19C1"/>
    <w:rsid w:val="002C208F"/>
    <w:rsid w:val="002C23AD"/>
    <w:rsid w:val="002C299E"/>
    <w:rsid w:val="002C3ED6"/>
    <w:rsid w:val="002C4A93"/>
    <w:rsid w:val="002C4BB9"/>
    <w:rsid w:val="002C5198"/>
    <w:rsid w:val="002C6283"/>
    <w:rsid w:val="002C6E44"/>
    <w:rsid w:val="002C6F15"/>
    <w:rsid w:val="002C7949"/>
    <w:rsid w:val="002C7D93"/>
    <w:rsid w:val="002D02BB"/>
    <w:rsid w:val="002D044D"/>
    <w:rsid w:val="002D04EC"/>
    <w:rsid w:val="002D05B0"/>
    <w:rsid w:val="002D1AC4"/>
    <w:rsid w:val="002D1BD8"/>
    <w:rsid w:val="002D1C27"/>
    <w:rsid w:val="002D1F7B"/>
    <w:rsid w:val="002D2460"/>
    <w:rsid w:val="002D2A40"/>
    <w:rsid w:val="002D4188"/>
    <w:rsid w:val="002D4DDA"/>
    <w:rsid w:val="002D518A"/>
    <w:rsid w:val="002D5589"/>
    <w:rsid w:val="002D59EB"/>
    <w:rsid w:val="002D6001"/>
    <w:rsid w:val="002D7022"/>
    <w:rsid w:val="002D7027"/>
    <w:rsid w:val="002D79A3"/>
    <w:rsid w:val="002D7BEB"/>
    <w:rsid w:val="002D7CF4"/>
    <w:rsid w:val="002E0BC7"/>
    <w:rsid w:val="002E0D7A"/>
    <w:rsid w:val="002E1004"/>
    <w:rsid w:val="002E14E7"/>
    <w:rsid w:val="002E153D"/>
    <w:rsid w:val="002E167A"/>
    <w:rsid w:val="002E1BDD"/>
    <w:rsid w:val="002E228C"/>
    <w:rsid w:val="002E2BE4"/>
    <w:rsid w:val="002E2CAB"/>
    <w:rsid w:val="002E2EBE"/>
    <w:rsid w:val="002E3841"/>
    <w:rsid w:val="002E411C"/>
    <w:rsid w:val="002E45E1"/>
    <w:rsid w:val="002E4798"/>
    <w:rsid w:val="002E47C1"/>
    <w:rsid w:val="002E4DBB"/>
    <w:rsid w:val="002E4F16"/>
    <w:rsid w:val="002E5767"/>
    <w:rsid w:val="002E595A"/>
    <w:rsid w:val="002E5B09"/>
    <w:rsid w:val="002E5CAB"/>
    <w:rsid w:val="002E68F2"/>
    <w:rsid w:val="002E6938"/>
    <w:rsid w:val="002E6B08"/>
    <w:rsid w:val="002E6E2E"/>
    <w:rsid w:val="002E6F0E"/>
    <w:rsid w:val="002E6F15"/>
    <w:rsid w:val="002E7082"/>
    <w:rsid w:val="002E719C"/>
    <w:rsid w:val="002E78CB"/>
    <w:rsid w:val="002F0324"/>
    <w:rsid w:val="002F129F"/>
    <w:rsid w:val="002F287F"/>
    <w:rsid w:val="002F2965"/>
    <w:rsid w:val="002F2AFC"/>
    <w:rsid w:val="002F3296"/>
    <w:rsid w:val="002F33B1"/>
    <w:rsid w:val="002F35E7"/>
    <w:rsid w:val="002F5227"/>
    <w:rsid w:val="002F557D"/>
    <w:rsid w:val="002F57B8"/>
    <w:rsid w:val="002F6711"/>
    <w:rsid w:val="002F6EDC"/>
    <w:rsid w:val="002F7521"/>
    <w:rsid w:val="002F7611"/>
    <w:rsid w:val="002F7E1B"/>
    <w:rsid w:val="0030214B"/>
    <w:rsid w:val="0030269F"/>
    <w:rsid w:val="00302DE6"/>
    <w:rsid w:val="00303054"/>
    <w:rsid w:val="00303B2A"/>
    <w:rsid w:val="00304794"/>
    <w:rsid w:val="00304BF6"/>
    <w:rsid w:val="003055FD"/>
    <w:rsid w:val="003060A1"/>
    <w:rsid w:val="003075B6"/>
    <w:rsid w:val="00307650"/>
    <w:rsid w:val="00307AA4"/>
    <w:rsid w:val="003101A4"/>
    <w:rsid w:val="0031067D"/>
    <w:rsid w:val="00310783"/>
    <w:rsid w:val="00310920"/>
    <w:rsid w:val="00310A23"/>
    <w:rsid w:val="00310E4A"/>
    <w:rsid w:val="00312425"/>
    <w:rsid w:val="00312521"/>
    <w:rsid w:val="00312AD5"/>
    <w:rsid w:val="00312DD1"/>
    <w:rsid w:val="0031370C"/>
    <w:rsid w:val="00313882"/>
    <w:rsid w:val="003150FF"/>
    <w:rsid w:val="003166D9"/>
    <w:rsid w:val="00320230"/>
    <w:rsid w:val="00320249"/>
    <w:rsid w:val="003204EE"/>
    <w:rsid w:val="0032099C"/>
    <w:rsid w:val="00321D40"/>
    <w:rsid w:val="00322F6D"/>
    <w:rsid w:val="0032376E"/>
    <w:rsid w:val="00324035"/>
    <w:rsid w:val="0032439F"/>
    <w:rsid w:val="00324C07"/>
    <w:rsid w:val="00324C37"/>
    <w:rsid w:val="00324E27"/>
    <w:rsid w:val="00325764"/>
    <w:rsid w:val="00326794"/>
    <w:rsid w:val="00326D68"/>
    <w:rsid w:val="00327359"/>
    <w:rsid w:val="0032784E"/>
    <w:rsid w:val="003278B8"/>
    <w:rsid w:val="00327AAF"/>
    <w:rsid w:val="00330C19"/>
    <w:rsid w:val="00331083"/>
    <w:rsid w:val="003310C0"/>
    <w:rsid w:val="003310E3"/>
    <w:rsid w:val="00331FE2"/>
    <w:rsid w:val="0033271D"/>
    <w:rsid w:val="00332750"/>
    <w:rsid w:val="00332910"/>
    <w:rsid w:val="00332C81"/>
    <w:rsid w:val="00333109"/>
    <w:rsid w:val="00333FD5"/>
    <w:rsid w:val="003347F5"/>
    <w:rsid w:val="00334B74"/>
    <w:rsid w:val="00334D8F"/>
    <w:rsid w:val="003352D4"/>
    <w:rsid w:val="00335461"/>
    <w:rsid w:val="00335700"/>
    <w:rsid w:val="00335844"/>
    <w:rsid w:val="00336524"/>
    <w:rsid w:val="003367ED"/>
    <w:rsid w:val="003371FA"/>
    <w:rsid w:val="003376F0"/>
    <w:rsid w:val="00337C8E"/>
    <w:rsid w:val="003408B2"/>
    <w:rsid w:val="00340E40"/>
    <w:rsid w:val="0034104C"/>
    <w:rsid w:val="00341584"/>
    <w:rsid w:val="003419A3"/>
    <w:rsid w:val="00341E41"/>
    <w:rsid w:val="00342262"/>
    <w:rsid w:val="003424F6"/>
    <w:rsid w:val="003424F9"/>
    <w:rsid w:val="003427CD"/>
    <w:rsid w:val="00342C55"/>
    <w:rsid w:val="00343E3D"/>
    <w:rsid w:val="0034433D"/>
    <w:rsid w:val="00344D11"/>
    <w:rsid w:val="00344FE0"/>
    <w:rsid w:val="0034508C"/>
    <w:rsid w:val="003451E8"/>
    <w:rsid w:val="00345474"/>
    <w:rsid w:val="0034666A"/>
    <w:rsid w:val="003508F6"/>
    <w:rsid w:val="00350AD0"/>
    <w:rsid w:val="00351146"/>
    <w:rsid w:val="003514DF"/>
    <w:rsid w:val="00351585"/>
    <w:rsid w:val="00352221"/>
    <w:rsid w:val="003529C1"/>
    <w:rsid w:val="00352B19"/>
    <w:rsid w:val="00353068"/>
    <w:rsid w:val="0035328E"/>
    <w:rsid w:val="00353F9D"/>
    <w:rsid w:val="00354EFD"/>
    <w:rsid w:val="00355EF1"/>
    <w:rsid w:val="00356170"/>
    <w:rsid w:val="003577B4"/>
    <w:rsid w:val="00357BED"/>
    <w:rsid w:val="003604D6"/>
    <w:rsid w:val="003614F4"/>
    <w:rsid w:val="0036187B"/>
    <w:rsid w:val="003626CE"/>
    <w:rsid w:val="003629E6"/>
    <w:rsid w:val="00362F69"/>
    <w:rsid w:val="0036347A"/>
    <w:rsid w:val="00363A0F"/>
    <w:rsid w:val="00363AFD"/>
    <w:rsid w:val="00363B3A"/>
    <w:rsid w:val="00364461"/>
    <w:rsid w:val="00364AA7"/>
    <w:rsid w:val="00364CF7"/>
    <w:rsid w:val="00364DEC"/>
    <w:rsid w:val="003662E7"/>
    <w:rsid w:val="00366742"/>
    <w:rsid w:val="003667AE"/>
    <w:rsid w:val="003669D4"/>
    <w:rsid w:val="00366A44"/>
    <w:rsid w:val="00367471"/>
    <w:rsid w:val="00370100"/>
    <w:rsid w:val="00370396"/>
    <w:rsid w:val="003711E4"/>
    <w:rsid w:val="00371A7F"/>
    <w:rsid w:val="0037326F"/>
    <w:rsid w:val="00373C98"/>
    <w:rsid w:val="003740EA"/>
    <w:rsid w:val="00374A39"/>
    <w:rsid w:val="003767CC"/>
    <w:rsid w:val="00376D1C"/>
    <w:rsid w:val="003778D2"/>
    <w:rsid w:val="00380D85"/>
    <w:rsid w:val="003815AB"/>
    <w:rsid w:val="00381A18"/>
    <w:rsid w:val="00381B10"/>
    <w:rsid w:val="00381DBF"/>
    <w:rsid w:val="00381E72"/>
    <w:rsid w:val="00381EF6"/>
    <w:rsid w:val="0038206D"/>
    <w:rsid w:val="0038234E"/>
    <w:rsid w:val="00382DE3"/>
    <w:rsid w:val="00383043"/>
    <w:rsid w:val="00383301"/>
    <w:rsid w:val="0038376C"/>
    <w:rsid w:val="00383A3F"/>
    <w:rsid w:val="00383DBE"/>
    <w:rsid w:val="00383E08"/>
    <w:rsid w:val="00383F53"/>
    <w:rsid w:val="0038452F"/>
    <w:rsid w:val="003859DE"/>
    <w:rsid w:val="00385C50"/>
    <w:rsid w:val="0038630D"/>
    <w:rsid w:val="00386688"/>
    <w:rsid w:val="0038707B"/>
    <w:rsid w:val="00387120"/>
    <w:rsid w:val="00387E96"/>
    <w:rsid w:val="00387F7E"/>
    <w:rsid w:val="00390414"/>
    <w:rsid w:val="003906BC"/>
    <w:rsid w:val="00390DB6"/>
    <w:rsid w:val="00391228"/>
    <w:rsid w:val="0039189F"/>
    <w:rsid w:val="00391F19"/>
    <w:rsid w:val="003923D3"/>
    <w:rsid w:val="003924EF"/>
    <w:rsid w:val="00392CEB"/>
    <w:rsid w:val="00393531"/>
    <w:rsid w:val="00393D2F"/>
    <w:rsid w:val="00394046"/>
    <w:rsid w:val="00394678"/>
    <w:rsid w:val="0039499E"/>
    <w:rsid w:val="003967BF"/>
    <w:rsid w:val="00396F6A"/>
    <w:rsid w:val="00397182"/>
    <w:rsid w:val="00397303"/>
    <w:rsid w:val="003978AB"/>
    <w:rsid w:val="003979C2"/>
    <w:rsid w:val="003A065B"/>
    <w:rsid w:val="003A1BB9"/>
    <w:rsid w:val="003A2504"/>
    <w:rsid w:val="003A292F"/>
    <w:rsid w:val="003A29DF"/>
    <w:rsid w:val="003A29E7"/>
    <w:rsid w:val="003A2DE8"/>
    <w:rsid w:val="003A3002"/>
    <w:rsid w:val="003A358B"/>
    <w:rsid w:val="003A3663"/>
    <w:rsid w:val="003A3B2E"/>
    <w:rsid w:val="003A3B4F"/>
    <w:rsid w:val="003A4031"/>
    <w:rsid w:val="003A52EE"/>
    <w:rsid w:val="003A5529"/>
    <w:rsid w:val="003A57F5"/>
    <w:rsid w:val="003A6381"/>
    <w:rsid w:val="003A7600"/>
    <w:rsid w:val="003B0860"/>
    <w:rsid w:val="003B09CD"/>
    <w:rsid w:val="003B0A4F"/>
    <w:rsid w:val="003B1077"/>
    <w:rsid w:val="003B12D5"/>
    <w:rsid w:val="003B1709"/>
    <w:rsid w:val="003B1D6C"/>
    <w:rsid w:val="003B3C55"/>
    <w:rsid w:val="003B3FBE"/>
    <w:rsid w:val="003B4208"/>
    <w:rsid w:val="003B507C"/>
    <w:rsid w:val="003B52FC"/>
    <w:rsid w:val="003B5497"/>
    <w:rsid w:val="003B5EC0"/>
    <w:rsid w:val="003B66DB"/>
    <w:rsid w:val="003B7125"/>
    <w:rsid w:val="003B7128"/>
    <w:rsid w:val="003B7408"/>
    <w:rsid w:val="003B7487"/>
    <w:rsid w:val="003B7B07"/>
    <w:rsid w:val="003B7B37"/>
    <w:rsid w:val="003C024C"/>
    <w:rsid w:val="003C0252"/>
    <w:rsid w:val="003C041D"/>
    <w:rsid w:val="003C102A"/>
    <w:rsid w:val="003C1082"/>
    <w:rsid w:val="003C1152"/>
    <w:rsid w:val="003C12D7"/>
    <w:rsid w:val="003C1D03"/>
    <w:rsid w:val="003C1F6F"/>
    <w:rsid w:val="003C1F75"/>
    <w:rsid w:val="003C3461"/>
    <w:rsid w:val="003C3797"/>
    <w:rsid w:val="003C4080"/>
    <w:rsid w:val="003C43BF"/>
    <w:rsid w:val="003C47EB"/>
    <w:rsid w:val="003C4994"/>
    <w:rsid w:val="003C4FCA"/>
    <w:rsid w:val="003C540A"/>
    <w:rsid w:val="003C5CEC"/>
    <w:rsid w:val="003C6192"/>
    <w:rsid w:val="003C6570"/>
    <w:rsid w:val="003C6587"/>
    <w:rsid w:val="003C6984"/>
    <w:rsid w:val="003C69D4"/>
    <w:rsid w:val="003C6F0A"/>
    <w:rsid w:val="003C7225"/>
    <w:rsid w:val="003C7F76"/>
    <w:rsid w:val="003D0112"/>
    <w:rsid w:val="003D0701"/>
    <w:rsid w:val="003D0829"/>
    <w:rsid w:val="003D23FA"/>
    <w:rsid w:val="003D3268"/>
    <w:rsid w:val="003D3283"/>
    <w:rsid w:val="003D3485"/>
    <w:rsid w:val="003D4F7D"/>
    <w:rsid w:val="003D53C5"/>
    <w:rsid w:val="003D581B"/>
    <w:rsid w:val="003D588B"/>
    <w:rsid w:val="003D6C38"/>
    <w:rsid w:val="003D6CCE"/>
    <w:rsid w:val="003D6E95"/>
    <w:rsid w:val="003D7858"/>
    <w:rsid w:val="003E2AC3"/>
    <w:rsid w:val="003E2F0C"/>
    <w:rsid w:val="003E3981"/>
    <w:rsid w:val="003E3CF7"/>
    <w:rsid w:val="003E4414"/>
    <w:rsid w:val="003E51D6"/>
    <w:rsid w:val="003E602E"/>
    <w:rsid w:val="003E621A"/>
    <w:rsid w:val="003E63CD"/>
    <w:rsid w:val="003E6B81"/>
    <w:rsid w:val="003E6DA0"/>
    <w:rsid w:val="003E70AF"/>
    <w:rsid w:val="003E77C3"/>
    <w:rsid w:val="003F0050"/>
    <w:rsid w:val="003F1D76"/>
    <w:rsid w:val="003F2254"/>
    <w:rsid w:val="003F2337"/>
    <w:rsid w:val="003F2571"/>
    <w:rsid w:val="003F27CE"/>
    <w:rsid w:val="003F2C06"/>
    <w:rsid w:val="003F337A"/>
    <w:rsid w:val="003F34A2"/>
    <w:rsid w:val="003F386C"/>
    <w:rsid w:val="003F4524"/>
    <w:rsid w:val="003F46F3"/>
    <w:rsid w:val="003F4776"/>
    <w:rsid w:val="003F50BD"/>
    <w:rsid w:val="003F61A0"/>
    <w:rsid w:val="003F6730"/>
    <w:rsid w:val="003F7C11"/>
    <w:rsid w:val="003F7F7F"/>
    <w:rsid w:val="00400ABC"/>
    <w:rsid w:val="00401309"/>
    <w:rsid w:val="0040163C"/>
    <w:rsid w:val="004017CF"/>
    <w:rsid w:val="004021C2"/>
    <w:rsid w:val="00402A36"/>
    <w:rsid w:val="00402C2D"/>
    <w:rsid w:val="00403A5B"/>
    <w:rsid w:val="004049D2"/>
    <w:rsid w:val="00405950"/>
    <w:rsid w:val="00405F0E"/>
    <w:rsid w:val="0040635F"/>
    <w:rsid w:val="00406692"/>
    <w:rsid w:val="00406911"/>
    <w:rsid w:val="00406C52"/>
    <w:rsid w:val="0040705A"/>
    <w:rsid w:val="004074B4"/>
    <w:rsid w:val="0040758F"/>
    <w:rsid w:val="00407C51"/>
    <w:rsid w:val="00407C5A"/>
    <w:rsid w:val="00410310"/>
    <w:rsid w:val="0041056A"/>
    <w:rsid w:val="004116B6"/>
    <w:rsid w:val="0041195A"/>
    <w:rsid w:val="00412984"/>
    <w:rsid w:val="0041385C"/>
    <w:rsid w:val="00413FC2"/>
    <w:rsid w:val="00413FC7"/>
    <w:rsid w:val="00414692"/>
    <w:rsid w:val="00415155"/>
    <w:rsid w:val="004154F3"/>
    <w:rsid w:val="0041584F"/>
    <w:rsid w:val="00415E8C"/>
    <w:rsid w:val="00416040"/>
    <w:rsid w:val="00416404"/>
    <w:rsid w:val="00416681"/>
    <w:rsid w:val="00416B9E"/>
    <w:rsid w:val="004175F2"/>
    <w:rsid w:val="0042000A"/>
    <w:rsid w:val="004203FB"/>
    <w:rsid w:val="00420503"/>
    <w:rsid w:val="0042068D"/>
    <w:rsid w:val="0042152B"/>
    <w:rsid w:val="004223F2"/>
    <w:rsid w:val="004226BD"/>
    <w:rsid w:val="004230F8"/>
    <w:rsid w:val="00423432"/>
    <w:rsid w:val="00423714"/>
    <w:rsid w:val="00423B39"/>
    <w:rsid w:val="0042412D"/>
    <w:rsid w:val="00424BA6"/>
    <w:rsid w:val="0042500E"/>
    <w:rsid w:val="004254F1"/>
    <w:rsid w:val="00425585"/>
    <w:rsid w:val="00425BB2"/>
    <w:rsid w:val="004261A6"/>
    <w:rsid w:val="004270AD"/>
    <w:rsid w:val="00427A34"/>
    <w:rsid w:val="00427EE3"/>
    <w:rsid w:val="00427F17"/>
    <w:rsid w:val="0043073F"/>
    <w:rsid w:val="00430884"/>
    <w:rsid w:val="00431125"/>
    <w:rsid w:val="00431322"/>
    <w:rsid w:val="0043177B"/>
    <w:rsid w:val="00431E9B"/>
    <w:rsid w:val="00432555"/>
    <w:rsid w:val="00433590"/>
    <w:rsid w:val="0043383D"/>
    <w:rsid w:val="00433865"/>
    <w:rsid w:val="00433C77"/>
    <w:rsid w:val="00433D4E"/>
    <w:rsid w:val="0043416B"/>
    <w:rsid w:val="00434521"/>
    <w:rsid w:val="00436911"/>
    <w:rsid w:val="00437253"/>
    <w:rsid w:val="00437D94"/>
    <w:rsid w:val="00440937"/>
    <w:rsid w:val="00441263"/>
    <w:rsid w:val="00441646"/>
    <w:rsid w:val="0044191C"/>
    <w:rsid w:val="00441BF2"/>
    <w:rsid w:val="00441BFA"/>
    <w:rsid w:val="00441FBA"/>
    <w:rsid w:val="00442DBB"/>
    <w:rsid w:val="00443AA5"/>
    <w:rsid w:val="00443EE4"/>
    <w:rsid w:val="00444DD7"/>
    <w:rsid w:val="00444E2C"/>
    <w:rsid w:val="00445045"/>
    <w:rsid w:val="0044561F"/>
    <w:rsid w:val="0044596D"/>
    <w:rsid w:val="00445970"/>
    <w:rsid w:val="00445B57"/>
    <w:rsid w:val="00445C6A"/>
    <w:rsid w:val="00446027"/>
    <w:rsid w:val="00446C9F"/>
    <w:rsid w:val="00446FB3"/>
    <w:rsid w:val="004479B4"/>
    <w:rsid w:val="00450493"/>
    <w:rsid w:val="00450786"/>
    <w:rsid w:val="00451556"/>
    <w:rsid w:val="00451AA2"/>
    <w:rsid w:val="00451BD7"/>
    <w:rsid w:val="00451F4B"/>
    <w:rsid w:val="0045242B"/>
    <w:rsid w:val="004524A7"/>
    <w:rsid w:val="0045264F"/>
    <w:rsid w:val="00453652"/>
    <w:rsid w:val="00453975"/>
    <w:rsid w:val="0045414B"/>
    <w:rsid w:val="00454253"/>
    <w:rsid w:val="00454726"/>
    <w:rsid w:val="00455744"/>
    <w:rsid w:val="00455E20"/>
    <w:rsid w:val="0045693F"/>
    <w:rsid w:val="00456ED6"/>
    <w:rsid w:val="00457236"/>
    <w:rsid w:val="0045728F"/>
    <w:rsid w:val="00457BAE"/>
    <w:rsid w:val="00457DB1"/>
    <w:rsid w:val="0046154A"/>
    <w:rsid w:val="00461C50"/>
    <w:rsid w:val="00462335"/>
    <w:rsid w:val="0046238D"/>
    <w:rsid w:val="0046275A"/>
    <w:rsid w:val="00462BB4"/>
    <w:rsid w:val="0046318C"/>
    <w:rsid w:val="004631AE"/>
    <w:rsid w:val="00463850"/>
    <w:rsid w:val="00464238"/>
    <w:rsid w:val="00464299"/>
    <w:rsid w:val="00464416"/>
    <w:rsid w:val="00464A90"/>
    <w:rsid w:val="00464B8E"/>
    <w:rsid w:val="00465DAC"/>
    <w:rsid w:val="00466C9B"/>
    <w:rsid w:val="00466CE4"/>
    <w:rsid w:val="00466FDA"/>
    <w:rsid w:val="00467C85"/>
    <w:rsid w:val="00467FBA"/>
    <w:rsid w:val="00470006"/>
    <w:rsid w:val="00470611"/>
    <w:rsid w:val="0047105A"/>
    <w:rsid w:val="004714CF"/>
    <w:rsid w:val="004716F7"/>
    <w:rsid w:val="004717B9"/>
    <w:rsid w:val="004719DD"/>
    <w:rsid w:val="00472F56"/>
    <w:rsid w:val="0047353C"/>
    <w:rsid w:val="0047436B"/>
    <w:rsid w:val="004746A7"/>
    <w:rsid w:val="00474ADB"/>
    <w:rsid w:val="004756D1"/>
    <w:rsid w:val="00475821"/>
    <w:rsid w:val="00476DD3"/>
    <w:rsid w:val="0047798F"/>
    <w:rsid w:val="00477AD2"/>
    <w:rsid w:val="00480028"/>
    <w:rsid w:val="00480A35"/>
    <w:rsid w:val="00482151"/>
    <w:rsid w:val="004827B0"/>
    <w:rsid w:val="00482933"/>
    <w:rsid w:val="004830C1"/>
    <w:rsid w:val="00483321"/>
    <w:rsid w:val="00483437"/>
    <w:rsid w:val="0048487E"/>
    <w:rsid w:val="00485056"/>
    <w:rsid w:val="004854F1"/>
    <w:rsid w:val="00485D47"/>
    <w:rsid w:val="0048624A"/>
    <w:rsid w:val="0048632E"/>
    <w:rsid w:val="00486723"/>
    <w:rsid w:val="00486967"/>
    <w:rsid w:val="00487A6E"/>
    <w:rsid w:val="00487F6C"/>
    <w:rsid w:val="004905DB"/>
    <w:rsid w:val="00490777"/>
    <w:rsid w:val="0049108F"/>
    <w:rsid w:val="004913B2"/>
    <w:rsid w:val="00491B4D"/>
    <w:rsid w:val="0049205C"/>
    <w:rsid w:val="004920A9"/>
    <w:rsid w:val="00492399"/>
    <w:rsid w:val="0049251F"/>
    <w:rsid w:val="00493502"/>
    <w:rsid w:val="00493F75"/>
    <w:rsid w:val="004953C9"/>
    <w:rsid w:val="0049576A"/>
    <w:rsid w:val="0049631F"/>
    <w:rsid w:val="00496575"/>
    <w:rsid w:val="004967C3"/>
    <w:rsid w:val="00497F72"/>
    <w:rsid w:val="00497F80"/>
    <w:rsid w:val="004A0540"/>
    <w:rsid w:val="004A0848"/>
    <w:rsid w:val="004A0A47"/>
    <w:rsid w:val="004A0EE0"/>
    <w:rsid w:val="004A1159"/>
    <w:rsid w:val="004A1244"/>
    <w:rsid w:val="004A1984"/>
    <w:rsid w:val="004A1AFA"/>
    <w:rsid w:val="004A1BE9"/>
    <w:rsid w:val="004A1E4C"/>
    <w:rsid w:val="004A23E8"/>
    <w:rsid w:val="004A2407"/>
    <w:rsid w:val="004A2486"/>
    <w:rsid w:val="004A3B02"/>
    <w:rsid w:val="004A3C1B"/>
    <w:rsid w:val="004A3E16"/>
    <w:rsid w:val="004A4087"/>
    <w:rsid w:val="004A4DA7"/>
    <w:rsid w:val="004A5375"/>
    <w:rsid w:val="004A5A6F"/>
    <w:rsid w:val="004A5D9C"/>
    <w:rsid w:val="004A76CF"/>
    <w:rsid w:val="004A7BAA"/>
    <w:rsid w:val="004B00C5"/>
    <w:rsid w:val="004B062D"/>
    <w:rsid w:val="004B0A6D"/>
    <w:rsid w:val="004B1583"/>
    <w:rsid w:val="004B1BB4"/>
    <w:rsid w:val="004B268A"/>
    <w:rsid w:val="004B2C88"/>
    <w:rsid w:val="004B2FE6"/>
    <w:rsid w:val="004B3AAE"/>
    <w:rsid w:val="004B3F5D"/>
    <w:rsid w:val="004B42BE"/>
    <w:rsid w:val="004B4BB9"/>
    <w:rsid w:val="004B4BF7"/>
    <w:rsid w:val="004B4E87"/>
    <w:rsid w:val="004B51CB"/>
    <w:rsid w:val="004B6435"/>
    <w:rsid w:val="004B6B51"/>
    <w:rsid w:val="004B6BD9"/>
    <w:rsid w:val="004B6EC9"/>
    <w:rsid w:val="004B7C2C"/>
    <w:rsid w:val="004C0354"/>
    <w:rsid w:val="004C0363"/>
    <w:rsid w:val="004C07D7"/>
    <w:rsid w:val="004C0B75"/>
    <w:rsid w:val="004C1107"/>
    <w:rsid w:val="004C1512"/>
    <w:rsid w:val="004C20F2"/>
    <w:rsid w:val="004C225E"/>
    <w:rsid w:val="004C257F"/>
    <w:rsid w:val="004C2C26"/>
    <w:rsid w:val="004C2EF8"/>
    <w:rsid w:val="004C329D"/>
    <w:rsid w:val="004C331E"/>
    <w:rsid w:val="004C3864"/>
    <w:rsid w:val="004C429E"/>
    <w:rsid w:val="004C45F3"/>
    <w:rsid w:val="004C5976"/>
    <w:rsid w:val="004C5B50"/>
    <w:rsid w:val="004C6CFB"/>
    <w:rsid w:val="004C7023"/>
    <w:rsid w:val="004C7104"/>
    <w:rsid w:val="004C77E5"/>
    <w:rsid w:val="004D01CD"/>
    <w:rsid w:val="004D0622"/>
    <w:rsid w:val="004D0A09"/>
    <w:rsid w:val="004D0D13"/>
    <w:rsid w:val="004D2505"/>
    <w:rsid w:val="004D2649"/>
    <w:rsid w:val="004D2C3E"/>
    <w:rsid w:val="004D2E4C"/>
    <w:rsid w:val="004D5720"/>
    <w:rsid w:val="004D5DC7"/>
    <w:rsid w:val="004D6775"/>
    <w:rsid w:val="004D78AF"/>
    <w:rsid w:val="004E0133"/>
    <w:rsid w:val="004E051D"/>
    <w:rsid w:val="004E061B"/>
    <w:rsid w:val="004E1BAF"/>
    <w:rsid w:val="004E3168"/>
    <w:rsid w:val="004E494C"/>
    <w:rsid w:val="004E4AA0"/>
    <w:rsid w:val="004E5A0A"/>
    <w:rsid w:val="004E60AC"/>
    <w:rsid w:val="004E6406"/>
    <w:rsid w:val="004F0AAC"/>
    <w:rsid w:val="004F1400"/>
    <w:rsid w:val="004F246E"/>
    <w:rsid w:val="004F26B9"/>
    <w:rsid w:val="004F323E"/>
    <w:rsid w:val="004F373F"/>
    <w:rsid w:val="004F3A04"/>
    <w:rsid w:val="004F3CF6"/>
    <w:rsid w:val="004F3F61"/>
    <w:rsid w:val="004F415D"/>
    <w:rsid w:val="004F42B8"/>
    <w:rsid w:val="004F5450"/>
    <w:rsid w:val="004F6B75"/>
    <w:rsid w:val="004F7EA5"/>
    <w:rsid w:val="005000AD"/>
    <w:rsid w:val="00500BB8"/>
    <w:rsid w:val="005012E5"/>
    <w:rsid w:val="00501E2C"/>
    <w:rsid w:val="005026E0"/>
    <w:rsid w:val="00503D55"/>
    <w:rsid w:val="00504022"/>
    <w:rsid w:val="00504224"/>
    <w:rsid w:val="0050468B"/>
    <w:rsid w:val="005049A2"/>
    <w:rsid w:val="00505087"/>
    <w:rsid w:val="00506F4C"/>
    <w:rsid w:val="00510D0F"/>
    <w:rsid w:val="00510D59"/>
    <w:rsid w:val="0051128B"/>
    <w:rsid w:val="00512283"/>
    <w:rsid w:val="0051239F"/>
    <w:rsid w:val="005123C9"/>
    <w:rsid w:val="005136B3"/>
    <w:rsid w:val="005138D8"/>
    <w:rsid w:val="0051468D"/>
    <w:rsid w:val="00514C41"/>
    <w:rsid w:val="00514DE0"/>
    <w:rsid w:val="005150D3"/>
    <w:rsid w:val="0051578C"/>
    <w:rsid w:val="00515904"/>
    <w:rsid w:val="00515C39"/>
    <w:rsid w:val="00515D25"/>
    <w:rsid w:val="00515F9B"/>
    <w:rsid w:val="00516EB1"/>
    <w:rsid w:val="00517370"/>
    <w:rsid w:val="005174C4"/>
    <w:rsid w:val="0051750F"/>
    <w:rsid w:val="00517ACC"/>
    <w:rsid w:val="005202C9"/>
    <w:rsid w:val="00520D25"/>
    <w:rsid w:val="00520E21"/>
    <w:rsid w:val="0052140A"/>
    <w:rsid w:val="00521707"/>
    <w:rsid w:val="005217BA"/>
    <w:rsid w:val="00522040"/>
    <w:rsid w:val="00522495"/>
    <w:rsid w:val="005229F0"/>
    <w:rsid w:val="005232C8"/>
    <w:rsid w:val="005237F6"/>
    <w:rsid w:val="00523DC3"/>
    <w:rsid w:val="005240BB"/>
    <w:rsid w:val="00524947"/>
    <w:rsid w:val="00524D25"/>
    <w:rsid w:val="00525609"/>
    <w:rsid w:val="00526524"/>
    <w:rsid w:val="0052768F"/>
    <w:rsid w:val="005276F1"/>
    <w:rsid w:val="005301B3"/>
    <w:rsid w:val="0053050D"/>
    <w:rsid w:val="00530F51"/>
    <w:rsid w:val="00531BD9"/>
    <w:rsid w:val="00532DFA"/>
    <w:rsid w:val="0053355D"/>
    <w:rsid w:val="00533A71"/>
    <w:rsid w:val="00535711"/>
    <w:rsid w:val="00536251"/>
    <w:rsid w:val="005363C8"/>
    <w:rsid w:val="00536CC1"/>
    <w:rsid w:val="00536CDC"/>
    <w:rsid w:val="0053725D"/>
    <w:rsid w:val="0053773C"/>
    <w:rsid w:val="005402FE"/>
    <w:rsid w:val="005409E4"/>
    <w:rsid w:val="00540C87"/>
    <w:rsid w:val="00541762"/>
    <w:rsid w:val="005417D7"/>
    <w:rsid w:val="00541E8A"/>
    <w:rsid w:val="00541EAB"/>
    <w:rsid w:val="00541F55"/>
    <w:rsid w:val="00543623"/>
    <w:rsid w:val="005436E1"/>
    <w:rsid w:val="0054386F"/>
    <w:rsid w:val="00543D3B"/>
    <w:rsid w:val="005440B6"/>
    <w:rsid w:val="005443B6"/>
    <w:rsid w:val="00544A9C"/>
    <w:rsid w:val="00544D7C"/>
    <w:rsid w:val="00545012"/>
    <w:rsid w:val="00545A88"/>
    <w:rsid w:val="0054641F"/>
    <w:rsid w:val="005469F8"/>
    <w:rsid w:val="00546F27"/>
    <w:rsid w:val="00546F92"/>
    <w:rsid w:val="0054746C"/>
    <w:rsid w:val="00547F7D"/>
    <w:rsid w:val="00547FA4"/>
    <w:rsid w:val="00550128"/>
    <w:rsid w:val="00550625"/>
    <w:rsid w:val="00550B41"/>
    <w:rsid w:val="00550B8C"/>
    <w:rsid w:val="00551F51"/>
    <w:rsid w:val="00552CB0"/>
    <w:rsid w:val="00552DC3"/>
    <w:rsid w:val="00553AE6"/>
    <w:rsid w:val="005541C2"/>
    <w:rsid w:val="0055513B"/>
    <w:rsid w:val="00555590"/>
    <w:rsid w:val="00555AA7"/>
    <w:rsid w:val="00555BBC"/>
    <w:rsid w:val="005561F9"/>
    <w:rsid w:val="0055654E"/>
    <w:rsid w:val="005566E7"/>
    <w:rsid w:val="0055710A"/>
    <w:rsid w:val="00557B7D"/>
    <w:rsid w:val="00557CAF"/>
    <w:rsid w:val="00557D49"/>
    <w:rsid w:val="00557FE9"/>
    <w:rsid w:val="00561253"/>
    <w:rsid w:val="00561453"/>
    <w:rsid w:val="00561DD4"/>
    <w:rsid w:val="00562B76"/>
    <w:rsid w:val="00562FED"/>
    <w:rsid w:val="00563714"/>
    <w:rsid w:val="00563C00"/>
    <w:rsid w:val="00563E3D"/>
    <w:rsid w:val="00564772"/>
    <w:rsid w:val="00564D74"/>
    <w:rsid w:val="005650AC"/>
    <w:rsid w:val="005656FB"/>
    <w:rsid w:val="005659E3"/>
    <w:rsid w:val="0056615A"/>
    <w:rsid w:val="005662D5"/>
    <w:rsid w:val="0056690C"/>
    <w:rsid w:val="00566C8A"/>
    <w:rsid w:val="00567978"/>
    <w:rsid w:val="00567F42"/>
    <w:rsid w:val="00567FB7"/>
    <w:rsid w:val="0057007C"/>
    <w:rsid w:val="00570435"/>
    <w:rsid w:val="0057101A"/>
    <w:rsid w:val="005710AE"/>
    <w:rsid w:val="00571233"/>
    <w:rsid w:val="00572139"/>
    <w:rsid w:val="00572791"/>
    <w:rsid w:val="00572AD2"/>
    <w:rsid w:val="00572F21"/>
    <w:rsid w:val="00572F79"/>
    <w:rsid w:val="00573164"/>
    <w:rsid w:val="00573382"/>
    <w:rsid w:val="00573A1E"/>
    <w:rsid w:val="00573A1F"/>
    <w:rsid w:val="00573D07"/>
    <w:rsid w:val="0057486A"/>
    <w:rsid w:val="00574A22"/>
    <w:rsid w:val="005751FF"/>
    <w:rsid w:val="00575236"/>
    <w:rsid w:val="005753A1"/>
    <w:rsid w:val="0057550A"/>
    <w:rsid w:val="005755A2"/>
    <w:rsid w:val="005755F3"/>
    <w:rsid w:val="00575642"/>
    <w:rsid w:val="00575908"/>
    <w:rsid w:val="00575DD7"/>
    <w:rsid w:val="0057653F"/>
    <w:rsid w:val="0057665C"/>
    <w:rsid w:val="00576C0A"/>
    <w:rsid w:val="00577496"/>
    <w:rsid w:val="005774CA"/>
    <w:rsid w:val="00577AE7"/>
    <w:rsid w:val="0058041E"/>
    <w:rsid w:val="00580877"/>
    <w:rsid w:val="00580B81"/>
    <w:rsid w:val="005825C5"/>
    <w:rsid w:val="00582A2C"/>
    <w:rsid w:val="0058301D"/>
    <w:rsid w:val="00583BB0"/>
    <w:rsid w:val="005847A4"/>
    <w:rsid w:val="00584CE0"/>
    <w:rsid w:val="0058563F"/>
    <w:rsid w:val="00585F93"/>
    <w:rsid w:val="0058678E"/>
    <w:rsid w:val="00586BA4"/>
    <w:rsid w:val="00586BF5"/>
    <w:rsid w:val="00586D32"/>
    <w:rsid w:val="0058702E"/>
    <w:rsid w:val="00587874"/>
    <w:rsid w:val="00587897"/>
    <w:rsid w:val="0059041F"/>
    <w:rsid w:val="00590597"/>
    <w:rsid w:val="00591678"/>
    <w:rsid w:val="00591FEA"/>
    <w:rsid w:val="00592D42"/>
    <w:rsid w:val="005939CA"/>
    <w:rsid w:val="00593E74"/>
    <w:rsid w:val="0059410D"/>
    <w:rsid w:val="00594248"/>
    <w:rsid w:val="00594406"/>
    <w:rsid w:val="0059493E"/>
    <w:rsid w:val="005949B8"/>
    <w:rsid w:val="005951FE"/>
    <w:rsid w:val="00595BD1"/>
    <w:rsid w:val="00595EEC"/>
    <w:rsid w:val="005962AA"/>
    <w:rsid w:val="0059641D"/>
    <w:rsid w:val="005971DE"/>
    <w:rsid w:val="005973BF"/>
    <w:rsid w:val="005977CF"/>
    <w:rsid w:val="005A0C89"/>
    <w:rsid w:val="005A1D4D"/>
    <w:rsid w:val="005A2E15"/>
    <w:rsid w:val="005A2E67"/>
    <w:rsid w:val="005A39EE"/>
    <w:rsid w:val="005A3B6F"/>
    <w:rsid w:val="005A426D"/>
    <w:rsid w:val="005A453E"/>
    <w:rsid w:val="005A4CF4"/>
    <w:rsid w:val="005A5236"/>
    <w:rsid w:val="005A5626"/>
    <w:rsid w:val="005A5727"/>
    <w:rsid w:val="005A5A8C"/>
    <w:rsid w:val="005A641A"/>
    <w:rsid w:val="005A6F2A"/>
    <w:rsid w:val="005A7481"/>
    <w:rsid w:val="005A7526"/>
    <w:rsid w:val="005A7BD8"/>
    <w:rsid w:val="005A7F74"/>
    <w:rsid w:val="005B01DC"/>
    <w:rsid w:val="005B18C6"/>
    <w:rsid w:val="005B1C3E"/>
    <w:rsid w:val="005B35BA"/>
    <w:rsid w:val="005B3688"/>
    <w:rsid w:val="005B3A3C"/>
    <w:rsid w:val="005B45E1"/>
    <w:rsid w:val="005B4E1D"/>
    <w:rsid w:val="005B5974"/>
    <w:rsid w:val="005B68F2"/>
    <w:rsid w:val="005B6D35"/>
    <w:rsid w:val="005B6FA5"/>
    <w:rsid w:val="005C0824"/>
    <w:rsid w:val="005C085D"/>
    <w:rsid w:val="005C0CAA"/>
    <w:rsid w:val="005C10A8"/>
    <w:rsid w:val="005C1A69"/>
    <w:rsid w:val="005C1DE3"/>
    <w:rsid w:val="005C2E0F"/>
    <w:rsid w:val="005C34EE"/>
    <w:rsid w:val="005C399E"/>
    <w:rsid w:val="005C4B9D"/>
    <w:rsid w:val="005C70A8"/>
    <w:rsid w:val="005C7284"/>
    <w:rsid w:val="005C73DD"/>
    <w:rsid w:val="005C786A"/>
    <w:rsid w:val="005C7FA6"/>
    <w:rsid w:val="005C7FBE"/>
    <w:rsid w:val="005D0267"/>
    <w:rsid w:val="005D124A"/>
    <w:rsid w:val="005D1BE0"/>
    <w:rsid w:val="005D20EF"/>
    <w:rsid w:val="005D3A4A"/>
    <w:rsid w:val="005D422D"/>
    <w:rsid w:val="005D433A"/>
    <w:rsid w:val="005D4522"/>
    <w:rsid w:val="005D55BD"/>
    <w:rsid w:val="005D585F"/>
    <w:rsid w:val="005D5E04"/>
    <w:rsid w:val="005D635F"/>
    <w:rsid w:val="005D6399"/>
    <w:rsid w:val="005D64ED"/>
    <w:rsid w:val="005D6610"/>
    <w:rsid w:val="005D6CE6"/>
    <w:rsid w:val="005D7A74"/>
    <w:rsid w:val="005D7D4D"/>
    <w:rsid w:val="005D7D8C"/>
    <w:rsid w:val="005E0804"/>
    <w:rsid w:val="005E08CE"/>
    <w:rsid w:val="005E0D68"/>
    <w:rsid w:val="005E0E40"/>
    <w:rsid w:val="005E0E6D"/>
    <w:rsid w:val="005E23F4"/>
    <w:rsid w:val="005E2A45"/>
    <w:rsid w:val="005E30B7"/>
    <w:rsid w:val="005E3249"/>
    <w:rsid w:val="005E382D"/>
    <w:rsid w:val="005E3E9E"/>
    <w:rsid w:val="005E3EC8"/>
    <w:rsid w:val="005E4515"/>
    <w:rsid w:val="005E48C7"/>
    <w:rsid w:val="005E4B9C"/>
    <w:rsid w:val="005E4C61"/>
    <w:rsid w:val="005E531B"/>
    <w:rsid w:val="005E565D"/>
    <w:rsid w:val="005E6A5D"/>
    <w:rsid w:val="005E6C9B"/>
    <w:rsid w:val="005E72A0"/>
    <w:rsid w:val="005F06AA"/>
    <w:rsid w:val="005F0877"/>
    <w:rsid w:val="005F0D5F"/>
    <w:rsid w:val="005F106D"/>
    <w:rsid w:val="005F1A02"/>
    <w:rsid w:val="005F2081"/>
    <w:rsid w:val="005F25C5"/>
    <w:rsid w:val="005F2AFB"/>
    <w:rsid w:val="005F2D72"/>
    <w:rsid w:val="005F2F2D"/>
    <w:rsid w:val="005F2FDA"/>
    <w:rsid w:val="005F353B"/>
    <w:rsid w:val="005F4AF5"/>
    <w:rsid w:val="005F594E"/>
    <w:rsid w:val="005F5C1A"/>
    <w:rsid w:val="005F612C"/>
    <w:rsid w:val="005F69ED"/>
    <w:rsid w:val="005F6C2D"/>
    <w:rsid w:val="005F7B34"/>
    <w:rsid w:val="005F7EA7"/>
    <w:rsid w:val="006001D8"/>
    <w:rsid w:val="006001F2"/>
    <w:rsid w:val="00601BE0"/>
    <w:rsid w:val="00602887"/>
    <w:rsid w:val="00602BA9"/>
    <w:rsid w:val="006033BA"/>
    <w:rsid w:val="00603664"/>
    <w:rsid w:val="00604442"/>
    <w:rsid w:val="006059F4"/>
    <w:rsid w:val="0060654F"/>
    <w:rsid w:val="00606E4E"/>
    <w:rsid w:val="006103EA"/>
    <w:rsid w:val="00610483"/>
    <w:rsid w:val="00610D65"/>
    <w:rsid w:val="00611463"/>
    <w:rsid w:val="00611DB2"/>
    <w:rsid w:val="00612640"/>
    <w:rsid w:val="006128FB"/>
    <w:rsid w:val="00612E88"/>
    <w:rsid w:val="0061398B"/>
    <w:rsid w:val="00613F76"/>
    <w:rsid w:val="00614A2F"/>
    <w:rsid w:val="006162D9"/>
    <w:rsid w:val="00616843"/>
    <w:rsid w:val="00616DA3"/>
    <w:rsid w:val="00617DC5"/>
    <w:rsid w:val="00617FA3"/>
    <w:rsid w:val="00620D36"/>
    <w:rsid w:val="00621100"/>
    <w:rsid w:val="0062134A"/>
    <w:rsid w:val="006219D3"/>
    <w:rsid w:val="00621F41"/>
    <w:rsid w:val="00623F45"/>
    <w:rsid w:val="00624E63"/>
    <w:rsid w:val="0062509D"/>
    <w:rsid w:val="00625B64"/>
    <w:rsid w:val="00626FA0"/>
    <w:rsid w:val="006279E2"/>
    <w:rsid w:val="00627AF4"/>
    <w:rsid w:val="00631E4B"/>
    <w:rsid w:val="0063282D"/>
    <w:rsid w:val="00632838"/>
    <w:rsid w:val="0063287C"/>
    <w:rsid w:val="00632DFE"/>
    <w:rsid w:val="00633B06"/>
    <w:rsid w:val="00634585"/>
    <w:rsid w:val="00634FDE"/>
    <w:rsid w:val="006354A2"/>
    <w:rsid w:val="006366A2"/>
    <w:rsid w:val="0063688D"/>
    <w:rsid w:val="00636ED5"/>
    <w:rsid w:val="006371D4"/>
    <w:rsid w:val="00637305"/>
    <w:rsid w:val="006400C6"/>
    <w:rsid w:val="006405E0"/>
    <w:rsid w:val="006406A3"/>
    <w:rsid w:val="00640E3B"/>
    <w:rsid w:val="00641B78"/>
    <w:rsid w:val="0064224A"/>
    <w:rsid w:val="006425D1"/>
    <w:rsid w:val="00642B6D"/>
    <w:rsid w:val="00642C73"/>
    <w:rsid w:val="00642E81"/>
    <w:rsid w:val="00643226"/>
    <w:rsid w:val="0064350D"/>
    <w:rsid w:val="006455EB"/>
    <w:rsid w:val="0064568A"/>
    <w:rsid w:val="006459DA"/>
    <w:rsid w:val="0064650B"/>
    <w:rsid w:val="006469E1"/>
    <w:rsid w:val="00646FE2"/>
    <w:rsid w:val="0064735B"/>
    <w:rsid w:val="006477D6"/>
    <w:rsid w:val="00647B61"/>
    <w:rsid w:val="00650746"/>
    <w:rsid w:val="0065121A"/>
    <w:rsid w:val="0065142A"/>
    <w:rsid w:val="00651530"/>
    <w:rsid w:val="00651863"/>
    <w:rsid w:val="006520C0"/>
    <w:rsid w:val="006524E2"/>
    <w:rsid w:val="00652589"/>
    <w:rsid w:val="00652A21"/>
    <w:rsid w:val="00652B31"/>
    <w:rsid w:val="00652E86"/>
    <w:rsid w:val="00653BE5"/>
    <w:rsid w:val="006540BC"/>
    <w:rsid w:val="00654689"/>
    <w:rsid w:val="00654E7C"/>
    <w:rsid w:val="00655009"/>
    <w:rsid w:val="00655BCE"/>
    <w:rsid w:val="00655F2A"/>
    <w:rsid w:val="00656041"/>
    <w:rsid w:val="00656824"/>
    <w:rsid w:val="0065712B"/>
    <w:rsid w:val="00657B53"/>
    <w:rsid w:val="0066008D"/>
    <w:rsid w:val="006609AA"/>
    <w:rsid w:val="00660C1A"/>
    <w:rsid w:val="00660D60"/>
    <w:rsid w:val="00660DD4"/>
    <w:rsid w:val="00661DFD"/>
    <w:rsid w:val="00663272"/>
    <w:rsid w:val="00663976"/>
    <w:rsid w:val="006644BC"/>
    <w:rsid w:val="00664999"/>
    <w:rsid w:val="00664CB9"/>
    <w:rsid w:val="006651A5"/>
    <w:rsid w:val="006655EC"/>
    <w:rsid w:val="00666156"/>
    <w:rsid w:val="0066692D"/>
    <w:rsid w:val="00666E73"/>
    <w:rsid w:val="00667F6C"/>
    <w:rsid w:val="00667FA8"/>
    <w:rsid w:val="00670120"/>
    <w:rsid w:val="0067049A"/>
    <w:rsid w:val="00670654"/>
    <w:rsid w:val="00671184"/>
    <w:rsid w:val="00671669"/>
    <w:rsid w:val="006716EE"/>
    <w:rsid w:val="00671CA9"/>
    <w:rsid w:val="00672450"/>
    <w:rsid w:val="0067260A"/>
    <w:rsid w:val="0067278A"/>
    <w:rsid w:val="00672A17"/>
    <w:rsid w:val="00672C1C"/>
    <w:rsid w:val="00673D7B"/>
    <w:rsid w:val="00674663"/>
    <w:rsid w:val="00674DD9"/>
    <w:rsid w:val="00675340"/>
    <w:rsid w:val="0067539D"/>
    <w:rsid w:val="00675B91"/>
    <w:rsid w:val="0067629C"/>
    <w:rsid w:val="0067663D"/>
    <w:rsid w:val="006770A7"/>
    <w:rsid w:val="00677104"/>
    <w:rsid w:val="006774D6"/>
    <w:rsid w:val="00677676"/>
    <w:rsid w:val="00677C1C"/>
    <w:rsid w:val="0068063E"/>
    <w:rsid w:val="0068079A"/>
    <w:rsid w:val="00680E94"/>
    <w:rsid w:val="006817EA"/>
    <w:rsid w:val="00683786"/>
    <w:rsid w:val="006838B5"/>
    <w:rsid w:val="0068416A"/>
    <w:rsid w:val="0068427B"/>
    <w:rsid w:val="006843FA"/>
    <w:rsid w:val="0068560A"/>
    <w:rsid w:val="00685B4E"/>
    <w:rsid w:val="00685DEB"/>
    <w:rsid w:val="00686383"/>
    <w:rsid w:val="0068644E"/>
    <w:rsid w:val="00686870"/>
    <w:rsid w:val="00687797"/>
    <w:rsid w:val="00687AF9"/>
    <w:rsid w:val="00687D17"/>
    <w:rsid w:val="00687E09"/>
    <w:rsid w:val="00687E8F"/>
    <w:rsid w:val="00690133"/>
    <w:rsid w:val="006901BE"/>
    <w:rsid w:val="00691FE6"/>
    <w:rsid w:val="006925E9"/>
    <w:rsid w:val="00692F6F"/>
    <w:rsid w:val="006930C2"/>
    <w:rsid w:val="00693804"/>
    <w:rsid w:val="006938BB"/>
    <w:rsid w:val="00693E24"/>
    <w:rsid w:val="00694A62"/>
    <w:rsid w:val="00694BAC"/>
    <w:rsid w:val="006956C5"/>
    <w:rsid w:val="00695776"/>
    <w:rsid w:val="00695A8D"/>
    <w:rsid w:val="0069650D"/>
    <w:rsid w:val="00696B7A"/>
    <w:rsid w:val="006972FF"/>
    <w:rsid w:val="00697C05"/>
    <w:rsid w:val="00697F3B"/>
    <w:rsid w:val="006A040F"/>
    <w:rsid w:val="006A051A"/>
    <w:rsid w:val="006A10BE"/>
    <w:rsid w:val="006A1687"/>
    <w:rsid w:val="006A17C4"/>
    <w:rsid w:val="006A191E"/>
    <w:rsid w:val="006A195A"/>
    <w:rsid w:val="006A2751"/>
    <w:rsid w:val="006A3CE0"/>
    <w:rsid w:val="006A47B7"/>
    <w:rsid w:val="006A4A56"/>
    <w:rsid w:val="006A4E71"/>
    <w:rsid w:val="006A52DD"/>
    <w:rsid w:val="006A5844"/>
    <w:rsid w:val="006A5AF6"/>
    <w:rsid w:val="006A5D39"/>
    <w:rsid w:val="006A5EB4"/>
    <w:rsid w:val="006A5F1A"/>
    <w:rsid w:val="006B0B04"/>
    <w:rsid w:val="006B1081"/>
    <w:rsid w:val="006B1636"/>
    <w:rsid w:val="006B1A0A"/>
    <w:rsid w:val="006B263E"/>
    <w:rsid w:val="006B2A84"/>
    <w:rsid w:val="006B3F7A"/>
    <w:rsid w:val="006B422E"/>
    <w:rsid w:val="006B4328"/>
    <w:rsid w:val="006B4B2F"/>
    <w:rsid w:val="006B562D"/>
    <w:rsid w:val="006B5AB6"/>
    <w:rsid w:val="006B5BB5"/>
    <w:rsid w:val="006B5F5F"/>
    <w:rsid w:val="006B6480"/>
    <w:rsid w:val="006B679D"/>
    <w:rsid w:val="006B6F81"/>
    <w:rsid w:val="006B72C3"/>
    <w:rsid w:val="006B7D44"/>
    <w:rsid w:val="006B7E3C"/>
    <w:rsid w:val="006B7FFC"/>
    <w:rsid w:val="006C125D"/>
    <w:rsid w:val="006C15E1"/>
    <w:rsid w:val="006C1BE3"/>
    <w:rsid w:val="006C1E2E"/>
    <w:rsid w:val="006C267F"/>
    <w:rsid w:val="006C2A31"/>
    <w:rsid w:val="006C2DDA"/>
    <w:rsid w:val="006C2E05"/>
    <w:rsid w:val="006C3150"/>
    <w:rsid w:val="006C3444"/>
    <w:rsid w:val="006C3C4F"/>
    <w:rsid w:val="006C4BB0"/>
    <w:rsid w:val="006C571E"/>
    <w:rsid w:val="006C5BF0"/>
    <w:rsid w:val="006C6B7F"/>
    <w:rsid w:val="006C7010"/>
    <w:rsid w:val="006C7129"/>
    <w:rsid w:val="006C71D8"/>
    <w:rsid w:val="006C72A6"/>
    <w:rsid w:val="006C72FC"/>
    <w:rsid w:val="006C732C"/>
    <w:rsid w:val="006C7914"/>
    <w:rsid w:val="006D0813"/>
    <w:rsid w:val="006D1BBE"/>
    <w:rsid w:val="006D1DB7"/>
    <w:rsid w:val="006D2F2F"/>
    <w:rsid w:val="006D31B9"/>
    <w:rsid w:val="006D3435"/>
    <w:rsid w:val="006D3D1E"/>
    <w:rsid w:val="006D43DB"/>
    <w:rsid w:val="006D4B0B"/>
    <w:rsid w:val="006D4BC4"/>
    <w:rsid w:val="006D4D73"/>
    <w:rsid w:val="006D532D"/>
    <w:rsid w:val="006D64F2"/>
    <w:rsid w:val="006D654C"/>
    <w:rsid w:val="006D6704"/>
    <w:rsid w:val="006D73F9"/>
    <w:rsid w:val="006D7599"/>
    <w:rsid w:val="006D7B41"/>
    <w:rsid w:val="006D7B4F"/>
    <w:rsid w:val="006E07DB"/>
    <w:rsid w:val="006E08BF"/>
    <w:rsid w:val="006E1332"/>
    <w:rsid w:val="006E1621"/>
    <w:rsid w:val="006E21E2"/>
    <w:rsid w:val="006E3023"/>
    <w:rsid w:val="006E31A9"/>
    <w:rsid w:val="006E359E"/>
    <w:rsid w:val="006E3686"/>
    <w:rsid w:val="006E39B9"/>
    <w:rsid w:val="006E3B65"/>
    <w:rsid w:val="006E412C"/>
    <w:rsid w:val="006E4945"/>
    <w:rsid w:val="006E504C"/>
    <w:rsid w:val="006E56D3"/>
    <w:rsid w:val="006E67F4"/>
    <w:rsid w:val="006E7469"/>
    <w:rsid w:val="006E7D0F"/>
    <w:rsid w:val="006F049A"/>
    <w:rsid w:val="006F0622"/>
    <w:rsid w:val="006F0C1C"/>
    <w:rsid w:val="006F16E9"/>
    <w:rsid w:val="006F286F"/>
    <w:rsid w:val="006F2E01"/>
    <w:rsid w:val="006F318B"/>
    <w:rsid w:val="006F3A08"/>
    <w:rsid w:val="006F3B50"/>
    <w:rsid w:val="006F3D9A"/>
    <w:rsid w:val="006F4E32"/>
    <w:rsid w:val="006F5785"/>
    <w:rsid w:val="006F63A4"/>
    <w:rsid w:val="006F65B0"/>
    <w:rsid w:val="006F6A69"/>
    <w:rsid w:val="006F6E63"/>
    <w:rsid w:val="006F7AF4"/>
    <w:rsid w:val="006F7CF2"/>
    <w:rsid w:val="00700252"/>
    <w:rsid w:val="00700464"/>
    <w:rsid w:val="00700BBF"/>
    <w:rsid w:val="0070188F"/>
    <w:rsid w:val="0070191C"/>
    <w:rsid w:val="00701CDB"/>
    <w:rsid w:val="0070302B"/>
    <w:rsid w:val="007041C7"/>
    <w:rsid w:val="00704BA9"/>
    <w:rsid w:val="00704E6B"/>
    <w:rsid w:val="00704FA6"/>
    <w:rsid w:val="00705072"/>
    <w:rsid w:val="00705172"/>
    <w:rsid w:val="007059C8"/>
    <w:rsid w:val="007067C1"/>
    <w:rsid w:val="00706849"/>
    <w:rsid w:val="00706EDF"/>
    <w:rsid w:val="00707D11"/>
    <w:rsid w:val="007101F4"/>
    <w:rsid w:val="0071041E"/>
    <w:rsid w:val="00710C37"/>
    <w:rsid w:val="00710D17"/>
    <w:rsid w:val="00710FCC"/>
    <w:rsid w:val="00711161"/>
    <w:rsid w:val="00711B03"/>
    <w:rsid w:val="00712572"/>
    <w:rsid w:val="00712715"/>
    <w:rsid w:val="00712BD2"/>
    <w:rsid w:val="00712BF8"/>
    <w:rsid w:val="00712F36"/>
    <w:rsid w:val="00714920"/>
    <w:rsid w:val="00714C5B"/>
    <w:rsid w:val="00714DCD"/>
    <w:rsid w:val="0071517A"/>
    <w:rsid w:val="00715B1C"/>
    <w:rsid w:val="00715CD9"/>
    <w:rsid w:val="00716887"/>
    <w:rsid w:val="00716E42"/>
    <w:rsid w:val="007177D9"/>
    <w:rsid w:val="0071785F"/>
    <w:rsid w:val="00717B66"/>
    <w:rsid w:val="007200D2"/>
    <w:rsid w:val="00720953"/>
    <w:rsid w:val="007209B6"/>
    <w:rsid w:val="00720A33"/>
    <w:rsid w:val="00720ED3"/>
    <w:rsid w:val="0072106A"/>
    <w:rsid w:val="00721364"/>
    <w:rsid w:val="00721C91"/>
    <w:rsid w:val="007222E7"/>
    <w:rsid w:val="00722436"/>
    <w:rsid w:val="00723192"/>
    <w:rsid w:val="0072335E"/>
    <w:rsid w:val="007233DC"/>
    <w:rsid w:val="00723B0A"/>
    <w:rsid w:val="00724434"/>
    <w:rsid w:val="007257A9"/>
    <w:rsid w:val="00725978"/>
    <w:rsid w:val="00725DB3"/>
    <w:rsid w:val="0072674B"/>
    <w:rsid w:val="00726DB3"/>
    <w:rsid w:val="00727706"/>
    <w:rsid w:val="00730D62"/>
    <w:rsid w:val="007315C9"/>
    <w:rsid w:val="00731D6D"/>
    <w:rsid w:val="00731DA4"/>
    <w:rsid w:val="00731FB8"/>
    <w:rsid w:val="00732327"/>
    <w:rsid w:val="00732CFA"/>
    <w:rsid w:val="007331D9"/>
    <w:rsid w:val="0073361C"/>
    <w:rsid w:val="00733E04"/>
    <w:rsid w:val="0073413B"/>
    <w:rsid w:val="00734E0F"/>
    <w:rsid w:val="0073523E"/>
    <w:rsid w:val="00735807"/>
    <w:rsid w:val="00735B12"/>
    <w:rsid w:val="00736C23"/>
    <w:rsid w:val="00736CF2"/>
    <w:rsid w:val="00737019"/>
    <w:rsid w:val="007373E2"/>
    <w:rsid w:val="00737AE4"/>
    <w:rsid w:val="00737CF8"/>
    <w:rsid w:val="00737E43"/>
    <w:rsid w:val="007400B1"/>
    <w:rsid w:val="007416F3"/>
    <w:rsid w:val="00741A70"/>
    <w:rsid w:val="00742362"/>
    <w:rsid w:val="00744882"/>
    <w:rsid w:val="00744CB5"/>
    <w:rsid w:val="00744DAD"/>
    <w:rsid w:val="00744DD1"/>
    <w:rsid w:val="00745F07"/>
    <w:rsid w:val="0074678D"/>
    <w:rsid w:val="00746FBC"/>
    <w:rsid w:val="00750526"/>
    <w:rsid w:val="00750DB6"/>
    <w:rsid w:val="00751057"/>
    <w:rsid w:val="00751DF2"/>
    <w:rsid w:val="00752022"/>
    <w:rsid w:val="007521A6"/>
    <w:rsid w:val="007522C2"/>
    <w:rsid w:val="00752360"/>
    <w:rsid w:val="0075263D"/>
    <w:rsid w:val="00752A3D"/>
    <w:rsid w:val="00752E85"/>
    <w:rsid w:val="00752FD5"/>
    <w:rsid w:val="0075314E"/>
    <w:rsid w:val="007536A1"/>
    <w:rsid w:val="007542F1"/>
    <w:rsid w:val="00754D94"/>
    <w:rsid w:val="007555D6"/>
    <w:rsid w:val="007559A0"/>
    <w:rsid w:val="00755CD0"/>
    <w:rsid w:val="007564D4"/>
    <w:rsid w:val="00756B77"/>
    <w:rsid w:val="00756D39"/>
    <w:rsid w:val="007574CA"/>
    <w:rsid w:val="00760086"/>
    <w:rsid w:val="00760B04"/>
    <w:rsid w:val="00760C49"/>
    <w:rsid w:val="00761637"/>
    <w:rsid w:val="00761C5E"/>
    <w:rsid w:val="007636AD"/>
    <w:rsid w:val="00765051"/>
    <w:rsid w:val="00765169"/>
    <w:rsid w:val="007656EC"/>
    <w:rsid w:val="0076585E"/>
    <w:rsid w:val="007679F1"/>
    <w:rsid w:val="00767B72"/>
    <w:rsid w:val="007711DA"/>
    <w:rsid w:val="007714E2"/>
    <w:rsid w:val="00771BC6"/>
    <w:rsid w:val="007720BA"/>
    <w:rsid w:val="00772B31"/>
    <w:rsid w:val="00772BA8"/>
    <w:rsid w:val="0077328D"/>
    <w:rsid w:val="007735A4"/>
    <w:rsid w:val="007738C6"/>
    <w:rsid w:val="007742B9"/>
    <w:rsid w:val="0077439E"/>
    <w:rsid w:val="00774533"/>
    <w:rsid w:val="00774D43"/>
    <w:rsid w:val="00774FE4"/>
    <w:rsid w:val="007750A4"/>
    <w:rsid w:val="00775252"/>
    <w:rsid w:val="007754B8"/>
    <w:rsid w:val="00775A20"/>
    <w:rsid w:val="00775FB8"/>
    <w:rsid w:val="00776133"/>
    <w:rsid w:val="007761CF"/>
    <w:rsid w:val="00776218"/>
    <w:rsid w:val="00777A48"/>
    <w:rsid w:val="00777CDE"/>
    <w:rsid w:val="00777E01"/>
    <w:rsid w:val="00780B3F"/>
    <w:rsid w:val="00781666"/>
    <w:rsid w:val="00781E28"/>
    <w:rsid w:val="007826E7"/>
    <w:rsid w:val="00782A8D"/>
    <w:rsid w:val="00782B16"/>
    <w:rsid w:val="00783B3E"/>
    <w:rsid w:val="00784029"/>
    <w:rsid w:val="007843C3"/>
    <w:rsid w:val="0078473E"/>
    <w:rsid w:val="00785A3D"/>
    <w:rsid w:val="00785B1A"/>
    <w:rsid w:val="007867C0"/>
    <w:rsid w:val="007871E8"/>
    <w:rsid w:val="00787352"/>
    <w:rsid w:val="007875C7"/>
    <w:rsid w:val="007879A4"/>
    <w:rsid w:val="00787C4D"/>
    <w:rsid w:val="00787DEC"/>
    <w:rsid w:val="0079000C"/>
    <w:rsid w:val="00792D6E"/>
    <w:rsid w:val="00793601"/>
    <w:rsid w:val="00793753"/>
    <w:rsid w:val="00793C08"/>
    <w:rsid w:val="00793ECE"/>
    <w:rsid w:val="00794726"/>
    <w:rsid w:val="007951DD"/>
    <w:rsid w:val="0079565F"/>
    <w:rsid w:val="007963C5"/>
    <w:rsid w:val="007963F8"/>
    <w:rsid w:val="00796C07"/>
    <w:rsid w:val="007978BA"/>
    <w:rsid w:val="00797B1E"/>
    <w:rsid w:val="007A0064"/>
    <w:rsid w:val="007A00D9"/>
    <w:rsid w:val="007A047E"/>
    <w:rsid w:val="007A0A5E"/>
    <w:rsid w:val="007A0E61"/>
    <w:rsid w:val="007A0F68"/>
    <w:rsid w:val="007A0FBD"/>
    <w:rsid w:val="007A1B2A"/>
    <w:rsid w:val="007A2113"/>
    <w:rsid w:val="007A2E1E"/>
    <w:rsid w:val="007A3488"/>
    <w:rsid w:val="007A34D2"/>
    <w:rsid w:val="007A5639"/>
    <w:rsid w:val="007A6087"/>
    <w:rsid w:val="007A6D83"/>
    <w:rsid w:val="007A7268"/>
    <w:rsid w:val="007A7743"/>
    <w:rsid w:val="007A7E3F"/>
    <w:rsid w:val="007A7F79"/>
    <w:rsid w:val="007B0646"/>
    <w:rsid w:val="007B0D5D"/>
    <w:rsid w:val="007B107C"/>
    <w:rsid w:val="007B183B"/>
    <w:rsid w:val="007B184D"/>
    <w:rsid w:val="007B2770"/>
    <w:rsid w:val="007B321E"/>
    <w:rsid w:val="007B3352"/>
    <w:rsid w:val="007B37A1"/>
    <w:rsid w:val="007B3BE6"/>
    <w:rsid w:val="007B3E47"/>
    <w:rsid w:val="007B5150"/>
    <w:rsid w:val="007B54DC"/>
    <w:rsid w:val="007B594F"/>
    <w:rsid w:val="007B5A95"/>
    <w:rsid w:val="007B67F7"/>
    <w:rsid w:val="007B749A"/>
    <w:rsid w:val="007B769F"/>
    <w:rsid w:val="007B7B26"/>
    <w:rsid w:val="007C0013"/>
    <w:rsid w:val="007C0C6D"/>
    <w:rsid w:val="007C1A6D"/>
    <w:rsid w:val="007C1D30"/>
    <w:rsid w:val="007C3044"/>
    <w:rsid w:val="007C336C"/>
    <w:rsid w:val="007C37CE"/>
    <w:rsid w:val="007C3A50"/>
    <w:rsid w:val="007C3DAF"/>
    <w:rsid w:val="007C58EF"/>
    <w:rsid w:val="007C612D"/>
    <w:rsid w:val="007C6B38"/>
    <w:rsid w:val="007C6C20"/>
    <w:rsid w:val="007C6F28"/>
    <w:rsid w:val="007C7B16"/>
    <w:rsid w:val="007C7DF2"/>
    <w:rsid w:val="007C7EBE"/>
    <w:rsid w:val="007D0140"/>
    <w:rsid w:val="007D023A"/>
    <w:rsid w:val="007D08C1"/>
    <w:rsid w:val="007D0B22"/>
    <w:rsid w:val="007D10F9"/>
    <w:rsid w:val="007D1627"/>
    <w:rsid w:val="007D1913"/>
    <w:rsid w:val="007D268F"/>
    <w:rsid w:val="007D34B8"/>
    <w:rsid w:val="007D3D01"/>
    <w:rsid w:val="007D4397"/>
    <w:rsid w:val="007D46B9"/>
    <w:rsid w:val="007D53AC"/>
    <w:rsid w:val="007D5CD3"/>
    <w:rsid w:val="007D68B5"/>
    <w:rsid w:val="007D6EA1"/>
    <w:rsid w:val="007D722E"/>
    <w:rsid w:val="007D7F2E"/>
    <w:rsid w:val="007E146F"/>
    <w:rsid w:val="007E15A4"/>
    <w:rsid w:val="007E16E7"/>
    <w:rsid w:val="007E1986"/>
    <w:rsid w:val="007E2809"/>
    <w:rsid w:val="007E2ACF"/>
    <w:rsid w:val="007E4515"/>
    <w:rsid w:val="007E467E"/>
    <w:rsid w:val="007E46DA"/>
    <w:rsid w:val="007E4CF9"/>
    <w:rsid w:val="007E53C8"/>
    <w:rsid w:val="007E5A39"/>
    <w:rsid w:val="007E5C7A"/>
    <w:rsid w:val="007E5D6A"/>
    <w:rsid w:val="007E6477"/>
    <w:rsid w:val="007E6CB3"/>
    <w:rsid w:val="007E6F91"/>
    <w:rsid w:val="007E71D6"/>
    <w:rsid w:val="007E7780"/>
    <w:rsid w:val="007E7866"/>
    <w:rsid w:val="007E7B27"/>
    <w:rsid w:val="007F001B"/>
    <w:rsid w:val="007F0265"/>
    <w:rsid w:val="007F0320"/>
    <w:rsid w:val="007F04F7"/>
    <w:rsid w:val="007F08A7"/>
    <w:rsid w:val="007F090F"/>
    <w:rsid w:val="007F12BC"/>
    <w:rsid w:val="007F2021"/>
    <w:rsid w:val="007F20DE"/>
    <w:rsid w:val="007F237A"/>
    <w:rsid w:val="007F31D4"/>
    <w:rsid w:val="007F341C"/>
    <w:rsid w:val="007F37F2"/>
    <w:rsid w:val="007F3C5E"/>
    <w:rsid w:val="007F4074"/>
    <w:rsid w:val="007F40EA"/>
    <w:rsid w:val="007F5404"/>
    <w:rsid w:val="007F5517"/>
    <w:rsid w:val="007F634E"/>
    <w:rsid w:val="007F7253"/>
    <w:rsid w:val="007F72FC"/>
    <w:rsid w:val="007F7541"/>
    <w:rsid w:val="007F7AFE"/>
    <w:rsid w:val="007F7E63"/>
    <w:rsid w:val="008008CD"/>
    <w:rsid w:val="00800AA7"/>
    <w:rsid w:val="00801262"/>
    <w:rsid w:val="00801C6E"/>
    <w:rsid w:val="00802366"/>
    <w:rsid w:val="008026A1"/>
    <w:rsid w:val="00803554"/>
    <w:rsid w:val="0080357F"/>
    <w:rsid w:val="00803F62"/>
    <w:rsid w:val="008046BD"/>
    <w:rsid w:val="00804F59"/>
    <w:rsid w:val="00805CEA"/>
    <w:rsid w:val="00805EDC"/>
    <w:rsid w:val="00806583"/>
    <w:rsid w:val="0080701B"/>
    <w:rsid w:val="00807974"/>
    <w:rsid w:val="00807DBB"/>
    <w:rsid w:val="00810841"/>
    <w:rsid w:val="00810868"/>
    <w:rsid w:val="0081107A"/>
    <w:rsid w:val="008112AA"/>
    <w:rsid w:val="008114F0"/>
    <w:rsid w:val="00811577"/>
    <w:rsid w:val="00811EE5"/>
    <w:rsid w:val="00812C10"/>
    <w:rsid w:val="00812F62"/>
    <w:rsid w:val="008132EB"/>
    <w:rsid w:val="00814338"/>
    <w:rsid w:val="00814786"/>
    <w:rsid w:val="0081498D"/>
    <w:rsid w:val="008149A4"/>
    <w:rsid w:val="0081589A"/>
    <w:rsid w:val="00815B90"/>
    <w:rsid w:val="00815C28"/>
    <w:rsid w:val="00815E4E"/>
    <w:rsid w:val="00815F7D"/>
    <w:rsid w:val="00816748"/>
    <w:rsid w:val="0081715C"/>
    <w:rsid w:val="008176D6"/>
    <w:rsid w:val="00820164"/>
    <w:rsid w:val="00820393"/>
    <w:rsid w:val="008205F0"/>
    <w:rsid w:val="00820A3C"/>
    <w:rsid w:val="00821779"/>
    <w:rsid w:val="00821D6C"/>
    <w:rsid w:val="00821DA6"/>
    <w:rsid w:val="008220AC"/>
    <w:rsid w:val="008223DD"/>
    <w:rsid w:val="008224D4"/>
    <w:rsid w:val="008230F7"/>
    <w:rsid w:val="00823FF7"/>
    <w:rsid w:val="00824B68"/>
    <w:rsid w:val="00824D3D"/>
    <w:rsid w:val="00825B8A"/>
    <w:rsid w:val="00826990"/>
    <w:rsid w:val="00826B36"/>
    <w:rsid w:val="00827330"/>
    <w:rsid w:val="00827812"/>
    <w:rsid w:val="00830045"/>
    <w:rsid w:val="008302B7"/>
    <w:rsid w:val="008305BB"/>
    <w:rsid w:val="0083063B"/>
    <w:rsid w:val="00830884"/>
    <w:rsid w:val="00830C4F"/>
    <w:rsid w:val="008312DF"/>
    <w:rsid w:val="00831788"/>
    <w:rsid w:val="00831A0D"/>
    <w:rsid w:val="0083218F"/>
    <w:rsid w:val="008323E7"/>
    <w:rsid w:val="0083298B"/>
    <w:rsid w:val="00832E43"/>
    <w:rsid w:val="00834421"/>
    <w:rsid w:val="00834811"/>
    <w:rsid w:val="008375D8"/>
    <w:rsid w:val="00837C92"/>
    <w:rsid w:val="00837DC5"/>
    <w:rsid w:val="00837DF2"/>
    <w:rsid w:val="00837DF7"/>
    <w:rsid w:val="0084053D"/>
    <w:rsid w:val="00841842"/>
    <w:rsid w:val="00842C44"/>
    <w:rsid w:val="00843ABA"/>
    <w:rsid w:val="00843B96"/>
    <w:rsid w:val="00844F59"/>
    <w:rsid w:val="0084568D"/>
    <w:rsid w:val="00845C5A"/>
    <w:rsid w:val="0084650D"/>
    <w:rsid w:val="00846778"/>
    <w:rsid w:val="00846F96"/>
    <w:rsid w:val="00847275"/>
    <w:rsid w:val="0084750B"/>
    <w:rsid w:val="0084756C"/>
    <w:rsid w:val="008478D7"/>
    <w:rsid w:val="00850C36"/>
    <w:rsid w:val="008512AF"/>
    <w:rsid w:val="008513CB"/>
    <w:rsid w:val="0085142F"/>
    <w:rsid w:val="00851FC3"/>
    <w:rsid w:val="008523C4"/>
    <w:rsid w:val="00852439"/>
    <w:rsid w:val="008527EF"/>
    <w:rsid w:val="0085346A"/>
    <w:rsid w:val="00853662"/>
    <w:rsid w:val="00853847"/>
    <w:rsid w:val="00854721"/>
    <w:rsid w:val="008548C5"/>
    <w:rsid w:val="00854932"/>
    <w:rsid w:val="00854F4D"/>
    <w:rsid w:val="00855186"/>
    <w:rsid w:val="0085552D"/>
    <w:rsid w:val="0085564F"/>
    <w:rsid w:val="00855DB0"/>
    <w:rsid w:val="00855EB3"/>
    <w:rsid w:val="00855F21"/>
    <w:rsid w:val="00856399"/>
    <w:rsid w:val="0085702B"/>
    <w:rsid w:val="008578B3"/>
    <w:rsid w:val="0085794A"/>
    <w:rsid w:val="00857EFF"/>
    <w:rsid w:val="00860153"/>
    <w:rsid w:val="008601B4"/>
    <w:rsid w:val="00860214"/>
    <w:rsid w:val="00860705"/>
    <w:rsid w:val="00860CF8"/>
    <w:rsid w:val="008613BC"/>
    <w:rsid w:val="0086244B"/>
    <w:rsid w:val="008628E7"/>
    <w:rsid w:val="008630DD"/>
    <w:rsid w:val="008630FB"/>
    <w:rsid w:val="00863B00"/>
    <w:rsid w:val="008640F1"/>
    <w:rsid w:val="00864810"/>
    <w:rsid w:val="00864EC9"/>
    <w:rsid w:val="008661AC"/>
    <w:rsid w:val="00866683"/>
    <w:rsid w:val="008673AA"/>
    <w:rsid w:val="00867470"/>
    <w:rsid w:val="00870268"/>
    <w:rsid w:val="008705A2"/>
    <w:rsid w:val="00870A26"/>
    <w:rsid w:val="00870AF9"/>
    <w:rsid w:val="00870B1A"/>
    <w:rsid w:val="008712AE"/>
    <w:rsid w:val="00871B66"/>
    <w:rsid w:val="00871E32"/>
    <w:rsid w:val="008725FE"/>
    <w:rsid w:val="00872815"/>
    <w:rsid w:val="00873F78"/>
    <w:rsid w:val="00874122"/>
    <w:rsid w:val="00875149"/>
    <w:rsid w:val="00875B39"/>
    <w:rsid w:val="00875B50"/>
    <w:rsid w:val="00875C00"/>
    <w:rsid w:val="00875ED6"/>
    <w:rsid w:val="00876424"/>
    <w:rsid w:val="00876526"/>
    <w:rsid w:val="008767C8"/>
    <w:rsid w:val="00876801"/>
    <w:rsid w:val="00876B6B"/>
    <w:rsid w:val="00876F98"/>
    <w:rsid w:val="00877744"/>
    <w:rsid w:val="00880144"/>
    <w:rsid w:val="008802DE"/>
    <w:rsid w:val="008803C0"/>
    <w:rsid w:val="00880623"/>
    <w:rsid w:val="0088083B"/>
    <w:rsid w:val="00880F45"/>
    <w:rsid w:val="00881C6C"/>
    <w:rsid w:val="00881C7A"/>
    <w:rsid w:val="00881D2F"/>
    <w:rsid w:val="0088287B"/>
    <w:rsid w:val="00882958"/>
    <w:rsid w:val="00882C65"/>
    <w:rsid w:val="00882EC5"/>
    <w:rsid w:val="0088309C"/>
    <w:rsid w:val="008835BD"/>
    <w:rsid w:val="0088377C"/>
    <w:rsid w:val="00883CB5"/>
    <w:rsid w:val="00884BE4"/>
    <w:rsid w:val="00884D70"/>
    <w:rsid w:val="00885102"/>
    <w:rsid w:val="00885C2B"/>
    <w:rsid w:val="00886E9C"/>
    <w:rsid w:val="0088734D"/>
    <w:rsid w:val="008873BC"/>
    <w:rsid w:val="008878B8"/>
    <w:rsid w:val="00887DB2"/>
    <w:rsid w:val="00890491"/>
    <w:rsid w:val="008905E8"/>
    <w:rsid w:val="00890662"/>
    <w:rsid w:val="00891453"/>
    <w:rsid w:val="00891799"/>
    <w:rsid w:val="008936A7"/>
    <w:rsid w:val="00893723"/>
    <w:rsid w:val="00893D45"/>
    <w:rsid w:val="00894267"/>
    <w:rsid w:val="008943CB"/>
    <w:rsid w:val="00894540"/>
    <w:rsid w:val="0089567F"/>
    <w:rsid w:val="00895780"/>
    <w:rsid w:val="00895A83"/>
    <w:rsid w:val="00895C27"/>
    <w:rsid w:val="00895DC3"/>
    <w:rsid w:val="00896317"/>
    <w:rsid w:val="008968C8"/>
    <w:rsid w:val="00896B5E"/>
    <w:rsid w:val="0089750E"/>
    <w:rsid w:val="00897BDA"/>
    <w:rsid w:val="00897D1E"/>
    <w:rsid w:val="00897F29"/>
    <w:rsid w:val="008A02DF"/>
    <w:rsid w:val="008A07C1"/>
    <w:rsid w:val="008A0E79"/>
    <w:rsid w:val="008A1753"/>
    <w:rsid w:val="008A1F3A"/>
    <w:rsid w:val="008A203D"/>
    <w:rsid w:val="008A23A7"/>
    <w:rsid w:val="008A269D"/>
    <w:rsid w:val="008A2CFA"/>
    <w:rsid w:val="008A3280"/>
    <w:rsid w:val="008A3729"/>
    <w:rsid w:val="008A3D18"/>
    <w:rsid w:val="008A3D5F"/>
    <w:rsid w:val="008A4026"/>
    <w:rsid w:val="008A4462"/>
    <w:rsid w:val="008A589C"/>
    <w:rsid w:val="008A5D28"/>
    <w:rsid w:val="008A5D59"/>
    <w:rsid w:val="008A6523"/>
    <w:rsid w:val="008A79C7"/>
    <w:rsid w:val="008A7A7B"/>
    <w:rsid w:val="008A7C66"/>
    <w:rsid w:val="008B022B"/>
    <w:rsid w:val="008B030D"/>
    <w:rsid w:val="008B0AB2"/>
    <w:rsid w:val="008B16AB"/>
    <w:rsid w:val="008B1954"/>
    <w:rsid w:val="008B23E7"/>
    <w:rsid w:val="008B280E"/>
    <w:rsid w:val="008B2E73"/>
    <w:rsid w:val="008B2F8D"/>
    <w:rsid w:val="008B3CFD"/>
    <w:rsid w:val="008B3F55"/>
    <w:rsid w:val="008B4206"/>
    <w:rsid w:val="008B495E"/>
    <w:rsid w:val="008B5018"/>
    <w:rsid w:val="008B50FB"/>
    <w:rsid w:val="008B5ACA"/>
    <w:rsid w:val="008B64FE"/>
    <w:rsid w:val="008B6A70"/>
    <w:rsid w:val="008B6F32"/>
    <w:rsid w:val="008C003E"/>
    <w:rsid w:val="008C0DA4"/>
    <w:rsid w:val="008C1FCA"/>
    <w:rsid w:val="008C24CA"/>
    <w:rsid w:val="008C2657"/>
    <w:rsid w:val="008C28B3"/>
    <w:rsid w:val="008C2A56"/>
    <w:rsid w:val="008C3D05"/>
    <w:rsid w:val="008C3E8A"/>
    <w:rsid w:val="008C4A0D"/>
    <w:rsid w:val="008C54BC"/>
    <w:rsid w:val="008C55B9"/>
    <w:rsid w:val="008C5AF3"/>
    <w:rsid w:val="008C6864"/>
    <w:rsid w:val="008C6C08"/>
    <w:rsid w:val="008C71F6"/>
    <w:rsid w:val="008C7516"/>
    <w:rsid w:val="008C75DF"/>
    <w:rsid w:val="008D0629"/>
    <w:rsid w:val="008D07F9"/>
    <w:rsid w:val="008D0D1C"/>
    <w:rsid w:val="008D1347"/>
    <w:rsid w:val="008D137F"/>
    <w:rsid w:val="008D1AB4"/>
    <w:rsid w:val="008D2572"/>
    <w:rsid w:val="008D2B9C"/>
    <w:rsid w:val="008D3749"/>
    <w:rsid w:val="008D3B0C"/>
    <w:rsid w:val="008D3CF0"/>
    <w:rsid w:val="008D4565"/>
    <w:rsid w:val="008D5C93"/>
    <w:rsid w:val="008D5CFC"/>
    <w:rsid w:val="008D696D"/>
    <w:rsid w:val="008D6C01"/>
    <w:rsid w:val="008D6F6B"/>
    <w:rsid w:val="008E0932"/>
    <w:rsid w:val="008E095C"/>
    <w:rsid w:val="008E1187"/>
    <w:rsid w:val="008E1445"/>
    <w:rsid w:val="008E1514"/>
    <w:rsid w:val="008E1647"/>
    <w:rsid w:val="008E1DF9"/>
    <w:rsid w:val="008E257F"/>
    <w:rsid w:val="008E28FF"/>
    <w:rsid w:val="008E2BDF"/>
    <w:rsid w:val="008E340A"/>
    <w:rsid w:val="008E35E5"/>
    <w:rsid w:val="008E4002"/>
    <w:rsid w:val="008E4A84"/>
    <w:rsid w:val="008E4CB0"/>
    <w:rsid w:val="008E5469"/>
    <w:rsid w:val="008E5A7B"/>
    <w:rsid w:val="008E62C0"/>
    <w:rsid w:val="008E7211"/>
    <w:rsid w:val="008E77C1"/>
    <w:rsid w:val="008F01F0"/>
    <w:rsid w:val="008F0EFB"/>
    <w:rsid w:val="008F132A"/>
    <w:rsid w:val="008F139A"/>
    <w:rsid w:val="008F1D22"/>
    <w:rsid w:val="008F204C"/>
    <w:rsid w:val="008F2C9E"/>
    <w:rsid w:val="008F39CF"/>
    <w:rsid w:val="008F39F8"/>
    <w:rsid w:val="008F3A51"/>
    <w:rsid w:val="008F4179"/>
    <w:rsid w:val="008F41C6"/>
    <w:rsid w:val="008F466F"/>
    <w:rsid w:val="008F4AD5"/>
    <w:rsid w:val="008F4E92"/>
    <w:rsid w:val="008F5297"/>
    <w:rsid w:val="008F558D"/>
    <w:rsid w:val="008F56EB"/>
    <w:rsid w:val="008F5895"/>
    <w:rsid w:val="008F5A41"/>
    <w:rsid w:val="008F601D"/>
    <w:rsid w:val="008F6044"/>
    <w:rsid w:val="008F60CC"/>
    <w:rsid w:val="008F622A"/>
    <w:rsid w:val="008F6771"/>
    <w:rsid w:val="008F6A02"/>
    <w:rsid w:val="0090023C"/>
    <w:rsid w:val="00900342"/>
    <w:rsid w:val="00900F1D"/>
    <w:rsid w:val="0090351E"/>
    <w:rsid w:val="00903E5F"/>
    <w:rsid w:val="009043A5"/>
    <w:rsid w:val="00904E0D"/>
    <w:rsid w:val="00905106"/>
    <w:rsid w:val="00905E83"/>
    <w:rsid w:val="00906283"/>
    <w:rsid w:val="009070CD"/>
    <w:rsid w:val="00907172"/>
    <w:rsid w:val="00907658"/>
    <w:rsid w:val="00907782"/>
    <w:rsid w:val="00907F30"/>
    <w:rsid w:val="0091042E"/>
    <w:rsid w:val="0091082C"/>
    <w:rsid w:val="00910889"/>
    <w:rsid w:val="009108A7"/>
    <w:rsid w:val="00910CFB"/>
    <w:rsid w:val="0091133E"/>
    <w:rsid w:val="00911896"/>
    <w:rsid w:val="00911A8E"/>
    <w:rsid w:val="00911DAB"/>
    <w:rsid w:val="00912536"/>
    <w:rsid w:val="00912936"/>
    <w:rsid w:val="00912B8B"/>
    <w:rsid w:val="00912BBC"/>
    <w:rsid w:val="0091301E"/>
    <w:rsid w:val="0091383F"/>
    <w:rsid w:val="00913996"/>
    <w:rsid w:val="00913B7F"/>
    <w:rsid w:val="00913D5C"/>
    <w:rsid w:val="00914BA6"/>
    <w:rsid w:val="00915DA9"/>
    <w:rsid w:val="00915FEB"/>
    <w:rsid w:val="00916386"/>
    <w:rsid w:val="009163DF"/>
    <w:rsid w:val="00916AE1"/>
    <w:rsid w:val="00916F8D"/>
    <w:rsid w:val="009172E9"/>
    <w:rsid w:val="00920A59"/>
    <w:rsid w:val="00920B1D"/>
    <w:rsid w:val="00920C86"/>
    <w:rsid w:val="0092125E"/>
    <w:rsid w:val="00921EEF"/>
    <w:rsid w:val="00921F4A"/>
    <w:rsid w:val="00922312"/>
    <w:rsid w:val="0092269A"/>
    <w:rsid w:val="009227E5"/>
    <w:rsid w:val="0092288A"/>
    <w:rsid w:val="00922C73"/>
    <w:rsid w:val="009242C8"/>
    <w:rsid w:val="00925171"/>
    <w:rsid w:val="009254B1"/>
    <w:rsid w:val="0092614A"/>
    <w:rsid w:val="00926AAB"/>
    <w:rsid w:val="00927F57"/>
    <w:rsid w:val="00930201"/>
    <w:rsid w:val="009302F9"/>
    <w:rsid w:val="00930453"/>
    <w:rsid w:val="00930CA7"/>
    <w:rsid w:val="00930E5A"/>
    <w:rsid w:val="00931507"/>
    <w:rsid w:val="00931670"/>
    <w:rsid w:val="00931720"/>
    <w:rsid w:val="00932081"/>
    <w:rsid w:val="0093332B"/>
    <w:rsid w:val="00933820"/>
    <w:rsid w:val="00934BBA"/>
    <w:rsid w:val="00934C85"/>
    <w:rsid w:val="00934E3F"/>
    <w:rsid w:val="009362C0"/>
    <w:rsid w:val="009362ED"/>
    <w:rsid w:val="0093775D"/>
    <w:rsid w:val="00937B25"/>
    <w:rsid w:val="00937DB7"/>
    <w:rsid w:val="00940132"/>
    <w:rsid w:val="0094085E"/>
    <w:rsid w:val="009408DD"/>
    <w:rsid w:val="00941D3C"/>
    <w:rsid w:val="00941EE1"/>
    <w:rsid w:val="00942E08"/>
    <w:rsid w:val="009435B7"/>
    <w:rsid w:val="009436E9"/>
    <w:rsid w:val="00943C1A"/>
    <w:rsid w:val="00944933"/>
    <w:rsid w:val="00944C62"/>
    <w:rsid w:val="00944DDA"/>
    <w:rsid w:val="009452F1"/>
    <w:rsid w:val="0094545D"/>
    <w:rsid w:val="00945B28"/>
    <w:rsid w:val="00945DA6"/>
    <w:rsid w:val="0094609A"/>
    <w:rsid w:val="00946CFE"/>
    <w:rsid w:val="00946E77"/>
    <w:rsid w:val="00947800"/>
    <w:rsid w:val="00947857"/>
    <w:rsid w:val="0094793C"/>
    <w:rsid w:val="00947BF9"/>
    <w:rsid w:val="00947F91"/>
    <w:rsid w:val="00950512"/>
    <w:rsid w:val="00950826"/>
    <w:rsid w:val="0095099E"/>
    <w:rsid w:val="00951F4B"/>
    <w:rsid w:val="00952169"/>
    <w:rsid w:val="00952550"/>
    <w:rsid w:val="0095297E"/>
    <w:rsid w:val="00952D79"/>
    <w:rsid w:val="00953A31"/>
    <w:rsid w:val="00954115"/>
    <w:rsid w:val="009548A6"/>
    <w:rsid w:val="00955219"/>
    <w:rsid w:val="00955A9D"/>
    <w:rsid w:val="00955C52"/>
    <w:rsid w:val="00956372"/>
    <w:rsid w:val="00956EDA"/>
    <w:rsid w:val="00956F4F"/>
    <w:rsid w:val="00957026"/>
    <w:rsid w:val="009574F0"/>
    <w:rsid w:val="0095761F"/>
    <w:rsid w:val="00957777"/>
    <w:rsid w:val="009577AC"/>
    <w:rsid w:val="0096123E"/>
    <w:rsid w:val="009614C0"/>
    <w:rsid w:val="0096150A"/>
    <w:rsid w:val="0096186B"/>
    <w:rsid w:val="00961A35"/>
    <w:rsid w:val="00961CBB"/>
    <w:rsid w:val="00961D12"/>
    <w:rsid w:val="00961F0E"/>
    <w:rsid w:val="009623FB"/>
    <w:rsid w:val="009627A2"/>
    <w:rsid w:val="00963063"/>
    <w:rsid w:val="00963F4A"/>
    <w:rsid w:val="0096548E"/>
    <w:rsid w:val="009658DB"/>
    <w:rsid w:val="00965911"/>
    <w:rsid w:val="0096613E"/>
    <w:rsid w:val="009663F1"/>
    <w:rsid w:val="009670EF"/>
    <w:rsid w:val="009674BF"/>
    <w:rsid w:val="00967ED8"/>
    <w:rsid w:val="009704F8"/>
    <w:rsid w:val="00970A85"/>
    <w:rsid w:val="009713C0"/>
    <w:rsid w:val="009720B2"/>
    <w:rsid w:val="00973B38"/>
    <w:rsid w:val="00973F76"/>
    <w:rsid w:val="00974DA6"/>
    <w:rsid w:val="0097509C"/>
    <w:rsid w:val="00975219"/>
    <w:rsid w:val="009768DB"/>
    <w:rsid w:val="00977638"/>
    <w:rsid w:val="009776FC"/>
    <w:rsid w:val="009778A7"/>
    <w:rsid w:val="00977CCA"/>
    <w:rsid w:val="00977D5E"/>
    <w:rsid w:val="009808DD"/>
    <w:rsid w:val="00980CA6"/>
    <w:rsid w:val="00983446"/>
    <w:rsid w:val="00984308"/>
    <w:rsid w:val="009843D6"/>
    <w:rsid w:val="00985065"/>
    <w:rsid w:val="00985A94"/>
    <w:rsid w:val="00985BDD"/>
    <w:rsid w:val="009860DF"/>
    <w:rsid w:val="009865C1"/>
    <w:rsid w:val="0098788E"/>
    <w:rsid w:val="00987B49"/>
    <w:rsid w:val="00987EEA"/>
    <w:rsid w:val="00990872"/>
    <w:rsid w:val="00990C2E"/>
    <w:rsid w:val="0099142E"/>
    <w:rsid w:val="009927D2"/>
    <w:rsid w:val="00992935"/>
    <w:rsid w:val="00992B8A"/>
    <w:rsid w:val="00992D8C"/>
    <w:rsid w:val="00993E16"/>
    <w:rsid w:val="00994746"/>
    <w:rsid w:val="009949BC"/>
    <w:rsid w:val="00994D82"/>
    <w:rsid w:val="00996EFB"/>
    <w:rsid w:val="0099742D"/>
    <w:rsid w:val="009974CF"/>
    <w:rsid w:val="009979A1"/>
    <w:rsid w:val="009A03E9"/>
    <w:rsid w:val="009A08B2"/>
    <w:rsid w:val="009A0DF9"/>
    <w:rsid w:val="009A103E"/>
    <w:rsid w:val="009A16DA"/>
    <w:rsid w:val="009A1C1F"/>
    <w:rsid w:val="009A2DB4"/>
    <w:rsid w:val="009A2F2D"/>
    <w:rsid w:val="009A3D49"/>
    <w:rsid w:val="009A466B"/>
    <w:rsid w:val="009A5DA0"/>
    <w:rsid w:val="009A6C14"/>
    <w:rsid w:val="009A7438"/>
    <w:rsid w:val="009A7A22"/>
    <w:rsid w:val="009B00C3"/>
    <w:rsid w:val="009B0884"/>
    <w:rsid w:val="009B101E"/>
    <w:rsid w:val="009B113B"/>
    <w:rsid w:val="009B1190"/>
    <w:rsid w:val="009B119B"/>
    <w:rsid w:val="009B20BB"/>
    <w:rsid w:val="009B24E0"/>
    <w:rsid w:val="009B2606"/>
    <w:rsid w:val="009B2B74"/>
    <w:rsid w:val="009B2DB0"/>
    <w:rsid w:val="009B2F28"/>
    <w:rsid w:val="009B3199"/>
    <w:rsid w:val="009B3C57"/>
    <w:rsid w:val="009B4CF8"/>
    <w:rsid w:val="009B4F7B"/>
    <w:rsid w:val="009B50EF"/>
    <w:rsid w:val="009B604F"/>
    <w:rsid w:val="009B618B"/>
    <w:rsid w:val="009B628F"/>
    <w:rsid w:val="009B6C7F"/>
    <w:rsid w:val="009B77E6"/>
    <w:rsid w:val="009B78D7"/>
    <w:rsid w:val="009B7D1C"/>
    <w:rsid w:val="009B7F92"/>
    <w:rsid w:val="009C02DC"/>
    <w:rsid w:val="009C055D"/>
    <w:rsid w:val="009C1056"/>
    <w:rsid w:val="009C1F55"/>
    <w:rsid w:val="009C257C"/>
    <w:rsid w:val="009C3F54"/>
    <w:rsid w:val="009C4257"/>
    <w:rsid w:val="009C44A4"/>
    <w:rsid w:val="009C54AF"/>
    <w:rsid w:val="009C620C"/>
    <w:rsid w:val="009C681A"/>
    <w:rsid w:val="009C7269"/>
    <w:rsid w:val="009C776B"/>
    <w:rsid w:val="009C7862"/>
    <w:rsid w:val="009C78BD"/>
    <w:rsid w:val="009C7E81"/>
    <w:rsid w:val="009D01AA"/>
    <w:rsid w:val="009D0EAC"/>
    <w:rsid w:val="009D1084"/>
    <w:rsid w:val="009D15F6"/>
    <w:rsid w:val="009D1CC2"/>
    <w:rsid w:val="009D231E"/>
    <w:rsid w:val="009D279B"/>
    <w:rsid w:val="009D280B"/>
    <w:rsid w:val="009D2F12"/>
    <w:rsid w:val="009D32AD"/>
    <w:rsid w:val="009D35EC"/>
    <w:rsid w:val="009D389A"/>
    <w:rsid w:val="009D41C6"/>
    <w:rsid w:val="009D47CE"/>
    <w:rsid w:val="009D4C84"/>
    <w:rsid w:val="009D52ED"/>
    <w:rsid w:val="009D5E67"/>
    <w:rsid w:val="009D65A6"/>
    <w:rsid w:val="009D7202"/>
    <w:rsid w:val="009D784D"/>
    <w:rsid w:val="009D7F44"/>
    <w:rsid w:val="009E002B"/>
    <w:rsid w:val="009E13F8"/>
    <w:rsid w:val="009E1738"/>
    <w:rsid w:val="009E1B85"/>
    <w:rsid w:val="009E26ED"/>
    <w:rsid w:val="009E2A3E"/>
    <w:rsid w:val="009E2C4D"/>
    <w:rsid w:val="009E3949"/>
    <w:rsid w:val="009E3D9B"/>
    <w:rsid w:val="009E4406"/>
    <w:rsid w:val="009E5064"/>
    <w:rsid w:val="009E5305"/>
    <w:rsid w:val="009E58F0"/>
    <w:rsid w:val="009E5901"/>
    <w:rsid w:val="009E62B9"/>
    <w:rsid w:val="009E6EA1"/>
    <w:rsid w:val="009F000A"/>
    <w:rsid w:val="009F11DA"/>
    <w:rsid w:val="009F1960"/>
    <w:rsid w:val="009F1BD4"/>
    <w:rsid w:val="009F1C26"/>
    <w:rsid w:val="009F2360"/>
    <w:rsid w:val="009F26F7"/>
    <w:rsid w:val="009F3E66"/>
    <w:rsid w:val="009F3E86"/>
    <w:rsid w:val="009F433A"/>
    <w:rsid w:val="009F46E4"/>
    <w:rsid w:val="009F4B32"/>
    <w:rsid w:val="009F5711"/>
    <w:rsid w:val="009F580B"/>
    <w:rsid w:val="009F68CB"/>
    <w:rsid w:val="009F7084"/>
    <w:rsid w:val="009F75FD"/>
    <w:rsid w:val="009F7BF1"/>
    <w:rsid w:val="009F7C81"/>
    <w:rsid w:val="00A00209"/>
    <w:rsid w:val="00A00D49"/>
    <w:rsid w:val="00A0181F"/>
    <w:rsid w:val="00A0267A"/>
    <w:rsid w:val="00A02CB1"/>
    <w:rsid w:val="00A02D2C"/>
    <w:rsid w:val="00A033BF"/>
    <w:rsid w:val="00A034F8"/>
    <w:rsid w:val="00A03C65"/>
    <w:rsid w:val="00A03E8F"/>
    <w:rsid w:val="00A045C7"/>
    <w:rsid w:val="00A04751"/>
    <w:rsid w:val="00A05FCA"/>
    <w:rsid w:val="00A0641D"/>
    <w:rsid w:val="00A06D97"/>
    <w:rsid w:val="00A07849"/>
    <w:rsid w:val="00A07853"/>
    <w:rsid w:val="00A103CE"/>
    <w:rsid w:val="00A10ED0"/>
    <w:rsid w:val="00A1110D"/>
    <w:rsid w:val="00A115B1"/>
    <w:rsid w:val="00A12572"/>
    <w:rsid w:val="00A1302E"/>
    <w:rsid w:val="00A1307F"/>
    <w:rsid w:val="00A13D8E"/>
    <w:rsid w:val="00A14E9E"/>
    <w:rsid w:val="00A15508"/>
    <w:rsid w:val="00A15553"/>
    <w:rsid w:val="00A15A68"/>
    <w:rsid w:val="00A164B3"/>
    <w:rsid w:val="00A170B0"/>
    <w:rsid w:val="00A17DA3"/>
    <w:rsid w:val="00A206DB"/>
    <w:rsid w:val="00A20E84"/>
    <w:rsid w:val="00A20EFD"/>
    <w:rsid w:val="00A2134E"/>
    <w:rsid w:val="00A21832"/>
    <w:rsid w:val="00A21CC5"/>
    <w:rsid w:val="00A21D44"/>
    <w:rsid w:val="00A2392D"/>
    <w:rsid w:val="00A23D5D"/>
    <w:rsid w:val="00A2456E"/>
    <w:rsid w:val="00A2462C"/>
    <w:rsid w:val="00A24E29"/>
    <w:rsid w:val="00A2583B"/>
    <w:rsid w:val="00A25873"/>
    <w:rsid w:val="00A273C1"/>
    <w:rsid w:val="00A274C5"/>
    <w:rsid w:val="00A27A9F"/>
    <w:rsid w:val="00A27BB0"/>
    <w:rsid w:val="00A27DE8"/>
    <w:rsid w:val="00A310C6"/>
    <w:rsid w:val="00A32E63"/>
    <w:rsid w:val="00A32EB6"/>
    <w:rsid w:val="00A33093"/>
    <w:rsid w:val="00A331F0"/>
    <w:rsid w:val="00A332F0"/>
    <w:rsid w:val="00A33B60"/>
    <w:rsid w:val="00A33C2A"/>
    <w:rsid w:val="00A3432B"/>
    <w:rsid w:val="00A35C03"/>
    <w:rsid w:val="00A35F6E"/>
    <w:rsid w:val="00A36613"/>
    <w:rsid w:val="00A36C74"/>
    <w:rsid w:val="00A37A90"/>
    <w:rsid w:val="00A37B3E"/>
    <w:rsid w:val="00A37DEC"/>
    <w:rsid w:val="00A41605"/>
    <w:rsid w:val="00A41B6D"/>
    <w:rsid w:val="00A420BE"/>
    <w:rsid w:val="00A42370"/>
    <w:rsid w:val="00A425A2"/>
    <w:rsid w:val="00A42A01"/>
    <w:rsid w:val="00A43104"/>
    <w:rsid w:val="00A433A1"/>
    <w:rsid w:val="00A43C85"/>
    <w:rsid w:val="00A43D8B"/>
    <w:rsid w:val="00A43F86"/>
    <w:rsid w:val="00A43F93"/>
    <w:rsid w:val="00A4468C"/>
    <w:rsid w:val="00A44827"/>
    <w:rsid w:val="00A45F9F"/>
    <w:rsid w:val="00A46138"/>
    <w:rsid w:val="00A46789"/>
    <w:rsid w:val="00A46B1F"/>
    <w:rsid w:val="00A47ED0"/>
    <w:rsid w:val="00A50436"/>
    <w:rsid w:val="00A507A4"/>
    <w:rsid w:val="00A507F0"/>
    <w:rsid w:val="00A50EDC"/>
    <w:rsid w:val="00A51777"/>
    <w:rsid w:val="00A518B9"/>
    <w:rsid w:val="00A51BD6"/>
    <w:rsid w:val="00A51D97"/>
    <w:rsid w:val="00A51E9A"/>
    <w:rsid w:val="00A51EE8"/>
    <w:rsid w:val="00A52F4C"/>
    <w:rsid w:val="00A532C5"/>
    <w:rsid w:val="00A53B44"/>
    <w:rsid w:val="00A54016"/>
    <w:rsid w:val="00A54287"/>
    <w:rsid w:val="00A546DC"/>
    <w:rsid w:val="00A553F5"/>
    <w:rsid w:val="00A569D3"/>
    <w:rsid w:val="00A56B39"/>
    <w:rsid w:val="00A5703A"/>
    <w:rsid w:val="00A573C8"/>
    <w:rsid w:val="00A57767"/>
    <w:rsid w:val="00A60A7E"/>
    <w:rsid w:val="00A60C13"/>
    <w:rsid w:val="00A61C66"/>
    <w:rsid w:val="00A62DB3"/>
    <w:rsid w:val="00A631BE"/>
    <w:rsid w:val="00A63AFB"/>
    <w:rsid w:val="00A63BFE"/>
    <w:rsid w:val="00A63DF1"/>
    <w:rsid w:val="00A63F5A"/>
    <w:rsid w:val="00A64681"/>
    <w:rsid w:val="00A6554B"/>
    <w:rsid w:val="00A66083"/>
    <w:rsid w:val="00A6635F"/>
    <w:rsid w:val="00A66D1A"/>
    <w:rsid w:val="00A66D4D"/>
    <w:rsid w:val="00A6726D"/>
    <w:rsid w:val="00A674B3"/>
    <w:rsid w:val="00A6750A"/>
    <w:rsid w:val="00A7012C"/>
    <w:rsid w:val="00A7028F"/>
    <w:rsid w:val="00A70355"/>
    <w:rsid w:val="00A707E0"/>
    <w:rsid w:val="00A7095D"/>
    <w:rsid w:val="00A70A32"/>
    <w:rsid w:val="00A72CDD"/>
    <w:rsid w:val="00A73601"/>
    <w:rsid w:val="00A73D9A"/>
    <w:rsid w:val="00A742EB"/>
    <w:rsid w:val="00A744AD"/>
    <w:rsid w:val="00A74699"/>
    <w:rsid w:val="00A746D5"/>
    <w:rsid w:val="00A75A5C"/>
    <w:rsid w:val="00A760F7"/>
    <w:rsid w:val="00A76389"/>
    <w:rsid w:val="00A7647D"/>
    <w:rsid w:val="00A76515"/>
    <w:rsid w:val="00A76692"/>
    <w:rsid w:val="00A76A4E"/>
    <w:rsid w:val="00A76C40"/>
    <w:rsid w:val="00A773C5"/>
    <w:rsid w:val="00A803F9"/>
    <w:rsid w:val="00A80A5D"/>
    <w:rsid w:val="00A81572"/>
    <w:rsid w:val="00A82D9A"/>
    <w:rsid w:val="00A8339F"/>
    <w:rsid w:val="00A83698"/>
    <w:rsid w:val="00A837AF"/>
    <w:rsid w:val="00A83BF1"/>
    <w:rsid w:val="00A840A1"/>
    <w:rsid w:val="00A8430A"/>
    <w:rsid w:val="00A843F3"/>
    <w:rsid w:val="00A850FF"/>
    <w:rsid w:val="00A8592D"/>
    <w:rsid w:val="00A85C5D"/>
    <w:rsid w:val="00A86A98"/>
    <w:rsid w:val="00A86FB5"/>
    <w:rsid w:val="00A870B6"/>
    <w:rsid w:val="00A870FB"/>
    <w:rsid w:val="00A87306"/>
    <w:rsid w:val="00A874B6"/>
    <w:rsid w:val="00A90132"/>
    <w:rsid w:val="00A912D5"/>
    <w:rsid w:val="00A91CEA"/>
    <w:rsid w:val="00A927C4"/>
    <w:rsid w:val="00A92951"/>
    <w:rsid w:val="00A931ED"/>
    <w:rsid w:val="00A93828"/>
    <w:rsid w:val="00A93E0E"/>
    <w:rsid w:val="00A9408A"/>
    <w:rsid w:val="00A949FC"/>
    <w:rsid w:val="00A94B62"/>
    <w:rsid w:val="00A95223"/>
    <w:rsid w:val="00A955D0"/>
    <w:rsid w:val="00A97680"/>
    <w:rsid w:val="00A977AB"/>
    <w:rsid w:val="00A9792B"/>
    <w:rsid w:val="00A979A7"/>
    <w:rsid w:val="00AA04BF"/>
    <w:rsid w:val="00AA0E3D"/>
    <w:rsid w:val="00AA18D5"/>
    <w:rsid w:val="00AA2069"/>
    <w:rsid w:val="00AA351C"/>
    <w:rsid w:val="00AA54E0"/>
    <w:rsid w:val="00AA5AED"/>
    <w:rsid w:val="00AA6C57"/>
    <w:rsid w:val="00AA7D84"/>
    <w:rsid w:val="00AA7E23"/>
    <w:rsid w:val="00AB0CA6"/>
    <w:rsid w:val="00AB1363"/>
    <w:rsid w:val="00AB26E6"/>
    <w:rsid w:val="00AB2734"/>
    <w:rsid w:val="00AB2B61"/>
    <w:rsid w:val="00AB3D3D"/>
    <w:rsid w:val="00AB41DE"/>
    <w:rsid w:val="00AB5013"/>
    <w:rsid w:val="00AB58E1"/>
    <w:rsid w:val="00AB5E3F"/>
    <w:rsid w:val="00AB6018"/>
    <w:rsid w:val="00AB669C"/>
    <w:rsid w:val="00AB72BD"/>
    <w:rsid w:val="00AB7461"/>
    <w:rsid w:val="00AC1728"/>
    <w:rsid w:val="00AC21AA"/>
    <w:rsid w:val="00AC230D"/>
    <w:rsid w:val="00AC25A5"/>
    <w:rsid w:val="00AC292C"/>
    <w:rsid w:val="00AC2C05"/>
    <w:rsid w:val="00AC462C"/>
    <w:rsid w:val="00AC598B"/>
    <w:rsid w:val="00AC5CE7"/>
    <w:rsid w:val="00AC5FDC"/>
    <w:rsid w:val="00AC672E"/>
    <w:rsid w:val="00AC67CC"/>
    <w:rsid w:val="00AC6BBE"/>
    <w:rsid w:val="00AC6E8F"/>
    <w:rsid w:val="00AC7453"/>
    <w:rsid w:val="00AC7C7D"/>
    <w:rsid w:val="00AD0526"/>
    <w:rsid w:val="00AD14B3"/>
    <w:rsid w:val="00AD18F5"/>
    <w:rsid w:val="00AD1978"/>
    <w:rsid w:val="00AD2C99"/>
    <w:rsid w:val="00AD2FED"/>
    <w:rsid w:val="00AD3882"/>
    <w:rsid w:val="00AD4235"/>
    <w:rsid w:val="00AD42D2"/>
    <w:rsid w:val="00AD4FA9"/>
    <w:rsid w:val="00AD519E"/>
    <w:rsid w:val="00AD5224"/>
    <w:rsid w:val="00AD5A4F"/>
    <w:rsid w:val="00AD5BF6"/>
    <w:rsid w:val="00AD6A21"/>
    <w:rsid w:val="00AD6A7E"/>
    <w:rsid w:val="00AD6AAB"/>
    <w:rsid w:val="00AD7022"/>
    <w:rsid w:val="00AD7310"/>
    <w:rsid w:val="00AD742B"/>
    <w:rsid w:val="00AD792F"/>
    <w:rsid w:val="00AE0E16"/>
    <w:rsid w:val="00AE11B0"/>
    <w:rsid w:val="00AE1EBE"/>
    <w:rsid w:val="00AE1FC1"/>
    <w:rsid w:val="00AE1FFE"/>
    <w:rsid w:val="00AE22EC"/>
    <w:rsid w:val="00AE2749"/>
    <w:rsid w:val="00AE2917"/>
    <w:rsid w:val="00AE3334"/>
    <w:rsid w:val="00AE3C11"/>
    <w:rsid w:val="00AE4544"/>
    <w:rsid w:val="00AE5473"/>
    <w:rsid w:val="00AE7A8A"/>
    <w:rsid w:val="00AE7D61"/>
    <w:rsid w:val="00AE7F5A"/>
    <w:rsid w:val="00AF04E6"/>
    <w:rsid w:val="00AF08F5"/>
    <w:rsid w:val="00AF0D51"/>
    <w:rsid w:val="00AF1F9D"/>
    <w:rsid w:val="00AF2632"/>
    <w:rsid w:val="00AF2832"/>
    <w:rsid w:val="00AF364D"/>
    <w:rsid w:val="00AF387F"/>
    <w:rsid w:val="00AF3AA2"/>
    <w:rsid w:val="00AF48E4"/>
    <w:rsid w:val="00AF4A35"/>
    <w:rsid w:val="00AF4D07"/>
    <w:rsid w:val="00AF54B9"/>
    <w:rsid w:val="00AF698F"/>
    <w:rsid w:val="00AF7400"/>
    <w:rsid w:val="00AF750E"/>
    <w:rsid w:val="00AF75CF"/>
    <w:rsid w:val="00AF76AD"/>
    <w:rsid w:val="00AF77DB"/>
    <w:rsid w:val="00AF7DB9"/>
    <w:rsid w:val="00B00168"/>
    <w:rsid w:val="00B00227"/>
    <w:rsid w:val="00B003CB"/>
    <w:rsid w:val="00B00457"/>
    <w:rsid w:val="00B00AE6"/>
    <w:rsid w:val="00B00C75"/>
    <w:rsid w:val="00B00FD5"/>
    <w:rsid w:val="00B012B6"/>
    <w:rsid w:val="00B01EDD"/>
    <w:rsid w:val="00B02586"/>
    <w:rsid w:val="00B02EB1"/>
    <w:rsid w:val="00B0395E"/>
    <w:rsid w:val="00B03BB6"/>
    <w:rsid w:val="00B04784"/>
    <w:rsid w:val="00B0588F"/>
    <w:rsid w:val="00B05E65"/>
    <w:rsid w:val="00B05F8A"/>
    <w:rsid w:val="00B068A4"/>
    <w:rsid w:val="00B06A58"/>
    <w:rsid w:val="00B06B39"/>
    <w:rsid w:val="00B076DA"/>
    <w:rsid w:val="00B077FA"/>
    <w:rsid w:val="00B07C05"/>
    <w:rsid w:val="00B07C7D"/>
    <w:rsid w:val="00B104BB"/>
    <w:rsid w:val="00B10CB8"/>
    <w:rsid w:val="00B11882"/>
    <w:rsid w:val="00B118BA"/>
    <w:rsid w:val="00B11A2F"/>
    <w:rsid w:val="00B12C93"/>
    <w:rsid w:val="00B132C1"/>
    <w:rsid w:val="00B13E06"/>
    <w:rsid w:val="00B14130"/>
    <w:rsid w:val="00B15343"/>
    <w:rsid w:val="00B15951"/>
    <w:rsid w:val="00B15B83"/>
    <w:rsid w:val="00B15EEE"/>
    <w:rsid w:val="00B1602D"/>
    <w:rsid w:val="00B1682E"/>
    <w:rsid w:val="00B16BFD"/>
    <w:rsid w:val="00B1767B"/>
    <w:rsid w:val="00B1773D"/>
    <w:rsid w:val="00B2065F"/>
    <w:rsid w:val="00B21968"/>
    <w:rsid w:val="00B21D19"/>
    <w:rsid w:val="00B224EC"/>
    <w:rsid w:val="00B227CC"/>
    <w:rsid w:val="00B22FD5"/>
    <w:rsid w:val="00B23B46"/>
    <w:rsid w:val="00B23E0C"/>
    <w:rsid w:val="00B24302"/>
    <w:rsid w:val="00B256AF"/>
    <w:rsid w:val="00B26820"/>
    <w:rsid w:val="00B26825"/>
    <w:rsid w:val="00B26ED9"/>
    <w:rsid w:val="00B27C46"/>
    <w:rsid w:val="00B27D16"/>
    <w:rsid w:val="00B30BB3"/>
    <w:rsid w:val="00B31791"/>
    <w:rsid w:val="00B31CBC"/>
    <w:rsid w:val="00B33BA4"/>
    <w:rsid w:val="00B3476B"/>
    <w:rsid w:val="00B34CB3"/>
    <w:rsid w:val="00B352DF"/>
    <w:rsid w:val="00B3581B"/>
    <w:rsid w:val="00B35A15"/>
    <w:rsid w:val="00B35C58"/>
    <w:rsid w:val="00B3677F"/>
    <w:rsid w:val="00B374DC"/>
    <w:rsid w:val="00B37EDB"/>
    <w:rsid w:val="00B401B0"/>
    <w:rsid w:val="00B404F7"/>
    <w:rsid w:val="00B40519"/>
    <w:rsid w:val="00B4062B"/>
    <w:rsid w:val="00B407D3"/>
    <w:rsid w:val="00B40B17"/>
    <w:rsid w:val="00B422A7"/>
    <w:rsid w:val="00B425B8"/>
    <w:rsid w:val="00B4261A"/>
    <w:rsid w:val="00B4322D"/>
    <w:rsid w:val="00B45C5B"/>
    <w:rsid w:val="00B45F38"/>
    <w:rsid w:val="00B462CF"/>
    <w:rsid w:val="00B46559"/>
    <w:rsid w:val="00B46B85"/>
    <w:rsid w:val="00B4700C"/>
    <w:rsid w:val="00B479E8"/>
    <w:rsid w:val="00B50612"/>
    <w:rsid w:val="00B517F8"/>
    <w:rsid w:val="00B52111"/>
    <w:rsid w:val="00B5225A"/>
    <w:rsid w:val="00B529E4"/>
    <w:rsid w:val="00B52BC5"/>
    <w:rsid w:val="00B53FF0"/>
    <w:rsid w:val="00B553E0"/>
    <w:rsid w:val="00B55C46"/>
    <w:rsid w:val="00B55C78"/>
    <w:rsid w:val="00B55EBA"/>
    <w:rsid w:val="00B561E0"/>
    <w:rsid w:val="00B567F6"/>
    <w:rsid w:val="00B57237"/>
    <w:rsid w:val="00B57318"/>
    <w:rsid w:val="00B57BEB"/>
    <w:rsid w:val="00B6025E"/>
    <w:rsid w:val="00B60384"/>
    <w:rsid w:val="00B606E5"/>
    <w:rsid w:val="00B609BE"/>
    <w:rsid w:val="00B6134A"/>
    <w:rsid w:val="00B61771"/>
    <w:rsid w:val="00B61BD1"/>
    <w:rsid w:val="00B620E4"/>
    <w:rsid w:val="00B62205"/>
    <w:rsid w:val="00B63945"/>
    <w:rsid w:val="00B63B9C"/>
    <w:rsid w:val="00B63EED"/>
    <w:rsid w:val="00B642A3"/>
    <w:rsid w:val="00B64678"/>
    <w:rsid w:val="00B64927"/>
    <w:rsid w:val="00B6496D"/>
    <w:rsid w:val="00B64FC1"/>
    <w:rsid w:val="00B65E15"/>
    <w:rsid w:val="00B66367"/>
    <w:rsid w:val="00B66778"/>
    <w:rsid w:val="00B66D93"/>
    <w:rsid w:val="00B66F03"/>
    <w:rsid w:val="00B66F48"/>
    <w:rsid w:val="00B67887"/>
    <w:rsid w:val="00B703AE"/>
    <w:rsid w:val="00B706A3"/>
    <w:rsid w:val="00B7088F"/>
    <w:rsid w:val="00B714D2"/>
    <w:rsid w:val="00B74313"/>
    <w:rsid w:val="00B74352"/>
    <w:rsid w:val="00B748A2"/>
    <w:rsid w:val="00B759B2"/>
    <w:rsid w:val="00B75B3D"/>
    <w:rsid w:val="00B75F70"/>
    <w:rsid w:val="00B76998"/>
    <w:rsid w:val="00B76E54"/>
    <w:rsid w:val="00B771DF"/>
    <w:rsid w:val="00B803D8"/>
    <w:rsid w:val="00B81857"/>
    <w:rsid w:val="00B82511"/>
    <w:rsid w:val="00B83118"/>
    <w:rsid w:val="00B83496"/>
    <w:rsid w:val="00B843B7"/>
    <w:rsid w:val="00B8489B"/>
    <w:rsid w:val="00B84B8C"/>
    <w:rsid w:val="00B84FC4"/>
    <w:rsid w:val="00B85827"/>
    <w:rsid w:val="00B86790"/>
    <w:rsid w:val="00B86838"/>
    <w:rsid w:val="00B86E72"/>
    <w:rsid w:val="00B87D8F"/>
    <w:rsid w:val="00B87F7A"/>
    <w:rsid w:val="00B904D1"/>
    <w:rsid w:val="00B90BAC"/>
    <w:rsid w:val="00B912EC"/>
    <w:rsid w:val="00B9150F"/>
    <w:rsid w:val="00B9202E"/>
    <w:rsid w:val="00B923A3"/>
    <w:rsid w:val="00B9268F"/>
    <w:rsid w:val="00B926E1"/>
    <w:rsid w:val="00B930DF"/>
    <w:rsid w:val="00B9365F"/>
    <w:rsid w:val="00B93A3E"/>
    <w:rsid w:val="00B94B61"/>
    <w:rsid w:val="00B94BC0"/>
    <w:rsid w:val="00B961F2"/>
    <w:rsid w:val="00B96796"/>
    <w:rsid w:val="00B971A2"/>
    <w:rsid w:val="00B9769F"/>
    <w:rsid w:val="00BA0028"/>
    <w:rsid w:val="00BA0579"/>
    <w:rsid w:val="00BA0C4F"/>
    <w:rsid w:val="00BA148A"/>
    <w:rsid w:val="00BA1691"/>
    <w:rsid w:val="00BA2297"/>
    <w:rsid w:val="00BA2A5E"/>
    <w:rsid w:val="00BA3087"/>
    <w:rsid w:val="00BA320C"/>
    <w:rsid w:val="00BA3F3D"/>
    <w:rsid w:val="00BA46C1"/>
    <w:rsid w:val="00BA4C8F"/>
    <w:rsid w:val="00BA5E8C"/>
    <w:rsid w:val="00BA64BA"/>
    <w:rsid w:val="00BA67A7"/>
    <w:rsid w:val="00BA6FF0"/>
    <w:rsid w:val="00BA7358"/>
    <w:rsid w:val="00BA73E6"/>
    <w:rsid w:val="00BA7CA3"/>
    <w:rsid w:val="00BA7FBD"/>
    <w:rsid w:val="00BB0714"/>
    <w:rsid w:val="00BB0765"/>
    <w:rsid w:val="00BB0BC3"/>
    <w:rsid w:val="00BB0C8A"/>
    <w:rsid w:val="00BB1BD7"/>
    <w:rsid w:val="00BB2659"/>
    <w:rsid w:val="00BB2C2C"/>
    <w:rsid w:val="00BB40A9"/>
    <w:rsid w:val="00BB5105"/>
    <w:rsid w:val="00BB51D1"/>
    <w:rsid w:val="00BB5781"/>
    <w:rsid w:val="00BB5928"/>
    <w:rsid w:val="00BB5AA6"/>
    <w:rsid w:val="00BB5E35"/>
    <w:rsid w:val="00BB7250"/>
    <w:rsid w:val="00BC00C6"/>
    <w:rsid w:val="00BC047C"/>
    <w:rsid w:val="00BC1516"/>
    <w:rsid w:val="00BC188F"/>
    <w:rsid w:val="00BC27CA"/>
    <w:rsid w:val="00BC2B07"/>
    <w:rsid w:val="00BC3891"/>
    <w:rsid w:val="00BC3979"/>
    <w:rsid w:val="00BC464E"/>
    <w:rsid w:val="00BC4A5B"/>
    <w:rsid w:val="00BC535B"/>
    <w:rsid w:val="00BC5903"/>
    <w:rsid w:val="00BC5A68"/>
    <w:rsid w:val="00BC5C03"/>
    <w:rsid w:val="00BC6D55"/>
    <w:rsid w:val="00BC7207"/>
    <w:rsid w:val="00BC7229"/>
    <w:rsid w:val="00BC73F2"/>
    <w:rsid w:val="00BC77AE"/>
    <w:rsid w:val="00BC7DEC"/>
    <w:rsid w:val="00BD04F9"/>
    <w:rsid w:val="00BD0A52"/>
    <w:rsid w:val="00BD0E02"/>
    <w:rsid w:val="00BD18EE"/>
    <w:rsid w:val="00BD1A2D"/>
    <w:rsid w:val="00BD1A3F"/>
    <w:rsid w:val="00BD1F9C"/>
    <w:rsid w:val="00BD21C5"/>
    <w:rsid w:val="00BD2ACE"/>
    <w:rsid w:val="00BD2E15"/>
    <w:rsid w:val="00BD3A51"/>
    <w:rsid w:val="00BD474C"/>
    <w:rsid w:val="00BD4B4B"/>
    <w:rsid w:val="00BD54C7"/>
    <w:rsid w:val="00BD5A64"/>
    <w:rsid w:val="00BD5AF0"/>
    <w:rsid w:val="00BD5F41"/>
    <w:rsid w:val="00BD6710"/>
    <w:rsid w:val="00BD6D96"/>
    <w:rsid w:val="00BD7B0A"/>
    <w:rsid w:val="00BD7C79"/>
    <w:rsid w:val="00BD7F6C"/>
    <w:rsid w:val="00BE04A2"/>
    <w:rsid w:val="00BE0B7A"/>
    <w:rsid w:val="00BE1621"/>
    <w:rsid w:val="00BE18AA"/>
    <w:rsid w:val="00BE1DE3"/>
    <w:rsid w:val="00BE20D2"/>
    <w:rsid w:val="00BE23FC"/>
    <w:rsid w:val="00BE35DD"/>
    <w:rsid w:val="00BE3779"/>
    <w:rsid w:val="00BE397A"/>
    <w:rsid w:val="00BE404E"/>
    <w:rsid w:val="00BE5A74"/>
    <w:rsid w:val="00BE5CC5"/>
    <w:rsid w:val="00BE5F36"/>
    <w:rsid w:val="00BE6750"/>
    <w:rsid w:val="00BE6FB4"/>
    <w:rsid w:val="00BF02E7"/>
    <w:rsid w:val="00BF0320"/>
    <w:rsid w:val="00BF07C2"/>
    <w:rsid w:val="00BF0C35"/>
    <w:rsid w:val="00BF12A4"/>
    <w:rsid w:val="00BF135F"/>
    <w:rsid w:val="00BF1867"/>
    <w:rsid w:val="00BF25E2"/>
    <w:rsid w:val="00BF2CA5"/>
    <w:rsid w:val="00BF2E83"/>
    <w:rsid w:val="00BF2FD0"/>
    <w:rsid w:val="00BF324F"/>
    <w:rsid w:val="00BF59FC"/>
    <w:rsid w:val="00BF5BB4"/>
    <w:rsid w:val="00BF71E6"/>
    <w:rsid w:val="00BF7BAE"/>
    <w:rsid w:val="00BF7C56"/>
    <w:rsid w:val="00C00514"/>
    <w:rsid w:val="00C015E7"/>
    <w:rsid w:val="00C0160E"/>
    <w:rsid w:val="00C0244A"/>
    <w:rsid w:val="00C02A78"/>
    <w:rsid w:val="00C02CD3"/>
    <w:rsid w:val="00C02DE1"/>
    <w:rsid w:val="00C0308C"/>
    <w:rsid w:val="00C03751"/>
    <w:rsid w:val="00C03810"/>
    <w:rsid w:val="00C0495C"/>
    <w:rsid w:val="00C049C9"/>
    <w:rsid w:val="00C05533"/>
    <w:rsid w:val="00C05B1C"/>
    <w:rsid w:val="00C05B8C"/>
    <w:rsid w:val="00C0653E"/>
    <w:rsid w:val="00C06827"/>
    <w:rsid w:val="00C0716D"/>
    <w:rsid w:val="00C07306"/>
    <w:rsid w:val="00C0783B"/>
    <w:rsid w:val="00C10640"/>
    <w:rsid w:val="00C108E9"/>
    <w:rsid w:val="00C10DCA"/>
    <w:rsid w:val="00C1128C"/>
    <w:rsid w:val="00C11691"/>
    <w:rsid w:val="00C119A3"/>
    <w:rsid w:val="00C122B5"/>
    <w:rsid w:val="00C12765"/>
    <w:rsid w:val="00C12BCB"/>
    <w:rsid w:val="00C13ADD"/>
    <w:rsid w:val="00C13BFB"/>
    <w:rsid w:val="00C148D2"/>
    <w:rsid w:val="00C15D00"/>
    <w:rsid w:val="00C1605D"/>
    <w:rsid w:val="00C16DD0"/>
    <w:rsid w:val="00C204BA"/>
    <w:rsid w:val="00C20830"/>
    <w:rsid w:val="00C20DFE"/>
    <w:rsid w:val="00C21E95"/>
    <w:rsid w:val="00C23C3F"/>
    <w:rsid w:val="00C23DB4"/>
    <w:rsid w:val="00C254BB"/>
    <w:rsid w:val="00C255BD"/>
    <w:rsid w:val="00C26F1B"/>
    <w:rsid w:val="00C2715E"/>
    <w:rsid w:val="00C27202"/>
    <w:rsid w:val="00C278D1"/>
    <w:rsid w:val="00C27918"/>
    <w:rsid w:val="00C27973"/>
    <w:rsid w:val="00C301C1"/>
    <w:rsid w:val="00C308AA"/>
    <w:rsid w:val="00C319B6"/>
    <w:rsid w:val="00C31D45"/>
    <w:rsid w:val="00C31ED3"/>
    <w:rsid w:val="00C33045"/>
    <w:rsid w:val="00C33317"/>
    <w:rsid w:val="00C335A9"/>
    <w:rsid w:val="00C33FAE"/>
    <w:rsid w:val="00C34031"/>
    <w:rsid w:val="00C34A33"/>
    <w:rsid w:val="00C34C46"/>
    <w:rsid w:val="00C35B6D"/>
    <w:rsid w:val="00C35E82"/>
    <w:rsid w:val="00C365E7"/>
    <w:rsid w:val="00C36812"/>
    <w:rsid w:val="00C36D8C"/>
    <w:rsid w:val="00C3770D"/>
    <w:rsid w:val="00C37C22"/>
    <w:rsid w:val="00C37D7C"/>
    <w:rsid w:val="00C37DA7"/>
    <w:rsid w:val="00C37FD5"/>
    <w:rsid w:val="00C40231"/>
    <w:rsid w:val="00C40857"/>
    <w:rsid w:val="00C413E2"/>
    <w:rsid w:val="00C4196F"/>
    <w:rsid w:val="00C42CB7"/>
    <w:rsid w:val="00C43BE6"/>
    <w:rsid w:val="00C44A77"/>
    <w:rsid w:val="00C44BEF"/>
    <w:rsid w:val="00C44D99"/>
    <w:rsid w:val="00C4519E"/>
    <w:rsid w:val="00C4539B"/>
    <w:rsid w:val="00C46A1D"/>
    <w:rsid w:val="00C47FED"/>
    <w:rsid w:val="00C5083D"/>
    <w:rsid w:val="00C50E80"/>
    <w:rsid w:val="00C510CA"/>
    <w:rsid w:val="00C52795"/>
    <w:rsid w:val="00C52FF5"/>
    <w:rsid w:val="00C537C9"/>
    <w:rsid w:val="00C54F30"/>
    <w:rsid w:val="00C54F6D"/>
    <w:rsid w:val="00C550A3"/>
    <w:rsid w:val="00C550B3"/>
    <w:rsid w:val="00C55C9F"/>
    <w:rsid w:val="00C560F1"/>
    <w:rsid w:val="00C565F4"/>
    <w:rsid w:val="00C56856"/>
    <w:rsid w:val="00C5694A"/>
    <w:rsid w:val="00C602DB"/>
    <w:rsid w:val="00C60AE4"/>
    <w:rsid w:val="00C60D59"/>
    <w:rsid w:val="00C6120C"/>
    <w:rsid w:val="00C614AC"/>
    <w:rsid w:val="00C62008"/>
    <w:rsid w:val="00C623F5"/>
    <w:rsid w:val="00C62ED4"/>
    <w:rsid w:val="00C63CBB"/>
    <w:rsid w:val="00C641A3"/>
    <w:rsid w:val="00C6439F"/>
    <w:rsid w:val="00C64547"/>
    <w:rsid w:val="00C6460C"/>
    <w:rsid w:val="00C6503C"/>
    <w:rsid w:val="00C65371"/>
    <w:rsid w:val="00C653FD"/>
    <w:rsid w:val="00C66060"/>
    <w:rsid w:val="00C6705A"/>
    <w:rsid w:val="00C67958"/>
    <w:rsid w:val="00C679F8"/>
    <w:rsid w:val="00C67A44"/>
    <w:rsid w:val="00C67A8C"/>
    <w:rsid w:val="00C7046F"/>
    <w:rsid w:val="00C7061F"/>
    <w:rsid w:val="00C7069D"/>
    <w:rsid w:val="00C714F2"/>
    <w:rsid w:val="00C714FA"/>
    <w:rsid w:val="00C72249"/>
    <w:rsid w:val="00C7227B"/>
    <w:rsid w:val="00C7290E"/>
    <w:rsid w:val="00C729C3"/>
    <w:rsid w:val="00C744BB"/>
    <w:rsid w:val="00C749D6"/>
    <w:rsid w:val="00C752DD"/>
    <w:rsid w:val="00C757FE"/>
    <w:rsid w:val="00C75BB8"/>
    <w:rsid w:val="00C763FF"/>
    <w:rsid w:val="00C764FF"/>
    <w:rsid w:val="00C76B06"/>
    <w:rsid w:val="00C76BE7"/>
    <w:rsid w:val="00C7706F"/>
    <w:rsid w:val="00C771CC"/>
    <w:rsid w:val="00C772A3"/>
    <w:rsid w:val="00C80182"/>
    <w:rsid w:val="00C80274"/>
    <w:rsid w:val="00C80D9C"/>
    <w:rsid w:val="00C80E85"/>
    <w:rsid w:val="00C81319"/>
    <w:rsid w:val="00C8139F"/>
    <w:rsid w:val="00C81619"/>
    <w:rsid w:val="00C828C0"/>
    <w:rsid w:val="00C82E5A"/>
    <w:rsid w:val="00C83DEF"/>
    <w:rsid w:val="00C83E27"/>
    <w:rsid w:val="00C8467C"/>
    <w:rsid w:val="00C84C1E"/>
    <w:rsid w:val="00C858FA"/>
    <w:rsid w:val="00C86021"/>
    <w:rsid w:val="00C872E4"/>
    <w:rsid w:val="00C87A49"/>
    <w:rsid w:val="00C87A98"/>
    <w:rsid w:val="00C87D62"/>
    <w:rsid w:val="00C90366"/>
    <w:rsid w:val="00C91081"/>
    <w:rsid w:val="00C91115"/>
    <w:rsid w:val="00C91159"/>
    <w:rsid w:val="00C917A5"/>
    <w:rsid w:val="00C92605"/>
    <w:rsid w:val="00C927B7"/>
    <w:rsid w:val="00C941BD"/>
    <w:rsid w:val="00C945A4"/>
    <w:rsid w:val="00C95B67"/>
    <w:rsid w:val="00C962C8"/>
    <w:rsid w:val="00C96CF4"/>
    <w:rsid w:val="00C97057"/>
    <w:rsid w:val="00C97094"/>
    <w:rsid w:val="00C9718C"/>
    <w:rsid w:val="00C97780"/>
    <w:rsid w:val="00C97913"/>
    <w:rsid w:val="00C97D68"/>
    <w:rsid w:val="00C97F3A"/>
    <w:rsid w:val="00CA0C19"/>
    <w:rsid w:val="00CA1801"/>
    <w:rsid w:val="00CA2168"/>
    <w:rsid w:val="00CA2685"/>
    <w:rsid w:val="00CA3533"/>
    <w:rsid w:val="00CA43E2"/>
    <w:rsid w:val="00CA4D8A"/>
    <w:rsid w:val="00CA5B8B"/>
    <w:rsid w:val="00CA6856"/>
    <w:rsid w:val="00CA728C"/>
    <w:rsid w:val="00CA7838"/>
    <w:rsid w:val="00CB0A4D"/>
    <w:rsid w:val="00CB0CFE"/>
    <w:rsid w:val="00CB23C5"/>
    <w:rsid w:val="00CB445F"/>
    <w:rsid w:val="00CB4BA8"/>
    <w:rsid w:val="00CB4D1B"/>
    <w:rsid w:val="00CB4EC3"/>
    <w:rsid w:val="00CB6BBB"/>
    <w:rsid w:val="00CB6DAD"/>
    <w:rsid w:val="00CB6F75"/>
    <w:rsid w:val="00CB720A"/>
    <w:rsid w:val="00CB77EF"/>
    <w:rsid w:val="00CB7DA1"/>
    <w:rsid w:val="00CC021C"/>
    <w:rsid w:val="00CC0321"/>
    <w:rsid w:val="00CC2088"/>
    <w:rsid w:val="00CC228B"/>
    <w:rsid w:val="00CC2662"/>
    <w:rsid w:val="00CC2D2C"/>
    <w:rsid w:val="00CC49A2"/>
    <w:rsid w:val="00CC51A1"/>
    <w:rsid w:val="00CC57D7"/>
    <w:rsid w:val="00CC5B97"/>
    <w:rsid w:val="00CC6269"/>
    <w:rsid w:val="00CC655C"/>
    <w:rsid w:val="00CC6C7D"/>
    <w:rsid w:val="00CC6CDE"/>
    <w:rsid w:val="00CC707F"/>
    <w:rsid w:val="00CC780A"/>
    <w:rsid w:val="00CD0EA8"/>
    <w:rsid w:val="00CD10E4"/>
    <w:rsid w:val="00CD1375"/>
    <w:rsid w:val="00CD16C9"/>
    <w:rsid w:val="00CD17C9"/>
    <w:rsid w:val="00CD1AF7"/>
    <w:rsid w:val="00CD2350"/>
    <w:rsid w:val="00CD2E7D"/>
    <w:rsid w:val="00CD2EAC"/>
    <w:rsid w:val="00CD383A"/>
    <w:rsid w:val="00CD498F"/>
    <w:rsid w:val="00CD51BF"/>
    <w:rsid w:val="00CD54CC"/>
    <w:rsid w:val="00CD57C1"/>
    <w:rsid w:val="00CD63CE"/>
    <w:rsid w:val="00CD6A64"/>
    <w:rsid w:val="00CD773B"/>
    <w:rsid w:val="00CD7781"/>
    <w:rsid w:val="00CE109C"/>
    <w:rsid w:val="00CE12E9"/>
    <w:rsid w:val="00CE1A20"/>
    <w:rsid w:val="00CE1C7D"/>
    <w:rsid w:val="00CE287D"/>
    <w:rsid w:val="00CE3075"/>
    <w:rsid w:val="00CE324E"/>
    <w:rsid w:val="00CE32D1"/>
    <w:rsid w:val="00CE343F"/>
    <w:rsid w:val="00CE34CB"/>
    <w:rsid w:val="00CE3B82"/>
    <w:rsid w:val="00CE4627"/>
    <w:rsid w:val="00CE6A39"/>
    <w:rsid w:val="00CE70CD"/>
    <w:rsid w:val="00CE79C4"/>
    <w:rsid w:val="00CE7A11"/>
    <w:rsid w:val="00CF1261"/>
    <w:rsid w:val="00CF1CC4"/>
    <w:rsid w:val="00CF2B71"/>
    <w:rsid w:val="00CF2C2F"/>
    <w:rsid w:val="00CF2E9A"/>
    <w:rsid w:val="00CF3202"/>
    <w:rsid w:val="00CF3C0A"/>
    <w:rsid w:val="00CF4972"/>
    <w:rsid w:val="00CF4C06"/>
    <w:rsid w:val="00CF4C51"/>
    <w:rsid w:val="00CF568C"/>
    <w:rsid w:val="00CF59C8"/>
    <w:rsid w:val="00CF5CD5"/>
    <w:rsid w:val="00CF6015"/>
    <w:rsid w:val="00CF63BC"/>
    <w:rsid w:val="00CF6D16"/>
    <w:rsid w:val="00CF6F80"/>
    <w:rsid w:val="00CF700B"/>
    <w:rsid w:val="00CF7A19"/>
    <w:rsid w:val="00D0129B"/>
    <w:rsid w:val="00D01B67"/>
    <w:rsid w:val="00D02135"/>
    <w:rsid w:val="00D0226A"/>
    <w:rsid w:val="00D027A8"/>
    <w:rsid w:val="00D02897"/>
    <w:rsid w:val="00D0289E"/>
    <w:rsid w:val="00D02904"/>
    <w:rsid w:val="00D02EC6"/>
    <w:rsid w:val="00D034E0"/>
    <w:rsid w:val="00D0369B"/>
    <w:rsid w:val="00D03EA9"/>
    <w:rsid w:val="00D04ABC"/>
    <w:rsid w:val="00D05CDD"/>
    <w:rsid w:val="00D06246"/>
    <w:rsid w:val="00D06533"/>
    <w:rsid w:val="00D065F5"/>
    <w:rsid w:val="00D069F9"/>
    <w:rsid w:val="00D06D9D"/>
    <w:rsid w:val="00D078DD"/>
    <w:rsid w:val="00D10A80"/>
    <w:rsid w:val="00D11DE7"/>
    <w:rsid w:val="00D12675"/>
    <w:rsid w:val="00D12817"/>
    <w:rsid w:val="00D12ABD"/>
    <w:rsid w:val="00D1358D"/>
    <w:rsid w:val="00D13ADE"/>
    <w:rsid w:val="00D14379"/>
    <w:rsid w:val="00D149AB"/>
    <w:rsid w:val="00D14BDA"/>
    <w:rsid w:val="00D15343"/>
    <w:rsid w:val="00D15BB4"/>
    <w:rsid w:val="00D16660"/>
    <w:rsid w:val="00D17CF0"/>
    <w:rsid w:val="00D17D50"/>
    <w:rsid w:val="00D20674"/>
    <w:rsid w:val="00D20A45"/>
    <w:rsid w:val="00D2122E"/>
    <w:rsid w:val="00D218AC"/>
    <w:rsid w:val="00D21980"/>
    <w:rsid w:val="00D21CC3"/>
    <w:rsid w:val="00D21E59"/>
    <w:rsid w:val="00D2248D"/>
    <w:rsid w:val="00D227B7"/>
    <w:rsid w:val="00D23C7B"/>
    <w:rsid w:val="00D243BB"/>
    <w:rsid w:val="00D24549"/>
    <w:rsid w:val="00D25838"/>
    <w:rsid w:val="00D26B8F"/>
    <w:rsid w:val="00D27B8D"/>
    <w:rsid w:val="00D27C85"/>
    <w:rsid w:val="00D30A5C"/>
    <w:rsid w:val="00D30BD3"/>
    <w:rsid w:val="00D30FE5"/>
    <w:rsid w:val="00D31647"/>
    <w:rsid w:val="00D31D95"/>
    <w:rsid w:val="00D3298E"/>
    <w:rsid w:val="00D32B92"/>
    <w:rsid w:val="00D32D8D"/>
    <w:rsid w:val="00D33197"/>
    <w:rsid w:val="00D332A8"/>
    <w:rsid w:val="00D336EC"/>
    <w:rsid w:val="00D34038"/>
    <w:rsid w:val="00D35325"/>
    <w:rsid w:val="00D35484"/>
    <w:rsid w:val="00D354AC"/>
    <w:rsid w:val="00D35B5A"/>
    <w:rsid w:val="00D35C5F"/>
    <w:rsid w:val="00D35C6C"/>
    <w:rsid w:val="00D35D73"/>
    <w:rsid w:val="00D35E52"/>
    <w:rsid w:val="00D362D0"/>
    <w:rsid w:val="00D3635F"/>
    <w:rsid w:val="00D3694F"/>
    <w:rsid w:val="00D36BFC"/>
    <w:rsid w:val="00D36C43"/>
    <w:rsid w:val="00D40055"/>
    <w:rsid w:val="00D40508"/>
    <w:rsid w:val="00D40C4E"/>
    <w:rsid w:val="00D40D86"/>
    <w:rsid w:val="00D40F1F"/>
    <w:rsid w:val="00D42276"/>
    <w:rsid w:val="00D42C26"/>
    <w:rsid w:val="00D42EA9"/>
    <w:rsid w:val="00D43090"/>
    <w:rsid w:val="00D43719"/>
    <w:rsid w:val="00D43C74"/>
    <w:rsid w:val="00D444C7"/>
    <w:rsid w:val="00D444D9"/>
    <w:rsid w:val="00D44C9A"/>
    <w:rsid w:val="00D44F0B"/>
    <w:rsid w:val="00D452B8"/>
    <w:rsid w:val="00D456CF"/>
    <w:rsid w:val="00D45A65"/>
    <w:rsid w:val="00D4610D"/>
    <w:rsid w:val="00D469ED"/>
    <w:rsid w:val="00D47073"/>
    <w:rsid w:val="00D47C60"/>
    <w:rsid w:val="00D50276"/>
    <w:rsid w:val="00D5074F"/>
    <w:rsid w:val="00D51C63"/>
    <w:rsid w:val="00D51D38"/>
    <w:rsid w:val="00D51DD1"/>
    <w:rsid w:val="00D51E33"/>
    <w:rsid w:val="00D52273"/>
    <w:rsid w:val="00D52E6A"/>
    <w:rsid w:val="00D530FE"/>
    <w:rsid w:val="00D53335"/>
    <w:rsid w:val="00D53388"/>
    <w:rsid w:val="00D54089"/>
    <w:rsid w:val="00D54882"/>
    <w:rsid w:val="00D54DD7"/>
    <w:rsid w:val="00D54E6E"/>
    <w:rsid w:val="00D55526"/>
    <w:rsid w:val="00D57447"/>
    <w:rsid w:val="00D57938"/>
    <w:rsid w:val="00D6054E"/>
    <w:rsid w:val="00D60BFD"/>
    <w:rsid w:val="00D60DF6"/>
    <w:rsid w:val="00D6164B"/>
    <w:rsid w:val="00D61960"/>
    <w:rsid w:val="00D62815"/>
    <w:rsid w:val="00D62D4A"/>
    <w:rsid w:val="00D6322F"/>
    <w:rsid w:val="00D632AC"/>
    <w:rsid w:val="00D633AD"/>
    <w:rsid w:val="00D6347D"/>
    <w:rsid w:val="00D65639"/>
    <w:rsid w:val="00D65874"/>
    <w:rsid w:val="00D65B36"/>
    <w:rsid w:val="00D66674"/>
    <w:rsid w:val="00D6750F"/>
    <w:rsid w:val="00D67D7A"/>
    <w:rsid w:val="00D701B6"/>
    <w:rsid w:val="00D70673"/>
    <w:rsid w:val="00D70FFC"/>
    <w:rsid w:val="00D716AF"/>
    <w:rsid w:val="00D72AEC"/>
    <w:rsid w:val="00D73357"/>
    <w:rsid w:val="00D737A8"/>
    <w:rsid w:val="00D73B2A"/>
    <w:rsid w:val="00D73DD3"/>
    <w:rsid w:val="00D73E24"/>
    <w:rsid w:val="00D73FE3"/>
    <w:rsid w:val="00D7420E"/>
    <w:rsid w:val="00D743A2"/>
    <w:rsid w:val="00D743F4"/>
    <w:rsid w:val="00D74576"/>
    <w:rsid w:val="00D749FD"/>
    <w:rsid w:val="00D74A91"/>
    <w:rsid w:val="00D74E74"/>
    <w:rsid w:val="00D7555D"/>
    <w:rsid w:val="00D755CA"/>
    <w:rsid w:val="00D75771"/>
    <w:rsid w:val="00D75B18"/>
    <w:rsid w:val="00D75B4C"/>
    <w:rsid w:val="00D75D93"/>
    <w:rsid w:val="00D76103"/>
    <w:rsid w:val="00D76339"/>
    <w:rsid w:val="00D7647D"/>
    <w:rsid w:val="00D765C8"/>
    <w:rsid w:val="00D76873"/>
    <w:rsid w:val="00D76F9D"/>
    <w:rsid w:val="00D76FD4"/>
    <w:rsid w:val="00D7754B"/>
    <w:rsid w:val="00D77958"/>
    <w:rsid w:val="00D77A16"/>
    <w:rsid w:val="00D80310"/>
    <w:rsid w:val="00D803A1"/>
    <w:rsid w:val="00D8058B"/>
    <w:rsid w:val="00D8068E"/>
    <w:rsid w:val="00D80701"/>
    <w:rsid w:val="00D80CE2"/>
    <w:rsid w:val="00D8155D"/>
    <w:rsid w:val="00D81ADF"/>
    <w:rsid w:val="00D81CD2"/>
    <w:rsid w:val="00D825E4"/>
    <w:rsid w:val="00D83F3B"/>
    <w:rsid w:val="00D83F7F"/>
    <w:rsid w:val="00D84549"/>
    <w:rsid w:val="00D85956"/>
    <w:rsid w:val="00D85B82"/>
    <w:rsid w:val="00D85FCA"/>
    <w:rsid w:val="00D861D3"/>
    <w:rsid w:val="00D865C8"/>
    <w:rsid w:val="00D86F3A"/>
    <w:rsid w:val="00D87186"/>
    <w:rsid w:val="00D879C3"/>
    <w:rsid w:val="00D90652"/>
    <w:rsid w:val="00D9306F"/>
    <w:rsid w:val="00D93554"/>
    <w:rsid w:val="00D93560"/>
    <w:rsid w:val="00D93AB0"/>
    <w:rsid w:val="00D940BB"/>
    <w:rsid w:val="00D94584"/>
    <w:rsid w:val="00D94D85"/>
    <w:rsid w:val="00D94EA5"/>
    <w:rsid w:val="00D95739"/>
    <w:rsid w:val="00D95FA9"/>
    <w:rsid w:val="00D96C13"/>
    <w:rsid w:val="00D97199"/>
    <w:rsid w:val="00D9762C"/>
    <w:rsid w:val="00D97EFE"/>
    <w:rsid w:val="00DA06FE"/>
    <w:rsid w:val="00DA0D39"/>
    <w:rsid w:val="00DA0E0B"/>
    <w:rsid w:val="00DA169B"/>
    <w:rsid w:val="00DA1828"/>
    <w:rsid w:val="00DA19C9"/>
    <w:rsid w:val="00DA1E44"/>
    <w:rsid w:val="00DA2C6E"/>
    <w:rsid w:val="00DA308E"/>
    <w:rsid w:val="00DA3CDF"/>
    <w:rsid w:val="00DA4C17"/>
    <w:rsid w:val="00DA4FAA"/>
    <w:rsid w:val="00DA58D5"/>
    <w:rsid w:val="00DA59AA"/>
    <w:rsid w:val="00DA5B7D"/>
    <w:rsid w:val="00DA5D24"/>
    <w:rsid w:val="00DA6F7E"/>
    <w:rsid w:val="00DA7B56"/>
    <w:rsid w:val="00DB0294"/>
    <w:rsid w:val="00DB03DE"/>
    <w:rsid w:val="00DB0F43"/>
    <w:rsid w:val="00DB0F52"/>
    <w:rsid w:val="00DB1035"/>
    <w:rsid w:val="00DB1931"/>
    <w:rsid w:val="00DB2573"/>
    <w:rsid w:val="00DB25F0"/>
    <w:rsid w:val="00DB2D74"/>
    <w:rsid w:val="00DB393E"/>
    <w:rsid w:val="00DB45EF"/>
    <w:rsid w:val="00DB58DD"/>
    <w:rsid w:val="00DB5F60"/>
    <w:rsid w:val="00DB70C8"/>
    <w:rsid w:val="00DB7A22"/>
    <w:rsid w:val="00DB7FE1"/>
    <w:rsid w:val="00DC113F"/>
    <w:rsid w:val="00DC149C"/>
    <w:rsid w:val="00DC22F0"/>
    <w:rsid w:val="00DC2CA2"/>
    <w:rsid w:val="00DC2FFA"/>
    <w:rsid w:val="00DC345C"/>
    <w:rsid w:val="00DC38EA"/>
    <w:rsid w:val="00DC3BA5"/>
    <w:rsid w:val="00DC4F2F"/>
    <w:rsid w:val="00DC514A"/>
    <w:rsid w:val="00DC54A7"/>
    <w:rsid w:val="00DC5AE5"/>
    <w:rsid w:val="00DC5D35"/>
    <w:rsid w:val="00DC62E3"/>
    <w:rsid w:val="00DC63A1"/>
    <w:rsid w:val="00DC65B1"/>
    <w:rsid w:val="00DC6AED"/>
    <w:rsid w:val="00DC6B3C"/>
    <w:rsid w:val="00DC6CD8"/>
    <w:rsid w:val="00DC7C4C"/>
    <w:rsid w:val="00DD00C0"/>
    <w:rsid w:val="00DD079A"/>
    <w:rsid w:val="00DD0C2C"/>
    <w:rsid w:val="00DD0D93"/>
    <w:rsid w:val="00DD0F87"/>
    <w:rsid w:val="00DD10CE"/>
    <w:rsid w:val="00DD2E10"/>
    <w:rsid w:val="00DD3240"/>
    <w:rsid w:val="00DD34E9"/>
    <w:rsid w:val="00DD5356"/>
    <w:rsid w:val="00DD5955"/>
    <w:rsid w:val="00DD5F79"/>
    <w:rsid w:val="00DD7339"/>
    <w:rsid w:val="00DD7859"/>
    <w:rsid w:val="00DD7CC2"/>
    <w:rsid w:val="00DE0620"/>
    <w:rsid w:val="00DE0B8F"/>
    <w:rsid w:val="00DE18D0"/>
    <w:rsid w:val="00DE1B3B"/>
    <w:rsid w:val="00DE2099"/>
    <w:rsid w:val="00DE3C9F"/>
    <w:rsid w:val="00DE44CE"/>
    <w:rsid w:val="00DE45BB"/>
    <w:rsid w:val="00DE5F0A"/>
    <w:rsid w:val="00DE639B"/>
    <w:rsid w:val="00DE7786"/>
    <w:rsid w:val="00DE7992"/>
    <w:rsid w:val="00DF035C"/>
    <w:rsid w:val="00DF0E8A"/>
    <w:rsid w:val="00DF13EA"/>
    <w:rsid w:val="00DF1E40"/>
    <w:rsid w:val="00DF2BFA"/>
    <w:rsid w:val="00DF2C91"/>
    <w:rsid w:val="00DF2D7B"/>
    <w:rsid w:val="00DF4A16"/>
    <w:rsid w:val="00DF4B09"/>
    <w:rsid w:val="00DF4CFC"/>
    <w:rsid w:val="00DF5BEB"/>
    <w:rsid w:val="00DF6EDA"/>
    <w:rsid w:val="00DF7017"/>
    <w:rsid w:val="00DF7359"/>
    <w:rsid w:val="00DF7388"/>
    <w:rsid w:val="00DF7D3B"/>
    <w:rsid w:val="00DF7E02"/>
    <w:rsid w:val="00E00889"/>
    <w:rsid w:val="00E009DA"/>
    <w:rsid w:val="00E00B0A"/>
    <w:rsid w:val="00E00CAE"/>
    <w:rsid w:val="00E00CB0"/>
    <w:rsid w:val="00E00CE2"/>
    <w:rsid w:val="00E01168"/>
    <w:rsid w:val="00E01439"/>
    <w:rsid w:val="00E02AF4"/>
    <w:rsid w:val="00E040D2"/>
    <w:rsid w:val="00E04A75"/>
    <w:rsid w:val="00E05233"/>
    <w:rsid w:val="00E05D1E"/>
    <w:rsid w:val="00E06159"/>
    <w:rsid w:val="00E06336"/>
    <w:rsid w:val="00E06748"/>
    <w:rsid w:val="00E10360"/>
    <w:rsid w:val="00E10804"/>
    <w:rsid w:val="00E10AE8"/>
    <w:rsid w:val="00E10BB5"/>
    <w:rsid w:val="00E116B5"/>
    <w:rsid w:val="00E1188C"/>
    <w:rsid w:val="00E11C3D"/>
    <w:rsid w:val="00E11D3A"/>
    <w:rsid w:val="00E123EE"/>
    <w:rsid w:val="00E12CFF"/>
    <w:rsid w:val="00E12F64"/>
    <w:rsid w:val="00E134BD"/>
    <w:rsid w:val="00E135CC"/>
    <w:rsid w:val="00E13F20"/>
    <w:rsid w:val="00E148B5"/>
    <w:rsid w:val="00E158BD"/>
    <w:rsid w:val="00E159B4"/>
    <w:rsid w:val="00E169DA"/>
    <w:rsid w:val="00E1730E"/>
    <w:rsid w:val="00E17586"/>
    <w:rsid w:val="00E17A9D"/>
    <w:rsid w:val="00E17D10"/>
    <w:rsid w:val="00E20FF9"/>
    <w:rsid w:val="00E2160D"/>
    <w:rsid w:val="00E221ED"/>
    <w:rsid w:val="00E23035"/>
    <w:rsid w:val="00E23299"/>
    <w:rsid w:val="00E2482D"/>
    <w:rsid w:val="00E25112"/>
    <w:rsid w:val="00E2562B"/>
    <w:rsid w:val="00E2562E"/>
    <w:rsid w:val="00E25848"/>
    <w:rsid w:val="00E25976"/>
    <w:rsid w:val="00E26515"/>
    <w:rsid w:val="00E26555"/>
    <w:rsid w:val="00E26796"/>
    <w:rsid w:val="00E26A7C"/>
    <w:rsid w:val="00E270DE"/>
    <w:rsid w:val="00E30810"/>
    <w:rsid w:val="00E3099E"/>
    <w:rsid w:val="00E3145B"/>
    <w:rsid w:val="00E31F21"/>
    <w:rsid w:val="00E3286F"/>
    <w:rsid w:val="00E3289E"/>
    <w:rsid w:val="00E33299"/>
    <w:rsid w:val="00E33B8C"/>
    <w:rsid w:val="00E34FFF"/>
    <w:rsid w:val="00E35801"/>
    <w:rsid w:val="00E35C12"/>
    <w:rsid w:val="00E35D69"/>
    <w:rsid w:val="00E35ED3"/>
    <w:rsid w:val="00E36047"/>
    <w:rsid w:val="00E36CF6"/>
    <w:rsid w:val="00E37B91"/>
    <w:rsid w:val="00E404E3"/>
    <w:rsid w:val="00E405D9"/>
    <w:rsid w:val="00E40A55"/>
    <w:rsid w:val="00E40B68"/>
    <w:rsid w:val="00E40DE3"/>
    <w:rsid w:val="00E41737"/>
    <w:rsid w:val="00E41B83"/>
    <w:rsid w:val="00E4251F"/>
    <w:rsid w:val="00E42852"/>
    <w:rsid w:val="00E42A7B"/>
    <w:rsid w:val="00E42B6C"/>
    <w:rsid w:val="00E43550"/>
    <w:rsid w:val="00E44C1C"/>
    <w:rsid w:val="00E44D40"/>
    <w:rsid w:val="00E45499"/>
    <w:rsid w:val="00E45AE8"/>
    <w:rsid w:val="00E46BC8"/>
    <w:rsid w:val="00E50104"/>
    <w:rsid w:val="00E50247"/>
    <w:rsid w:val="00E5050A"/>
    <w:rsid w:val="00E50C26"/>
    <w:rsid w:val="00E51BC0"/>
    <w:rsid w:val="00E51D1F"/>
    <w:rsid w:val="00E51E3B"/>
    <w:rsid w:val="00E52C71"/>
    <w:rsid w:val="00E52DE3"/>
    <w:rsid w:val="00E52E83"/>
    <w:rsid w:val="00E53E21"/>
    <w:rsid w:val="00E53F34"/>
    <w:rsid w:val="00E53F93"/>
    <w:rsid w:val="00E547F9"/>
    <w:rsid w:val="00E5562F"/>
    <w:rsid w:val="00E55B5E"/>
    <w:rsid w:val="00E56126"/>
    <w:rsid w:val="00E564E6"/>
    <w:rsid w:val="00E56628"/>
    <w:rsid w:val="00E56F39"/>
    <w:rsid w:val="00E56F7B"/>
    <w:rsid w:val="00E5795E"/>
    <w:rsid w:val="00E57A19"/>
    <w:rsid w:val="00E57AB8"/>
    <w:rsid w:val="00E57C8B"/>
    <w:rsid w:val="00E605B8"/>
    <w:rsid w:val="00E60F1A"/>
    <w:rsid w:val="00E61241"/>
    <w:rsid w:val="00E6150A"/>
    <w:rsid w:val="00E61EB8"/>
    <w:rsid w:val="00E62037"/>
    <w:rsid w:val="00E6274A"/>
    <w:rsid w:val="00E62AF0"/>
    <w:rsid w:val="00E63832"/>
    <w:rsid w:val="00E638CB"/>
    <w:rsid w:val="00E63E2A"/>
    <w:rsid w:val="00E64310"/>
    <w:rsid w:val="00E64A90"/>
    <w:rsid w:val="00E651DA"/>
    <w:rsid w:val="00E65605"/>
    <w:rsid w:val="00E65C0D"/>
    <w:rsid w:val="00E65CC4"/>
    <w:rsid w:val="00E66402"/>
    <w:rsid w:val="00E66424"/>
    <w:rsid w:val="00E66609"/>
    <w:rsid w:val="00E66985"/>
    <w:rsid w:val="00E66A7B"/>
    <w:rsid w:val="00E670FC"/>
    <w:rsid w:val="00E67234"/>
    <w:rsid w:val="00E67498"/>
    <w:rsid w:val="00E70639"/>
    <w:rsid w:val="00E70F10"/>
    <w:rsid w:val="00E727FB"/>
    <w:rsid w:val="00E730E9"/>
    <w:rsid w:val="00E73147"/>
    <w:rsid w:val="00E7370E"/>
    <w:rsid w:val="00E73B32"/>
    <w:rsid w:val="00E73EEC"/>
    <w:rsid w:val="00E740BC"/>
    <w:rsid w:val="00E74DA8"/>
    <w:rsid w:val="00E7545A"/>
    <w:rsid w:val="00E754DC"/>
    <w:rsid w:val="00E76632"/>
    <w:rsid w:val="00E76B40"/>
    <w:rsid w:val="00E77492"/>
    <w:rsid w:val="00E774E2"/>
    <w:rsid w:val="00E777A6"/>
    <w:rsid w:val="00E80546"/>
    <w:rsid w:val="00E80BAE"/>
    <w:rsid w:val="00E80E7F"/>
    <w:rsid w:val="00E81054"/>
    <w:rsid w:val="00E81476"/>
    <w:rsid w:val="00E815DB"/>
    <w:rsid w:val="00E81627"/>
    <w:rsid w:val="00E81834"/>
    <w:rsid w:val="00E82A37"/>
    <w:rsid w:val="00E82F1F"/>
    <w:rsid w:val="00E841D5"/>
    <w:rsid w:val="00E84F79"/>
    <w:rsid w:val="00E85708"/>
    <w:rsid w:val="00E859FC"/>
    <w:rsid w:val="00E85A0E"/>
    <w:rsid w:val="00E85BAE"/>
    <w:rsid w:val="00E8609D"/>
    <w:rsid w:val="00E860D0"/>
    <w:rsid w:val="00E861B8"/>
    <w:rsid w:val="00E8625A"/>
    <w:rsid w:val="00E864C7"/>
    <w:rsid w:val="00E868D3"/>
    <w:rsid w:val="00E869D7"/>
    <w:rsid w:val="00E87715"/>
    <w:rsid w:val="00E87EF6"/>
    <w:rsid w:val="00E904FE"/>
    <w:rsid w:val="00E9069C"/>
    <w:rsid w:val="00E906B1"/>
    <w:rsid w:val="00E906C2"/>
    <w:rsid w:val="00E90A13"/>
    <w:rsid w:val="00E90F12"/>
    <w:rsid w:val="00E915E6"/>
    <w:rsid w:val="00E91650"/>
    <w:rsid w:val="00E91DC3"/>
    <w:rsid w:val="00E9202A"/>
    <w:rsid w:val="00E925C3"/>
    <w:rsid w:val="00E92AB5"/>
    <w:rsid w:val="00E92C45"/>
    <w:rsid w:val="00E92C8E"/>
    <w:rsid w:val="00E92EAE"/>
    <w:rsid w:val="00E938EA"/>
    <w:rsid w:val="00E93AC5"/>
    <w:rsid w:val="00E93F4C"/>
    <w:rsid w:val="00E944B0"/>
    <w:rsid w:val="00E945A4"/>
    <w:rsid w:val="00E9480E"/>
    <w:rsid w:val="00E94872"/>
    <w:rsid w:val="00E96FF5"/>
    <w:rsid w:val="00E971BF"/>
    <w:rsid w:val="00E972F7"/>
    <w:rsid w:val="00E9742C"/>
    <w:rsid w:val="00E979F4"/>
    <w:rsid w:val="00E97AE9"/>
    <w:rsid w:val="00EA0062"/>
    <w:rsid w:val="00EA02FA"/>
    <w:rsid w:val="00EA0A81"/>
    <w:rsid w:val="00EA0BBC"/>
    <w:rsid w:val="00EA1AE1"/>
    <w:rsid w:val="00EA466E"/>
    <w:rsid w:val="00EA4882"/>
    <w:rsid w:val="00EA5EDE"/>
    <w:rsid w:val="00EA6126"/>
    <w:rsid w:val="00EA6301"/>
    <w:rsid w:val="00EA6390"/>
    <w:rsid w:val="00EA669F"/>
    <w:rsid w:val="00EA754D"/>
    <w:rsid w:val="00EA762F"/>
    <w:rsid w:val="00EB01A8"/>
    <w:rsid w:val="00EB0294"/>
    <w:rsid w:val="00EB0856"/>
    <w:rsid w:val="00EB11F7"/>
    <w:rsid w:val="00EB1916"/>
    <w:rsid w:val="00EB1BCD"/>
    <w:rsid w:val="00EB2139"/>
    <w:rsid w:val="00EB249E"/>
    <w:rsid w:val="00EB2576"/>
    <w:rsid w:val="00EB2957"/>
    <w:rsid w:val="00EB3840"/>
    <w:rsid w:val="00EB3AFA"/>
    <w:rsid w:val="00EB456D"/>
    <w:rsid w:val="00EB4D53"/>
    <w:rsid w:val="00EB51E2"/>
    <w:rsid w:val="00EB5BD8"/>
    <w:rsid w:val="00EB60EE"/>
    <w:rsid w:val="00EB65F0"/>
    <w:rsid w:val="00EB6E09"/>
    <w:rsid w:val="00EB7845"/>
    <w:rsid w:val="00EB7B1D"/>
    <w:rsid w:val="00EC050C"/>
    <w:rsid w:val="00EC0AD2"/>
    <w:rsid w:val="00EC0E46"/>
    <w:rsid w:val="00EC1020"/>
    <w:rsid w:val="00EC2CB8"/>
    <w:rsid w:val="00EC3362"/>
    <w:rsid w:val="00EC35B7"/>
    <w:rsid w:val="00EC36CA"/>
    <w:rsid w:val="00EC39AE"/>
    <w:rsid w:val="00EC3D95"/>
    <w:rsid w:val="00EC3FD5"/>
    <w:rsid w:val="00EC457F"/>
    <w:rsid w:val="00EC513F"/>
    <w:rsid w:val="00EC5354"/>
    <w:rsid w:val="00EC557D"/>
    <w:rsid w:val="00EC5FD9"/>
    <w:rsid w:val="00EC609D"/>
    <w:rsid w:val="00EC63EE"/>
    <w:rsid w:val="00EC6894"/>
    <w:rsid w:val="00EC69C9"/>
    <w:rsid w:val="00EC7E7B"/>
    <w:rsid w:val="00ED080E"/>
    <w:rsid w:val="00ED09FF"/>
    <w:rsid w:val="00ED0D2E"/>
    <w:rsid w:val="00ED0F62"/>
    <w:rsid w:val="00ED1214"/>
    <w:rsid w:val="00ED13DB"/>
    <w:rsid w:val="00ED157E"/>
    <w:rsid w:val="00ED1680"/>
    <w:rsid w:val="00ED16C6"/>
    <w:rsid w:val="00ED1EBE"/>
    <w:rsid w:val="00ED3025"/>
    <w:rsid w:val="00ED3121"/>
    <w:rsid w:val="00ED3285"/>
    <w:rsid w:val="00ED38EC"/>
    <w:rsid w:val="00ED3B9D"/>
    <w:rsid w:val="00ED4544"/>
    <w:rsid w:val="00ED486F"/>
    <w:rsid w:val="00ED4A7E"/>
    <w:rsid w:val="00ED4BAD"/>
    <w:rsid w:val="00ED5231"/>
    <w:rsid w:val="00ED573A"/>
    <w:rsid w:val="00ED598A"/>
    <w:rsid w:val="00ED60E3"/>
    <w:rsid w:val="00ED65FE"/>
    <w:rsid w:val="00ED6CAE"/>
    <w:rsid w:val="00ED7772"/>
    <w:rsid w:val="00ED78B6"/>
    <w:rsid w:val="00ED7B57"/>
    <w:rsid w:val="00ED7CE6"/>
    <w:rsid w:val="00EE0DFE"/>
    <w:rsid w:val="00EE0E67"/>
    <w:rsid w:val="00EE2382"/>
    <w:rsid w:val="00EE29CF"/>
    <w:rsid w:val="00EE4C8F"/>
    <w:rsid w:val="00EE5639"/>
    <w:rsid w:val="00EE61D4"/>
    <w:rsid w:val="00EE6CD2"/>
    <w:rsid w:val="00EE7B96"/>
    <w:rsid w:val="00EE7EE6"/>
    <w:rsid w:val="00EF0086"/>
    <w:rsid w:val="00EF07DC"/>
    <w:rsid w:val="00EF0E9E"/>
    <w:rsid w:val="00EF0EA9"/>
    <w:rsid w:val="00EF0F9B"/>
    <w:rsid w:val="00EF1E42"/>
    <w:rsid w:val="00EF1F06"/>
    <w:rsid w:val="00EF25AB"/>
    <w:rsid w:val="00EF2822"/>
    <w:rsid w:val="00EF3D21"/>
    <w:rsid w:val="00EF5C69"/>
    <w:rsid w:val="00EF63A9"/>
    <w:rsid w:val="00EF6CA6"/>
    <w:rsid w:val="00EF6D27"/>
    <w:rsid w:val="00EF744B"/>
    <w:rsid w:val="00EF79FF"/>
    <w:rsid w:val="00EF7BB9"/>
    <w:rsid w:val="00F001DA"/>
    <w:rsid w:val="00F00274"/>
    <w:rsid w:val="00F0044A"/>
    <w:rsid w:val="00F005C3"/>
    <w:rsid w:val="00F00EEE"/>
    <w:rsid w:val="00F0160F"/>
    <w:rsid w:val="00F01CE0"/>
    <w:rsid w:val="00F01D5C"/>
    <w:rsid w:val="00F02097"/>
    <w:rsid w:val="00F0253A"/>
    <w:rsid w:val="00F02A6D"/>
    <w:rsid w:val="00F0309B"/>
    <w:rsid w:val="00F036E1"/>
    <w:rsid w:val="00F03E61"/>
    <w:rsid w:val="00F044ED"/>
    <w:rsid w:val="00F04719"/>
    <w:rsid w:val="00F04A82"/>
    <w:rsid w:val="00F04B41"/>
    <w:rsid w:val="00F0536C"/>
    <w:rsid w:val="00F05F3F"/>
    <w:rsid w:val="00F060DE"/>
    <w:rsid w:val="00F0613E"/>
    <w:rsid w:val="00F06BC6"/>
    <w:rsid w:val="00F06BF1"/>
    <w:rsid w:val="00F07C34"/>
    <w:rsid w:val="00F115ED"/>
    <w:rsid w:val="00F11793"/>
    <w:rsid w:val="00F11AA2"/>
    <w:rsid w:val="00F121A3"/>
    <w:rsid w:val="00F1267A"/>
    <w:rsid w:val="00F126BC"/>
    <w:rsid w:val="00F12D19"/>
    <w:rsid w:val="00F12FD6"/>
    <w:rsid w:val="00F13860"/>
    <w:rsid w:val="00F13BB0"/>
    <w:rsid w:val="00F13CDA"/>
    <w:rsid w:val="00F13E04"/>
    <w:rsid w:val="00F13F61"/>
    <w:rsid w:val="00F147D2"/>
    <w:rsid w:val="00F14BDB"/>
    <w:rsid w:val="00F15686"/>
    <w:rsid w:val="00F157E6"/>
    <w:rsid w:val="00F15B51"/>
    <w:rsid w:val="00F160B9"/>
    <w:rsid w:val="00F16820"/>
    <w:rsid w:val="00F16E72"/>
    <w:rsid w:val="00F17269"/>
    <w:rsid w:val="00F1734B"/>
    <w:rsid w:val="00F17AB4"/>
    <w:rsid w:val="00F17AC6"/>
    <w:rsid w:val="00F17B35"/>
    <w:rsid w:val="00F205C9"/>
    <w:rsid w:val="00F20AF2"/>
    <w:rsid w:val="00F20D19"/>
    <w:rsid w:val="00F214DA"/>
    <w:rsid w:val="00F21FB6"/>
    <w:rsid w:val="00F2256B"/>
    <w:rsid w:val="00F229B1"/>
    <w:rsid w:val="00F22EF7"/>
    <w:rsid w:val="00F230C1"/>
    <w:rsid w:val="00F2388D"/>
    <w:rsid w:val="00F2427F"/>
    <w:rsid w:val="00F247BF"/>
    <w:rsid w:val="00F25163"/>
    <w:rsid w:val="00F257EA"/>
    <w:rsid w:val="00F25B10"/>
    <w:rsid w:val="00F263D3"/>
    <w:rsid w:val="00F275D9"/>
    <w:rsid w:val="00F277DF"/>
    <w:rsid w:val="00F27F7E"/>
    <w:rsid w:val="00F307EA"/>
    <w:rsid w:val="00F30AE1"/>
    <w:rsid w:val="00F30CC7"/>
    <w:rsid w:val="00F30CEA"/>
    <w:rsid w:val="00F30D54"/>
    <w:rsid w:val="00F31030"/>
    <w:rsid w:val="00F317F7"/>
    <w:rsid w:val="00F31EB1"/>
    <w:rsid w:val="00F32245"/>
    <w:rsid w:val="00F32BEC"/>
    <w:rsid w:val="00F3323D"/>
    <w:rsid w:val="00F33465"/>
    <w:rsid w:val="00F3585D"/>
    <w:rsid w:val="00F363C1"/>
    <w:rsid w:val="00F36582"/>
    <w:rsid w:val="00F36E3B"/>
    <w:rsid w:val="00F371C5"/>
    <w:rsid w:val="00F3748B"/>
    <w:rsid w:val="00F37D44"/>
    <w:rsid w:val="00F40B8F"/>
    <w:rsid w:val="00F40DDF"/>
    <w:rsid w:val="00F41A4E"/>
    <w:rsid w:val="00F430AE"/>
    <w:rsid w:val="00F4564F"/>
    <w:rsid w:val="00F45674"/>
    <w:rsid w:val="00F4607B"/>
    <w:rsid w:val="00F46463"/>
    <w:rsid w:val="00F469B8"/>
    <w:rsid w:val="00F46B16"/>
    <w:rsid w:val="00F47367"/>
    <w:rsid w:val="00F502AA"/>
    <w:rsid w:val="00F51204"/>
    <w:rsid w:val="00F51320"/>
    <w:rsid w:val="00F5156D"/>
    <w:rsid w:val="00F52236"/>
    <w:rsid w:val="00F52A72"/>
    <w:rsid w:val="00F531F9"/>
    <w:rsid w:val="00F5327B"/>
    <w:rsid w:val="00F535E4"/>
    <w:rsid w:val="00F53FAF"/>
    <w:rsid w:val="00F54A32"/>
    <w:rsid w:val="00F54A94"/>
    <w:rsid w:val="00F55482"/>
    <w:rsid w:val="00F5566C"/>
    <w:rsid w:val="00F55690"/>
    <w:rsid w:val="00F5690A"/>
    <w:rsid w:val="00F56B54"/>
    <w:rsid w:val="00F56D75"/>
    <w:rsid w:val="00F57562"/>
    <w:rsid w:val="00F578A2"/>
    <w:rsid w:val="00F5795E"/>
    <w:rsid w:val="00F579BC"/>
    <w:rsid w:val="00F57AF9"/>
    <w:rsid w:val="00F57CF1"/>
    <w:rsid w:val="00F60B2C"/>
    <w:rsid w:val="00F60C3A"/>
    <w:rsid w:val="00F626E5"/>
    <w:rsid w:val="00F62B19"/>
    <w:rsid w:val="00F631EC"/>
    <w:rsid w:val="00F636E8"/>
    <w:rsid w:val="00F637BE"/>
    <w:rsid w:val="00F63813"/>
    <w:rsid w:val="00F63A0E"/>
    <w:rsid w:val="00F63D17"/>
    <w:rsid w:val="00F63FCD"/>
    <w:rsid w:val="00F64D9D"/>
    <w:rsid w:val="00F65A13"/>
    <w:rsid w:val="00F66E73"/>
    <w:rsid w:val="00F67981"/>
    <w:rsid w:val="00F67B58"/>
    <w:rsid w:val="00F700E3"/>
    <w:rsid w:val="00F7041B"/>
    <w:rsid w:val="00F706AE"/>
    <w:rsid w:val="00F707FB"/>
    <w:rsid w:val="00F7199C"/>
    <w:rsid w:val="00F71F68"/>
    <w:rsid w:val="00F725BB"/>
    <w:rsid w:val="00F727E6"/>
    <w:rsid w:val="00F72EB6"/>
    <w:rsid w:val="00F733C1"/>
    <w:rsid w:val="00F736C8"/>
    <w:rsid w:val="00F73941"/>
    <w:rsid w:val="00F74EBF"/>
    <w:rsid w:val="00F752D4"/>
    <w:rsid w:val="00F754BD"/>
    <w:rsid w:val="00F76053"/>
    <w:rsid w:val="00F763AE"/>
    <w:rsid w:val="00F76444"/>
    <w:rsid w:val="00F76706"/>
    <w:rsid w:val="00F76EA3"/>
    <w:rsid w:val="00F77180"/>
    <w:rsid w:val="00F771D8"/>
    <w:rsid w:val="00F776D6"/>
    <w:rsid w:val="00F778BD"/>
    <w:rsid w:val="00F779BD"/>
    <w:rsid w:val="00F8079C"/>
    <w:rsid w:val="00F81454"/>
    <w:rsid w:val="00F82381"/>
    <w:rsid w:val="00F82699"/>
    <w:rsid w:val="00F83785"/>
    <w:rsid w:val="00F83F97"/>
    <w:rsid w:val="00F843AA"/>
    <w:rsid w:val="00F846C4"/>
    <w:rsid w:val="00F84B36"/>
    <w:rsid w:val="00F8528A"/>
    <w:rsid w:val="00F85DD3"/>
    <w:rsid w:val="00F8660E"/>
    <w:rsid w:val="00F91692"/>
    <w:rsid w:val="00F91B48"/>
    <w:rsid w:val="00F934EF"/>
    <w:rsid w:val="00F9470E"/>
    <w:rsid w:val="00F95087"/>
    <w:rsid w:val="00F95799"/>
    <w:rsid w:val="00F95AD0"/>
    <w:rsid w:val="00F96E1A"/>
    <w:rsid w:val="00F97176"/>
    <w:rsid w:val="00F971B3"/>
    <w:rsid w:val="00FA068E"/>
    <w:rsid w:val="00FA29C9"/>
    <w:rsid w:val="00FA2F2F"/>
    <w:rsid w:val="00FA3BCD"/>
    <w:rsid w:val="00FA6646"/>
    <w:rsid w:val="00FA6AB6"/>
    <w:rsid w:val="00FA6EEF"/>
    <w:rsid w:val="00FA75C6"/>
    <w:rsid w:val="00FA77DE"/>
    <w:rsid w:val="00FB00EB"/>
    <w:rsid w:val="00FB03B2"/>
    <w:rsid w:val="00FB0A79"/>
    <w:rsid w:val="00FB11E7"/>
    <w:rsid w:val="00FB1814"/>
    <w:rsid w:val="00FB1ED6"/>
    <w:rsid w:val="00FB229A"/>
    <w:rsid w:val="00FB2BF7"/>
    <w:rsid w:val="00FB3133"/>
    <w:rsid w:val="00FB3587"/>
    <w:rsid w:val="00FB38DA"/>
    <w:rsid w:val="00FB3A44"/>
    <w:rsid w:val="00FB40D1"/>
    <w:rsid w:val="00FB52B9"/>
    <w:rsid w:val="00FB5899"/>
    <w:rsid w:val="00FB5B78"/>
    <w:rsid w:val="00FB6340"/>
    <w:rsid w:val="00FB665C"/>
    <w:rsid w:val="00FB6718"/>
    <w:rsid w:val="00FB6AB1"/>
    <w:rsid w:val="00FB6C3F"/>
    <w:rsid w:val="00FB6D98"/>
    <w:rsid w:val="00FB6FE8"/>
    <w:rsid w:val="00FB7127"/>
    <w:rsid w:val="00FB76D7"/>
    <w:rsid w:val="00FB78B3"/>
    <w:rsid w:val="00FC0AB9"/>
    <w:rsid w:val="00FC1067"/>
    <w:rsid w:val="00FC1611"/>
    <w:rsid w:val="00FC1B65"/>
    <w:rsid w:val="00FC1C95"/>
    <w:rsid w:val="00FC2088"/>
    <w:rsid w:val="00FC226F"/>
    <w:rsid w:val="00FC22FA"/>
    <w:rsid w:val="00FC2DF2"/>
    <w:rsid w:val="00FC2FFF"/>
    <w:rsid w:val="00FC3181"/>
    <w:rsid w:val="00FC4427"/>
    <w:rsid w:val="00FC473D"/>
    <w:rsid w:val="00FC4C18"/>
    <w:rsid w:val="00FC4F5F"/>
    <w:rsid w:val="00FC4FCA"/>
    <w:rsid w:val="00FC5853"/>
    <w:rsid w:val="00FC5CFE"/>
    <w:rsid w:val="00FC5F9D"/>
    <w:rsid w:val="00FC668C"/>
    <w:rsid w:val="00FC66B1"/>
    <w:rsid w:val="00FC71E2"/>
    <w:rsid w:val="00FC7DC0"/>
    <w:rsid w:val="00FD033C"/>
    <w:rsid w:val="00FD06ED"/>
    <w:rsid w:val="00FD0D33"/>
    <w:rsid w:val="00FD1EA1"/>
    <w:rsid w:val="00FD1FBD"/>
    <w:rsid w:val="00FD207D"/>
    <w:rsid w:val="00FD2158"/>
    <w:rsid w:val="00FD274E"/>
    <w:rsid w:val="00FD3DA4"/>
    <w:rsid w:val="00FD44E7"/>
    <w:rsid w:val="00FD4993"/>
    <w:rsid w:val="00FD5DB8"/>
    <w:rsid w:val="00FD64A4"/>
    <w:rsid w:val="00FD68B9"/>
    <w:rsid w:val="00FD6CB8"/>
    <w:rsid w:val="00FD6EC4"/>
    <w:rsid w:val="00FD709C"/>
    <w:rsid w:val="00FE0667"/>
    <w:rsid w:val="00FE0CA8"/>
    <w:rsid w:val="00FE16C6"/>
    <w:rsid w:val="00FE1791"/>
    <w:rsid w:val="00FE1903"/>
    <w:rsid w:val="00FE1B67"/>
    <w:rsid w:val="00FE1B7E"/>
    <w:rsid w:val="00FE1C54"/>
    <w:rsid w:val="00FE1DC3"/>
    <w:rsid w:val="00FE226D"/>
    <w:rsid w:val="00FE36D8"/>
    <w:rsid w:val="00FE3A89"/>
    <w:rsid w:val="00FE45B2"/>
    <w:rsid w:val="00FE54BC"/>
    <w:rsid w:val="00FE5B8C"/>
    <w:rsid w:val="00FE68A5"/>
    <w:rsid w:val="00FE6E6F"/>
    <w:rsid w:val="00FE7165"/>
    <w:rsid w:val="00FE7558"/>
    <w:rsid w:val="00FE79E7"/>
    <w:rsid w:val="00FF0958"/>
    <w:rsid w:val="00FF101C"/>
    <w:rsid w:val="00FF14D2"/>
    <w:rsid w:val="00FF1A6C"/>
    <w:rsid w:val="00FF1F1D"/>
    <w:rsid w:val="00FF2071"/>
    <w:rsid w:val="00FF361A"/>
    <w:rsid w:val="00FF4480"/>
    <w:rsid w:val="00FF5220"/>
    <w:rsid w:val="00FF60C4"/>
    <w:rsid w:val="00FF62F5"/>
    <w:rsid w:val="00FF674F"/>
    <w:rsid w:val="00FF6B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7CDA7A"/>
  <w15:docId w15:val="{2CAA01F2-1D0D-4B3F-9EA2-37A9AD6D3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6FA5"/>
  </w:style>
  <w:style w:type="paragraph" w:styleId="Heading1">
    <w:name w:val="heading 1"/>
    <w:basedOn w:val="Normal"/>
    <w:next w:val="Normal"/>
    <w:link w:val="Heading1Char"/>
    <w:uiPriority w:val="9"/>
    <w:qFormat/>
    <w:rsid w:val="00E25112"/>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basedOn w:val="Normal"/>
    <w:next w:val="Normal"/>
    <w:link w:val="Heading2Char"/>
    <w:uiPriority w:val="9"/>
    <w:unhideWhenUsed/>
    <w:qFormat/>
    <w:rsid w:val="00E25112"/>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unhideWhenUsed/>
    <w:qFormat/>
    <w:rsid w:val="00E25112"/>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E25112"/>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E25112"/>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E25112"/>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25112"/>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E25112"/>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E25112"/>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5112"/>
    <w:rPr>
      <w:rFonts w:asciiTheme="majorHAnsi" w:eastAsiaTheme="majorEastAsia" w:hAnsiTheme="majorHAnsi" w:cstheme="majorBidi"/>
      <w:b/>
      <w:bCs/>
      <w:caps/>
      <w:spacing w:val="4"/>
      <w:sz w:val="28"/>
      <w:szCs w:val="28"/>
    </w:rPr>
  </w:style>
  <w:style w:type="character" w:customStyle="1" w:styleId="Heading2Char">
    <w:name w:val="Heading 2 Char"/>
    <w:basedOn w:val="DefaultParagraphFont"/>
    <w:link w:val="Heading2"/>
    <w:uiPriority w:val="9"/>
    <w:rsid w:val="00E25112"/>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rsid w:val="00E25112"/>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E25112"/>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E25112"/>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E25112"/>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25112"/>
    <w:rPr>
      <w:i/>
      <w:iCs/>
    </w:rPr>
  </w:style>
  <w:style w:type="character" w:customStyle="1" w:styleId="Heading8Char">
    <w:name w:val="Heading 8 Char"/>
    <w:basedOn w:val="DefaultParagraphFont"/>
    <w:link w:val="Heading8"/>
    <w:uiPriority w:val="9"/>
    <w:semiHidden/>
    <w:rsid w:val="00E25112"/>
    <w:rPr>
      <w:b/>
      <w:bCs/>
    </w:rPr>
  </w:style>
  <w:style w:type="character" w:customStyle="1" w:styleId="Heading9Char">
    <w:name w:val="Heading 9 Char"/>
    <w:basedOn w:val="DefaultParagraphFont"/>
    <w:link w:val="Heading9"/>
    <w:uiPriority w:val="9"/>
    <w:semiHidden/>
    <w:rsid w:val="00E25112"/>
    <w:rPr>
      <w:i/>
      <w:iCs/>
    </w:rPr>
  </w:style>
  <w:style w:type="paragraph" w:styleId="ListParagraph">
    <w:name w:val="List Paragraph"/>
    <w:basedOn w:val="Normal"/>
    <w:uiPriority w:val="34"/>
    <w:qFormat/>
    <w:rsid w:val="007564D4"/>
    <w:pPr>
      <w:ind w:left="720"/>
      <w:contextualSpacing/>
    </w:pPr>
  </w:style>
  <w:style w:type="paragraph" w:styleId="NormalWeb">
    <w:name w:val="Normal (Web)"/>
    <w:basedOn w:val="Normal"/>
    <w:uiPriority w:val="99"/>
    <w:unhideWhenUsed/>
    <w:rsid w:val="0045728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45728F"/>
  </w:style>
  <w:style w:type="character" w:styleId="Hyperlink">
    <w:name w:val="Hyperlink"/>
    <w:basedOn w:val="DefaultParagraphFont"/>
    <w:uiPriority w:val="99"/>
    <w:unhideWhenUsed/>
    <w:rsid w:val="0045728F"/>
    <w:rPr>
      <w:color w:val="0000FF"/>
      <w:u w:val="single"/>
    </w:rPr>
  </w:style>
  <w:style w:type="paragraph" w:styleId="NoSpacing">
    <w:name w:val="No Spacing"/>
    <w:link w:val="NoSpacingChar"/>
    <w:uiPriority w:val="1"/>
    <w:qFormat/>
    <w:rsid w:val="00E25112"/>
    <w:pPr>
      <w:spacing w:after="0" w:line="240" w:lineRule="auto"/>
    </w:pPr>
  </w:style>
  <w:style w:type="character" w:customStyle="1" w:styleId="NoSpacingChar">
    <w:name w:val="No Spacing Char"/>
    <w:basedOn w:val="DefaultParagraphFont"/>
    <w:link w:val="NoSpacing"/>
    <w:uiPriority w:val="1"/>
    <w:rsid w:val="00D30A5C"/>
  </w:style>
  <w:style w:type="character" w:styleId="CommentReference">
    <w:name w:val="annotation reference"/>
    <w:basedOn w:val="DefaultParagraphFont"/>
    <w:uiPriority w:val="99"/>
    <w:semiHidden/>
    <w:unhideWhenUsed/>
    <w:rsid w:val="0027190C"/>
    <w:rPr>
      <w:sz w:val="16"/>
      <w:szCs w:val="16"/>
    </w:rPr>
  </w:style>
  <w:style w:type="paragraph" w:styleId="CommentText">
    <w:name w:val="annotation text"/>
    <w:basedOn w:val="Normal"/>
    <w:link w:val="CommentTextChar"/>
    <w:uiPriority w:val="99"/>
    <w:unhideWhenUsed/>
    <w:rsid w:val="0027190C"/>
    <w:pPr>
      <w:spacing w:line="240" w:lineRule="auto"/>
    </w:pPr>
    <w:rPr>
      <w:sz w:val="20"/>
      <w:szCs w:val="20"/>
    </w:rPr>
  </w:style>
  <w:style w:type="character" w:customStyle="1" w:styleId="CommentTextChar">
    <w:name w:val="Comment Text Char"/>
    <w:basedOn w:val="DefaultParagraphFont"/>
    <w:link w:val="CommentText"/>
    <w:uiPriority w:val="99"/>
    <w:rsid w:val="0027190C"/>
    <w:rPr>
      <w:sz w:val="20"/>
      <w:szCs w:val="20"/>
    </w:rPr>
  </w:style>
  <w:style w:type="paragraph" w:styleId="CommentSubject">
    <w:name w:val="annotation subject"/>
    <w:basedOn w:val="CommentText"/>
    <w:next w:val="CommentText"/>
    <w:link w:val="CommentSubjectChar"/>
    <w:uiPriority w:val="99"/>
    <w:semiHidden/>
    <w:unhideWhenUsed/>
    <w:rsid w:val="0027190C"/>
    <w:rPr>
      <w:b/>
      <w:bCs/>
    </w:rPr>
  </w:style>
  <w:style w:type="character" w:customStyle="1" w:styleId="CommentSubjectChar">
    <w:name w:val="Comment Subject Char"/>
    <w:basedOn w:val="CommentTextChar"/>
    <w:link w:val="CommentSubject"/>
    <w:uiPriority w:val="99"/>
    <w:semiHidden/>
    <w:rsid w:val="0027190C"/>
    <w:rPr>
      <w:b/>
      <w:bCs/>
      <w:sz w:val="20"/>
      <w:szCs w:val="20"/>
    </w:rPr>
  </w:style>
  <w:style w:type="paragraph" w:styleId="BalloonText">
    <w:name w:val="Balloon Text"/>
    <w:basedOn w:val="Normal"/>
    <w:link w:val="BalloonTextChar"/>
    <w:uiPriority w:val="99"/>
    <w:semiHidden/>
    <w:unhideWhenUsed/>
    <w:rsid w:val="002719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190C"/>
    <w:rPr>
      <w:rFonts w:ascii="Segoe UI" w:hAnsi="Segoe UI" w:cs="Segoe UI"/>
      <w:sz w:val="18"/>
      <w:szCs w:val="18"/>
    </w:rPr>
  </w:style>
  <w:style w:type="paragraph" w:styleId="Header">
    <w:name w:val="header"/>
    <w:basedOn w:val="Normal"/>
    <w:link w:val="HeaderChar"/>
    <w:uiPriority w:val="99"/>
    <w:unhideWhenUsed/>
    <w:rsid w:val="00C308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308AA"/>
  </w:style>
  <w:style w:type="paragraph" w:styleId="Footer">
    <w:name w:val="footer"/>
    <w:basedOn w:val="Normal"/>
    <w:link w:val="FooterChar"/>
    <w:uiPriority w:val="99"/>
    <w:unhideWhenUsed/>
    <w:rsid w:val="00C308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08AA"/>
  </w:style>
  <w:style w:type="character" w:styleId="Emphasis">
    <w:name w:val="Emphasis"/>
    <w:basedOn w:val="DefaultParagraphFont"/>
    <w:uiPriority w:val="20"/>
    <w:qFormat/>
    <w:rsid w:val="00E25112"/>
    <w:rPr>
      <w:i/>
      <w:iCs/>
      <w:color w:val="auto"/>
    </w:rPr>
  </w:style>
  <w:style w:type="character" w:styleId="Strong">
    <w:name w:val="Strong"/>
    <w:basedOn w:val="DefaultParagraphFont"/>
    <w:uiPriority w:val="22"/>
    <w:qFormat/>
    <w:rsid w:val="00E25112"/>
    <w:rPr>
      <w:b/>
      <w:bCs/>
      <w:color w:val="auto"/>
    </w:rPr>
  </w:style>
  <w:style w:type="table" w:styleId="TableGrid">
    <w:name w:val="Table Grid"/>
    <w:basedOn w:val="TableNormal"/>
    <w:uiPriority w:val="39"/>
    <w:rsid w:val="007E6F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25112"/>
    <w:rPr>
      <w:b/>
      <w:bCs/>
      <w:sz w:val="18"/>
      <w:szCs w:val="18"/>
    </w:rPr>
  </w:style>
  <w:style w:type="paragraph" w:styleId="Title">
    <w:name w:val="Title"/>
    <w:basedOn w:val="Normal"/>
    <w:next w:val="Normal"/>
    <w:link w:val="TitleChar"/>
    <w:uiPriority w:val="10"/>
    <w:qFormat/>
    <w:rsid w:val="00E25112"/>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E25112"/>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E25112"/>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25112"/>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E2511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E25112"/>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E2511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E25112"/>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E25112"/>
    <w:rPr>
      <w:i/>
      <w:iCs/>
      <w:color w:val="auto"/>
    </w:rPr>
  </w:style>
  <w:style w:type="character" w:styleId="IntenseEmphasis">
    <w:name w:val="Intense Emphasis"/>
    <w:basedOn w:val="DefaultParagraphFont"/>
    <w:uiPriority w:val="21"/>
    <w:qFormat/>
    <w:rsid w:val="00E25112"/>
    <w:rPr>
      <w:b/>
      <w:bCs/>
      <w:i/>
      <w:iCs/>
      <w:color w:val="auto"/>
    </w:rPr>
  </w:style>
  <w:style w:type="character" w:styleId="SubtleReference">
    <w:name w:val="Subtle Reference"/>
    <w:basedOn w:val="DefaultParagraphFont"/>
    <w:uiPriority w:val="31"/>
    <w:qFormat/>
    <w:rsid w:val="00E25112"/>
    <w:rPr>
      <w:smallCaps/>
      <w:color w:val="auto"/>
      <w:u w:val="single" w:color="7F7F7F" w:themeColor="text1" w:themeTint="80"/>
    </w:rPr>
  </w:style>
  <w:style w:type="character" w:styleId="IntenseReference">
    <w:name w:val="Intense Reference"/>
    <w:basedOn w:val="DefaultParagraphFont"/>
    <w:uiPriority w:val="32"/>
    <w:qFormat/>
    <w:rsid w:val="00E25112"/>
    <w:rPr>
      <w:b/>
      <w:bCs/>
      <w:smallCaps/>
      <w:color w:val="auto"/>
      <w:u w:val="single"/>
    </w:rPr>
  </w:style>
  <w:style w:type="character" w:styleId="BookTitle">
    <w:name w:val="Book Title"/>
    <w:basedOn w:val="DefaultParagraphFont"/>
    <w:uiPriority w:val="33"/>
    <w:qFormat/>
    <w:rsid w:val="00E25112"/>
    <w:rPr>
      <w:b/>
      <w:bCs/>
      <w:smallCaps/>
      <w:color w:val="auto"/>
    </w:rPr>
  </w:style>
  <w:style w:type="paragraph" w:styleId="TOCHeading">
    <w:name w:val="TOC Heading"/>
    <w:basedOn w:val="Heading1"/>
    <w:next w:val="Normal"/>
    <w:uiPriority w:val="39"/>
    <w:unhideWhenUsed/>
    <w:qFormat/>
    <w:rsid w:val="00E25112"/>
    <w:pPr>
      <w:outlineLvl w:val="9"/>
    </w:pPr>
  </w:style>
  <w:style w:type="paragraph" w:styleId="TOC1">
    <w:name w:val="toc 1"/>
    <w:basedOn w:val="Normal"/>
    <w:next w:val="Normal"/>
    <w:autoRedefine/>
    <w:uiPriority w:val="39"/>
    <w:unhideWhenUsed/>
    <w:rsid w:val="001F7032"/>
    <w:pPr>
      <w:tabs>
        <w:tab w:val="right" w:leader="dot" w:pos="9016"/>
      </w:tabs>
      <w:spacing w:after="100"/>
    </w:pPr>
    <w:rPr>
      <w:rFonts w:ascii="Times New Roman" w:hAnsi="Times New Roman" w:cs="Times New Roman"/>
      <w:noProof/>
    </w:rPr>
  </w:style>
  <w:style w:type="paragraph" w:styleId="TOC2">
    <w:name w:val="toc 2"/>
    <w:basedOn w:val="Normal"/>
    <w:next w:val="Normal"/>
    <w:autoRedefine/>
    <w:uiPriority w:val="39"/>
    <w:unhideWhenUsed/>
    <w:rsid w:val="00091A0B"/>
    <w:pPr>
      <w:tabs>
        <w:tab w:val="right" w:leader="dot" w:pos="9016"/>
      </w:tabs>
      <w:spacing w:after="100" w:line="360" w:lineRule="auto"/>
      <w:ind w:left="221"/>
    </w:pPr>
    <w:rPr>
      <w:rFonts w:ascii="Times New Roman" w:eastAsiaTheme="minorHAnsi" w:hAnsi="Times New Roman" w:cs="Times New Roman"/>
      <w:b/>
      <w:bCs/>
      <w:noProof/>
    </w:rPr>
  </w:style>
  <w:style w:type="character" w:customStyle="1" w:styleId="category">
    <w:name w:val="category"/>
    <w:basedOn w:val="DefaultParagraphFont"/>
    <w:rsid w:val="009D7F44"/>
  </w:style>
  <w:style w:type="character" w:customStyle="1" w:styleId="highlight">
    <w:name w:val="highlight"/>
    <w:basedOn w:val="DefaultParagraphFont"/>
    <w:rsid w:val="000112C8"/>
  </w:style>
  <w:style w:type="paragraph" w:customStyle="1" w:styleId="regularnote">
    <w:name w:val="regularnote"/>
    <w:basedOn w:val="Normal"/>
    <w:rsid w:val="00D25838"/>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customStyle="1" w:styleId="mb">
    <w:name w:val="mb"/>
    <w:basedOn w:val="DefaultParagraphFont"/>
    <w:rsid w:val="006F63A4"/>
  </w:style>
  <w:style w:type="table" w:customStyle="1" w:styleId="TableGrid1">
    <w:name w:val="Table Grid1"/>
    <w:basedOn w:val="TableNormal"/>
    <w:next w:val="TableGrid"/>
    <w:rsid w:val="00652E86"/>
    <w:pPr>
      <w:spacing w:after="0" w:line="240" w:lineRule="auto"/>
      <w:jc w:val="left"/>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63E2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3E2A"/>
    <w:rPr>
      <w:sz w:val="20"/>
      <w:szCs w:val="20"/>
    </w:rPr>
  </w:style>
  <w:style w:type="character" w:styleId="FootnoteReference">
    <w:name w:val="footnote reference"/>
    <w:basedOn w:val="DefaultParagraphFont"/>
    <w:uiPriority w:val="99"/>
    <w:semiHidden/>
    <w:unhideWhenUsed/>
    <w:rsid w:val="00E63E2A"/>
    <w:rPr>
      <w:vertAlign w:val="superscript"/>
    </w:rPr>
  </w:style>
  <w:style w:type="paragraph" w:styleId="TOC3">
    <w:name w:val="toc 3"/>
    <w:basedOn w:val="Normal"/>
    <w:next w:val="Normal"/>
    <w:autoRedefine/>
    <w:uiPriority w:val="39"/>
    <w:unhideWhenUsed/>
    <w:rsid w:val="001E04D8"/>
    <w:pPr>
      <w:tabs>
        <w:tab w:val="right" w:leader="dot" w:pos="9016"/>
      </w:tabs>
      <w:spacing w:after="100"/>
      <w:ind w:left="440"/>
    </w:pPr>
    <w:rPr>
      <w:rFonts w:ascii="Times New Roman" w:hAnsi="Times New Roman" w:cs="Times New Roman"/>
      <w:noProof/>
    </w:rPr>
  </w:style>
  <w:style w:type="table" w:customStyle="1" w:styleId="TableGrid2">
    <w:name w:val="Table Grid2"/>
    <w:basedOn w:val="TableNormal"/>
    <w:next w:val="TableGrid"/>
    <w:uiPriority w:val="59"/>
    <w:rsid w:val="004223F2"/>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223F2"/>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A1753"/>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A1753"/>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6753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675340"/>
    <w:rPr>
      <w:color w:val="808080"/>
    </w:rPr>
  </w:style>
  <w:style w:type="table" w:customStyle="1" w:styleId="GridTable1Light-Accent11">
    <w:name w:val="Grid Table 1 Light - Accent 11"/>
    <w:basedOn w:val="TableNormal"/>
    <w:uiPriority w:val="46"/>
    <w:rsid w:val="00F1179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LightShading-Accent5">
    <w:name w:val="Light Shading Accent 5"/>
    <w:basedOn w:val="TableNormal"/>
    <w:uiPriority w:val="60"/>
    <w:rsid w:val="00980CA6"/>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paragraph" w:customStyle="1" w:styleId="Normal1">
    <w:name w:val="Normal1"/>
    <w:basedOn w:val="Normal"/>
    <w:rsid w:val="001710D1"/>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customStyle="1" w:styleId="normalchar">
    <w:name w:val="normal__char"/>
    <w:basedOn w:val="DefaultParagraphFont"/>
    <w:rsid w:val="001710D1"/>
  </w:style>
  <w:style w:type="table" w:styleId="GridTable1Light-Accent1">
    <w:name w:val="Grid Table 1 Light Accent 1"/>
    <w:basedOn w:val="TableNormal"/>
    <w:uiPriority w:val="46"/>
    <w:rsid w:val="00205BFB"/>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5F353B"/>
    <w:pPr>
      <w:spacing w:after="0" w:line="240" w:lineRule="auto"/>
      <w:jc w:val="left"/>
    </w:pPr>
  </w:style>
  <w:style w:type="table" w:customStyle="1" w:styleId="GridTable1Light-Accent111">
    <w:name w:val="Grid Table 1 Light - Accent 111"/>
    <w:basedOn w:val="TableNormal"/>
    <w:uiPriority w:val="46"/>
    <w:rsid w:val="00381DB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C4446"/>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E564E6"/>
    <w:pPr>
      <w:spacing w:after="0" w:line="240" w:lineRule="auto"/>
      <w:jc w:val="left"/>
    </w:pPr>
    <w:rPr>
      <w:rFonts w:eastAsiaTheme="minorHAnsi"/>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02030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716F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716F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eq0j8">
    <w:name w:val="eq0j8"/>
    <w:basedOn w:val="DefaultParagraphFont"/>
    <w:rsid w:val="00B02586"/>
  </w:style>
  <w:style w:type="table" w:styleId="PlainTable1">
    <w:name w:val="Plain Table 1"/>
    <w:basedOn w:val="TableNormal"/>
    <w:uiPriority w:val="41"/>
    <w:rsid w:val="00A532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ospital">
    <w:name w:val="hospital"/>
    <w:basedOn w:val="DefaultParagraphFont"/>
    <w:rsid w:val="00DE0620"/>
  </w:style>
  <w:style w:type="paragraph" w:customStyle="1" w:styleId="Default">
    <w:name w:val="Default"/>
    <w:rsid w:val="005C0824"/>
    <w:pPr>
      <w:autoSpaceDE w:val="0"/>
      <w:autoSpaceDN w:val="0"/>
      <w:adjustRightInd w:val="0"/>
      <w:spacing w:after="0" w:line="240" w:lineRule="auto"/>
      <w:jc w:val="left"/>
    </w:pPr>
    <w:rPr>
      <w:rFonts w:ascii="Minion Pro" w:hAnsi="Minion Pro" w:cs="Minion Pro"/>
      <w:color w:val="000000"/>
      <w:sz w:val="24"/>
      <w:szCs w:val="24"/>
    </w:rPr>
  </w:style>
  <w:style w:type="paragraph" w:customStyle="1" w:styleId="Pa0">
    <w:name w:val="Pa0"/>
    <w:basedOn w:val="Default"/>
    <w:next w:val="Default"/>
    <w:uiPriority w:val="99"/>
    <w:rsid w:val="005C0824"/>
    <w:pPr>
      <w:spacing w:line="221" w:lineRule="atLeast"/>
    </w:pPr>
    <w:rPr>
      <w:rFonts w:cstheme="minorBidi"/>
      <w:color w:val="auto"/>
    </w:rPr>
  </w:style>
  <w:style w:type="character" w:customStyle="1" w:styleId="A0">
    <w:name w:val="A0"/>
    <w:uiPriority w:val="99"/>
    <w:rsid w:val="005C0824"/>
    <w:rPr>
      <w:rFonts w:cs="Minion Pro"/>
      <w:color w:val="186320"/>
      <w:sz w:val="20"/>
      <w:szCs w:val="20"/>
    </w:rPr>
  </w:style>
  <w:style w:type="character" w:customStyle="1" w:styleId="A1">
    <w:name w:val="A1"/>
    <w:uiPriority w:val="99"/>
    <w:rsid w:val="005C0824"/>
    <w:rPr>
      <w:rFonts w:cs="Minion Pro"/>
      <w:color w:val="000000"/>
      <w:sz w:val="11"/>
      <w:szCs w:val="11"/>
    </w:rPr>
  </w:style>
  <w:style w:type="paragraph" w:styleId="TOC4">
    <w:name w:val="toc 4"/>
    <w:basedOn w:val="Normal"/>
    <w:next w:val="Normal"/>
    <w:autoRedefine/>
    <w:uiPriority w:val="39"/>
    <w:unhideWhenUsed/>
    <w:rsid w:val="0084750B"/>
    <w:pPr>
      <w:spacing w:after="100" w:line="259" w:lineRule="auto"/>
      <w:ind w:left="660"/>
      <w:jc w:val="left"/>
    </w:pPr>
    <w:rPr>
      <w:lang w:eastAsia="en-GB"/>
    </w:rPr>
  </w:style>
  <w:style w:type="paragraph" w:styleId="TOC5">
    <w:name w:val="toc 5"/>
    <w:basedOn w:val="Normal"/>
    <w:next w:val="Normal"/>
    <w:autoRedefine/>
    <w:uiPriority w:val="39"/>
    <w:unhideWhenUsed/>
    <w:rsid w:val="0084750B"/>
    <w:pPr>
      <w:spacing w:after="100" w:line="259" w:lineRule="auto"/>
      <w:ind w:left="880"/>
      <w:jc w:val="left"/>
    </w:pPr>
    <w:rPr>
      <w:lang w:eastAsia="en-GB"/>
    </w:rPr>
  </w:style>
  <w:style w:type="paragraph" w:styleId="TOC6">
    <w:name w:val="toc 6"/>
    <w:basedOn w:val="Normal"/>
    <w:next w:val="Normal"/>
    <w:autoRedefine/>
    <w:uiPriority w:val="39"/>
    <w:unhideWhenUsed/>
    <w:rsid w:val="0084750B"/>
    <w:pPr>
      <w:spacing w:after="100" w:line="259" w:lineRule="auto"/>
      <w:ind w:left="1100"/>
      <w:jc w:val="left"/>
    </w:pPr>
    <w:rPr>
      <w:lang w:eastAsia="en-GB"/>
    </w:rPr>
  </w:style>
  <w:style w:type="paragraph" w:styleId="TOC7">
    <w:name w:val="toc 7"/>
    <w:basedOn w:val="Normal"/>
    <w:next w:val="Normal"/>
    <w:autoRedefine/>
    <w:uiPriority w:val="39"/>
    <w:unhideWhenUsed/>
    <w:rsid w:val="0084750B"/>
    <w:pPr>
      <w:spacing w:after="100" w:line="259" w:lineRule="auto"/>
      <w:ind w:left="1320"/>
      <w:jc w:val="left"/>
    </w:pPr>
    <w:rPr>
      <w:lang w:eastAsia="en-GB"/>
    </w:rPr>
  </w:style>
  <w:style w:type="paragraph" w:styleId="TOC8">
    <w:name w:val="toc 8"/>
    <w:basedOn w:val="Normal"/>
    <w:next w:val="Normal"/>
    <w:autoRedefine/>
    <w:uiPriority w:val="39"/>
    <w:unhideWhenUsed/>
    <w:rsid w:val="0084750B"/>
    <w:pPr>
      <w:spacing w:after="100" w:line="259" w:lineRule="auto"/>
      <w:ind w:left="1540"/>
      <w:jc w:val="left"/>
    </w:pPr>
    <w:rPr>
      <w:lang w:eastAsia="en-GB"/>
    </w:rPr>
  </w:style>
  <w:style w:type="paragraph" w:styleId="TOC9">
    <w:name w:val="toc 9"/>
    <w:basedOn w:val="Normal"/>
    <w:next w:val="Normal"/>
    <w:autoRedefine/>
    <w:uiPriority w:val="39"/>
    <w:unhideWhenUsed/>
    <w:rsid w:val="0084750B"/>
    <w:pPr>
      <w:spacing w:after="100" w:line="259" w:lineRule="auto"/>
      <w:ind w:left="1760"/>
      <w:jc w:val="left"/>
    </w:pPr>
    <w:rPr>
      <w:lang w:eastAsia="en-GB"/>
    </w:rPr>
  </w:style>
  <w:style w:type="character" w:styleId="UnresolvedMention">
    <w:name w:val="Unresolved Mention"/>
    <w:basedOn w:val="DefaultParagraphFont"/>
    <w:uiPriority w:val="99"/>
    <w:semiHidden/>
    <w:unhideWhenUsed/>
    <w:rsid w:val="0084750B"/>
    <w:rPr>
      <w:color w:val="605E5C"/>
      <w:shd w:val="clear" w:color="auto" w:fill="E1DFDD"/>
    </w:rPr>
  </w:style>
  <w:style w:type="paragraph" w:styleId="TableofFigures">
    <w:name w:val="table of figures"/>
    <w:basedOn w:val="Normal"/>
    <w:next w:val="Normal"/>
    <w:uiPriority w:val="99"/>
    <w:unhideWhenUsed/>
    <w:rsid w:val="00EB4D53"/>
    <w:pPr>
      <w:spacing w:after="0"/>
    </w:pPr>
  </w:style>
  <w:style w:type="paragraph" w:customStyle="1" w:styleId="Pa1">
    <w:name w:val="Pa1"/>
    <w:basedOn w:val="Default"/>
    <w:next w:val="Default"/>
    <w:uiPriority w:val="99"/>
    <w:rsid w:val="00930453"/>
    <w:pPr>
      <w:spacing w:line="201" w:lineRule="atLeast"/>
    </w:pPr>
    <w:rPr>
      <w:rFonts w:ascii="Myriad Pro" w:hAnsi="Myriad Pro"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63760">
      <w:bodyDiv w:val="1"/>
      <w:marLeft w:val="0"/>
      <w:marRight w:val="0"/>
      <w:marTop w:val="0"/>
      <w:marBottom w:val="0"/>
      <w:divBdr>
        <w:top w:val="none" w:sz="0" w:space="0" w:color="auto"/>
        <w:left w:val="none" w:sz="0" w:space="0" w:color="auto"/>
        <w:bottom w:val="none" w:sz="0" w:space="0" w:color="auto"/>
        <w:right w:val="none" w:sz="0" w:space="0" w:color="auto"/>
      </w:divBdr>
    </w:div>
    <w:div w:id="41908374">
      <w:bodyDiv w:val="1"/>
      <w:marLeft w:val="0"/>
      <w:marRight w:val="0"/>
      <w:marTop w:val="0"/>
      <w:marBottom w:val="0"/>
      <w:divBdr>
        <w:top w:val="none" w:sz="0" w:space="0" w:color="auto"/>
        <w:left w:val="none" w:sz="0" w:space="0" w:color="auto"/>
        <w:bottom w:val="none" w:sz="0" w:space="0" w:color="auto"/>
        <w:right w:val="none" w:sz="0" w:space="0" w:color="auto"/>
      </w:divBdr>
      <w:divsChild>
        <w:div w:id="995720632">
          <w:marLeft w:val="360"/>
          <w:marRight w:val="0"/>
          <w:marTop w:val="200"/>
          <w:marBottom w:val="0"/>
          <w:divBdr>
            <w:top w:val="none" w:sz="0" w:space="0" w:color="auto"/>
            <w:left w:val="none" w:sz="0" w:space="0" w:color="auto"/>
            <w:bottom w:val="none" w:sz="0" w:space="0" w:color="auto"/>
            <w:right w:val="none" w:sz="0" w:space="0" w:color="auto"/>
          </w:divBdr>
        </w:div>
        <w:div w:id="420033643">
          <w:marLeft w:val="360"/>
          <w:marRight w:val="0"/>
          <w:marTop w:val="200"/>
          <w:marBottom w:val="0"/>
          <w:divBdr>
            <w:top w:val="none" w:sz="0" w:space="0" w:color="auto"/>
            <w:left w:val="none" w:sz="0" w:space="0" w:color="auto"/>
            <w:bottom w:val="none" w:sz="0" w:space="0" w:color="auto"/>
            <w:right w:val="none" w:sz="0" w:space="0" w:color="auto"/>
          </w:divBdr>
        </w:div>
        <w:div w:id="343827665">
          <w:marLeft w:val="360"/>
          <w:marRight w:val="0"/>
          <w:marTop w:val="200"/>
          <w:marBottom w:val="0"/>
          <w:divBdr>
            <w:top w:val="none" w:sz="0" w:space="0" w:color="auto"/>
            <w:left w:val="none" w:sz="0" w:space="0" w:color="auto"/>
            <w:bottom w:val="none" w:sz="0" w:space="0" w:color="auto"/>
            <w:right w:val="none" w:sz="0" w:space="0" w:color="auto"/>
          </w:divBdr>
        </w:div>
        <w:div w:id="888417293">
          <w:marLeft w:val="360"/>
          <w:marRight w:val="0"/>
          <w:marTop w:val="200"/>
          <w:marBottom w:val="0"/>
          <w:divBdr>
            <w:top w:val="none" w:sz="0" w:space="0" w:color="auto"/>
            <w:left w:val="none" w:sz="0" w:space="0" w:color="auto"/>
            <w:bottom w:val="none" w:sz="0" w:space="0" w:color="auto"/>
            <w:right w:val="none" w:sz="0" w:space="0" w:color="auto"/>
          </w:divBdr>
        </w:div>
      </w:divsChild>
    </w:div>
    <w:div w:id="71784252">
      <w:bodyDiv w:val="1"/>
      <w:marLeft w:val="0"/>
      <w:marRight w:val="0"/>
      <w:marTop w:val="0"/>
      <w:marBottom w:val="0"/>
      <w:divBdr>
        <w:top w:val="none" w:sz="0" w:space="0" w:color="auto"/>
        <w:left w:val="none" w:sz="0" w:space="0" w:color="auto"/>
        <w:bottom w:val="none" w:sz="0" w:space="0" w:color="auto"/>
        <w:right w:val="none" w:sz="0" w:space="0" w:color="auto"/>
      </w:divBdr>
    </w:div>
    <w:div w:id="82385324">
      <w:bodyDiv w:val="1"/>
      <w:marLeft w:val="0"/>
      <w:marRight w:val="0"/>
      <w:marTop w:val="0"/>
      <w:marBottom w:val="0"/>
      <w:divBdr>
        <w:top w:val="none" w:sz="0" w:space="0" w:color="auto"/>
        <w:left w:val="none" w:sz="0" w:space="0" w:color="auto"/>
        <w:bottom w:val="none" w:sz="0" w:space="0" w:color="auto"/>
        <w:right w:val="none" w:sz="0" w:space="0" w:color="auto"/>
      </w:divBdr>
      <w:divsChild>
        <w:div w:id="2127582261">
          <w:marLeft w:val="360"/>
          <w:marRight w:val="0"/>
          <w:marTop w:val="200"/>
          <w:marBottom w:val="0"/>
          <w:divBdr>
            <w:top w:val="none" w:sz="0" w:space="0" w:color="auto"/>
            <w:left w:val="none" w:sz="0" w:space="0" w:color="auto"/>
            <w:bottom w:val="none" w:sz="0" w:space="0" w:color="auto"/>
            <w:right w:val="none" w:sz="0" w:space="0" w:color="auto"/>
          </w:divBdr>
        </w:div>
      </w:divsChild>
    </w:div>
    <w:div w:id="89198935">
      <w:bodyDiv w:val="1"/>
      <w:marLeft w:val="0"/>
      <w:marRight w:val="0"/>
      <w:marTop w:val="0"/>
      <w:marBottom w:val="0"/>
      <w:divBdr>
        <w:top w:val="none" w:sz="0" w:space="0" w:color="auto"/>
        <w:left w:val="none" w:sz="0" w:space="0" w:color="auto"/>
        <w:bottom w:val="none" w:sz="0" w:space="0" w:color="auto"/>
        <w:right w:val="none" w:sz="0" w:space="0" w:color="auto"/>
      </w:divBdr>
    </w:div>
    <w:div w:id="99834050">
      <w:bodyDiv w:val="1"/>
      <w:marLeft w:val="0"/>
      <w:marRight w:val="0"/>
      <w:marTop w:val="0"/>
      <w:marBottom w:val="0"/>
      <w:divBdr>
        <w:top w:val="none" w:sz="0" w:space="0" w:color="auto"/>
        <w:left w:val="none" w:sz="0" w:space="0" w:color="auto"/>
        <w:bottom w:val="none" w:sz="0" w:space="0" w:color="auto"/>
        <w:right w:val="none" w:sz="0" w:space="0" w:color="auto"/>
      </w:divBdr>
      <w:divsChild>
        <w:div w:id="1639263725">
          <w:marLeft w:val="0"/>
          <w:marRight w:val="0"/>
          <w:marTop w:val="0"/>
          <w:marBottom w:val="0"/>
          <w:divBdr>
            <w:top w:val="none" w:sz="0" w:space="0" w:color="auto"/>
            <w:left w:val="none" w:sz="0" w:space="0" w:color="auto"/>
            <w:bottom w:val="none" w:sz="0" w:space="0" w:color="auto"/>
            <w:right w:val="none" w:sz="0" w:space="0" w:color="auto"/>
          </w:divBdr>
        </w:div>
        <w:div w:id="2361423">
          <w:marLeft w:val="0"/>
          <w:marRight w:val="0"/>
          <w:marTop w:val="0"/>
          <w:marBottom w:val="0"/>
          <w:divBdr>
            <w:top w:val="none" w:sz="0" w:space="0" w:color="auto"/>
            <w:left w:val="none" w:sz="0" w:space="0" w:color="auto"/>
            <w:bottom w:val="none" w:sz="0" w:space="0" w:color="auto"/>
            <w:right w:val="none" w:sz="0" w:space="0" w:color="auto"/>
          </w:divBdr>
        </w:div>
        <w:div w:id="1253708661">
          <w:marLeft w:val="0"/>
          <w:marRight w:val="0"/>
          <w:marTop w:val="0"/>
          <w:marBottom w:val="0"/>
          <w:divBdr>
            <w:top w:val="none" w:sz="0" w:space="0" w:color="auto"/>
            <w:left w:val="none" w:sz="0" w:space="0" w:color="auto"/>
            <w:bottom w:val="none" w:sz="0" w:space="0" w:color="auto"/>
            <w:right w:val="none" w:sz="0" w:space="0" w:color="auto"/>
          </w:divBdr>
        </w:div>
      </w:divsChild>
    </w:div>
    <w:div w:id="118378795">
      <w:bodyDiv w:val="1"/>
      <w:marLeft w:val="0"/>
      <w:marRight w:val="0"/>
      <w:marTop w:val="0"/>
      <w:marBottom w:val="0"/>
      <w:divBdr>
        <w:top w:val="none" w:sz="0" w:space="0" w:color="auto"/>
        <w:left w:val="none" w:sz="0" w:space="0" w:color="auto"/>
        <w:bottom w:val="none" w:sz="0" w:space="0" w:color="auto"/>
        <w:right w:val="none" w:sz="0" w:space="0" w:color="auto"/>
      </w:divBdr>
    </w:div>
    <w:div w:id="168567404">
      <w:bodyDiv w:val="1"/>
      <w:marLeft w:val="0"/>
      <w:marRight w:val="0"/>
      <w:marTop w:val="0"/>
      <w:marBottom w:val="0"/>
      <w:divBdr>
        <w:top w:val="none" w:sz="0" w:space="0" w:color="auto"/>
        <w:left w:val="none" w:sz="0" w:space="0" w:color="auto"/>
        <w:bottom w:val="none" w:sz="0" w:space="0" w:color="auto"/>
        <w:right w:val="none" w:sz="0" w:space="0" w:color="auto"/>
      </w:divBdr>
    </w:div>
    <w:div w:id="211968720">
      <w:bodyDiv w:val="1"/>
      <w:marLeft w:val="0"/>
      <w:marRight w:val="0"/>
      <w:marTop w:val="0"/>
      <w:marBottom w:val="0"/>
      <w:divBdr>
        <w:top w:val="none" w:sz="0" w:space="0" w:color="auto"/>
        <w:left w:val="none" w:sz="0" w:space="0" w:color="auto"/>
        <w:bottom w:val="none" w:sz="0" w:space="0" w:color="auto"/>
        <w:right w:val="none" w:sz="0" w:space="0" w:color="auto"/>
      </w:divBdr>
    </w:div>
    <w:div w:id="222907414">
      <w:bodyDiv w:val="1"/>
      <w:marLeft w:val="0"/>
      <w:marRight w:val="0"/>
      <w:marTop w:val="0"/>
      <w:marBottom w:val="0"/>
      <w:divBdr>
        <w:top w:val="none" w:sz="0" w:space="0" w:color="auto"/>
        <w:left w:val="none" w:sz="0" w:space="0" w:color="auto"/>
        <w:bottom w:val="none" w:sz="0" w:space="0" w:color="auto"/>
        <w:right w:val="none" w:sz="0" w:space="0" w:color="auto"/>
      </w:divBdr>
    </w:div>
    <w:div w:id="317880746">
      <w:bodyDiv w:val="1"/>
      <w:marLeft w:val="0"/>
      <w:marRight w:val="0"/>
      <w:marTop w:val="0"/>
      <w:marBottom w:val="0"/>
      <w:divBdr>
        <w:top w:val="none" w:sz="0" w:space="0" w:color="auto"/>
        <w:left w:val="none" w:sz="0" w:space="0" w:color="auto"/>
        <w:bottom w:val="none" w:sz="0" w:space="0" w:color="auto"/>
        <w:right w:val="none" w:sz="0" w:space="0" w:color="auto"/>
      </w:divBdr>
      <w:divsChild>
        <w:div w:id="1093550539">
          <w:marLeft w:val="0"/>
          <w:marRight w:val="1"/>
          <w:marTop w:val="0"/>
          <w:marBottom w:val="0"/>
          <w:divBdr>
            <w:top w:val="none" w:sz="0" w:space="0" w:color="auto"/>
            <w:left w:val="none" w:sz="0" w:space="0" w:color="auto"/>
            <w:bottom w:val="none" w:sz="0" w:space="0" w:color="auto"/>
            <w:right w:val="none" w:sz="0" w:space="0" w:color="auto"/>
          </w:divBdr>
          <w:divsChild>
            <w:div w:id="1245994542">
              <w:marLeft w:val="0"/>
              <w:marRight w:val="0"/>
              <w:marTop w:val="0"/>
              <w:marBottom w:val="0"/>
              <w:divBdr>
                <w:top w:val="none" w:sz="0" w:space="0" w:color="auto"/>
                <w:left w:val="none" w:sz="0" w:space="0" w:color="auto"/>
                <w:bottom w:val="none" w:sz="0" w:space="0" w:color="auto"/>
                <w:right w:val="none" w:sz="0" w:space="0" w:color="auto"/>
              </w:divBdr>
              <w:divsChild>
                <w:div w:id="549801598">
                  <w:marLeft w:val="0"/>
                  <w:marRight w:val="1"/>
                  <w:marTop w:val="0"/>
                  <w:marBottom w:val="0"/>
                  <w:divBdr>
                    <w:top w:val="none" w:sz="0" w:space="0" w:color="auto"/>
                    <w:left w:val="none" w:sz="0" w:space="0" w:color="auto"/>
                    <w:bottom w:val="none" w:sz="0" w:space="0" w:color="auto"/>
                    <w:right w:val="none" w:sz="0" w:space="0" w:color="auto"/>
                  </w:divBdr>
                  <w:divsChild>
                    <w:div w:id="608708762">
                      <w:marLeft w:val="0"/>
                      <w:marRight w:val="0"/>
                      <w:marTop w:val="0"/>
                      <w:marBottom w:val="0"/>
                      <w:divBdr>
                        <w:top w:val="none" w:sz="0" w:space="0" w:color="auto"/>
                        <w:left w:val="none" w:sz="0" w:space="0" w:color="auto"/>
                        <w:bottom w:val="none" w:sz="0" w:space="0" w:color="auto"/>
                        <w:right w:val="none" w:sz="0" w:space="0" w:color="auto"/>
                      </w:divBdr>
                      <w:divsChild>
                        <w:div w:id="482044362">
                          <w:marLeft w:val="0"/>
                          <w:marRight w:val="0"/>
                          <w:marTop w:val="0"/>
                          <w:marBottom w:val="0"/>
                          <w:divBdr>
                            <w:top w:val="none" w:sz="0" w:space="0" w:color="auto"/>
                            <w:left w:val="none" w:sz="0" w:space="0" w:color="auto"/>
                            <w:bottom w:val="none" w:sz="0" w:space="0" w:color="auto"/>
                            <w:right w:val="none" w:sz="0" w:space="0" w:color="auto"/>
                          </w:divBdr>
                          <w:divsChild>
                            <w:div w:id="533348998">
                              <w:marLeft w:val="0"/>
                              <w:marRight w:val="0"/>
                              <w:marTop w:val="120"/>
                              <w:marBottom w:val="360"/>
                              <w:divBdr>
                                <w:top w:val="none" w:sz="0" w:space="0" w:color="auto"/>
                                <w:left w:val="none" w:sz="0" w:space="0" w:color="auto"/>
                                <w:bottom w:val="none" w:sz="0" w:space="0" w:color="auto"/>
                                <w:right w:val="none" w:sz="0" w:space="0" w:color="auto"/>
                              </w:divBdr>
                              <w:divsChild>
                                <w:div w:id="1688671483">
                                  <w:marLeft w:val="0"/>
                                  <w:marRight w:val="0"/>
                                  <w:marTop w:val="0"/>
                                  <w:marBottom w:val="0"/>
                                  <w:divBdr>
                                    <w:top w:val="none" w:sz="0" w:space="0" w:color="auto"/>
                                    <w:left w:val="none" w:sz="0" w:space="0" w:color="auto"/>
                                    <w:bottom w:val="none" w:sz="0" w:space="0" w:color="auto"/>
                                    <w:right w:val="none" w:sz="0" w:space="0" w:color="auto"/>
                                  </w:divBdr>
                                </w:div>
                                <w:div w:id="189703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0763041">
      <w:bodyDiv w:val="1"/>
      <w:marLeft w:val="0"/>
      <w:marRight w:val="0"/>
      <w:marTop w:val="0"/>
      <w:marBottom w:val="0"/>
      <w:divBdr>
        <w:top w:val="none" w:sz="0" w:space="0" w:color="auto"/>
        <w:left w:val="none" w:sz="0" w:space="0" w:color="auto"/>
        <w:bottom w:val="none" w:sz="0" w:space="0" w:color="auto"/>
        <w:right w:val="none" w:sz="0" w:space="0" w:color="auto"/>
      </w:divBdr>
      <w:divsChild>
        <w:div w:id="80418539">
          <w:marLeft w:val="0"/>
          <w:marRight w:val="0"/>
          <w:marTop w:val="0"/>
          <w:marBottom w:val="0"/>
          <w:divBdr>
            <w:top w:val="none" w:sz="0" w:space="0" w:color="auto"/>
            <w:left w:val="none" w:sz="0" w:space="0" w:color="auto"/>
            <w:bottom w:val="none" w:sz="0" w:space="0" w:color="auto"/>
            <w:right w:val="none" w:sz="0" w:space="0" w:color="auto"/>
          </w:divBdr>
        </w:div>
        <w:div w:id="869950364">
          <w:marLeft w:val="0"/>
          <w:marRight w:val="0"/>
          <w:marTop w:val="0"/>
          <w:marBottom w:val="0"/>
          <w:divBdr>
            <w:top w:val="none" w:sz="0" w:space="0" w:color="auto"/>
            <w:left w:val="none" w:sz="0" w:space="0" w:color="auto"/>
            <w:bottom w:val="none" w:sz="0" w:space="0" w:color="auto"/>
            <w:right w:val="none" w:sz="0" w:space="0" w:color="auto"/>
          </w:divBdr>
        </w:div>
        <w:div w:id="1787237097">
          <w:marLeft w:val="0"/>
          <w:marRight w:val="0"/>
          <w:marTop w:val="0"/>
          <w:marBottom w:val="0"/>
          <w:divBdr>
            <w:top w:val="none" w:sz="0" w:space="0" w:color="auto"/>
            <w:left w:val="none" w:sz="0" w:space="0" w:color="auto"/>
            <w:bottom w:val="none" w:sz="0" w:space="0" w:color="auto"/>
            <w:right w:val="none" w:sz="0" w:space="0" w:color="auto"/>
          </w:divBdr>
        </w:div>
      </w:divsChild>
    </w:div>
    <w:div w:id="358043509">
      <w:bodyDiv w:val="1"/>
      <w:marLeft w:val="0"/>
      <w:marRight w:val="0"/>
      <w:marTop w:val="0"/>
      <w:marBottom w:val="0"/>
      <w:divBdr>
        <w:top w:val="none" w:sz="0" w:space="0" w:color="auto"/>
        <w:left w:val="none" w:sz="0" w:space="0" w:color="auto"/>
        <w:bottom w:val="none" w:sz="0" w:space="0" w:color="auto"/>
        <w:right w:val="none" w:sz="0" w:space="0" w:color="auto"/>
      </w:divBdr>
    </w:div>
    <w:div w:id="358167198">
      <w:bodyDiv w:val="1"/>
      <w:marLeft w:val="0"/>
      <w:marRight w:val="0"/>
      <w:marTop w:val="0"/>
      <w:marBottom w:val="0"/>
      <w:divBdr>
        <w:top w:val="none" w:sz="0" w:space="0" w:color="auto"/>
        <w:left w:val="none" w:sz="0" w:space="0" w:color="auto"/>
        <w:bottom w:val="none" w:sz="0" w:space="0" w:color="auto"/>
        <w:right w:val="none" w:sz="0" w:space="0" w:color="auto"/>
      </w:divBdr>
    </w:div>
    <w:div w:id="363870591">
      <w:bodyDiv w:val="1"/>
      <w:marLeft w:val="0"/>
      <w:marRight w:val="0"/>
      <w:marTop w:val="0"/>
      <w:marBottom w:val="0"/>
      <w:divBdr>
        <w:top w:val="none" w:sz="0" w:space="0" w:color="auto"/>
        <w:left w:val="none" w:sz="0" w:space="0" w:color="auto"/>
        <w:bottom w:val="none" w:sz="0" w:space="0" w:color="auto"/>
        <w:right w:val="none" w:sz="0" w:space="0" w:color="auto"/>
      </w:divBdr>
    </w:div>
    <w:div w:id="368335122">
      <w:bodyDiv w:val="1"/>
      <w:marLeft w:val="0"/>
      <w:marRight w:val="0"/>
      <w:marTop w:val="0"/>
      <w:marBottom w:val="0"/>
      <w:divBdr>
        <w:top w:val="none" w:sz="0" w:space="0" w:color="auto"/>
        <w:left w:val="none" w:sz="0" w:space="0" w:color="auto"/>
        <w:bottom w:val="none" w:sz="0" w:space="0" w:color="auto"/>
        <w:right w:val="none" w:sz="0" w:space="0" w:color="auto"/>
      </w:divBdr>
      <w:divsChild>
        <w:div w:id="1145584774">
          <w:marLeft w:val="0"/>
          <w:marRight w:val="0"/>
          <w:marTop w:val="280"/>
          <w:marBottom w:val="280"/>
          <w:divBdr>
            <w:top w:val="none" w:sz="0" w:space="0" w:color="auto"/>
            <w:left w:val="none" w:sz="0" w:space="0" w:color="auto"/>
            <w:bottom w:val="none" w:sz="0" w:space="0" w:color="auto"/>
            <w:right w:val="none" w:sz="0" w:space="0" w:color="auto"/>
          </w:divBdr>
        </w:div>
        <w:div w:id="1987011428">
          <w:marLeft w:val="0"/>
          <w:marRight w:val="0"/>
          <w:marTop w:val="280"/>
          <w:marBottom w:val="280"/>
          <w:divBdr>
            <w:top w:val="none" w:sz="0" w:space="0" w:color="auto"/>
            <w:left w:val="none" w:sz="0" w:space="0" w:color="auto"/>
            <w:bottom w:val="none" w:sz="0" w:space="0" w:color="auto"/>
            <w:right w:val="none" w:sz="0" w:space="0" w:color="auto"/>
          </w:divBdr>
        </w:div>
      </w:divsChild>
    </w:div>
    <w:div w:id="373893811">
      <w:bodyDiv w:val="1"/>
      <w:marLeft w:val="0"/>
      <w:marRight w:val="0"/>
      <w:marTop w:val="0"/>
      <w:marBottom w:val="0"/>
      <w:divBdr>
        <w:top w:val="none" w:sz="0" w:space="0" w:color="auto"/>
        <w:left w:val="none" w:sz="0" w:space="0" w:color="auto"/>
        <w:bottom w:val="none" w:sz="0" w:space="0" w:color="auto"/>
        <w:right w:val="none" w:sz="0" w:space="0" w:color="auto"/>
      </w:divBdr>
    </w:div>
    <w:div w:id="375089217">
      <w:bodyDiv w:val="1"/>
      <w:marLeft w:val="0"/>
      <w:marRight w:val="0"/>
      <w:marTop w:val="0"/>
      <w:marBottom w:val="0"/>
      <w:divBdr>
        <w:top w:val="none" w:sz="0" w:space="0" w:color="auto"/>
        <w:left w:val="none" w:sz="0" w:space="0" w:color="auto"/>
        <w:bottom w:val="none" w:sz="0" w:space="0" w:color="auto"/>
        <w:right w:val="none" w:sz="0" w:space="0" w:color="auto"/>
      </w:divBdr>
    </w:div>
    <w:div w:id="377900347">
      <w:bodyDiv w:val="1"/>
      <w:marLeft w:val="0"/>
      <w:marRight w:val="0"/>
      <w:marTop w:val="0"/>
      <w:marBottom w:val="0"/>
      <w:divBdr>
        <w:top w:val="none" w:sz="0" w:space="0" w:color="auto"/>
        <w:left w:val="none" w:sz="0" w:space="0" w:color="auto"/>
        <w:bottom w:val="none" w:sz="0" w:space="0" w:color="auto"/>
        <w:right w:val="none" w:sz="0" w:space="0" w:color="auto"/>
      </w:divBdr>
      <w:divsChild>
        <w:div w:id="855121647">
          <w:marLeft w:val="0"/>
          <w:marRight w:val="0"/>
          <w:marTop w:val="280"/>
          <w:marBottom w:val="280"/>
          <w:divBdr>
            <w:top w:val="none" w:sz="0" w:space="0" w:color="auto"/>
            <w:left w:val="none" w:sz="0" w:space="0" w:color="auto"/>
            <w:bottom w:val="none" w:sz="0" w:space="0" w:color="auto"/>
            <w:right w:val="none" w:sz="0" w:space="0" w:color="auto"/>
          </w:divBdr>
        </w:div>
        <w:div w:id="993413252">
          <w:marLeft w:val="0"/>
          <w:marRight w:val="0"/>
          <w:marTop w:val="280"/>
          <w:marBottom w:val="280"/>
          <w:divBdr>
            <w:top w:val="none" w:sz="0" w:space="0" w:color="auto"/>
            <w:left w:val="none" w:sz="0" w:space="0" w:color="auto"/>
            <w:bottom w:val="none" w:sz="0" w:space="0" w:color="auto"/>
            <w:right w:val="none" w:sz="0" w:space="0" w:color="auto"/>
          </w:divBdr>
        </w:div>
        <w:div w:id="1058435238">
          <w:marLeft w:val="0"/>
          <w:marRight w:val="0"/>
          <w:marTop w:val="280"/>
          <w:marBottom w:val="280"/>
          <w:divBdr>
            <w:top w:val="none" w:sz="0" w:space="0" w:color="auto"/>
            <w:left w:val="none" w:sz="0" w:space="0" w:color="auto"/>
            <w:bottom w:val="none" w:sz="0" w:space="0" w:color="auto"/>
            <w:right w:val="none" w:sz="0" w:space="0" w:color="auto"/>
          </w:divBdr>
        </w:div>
      </w:divsChild>
    </w:div>
    <w:div w:id="382757000">
      <w:bodyDiv w:val="1"/>
      <w:marLeft w:val="0"/>
      <w:marRight w:val="0"/>
      <w:marTop w:val="0"/>
      <w:marBottom w:val="0"/>
      <w:divBdr>
        <w:top w:val="none" w:sz="0" w:space="0" w:color="auto"/>
        <w:left w:val="none" w:sz="0" w:space="0" w:color="auto"/>
        <w:bottom w:val="none" w:sz="0" w:space="0" w:color="auto"/>
        <w:right w:val="none" w:sz="0" w:space="0" w:color="auto"/>
      </w:divBdr>
      <w:divsChild>
        <w:div w:id="1053819551">
          <w:marLeft w:val="547"/>
          <w:marRight w:val="0"/>
          <w:marTop w:val="0"/>
          <w:marBottom w:val="0"/>
          <w:divBdr>
            <w:top w:val="none" w:sz="0" w:space="0" w:color="auto"/>
            <w:left w:val="none" w:sz="0" w:space="0" w:color="auto"/>
            <w:bottom w:val="none" w:sz="0" w:space="0" w:color="auto"/>
            <w:right w:val="none" w:sz="0" w:space="0" w:color="auto"/>
          </w:divBdr>
        </w:div>
      </w:divsChild>
    </w:div>
    <w:div w:id="383141786">
      <w:bodyDiv w:val="1"/>
      <w:marLeft w:val="0"/>
      <w:marRight w:val="0"/>
      <w:marTop w:val="0"/>
      <w:marBottom w:val="0"/>
      <w:divBdr>
        <w:top w:val="none" w:sz="0" w:space="0" w:color="auto"/>
        <w:left w:val="none" w:sz="0" w:space="0" w:color="auto"/>
        <w:bottom w:val="none" w:sz="0" w:space="0" w:color="auto"/>
        <w:right w:val="none" w:sz="0" w:space="0" w:color="auto"/>
      </w:divBdr>
    </w:div>
    <w:div w:id="384565514">
      <w:bodyDiv w:val="1"/>
      <w:marLeft w:val="0"/>
      <w:marRight w:val="0"/>
      <w:marTop w:val="0"/>
      <w:marBottom w:val="0"/>
      <w:divBdr>
        <w:top w:val="none" w:sz="0" w:space="0" w:color="auto"/>
        <w:left w:val="none" w:sz="0" w:space="0" w:color="auto"/>
        <w:bottom w:val="none" w:sz="0" w:space="0" w:color="auto"/>
        <w:right w:val="none" w:sz="0" w:space="0" w:color="auto"/>
      </w:divBdr>
    </w:div>
    <w:div w:id="439304550">
      <w:bodyDiv w:val="1"/>
      <w:marLeft w:val="0"/>
      <w:marRight w:val="0"/>
      <w:marTop w:val="0"/>
      <w:marBottom w:val="0"/>
      <w:divBdr>
        <w:top w:val="none" w:sz="0" w:space="0" w:color="auto"/>
        <w:left w:val="none" w:sz="0" w:space="0" w:color="auto"/>
        <w:bottom w:val="none" w:sz="0" w:space="0" w:color="auto"/>
        <w:right w:val="none" w:sz="0" w:space="0" w:color="auto"/>
      </w:divBdr>
    </w:div>
    <w:div w:id="475151408">
      <w:bodyDiv w:val="1"/>
      <w:marLeft w:val="0"/>
      <w:marRight w:val="0"/>
      <w:marTop w:val="0"/>
      <w:marBottom w:val="0"/>
      <w:divBdr>
        <w:top w:val="none" w:sz="0" w:space="0" w:color="auto"/>
        <w:left w:val="none" w:sz="0" w:space="0" w:color="auto"/>
        <w:bottom w:val="none" w:sz="0" w:space="0" w:color="auto"/>
        <w:right w:val="none" w:sz="0" w:space="0" w:color="auto"/>
      </w:divBdr>
    </w:div>
    <w:div w:id="479199442">
      <w:bodyDiv w:val="1"/>
      <w:marLeft w:val="0"/>
      <w:marRight w:val="0"/>
      <w:marTop w:val="0"/>
      <w:marBottom w:val="0"/>
      <w:divBdr>
        <w:top w:val="none" w:sz="0" w:space="0" w:color="auto"/>
        <w:left w:val="none" w:sz="0" w:space="0" w:color="auto"/>
        <w:bottom w:val="none" w:sz="0" w:space="0" w:color="auto"/>
        <w:right w:val="none" w:sz="0" w:space="0" w:color="auto"/>
      </w:divBdr>
    </w:div>
    <w:div w:id="520432876">
      <w:bodyDiv w:val="1"/>
      <w:marLeft w:val="0"/>
      <w:marRight w:val="0"/>
      <w:marTop w:val="0"/>
      <w:marBottom w:val="0"/>
      <w:divBdr>
        <w:top w:val="none" w:sz="0" w:space="0" w:color="auto"/>
        <w:left w:val="none" w:sz="0" w:space="0" w:color="auto"/>
        <w:bottom w:val="none" w:sz="0" w:space="0" w:color="auto"/>
        <w:right w:val="none" w:sz="0" w:space="0" w:color="auto"/>
      </w:divBdr>
    </w:div>
    <w:div w:id="529997203">
      <w:bodyDiv w:val="1"/>
      <w:marLeft w:val="0"/>
      <w:marRight w:val="0"/>
      <w:marTop w:val="0"/>
      <w:marBottom w:val="0"/>
      <w:divBdr>
        <w:top w:val="none" w:sz="0" w:space="0" w:color="auto"/>
        <w:left w:val="none" w:sz="0" w:space="0" w:color="auto"/>
        <w:bottom w:val="none" w:sz="0" w:space="0" w:color="auto"/>
        <w:right w:val="none" w:sz="0" w:space="0" w:color="auto"/>
      </w:divBdr>
    </w:div>
    <w:div w:id="533076901">
      <w:bodyDiv w:val="1"/>
      <w:marLeft w:val="0"/>
      <w:marRight w:val="0"/>
      <w:marTop w:val="0"/>
      <w:marBottom w:val="0"/>
      <w:divBdr>
        <w:top w:val="none" w:sz="0" w:space="0" w:color="auto"/>
        <w:left w:val="none" w:sz="0" w:space="0" w:color="auto"/>
        <w:bottom w:val="none" w:sz="0" w:space="0" w:color="auto"/>
        <w:right w:val="none" w:sz="0" w:space="0" w:color="auto"/>
      </w:divBdr>
    </w:div>
    <w:div w:id="539826618">
      <w:bodyDiv w:val="1"/>
      <w:marLeft w:val="0"/>
      <w:marRight w:val="0"/>
      <w:marTop w:val="0"/>
      <w:marBottom w:val="0"/>
      <w:divBdr>
        <w:top w:val="none" w:sz="0" w:space="0" w:color="auto"/>
        <w:left w:val="none" w:sz="0" w:space="0" w:color="auto"/>
        <w:bottom w:val="none" w:sz="0" w:space="0" w:color="auto"/>
        <w:right w:val="none" w:sz="0" w:space="0" w:color="auto"/>
      </w:divBdr>
    </w:div>
    <w:div w:id="547641844">
      <w:bodyDiv w:val="1"/>
      <w:marLeft w:val="0"/>
      <w:marRight w:val="0"/>
      <w:marTop w:val="0"/>
      <w:marBottom w:val="0"/>
      <w:divBdr>
        <w:top w:val="none" w:sz="0" w:space="0" w:color="auto"/>
        <w:left w:val="none" w:sz="0" w:space="0" w:color="auto"/>
        <w:bottom w:val="none" w:sz="0" w:space="0" w:color="auto"/>
        <w:right w:val="none" w:sz="0" w:space="0" w:color="auto"/>
      </w:divBdr>
    </w:div>
    <w:div w:id="583345764">
      <w:bodyDiv w:val="1"/>
      <w:marLeft w:val="0"/>
      <w:marRight w:val="0"/>
      <w:marTop w:val="0"/>
      <w:marBottom w:val="0"/>
      <w:divBdr>
        <w:top w:val="none" w:sz="0" w:space="0" w:color="auto"/>
        <w:left w:val="none" w:sz="0" w:space="0" w:color="auto"/>
        <w:bottom w:val="none" w:sz="0" w:space="0" w:color="auto"/>
        <w:right w:val="none" w:sz="0" w:space="0" w:color="auto"/>
      </w:divBdr>
      <w:divsChild>
        <w:div w:id="438061467">
          <w:marLeft w:val="360"/>
          <w:marRight w:val="0"/>
          <w:marTop w:val="200"/>
          <w:marBottom w:val="0"/>
          <w:divBdr>
            <w:top w:val="none" w:sz="0" w:space="0" w:color="auto"/>
            <w:left w:val="none" w:sz="0" w:space="0" w:color="auto"/>
            <w:bottom w:val="none" w:sz="0" w:space="0" w:color="auto"/>
            <w:right w:val="none" w:sz="0" w:space="0" w:color="auto"/>
          </w:divBdr>
        </w:div>
        <w:div w:id="1658143229">
          <w:marLeft w:val="360"/>
          <w:marRight w:val="0"/>
          <w:marTop w:val="200"/>
          <w:marBottom w:val="0"/>
          <w:divBdr>
            <w:top w:val="none" w:sz="0" w:space="0" w:color="auto"/>
            <w:left w:val="none" w:sz="0" w:space="0" w:color="auto"/>
            <w:bottom w:val="none" w:sz="0" w:space="0" w:color="auto"/>
            <w:right w:val="none" w:sz="0" w:space="0" w:color="auto"/>
          </w:divBdr>
        </w:div>
        <w:div w:id="1839225774">
          <w:marLeft w:val="360"/>
          <w:marRight w:val="0"/>
          <w:marTop w:val="200"/>
          <w:marBottom w:val="0"/>
          <w:divBdr>
            <w:top w:val="none" w:sz="0" w:space="0" w:color="auto"/>
            <w:left w:val="none" w:sz="0" w:space="0" w:color="auto"/>
            <w:bottom w:val="none" w:sz="0" w:space="0" w:color="auto"/>
            <w:right w:val="none" w:sz="0" w:space="0" w:color="auto"/>
          </w:divBdr>
        </w:div>
        <w:div w:id="1855724367">
          <w:marLeft w:val="360"/>
          <w:marRight w:val="0"/>
          <w:marTop w:val="200"/>
          <w:marBottom w:val="0"/>
          <w:divBdr>
            <w:top w:val="none" w:sz="0" w:space="0" w:color="auto"/>
            <w:left w:val="none" w:sz="0" w:space="0" w:color="auto"/>
            <w:bottom w:val="none" w:sz="0" w:space="0" w:color="auto"/>
            <w:right w:val="none" w:sz="0" w:space="0" w:color="auto"/>
          </w:divBdr>
        </w:div>
      </w:divsChild>
    </w:div>
    <w:div w:id="598485308">
      <w:bodyDiv w:val="1"/>
      <w:marLeft w:val="0"/>
      <w:marRight w:val="0"/>
      <w:marTop w:val="0"/>
      <w:marBottom w:val="0"/>
      <w:divBdr>
        <w:top w:val="none" w:sz="0" w:space="0" w:color="auto"/>
        <w:left w:val="none" w:sz="0" w:space="0" w:color="auto"/>
        <w:bottom w:val="none" w:sz="0" w:space="0" w:color="auto"/>
        <w:right w:val="none" w:sz="0" w:space="0" w:color="auto"/>
      </w:divBdr>
      <w:divsChild>
        <w:div w:id="946885418">
          <w:marLeft w:val="0"/>
          <w:marRight w:val="0"/>
          <w:marTop w:val="0"/>
          <w:marBottom w:val="0"/>
          <w:divBdr>
            <w:top w:val="none" w:sz="0" w:space="0" w:color="auto"/>
            <w:left w:val="none" w:sz="0" w:space="0" w:color="auto"/>
            <w:bottom w:val="none" w:sz="0" w:space="0" w:color="auto"/>
            <w:right w:val="none" w:sz="0" w:space="0" w:color="auto"/>
          </w:divBdr>
        </w:div>
        <w:div w:id="530605661">
          <w:marLeft w:val="0"/>
          <w:marRight w:val="0"/>
          <w:marTop w:val="0"/>
          <w:marBottom w:val="0"/>
          <w:divBdr>
            <w:top w:val="none" w:sz="0" w:space="0" w:color="auto"/>
            <w:left w:val="none" w:sz="0" w:space="0" w:color="auto"/>
            <w:bottom w:val="none" w:sz="0" w:space="0" w:color="auto"/>
            <w:right w:val="none" w:sz="0" w:space="0" w:color="auto"/>
          </w:divBdr>
        </w:div>
      </w:divsChild>
    </w:div>
    <w:div w:id="636031357">
      <w:bodyDiv w:val="1"/>
      <w:marLeft w:val="0"/>
      <w:marRight w:val="0"/>
      <w:marTop w:val="0"/>
      <w:marBottom w:val="0"/>
      <w:divBdr>
        <w:top w:val="none" w:sz="0" w:space="0" w:color="auto"/>
        <w:left w:val="none" w:sz="0" w:space="0" w:color="auto"/>
        <w:bottom w:val="none" w:sz="0" w:space="0" w:color="auto"/>
        <w:right w:val="none" w:sz="0" w:space="0" w:color="auto"/>
      </w:divBdr>
    </w:div>
    <w:div w:id="654645220">
      <w:bodyDiv w:val="1"/>
      <w:marLeft w:val="0"/>
      <w:marRight w:val="0"/>
      <w:marTop w:val="0"/>
      <w:marBottom w:val="0"/>
      <w:divBdr>
        <w:top w:val="none" w:sz="0" w:space="0" w:color="auto"/>
        <w:left w:val="none" w:sz="0" w:space="0" w:color="auto"/>
        <w:bottom w:val="none" w:sz="0" w:space="0" w:color="auto"/>
        <w:right w:val="none" w:sz="0" w:space="0" w:color="auto"/>
      </w:divBdr>
      <w:divsChild>
        <w:div w:id="192160084">
          <w:marLeft w:val="0"/>
          <w:marRight w:val="75"/>
          <w:marTop w:val="0"/>
          <w:marBottom w:val="120"/>
          <w:divBdr>
            <w:top w:val="none" w:sz="0" w:space="0" w:color="auto"/>
            <w:left w:val="none" w:sz="0" w:space="0" w:color="auto"/>
            <w:bottom w:val="none" w:sz="0" w:space="0" w:color="auto"/>
            <w:right w:val="none" w:sz="0" w:space="0" w:color="auto"/>
          </w:divBdr>
        </w:div>
        <w:div w:id="1663582396">
          <w:marLeft w:val="0"/>
          <w:marRight w:val="0"/>
          <w:marTop w:val="0"/>
          <w:marBottom w:val="225"/>
          <w:divBdr>
            <w:top w:val="none" w:sz="0" w:space="0" w:color="auto"/>
            <w:left w:val="none" w:sz="0" w:space="0" w:color="auto"/>
            <w:bottom w:val="none" w:sz="0" w:space="0" w:color="auto"/>
            <w:right w:val="none" w:sz="0" w:space="0" w:color="auto"/>
          </w:divBdr>
          <w:divsChild>
            <w:div w:id="914626494">
              <w:marLeft w:val="0"/>
              <w:marRight w:val="0"/>
              <w:marTop w:val="150"/>
              <w:marBottom w:val="150"/>
              <w:divBdr>
                <w:top w:val="none" w:sz="0" w:space="0" w:color="auto"/>
                <w:left w:val="none" w:sz="0" w:space="0" w:color="auto"/>
                <w:bottom w:val="none" w:sz="0" w:space="0" w:color="auto"/>
                <w:right w:val="none" w:sz="0" w:space="0" w:color="auto"/>
              </w:divBdr>
            </w:div>
          </w:divsChild>
        </w:div>
        <w:div w:id="2082871309">
          <w:marLeft w:val="0"/>
          <w:marRight w:val="0"/>
          <w:marTop w:val="0"/>
          <w:marBottom w:val="180"/>
          <w:divBdr>
            <w:top w:val="none" w:sz="0" w:space="0" w:color="auto"/>
            <w:left w:val="none" w:sz="0" w:space="0" w:color="auto"/>
            <w:bottom w:val="none" w:sz="0" w:space="0" w:color="auto"/>
            <w:right w:val="none" w:sz="0" w:space="0" w:color="auto"/>
          </w:divBdr>
        </w:div>
      </w:divsChild>
    </w:div>
    <w:div w:id="669915508">
      <w:bodyDiv w:val="1"/>
      <w:marLeft w:val="0"/>
      <w:marRight w:val="0"/>
      <w:marTop w:val="0"/>
      <w:marBottom w:val="0"/>
      <w:divBdr>
        <w:top w:val="none" w:sz="0" w:space="0" w:color="auto"/>
        <w:left w:val="none" w:sz="0" w:space="0" w:color="auto"/>
        <w:bottom w:val="none" w:sz="0" w:space="0" w:color="auto"/>
        <w:right w:val="none" w:sz="0" w:space="0" w:color="auto"/>
      </w:divBdr>
    </w:div>
    <w:div w:id="677342741">
      <w:bodyDiv w:val="1"/>
      <w:marLeft w:val="0"/>
      <w:marRight w:val="0"/>
      <w:marTop w:val="0"/>
      <w:marBottom w:val="0"/>
      <w:divBdr>
        <w:top w:val="none" w:sz="0" w:space="0" w:color="auto"/>
        <w:left w:val="none" w:sz="0" w:space="0" w:color="auto"/>
        <w:bottom w:val="none" w:sz="0" w:space="0" w:color="auto"/>
        <w:right w:val="none" w:sz="0" w:space="0" w:color="auto"/>
      </w:divBdr>
    </w:div>
    <w:div w:id="705176518">
      <w:bodyDiv w:val="1"/>
      <w:marLeft w:val="0"/>
      <w:marRight w:val="0"/>
      <w:marTop w:val="0"/>
      <w:marBottom w:val="0"/>
      <w:divBdr>
        <w:top w:val="none" w:sz="0" w:space="0" w:color="auto"/>
        <w:left w:val="none" w:sz="0" w:space="0" w:color="auto"/>
        <w:bottom w:val="none" w:sz="0" w:space="0" w:color="auto"/>
        <w:right w:val="none" w:sz="0" w:space="0" w:color="auto"/>
      </w:divBdr>
      <w:divsChild>
        <w:div w:id="172963397">
          <w:marLeft w:val="0"/>
          <w:marRight w:val="0"/>
          <w:marTop w:val="0"/>
          <w:marBottom w:val="0"/>
          <w:divBdr>
            <w:top w:val="none" w:sz="0" w:space="0" w:color="auto"/>
            <w:left w:val="none" w:sz="0" w:space="0" w:color="auto"/>
            <w:bottom w:val="none" w:sz="0" w:space="0" w:color="auto"/>
            <w:right w:val="none" w:sz="0" w:space="0" w:color="auto"/>
          </w:divBdr>
          <w:divsChild>
            <w:div w:id="292175863">
              <w:marLeft w:val="0"/>
              <w:marRight w:val="0"/>
              <w:marTop w:val="0"/>
              <w:marBottom w:val="0"/>
              <w:divBdr>
                <w:top w:val="none" w:sz="0" w:space="0" w:color="auto"/>
                <w:left w:val="none" w:sz="0" w:space="0" w:color="auto"/>
                <w:bottom w:val="none" w:sz="0" w:space="0" w:color="auto"/>
                <w:right w:val="none" w:sz="0" w:space="0" w:color="auto"/>
              </w:divBdr>
              <w:divsChild>
                <w:div w:id="1150026959">
                  <w:marLeft w:val="0"/>
                  <w:marRight w:val="0"/>
                  <w:marTop w:val="0"/>
                  <w:marBottom w:val="0"/>
                  <w:divBdr>
                    <w:top w:val="none" w:sz="0" w:space="0" w:color="auto"/>
                    <w:left w:val="none" w:sz="0" w:space="0" w:color="auto"/>
                    <w:bottom w:val="none" w:sz="0" w:space="0" w:color="auto"/>
                    <w:right w:val="none" w:sz="0" w:space="0" w:color="auto"/>
                  </w:divBdr>
                  <w:divsChild>
                    <w:div w:id="2030061598">
                      <w:marLeft w:val="0"/>
                      <w:marRight w:val="0"/>
                      <w:marTop w:val="0"/>
                      <w:marBottom w:val="75"/>
                      <w:divBdr>
                        <w:top w:val="none" w:sz="0" w:space="0" w:color="auto"/>
                        <w:left w:val="none" w:sz="0" w:space="0" w:color="auto"/>
                        <w:bottom w:val="none" w:sz="0" w:space="0" w:color="auto"/>
                        <w:right w:val="none" w:sz="0" w:space="0" w:color="auto"/>
                      </w:divBdr>
                      <w:divsChild>
                        <w:div w:id="74765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7630291">
      <w:bodyDiv w:val="1"/>
      <w:marLeft w:val="0"/>
      <w:marRight w:val="0"/>
      <w:marTop w:val="0"/>
      <w:marBottom w:val="0"/>
      <w:divBdr>
        <w:top w:val="none" w:sz="0" w:space="0" w:color="auto"/>
        <w:left w:val="none" w:sz="0" w:space="0" w:color="auto"/>
        <w:bottom w:val="none" w:sz="0" w:space="0" w:color="auto"/>
        <w:right w:val="none" w:sz="0" w:space="0" w:color="auto"/>
      </w:divBdr>
    </w:div>
    <w:div w:id="726031642">
      <w:bodyDiv w:val="1"/>
      <w:marLeft w:val="0"/>
      <w:marRight w:val="0"/>
      <w:marTop w:val="0"/>
      <w:marBottom w:val="0"/>
      <w:divBdr>
        <w:top w:val="none" w:sz="0" w:space="0" w:color="auto"/>
        <w:left w:val="none" w:sz="0" w:space="0" w:color="auto"/>
        <w:bottom w:val="none" w:sz="0" w:space="0" w:color="auto"/>
        <w:right w:val="none" w:sz="0" w:space="0" w:color="auto"/>
      </w:divBdr>
    </w:div>
    <w:div w:id="735010881">
      <w:bodyDiv w:val="1"/>
      <w:marLeft w:val="0"/>
      <w:marRight w:val="0"/>
      <w:marTop w:val="0"/>
      <w:marBottom w:val="0"/>
      <w:divBdr>
        <w:top w:val="none" w:sz="0" w:space="0" w:color="auto"/>
        <w:left w:val="none" w:sz="0" w:space="0" w:color="auto"/>
        <w:bottom w:val="none" w:sz="0" w:space="0" w:color="auto"/>
        <w:right w:val="none" w:sz="0" w:space="0" w:color="auto"/>
      </w:divBdr>
      <w:divsChild>
        <w:div w:id="74980165">
          <w:marLeft w:val="0"/>
          <w:marRight w:val="0"/>
          <w:marTop w:val="0"/>
          <w:marBottom w:val="150"/>
          <w:divBdr>
            <w:top w:val="none" w:sz="0" w:space="0" w:color="auto"/>
            <w:left w:val="none" w:sz="0" w:space="0" w:color="auto"/>
            <w:bottom w:val="none" w:sz="0" w:space="0" w:color="auto"/>
            <w:right w:val="none" w:sz="0" w:space="0" w:color="auto"/>
          </w:divBdr>
        </w:div>
        <w:div w:id="2006660410">
          <w:marLeft w:val="0"/>
          <w:marRight w:val="0"/>
          <w:marTop w:val="0"/>
          <w:marBottom w:val="150"/>
          <w:divBdr>
            <w:top w:val="none" w:sz="0" w:space="0" w:color="auto"/>
            <w:left w:val="none" w:sz="0" w:space="0" w:color="auto"/>
            <w:bottom w:val="none" w:sz="0" w:space="0" w:color="auto"/>
            <w:right w:val="none" w:sz="0" w:space="0" w:color="auto"/>
          </w:divBdr>
        </w:div>
      </w:divsChild>
    </w:div>
    <w:div w:id="739137252">
      <w:bodyDiv w:val="1"/>
      <w:marLeft w:val="0"/>
      <w:marRight w:val="0"/>
      <w:marTop w:val="0"/>
      <w:marBottom w:val="0"/>
      <w:divBdr>
        <w:top w:val="none" w:sz="0" w:space="0" w:color="auto"/>
        <w:left w:val="none" w:sz="0" w:space="0" w:color="auto"/>
        <w:bottom w:val="none" w:sz="0" w:space="0" w:color="auto"/>
        <w:right w:val="none" w:sz="0" w:space="0" w:color="auto"/>
      </w:divBdr>
      <w:divsChild>
        <w:div w:id="935867595">
          <w:marLeft w:val="360"/>
          <w:marRight w:val="0"/>
          <w:marTop w:val="200"/>
          <w:marBottom w:val="0"/>
          <w:divBdr>
            <w:top w:val="none" w:sz="0" w:space="0" w:color="auto"/>
            <w:left w:val="none" w:sz="0" w:space="0" w:color="auto"/>
            <w:bottom w:val="none" w:sz="0" w:space="0" w:color="auto"/>
            <w:right w:val="none" w:sz="0" w:space="0" w:color="auto"/>
          </w:divBdr>
        </w:div>
        <w:div w:id="2120100773">
          <w:marLeft w:val="360"/>
          <w:marRight w:val="0"/>
          <w:marTop w:val="200"/>
          <w:marBottom w:val="0"/>
          <w:divBdr>
            <w:top w:val="none" w:sz="0" w:space="0" w:color="auto"/>
            <w:left w:val="none" w:sz="0" w:space="0" w:color="auto"/>
            <w:bottom w:val="none" w:sz="0" w:space="0" w:color="auto"/>
            <w:right w:val="none" w:sz="0" w:space="0" w:color="auto"/>
          </w:divBdr>
        </w:div>
        <w:div w:id="302006374">
          <w:marLeft w:val="360"/>
          <w:marRight w:val="0"/>
          <w:marTop w:val="200"/>
          <w:marBottom w:val="0"/>
          <w:divBdr>
            <w:top w:val="none" w:sz="0" w:space="0" w:color="auto"/>
            <w:left w:val="none" w:sz="0" w:space="0" w:color="auto"/>
            <w:bottom w:val="none" w:sz="0" w:space="0" w:color="auto"/>
            <w:right w:val="none" w:sz="0" w:space="0" w:color="auto"/>
          </w:divBdr>
        </w:div>
        <w:div w:id="1764229656">
          <w:marLeft w:val="360"/>
          <w:marRight w:val="0"/>
          <w:marTop w:val="200"/>
          <w:marBottom w:val="0"/>
          <w:divBdr>
            <w:top w:val="none" w:sz="0" w:space="0" w:color="auto"/>
            <w:left w:val="none" w:sz="0" w:space="0" w:color="auto"/>
            <w:bottom w:val="none" w:sz="0" w:space="0" w:color="auto"/>
            <w:right w:val="none" w:sz="0" w:space="0" w:color="auto"/>
          </w:divBdr>
        </w:div>
        <w:div w:id="1926184542">
          <w:marLeft w:val="360"/>
          <w:marRight w:val="0"/>
          <w:marTop w:val="200"/>
          <w:marBottom w:val="0"/>
          <w:divBdr>
            <w:top w:val="none" w:sz="0" w:space="0" w:color="auto"/>
            <w:left w:val="none" w:sz="0" w:space="0" w:color="auto"/>
            <w:bottom w:val="none" w:sz="0" w:space="0" w:color="auto"/>
            <w:right w:val="none" w:sz="0" w:space="0" w:color="auto"/>
          </w:divBdr>
        </w:div>
      </w:divsChild>
    </w:div>
    <w:div w:id="784009687">
      <w:bodyDiv w:val="1"/>
      <w:marLeft w:val="0"/>
      <w:marRight w:val="0"/>
      <w:marTop w:val="0"/>
      <w:marBottom w:val="0"/>
      <w:divBdr>
        <w:top w:val="none" w:sz="0" w:space="0" w:color="auto"/>
        <w:left w:val="none" w:sz="0" w:space="0" w:color="auto"/>
        <w:bottom w:val="none" w:sz="0" w:space="0" w:color="auto"/>
        <w:right w:val="none" w:sz="0" w:space="0" w:color="auto"/>
      </w:divBdr>
    </w:div>
    <w:div w:id="787892820">
      <w:bodyDiv w:val="1"/>
      <w:marLeft w:val="0"/>
      <w:marRight w:val="0"/>
      <w:marTop w:val="0"/>
      <w:marBottom w:val="0"/>
      <w:divBdr>
        <w:top w:val="none" w:sz="0" w:space="0" w:color="auto"/>
        <w:left w:val="none" w:sz="0" w:space="0" w:color="auto"/>
        <w:bottom w:val="none" w:sz="0" w:space="0" w:color="auto"/>
        <w:right w:val="none" w:sz="0" w:space="0" w:color="auto"/>
      </w:divBdr>
      <w:divsChild>
        <w:div w:id="1124814765">
          <w:marLeft w:val="0"/>
          <w:marRight w:val="0"/>
          <w:marTop w:val="0"/>
          <w:marBottom w:val="0"/>
          <w:divBdr>
            <w:top w:val="none" w:sz="0" w:space="0" w:color="auto"/>
            <w:left w:val="none" w:sz="0" w:space="0" w:color="auto"/>
            <w:bottom w:val="none" w:sz="0" w:space="0" w:color="auto"/>
            <w:right w:val="none" w:sz="0" w:space="0" w:color="auto"/>
          </w:divBdr>
          <w:divsChild>
            <w:div w:id="1142389467">
              <w:marLeft w:val="0"/>
              <w:marRight w:val="0"/>
              <w:marTop w:val="0"/>
              <w:marBottom w:val="0"/>
              <w:divBdr>
                <w:top w:val="none" w:sz="0" w:space="0" w:color="auto"/>
                <w:left w:val="none" w:sz="0" w:space="0" w:color="auto"/>
                <w:bottom w:val="none" w:sz="0" w:space="0" w:color="auto"/>
                <w:right w:val="none" w:sz="0" w:space="0" w:color="auto"/>
              </w:divBdr>
              <w:divsChild>
                <w:div w:id="536088786">
                  <w:marLeft w:val="0"/>
                  <w:marRight w:val="0"/>
                  <w:marTop w:val="0"/>
                  <w:marBottom w:val="0"/>
                  <w:divBdr>
                    <w:top w:val="none" w:sz="0" w:space="0" w:color="auto"/>
                    <w:left w:val="none" w:sz="0" w:space="0" w:color="auto"/>
                    <w:bottom w:val="none" w:sz="0" w:space="0" w:color="auto"/>
                    <w:right w:val="none" w:sz="0" w:space="0" w:color="auto"/>
                  </w:divBdr>
                  <w:divsChild>
                    <w:div w:id="683047895">
                      <w:marLeft w:val="0"/>
                      <w:marRight w:val="0"/>
                      <w:marTop w:val="0"/>
                      <w:marBottom w:val="75"/>
                      <w:divBdr>
                        <w:top w:val="none" w:sz="0" w:space="0" w:color="auto"/>
                        <w:left w:val="none" w:sz="0" w:space="0" w:color="auto"/>
                        <w:bottom w:val="none" w:sz="0" w:space="0" w:color="auto"/>
                        <w:right w:val="none" w:sz="0" w:space="0" w:color="auto"/>
                      </w:divBdr>
                      <w:divsChild>
                        <w:div w:id="176679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579744">
      <w:bodyDiv w:val="1"/>
      <w:marLeft w:val="0"/>
      <w:marRight w:val="0"/>
      <w:marTop w:val="0"/>
      <w:marBottom w:val="0"/>
      <w:divBdr>
        <w:top w:val="none" w:sz="0" w:space="0" w:color="auto"/>
        <w:left w:val="none" w:sz="0" w:space="0" w:color="auto"/>
        <w:bottom w:val="none" w:sz="0" w:space="0" w:color="auto"/>
        <w:right w:val="none" w:sz="0" w:space="0" w:color="auto"/>
      </w:divBdr>
    </w:div>
    <w:div w:id="818544917">
      <w:bodyDiv w:val="1"/>
      <w:marLeft w:val="0"/>
      <w:marRight w:val="0"/>
      <w:marTop w:val="0"/>
      <w:marBottom w:val="0"/>
      <w:divBdr>
        <w:top w:val="none" w:sz="0" w:space="0" w:color="auto"/>
        <w:left w:val="none" w:sz="0" w:space="0" w:color="auto"/>
        <w:bottom w:val="none" w:sz="0" w:space="0" w:color="auto"/>
        <w:right w:val="none" w:sz="0" w:space="0" w:color="auto"/>
      </w:divBdr>
      <w:divsChild>
        <w:div w:id="1882939470">
          <w:marLeft w:val="360"/>
          <w:marRight w:val="0"/>
          <w:marTop w:val="200"/>
          <w:marBottom w:val="0"/>
          <w:divBdr>
            <w:top w:val="none" w:sz="0" w:space="0" w:color="auto"/>
            <w:left w:val="none" w:sz="0" w:space="0" w:color="auto"/>
            <w:bottom w:val="none" w:sz="0" w:space="0" w:color="auto"/>
            <w:right w:val="none" w:sz="0" w:space="0" w:color="auto"/>
          </w:divBdr>
        </w:div>
      </w:divsChild>
    </w:div>
    <w:div w:id="835994263">
      <w:bodyDiv w:val="1"/>
      <w:marLeft w:val="0"/>
      <w:marRight w:val="0"/>
      <w:marTop w:val="0"/>
      <w:marBottom w:val="0"/>
      <w:divBdr>
        <w:top w:val="none" w:sz="0" w:space="0" w:color="auto"/>
        <w:left w:val="none" w:sz="0" w:space="0" w:color="auto"/>
        <w:bottom w:val="none" w:sz="0" w:space="0" w:color="auto"/>
        <w:right w:val="none" w:sz="0" w:space="0" w:color="auto"/>
      </w:divBdr>
    </w:div>
    <w:div w:id="847673083">
      <w:bodyDiv w:val="1"/>
      <w:marLeft w:val="0"/>
      <w:marRight w:val="0"/>
      <w:marTop w:val="0"/>
      <w:marBottom w:val="0"/>
      <w:divBdr>
        <w:top w:val="none" w:sz="0" w:space="0" w:color="auto"/>
        <w:left w:val="none" w:sz="0" w:space="0" w:color="auto"/>
        <w:bottom w:val="none" w:sz="0" w:space="0" w:color="auto"/>
        <w:right w:val="none" w:sz="0" w:space="0" w:color="auto"/>
      </w:divBdr>
      <w:divsChild>
        <w:div w:id="1908228229">
          <w:marLeft w:val="0"/>
          <w:marRight w:val="0"/>
          <w:marTop w:val="0"/>
          <w:marBottom w:val="0"/>
          <w:divBdr>
            <w:top w:val="none" w:sz="0" w:space="0" w:color="auto"/>
            <w:left w:val="none" w:sz="0" w:space="0" w:color="auto"/>
            <w:bottom w:val="none" w:sz="0" w:space="0" w:color="auto"/>
            <w:right w:val="none" w:sz="0" w:space="0" w:color="auto"/>
          </w:divBdr>
        </w:div>
        <w:div w:id="1043335994">
          <w:marLeft w:val="0"/>
          <w:marRight w:val="0"/>
          <w:marTop w:val="0"/>
          <w:marBottom w:val="0"/>
          <w:divBdr>
            <w:top w:val="none" w:sz="0" w:space="0" w:color="auto"/>
            <w:left w:val="none" w:sz="0" w:space="0" w:color="auto"/>
            <w:bottom w:val="none" w:sz="0" w:space="0" w:color="auto"/>
            <w:right w:val="none" w:sz="0" w:space="0" w:color="auto"/>
          </w:divBdr>
        </w:div>
      </w:divsChild>
    </w:div>
    <w:div w:id="874580718">
      <w:bodyDiv w:val="1"/>
      <w:marLeft w:val="0"/>
      <w:marRight w:val="0"/>
      <w:marTop w:val="0"/>
      <w:marBottom w:val="0"/>
      <w:divBdr>
        <w:top w:val="none" w:sz="0" w:space="0" w:color="auto"/>
        <w:left w:val="none" w:sz="0" w:space="0" w:color="auto"/>
        <w:bottom w:val="none" w:sz="0" w:space="0" w:color="auto"/>
        <w:right w:val="none" w:sz="0" w:space="0" w:color="auto"/>
      </w:divBdr>
    </w:div>
    <w:div w:id="896092690">
      <w:bodyDiv w:val="1"/>
      <w:marLeft w:val="0"/>
      <w:marRight w:val="0"/>
      <w:marTop w:val="0"/>
      <w:marBottom w:val="0"/>
      <w:divBdr>
        <w:top w:val="none" w:sz="0" w:space="0" w:color="auto"/>
        <w:left w:val="none" w:sz="0" w:space="0" w:color="auto"/>
        <w:bottom w:val="none" w:sz="0" w:space="0" w:color="auto"/>
        <w:right w:val="none" w:sz="0" w:space="0" w:color="auto"/>
      </w:divBdr>
    </w:div>
    <w:div w:id="910503412">
      <w:bodyDiv w:val="1"/>
      <w:marLeft w:val="0"/>
      <w:marRight w:val="0"/>
      <w:marTop w:val="0"/>
      <w:marBottom w:val="0"/>
      <w:divBdr>
        <w:top w:val="none" w:sz="0" w:space="0" w:color="auto"/>
        <w:left w:val="none" w:sz="0" w:space="0" w:color="auto"/>
        <w:bottom w:val="none" w:sz="0" w:space="0" w:color="auto"/>
        <w:right w:val="none" w:sz="0" w:space="0" w:color="auto"/>
      </w:divBdr>
    </w:div>
    <w:div w:id="925379635">
      <w:bodyDiv w:val="1"/>
      <w:marLeft w:val="0"/>
      <w:marRight w:val="0"/>
      <w:marTop w:val="0"/>
      <w:marBottom w:val="0"/>
      <w:divBdr>
        <w:top w:val="none" w:sz="0" w:space="0" w:color="auto"/>
        <w:left w:val="none" w:sz="0" w:space="0" w:color="auto"/>
        <w:bottom w:val="none" w:sz="0" w:space="0" w:color="auto"/>
        <w:right w:val="none" w:sz="0" w:space="0" w:color="auto"/>
      </w:divBdr>
    </w:div>
    <w:div w:id="954948184">
      <w:bodyDiv w:val="1"/>
      <w:marLeft w:val="0"/>
      <w:marRight w:val="0"/>
      <w:marTop w:val="0"/>
      <w:marBottom w:val="0"/>
      <w:divBdr>
        <w:top w:val="none" w:sz="0" w:space="0" w:color="auto"/>
        <w:left w:val="none" w:sz="0" w:space="0" w:color="auto"/>
        <w:bottom w:val="none" w:sz="0" w:space="0" w:color="auto"/>
        <w:right w:val="none" w:sz="0" w:space="0" w:color="auto"/>
      </w:divBdr>
      <w:divsChild>
        <w:div w:id="1597638363">
          <w:marLeft w:val="547"/>
          <w:marRight w:val="0"/>
          <w:marTop w:val="134"/>
          <w:marBottom w:val="0"/>
          <w:divBdr>
            <w:top w:val="none" w:sz="0" w:space="0" w:color="auto"/>
            <w:left w:val="none" w:sz="0" w:space="0" w:color="auto"/>
            <w:bottom w:val="none" w:sz="0" w:space="0" w:color="auto"/>
            <w:right w:val="none" w:sz="0" w:space="0" w:color="auto"/>
          </w:divBdr>
        </w:div>
        <w:div w:id="41754794">
          <w:marLeft w:val="547"/>
          <w:marRight w:val="0"/>
          <w:marTop w:val="134"/>
          <w:marBottom w:val="0"/>
          <w:divBdr>
            <w:top w:val="none" w:sz="0" w:space="0" w:color="auto"/>
            <w:left w:val="none" w:sz="0" w:space="0" w:color="auto"/>
            <w:bottom w:val="none" w:sz="0" w:space="0" w:color="auto"/>
            <w:right w:val="none" w:sz="0" w:space="0" w:color="auto"/>
          </w:divBdr>
        </w:div>
      </w:divsChild>
    </w:div>
    <w:div w:id="993335164">
      <w:bodyDiv w:val="1"/>
      <w:marLeft w:val="0"/>
      <w:marRight w:val="0"/>
      <w:marTop w:val="0"/>
      <w:marBottom w:val="0"/>
      <w:divBdr>
        <w:top w:val="none" w:sz="0" w:space="0" w:color="auto"/>
        <w:left w:val="none" w:sz="0" w:space="0" w:color="auto"/>
        <w:bottom w:val="none" w:sz="0" w:space="0" w:color="auto"/>
        <w:right w:val="none" w:sz="0" w:space="0" w:color="auto"/>
      </w:divBdr>
      <w:divsChild>
        <w:div w:id="1390809554">
          <w:marLeft w:val="0"/>
          <w:marRight w:val="0"/>
          <w:marTop w:val="400"/>
          <w:marBottom w:val="400"/>
          <w:divBdr>
            <w:top w:val="none" w:sz="0" w:space="0" w:color="auto"/>
            <w:left w:val="none" w:sz="0" w:space="0" w:color="auto"/>
            <w:bottom w:val="none" w:sz="0" w:space="0" w:color="auto"/>
            <w:right w:val="none" w:sz="0" w:space="0" w:color="auto"/>
          </w:divBdr>
          <w:divsChild>
            <w:div w:id="1283347898">
              <w:marLeft w:val="0"/>
              <w:marRight w:val="0"/>
              <w:marTop w:val="200"/>
              <w:marBottom w:val="200"/>
              <w:divBdr>
                <w:top w:val="none" w:sz="0" w:space="0" w:color="auto"/>
                <w:left w:val="none" w:sz="0" w:space="0" w:color="auto"/>
                <w:bottom w:val="none" w:sz="0" w:space="0" w:color="auto"/>
                <w:right w:val="none" w:sz="0" w:space="0" w:color="auto"/>
              </w:divBdr>
            </w:div>
          </w:divsChild>
        </w:div>
      </w:divsChild>
    </w:div>
    <w:div w:id="1027024851">
      <w:bodyDiv w:val="1"/>
      <w:marLeft w:val="0"/>
      <w:marRight w:val="0"/>
      <w:marTop w:val="0"/>
      <w:marBottom w:val="0"/>
      <w:divBdr>
        <w:top w:val="none" w:sz="0" w:space="0" w:color="auto"/>
        <w:left w:val="none" w:sz="0" w:space="0" w:color="auto"/>
        <w:bottom w:val="none" w:sz="0" w:space="0" w:color="auto"/>
        <w:right w:val="none" w:sz="0" w:space="0" w:color="auto"/>
      </w:divBdr>
    </w:div>
    <w:div w:id="1071006550">
      <w:bodyDiv w:val="1"/>
      <w:marLeft w:val="0"/>
      <w:marRight w:val="0"/>
      <w:marTop w:val="0"/>
      <w:marBottom w:val="0"/>
      <w:divBdr>
        <w:top w:val="none" w:sz="0" w:space="0" w:color="auto"/>
        <w:left w:val="none" w:sz="0" w:space="0" w:color="auto"/>
        <w:bottom w:val="none" w:sz="0" w:space="0" w:color="auto"/>
        <w:right w:val="none" w:sz="0" w:space="0" w:color="auto"/>
      </w:divBdr>
      <w:divsChild>
        <w:div w:id="941382013">
          <w:marLeft w:val="547"/>
          <w:marRight w:val="0"/>
          <w:marTop w:val="0"/>
          <w:marBottom w:val="0"/>
          <w:divBdr>
            <w:top w:val="none" w:sz="0" w:space="0" w:color="auto"/>
            <w:left w:val="none" w:sz="0" w:space="0" w:color="auto"/>
            <w:bottom w:val="none" w:sz="0" w:space="0" w:color="auto"/>
            <w:right w:val="none" w:sz="0" w:space="0" w:color="auto"/>
          </w:divBdr>
        </w:div>
      </w:divsChild>
    </w:div>
    <w:div w:id="1075665302">
      <w:bodyDiv w:val="1"/>
      <w:marLeft w:val="0"/>
      <w:marRight w:val="0"/>
      <w:marTop w:val="0"/>
      <w:marBottom w:val="0"/>
      <w:divBdr>
        <w:top w:val="none" w:sz="0" w:space="0" w:color="auto"/>
        <w:left w:val="none" w:sz="0" w:space="0" w:color="auto"/>
        <w:bottom w:val="none" w:sz="0" w:space="0" w:color="auto"/>
        <w:right w:val="none" w:sz="0" w:space="0" w:color="auto"/>
      </w:divBdr>
    </w:div>
    <w:div w:id="1081869908">
      <w:bodyDiv w:val="1"/>
      <w:marLeft w:val="0"/>
      <w:marRight w:val="0"/>
      <w:marTop w:val="0"/>
      <w:marBottom w:val="0"/>
      <w:divBdr>
        <w:top w:val="none" w:sz="0" w:space="0" w:color="auto"/>
        <w:left w:val="none" w:sz="0" w:space="0" w:color="auto"/>
        <w:bottom w:val="none" w:sz="0" w:space="0" w:color="auto"/>
        <w:right w:val="none" w:sz="0" w:space="0" w:color="auto"/>
      </w:divBdr>
    </w:div>
    <w:div w:id="1090588484">
      <w:bodyDiv w:val="1"/>
      <w:marLeft w:val="0"/>
      <w:marRight w:val="0"/>
      <w:marTop w:val="0"/>
      <w:marBottom w:val="0"/>
      <w:divBdr>
        <w:top w:val="none" w:sz="0" w:space="0" w:color="auto"/>
        <w:left w:val="none" w:sz="0" w:space="0" w:color="auto"/>
        <w:bottom w:val="none" w:sz="0" w:space="0" w:color="auto"/>
        <w:right w:val="none" w:sz="0" w:space="0" w:color="auto"/>
      </w:divBdr>
      <w:divsChild>
        <w:div w:id="1272976197">
          <w:marLeft w:val="0"/>
          <w:marRight w:val="0"/>
          <w:marTop w:val="0"/>
          <w:marBottom w:val="0"/>
          <w:divBdr>
            <w:top w:val="none" w:sz="0" w:space="0" w:color="auto"/>
            <w:left w:val="none" w:sz="0" w:space="0" w:color="auto"/>
            <w:bottom w:val="none" w:sz="0" w:space="0" w:color="auto"/>
            <w:right w:val="none" w:sz="0" w:space="0" w:color="auto"/>
          </w:divBdr>
        </w:div>
        <w:div w:id="992298933">
          <w:marLeft w:val="0"/>
          <w:marRight w:val="0"/>
          <w:marTop w:val="0"/>
          <w:marBottom w:val="0"/>
          <w:divBdr>
            <w:top w:val="none" w:sz="0" w:space="0" w:color="auto"/>
            <w:left w:val="none" w:sz="0" w:space="0" w:color="auto"/>
            <w:bottom w:val="none" w:sz="0" w:space="0" w:color="auto"/>
            <w:right w:val="none" w:sz="0" w:space="0" w:color="auto"/>
          </w:divBdr>
        </w:div>
        <w:div w:id="123617513">
          <w:marLeft w:val="0"/>
          <w:marRight w:val="0"/>
          <w:marTop w:val="0"/>
          <w:marBottom w:val="0"/>
          <w:divBdr>
            <w:top w:val="none" w:sz="0" w:space="0" w:color="auto"/>
            <w:left w:val="none" w:sz="0" w:space="0" w:color="auto"/>
            <w:bottom w:val="none" w:sz="0" w:space="0" w:color="auto"/>
            <w:right w:val="none" w:sz="0" w:space="0" w:color="auto"/>
          </w:divBdr>
        </w:div>
      </w:divsChild>
    </w:div>
    <w:div w:id="1150247303">
      <w:bodyDiv w:val="1"/>
      <w:marLeft w:val="0"/>
      <w:marRight w:val="0"/>
      <w:marTop w:val="0"/>
      <w:marBottom w:val="0"/>
      <w:divBdr>
        <w:top w:val="none" w:sz="0" w:space="0" w:color="auto"/>
        <w:left w:val="none" w:sz="0" w:space="0" w:color="auto"/>
        <w:bottom w:val="none" w:sz="0" w:space="0" w:color="auto"/>
        <w:right w:val="none" w:sz="0" w:space="0" w:color="auto"/>
      </w:divBdr>
      <w:divsChild>
        <w:div w:id="1974674141">
          <w:marLeft w:val="0"/>
          <w:marRight w:val="0"/>
          <w:marTop w:val="0"/>
          <w:marBottom w:val="0"/>
          <w:divBdr>
            <w:top w:val="none" w:sz="0" w:space="0" w:color="auto"/>
            <w:left w:val="none" w:sz="0" w:space="0" w:color="auto"/>
            <w:bottom w:val="none" w:sz="0" w:space="0" w:color="auto"/>
            <w:right w:val="none" w:sz="0" w:space="0" w:color="auto"/>
          </w:divBdr>
        </w:div>
        <w:div w:id="110713288">
          <w:marLeft w:val="0"/>
          <w:marRight w:val="0"/>
          <w:marTop w:val="0"/>
          <w:marBottom w:val="0"/>
          <w:divBdr>
            <w:top w:val="none" w:sz="0" w:space="0" w:color="auto"/>
            <w:left w:val="none" w:sz="0" w:space="0" w:color="auto"/>
            <w:bottom w:val="none" w:sz="0" w:space="0" w:color="auto"/>
            <w:right w:val="none" w:sz="0" w:space="0" w:color="auto"/>
          </w:divBdr>
        </w:div>
        <w:div w:id="1918973554">
          <w:marLeft w:val="0"/>
          <w:marRight w:val="0"/>
          <w:marTop w:val="0"/>
          <w:marBottom w:val="0"/>
          <w:divBdr>
            <w:top w:val="none" w:sz="0" w:space="0" w:color="auto"/>
            <w:left w:val="none" w:sz="0" w:space="0" w:color="auto"/>
            <w:bottom w:val="none" w:sz="0" w:space="0" w:color="auto"/>
            <w:right w:val="none" w:sz="0" w:space="0" w:color="auto"/>
          </w:divBdr>
        </w:div>
      </w:divsChild>
    </w:div>
    <w:div w:id="1152062226">
      <w:bodyDiv w:val="1"/>
      <w:marLeft w:val="0"/>
      <w:marRight w:val="0"/>
      <w:marTop w:val="0"/>
      <w:marBottom w:val="0"/>
      <w:divBdr>
        <w:top w:val="none" w:sz="0" w:space="0" w:color="auto"/>
        <w:left w:val="none" w:sz="0" w:space="0" w:color="auto"/>
        <w:bottom w:val="none" w:sz="0" w:space="0" w:color="auto"/>
        <w:right w:val="none" w:sz="0" w:space="0" w:color="auto"/>
      </w:divBdr>
      <w:divsChild>
        <w:div w:id="1369453488">
          <w:marLeft w:val="274"/>
          <w:marRight w:val="0"/>
          <w:marTop w:val="0"/>
          <w:marBottom w:val="0"/>
          <w:divBdr>
            <w:top w:val="none" w:sz="0" w:space="0" w:color="auto"/>
            <w:left w:val="none" w:sz="0" w:space="0" w:color="auto"/>
            <w:bottom w:val="none" w:sz="0" w:space="0" w:color="auto"/>
            <w:right w:val="none" w:sz="0" w:space="0" w:color="auto"/>
          </w:divBdr>
        </w:div>
        <w:div w:id="65690995">
          <w:marLeft w:val="274"/>
          <w:marRight w:val="0"/>
          <w:marTop w:val="0"/>
          <w:marBottom w:val="0"/>
          <w:divBdr>
            <w:top w:val="none" w:sz="0" w:space="0" w:color="auto"/>
            <w:left w:val="none" w:sz="0" w:space="0" w:color="auto"/>
            <w:bottom w:val="none" w:sz="0" w:space="0" w:color="auto"/>
            <w:right w:val="none" w:sz="0" w:space="0" w:color="auto"/>
          </w:divBdr>
        </w:div>
        <w:div w:id="1889798036">
          <w:marLeft w:val="274"/>
          <w:marRight w:val="0"/>
          <w:marTop w:val="0"/>
          <w:marBottom w:val="0"/>
          <w:divBdr>
            <w:top w:val="none" w:sz="0" w:space="0" w:color="auto"/>
            <w:left w:val="none" w:sz="0" w:space="0" w:color="auto"/>
            <w:bottom w:val="none" w:sz="0" w:space="0" w:color="auto"/>
            <w:right w:val="none" w:sz="0" w:space="0" w:color="auto"/>
          </w:divBdr>
        </w:div>
      </w:divsChild>
    </w:div>
    <w:div w:id="1159266958">
      <w:bodyDiv w:val="1"/>
      <w:marLeft w:val="0"/>
      <w:marRight w:val="0"/>
      <w:marTop w:val="0"/>
      <w:marBottom w:val="0"/>
      <w:divBdr>
        <w:top w:val="none" w:sz="0" w:space="0" w:color="auto"/>
        <w:left w:val="none" w:sz="0" w:space="0" w:color="auto"/>
        <w:bottom w:val="none" w:sz="0" w:space="0" w:color="auto"/>
        <w:right w:val="none" w:sz="0" w:space="0" w:color="auto"/>
      </w:divBdr>
      <w:divsChild>
        <w:div w:id="955407626">
          <w:marLeft w:val="0"/>
          <w:marRight w:val="0"/>
          <w:marTop w:val="0"/>
          <w:marBottom w:val="0"/>
          <w:divBdr>
            <w:top w:val="none" w:sz="0" w:space="0" w:color="auto"/>
            <w:left w:val="none" w:sz="0" w:space="0" w:color="auto"/>
            <w:bottom w:val="none" w:sz="0" w:space="0" w:color="auto"/>
            <w:right w:val="none" w:sz="0" w:space="0" w:color="auto"/>
          </w:divBdr>
          <w:divsChild>
            <w:div w:id="470287201">
              <w:marLeft w:val="0"/>
              <w:marRight w:val="0"/>
              <w:marTop w:val="0"/>
              <w:marBottom w:val="0"/>
              <w:divBdr>
                <w:top w:val="none" w:sz="0" w:space="0" w:color="auto"/>
                <w:left w:val="none" w:sz="0" w:space="0" w:color="auto"/>
                <w:bottom w:val="none" w:sz="0" w:space="0" w:color="auto"/>
                <w:right w:val="none" w:sz="0" w:space="0" w:color="auto"/>
              </w:divBdr>
            </w:div>
          </w:divsChild>
        </w:div>
        <w:div w:id="996418921">
          <w:marLeft w:val="0"/>
          <w:marRight w:val="0"/>
          <w:marTop w:val="0"/>
          <w:marBottom w:val="0"/>
          <w:divBdr>
            <w:top w:val="none" w:sz="0" w:space="0" w:color="auto"/>
            <w:left w:val="none" w:sz="0" w:space="0" w:color="auto"/>
            <w:bottom w:val="none" w:sz="0" w:space="0" w:color="auto"/>
            <w:right w:val="none" w:sz="0" w:space="0" w:color="auto"/>
          </w:divBdr>
          <w:divsChild>
            <w:div w:id="1009210032">
              <w:marLeft w:val="0"/>
              <w:marRight w:val="0"/>
              <w:marTop w:val="0"/>
              <w:marBottom w:val="0"/>
              <w:divBdr>
                <w:top w:val="none" w:sz="0" w:space="0" w:color="auto"/>
                <w:left w:val="none" w:sz="0" w:space="0" w:color="auto"/>
                <w:bottom w:val="none" w:sz="0" w:space="0" w:color="auto"/>
                <w:right w:val="none" w:sz="0" w:space="0" w:color="auto"/>
              </w:divBdr>
            </w:div>
          </w:divsChild>
        </w:div>
        <w:div w:id="1030182296">
          <w:marLeft w:val="0"/>
          <w:marRight w:val="0"/>
          <w:marTop w:val="0"/>
          <w:marBottom w:val="0"/>
          <w:divBdr>
            <w:top w:val="none" w:sz="0" w:space="0" w:color="auto"/>
            <w:left w:val="none" w:sz="0" w:space="0" w:color="auto"/>
            <w:bottom w:val="none" w:sz="0" w:space="0" w:color="auto"/>
            <w:right w:val="none" w:sz="0" w:space="0" w:color="auto"/>
          </w:divBdr>
          <w:divsChild>
            <w:div w:id="1363895014">
              <w:marLeft w:val="0"/>
              <w:marRight w:val="0"/>
              <w:marTop w:val="0"/>
              <w:marBottom w:val="0"/>
              <w:divBdr>
                <w:top w:val="none" w:sz="0" w:space="0" w:color="auto"/>
                <w:left w:val="none" w:sz="0" w:space="0" w:color="auto"/>
                <w:bottom w:val="none" w:sz="0" w:space="0" w:color="auto"/>
                <w:right w:val="none" w:sz="0" w:space="0" w:color="auto"/>
              </w:divBdr>
            </w:div>
          </w:divsChild>
        </w:div>
        <w:div w:id="2101026806">
          <w:marLeft w:val="0"/>
          <w:marRight w:val="0"/>
          <w:marTop w:val="0"/>
          <w:marBottom w:val="0"/>
          <w:divBdr>
            <w:top w:val="none" w:sz="0" w:space="0" w:color="auto"/>
            <w:left w:val="none" w:sz="0" w:space="0" w:color="auto"/>
            <w:bottom w:val="none" w:sz="0" w:space="0" w:color="auto"/>
            <w:right w:val="none" w:sz="0" w:space="0" w:color="auto"/>
          </w:divBdr>
          <w:divsChild>
            <w:div w:id="16704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90593">
      <w:bodyDiv w:val="1"/>
      <w:marLeft w:val="0"/>
      <w:marRight w:val="0"/>
      <w:marTop w:val="0"/>
      <w:marBottom w:val="0"/>
      <w:divBdr>
        <w:top w:val="none" w:sz="0" w:space="0" w:color="auto"/>
        <w:left w:val="none" w:sz="0" w:space="0" w:color="auto"/>
        <w:bottom w:val="none" w:sz="0" w:space="0" w:color="auto"/>
        <w:right w:val="none" w:sz="0" w:space="0" w:color="auto"/>
      </w:divBdr>
      <w:divsChild>
        <w:div w:id="110901868">
          <w:marLeft w:val="0"/>
          <w:marRight w:val="0"/>
          <w:marTop w:val="0"/>
          <w:marBottom w:val="0"/>
          <w:divBdr>
            <w:top w:val="none" w:sz="0" w:space="0" w:color="auto"/>
            <w:left w:val="none" w:sz="0" w:space="0" w:color="auto"/>
            <w:bottom w:val="none" w:sz="0" w:space="0" w:color="auto"/>
            <w:right w:val="none" w:sz="0" w:space="0" w:color="auto"/>
          </w:divBdr>
        </w:div>
        <w:div w:id="1328437019">
          <w:marLeft w:val="0"/>
          <w:marRight w:val="0"/>
          <w:marTop w:val="0"/>
          <w:marBottom w:val="0"/>
          <w:divBdr>
            <w:top w:val="none" w:sz="0" w:space="0" w:color="auto"/>
            <w:left w:val="none" w:sz="0" w:space="0" w:color="auto"/>
            <w:bottom w:val="none" w:sz="0" w:space="0" w:color="auto"/>
            <w:right w:val="none" w:sz="0" w:space="0" w:color="auto"/>
          </w:divBdr>
        </w:div>
      </w:divsChild>
    </w:div>
    <w:div w:id="1269778520">
      <w:bodyDiv w:val="1"/>
      <w:marLeft w:val="0"/>
      <w:marRight w:val="0"/>
      <w:marTop w:val="0"/>
      <w:marBottom w:val="0"/>
      <w:divBdr>
        <w:top w:val="none" w:sz="0" w:space="0" w:color="auto"/>
        <w:left w:val="none" w:sz="0" w:space="0" w:color="auto"/>
        <w:bottom w:val="none" w:sz="0" w:space="0" w:color="auto"/>
        <w:right w:val="none" w:sz="0" w:space="0" w:color="auto"/>
      </w:divBdr>
      <w:divsChild>
        <w:div w:id="23333034">
          <w:marLeft w:val="0"/>
          <w:marRight w:val="0"/>
          <w:marTop w:val="0"/>
          <w:marBottom w:val="0"/>
          <w:divBdr>
            <w:top w:val="none" w:sz="0" w:space="0" w:color="auto"/>
            <w:left w:val="none" w:sz="0" w:space="0" w:color="auto"/>
            <w:bottom w:val="none" w:sz="0" w:space="0" w:color="auto"/>
            <w:right w:val="none" w:sz="0" w:space="0" w:color="auto"/>
          </w:divBdr>
        </w:div>
        <w:div w:id="1802072505">
          <w:marLeft w:val="0"/>
          <w:marRight w:val="0"/>
          <w:marTop w:val="0"/>
          <w:marBottom w:val="0"/>
          <w:divBdr>
            <w:top w:val="none" w:sz="0" w:space="0" w:color="auto"/>
            <w:left w:val="none" w:sz="0" w:space="0" w:color="auto"/>
            <w:bottom w:val="none" w:sz="0" w:space="0" w:color="auto"/>
            <w:right w:val="none" w:sz="0" w:space="0" w:color="auto"/>
          </w:divBdr>
        </w:div>
        <w:div w:id="1913351508">
          <w:marLeft w:val="0"/>
          <w:marRight w:val="0"/>
          <w:marTop w:val="0"/>
          <w:marBottom w:val="0"/>
          <w:divBdr>
            <w:top w:val="none" w:sz="0" w:space="0" w:color="auto"/>
            <w:left w:val="none" w:sz="0" w:space="0" w:color="auto"/>
            <w:bottom w:val="none" w:sz="0" w:space="0" w:color="auto"/>
            <w:right w:val="none" w:sz="0" w:space="0" w:color="auto"/>
          </w:divBdr>
        </w:div>
      </w:divsChild>
    </w:div>
    <w:div w:id="1284966215">
      <w:bodyDiv w:val="1"/>
      <w:marLeft w:val="0"/>
      <w:marRight w:val="0"/>
      <w:marTop w:val="0"/>
      <w:marBottom w:val="0"/>
      <w:divBdr>
        <w:top w:val="none" w:sz="0" w:space="0" w:color="auto"/>
        <w:left w:val="none" w:sz="0" w:space="0" w:color="auto"/>
        <w:bottom w:val="none" w:sz="0" w:space="0" w:color="auto"/>
        <w:right w:val="none" w:sz="0" w:space="0" w:color="auto"/>
      </w:divBdr>
    </w:div>
    <w:div w:id="1303465087">
      <w:bodyDiv w:val="1"/>
      <w:marLeft w:val="0"/>
      <w:marRight w:val="0"/>
      <w:marTop w:val="0"/>
      <w:marBottom w:val="0"/>
      <w:divBdr>
        <w:top w:val="none" w:sz="0" w:space="0" w:color="auto"/>
        <w:left w:val="none" w:sz="0" w:space="0" w:color="auto"/>
        <w:bottom w:val="none" w:sz="0" w:space="0" w:color="auto"/>
        <w:right w:val="none" w:sz="0" w:space="0" w:color="auto"/>
      </w:divBdr>
    </w:div>
    <w:div w:id="1324965524">
      <w:bodyDiv w:val="1"/>
      <w:marLeft w:val="0"/>
      <w:marRight w:val="0"/>
      <w:marTop w:val="0"/>
      <w:marBottom w:val="0"/>
      <w:divBdr>
        <w:top w:val="none" w:sz="0" w:space="0" w:color="auto"/>
        <w:left w:val="none" w:sz="0" w:space="0" w:color="auto"/>
        <w:bottom w:val="none" w:sz="0" w:space="0" w:color="auto"/>
        <w:right w:val="none" w:sz="0" w:space="0" w:color="auto"/>
      </w:divBdr>
      <w:divsChild>
        <w:div w:id="1372536369">
          <w:marLeft w:val="360"/>
          <w:marRight w:val="0"/>
          <w:marTop w:val="200"/>
          <w:marBottom w:val="0"/>
          <w:divBdr>
            <w:top w:val="none" w:sz="0" w:space="0" w:color="auto"/>
            <w:left w:val="none" w:sz="0" w:space="0" w:color="auto"/>
            <w:bottom w:val="none" w:sz="0" w:space="0" w:color="auto"/>
            <w:right w:val="none" w:sz="0" w:space="0" w:color="auto"/>
          </w:divBdr>
        </w:div>
        <w:div w:id="1883445229">
          <w:marLeft w:val="360"/>
          <w:marRight w:val="0"/>
          <w:marTop w:val="200"/>
          <w:marBottom w:val="0"/>
          <w:divBdr>
            <w:top w:val="none" w:sz="0" w:space="0" w:color="auto"/>
            <w:left w:val="none" w:sz="0" w:space="0" w:color="auto"/>
            <w:bottom w:val="none" w:sz="0" w:space="0" w:color="auto"/>
            <w:right w:val="none" w:sz="0" w:space="0" w:color="auto"/>
          </w:divBdr>
        </w:div>
        <w:div w:id="1033699581">
          <w:marLeft w:val="360"/>
          <w:marRight w:val="0"/>
          <w:marTop w:val="200"/>
          <w:marBottom w:val="0"/>
          <w:divBdr>
            <w:top w:val="none" w:sz="0" w:space="0" w:color="auto"/>
            <w:left w:val="none" w:sz="0" w:space="0" w:color="auto"/>
            <w:bottom w:val="none" w:sz="0" w:space="0" w:color="auto"/>
            <w:right w:val="none" w:sz="0" w:space="0" w:color="auto"/>
          </w:divBdr>
        </w:div>
        <w:div w:id="1842771890">
          <w:marLeft w:val="360"/>
          <w:marRight w:val="0"/>
          <w:marTop w:val="200"/>
          <w:marBottom w:val="0"/>
          <w:divBdr>
            <w:top w:val="none" w:sz="0" w:space="0" w:color="auto"/>
            <w:left w:val="none" w:sz="0" w:space="0" w:color="auto"/>
            <w:bottom w:val="none" w:sz="0" w:space="0" w:color="auto"/>
            <w:right w:val="none" w:sz="0" w:space="0" w:color="auto"/>
          </w:divBdr>
        </w:div>
        <w:div w:id="851264615">
          <w:marLeft w:val="360"/>
          <w:marRight w:val="0"/>
          <w:marTop w:val="200"/>
          <w:marBottom w:val="0"/>
          <w:divBdr>
            <w:top w:val="none" w:sz="0" w:space="0" w:color="auto"/>
            <w:left w:val="none" w:sz="0" w:space="0" w:color="auto"/>
            <w:bottom w:val="none" w:sz="0" w:space="0" w:color="auto"/>
            <w:right w:val="none" w:sz="0" w:space="0" w:color="auto"/>
          </w:divBdr>
        </w:div>
      </w:divsChild>
    </w:div>
    <w:div w:id="1327048240">
      <w:bodyDiv w:val="1"/>
      <w:marLeft w:val="0"/>
      <w:marRight w:val="0"/>
      <w:marTop w:val="0"/>
      <w:marBottom w:val="0"/>
      <w:divBdr>
        <w:top w:val="none" w:sz="0" w:space="0" w:color="auto"/>
        <w:left w:val="none" w:sz="0" w:space="0" w:color="auto"/>
        <w:bottom w:val="none" w:sz="0" w:space="0" w:color="auto"/>
        <w:right w:val="none" w:sz="0" w:space="0" w:color="auto"/>
      </w:divBdr>
    </w:div>
    <w:div w:id="1335764756">
      <w:bodyDiv w:val="1"/>
      <w:marLeft w:val="0"/>
      <w:marRight w:val="0"/>
      <w:marTop w:val="0"/>
      <w:marBottom w:val="0"/>
      <w:divBdr>
        <w:top w:val="none" w:sz="0" w:space="0" w:color="auto"/>
        <w:left w:val="none" w:sz="0" w:space="0" w:color="auto"/>
        <w:bottom w:val="none" w:sz="0" w:space="0" w:color="auto"/>
        <w:right w:val="none" w:sz="0" w:space="0" w:color="auto"/>
      </w:divBdr>
      <w:divsChild>
        <w:div w:id="204222122">
          <w:marLeft w:val="446"/>
          <w:marRight w:val="0"/>
          <w:marTop w:val="0"/>
          <w:marBottom w:val="0"/>
          <w:divBdr>
            <w:top w:val="none" w:sz="0" w:space="0" w:color="auto"/>
            <w:left w:val="none" w:sz="0" w:space="0" w:color="auto"/>
            <w:bottom w:val="none" w:sz="0" w:space="0" w:color="auto"/>
            <w:right w:val="none" w:sz="0" w:space="0" w:color="auto"/>
          </w:divBdr>
        </w:div>
      </w:divsChild>
    </w:div>
    <w:div w:id="1343896383">
      <w:bodyDiv w:val="1"/>
      <w:marLeft w:val="0"/>
      <w:marRight w:val="0"/>
      <w:marTop w:val="0"/>
      <w:marBottom w:val="0"/>
      <w:divBdr>
        <w:top w:val="none" w:sz="0" w:space="0" w:color="auto"/>
        <w:left w:val="none" w:sz="0" w:space="0" w:color="auto"/>
        <w:bottom w:val="none" w:sz="0" w:space="0" w:color="auto"/>
        <w:right w:val="none" w:sz="0" w:space="0" w:color="auto"/>
      </w:divBdr>
    </w:div>
    <w:div w:id="1357806993">
      <w:bodyDiv w:val="1"/>
      <w:marLeft w:val="0"/>
      <w:marRight w:val="0"/>
      <w:marTop w:val="0"/>
      <w:marBottom w:val="0"/>
      <w:divBdr>
        <w:top w:val="none" w:sz="0" w:space="0" w:color="auto"/>
        <w:left w:val="none" w:sz="0" w:space="0" w:color="auto"/>
        <w:bottom w:val="none" w:sz="0" w:space="0" w:color="auto"/>
        <w:right w:val="none" w:sz="0" w:space="0" w:color="auto"/>
      </w:divBdr>
    </w:div>
    <w:div w:id="1424915860">
      <w:bodyDiv w:val="1"/>
      <w:marLeft w:val="0"/>
      <w:marRight w:val="0"/>
      <w:marTop w:val="0"/>
      <w:marBottom w:val="0"/>
      <w:divBdr>
        <w:top w:val="none" w:sz="0" w:space="0" w:color="auto"/>
        <w:left w:val="none" w:sz="0" w:space="0" w:color="auto"/>
        <w:bottom w:val="none" w:sz="0" w:space="0" w:color="auto"/>
        <w:right w:val="none" w:sz="0" w:space="0" w:color="auto"/>
      </w:divBdr>
    </w:div>
    <w:div w:id="1433091362">
      <w:bodyDiv w:val="1"/>
      <w:marLeft w:val="0"/>
      <w:marRight w:val="0"/>
      <w:marTop w:val="0"/>
      <w:marBottom w:val="0"/>
      <w:divBdr>
        <w:top w:val="none" w:sz="0" w:space="0" w:color="auto"/>
        <w:left w:val="none" w:sz="0" w:space="0" w:color="auto"/>
        <w:bottom w:val="none" w:sz="0" w:space="0" w:color="auto"/>
        <w:right w:val="none" w:sz="0" w:space="0" w:color="auto"/>
      </w:divBdr>
    </w:div>
    <w:div w:id="1439329463">
      <w:bodyDiv w:val="1"/>
      <w:marLeft w:val="0"/>
      <w:marRight w:val="0"/>
      <w:marTop w:val="0"/>
      <w:marBottom w:val="0"/>
      <w:divBdr>
        <w:top w:val="none" w:sz="0" w:space="0" w:color="auto"/>
        <w:left w:val="none" w:sz="0" w:space="0" w:color="auto"/>
        <w:bottom w:val="none" w:sz="0" w:space="0" w:color="auto"/>
        <w:right w:val="none" w:sz="0" w:space="0" w:color="auto"/>
      </w:divBdr>
      <w:divsChild>
        <w:div w:id="1822426885">
          <w:marLeft w:val="0"/>
          <w:marRight w:val="0"/>
          <w:marTop w:val="0"/>
          <w:marBottom w:val="0"/>
          <w:divBdr>
            <w:top w:val="none" w:sz="0" w:space="0" w:color="auto"/>
            <w:left w:val="none" w:sz="0" w:space="0" w:color="auto"/>
            <w:bottom w:val="none" w:sz="0" w:space="0" w:color="auto"/>
            <w:right w:val="none" w:sz="0" w:space="0" w:color="auto"/>
          </w:divBdr>
        </w:div>
        <w:div w:id="1482428496">
          <w:marLeft w:val="0"/>
          <w:marRight w:val="0"/>
          <w:marTop w:val="0"/>
          <w:marBottom w:val="0"/>
          <w:divBdr>
            <w:top w:val="none" w:sz="0" w:space="0" w:color="auto"/>
            <w:left w:val="none" w:sz="0" w:space="0" w:color="auto"/>
            <w:bottom w:val="none" w:sz="0" w:space="0" w:color="auto"/>
            <w:right w:val="none" w:sz="0" w:space="0" w:color="auto"/>
          </w:divBdr>
        </w:div>
      </w:divsChild>
    </w:div>
    <w:div w:id="1475216789">
      <w:bodyDiv w:val="1"/>
      <w:marLeft w:val="0"/>
      <w:marRight w:val="0"/>
      <w:marTop w:val="0"/>
      <w:marBottom w:val="0"/>
      <w:divBdr>
        <w:top w:val="none" w:sz="0" w:space="0" w:color="auto"/>
        <w:left w:val="none" w:sz="0" w:space="0" w:color="auto"/>
        <w:bottom w:val="none" w:sz="0" w:space="0" w:color="auto"/>
        <w:right w:val="none" w:sz="0" w:space="0" w:color="auto"/>
      </w:divBdr>
    </w:div>
    <w:div w:id="1492869064">
      <w:bodyDiv w:val="1"/>
      <w:marLeft w:val="0"/>
      <w:marRight w:val="0"/>
      <w:marTop w:val="0"/>
      <w:marBottom w:val="0"/>
      <w:divBdr>
        <w:top w:val="none" w:sz="0" w:space="0" w:color="auto"/>
        <w:left w:val="none" w:sz="0" w:space="0" w:color="auto"/>
        <w:bottom w:val="none" w:sz="0" w:space="0" w:color="auto"/>
        <w:right w:val="none" w:sz="0" w:space="0" w:color="auto"/>
      </w:divBdr>
    </w:div>
    <w:div w:id="1527987144">
      <w:bodyDiv w:val="1"/>
      <w:marLeft w:val="0"/>
      <w:marRight w:val="0"/>
      <w:marTop w:val="0"/>
      <w:marBottom w:val="0"/>
      <w:divBdr>
        <w:top w:val="none" w:sz="0" w:space="0" w:color="auto"/>
        <w:left w:val="none" w:sz="0" w:space="0" w:color="auto"/>
        <w:bottom w:val="none" w:sz="0" w:space="0" w:color="auto"/>
        <w:right w:val="none" w:sz="0" w:space="0" w:color="auto"/>
      </w:divBdr>
    </w:div>
    <w:div w:id="1578317564">
      <w:bodyDiv w:val="1"/>
      <w:marLeft w:val="0"/>
      <w:marRight w:val="0"/>
      <w:marTop w:val="0"/>
      <w:marBottom w:val="0"/>
      <w:divBdr>
        <w:top w:val="none" w:sz="0" w:space="0" w:color="auto"/>
        <w:left w:val="none" w:sz="0" w:space="0" w:color="auto"/>
        <w:bottom w:val="none" w:sz="0" w:space="0" w:color="auto"/>
        <w:right w:val="none" w:sz="0" w:space="0" w:color="auto"/>
      </w:divBdr>
    </w:div>
    <w:div w:id="1589390556">
      <w:bodyDiv w:val="1"/>
      <w:marLeft w:val="0"/>
      <w:marRight w:val="0"/>
      <w:marTop w:val="0"/>
      <w:marBottom w:val="0"/>
      <w:divBdr>
        <w:top w:val="none" w:sz="0" w:space="0" w:color="auto"/>
        <w:left w:val="none" w:sz="0" w:space="0" w:color="auto"/>
        <w:bottom w:val="none" w:sz="0" w:space="0" w:color="auto"/>
        <w:right w:val="none" w:sz="0" w:space="0" w:color="auto"/>
      </w:divBdr>
      <w:divsChild>
        <w:div w:id="891035402">
          <w:marLeft w:val="0"/>
          <w:marRight w:val="0"/>
          <w:marTop w:val="34"/>
          <w:marBottom w:val="34"/>
          <w:divBdr>
            <w:top w:val="none" w:sz="0" w:space="0" w:color="auto"/>
            <w:left w:val="none" w:sz="0" w:space="0" w:color="auto"/>
            <w:bottom w:val="none" w:sz="0" w:space="0" w:color="auto"/>
            <w:right w:val="none" w:sz="0" w:space="0" w:color="auto"/>
          </w:divBdr>
          <w:divsChild>
            <w:div w:id="853612350">
              <w:marLeft w:val="0"/>
              <w:marRight w:val="0"/>
              <w:marTop w:val="0"/>
              <w:marBottom w:val="0"/>
              <w:divBdr>
                <w:top w:val="none" w:sz="0" w:space="0" w:color="auto"/>
                <w:left w:val="none" w:sz="0" w:space="0" w:color="auto"/>
                <w:bottom w:val="none" w:sz="0" w:space="0" w:color="auto"/>
                <w:right w:val="none" w:sz="0" w:space="0" w:color="auto"/>
              </w:divBdr>
            </w:div>
            <w:div w:id="103353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508631">
      <w:bodyDiv w:val="1"/>
      <w:marLeft w:val="0"/>
      <w:marRight w:val="0"/>
      <w:marTop w:val="0"/>
      <w:marBottom w:val="0"/>
      <w:divBdr>
        <w:top w:val="none" w:sz="0" w:space="0" w:color="auto"/>
        <w:left w:val="none" w:sz="0" w:space="0" w:color="auto"/>
        <w:bottom w:val="none" w:sz="0" w:space="0" w:color="auto"/>
        <w:right w:val="none" w:sz="0" w:space="0" w:color="auto"/>
      </w:divBdr>
      <w:divsChild>
        <w:div w:id="1451827245">
          <w:marLeft w:val="806"/>
          <w:marRight w:val="0"/>
          <w:marTop w:val="200"/>
          <w:marBottom w:val="0"/>
          <w:divBdr>
            <w:top w:val="none" w:sz="0" w:space="0" w:color="auto"/>
            <w:left w:val="none" w:sz="0" w:space="0" w:color="auto"/>
            <w:bottom w:val="none" w:sz="0" w:space="0" w:color="auto"/>
            <w:right w:val="none" w:sz="0" w:space="0" w:color="auto"/>
          </w:divBdr>
        </w:div>
      </w:divsChild>
    </w:div>
    <w:div w:id="1654524759">
      <w:bodyDiv w:val="1"/>
      <w:marLeft w:val="0"/>
      <w:marRight w:val="0"/>
      <w:marTop w:val="0"/>
      <w:marBottom w:val="0"/>
      <w:divBdr>
        <w:top w:val="none" w:sz="0" w:space="0" w:color="auto"/>
        <w:left w:val="none" w:sz="0" w:space="0" w:color="auto"/>
        <w:bottom w:val="none" w:sz="0" w:space="0" w:color="auto"/>
        <w:right w:val="none" w:sz="0" w:space="0" w:color="auto"/>
      </w:divBdr>
    </w:div>
    <w:div w:id="1664355262">
      <w:bodyDiv w:val="1"/>
      <w:marLeft w:val="0"/>
      <w:marRight w:val="0"/>
      <w:marTop w:val="0"/>
      <w:marBottom w:val="0"/>
      <w:divBdr>
        <w:top w:val="none" w:sz="0" w:space="0" w:color="auto"/>
        <w:left w:val="none" w:sz="0" w:space="0" w:color="auto"/>
        <w:bottom w:val="none" w:sz="0" w:space="0" w:color="auto"/>
        <w:right w:val="none" w:sz="0" w:space="0" w:color="auto"/>
      </w:divBdr>
      <w:divsChild>
        <w:div w:id="657807670">
          <w:marLeft w:val="360"/>
          <w:marRight w:val="0"/>
          <w:marTop w:val="200"/>
          <w:marBottom w:val="0"/>
          <w:divBdr>
            <w:top w:val="none" w:sz="0" w:space="0" w:color="auto"/>
            <w:left w:val="none" w:sz="0" w:space="0" w:color="auto"/>
            <w:bottom w:val="none" w:sz="0" w:space="0" w:color="auto"/>
            <w:right w:val="none" w:sz="0" w:space="0" w:color="auto"/>
          </w:divBdr>
        </w:div>
        <w:div w:id="579408449">
          <w:marLeft w:val="360"/>
          <w:marRight w:val="0"/>
          <w:marTop w:val="200"/>
          <w:marBottom w:val="0"/>
          <w:divBdr>
            <w:top w:val="none" w:sz="0" w:space="0" w:color="auto"/>
            <w:left w:val="none" w:sz="0" w:space="0" w:color="auto"/>
            <w:bottom w:val="none" w:sz="0" w:space="0" w:color="auto"/>
            <w:right w:val="none" w:sz="0" w:space="0" w:color="auto"/>
          </w:divBdr>
        </w:div>
        <w:div w:id="375082149">
          <w:marLeft w:val="360"/>
          <w:marRight w:val="0"/>
          <w:marTop w:val="200"/>
          <w:marBottom w:val="0"/>
          <w:divBdr>
            <w:top w:val="none" w:sz="0" w:space="0" w:color="auto"/>
            <w:left w:val="none" w:sz="0" w:space="0" w:color="auto"/>
            <w:bottom w:val="none" w:sz="0" w:space="0" w:color="auto"/>
            <w:right w:val="none" w:sz="0" w:space="0" w:color="auto"/>
          </w:divBdr>
        </w:div>
      </w:divsChild>
    </w:div>
    <w:div w:id="1666397755">
      <w:bodyDiv w:val="1"/>
      <w:marLeft w:val="0"/>
      <w:marRight w:val="0"/>
      <w:marTop w:val="0"/>
      <w:marBottom w:val="0"/>
      <w:divBdr>
        <w:top w:val="none" w:sz="0" w:space="0" w:color="auto"/>
        <w:left w:val="none" w:sz="0" w:space="0" w:color="auto"/>
        <w:bottom w:val="none" w:sz="0" w:space="0" w:color="auto"/>
        <w:right w:val="none" w:sz="0" w:space="0" w:color="auto"/>
      </w:divBdr>
      <w:divsChild>
        <w:div w:id="590313893">
          <w:marLeft w:val="446"/>
          <w:marRight w:val="0"/>
          <w:marTop w:val="0"/>
          <w:marBottom w:val="0"/>
          <w:divBdr>
            <w:top w:val="none" w:sz="0" w:space="0" w:color="auto"/>
            <w:left w:val="none" w:sz="0" w:space="0" w:color="auto"/>
            <w:bottom w:val="none" w:sz="0" w:space="0" w:color="auto"/>
            <w:right w:val="none" w:sz="0" w:space="0" w:color="auto"/>
          </w:divBdr>
        </w:div>
      </w:divsChild>
    </w:div>
    <w:div w:id="1680935412">
      <w:bodyDiv w:val="1"/>
      <w:marLeft w:val="0"/>
      <w:marRight w:val="0"/>
      <w:marTop w:val="0"/>
      <w:marBottom w:val="0"/>
      <w:divBdr>
        <w:top w:val="none" w:sz="0" w:space="0" w:color="auto"/>
        <w:left w:val="none" w:sz="0" w:space="0" w:color="auto"/>
        <w:bottom w:val="none" w:sz="0" w:space="0" w:color="auto"/>
        <w:right w:val="none" w:sz="0" w:space="0" w:color="auto"/>
      </w:divBdr>
      <w:divsChild>
        <w:div w:id="1228220475">
          <w:marLeft w:val="0"/>
          <w:marRight w:val="1"/>
          <w:marTop w:val="0"/>
          <w:marBottom w:val="0"/>
          <w:divBdr>
            <w:top w:val="none" w:sz="0" w:space="0" w:color="auto"/>
            <w:left w:val="none" w:sz="0" w:space="0" w:color="auto"/>
            <w:bottom w:val="none" w:sz="0" w:space="0" w:color="auto"/>
            <w:right w:val="none" w:sz="0" w:space="0" w:color="auto"/>
          </w:divBdr>
          <w:divsChild>
            <w:div w:id="1551913318">
              <w:marLeft w:val="0"/>
              <w:marRight w:val="0"/>
              <w:marTop w:val="0"/>
              <w:marBottom w:val="0"/>
              <w:divBdr>
                <w:top w:val="none" w:sz="0" w:space="0" w:color="auto"/>
                <w:left w:val="none" w:sz="0" w:space="0" w:color="auto"/>
                <w:bottom w:val="none" w:sz="0" w:space="0" w:color="auto"/>
                <w:right w:val="none" w:sz="0" w:space="0" w:color="auto"/>
              </w:divBdr>
              <w:divsChild>
                <w:div w:id="93020366">
                  <w:marLeft w:val="0"/>
                  <w:marRight w:val="1"/>
                  <w:marTop w:val="0"/>
                  <w:marBottom w:val="0"/>
                  <w:divBdr>
                    <w:top w:val="none" w:sz="0" w:space="0" w:color="auto"/>
                    <w:left w:val="none" w:sz="0" w:space="0" w:color="auto"/>
                    <w:bottom w:val="none" w:sz="0" w:space="0" w:color="auto"/>
                    <w:right w:val="none" w:sz="0" w:space="0" w:color="auto"/>
                  </w:divBdr>
                  <w:divsChild>
                    <w:div w:id="208423184">
                      <w:marLeft w:val="0"/>
                      <w:marRight w:val="0"/>
                      <w:marTop w:val="0"/>
                      <w:marBottom w:val="0"/>
                      <w:divBdr>
                        <w:top w:val="none" w:sz="0" w:space="0" w:color="auto"/>
                        <w:left w:val="none" w:sz="0" w:space="0" w:color="auto"/>
                        <w:bottom w:val="none" w:sz="0" w:space="0" w:color="auto"/>
                        <w:right w:val="none" w:sz="0" w:space="0" w:color="auto"/>
                      </w:divBdr>
                      <w:divsChild>
                        <w:div w:id="1450933894">
                          <w:marLeft w:val="0"/>
                          <w:marRight w:val="0"/>
                          <w:marTop w:val="0"/>
                          <w:marBottom w:val="0"/>
                          <w:divBdr>
                            <w:top w:val="none" w:sz="0" w:space="0" w:color="auto"/>
                            <w:left w:val="none" w:sz="0" w:space="0" w:color="auto"/>
                            <w:bottom w:val="none" w:sz="0" w:space="0" w:color="auto"/>
                            <w:right w:val="none" w:sz="0" w:space="0" w:color="auto"/>
                          </w:divBdr>
                          <w:divsChild>
                            <w:div w:id="1859001798">
                              <w:marLeft w:val="0"/>
                              <w:marRight w:val="0"/>
                              <w:marTop w:val="120"/>
                              <w:marBottom w:val="360"/>
                              <w:divBdr>
                                <w:top w:val="none" w:sz="0" w:space="0" w:color="auto"/>
                                <w:left w:val="none" w:sz="0" w:space="0" w:color="auto"/>
                                <w:bottom w:val="none" w:sz="0" w:space="0" w:color="auto"/>
                                <w:right w:val="none" w:sz="0" w:space="0" w:color="auto"/>
                              </w:divBdr>
                              <w:divsChild>
                                <w:div w:id="780299922">
                                  <w:marLeft w:val="0"/>
                                  <w:marRight w:val="0"/>
                                  <w:marTop w:val="0"/>
                                  <w:marBottom w:val="0"/>
                                  <w:divBdr>
                                    <w:top w:val="none" w:sz="0" w:space="0" w:color="auto"/>
                                    <w:left w:val="none" w:sz="0" w:space="0" w:color="auto"/>
                                    <w:bottom w:val="none" w:sz="0" w:space="0" w:color="auto"/>
                                    <w:right w:val="none" w:sz="0" w:space="0" w:color="auto"/>
                                  </w:divBdr>
                                </w:div>
                                <w:div w:id="187165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469475">
      <w:bodyDiv w:val="1"/>
      <w:marLeft w:val="0"/>
      <w:marRight w:val="0"/>
      <w:marTop w:val="0"/>
      <w:marBottom w:val="0"/>
      <w:divBdr>
        <w:top w:val="none" w:sz="0" w:space="0" w:color="auto"/>
        <w:left w:val="none" w:sz="0" w:space="0" w:color="auto"/>
        <w:bottom w:val="none" w:sz="0" w:space="0" w:color="auto"/>
        <w:right w:val="none" w:sz="0" w:space="0" w:color="auto"/>
      </w:divBdr>
    </w:div>
    <w:div w:id="1766460826">
      <w:bodyDiv w:val="1"/>
      <w:marLeft w:val="0"/>
      <w:marRight w:val="0"/>
      <w:marTop w:val="0"/>
      <w:marBottom w:val="0"/>
      <w:divBdr>
        <w:top w:val="none" w:sz="0" w:space="0" w:color="auto"/>
        <w:left w:val="none" w:sz="0" w:space="0" w:color="auto"/>
        <w:bottom w:val="none" w:sz="0" w:space="0" w:color="auto"/>
        <w:right w:val="none" w:sz="0" w:space="0" w:color="auto"/>
      </w:divBdr>
    </w:div>
    <w:div w:id="1780679259">
      <w:bodyDiv w:val="1"/>
      <w:marLeft w:val="0"/>
      <w:marRight w:val="0"/>
      <w:marTop w:val="0"/>
      <w:marBottom w:val="0"/>
      <w:divBdr>
        <w:top w:val="none" w:sz="0" w:space="0" w:color="auto"/>
        <w:left w:val="none" w:sz="0" w:space="0" w:color="auto"/>
        <w:bottom w:val="none" w:sz="0" w:space="0" w:color="auto"/>
        <w:right w:val="none" w:sz="0" w:space="0" w:color="auto"/>
      </w:divBdr>
      <w:divsChild>
        <w:div w:id="1279797226">
          <w:marLeft w:val="360"/>
          <w:marRight w:val="0"/>
          <w:marTop w:val="200"/>
          <w:marBottom w:val="0"/>
          <w:divBdr>
            <w:top w:val="none" w:sz="0" w:space="0" w:color="auto"/>
            <w:left w:val="none" w:sz="0" w:space="0" w:color="auto"/>
            <w:bottom w:val="none" w:sz="0" w:space="0" w:color="auto"/>
            <w:right w:val="none" w:sz="0" w:space="0" w:color="auto"/>
          </w:divBdr>
        </w:div>
        <w:div w:id="1537044583">
          <w:marLeft w:val="360"/>
          <w:marRight w:val="0"/>
          <w:marTop w:val="200"/>
          <w:marBottom w:val="0"/>
          <w:divBdr>
            <w:top w:val="none" w:sz="0" w:space="0" w:color="auto"/>
            <w:left w:val="none" w:sz="0" w:space="0" w:color="auto"/>
            <w:bottom w:val="none" w:sz="0" w:space="0" w:color="auto"/>
            <w:right w:val="none" w:sz="0" w:space="0" w:color="auto"/>
          </w:divBdr>
        </w:div>
        <w:div w:id="1831100121">
          <w:marLeft w:val="360"/>
          <w:marRight w:val="0"/>
          <w:marTop w:val="200"/>
          <w:marBottom w:val="0"/>
          <w:divBdr>
            <w:top w:val="none" w:sz="0" w:space="0" w:color="auto"/>
            <w:left w:val="none" w:sz="0" w:space="0" w:color="auto"/>
            <w:bottom w:val="none" w:sz="0" w:space="0" w:color="auto"/>
            <w:right w:val="none" w:sz="0" w:space="0" w:color="auto"/>
          </w:divBdr>
        </w:div>
        <w:div w:id="1480145393">
          <w:marLeft w:val="360"/>
          <w:marRight w:val="0"/>
          <w:marTop w:val="200"/>
          <w:marBottom w:val="0"/>
          <w:divBdr>
            <w:top w:val="none" w:sz="0" w:space="0" w:color="auto"/>
            <w:left w:val="none" w:sz="0" w:space="0" w:color="auto"/>
            <w:bottom w:val="none" w:sz="0" w:space="0" w:color="auto"/>
            <w:right w:val="none" w:sz="0" w:space="0" w:color="auto"/>
          </w:divBdr>
        </w:div>
        <w:div w:id="1812823038">
          <w:marLeft w:val="360"/>
          <w:marRight w:val="0"/>
          <w:marTop w:val="200"/>
          <w:marBottom w:val="0"/>
          <w:divBdr>
            <w:top w:val="none" w:sz="0" w:space="0" w:color="auto"/>
            <w:left w:val="none" w:sz="0" w:space="0" w:color="auto"/>
            <w:bottom w:val="none" w:sz="0" w:space="0" w:color="auto"/>
            <w:right w:val="none" w:sz="0" w:space="0" w:color="auto"/>
          </w:divBdr>
        </w:div>
      </w:divsChild>
    </w:div>
    <w:div w:id="1793355773">
      <w:bodyDiv w:val="1"/>
      <w:marLeft w:val="0"/>
      <w:marRight w:val="0"/>
      <w:marTop w:val="0"/>
      <w:marBottom w:val="0"/>
      <w:divBdr>
        <w:top w:val="none" w:sz="0" w:space="0" w:color="auto"/>
        <w:left w:val="none" w:sz="0" w:space="0" w:color="auto"/>
        <w:bottom w:val="none" w:sz="0" w:space="0" w:color="auto"/>
        <w:right w:val="none" w:sz="0" w:space="0" w:color="auto"/>
      </w:divBdr>
    </w:div>
    <w:div w:id="1821967189">
      <w:bodyDiv w:val="1"/>
      <w:marLeft w:val="0"/>
      <w:marRight w:val="0"/>
      <w:marTop w:val="0"/>
      <w:marBottom w:val="0"/>
      <w:divBdr>
        <w:top w:val="none" w:sz="0" w:space="0" w:color="auto"/>
        <w:left w:val="none" w:sz="0" w:space="0" w:color="auto"/>
        <w:bottom w:val="none" w:sz="0" w:space="0" w:color="auto"/>
        <w:right w:val="none" w:sz="0" w:space="0" w:color="auto"/>
      </w:divBdr>
      <w:divsChild>
        <w:div w:id="690762275">
          <w:marLeft w:val="0"/>
          <w:marRight w:val="0"/>
          <w:marTop w:val="0"/>
          <w:marBottom w:val="0"/>
          <w:divBdr>
            <w:top w:val="none" w:sz="0" w:space="0" w:color="auto"/>
            <w:left w:val="none" w:sz="0" w:space="0" w:color="auto"/>
            <w:bottom w:val="none" w:sz="0" w:space="0" w:color="auto"/>
            <w:right w:val="none" w:sz="0" w:space="0" w:color="auto"/>
          </w:divBdr>
        </w:div>
        <w:div w:id="145898203">
          <w:marLeft w:val="0"/>
          <w:marRight w:val="0"/>
          <w:marTop w:val="0"/>
          <w:marBottom w:val="0"/>
          <w:divBdr>
            <w:top w:val="none" w:sz="0" w:space="0" w:color="auto"/>
            <w:left w:val="none" w:sz="0" w:space="0" w:color="auto"/>
            <w:bottom w:val="none" w:sz="0" w:space="0" w:color="auto"/>
            <w:right w:val="none" w:sz="0" w:space="0" w:color="auto"/>
          </w:divBdr>
        </w:div>
      </w:divsChild>
    </w:div>
    <w:div w:id="1854104243">
      <w:bodyDiv w:val="1"/>
      <w:marLeft w:val="0"/>
      <w:marRight w:val="0"/>
      <w:marTop w:val="0"/>
      <w:marBottom w:val="0"/>
      <w:divBdr>
        <w:top w:val="none" w:sz="0" w:space="0" w:color="auto"/>
        <w:left w:val="none" w:sz="0" w:space="0" w:color="auto"/>
        <w:bottom w:val="none" w:sz="0" w:space="0" w:color="auto"/>
        <w:right w:val="none" w:sz="0" w:space="0" w:color="auto"/>
      </w:divBdr>
    </w:div>
    <w:div w:id="1858502078">
      <w:bodyDiv w:val="1"/>
      <w:marLeft w:val="0"/>
      <w:marRight w:val="0"/>
      <w:marTop w:val="0"/>
      <w:marBottom w:val="0"/>
      <w:divBdr>
        <w:top w:val="none" w:sz="0" w:space="0" w:color="auto"/>
        <w:left w:val="none" w:sz="0" w:space="0" w:color="auto"/>
        <w:bottom w:val="none" w:sz="0" w:space="0" w:color="auto"/>
        <w:right w:val="none" w:sz="0" w:space="0" w:color="auto"/>
      </w:divBdr>
    </w:div>
    <w:div w:id="1891961482">
      <w:bodyDiv w:val="1"/>
      <w:marLeft w:val="0"/>
      <w:marRight w:val="0"/>
      <w:marTop w:val="0"/>
      <w:marBottom w:val="0"/>
      <w:divBdr>
        <w:top w:val="none" w:sz="0" w:space="0" w:color="auto"/>
        <w:left w:val="none" w:sz="0" w:space="0" w:color="auto"/>
        <w:bottom w:val="none" w:sz="0" w:space="0" w:color="auto"/>
        <w:right w:val="none" w:sz="0" w:space="0" w:color="auto"/>
      </w:divBdr>
      <w:divsChild>
        <w:div w:id="489058662">
          <w:marLeft w:val="0"/>
          <w:marRight w:val="0"/>
          <w:marTop w:val="200"/>
          <w:marBottom w:val="200"/>
          <w:divBdr>
            <w:top w:val="none" w:sz="0" w:space="0" w:color="auto"/>
            <w:left w:val="none" w:sz="0" w:space="0" w:color="auto"/>
            <w:bottom w:val="none" w:sz="0" w:space="0" w:color="auto"/>
            <w:right w:val="none" w:sz="0" w:space="0" w:color="auto"/>
          </w:divBdr>
        </w:div>
      </w:divsChild>
    </w:div>
    <w:div w:id="1894266968">
      <w:bodyDiv w:val="1"/>
      <w:marLeft w:val="0"/>
      <w:marRight w:val="0"/>
      <w:marTop w:val="0"/>
      <w:marBottom w:val="0"/>
      <w:divBdr>
        <w:top w:val="none" w:sz="0" w:space="0" w:color="auto"/>
        <w:left w:val="none" w:sz="0" w:space="0" w:color="auto"/>
        <w:bottom w:val="none" w:sz="0" w:space="0" w:color="auto"/>
        <w:right w:val="none" w:sz="0" w:space="0" w:color="auto"/>
      </w:divBdr>
      <w:divsChild>
        <w:div w:id="1761289168">
          <w:marLeft w:val="360"/>
          <w:marRight w:val="0"/>
          <w:marTop w:val="200"/>
          <w:marBottom w:val="0"/>
          <w:divBdr>
            <w:top w:val="none" w:sz="0" w:space="0" w:color="auto"/>
            <w:left w:val="none" w:sz="0" w:space="0" w:color="auto"/>
            <w:bottom w:val="none" w:sz="0" w:space="0" w:color="auto"/>
            <w:right w:val="none" w:sz="0" w:space="0" w:color="auto"/>
          </w:divBdr>
        </w:div>
      </w:divsChild>
    </w:div>
    <w:div w:id="1958216628">
      <w:bodyDiv w:val="1"/>
      <w:marLeft w:val="0"/>
      <w:marRight w:val="0"/>
      <w:marTop w:val="0"/>
      <w:marBottom w:val="0"/>
      <w:divBdr>
        <w:top w:val="none" w:sz="0" w:space="0" w:color="auto"/>
        <w:left w:val="none" w:sz="0" w:space="0" w:color="auto"/>
        <w:bottom w:val="none" w:sz="0" w:space="0" w:color="auto"/>
        <w:right w:val="none" w:sz="0" w:space="0" w:color="auto"/>
      </w:divBdr>
      <w:divsChild>
        <w:div w:id="1473906347">
          <w:marLeft w:val="0"/>
          <w:marRight w:val="0"/>
          <w:marTop w:val="0"/>
          <w:marBottom w:val="0"/>
          <w:divBdr>
            <w:top w:val="none" w:sz="0" w:space="0" w:color="auto"/>
            <w:left w:val="none" w:sz="0" w:space="0" w:color="auto"/>
            <w:bottom w:val="none" w:sz="0" w:space="0" w:color="auto"/>
            <w:right w:val="none" w:sz="0" w:space="0" w:color="auto"/>
          </w:divBdr>
        </w:div>
        <w:div w:id="1172061578">
          <w:marLeft w:val="0"/>
          <w:marRight w:val="0"/>
          <w:marTop w:val="0"/>
          <w:marBottom w:val="0"/>
          <w:divBdr>
            <w:top w:val="none" w:sz="0" w:space="0" w:color="auto"/>
            <w:left w:val="none" w:sz="0" w:space="0" w:color="auto"/>
            <w:bottom w:val="none" w:sz="0" w:space="0" w:color="auto"/>
            <w:right w:val="none" w:sz="0" w:space="0" w:color="auto"/>
          </w:divBdr>
        </w:div>
        <w:div w:id="1648776835">
          <w:marLeft w:val="0"/>
          <w:marRight w:val="0"/>
          <w:marTop w:val="0"/>
          <w:marBottom w:val="0"/>
          <w:divBdr>
            <w:top w:val="none" w:sz="0" w:space="0" w:color="auto"/>
            <w:left w:val="none" w:sz="0" w:space="0" w:color="auto"/>
            <w:bottom w:val="none" w:sz="0" w:space="0" w:color="auto"/>
            <w:right w:val="none" w:sz="0" w:space="0" w:color="auto"/>
          </w:divBdr>
        </w:div>
      </w:divsChild>
    </w:div>
    <w:div w:id="1966543839">
      <w:bodyDiv w:val="1"/>
      <w:marLeft w:val="0"/>
      <w:marRight w:val="0"/>
      <w:marTop w:val="0"/>
      <w:marBottom w:val="0"/>
      <w:divBdr>
        <w:top w:val="none" w:sz="0" w:space="0" w:color="auto"/>
        <w:left w:val="none" w:sz="0" w:space="0" w:color="auto"/>
        <w:bottom w:val="none" w:sz="0" w:space="0" w:color="auto"/>
        <w:right w:val="none" w:sz="0" w:space="0" w:color="auto"/>
      </w:divBdr>
      <w:divsChild>
        <w:div w:id="3870418">
          <w:marLeft w:val="0"/>
          <w:marRight w:val="0"/>
          <w:marTop w:val="0"/>
          <w:marBottom w:val="0"/>
          <w:divBdr>
            <w:top w:val="none" w:sz="0" w:space="0" w:color="auto"/>
            <w:left w:val="none" w:sz="0" w:space="0" w:color="auto"/>
            <w:bottom w:val="none" w:sz="0" w:space="0" w:color="auto"/>
            <w:right w:val="none" w:sz="0" w:space="0" w:color="auto"/>
          </w:divBdr>
          <w:divsChild>
            <w:div w:id="119154821">
              <w:marLeft w:val="0"/>
              <w:marRight w:val="0"/>
              <w:marTop w:val="0"/>
              <w:marBottom w:val="0"/>
              <w:divBdr>
                <w:top w:val="none" w:sz="0" w:space="0" w:color="auto"/>
                <w:left w:val="none" w:sz="0" w:space="0" w:color="auto"/>
                <w:bottom w:val="none" w:sz="0" w:space="0" w:color="auto"/>
                <w:right w:val="none" w:sz="0" w:space="0" w:color="auto"/>
              </w:divBdr>
            </w:div>
          </w:divsChild>
        </w:div>
        <w:div w:id="545609808">
          <w:marLeft w:val="0"/>
          <w:marRight w:val="0"/>
          <w:marTop w:val="0"/>
          <w:marBottom w:val="0"/>
          <w:divBdr>
            <w:top w:val="none" w:sz="0" w:space="0" w:color="auto"/>
            <w:left w:val="none" w:sz="0" w:space="0" w:color="auto"/>
            <w:bottom w:val="none" w:sz="0" w:space="0" w:color="auto"/>
            <w:right w:val="none" w:sz="0" w:space="0" w:color="auto"/>
          </w:divBdr>
          <w:divsChild>
            <w:div w:id="568535731">
              <w:marLeft w:val="0"/>
              <w:marRight w:val="0"/>
              <w:marTop w:val="0"/>
              <w:marBottom w:val="0"/>
              <w:divBdr>
                <w:top w:val="none" w:sz="0" w:space="0" w:color="auto"/>
                <w:left w:val="none" w:sz="0" w:space="0" w:color="auto"/>
                <w:bottom w:val="none" w:sz="0" w:space="0" w:color="auto"/>
                <w:right w:val="none" w:sz="0" w:space="0" w:color="auto"/>
              </w:divBdr>
            </w:div>
          </w:divsChild>
        </w:div>
        <w:div w:id="594751095">
          <w:marLeft w:val="0"/>
          <w:marRight w:val="0"/>
          <w:marTop w:val="0"/>
          <w:marBottom w:val="0"/>
          <w:divBdr>
            <w:top w:val="none" w:sz="0" w:space="0" w:color="auto"/>
            <w:left w:val="none" w:sz="0" w:space="0" w:color="auto"/>
            <w:bottom w:val="none" w:sz="0" w:space="0" w:color="auto"/>
            <w:right w:val="none" w:sz="0" w:space="0" w:color="auto"/>
          </w:divBdr>
          <w:divsChild>
            <w:div w:id="977078177">
              <w:marLeft w:val="0"/>
              <w:marRight w:val="0"/>
              <w:marTop w:val="0"/>
              <w:marBottom w:val="0"/>
              <w:divBdr>
                <w:top w:val="none" w:sz="0" w:space="0" w:color="auto"/>
                <w:left w:val="none" w:sz="0" w:space="0" w:color="auto"/>
                <w:bottom w:val="none" w:sz="0" w:space="0" w:color="auto"/>
                <w:right w:val="none" w:sz="0" w:space="0" w:color="auto"/>
              </w:divBdr>
            </w:div>
          </w:divsChild>
        </w:div>
        <w:div w:id="1086999660">
          <w:marLeft w:val="0"/>
          <w:marRight w:val="0"/>
          <w:marTop w:val="0"/>
          <w:marBottom w:val="0"/>
          <w:divBdr>
            <w:top w:val="none" w:sz="0" w:space="0" w:color="auto"/>
            <w:left w:val="none" w:sz="0" w:space="0" w:color="auto"/>
            <w:bottom w:val="none" w:sz="0" w:space="0" w:color="auto"/>
            <w:right w:val="none" w:sz="0" w:space="0" w:color="auto"/>
          </w:divBdr>
          <w:divsChild>
            <w:div w:id="31032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475916">
      <w:bodyDiv w:val="1"/>
      <w:marLeft w:val="0"/>
      <w:marRight w:val="0"/>
      <w:marTop w:val="0"/>
      <w:marBottom w:val="0"/>
      <w:divBdr>
        <w:top w:val="none" w:sz="0" w:space="0" w:color="auto"/>
        <w:left w:val="none" w:sz="0" w:space="0" w:color="auto"/>
        <w:bottom w:val="none" w:sz="0" w:space="0" w:color="auto"/>
        <w:right w:val="none" w:sz="0" w:space="0" w:color="auto"/>
      </w:divBdr>
    </w:div>
    <w:div w:id="2033798395">
      <w:bodyDiv w:val="1"/>
      <w:marLeft w:val="0"/>
      <w:marRight w:val="0"/>
      <w:marTop w:val="0"/>
      <w:marBottom w:val="0"/>
      <w:divBdr>
        <w:top w:val="none" w:sz="0" w:space="0" w:color="auto"/>
        <w:left w:val="none" w:sz="0" w:space="0" w:color="auto"/>
        <w:bottom w:val="none" w:sz="0" w:space="0" w:color="auto"/>
        <w:right w:val="none" w:sz="0" w:space="0" w:color="auto"/>
      </w:divBdr>
      <w:divsChild>
        <w:div w:id="546336782">
          <w:marLeft w:val="360"/>
          <w:marRight w:val="0"/>
          <w:marTop w:val="200"/>
          <w:marBottom w:val="0"/>
          <w:divBdr>
            <w:top w:val="none" w:sz="0" w:space="0" w:color="auto"/>
            <w:left w:val="none" w:sz="0" w:space="0" w:color="auto"/>
            <w:bottom w:val="none" w:sz="0" w:space="0" w:color="auto"/>
            <w:right w:val="none" w:sz="0" w:space="0" w:color="auto"/>
          </w:divBdr>
        </w:div>
      </w:divsChild>
    </w:div>
    <w:div w:id="2080782488">
      <w:bodyDiv w:val="1"/>
      <w:marLeft w:val="0"/>
      <w:marRight w:val="0"/>
      <w:marTop w:val="0"/>
      <w:marBottom w:val="0"/>
      <w:divBdr>
        <w:top w:val="none" w:sz="0" w:space="0" w:color="auto"/>
        <w:left w:val="none" w:sz="0" w:space="0" w:color="auto"/>
        <w:bottom w:val="none" w:sz="0" w:space="0" w:color="auto"/>
        <w:right w:val="none" w:sz="0" w:space="0" w:color="auto"/>
      </w:divBdr>
    </w:div>
    <w:div w:id="2086803212">
      <w:bodyDiv w:val="1"/>
      <w:marLeft w:val="0"/>
      <w:marRight w:val="0"/>
      <w:marTop w:val="0"/>
      <w:marBottom w:val="0"/>
      <w:divBdr>
        <w:top w:val="none" w:sz="0" w:space="0" w:color="auto"/>
        <w:left w:val="none" w:sz="0" w:space="0" w:color="auto"/>
        <w:bottom w:val="none" w:sz="0" w:space="0" w:color="auto"/>
        <w:right w:val="none" w:sz="0" w:space="0" w:color="auto"/>
      </w:divBdr>
    </w:div>
    <w:div w:id="2103187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svg"/><Relationship Id="rId34" Type="http://schemas.openxmlformats.org/officeDocument/2006/relationships/hyperlink" Target="https://doi.org/10.1002/ygh2.363" TargetMode="External"/><Relationship Id="rId42" Type="http://schemas.openxmlformats.org/officeDocument/2006/relationships/image" Target="media/image26.tiff"/><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emf"/><Relationship Id="rId63" Type="http://schemas.openxmlformats.org/officeDocument/2006/relationships/hyperlink" Target="http://pepitope.tau.ac.il/" TargetMode="External"/><Relationship Id="rId68" Type="http://schemas.openxmlformats.org/officeDocument/2006/relationships/chart" Target="charts/chart2.xml"/><Relationship Id="rId7" Type="http://schemas.openxmlformats.org/officeDocument/2006/relationships/endnotes" Target="endnotes.xml"/><Relationship Id="rId71" Type="http://schemas.openxmlformats.org/officeDocument/2006/relationships/image" Target="media/image48.emf"/><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4.svg"/><Relationship Id="rId11" Type="http://schemas.openxmlformats.org/officeDocument/2006/relationships/hyperlink" Target="https://d.docs.live.net/b54d355934249f4c/Documents/ATI%20thesis/My%20work/Uni%20work/PhD%20uni%20docs/Important%20docs/Tun%5eJ%20Gloria%5eJ%20160270969%20Thesis.docx"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tiff"/><Relationship Id="rId53" Type="http://schemas.openxmlformats.org/officeDocument/2006/relationships/image" Target="media/image37.png"/><Relationship Id="rId58" Type="http://schemas.openxmlformats.org/officeDocument/2006/relationships/image" Target="media/image41.svg"/><Relationship Id="rId66" Type="http://schemas.openxmlformats.org/officeDocument/2006/relationships/image" Target="media/image47.sv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0.tiff"/><Relationship Id="rId49" Type="http://schemas.openxmlformats.org/officeDocument/2006/relationships/image" Target="media/image33.sv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hyperlink" Target="https://d.docs.live.net/b54d355934249f4c/Documents/ATI%20thesis/My%20work/Uni%20work/PhD%20uni%20docs/Important%20docs/Tun%5eJ%20Gloria%5eJ%20160270969%20Thesis.docx" TargetMode="External"/><Relationship Id="rId19" Type="http://schemas.openxmlformats.org/officeDocument/2006/relationships/image" Target="media/image4.svg"/><Relationship Id="rId31" Type="http://schemas.openxmlformats.org/officeDocument/2006/relationships/image" Target="media/image16.svg"/><Relationship Id="rId44" Type="http://schemas.openxmlformats.org/officeDocument/2006/relationships/image" Target="media/image28.png"/><Relationship Id="rId52" Type="http://schemas.openxmlformats.org/officeDocument/2006/relationships/image" Target="media/image36.tiff"/><Relationship Id="rId60" Type="http://schemas.openxmlformats.org/officeDocument/2006/relationships/image" Target="media/image43.svg"/><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docs.live.net/b54d355934249f4c/Documents/ATI%20thesis/My%20work/Uni%20work/PhD%20uni%20docs/Important%20docs/Tun%5eJ%20Gloria%5eJ%20160270969%20Thesis.docx" TargetMode="External"/><Relationship Id="rId14" Type="http://schemas.openxmlformats.org/officeDocument/2006/relationships/diagramLayout" Target="diagrams/layout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tiff"/><Relationship Id="rId48" Type="http://schemas.openxmlformats.org/officeDocument/2006/relationships/image" Target="media/image32.png"/><Relationship Id="rId56" Type="http://schemas.openxmlformats.org/officeDocument/2006/relationships/oleObject" Target="embeddings/oleObject1.bin"/><Relationship Id="rId64" Type="http://schemas.openxmlformats.org/officeDocument/2006/relationships/hyperlink" Target="https://www.rcsb.org/structure" TargetMode="External"/><Relationship Id="rId69" Type="http://schemas.openxmlformats.org/officeDocument/2006/relationships/hyperlink" Target="http://pepitope.tau.ac.il/" TargetMode="Externa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diagramDrawing" Target="diagrams/drawing1.xml"/><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2.tiff"/><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chart" Target="charts/chart1.xml"/><Relationship Id="rId20" Type="http://schemas.openxmlformats.org/officeDocument/2006/relationships/image" Target="media/image5.png"/><Relationship Id="rId41" Type="http://schemas.openxmlformats.org/officeDocument/2006/relationships/image" Target="media/image25.svg"/><Relationship Id="rId54" Type="http://schemas.openxmlformats.org/officeDocument/2006/relationships/image" Target="media/image38.svg"/><Relationship Id="rId62" Type="http://schemas.openxmlformats.org/officeDocument/2006/relationships/image" Target="media/image45.svg"/><Relationship Id="rId70" Type="http://schemas.openxmlformats.org/officeDocument/2006/relationships/hyperlink" Target="https://doi.org/10.1002/ygh2.363" TargetMode="Externa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Pooled ATI positive sera</c:v>
                </c:pt>
              </c:strCache>
            </c:strRef>
          </c:tx>
          <c:spPr>
            <a:solidFill>
              <a:schemeClr val="accent1"/>
            </a:solidFill>
            <a:ln>
              <a:noFill/>
            </a:ln>
            <a:effectLst/>
          </c:spPr>
          <c:invertIfNegative val="0"/>
          <c:cat>
            <c:strRef>
              <c:f>Sheet1!$A$2:$A$5</c:f>
              <c:strCache>
                <c:ptCount val="4"/>
                <c:pt idx="0">
                  <c:v>RPL LC peptide 1</c:v>
                </c:pt>
                <c:pt idx="1">
                  <c:v>RPL HC peptide 2</c:v>
                </c:pt>
                <c:pt idx="2">
                  <c:v>RPL HC peptide 3</c:v>
                </c:pt>
                <c:pt idx="3">
                  <c:v>Control peptide</c:v>
                </c:pt>
              </c:strCache>
            </c:strRef>
          </c:cat>
          <c:val>
            <c:numRef>
              <c:f>Sheet1!$B$2:$B$5</c:f>
              <c:numCache>
                <c:formatCode>General</c:formatCode>
                <c:ptCount val="4"/>
                <c:pt idx="0">
                  <c:v>0.51</c:v>
                </c:pt>
                <c:pt idx="1">
                  <c:v>0.48</c:v>
                </c:pt>
                <c:pt idx="2">
                  <c:v>0.51</c:v>
                </c:pt>
                <c:pt idx="3">
                  <c:v>0.49</c:v>
                </c:pt>
              </c:numCache>
            </c:numRef>
          </c:val>
          <c:extLst>
            <c:ext xmlns:c16="http://schemas.microsoft.com/office/drawing/2014/chart" uri="{C3380CC4-5D6E-409C-BE32-E72D297353CC}">
              <c16:uniqueId val="{00000000-C678-4DD9-86FD-841E03DB5EBA}"/>
            </c:ext>
          </c:extLst>
        </c:ser>
        <c:ser>
          <c:idx val="1"/>
          <c:order val="1"/>
          <c:tx>
            <c:strRef>
              <c:f>Sheet1!$C$1</c:f>
              <c:strCache>
                <c:ptCount val="1"/>
                <c:pt idx="0">
                  <c:v>Column1</c:v>
                </c:pt>
              </c:strCache>
            </c:strRef>
          </c:tx>
          <c:spPr>
            <a:solidFill>
              <a:schemeClr val="accent2"/>
            </a:solidFill>
            <a:ln>
              <a:noFill/>
            </a:ln>
            <a:effectLst/>
          </c:spPr>
          <c:invertIfNegative val="0"/>
          <c:cat>
            <c:strRef>
              <c:f>Sheet1!$A$2:$A$5</c:f>
              <c:strCache>
                <c:ptCount val="4"/>
                <c:pt idx="0">
                  <c:v>RPL LC peptide 1</c:v>
                </c:pt>
                <c:pt idx="1">
                  <c:v>RPL HC peptide 2</c:v>
                </c:pt>
                <c:pt idx="2">
                  <c:v>RPL HC peptide 3</c:v>
                </c:pt>
                <c:pt idx="3">
                  <c:v>Control peptide</c:v>
                </c:pt>
              </c:strCache>
            </c:strRef>
          </c:cat>
          <c:val>
            <c:numRef>
              <c:f>Sheet1!$C$2:$C$5</c:f>
              <c:numCache>
                <c:formatCode>General</c:formatCode>
                <c:ptCount val="4"/>
              </c:numCache>
            </c:numRef>
          </c:val>
          <c:extLst>
            <c:ext xmlns:c16="http://schemas.microsoft.com/office/drawing/2014/chart" uri="{C3380CC4-5D6E-409C-BE32-E72D297353CC}">
              <c16:uniqueId val="{00000001-C678-4DD9-86FD-841E03DB5EBA}"/>
            </c:ext>
          </c:extLst>
        </c:ser>
        <c:ser>
          <c:idx val="2"/>
          <c:order val="2"/>
          <c:tx>
            <c:strRef>
              <c:f>Sheet1!$D$1</c:f>
              <c:strCache>
                <c:ptCount val="1"/>
                <c:pt idx="0">
                  <c:v>Column2</c:v>
                </c:pt>
              </c:strCache>
            </c:strRef>
          </c:tx>
          <c:spPr>
            <a:solidFill>
              <a:schemeClr val="accent3"/>
            </a:solidFill>
            <a:ln>
              <a:noFill/>
            </a:ln>
            <a:effectLst/>
          </c:spPr>
          <c:invertIfNegative val="0"/>
          <c:cat>
            <c:strRef>
              <c:f>Sheet1!$A$2:$A$5</c:f>
              <c:strCache>
                <c:ptCount val="4"/>
                <c:pt idx="0">
                  <c:v>RPL LC peptide 1</c:v>
                </c:pt>
                <c:pt idx="1">
                  <c:v>RPL HC peptide 2</c:v>
                </c:pt>
                <c:pt idx="2">
                  <c:v>RPL HC peptide 3</c:v>
                </c:pt>
                <c:pt idx="3">
                  <c:v>Control peptide</c:v>
                </c:pt>
              </c:strCache>
            </c:strRef>
          </c:cat>
          <c:val>
            <c:numRef>
              <c:f>Sheet1!$D$2:$D$5</c:f>
              <c:numCache>
                <c:formatCode>General</c:formatCode>
                <c:ptCount val="4"/>
              </c:numCache>
            </c:numRef>
          </c:val>
          <c:extLst>
            <c:ext xmlns:c16="http://schemas.microsoft.com/office/drawing/2014/chart" uri="{C3380CC4-5D6E-409C-BE32-E72D297353CC}">
              <c16:uniqueId val="{00000002-C678-4DD9-86FD-841E03DB5EBA}"/>
            </c:ext>
          </c:extLst>
        </c:ser>
        <c:dLbls>
          <c:showLegendKey val="0"/>
          <c:showVal val="0"/>
          <c:showCatName val="0"/>
          <c:showSerName val="0"/>
          <c:showPercent val="0"/>
          <c:showBubbleSize val="0"/>
        </c:dLbls>
        <c:gapWidth val="219"/>
        <c:overlap val="-27"/>
        <c:axId val="654308688"/>
        <c:axId val="654312288"/>
      </c:barChart>
      <c:catAx>
        <c:axId val="65430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312288"/>
        <c:crosses val="autoZero"/>
        <c:auto val="1"/>
        <c:lblAlgn val="ctr"/>
        <c:lblOffset val="100"/>
        <c:noMultiLvlLbl val="0"/>
      </c:catAx>
      <c:valAx>
        <c:axId val="65431228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405 nm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308688"/>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Serum 1</c:v>
                </c:pt>
              </c:strCache>
            </c:strRef>
          </c:tx>
          <c:spPr>
            <a:solidFill>
              <a:schemeClr val="accent1"/>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Sheet1!$B$2:$B$5</c:f>
              <c:numCache>
                <c:formatCode>General</c:formatCode>
                <c:ptCount val="4"/>
                <c:pt idx="0">
                  <c:v>0.9</c:v>
                </c:pt>
                <c:pt idx="1">
                  <c:v>1.1000000000000001</c:v>
                </c:pt>
                <c:pt idx="2">
                  <c:v>1.2</c:v>
                </c:pt>
                <c:pt idx="3">
                  <c:v>1.2</c:v>
                </c:pt>
              </c:numCache>
            </c:numRef>
          </c:val>
          <c:extLst>
            <c:ext xmlns:c16="http://schemas.microsoft.com/office/drawing/2014/chart" uri="{C3380CC4-5D6E-409C-BE32-E72D297353CC}">
              <c16:uniqueId val="{00000000-FBA3-4966-9123-ABD3501E5B32}"/>
            </c:ext>
          </c:extLst>
        </c:ser>
        <c:ser>
          <c:idx val="1"/>
          <c:order val="1"/>
          <c:tx>
            <c:strRef>
              <c:f>Sheet1!$C$1</c:f>
              <c:strCache>
                <c:ptCount val="1"/>
                <c:pt idx="0">
                  <c:v>Serum 2</c:v>
                </c:pt>
              </c:strCache>
            </c:strRef>
          </c:tx>
          <c:spPr>
            <a:solidFill>
              <a:schemeClr val="accent2"/>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Sheet1!$C$2:$C$5</c:f>
              <c:numCache>
                <c:formatCode>General</c:formatCode>
                <c:ptCount val="4"/>
                <c:pt idx="0">
                  <c:v>1</c:v>
                </c:pt>
                <c:pt idx="1">
                  <c:v>1</c:v>
                </c:pt>
                <c:pt idx="2">
                  <c:v>1.1000000000000001</c:v>
                </c:pt>
                <c:pt idx="3">
                  <c:v>1</c:v>
                </c:pt>
              </c:numCache>
            </c:numRef>
          </c:val>
          <c:extLst>
            <c:ext xmlns:c16="http://schemas.microsoft.com/office/drawing/2014/chart" uri="{C3380CC4-5D6E-409C-BE32-E72D297353CC}">
              <c16:uniqueId val="{00000001-FBA3-4966-9123-ABD3501E5B32}"/>
            </c:ext>
          </c:extLst>
        </c:ser>
        <c:ser>
          <c:idx val="2"/>
          <c:order val="2"/>
          <c:tx>
            <c:strRef>
              <c:f>Sheet1!$D$1</c:f>
              <c:strCache>
                <c:ptCount val="1"/>
                <c:pt idx="0">
                  <c:v>Serum 3</c:v>
                </c:pt>
              </c:strCache>
            </c:strRef>
          </c:tx>
          <c:spPr>
            <a:solidFill>
              <a:schemeClr val="accent3"/>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Sheet1!$D$2:$D$5</c:f>
              <c:numCache>
                <c:formatCode>General</c:formatCode>
                <c:ptCount val="4"/>
                <c:pt idx="0">
                  <c:v>1</c:v>
                </c:pt>
                <c:pt idx="1">
                  <c:v>1</c:v>
                </c:pt>
                <c:pt idx="2">
                  <c:v>1.2</c:v>
                </c:pt>
                <c:pt idx="3">
                  <c:v>1</c:v>
                </c:pt>
              </c:numCache>
            </c:numRef>
          </c:val>
          <c:extLst>
            <c:ext xmlns:c16="http://schemas.microsoft.com/office/drawing/2014/chart" uri="{C3380CC4-5D6E-409C-BE32-E72D297353CC}">
              <c16:uniqueId val="{00000002-FBA3-4966-9123-ABD3501E5B32}"/>
            </c:ext>
          </c:extLst>
        </c:ser>
        <c:ser>
          <c:idx val="3"/>
          <c:order val="3"/>
          <c:tx>
            <c:strRef>
              <c:f>Sheet1!$E$1</c:f>
              <c:strCache>
                <c:ptCount val="1"/>
                <c:pt idx="0">
                  <c:v>Serum 4</c:v>
                </c:pt>
              </c:strCache>
            </c:strRef>
          </c:tx>
          <c:spPr>
            <a:solidFill>
              <a:schemeClr val="accent4"/>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Sheet1!$E$2:$E$5</c:f>
              <c:numCache>
                <c:formatCode>General</c:formatCode>
                <c:ptCount val="4"/>
                <c:pt idx="0">
                  <c:v>0.9</c:v>
                </c:pt>
                <c:pt idx="1">
                  <c:v>0.9</c:v>
                </c:pt>
                <c:pt idx="2">
                  <c:v>1</c:v>
                </c:pt>
                <c:pt idx="3">
                  <c:v>1</c:v>
                </c:pt>
              </c:numCache>
            </c:numRef>
          </c:val>
          <c:extLst>
            <c:ext xmlns:c16="http://schemas.microsoft.com/office/drawing/2014/chart" uri="{C3380CC4-5D6E-409C-BE32-E72D297353CC}">
              <c16:uniqueId val="{00000003-FBA3-4966-9123-ABD3501E5B32}"/>
            </c:ext>
          </c:extLst>
        </c:ser>
        <c:ser>
          <c:idx val="4"/>
          <c:order val="4"/>
          <c:tx>
            <c:strRef>
              <c:f>Sheet1!$F$1</c:f>
              <c:strCache>
                <c:ptCount val="1"/>
                <c:pt idx="0">
                  <c:v>Serum 5</c:v>
                </c:pt>
              </c:strCache>
            </c:strRef>
          </c:tx>
          <c:spPr>
            <a:solidFill>
              <a:schemeClr val="accent5"/>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Sheet1!$F$2:$F$5</c:f>
              <c:numCache>
                <c:formatCode>General</c:formatCode>
                <c:ptCount val="4"/>
                <c:pt idx="0">
                  <c:v>1</c:v>
                </c:pt>
                <c:pt idx="1">
                  <c:v>1</c:v>
                </c:pt>
                <c:pt idx="2">
                  <c:v>1.1000000000000001</c:v>
                </c:pt>
                <c:pt idx="3">
                  <c:v>1.1000000000000001</c:v>
                </c:pt>
              </c:numCache>
            </c:numRef>
          </c:val>
          <c:extLst>
            <c:ext xmlns:c16="http://schemas.microsoft.com/office/drawing/2014/chart" uri="{C3380CC4-5D6E-409C-BE32-E72D297353CC}">
              <c16:uniqueId val="{00000004-FBA3-4966-9123-ABD3501E5B32}"/>
            </c:ext>
          </c:extLst>
        </c:ser>
        <c:ser>
          <c:idx val="5"/>
          <c:order val="5"/>
          <c:tx>
            <c:strRef>
              <c:f>Sheet1!$G$1</c:f>
              <c:strCache>
                <c:ptCount val="1"/>
                <c:pt idx="0">
                  <c:v>Serum 6</c:v>
                </c:pt>
              </c:strCache>
            </c:strRef>
          </c:tx>
          <c:spPr>
            <a:solidFill>
              <a:schemeClr val="accent6"/>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Sheet1!$G$2:$G$5</c:f>
              <c:numCache>
                <c:formatCode>General</c:formatCode>
                <c:ptCount val="4"/>
                <c:pt idx="0">
                  <c:v>1.3</c:v>
                </c:pt>
                <c:pt idx="1">
                  <c:v>1.1000000000000001</c:v>
                </c:pt>
                <c:pt idx="2">
                  <c:v>1.1000000000000001</c:v>
                </c:pt>
                <c:pt idx="3">
                  <c:v>1</c:v>
                </c:pt>
              </c:numCache>
            </c:numRef>
          </c:val>
          <c:extLst>
            <c:ext xmlns:c16="http://schemas.microsoft.com/office/drawing/2014/chart" uri="{C3380CC4-5D6E-409C-BE32-E72D297353CC}">
              <c16:uniqueId val="{00000005-FBA3-4966-9123-ABD3501E5B32}"/>
            </c:ext>
          </c:extLst>
        </c:ser>
        <c:ser>
          <c:idx val="6"/>
          <c:order val="6"/>
          <c:tx>
            <c:strRef>
              <c:f>Sheet1!$H$1</c:f>
              <c:strCache>
                <c:ptCount val="1"/>
                <c:pt idx="0">
                  <c:v>Serum 7</c:v>
                </c:pt>
              </c:strCache>
            </c:strRef>
          </c:tx>
          <c:spPr>
            <a:solidFill>
              <a:schemeClr val="accent1">
                <a:lumMod val="60000"/>
              </a:schemeClr>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Sheet1!$H$2:$H$5</c:f>
              <c:numCache>
                <c:formatCode>General</c:formatCode>
                <c:ptCount val="4"/>
                <c:pt idx="0">
                  <c:v>0.9</c:v>
                </c:pt>
                <c:pt idx="1">
                  <c:v>1</c:v>
                </c:pt>
                <c:pt idx="2">
                  <c:v>1</c:v>
                </c:pt>
                <c:pt idx="3">
                  <c:v>1</c:v>
                </c:pt>
              </c:numCache>
            </c:numRef>
          </c:val>
          <c:extLst>
            <c:ext xmlns:c16="http://schemas.microsoft.com/office/drawing/2014/chart" uri="{C3380CC4-5D6E-409C-BE32-E72D297353CC}">
              <c16:uniqueId val="{00000006-FBA3-4966-9123-ABD3501E5B32}"/>
            </c:ext>
          </c:extLst>
        </c:ser>
        <c:ser>
          <c:idx val="7"/>
          <c:order val="7"/>
          <c:tx>
            <c:strRef>
              <c:f>Sheet1!$I$1</c:f>
              <c:strCache>
                <c:ptCount val="1"/>
                <c:pt idx="0">
                  <c:v>Serum 8</c:v>
                </c:pt>
              </c:strCache>
            </c:strRef>
          </c:tx>
          <c:spPr>
            <a:solidFill>
              <a:schemeClr val="accent2">
                <a:lumMod val="60000"/>
              </a:schemeClr>
            </a:solidFill>
            <a:ln>
              <a:noFill/>
            </a:ln>
            <a:effectLst/>
          </c:spPr>
          <c:invertIfNegative val="0"/>
          <c:cat>
            <c:strRef>
              <c:f>Sheet1!$A$2:$A$5</c:f>
              <c:strCache>
                <c:ptCount val="4"/>
                <c:pt idx="0">
                  <c:v>PRL LC peptide 1</c:v>
                </c:pt>
                <c:pt idx="1">
                  <c:v>PRL HC peptide 2</c:v>
                </c:pt>
                <c:pt idx="2">
                  <c:v>RPL HC peptide 3</c:v>
                </c:pt>
                <c:pt idx="3">
                  <c:v>Control peptide</c:v>
                </c:pt>
              </c:strCache>
            </c:strRef>
          </c:cat>
          <c:val>
            <c:numRef>
              <c:f>Sheet1!$I$2:$I$5</c:f>
              <c:numCache>
                <c:formatCode>General</c:formatCode>
                <c:ptCount val="4"/>
                <c:pt idx="0">
                  <c:v>1.1000000000000001</c:v>
                </c:pt>
                <c:pt idx="1">
                  <c:v>1.1000000000000001</c:v>
                </c:pt>
                <c:pt idx="2">
                  <c:v>1.1000000000000001</c:v>
                </c:pt>
                <c:pt idx="3">
                  <c:v>1.1000000000000001</c:v>
                </c:pt>
              </c:numCache>
            </c:numRef>
          </c:val>
          <c:extLst>
            <c:ext xmlns:c16="http://schemas.microsoft.com/office/drawing/2014/chart" uri="{C3380CC4-5D6E-409C-BE32-E72D297353CC}">
              <c16:uniqueId val="{00000007-FBA3-4966-9123-ABD3501E5B32}"/>
            </c:ext>
          </c:extLst>
        </c:ser>
        <c:dLbls>
          <c:showLegendKey val="0"/>
          <c:showVal val="0"/>
          <c:showCatName val="0"/>
          <c:showSerName val="0"/>
          <c:showPercent val="0"/>
          <c:showBubbleSize val="0"/>
        </c:dLbls>
        <c:gapWidth val="219"/>
        <c:overlap val="-27"/>
        <c:axId val="423500968"/>
        <c:axId val="423498088"/>
      </c:barChart>
      <c:catAx>
        <c:axId val="423500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498088"/>
        <c:crosses val="autoZero"/>
        <c:auto val="1"/>
        <c:lblAlgn val="ctr"/>
        <c:lblOffset val="100"/>
        <c:noMultiLvlLbl val="0"/>
      </c:catAx>
      <c:valAx>
        <c:axId val="423498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405 nm</a:t>
                </a:r>
              </a:p>
              <a:p>
                <a:pPr>
                  <a:defRPr/>
                </a:pP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500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B5F125-395E-4D00-873D-84D0438D15A8}" type="doc">
      <dgm:prSet loTypeId="urn:microsoft.com/office/officeart/2005/8/layout/pyramid1" loCatId="pyramid" qsTypeId="urn:microsoft.com/office/officeart/2005/8/quickstyle/simple1" qsCatId="simple" csTypeId="urn:microsoft.com/office/officeart/2005/8/colors/colorful1" csCatId="colorful" phldr="1"/>
      <dgm:spPr/>
    </dgm:pt>
    <dgm:pt modelId="{6886C0D1-D083-4DAD-9303-DC10704C101A}">
      <dgm:prSet phldrT="[Text]" custT="1"/>
      <dgm:spPr/>
      <dgm:t>
        <a:bodyPr/>
        <a:lstStyle/>
        <a:p>
          <a:endParaRPr lang="en-GB" sz="1100">
            <a:latin typeface="Times New Roman" panose="02020603050405020304" pitchFamily="18" charset="0"/>
            <a:cs typeface="Times New Roman" panose="02020603050405020304" pitchFamily="18" charset="0"/>
          </a:endParaRPr>
        </a:p>
        <a:p>
          <a:endParaRPr lang="en-GB" sz="1100">
            <a:latin typeface="Times New Roman" panose="02020603050405020304" pitchFamily="18" charset="0"/>
            <a:cs typeface="Times New Roman" panose="02020603050405020304" pitchFamily="18" charset="0"/>
          </a:endParaRPr>
        </a:p>
        <a:p>
          <a:r>
            <a:rPr lang="en-GB" sz="1200" b="1">
              <a:latin typeface="Times New Roman" panose="02020603050405020304" pitchFamily="18" charset="0"/>
              <a:cs typeface="Times New Roman" panose="02020603050405020304" pitchFamily="18" charset="0"/>
            </a:rPr>
            <a:t>Biologics </a:t>
          </a:r>
        </a:p>
        <a:p>
          <a:r>
            <a:rPr lang="en-GB" sz="1200" b="1">
              <a:latin typeface="Times New Roman" panose="02020603050405020304" pitchFamily="18" charset="0"/>
              <a:cs typeface="Times New Roman" panose="02020603050405020304" pitchFamily="18" charset="0"/>
            </a:rPr>
            <a:t>and </a:t>
          </a:r>
        </a:p>
        <a:p>
          <a:r>
            <a:rPr lang="en-GB" sz="1200" b="1">
              <a:latin typeface="Times New Roman" panose="02020603050405020304" pitchFamily="18" charset="0"/>
              <a:cs typeface="Times New Roman" panose="02020603050405020304" pitchFamily="18" charset="0"/>
            </a:rPr>
            <a:t>small molecules</a:t>
          </a:r>
        </a:p>
      </dgm:t>
    </dgm:pt>
    <dgm:pt modelId="{21C34581-A50A-4553-B3A8-9EB84B4A8361}" type="parTrans" cxnId="{5486F800-3000-4337-8DE8-CF75F8BB7273}">
      <dgm:prSet/>
      <dgm:spPr/>
      <dgm:t>
        <a:bodyPr/>
        <a:lstStyle/>
        <a:p>
          <a:endParaRPr lang="en-GB"/>
        </a:p>
      </dgm:t>
    </dgm:pt>
    <dgm:pt modelId="{DD326B83-C327-44AD-A2CD-6DFB14B30F7F}" type="sibTrans" cxnId="{5486F800-3000-4337-8DE8-CF75F8BB7273}">
      <dgm:prSet/>
      <dgm:spPr/>
      <dgm:t>
        <a:bodyPr/>
        <a:lstStyle/>
        <a:p>
          <a:endParaRPr lang="en-GB"/>
        </a:p>
      </dgm:t>
    </dgm:pt>
    <dgm:pt modelId="{E33A8BD8-5AFB-4F6A-9361-0E16BB600DBF}">
      <dgm:prSet phldrT="[Text]" custT="1"/>
      <dgm:spPr/>
      <dgm:t>
        <a:bodyPr/>
        <a:lstStyle/>
        <a:p>
          <a:r>
            <a:rPr lang="en-GB" sz="1200" b="1">
              <a:latin typeface="Times New Roman" panose="02020603050405020304" pitchFamily="18" charset="0"/>
              <a:cs typeface="Times New Roman" panose="02020603050405020304" pitchFamily="18" charset="0"/>
            </a:rPr>
            <a:t>Immunomodulators: thiopurines and methotrexate </a:t>
          </a:r>
        </a:p>
        <a:p>
          <a:r>
            <a:rPr lang="en-GB" sz="1200" b="1">
              <a:latin typeface="Times New Roman" panose="02020603050405020304" pitchFamily="18" charset="0"/>
              <a:cs typeface="Times New Roman" panose="02020603050405020304" pitchFamily="18" charset="0"/>
            </a:rPr>
            <a:t>(maintenance only)</a:t>
          </a:r>
        </a:p>
      </dgm:t>
    </dgm:pt>
    <dgm:pt modelId="{1BC811F5-7079-44A3-A637-48E49FADADF2}" type="parTrans" cxnId="{36EDE5DE-5AB3-4F37-9548-57055E681695}">
      <dgm:prSet/>
      <dgm:spPr/>
      <dgm:t>
        <a:bodyPr/>
        <a:lstStyle/>
        <a:p>
          <a:endParaRPr lang="en-GB"/>
        </a:p>
      </dgm:t>
    </dgm:pt>
    <dgm:pt modelId="{2C72CA6A-190D-4402-A91D-A49C48752DF3}" type="sibTrans" cxnId="{36EDE5DE-5AB3-4F37-9548-57055E681695}">
      <dgm:prSet/>
      <dgm:spPr/>
      <dgm:t>
        <a:bodyPr/>
        <a:lstStyle/>
        <a:p>
          <a:endParaRPr lang="en-GB"/>
        </a:p>
      </dgm:t>
    </dgm:pt>
    <dgm:pt modelId="{0A5A53F7-22EC-4153-A96F-BFF198A15F51}">
      <dgm:prSet custT="1"/>
      <dgm:spPr/>
      <dgm:t>
        <a:bodyPr/>
        <a:lstStyle/>
        <a:p>
          <a:r>
            <a:rPr lang="en-GB" sz="1200" b="1">
              <a:latin typeface="Times New Roman" panose="02020603050405020304" pitchFamily="18" charset="0"/>
              <a:cs typeface="Times New Roman" panose="02020603050405020304" pitchFamily="18" charset="0"/>
            </a:rPr>
            <a:t>Corticosteroids: </a:t>
          </a:r>
        </a:p>
        <a:p>
          <a:r>
            <a:rPr lang="en-GB" sz="1200" b="1">
              <a:latin typeface="Times New Roman" panose="02020603050405020304" pitchFamily="18" charset="0"/>
              <a:cs typeface="Times New Roman" panose="02020603050405020304" pitchFamily="18" charset="0"/>
            </a:rPr>
            <a:t>prednisolone and budesonide </a:t>
          </a:r>
        </a:p>
        <a:p>
          <a:r>
            <a:rPr lang="en-GB" sz="1200" b="1">
              <a:latin typeface="Times New Roman" panose="02020603050405020304" pitchFamily="18" charset="0"/>
              <a:cs typeface="Times New Roman" panose="02020603050405020304" pitchFamily="18" charset="0"/>
            </a:rPr>
            <a:t>(induction only)</a:t>
          </a:r>
        </a:p>
      </dgm:t>
    </dgm:pt>
    <dgm:pt modelId="{D7727E0B-D314-41B8-996E-535724225CB0}" type="parTrans" cxnId="{68872CF9-2BA4-4E50-BC4E-ED69AB61BEB5}">
      <dgm:prSet/>
      <dgm:spPr/>
      <dgm:t>
        <a:bodyPr/>
        <a:lstStyle/>
        <a:p>
          <a:endParaRPr lang="en-GB"/>
        </a:p>
      </dgm:t>
    </dgm:pt>
    <dgm:pt modelId="{FB383684-C71C-404A-86ED-C230D84EC0DE}" type="sibTrans" cxnId="{68872CF9-2BA4-4E50-BC4E-ED69AB61BEB5}">
      <dgm:prSet/>
      <dgm:spPr/>
      <dgm:t>
        <a:bodyPr/>
        <a:lstStyle/>
        <a:p>
          <a:endParaRPr lang="en-GB"/>
        </a:p>
      </dgm:t>
    </dgm:pt>
    <dgm:pt modelId="{A1377658-75C7-41C3-A160-FCDD558F5793}">
      <dgm:prSet custT="1"/>
      <dgm:spPr/>
      <dgm:t>
        <a:bodyPr/>
        <a:lstStyle/>
        <a:p>
          <a:r>
            <a:rPr lang="en-GB" sz="1200" b="1">
              <a:latin typeface="Times New Roman" panose="02020603050405020304" pitchFamily="18" charset="0"/>
              <a:cs typeface="Times New Roman" panose="02020603050405020304" pitchFamily="18" charset="0"/>
            </a:rPr>
            <a:t>Aminosalicylates </a:t>
          </a:r>
        </a:p>
        <a:p>
          <a:r>
            <a:rPr lang="en-GB" sz="1200" b="1">
              <a:latin typeface="Times New Roman" panose="02020603050405020304" pitchFamily="18" charset="0"/>
              <a:cs typeface="Times New Roman" panose="02020603050405020304" pitchFamily="18" charset="0"/>
            </a:rPr>
            <a:t>(ulcerative colitis only)</a:t>
          </a:r>
        </a:p>
      </dgm:t>
    </dgm:pt>
    <dgm:pt modelId="{AC73D0CD-2A6C-4D05-8E9E-67D537D59904}" type="parTrans" cxnId="{44D9CBCF-200C-4C21-8C34-6B1FBA3F06F1}">
      <dgm:prSet/>
      <dgm:spPr/>
      <dgm:t>
        <a:bodyPr/>
        <a:lstStyle/>
        <a:p>
          <a:endParaRPr lang="en-GB"/>
        </a:p>
      </dgm:t>
    </dgm:pt>
    <dgm:pt modelId="{DB9AA092-2BA7-4612-A8D7-AC967DF8775D}" type="sibTrans" cxnId="{44D9CBCF-200C-4C21-8C34-6B1FBA3F06F1}">
      <dgm:prSet/>
      <dgm:spPr/>
      <dgm:t>
        <a:bodyPr/>
        <a:lstStyle/>
        <a:p>
          <a:endParaRPr lang="en-GB"/>
        </a:p>
      </dgm:t>
    </dgm:pt>
    <dgm:pt modelId="{6918DC8F-3447-4105-8481-5859FE5E6E2C}" type="pres">
      <dgm:prSet presAssocID="{28B5F125-395E-4D00-873D-84D0438D15A8}" presName="Name0" presStyleCnt="0">
        <dgm:presLayoutVars>
          <dgm:dir/>
          <dgm:animLvl val="lvl"/>
          <dgm:resizeHandles val="exact"/>
        </dgm:presLayoutVars>
      </dgm:prSet>
      <dgm:spPr/>
    </dgm:pt>
    <dgm:pt modelId="{42FC1BCD-5ADA-423E-9357-28842883587A}" type="pres">
      <dgm:prSet presAssocID="{6886C0D1-D083-4DAD-9303-DC10704C101A}" presName="Name8" presStyleCnt="0"/>
      <dgm:spPr/>
    </dgm:pt>
    <dgm:pt modelId="{07025931-4B64-4F47-AC88-2AE035FA34A3}" type="pres">
      <dgm:prSet presAssocID="{6886C0D1-D083-4DAD-9303-DC10704C101A}" presName="level" presStyleLbl="node1" presStyleIdx="0" presStyleCnt="4" custScaleX="101971" custScaleY="141897" custLinFactNeighborX="1215" custLinFactNeighborY="1127">
        <dgm:presLayoutVars>
          <dgm:chMax val="1"/>
          <dgm:bulletEnabled val="1"/>
        </dgm:presLayoutVars>
      </dgm:prSet>
      <dgm:spPr/>
    </dgm:pt>
    <dgm:pt modelId="{43826BB1-1841-4443-8E2A-D7F2FB85CB30}" type="pres">
      <dgm:prSet presAssocID="{6886C0D1-D083-4DAD-9303-DC10704C101A}" presName="levelTx" presStyleLbl="revTx" presStyleIdx="0" presStyleCnt="0">
        <dgm:presLayoutVars>
          <dgm:chMax val="1"/>
          <dgm:bulletEnabled val="1"/>
        </dgm:presLayoutVars>
      </dgm:prSet>
      <dgm:spPr/>
    </dgm:pt>
    <dgm:pt modelId="{D6AA592C-4ED4-4FE9-B2BC-19C36A59E87A}" type="pres">
      <dgm:prSet presAssocID="{E33A8BD8-5AFB-4F6A-9361-0E16BB600DBF}" presName="Name8" presStyleCnt="0"/>
      <dgm:spPr/>
    </dgm:pt>
    <dgm:pt modelId="{E8CB234F-75EE-4C2E-8CC3-D7022F67D5B6}" type="pres">
      <dgm:prSet presAssocID="{E33A8BD8-5AFB-4F6A-9361-0E16BB600DBF}" presName="level" presStyleLbl="node1" presStyleIdx="1" presStyleCnt="4">
        <dgm:presLayoutVars>
          <dgm:chMax val="1"/>
          <dgm:bulletEnabled val="1"/>
        </dgm:presLayoutVars>
      </dgm:prSet>
      <dgm:spPr/>
    </dgm:pt>
    <dgm:pt modelId="{8E18646A-2191-4DC0-98AC-811CE6DB1C50}" type="pres">
      <dgm:prSet presAssocID="{E33A8BD8-5AFB-4F6A-9361-0E16BB600DBF}" presName="levelTx" presStyleLbl="revTx" presStyleIdx="0" presStyleCnt="0">
        <dgm:presLayoutVars>
          <dgm:chMax val="1"/>
          <dgm:bulletEnabled val="1"/>
        </dgm:presLayoutVars>
      </dgm:prSet>
      <dgm:spPr/>
    </dgm:pt>
    <dgm:pt modelId="{A7F47110-6C73-4053-AC59-96660153E36E}" type="pres">
      <dgm:prSet presAssocID="{0A5A53F7-22EC-4153-A96F-BFF198A15F51}" presName="Name8" presStyleCnt="0"/>
      <dgm:spPr/>
    </dgm:pt>
    <dgm:pt modelId="{401F067D-A27A-482B-B594-7CB0580831E0}" type="pres">
      <dgm:prSet presAssocID="{0A5A53F7-22EC-4153-A96F-BFF198A15F51}" presName="level" presStyleLbl="node1" presStyleIdx="2" presStyleCnt="4">
        <dgm:presLayoutVars>
          <dgm:chMax val="1"/>
          <dgm:bulletEnabled val="1"/>
        </dgm:presLayoutVars>
      </dgm:prSet>
      <dgm:spPr/>
    </dgm:pt>
    <dgm:pt modelId="{6939482B-2BDE-486E-99A1-2A1082DBBA53}" type="pres">
      <dgm:prSet presAssocID="{0A5A53F7-22EC-4153-A96F-BFF198A15F51}" presName="levelTx" presStyleLbl="revTx" presStyleIdx="0" presStyleCnt="0">
        <dgm:presLayoutVars>
          <dgm:chMax val="1"/>
          <dgm:bulletEnabled val="1"/>
        </dgm:presLayoutVars>
      </dgm:prSet>
      <dgm:spPr/>
    </dgm:pt>
    <dgm:pt modelId="{E7BBF20E-143A-4A7D-846B-32F283F085F8}" type="pres">
      <dgm:prSet presAssocID="{A1377658-75C7-41C3-A160-FCDD558F5793}" presName="Name8" presStyleCnt="0"/>
      <dgm:spPr/>
    </dgm:pt>
    <dgm:pt modelId="{BA2E0BBD-EED6-4965-B21E-31E9A0C54FE4}" type="pres">
      <dgm:prSet presAssocID="{A1377658-75C7-41C3-A160-FCDD558F5793}" presName="level" presStyleLbl="node1" presStyleIdx="3" presStyleCnt="4">
        <dgm:presLayoutVars>
          <dgm:chMax val="1"/>
          <dgm:bulletEnabled val="1"/>
        </dgm:presLayoutVars>
      </dgm:prSet>
      <dgm:spPr/>
    </dgm:pt>
    <dgm:pt modelId="{2CB87931-8A85-463C-9253-5ABB415DFB47}" type="pres">
      <dgm:prSet presAssocID="{A1377658-75C7-41C3-A160-FCDD558F5793}" presName="levelTx" presStyleLbl="revTx" presStyleIdx="0" presStyleCnt="0">
        <dgm:presLayoutVars>
          <dgm:chMax val="1"/>
          <dgm:bulletEnabled val="1"/>
        </dgm:presLayoutVars>
      </dgm:prSet>
      <dgm:spPr/>
    </dgm:pt>
  </dgm:ptLst>
  <dgm:cxnLst>
    <dgm:cxn modelId="{5486F800-3000-4337-8DE8-CF75F8BB7273}" srcId="{28B5F125-395E-4D00-873D-84D0438D15A8}" destId="{6886C0D1-D083-4DAD-9303-DC10704C101A}" srcOrd="0" destOrd="0" parTransId="{21C34581-A50A-4553-B3A8-9EB84B4A8361}" sibTransId="{DD326B83-C327-44AD-A2CD-6DFB14B30F7F}"/>
    <dgm:cxn modelId="{D8866109-CE00-4EA2-A21F-D7217A08A7AB}" type="presOf" srcId="{6886C0D1-D083-4DAD-9303-DC10704C101A}" destId="{43826BB1-1841-4443-8E2A-D7F2FB85CB30}" srcOrd="1" destOrd="0" presId="urn:microsoft.com/office/officeart/2005/8/layout/pyramid1"/>
    <dgm:cxn modelId="{5A129718-27C8-49CA-902E-F968A530D3AC}" type="presOf" srcId="{0A5A53F7-22EC-4153-A96F-BFF198A15F51}" destId="{401F067D-A27A-482B-B594-7CB0580831E0}" srcOrd="0" destOrd="0" presId="urn:microsoft.com/office/officeart/2005/8/layout/pyramid1"/>
    <dgm:cxn modelId="{DFFE4E2E-DD91-4727-9385-98416C61E9AD}" type="presOf" srcId="{0A5A53F7-22EC-4153-A96F-BFF198A15F51}" destId="{6939482B-2BDE-486E-99A1-2A1082DBBA53}" srcOrd="1" destOrd="0" presId="urn:microsoft.com/office/officeart/2005/8/layout/pyramid1"/>
    <dgm:cxn modelId="{300FAF4C-0DAE-45EA-8D41-EFD3951544D5}" type="presOf" srcId="{E33A8BD8-5AFB-4F6A-9361-0E16BB600DBF}" destId="{8E18646A-2191-4DC0-98AC-811CE6DB1C50}" srcOrd="1" destOrd="0" presId="urn:microsoft.com/office/officeart/2005/8/layout/pyramid1"/>
    <dgm:cxn modelId="{604CD058-3F5E-4A7D-B1DC-51A50D65A6A9}" type="presOf" srcId="{A1377658-75C7-41C3-A160-FCDD558F5793}" destId="{2CB87931-8A85-463C-9253-5ABB415DFB47}" srcOrd="1" destOrd="0" presId="urn:microsoft.com/office/officeart/2005/8/layout/pyramid1"/>
    <dgm:cxn modelId="{A3CD5085-E2F7-4EA6-80DB-D1D55B7F06EC}" type="presOf" srcId="{28B5F125-395E-4D00-873D-84D0438D15A8}" destId="{6918DC8F-3447-4105-8481-5859FE5E6E2C}" srcOrd="0" destOrd="0" presId="urn:microsoft.com/office/officeart/2005/8/layout/pyramid1"/>
    <dgm:cxn modelId="{9156E794-B2A8-4B2F-B471-FDB4532474D5}" type="presOf" srcId="{A1377658-75C7-41C3-A160-FCDD558F5793}" destId="{BA2E0BBD-EED6-4965-B21E-31E9A0C54FE4}" srcOrd="0" destOrd="0" presId="urn:microsoft.com/office/officeart/2005/8/layout/pyramid1"/>
    <dgm:cxn modelId="{C589FFAB-345E-4A44-9EC1-C2433D6E7BB8}" type="presOf" srcId="{6886C0D1-D083-4DAD-9303-DC10704C101A}" destId="{07025931-4B64-4F47-AC88-2AE035FA34A3}" srcOrd="0" destOrd="0" presId="urn:microsoft.com/office/officeart/2005/8/layout/pyramid1"/>
    <dgm:cxn modelId="{44D9CBCF-200C-4C21-8C34-6B1FBA3F06F1}" srcId="{28B5F125-395E-4D00-873D-84D0438D15A8}" destId="{A1377658-75C7-41C3-A160-FCDD558F5793}" srcOrd="3" destOrd="0" parTransId="{AC73D0CD-2A6C-4D05-8E9E-67D537D59904}" sibTransId="{DB9AA092-2BA7-4612-A8D7-AC967DF8775D}"/>
    <dgm:cxn modelId="{BF8F10DD-5CA8-42B0-84C5-046465B70EC3}" type="presOf" srcId="{E33A8BD8-5AFB-4F6A-9361-0E16BB600DBF}" destId="{E8CB234F-75EE-4C2E-8CC3-D7022F67D5B6}" srcOrd="0" destOrd="0" presId="urn:microsoft.com/office/officeart/2005/8/layout/pyramid1"/>
    <dgm:cxn modelId="{36EDE5DE-5AB3-4F37-9548-57055E681695}" srcId="{28B5F125-395E-4D00-873D-84D0438D15A8}" destId="{E33A8BD8-5AFB-4F6A-9361-0E16BB600DBF}" srcOrd="1" destOrd="0" parTransId="{1BC811F5-7079-44A3-A637-48E49FADADF2}" sibTransId="{2C72CA6A-190D-4402-A91D-A49C48752DF3}"/>
    <dgm:cxn modelId="{68872CF9-2BA4-4E50-BC4E-ED69AB61BEB5}" srcId="{28B5F125-395E-4D00-873D-84D0438D15A8}" destId="{0A5A53F7-22EC-4153-A96F-BFF198A15F51}" srcOrd="2" destOrd="0" parTransId="{D7727E0B-D314-41B8-996E-535724225CB0}" sibTransId="{FB383684-C71C-404A-86ED-C230D84EC0DE}"/>
    <dgm:cxn modelId="{D66349B1-46F6-4FA7-B6C6-62F559DF9419}" type="presParOf" srcId="{6918DC8F-3447-4105-8481-5859FE5E6E2C}" destId="{42FC1BCD-5ADA-423E-9357-28842883587A}" srcOrd="0" destOrd="0" presId="urn:microsoft.com/office/officeart/2005/8/layout/pyramid1"/>
    <dgm:cxn modelId="{B9CD2691-96E6-4EA2-B482-D26BAA9BB920}" type="presParOf" srcId="{42FC1BCD-5ADA-423E-9357-28842883587A}" destId="{07025931-4B64-4F47-AC88-2AE035FA34A3}" srcOrd="0" destOrd="0" presId="urn:microsoft.com/office/officeart/2005/8/layout/pyramid1"/>
    <dgm:cxn modelId="{92ADB5C2-D612-4129-9FA8-04C65870A6B8}" type="presParOf" srcId="{42FC1BCD-5ADA-423E-9357-28842883587A}" destId="{43826BB1-1841-4443-8E2A-D7F2FB85CB30}" srcOrd="1" destOrd="0" presId="urn:microsoft.com/office/officeart/2005/8/layout/pyramid1"/>
    <dgm:cxn modelId="{B86A3C5B-3C17-43DD-AEA7-EF802DAD8593}" type="presParOf" srcId="{6918DC8F-3447-4105-8481-5859FE5E6E2C}" destId="{D6AA592C-4ED4-4FE9-B2BC-19C36A59E87A}" srcOrd="1" destOrd="0" presId="urn:microsoft.com/office/officeart/2005/8/layout/pyramid1"/>
    <dgm:cxn modelId="{138C4B58-2AF5-41AF-80B6-3F9525CAB801}" type="presParOf" srcId="{D6AA592C-4ED4-4FE9-B2BC-19C36A59E87A}" destId="{E8CB234F-75EE-4C2E-8CC3-D7022F67D5B6}" srcOrd="0" destOrd="0" presId="urn:microsoft.com/office/officeart/2005/8/layout/pyramid1"/>
    <dgm:cxn modelId="{86B0A1BB-95DC-4DFE-9733-8F262BDBA556}" type="presParOf" srcId="{D6AA592C-4ED4-4FE9-B2BC-19C36A59E87A}" destId="{8E18646A-2191-4DC0-98AC-811CE6DB1C50}" srcOrd="1" destOrd="0" presId="urn:microsoft.com/office/officeart/2005/8/layout/pyramid1"/>
    <dgm:cxn modelId="{573094D3-3FCE-4BE9-8A37-FB65A691CAF1}" type="presParOf" srcId="{6918DC8F-3447-4105-8481-5859FE5E6E2C}" destId="{A7F47110-6C73-4053-AC59-96660153E36E}" srcOrd="2" destOrd="0" presId="urn:microsoft.com/office/officeart/2005/8/layout/pyramid1"/>
    <dgm:cxn modelId="{C5A6DA3F-79F2-4002-9BE9-3A0A42F16DAE}" type="presParOf" srcId="{A7F47110-6C73-4053-AC59-96660153E36E}" destId="{401F067D-A27A-482B-B594-7CB0580831E0}" srcOrd="0" destOrd="0" presId="urn:microsoft.com/office/officeart/2005/8/layout/pyramid1"/>
    <dgm:cxn modelId="{8EF37EFA-ED61-436C-9D26-428AE75C64E6}" type="presParOf" srcId="{A7F47110-6C73-4053-AC59-96660153E36E}" destId="{6939482B-2BDE-486E-99A1-2A1082DBBA53}" srcOrd="1" destOrd="0" presId="urn:microsoft.com/office/officeart/2005/8/layout/pyramid1"/>
    <dgm:cxn modelId="{1DC989C0-3529-45AA-9A45-2076C38D4459}" type="presParOf" srcId="{6918DC8F-3447-4105-8481-5859FE5E6E2C}" destId="{E7BBF20E-143A-4A7D-846B-32F283F085F8}" srcOrd="3" destOrd="0" presId="urn:microsoft.com/office/officeart/2005/8/layout/pyramid1"/>
    <dgm:cxn modelId="{7564C9B5-4172-430E-B5DE-42D42D818F81}" type="presParOf" srcId="{E7BBF20E-143A-4A7D-846B-32F283F085F8}" destId="{BA2E0BBD-EED6-4965-B21E-31E9A0C54FE4}" srcOrd="0" destOrd="0" presId="urn:microsoft.com/office/officeart/2005/8/layout/pyramid1"/>
    <dgm:cxn modelId="{5BA68714-09FD-4FE5-B3EC-711D6BDA202A}" type="presParOf" srcId="{E7BBF20E-143A-4A7D-846B-32F283F085F8}" destId="{2CB87931-8A85-463C-9253-5ABB415DFB47}" srcOrd="1" destOrd="0" presId="urn:microsoft.com/office/officeart/2005/8/layout/pyramid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025931-4B64-4F47-AC88-2AE035FA34A3}">
      <dsp:nvSpPr>
        <dsp:cNvPr id="0" name=""/>
        <dsp:cNvSpPr/>
      </dsp:nvSpPr>
      <dsp:spPr>
        <a:xfrm>
          <a:off x="1419224" y="9182"/>
          <a:ext cx="1366054" cy="1156136"/>
        </a:xfrm>
        <a:prstGeom prst="trapezoid">
          <a:avLst>
            <a:gd name="adj" fmla="val 57937"/>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a:p>
          <a:pPr marL="0" lvl="0" indent="0" algn="ctr" defTabSz="488950">
            <a:lnSpc>
              <a:spcPct val="90000"/>
            </a:lnSpc>
            <a:spcBef>
              <a:spcPct val="0"/>
            </a:spcBef>
            <a:spcAft>
              <a:spcPct val="35000"/>
            </a:spcAft>
            <a:buNone/>
          </a:pPr>
          <a:endParaRPr lang="en-GB" sz="1100" kern="1200">
            <a:latin typeface="Times New Roman" panose="02020603050405020304" pitchFamily="18" charset="0"/>
            <a:cs typeface="Times New Roman" panose="02020603050405020304" pitchFamily="18" charset="0"/>
          </a:endParaRPr>
        </a:p>
        <a:p>
          <a:pPr marL="0" lvl="0" indent="0" algn="ctr" defTabSz="48895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Biologics </a:t>
          </a:r>
        </a:p>
        <a:p>
          <a:pPr marL="0" lvl="0" indent="0" algn="ctr" defTabSz="48895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and </a:t>
          </a:r>
        </a:p>
        <a:p>
          <a:pPr marL="0" lvl="0" indent="0" algn="ctr" defTabSz="48895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small molecules</a:t>
          </a:r>
        </a:p>
      </dsp:txBody>
      <dsp:txXfrm>
        <a:off x="1419224" y="9182"/>
        <a:ext cx="1366054" cy="1156136"/>
      </dsp:txXfrm>
    </dsp:sp>
    <dsp:sp modelId="{E8CB234F-75EE-4C2E-8CC3-D7022F67D5B6}">
      <dsp:nvSpPr>
        <dsp:cNvPr id="0" name=""/>
        <dsp:cNvSpPr/>
      </dsp:nvSpPr>
      <dsp:spPr>
        <a:xfrm>
          <a:off x="944100" y="1156136"/>
          <a:ext cx="2283749" cy="814771"/>
        </a:xfrm>
        <a:prstGeom prst="trapezoid">
          <a:avLst>
            <a:gd name="adj" fmla="val 57937"/>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Immunomodulators: thiopurines and methotrexate </a:t>
          </a:r>
        </a:p>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(maintenance only)</a:t>
          </a:r>
        </a:p>
      </dsp:txBody>
      <dsp:txXfrm>
        <a:off x="1343756" y="1156136"/>
        <a:ext cx="1484437" cy="814771"/>
      </dsp:txXfrm>
    </dsp:sp>
    <dsp:sp modelId="{401F067D-A27A-482B-B594-7CB0580831E0}">
      <dsp:nvSpPr>
        <dsp:cNvPr id="0" name=""/>
        <dsp:cNvSpPr/>
      </dsp:nvSpPr>
      <dsp:spPr>
        <a:xfrm>
          <a:off x="472050" y="1970907"/>
          <a:ext cx="3227849" cy="814771"/>
        </a:xfrm>
        <a:prstGeom prst="trapezoid">
          <a:avLst>
            <a:gd name="adj" fmla="val 57937"/>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Corticosteroids: </a:t>
          </a:r>
        </a:p>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prednisolone and budesonide </a:t>
          </a:r>
        </a:p>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(induction only)</a:t>
          </a:r>
        </a:p>
      </dsp:txBody>
      <dsp:txXfrm>
        <a:off x="1036923" y="1970907"/>
        <a:ext cx="2098102" cy="814771"/>
      </dsp:txXfrm>
    </dsp:sp>
    <dsp:sp modelId="{BA2E0BBD-EED6-4965-B21E-31E9A0C54FE4}">
      <dsp:nvSpPr>
        <dsp:cNvPr id="0" name=""/>
        <dsp:cNvSpPr/>
      </dsp:nvSpPr>
      <dsp:spPr>
        <a:xfrm>
          <a:off x="0" y="2785678"/>
          <a:ext cx="4171950" cy="814771"/>
        </a:xfrm>
        <a:prstGeom prst="trapezoid">
          <a:avLst>
            <a:gd name="adj" fmla="val 57937"/>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Aminosalicylates </a:t>
          </a:r>
        </a:p>
        <a:p>
          <a:pPr marL="0" lvl="0" indent="0" algn="ctr" defTabSz="533400">
            <a:lnSpc>
              <a:spcPct val="90000"/>
            </a:lnSpc>
            <a:spcBef>
              <a:spcPct val="0"/>
            </a:spcBef>
            <a:spcAft>
              <a:spcPct val="35000"/>
            </a:spcAft>
            <a:buNone/>
          </a:pPr>
          <a:r>
            <a:rPr lang="en-GB" sz="1200" b="1" kern="1200">
              <a:latin typeface="Times New Roman" panose="02020603050405020304" pitchFamily="18" charset="0"/>
              <a:cs typeface="Times New Roman" panose="02020603050405020304" pitchFamily="18" charset="0"/>
            </a:rPr>
            <a:t>(ulcerative colitis only)</a:t>
          </a:r>
        </a:p>
      </dsp:txBody>
      <dsp:txXfrm>
        <a:off x="730091" y="2785678"/>
        <a:ext cx="2711767" cy="81477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330B5F-20CE-4E04-BBE8-80A698FDA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176</Pages>
  <Words>244970</Words>
  <Characters>1396333</Characters>
  <Application>Microsoft Office Word</Application>
  <DocSecurity>0</DocSecurity>
  <Lines>11636</Lines>
  <Paragraphs>3276</Paragraphs>
  <ScaleCrop>false</ScaleCrop>
  <HeadingPairs>
    <vt:vector size="2" baseType="variant">
      <vt:variant>
        <vt:lpstr>Title</vt:lpstr>
      </vt:variant>
      <vt:variant>
        <vt:i4>1</vt:i4>
      </vt:variant>
    </vt:vector>
  </HeadingPairs>
  <TitlesOfParts>
    <vt:vector size="1" baseType="lpstr">
      <vt:lpstr/>
    </vt:vector>
  </TitlesOfParts>
  <Company>Sheffield Teaching Hospital NHS Foundation Trust</Company>
  <LinksUpToDate>false</LinksUpToDate>
  <CharactersWithSpaces>1638027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Tun, Gloria (Gastroenterology)</dc:creator>
  <cp:lastModifiedBy>G Tun</cp:lastModifiedBy>
  <cp:revision>9</cp:revision>
  <cp:lastPrinted>2018-08-22T12:03:00Z</cp:lastPrinted>
  <dcterms:created xsi:type="dcterms:W3CDTF">2023-11-16T12:26:00Z</dcterms:created>
  <dcterms:modified xsi:type="dcterms:W3CDTF">2023-11-22T12:07:00Z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http://www.zotero.org/styles/harvard1</vt:lpwstr>
  </property>
  <property fmtid="{D5CDD505-2E9C-101B-9397-08002B2CF9AE}" pid="14" name="Mendeley Recent Style Name 5_1">
    <vt:lpwstr>Harvard reference format 1 (deprecated)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Unique User Id_1">
    <vt:lpwstr>858e8fce-ac51-3fdf-a31d-f202d8ab7c57</vt:lpwstr>
  </property>
  <property fmtid="{D5CDD505-2E9C-101B-9397-08002B2CF9AE}" pid="24" name="Mendeley Citation Style_1">
    <vt:lpwstr>http://www.zotero.org/styles/nature</vt:lpwstr>
  </property>
</Properties>
</file>