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ook w:val="04A0" w:firstRow="1" w:lastRow="0" w:firstColumn="1" w:lastColumn="0" w:noHBand="0" w:noVBand="1"/>
      </w:tblPr>
      <w:tblGrid>
        <w:gridCol w:w="9026"/>
      </w:tblGrid>
      <w:tr w:rsidR="00FC71BE" w:rsidRPr="00FC71BE" w14:paraId="0FDE9EB9" w14:textId="77777777" w:rsidTr="00C111CC">
        <w:trPr>
          <w:trHeight w:val="2880"/>
          <w:jc w:val="center"/>
        </w:trPr>
        <w:tc>
          <w:tcPr>
            <w:tcW w:w="5000" w:type="pct"/>
            <w:tcBorders>
              <w:bottom w:val="single" w:sz="12" w:space="0" w:color="auto"/>
            </w:tcBorders>
          </w:tcPr>
          <w:p w14:paraId="51009139" w14:textId="375297A2" w:rsidR="000B01FC" w:rsidRPr="00FC71BE" w:rsidRDefault="005247AF" w:rsidP="00C111CC">
            <w:pPr>
              <w:pStyle w:val="NoSpacing"/>
              <w:jc w:val="center"/>
              <w:rPr>
                <w:rFonts w:asciiTheme="majorHAnsi" w:eastAsiaTheme="majorEastAsia" w:hAnsiTheme="majorHAnsi" w:cstheme="majorBidi"/>
                <w:caps/>
                <w:lang w:val="en-GB"/>
              </w:rPr>
            </w:pPr>
            <w:r w:rsidRPr="00FC71BE">
              <w:rPr>
                <w:rFonts w:asciiTheme="majorHAnsi" w:eastAsiaTheme="majorEastAsia" w:hAnsiTheme="majorHAnsi" w:cstheme="majorBidi"/>
                <w:caps/>
                <w:noProof/>
                <w:lang w:val="en-GB"/>
              </w:rPr>
              <w:drawing>
                <wp:inline distT="0" distB="0" distL="0" distR="0" wp14:anchorId="4A183822" wp14:editId="1E2E4B9E">
                  <wp:extent cx="2648320" cy="2857899"/>
                  <wp:effectExtent l="0" t="0" r="0" b="0"/>
                  <wp:docPr id="1084286250" name="Picture 108428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86250" name=""/>
                          <pic:cNvPicPr/>
                        </pic:nvPicPr>
                        <pic:blipFill>
                          <a:blip r:embed="rId11"/>
                          <a:stretch>
                            <a:fillRect/>
                          </a:stretch>
                        </pic:blipFill>
                        <pic:spPr>
                          <a:xfrm>
                            <a:off x="0" y="0"/>
                            <a:ext cx="2648320" cy="2857899"/>
                          </a:xfrm>
                          <a:prstGeom prst="rect">
                            <a:avLst/>
                          </a:prstGeom>
                        </pic:spPr>
                      </pic:pic>
                    </a:graphicData>
                  </a:graphic>
                </wp:inline>
              </w:drawing>
            </w:r>
          </w:p>
          <w:p w14:paraId="7F342E3C" w14:textId="63473F36" w:rsidR="005901D0" w:rsidRPr="00FC71BE" w:rsidRDefault="005901D0" w:rsidP="00C111CC">
            <w:pPr>
              <w:pStyle w:val="NoSpacing"/>
              <w:jc w:val="center"/>
              <w:rPr>
                <w:rFonts w:asciiTheme="majorHAnsi" w:eastAsiaTheme="majorEastAsia" w:hAnsiTheme="majorHAnsi" w:cstheme="majorBidi"/>
                <w:caps/>
                <w:lang w:val="en-GB"/>
              </w:rPr>
            </w:pPr>
          </w:p>
        </w:tc>
      </w:tr>
      <w:tr w:rsidR="00FC71BE" w:rsidRPr="00FC71BE" w14:paraId="2C7947CC" w14:textId="77777777" w:rsidTr="00C111CC">
        <w:trPr>
          <w:trHeight w:val="1440"/>
          <w:jc w:val="center"/>
        </w:trPr>
        <w:sdt>
          <w:sdtPr>
            <w:rPr>
              <w:rFonts w:ascii="Times New Roman" w:eastAsiaTheme="majorEastAsia" w:hAnsi="Times New Roman" w:cs="Times New Roman"/>
              <w:b/>
              <w:sz w:val="48"/>
              <w:szCs w:val="36"/>
              <w:lang w:val="en-GB" w:eastAsia="zh-CN"/>
            </w:rPr>
            <w:alias w:val="Title"/>
            <w:id w:val="15524250"/>
            <w:placeholder>
              <w:docPart w:val="066638BD936E41E9AD0526BF657403B5"/>
            </w:placeholder>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top w:val="single" w:sz="12" w:space="0" w:color="auto"/>
                  <w:bottom w:val="single" w:sz="12" w:space="0" w:color="auto"/>
                </w:tcBorders>
                <w:vAlign w:val="center"/>
              </w:tcPr>
              <w:p w14:paraId="6A7BDA79" w14:textId="59830240" w:rsidR="000B01FC" w:rsidRPr="00FC71BE" w:rsidRDefault="000B01FC" w:rsidP="00C111CC">
                <w:pPr>
                  <w:pStyle w:val="NoSpacing"/>
                  <w:jc w:val="center"/>
                  <w:rPr>
                    <w:rFonts w:asciiTheme="majorHAnsi" w:eastAsiaTheme="majorEastAsia" w:hAnsiTheme="majorHAnsi" w:cstheme="majorBidi"/>
                    <w:sz w:val="36"/>
                    <w:szCs w:val="36"/>
                    <w:lang w:val="en-GB"/>
                  </w:rPr>
                </w:pPr>
                <w:r w:rsidRPr="00FC71BE">
                  <w:rPr>
                    <w:rFonts w:ascii="Times New Roman" w:eastAsiaTheme="majorEastAsia" w:hAnsi="Times New Roman" w:cs="Times New Roman"/>
                    <w:b/>
                    <w:sz w:val="48"/>
                    <w:szCs w:val="36"/>
                    <w:lang w:val="en-GB" w:eastAsia="zh-CN"/>
                  </w:rPr>
                  <w:t>Advanced Thermal Management of High Torque Density Permanent Magnet Machines</w:t>
                </w:r>
              </w:p>
            </w:tc>
          </w:sdtContent>
        </w:sdt>
      </w:tr>
      <w:tr w:rsidR="00FC71BE" w:rsidRPr="00FC71BE" w14:paraId="586EA61B" w14:textId="77777777" w:rsidTr="00C111CC">
        <w:trPr>
          <w:trHeight w:val="720"/>
          <w:jc w:val="center"/>
        </w:trPr>
        <w:tc>
          <w:tcPr>
            <w:tcW w:w="5000" w:type="pct"/>
            <w:tcBorders>
              <w:top w:val="single" w:sz="12" w:space="0" w:color="auto"/>
            </w:tcBorders>
            <w:vAlign w:val="center"/>
          </w:tcPr>
          <w:p w14:paraId="43C42FE8" w14:textId="77777777" w:rsidR="000B01FC" w:rsidRPr="00FC71BE" w:rsidRDefault="000B01FC" w:rsidP="00C111CC">
            <w:pPr>
              <w:pStyle w:val="NoSpacing"/>
              <w:spacing w:before="360"/>
              <w:jc w:val="center"/>
              <w:rPr>
                <w:rFonts w:ascii="Times New Roman" w:eastAsiaTheme="majorEastAsia" w:hAnsi="Times New Roman" w:cs="Times New Roman"/>
                <w:sz w:val="44"/>
                <w:szCs w:val="44"/>
                <w:lang w:val="en-GB"/>
              </w:rPr>
            </w:pPr>
          </w:p>
        </w:tc>
      </w:tr>
      <w:tr w:rsidR="00FC71BE" w:rsidRPr="00FC71BE" w14:paraId="6C33B349" w14:textId="77777777" w:rsidTr="00C111CC">
        <w:trPr>
          <w:trHeight w:val="360"/>
          <w:jc w:val="center"/>
        </w:trPr>
        <w:tc>
          <w:tcPr>
            <w:tcW w:w="5000" w:type="pct"/>
            <w:vAlign w:val="center"/>
          </w:tcPr>
          <w:p w14:paraId="27E736F2" w14:textId="77777777" w:rsidR="000B01FC" w:rsidRPr="00FC71BE" w:rsidRDefault="000B01FC" w:rsidP="00C111CC">
            <w:pPr>
              <w:pStyle w:val="NoSpacing"/>
              <w:jc w:val="center"/>
              <w:rPr>
                <w:rFonts w:ascii="Times New Roman" w:hAnsi="Times New Roman" w:cs="Times New Roman"/>
                <w:lang w:val="en-GB"/>
              </w:rPr>
            </w:pPr>
          </w:p>
        </w:tc>
      </w:tr>
      <w:tr w:rsidR="00FC71BE" w:rsidRPr="00FC71BE" w14:paraId="28FAB6D7" w14:textId="77777777" w:rsidTr="00C111CC">
        <w:trPr>
          <w:trHeight w:val="360"/>
          <w:jc w:val="center"/>
        </w:trPr>
        <w:tc>
          <w:tcPr>
            <w:tcW w:w="5000" w:type="pct"/>
            <w:vAlign w:val="center"/>
          </w:tcPr>
          <w:p w14:paraId="1671DB67" w14:textId="17F1A946" w:rsidR="000B01FC" w:rsidRPr="00FC71BE" w:rsidRDefault="000B01FC" w:rsidP="00C111CC">
            <w:pPr>
              <w:pStyle w:val="NoSpacing"/>
              <w:spacing w:before="360"/>
              <w:jc w:val="center"/>
              <w:rPr>
                <w:rFonts w:ascii="Times New Roman" w:eastAsiaTheme="majorEastAsia" w:hAnsi="Times New Roman" w:cs="Times New Roman"/>
                <w:sz w:val="44"/>
                <w:szCs w:val="44"/>
                <w:lang w:val="en-GB"/>
              </w:rPr>
            </w:pPr>
            <w:r w:rsidRPr="00FC71BE">
              <w:rPr>
                <w:rFonts w:ascii="Times New Roman" w:eastAsiaTheme="majorEastAsia" w:hAnsi="Times New Roman" w:cs="Times New Roman"/>
                <w:sz w:val="36"/>
                <w:szCs w:val="44"/>
                <w:lang w:val="en-GB" w:eastAsia="zh-CN"/>
              </w:rPr>
              <w:t>Wei Zhang</w:t>
            </w:r>
          </w:p>
        </w:tc>
      </w:tr>
      <w:tr w:rsidR="005E3DFE" w:rsidRPr="00FC71BE" w14:paraId="5668EF3F" w14:textId="77777777" w:rsidTr="00C111CC">
        <w:trPr>
          <w:trHeight w:val="360"/>
          <w:jc w:val="center"/>
        </w:trPr>
        <w:tc>
          <w:tcPr>
            <w:tcW w:w="5000" w:type="pct"/>
            <w:vAlign w:val="center"/>
          </w:tcPr>
          <w:p w14:paraId="35452754" w14:textId="77777777" w:rsidR="000B01FC" w:rsidRPr="00FC71BE" w:rsidRDefault="000B01FC" w:rsidP="00C111CC">
            <w:pPr>
              <w:pStyle w:val="NoSpacing"/>
              <w:jc w:val="center"/>
              <w:rPr>
                <w:rFonts w:ascii="Times New Roman" w:hAnsi="Times New Roman" w:cs="Times New Roman"/>
                <w:b/>
                <w:bCs/>
                <w:lang w:val="en-GB"/>
              </w:rPr>
            </w:pPr>
          </w:p>
          <w:p w14:paraId="39029776" w14:textId="77777777" w:rsidR="000B01FC" w:rsidRPr="00FC71BE" w:rsidRDefault="000B01FC" w:rsidP="00C111CC">
            <w:pPr>
              <w:pStyle w:val="NoSpacing"/>
              <w:spacing w:before="120" w:after="120"/>
              <w:jc w:val="center"/>
              <w:rPr>
                <w:rFonts w:ascii="Times New Roman" w:hAnsi="Times New Roman" w:cs="Times New Roman"/>
                <w:b/>
                <w:bCs/>
                <w:lang w:val="en-GB"/>
              </w:rPr>
            </w:pPr>
          </w:p>
          <w:p w14:paraId="33794A75" w14:textId="77777777" w:rsidR="000B01FC" w:rsidRPr="00FC71BE" w:rsidRDefault="000B01FC" w:rsidP="00C111CC">
            <w:pPr>
              <w:pStyle w:val="NoSpacing"/>
              <w:spacing w:before="120" w:after="120"/>
              <w:jc w:val="center"/>
              <w:rPr>
                <w:rFonts w:ascii="Times New Roman" w:hAnsi="Times New Roman" w:cs="Times New Roman"/>
                <w:b/>
                <w:bCs/>
                <w:lang w:val="en-GB"/>
              </w:rPr>
            </w:pPr>
          </w:p>
          <w:p w14:paraId="4F2A3402" w14:textId="77777777" w:rsidR="000B01FC" w:rsidRPr="00FC71BE" w:rsidRDefault="000B01FC" w:rsidP="00C111CC">
            <w:pPr>
              <w:pStyle w:val="NoSpacing"/>
              <w:spacing w:before="120" w:after="120"/>
              <w:jc w:val="center"/>
              <w:rPr>
                <w:rFonts w:ascii="Times New Roman" w:hAnsi="Times New Roman" w:cs="Times New Roman"/>
                <w:b/>
                <w:bCs/>
                <w:lang w:val="en-GB"/>
              </w:rPr>
            </w:pPr>
          </w:p>
          <w:p w14:paraId="211A11D6" w14:textId="77777777" w:rsidR="000B01FC" w:rsidRPr="00FC71BE" w:rsidRDefault="000B01FC" w:rsidP="00C111CC">
            <w:pPr>
              <w:pStyle w:val="NoSpacing"/>
              <w:spacing w:before="120" w:after="120"/>
              <w:jc w:val="center"/>
              <w:rPr>
                <w:rFonts w:ascii="Times New Roman" w:hAnsi="Times New Roman" w:cs="Times New Roman"/>
                <w:b/>
                <w:bCs/>
                <w:sz w:val="28"/>
                <w:lang w:val="en-GB"/>
              </w:rPr>
            </w:pPr>
            <w:r w:rsidRPr="00FC71BE">
              <w:rPr>
                <w:rFonts w:ascii="Times New Roman" w:hAnsi="Times New Roman" w:cs="Times New Roman"/>
                <w:b/>
                <w:bCs/>
                <w:sz w:val="28"/>
                <w:lang w:val="en-GB"/>
              </w:rPr>
              <w:t>A thesis submitted for the degree of Doctor of Philosophy</w:t>
            </w:r>
          </w:p>
          <w:p w14:paraId="002B01CF" w14:textId="77777777" w:rsidR="000B01FC" w:rsidRPr="00FC71BE" w:rsidRDefault="000B01FC" w:rsidP="00C111CC">
            <w:pPr>
              <w:pStyle w:val="NoSpacing"/>
              <w:spacing w:before="120" w:after="120"/>
              <w:jc w:val="center"/>
              <w:rPr>
                <w:rFonts w:ascii="Times New Roman" w:hAnsi="Times New Roman" w:cs="Times New Roman"/>
                <w:bCs/>
                <w:sz w:val="28"/>
                <w:szCs w:val="24"/>
                <w:lang w:val="en-GB"/>
              </w:rPr>
            </w:pPr>
            <w:r w:rsidRPr="00FC71BE">
              <w:rPr>
                <w:rFonts w:ascii="Times New Roman" w:hAnsi="Times New Roman" w:cs="Times New Roman"/>
                <w:bCs/>
                <w:sz w:val="28"/>
                <w:szCs w:val="24"/>
                <w:lang w:val="en-GB"/>
              </w:rPr>
              <w:t xml:space="preserve">Department of Electronic and Electrical Engineering </w:t>
            </w:r>
          </w:p>
          <w:p w14:paraId="0CF1051F" w14:textId="77777777" w:rsidR="000B01FC" w:rsidRPr="00FC71BE" w:rsidRDefault="000B01FC" w:rsidP="00C111CC">
            <w:pPr>
              <w:pStyle w:val="NoSpacing"/>
              <w:spacing w:before="120" w:after="120"/>
              <w:jc w:val="center"/>
              <w:rPr>
                <w:rFonts w:ascii="Times New Roman" w:hAnsi="Times New Roman" w:cs="Times New Roman"/>
                <w:bCs/>
                <w:sz w:val="28"/>
                <w:szCs w:val="24"/>
                <w:lang w:val="en-GB"/>
              </w:rPr>
            </w:pPr>
            <w:r w:rsidRPr="00FC71BE">
              <w:rPr>
                <w:rFonts w:ascii="Times New Roman" w:hAnsi="Times New Roman" w:cs="Times New Roman"/>
                <w:bCs/>
                <w:sz w:val="28"/>
                <w:szCs w:val="24"/>
                <w:lang w:val="en-GB"/>
              </w:rPr>
              <w:t>The University of Sheffield, UK</w:t>
            </w:r>
          </w:p>
          <w:p w14:paraId="155E1C1B" w14:textId="3257A729" w:rsidR="000B01FC" w:rsidRPr="00FC71BE" w:rsidRDefault="00AA61F3" w:rsidP="00C111CC">
            <w:pPr>
              <w:pStyle w:val="NoSpacing"/>
              <w:spacing w:before="120" w:after="120"/>
              <w:jc w:val="center"/>
              <w:rPr>
                <w:rFonts w:ascii="Times New Roman" w:hAnsi="Times New Roman" w:cs="Times New Roman"/>
                <w:b/>
                <w:bCs/>
                <w:sz w:val="32"/>
                <w:szCs w:val="32"/>
                <w:lang w:val="en-GB"/>
              </w:rPr>
            </w:pPr>
            <w:r w:rsidRPr="00FC71BE">
              <w:rPr>
                <w:rFonts w:ascii="Times New Roman" w:hAnsi="Times New Roman" w:cs="Times New Roman"/>
                <w:b/>
                <w:sz w:val="28"/>
                <w:lang w:val="en-GB" w:eastAsia="zh-CN"/>
              </w:rPr>
              <w:t>November</w:t>
            </w:r>
            <w:r w:rsidR="000B01FC" w:rsidRPr="00FC71BE">
              <w:rPr>
                <w:rFonts w:ascii="Times New Roman" w:hAnsi="Times New Roman" w:cs="Times New Roman"/>
                <w:b/>
                <w:sz w:val="28"/>
                <w:lang w:val="en-GB" w:eastAsia="zh-CN"/>
              </w:rPr>
              <w:t xml:space="preserve"> 2023</w:t>
            </w:r>
          </w:p>
        </w:tc>
      </w:tr>
    </w:tbl>
    <w:p w14:paraId="19E80C05" w14:textId="77777777" w:rsidR="00405CF6" w:rsidRPr="00FC71BE" w:rsidRDefault="00405CF6" w:rsidP="000B01FC">
      <w:pPr>
        <w:spacing w:after="0"/>
      </w:pPr>
    </w:p>
    <w:p w14:paraId="0AB29B11" w14:textId="77777777" w:rsidR="00405CF6" w:rsidRPr="00FC71BE" w:rsidRDefault="00405CF6" w:rsidP="000B01FC">
      <w:pPr>
        <w:spacing w:after="0"/>
      </w:pPr>
    </w:p>
    <w:p w14:paraId="1C695AAF" w14:textId="77777777" w:rsidR="00405CF6" w:rsidRPr="00FC71BE" w:rsidRDefault="00405CF6" w:rsidP="000B01FC">
      <w:pPr>
        <w:spacing w:after="0"/>
      </w:pPr>
    </w:p>
    <w:p w14:paraId="7F56272E" w14:textId="77777777" w:rsidR="00405CF6" w:rsidRPr="00FC71BE" w:rsidRDefault="00405CF6" w:rsidP="000B01FC">
      <w:pPr>
        <w:spacing w:after="0"/>
      </w:pPr>
    </w:p>
    <w:p w14:paraId="1755209E" w14:textId="77777777" w:rsidR="00334824" w:rsidRPr="00FC71BE" w:rsidRDefault="00334824" w:rsidP="000B01FC">
      <w:pPr>
        <w:spacing w:after="0"/>
        <w:sectPr w:rsidR="00334824" w:rsidRPr="00FC71BE" w:rsidSect="00230564">
          <w:footerReference w:type="default" r:id="rId12"/>
          <w:pgSz w:w="11906" w:h="16838"/>
          <w:pgMar w:top="1440" w:right="1440" w:bottom="1440" w:left="1440" w:header="708" w:footer="708" w:gutter="0"/>
          <w:cols w:space="708"/>
          <w:docGrid w:linePitch="360"/>
        </w:sectPr>
      </w:pPr>
    </w:p>
    <w:p w14:paraId="2F5E2295" w14:textId="461D1AA4" w:rsidR="00C111CC" w:rsidRPr="00FC71BE" w:rsidRDefault="00231141" w:rsidP="00DA6AFF">
      <w:pPr>
        <w:pStyle w:val="Heading1"/>
        <w:rPr>
          <w:color w:val="auto"/>
        </w:rPr>
      </w:pPr>
      <w:bookmarkStart w:id="0" w:name="_Toc157695320"/>
      <w:r w:rsidRPr="00FC71BE">
        <w:rPr>
          <w:color w:val="auto"/>
        </w:rPr>
        <w:lastRenderedPageBreak/>
        <w:t>A</w:t>
      </w:r>
      <w:r w:rsidR="00291151" w:rsidRPr="00FC71BE">
        <w:rPr>
          <w:color w:val="auto"/>
        </w:rPr>
        <w:t>cknowledgement</w:t>
      </w:r>
      <w:bookmarkEnd w:id="0"/>
    </w:p>
    <w:p w14:paraId="5409E975" w14:textId="62F56849" w:rsidR="0078317A" w:rsidRPr="00FC71BE" w:rsidRDefault="0078317A" w:rsidP="00FA3117">
      <w:r w:rsidRPr="00FC71BE">
        <w:t xml:space="preserve">I would like to express my </w:t>
      </w:r>
      <w:r w:rsidR="00F869FB" w:rsidRPr="00FC71BE">
        <w:t>heartfelt</w:t>
      </w:r>
      <w:r w:rsidRPr="00FC71BE">
        <w:t xml:space="preserve"> gratitude and appreciation to all those who have </w:t>
      </w:r>
      <w:r w:rsidR="00F869FB" w:rsidRPr="00FC71BE">
        <w:t xml:space="preserve">played a vital </w:t>
      </w:r>
      <w:r w:rsidR="002E49EE" w:rsidRPr="00FC71BE">
        <w:t>role in the</w:t>
      </w:r>
      <w:r w:rsidR="006211BA" w:rsidRPr="00FC71BE">
        <w:t xml:space="preserve"> completion of this doctoral thesis and my Ph.D. study</w:t>
      </w:r>
      <w:r w:rsidR="002E49EE" w:rsidRPr="00FC71BE">
        <w:t>, providing both</w:t>
      </w:r>
      <w:r w:rsidR="00D348D3" w:rsidRPr="00FC71BE">
        <w:t xml:space="preserve"> academic and emotional </w:t>
      </w:r>
      <w:r w:rsidR="00390A46" w:rsidRPr="00FC71BE">
        <w:t>support.</w:t>
      </w:r>
    </w:p>
    <w:p w14:paraId="094F1C06" w14:textId="471AF77D" w:rsidR="007B3789" w:rsidRPr="00FC71BE" w:rsidRDefault="00CD1714" w:rsidP="008B60E2">
      <w:pPr>
        <w:ind w:firstLine="0"/>
      </w:pPr>
      <w:r w:rsidRPr="00FC71BE">
        <w:rPr>
          <w:b/>
          <w:bCs/>
        </w:rPr>
        <w:t xml:space="preserve">My </w:t>
      </w:r>
      <w:r w:rsidR="00F3747A" w:rsidRPr="00FC71BE">
        <w:rPr>
          <w:b/>
          <w:bCs/>
        </w:rPr>
        <w:t>supervisor</w:t>
      </w:r>
      <w:r w:rsidR="004F19E5" w:rsidRPr="00FC71BE">
        <w:rPr>
          <w:b/>
          <w:bCs/>
        </w:rPr>
        <w:t>s</w:t>
      </w:r>
      <w:r w:rsidRPr="00FC71BE">
        <w:t>: I am inde</w:t>
      </w:r>
      <w:r w:rsidR="00DC52E8" w:rsidRPr="00FC71BE">
        <w:t xml:space="preserve">bted to my supervisor, </w:t>
      </w:r>
      <w:r w:rsidR="00FE3374" w:rsidRPr="00FC71BE">
        <w:t>Professor Guang-Jin Li</w:t>
      </w:r>
      <w:r w:rsidR="00E1547A" w:rsidRPr="00FC71BE">
        <w:t>,</w:t>
      </w:r>
      <w:r w:rsidR="00FE3374" w:rsidRPr="00FC71BE">
        <w:t xml:space="preserve"> for </w:t>
      </w:r>
      <w:r w:rsidR="003E3583" w:rsidRPr="00FC71BE">
        <w:t>his</w:t>
      </w:r>
      <w:r w:rsidR="00FE6A1E" w:rsidRPr="00FC71BE">
        <w:t xml:space="preserve"> invaluable advice, </w:t>
      </w:r>
      <w:r w:rsidR="00E1547A" w:rsidRPr="00FC71BE">
        <w:t xml:space="preserve">unwavering </w:t>
      </w:r>
      <w:r w:rsidR="00402FD8" w:rsidRPr="00FC71BE">
        <w:t>guidance</w:t>
      </w:r>
      <w:r w:rsidR="00E1547A" w:rsidRPr="00FC71BE">
        <w:t>,</w:t>
      </w:r>
      <w:r w:rsidR="00FE6A1E" w:rsidRPr="00FC71BE">
        <w:t xml:space="preserve"> and</w:t>
      </w:r>
      <w:r w:rsidR="00E1547A" w:rsidRPr="00FC71BE">
        <w:t xml:space="preserve"> constant</w:t>
      </w:r>
      <w:r w:rsidR="00FE6A1E" w:rsidRPr="00FC71BE">
        <w:t xml:space="preserve"> encouragement</w:t>
      </w:r>
      <w:r w:rsidR="00C4058D" w:rsidRPr="00FC71BE">
        <w:t xml:space="preserve"> </w:t>
      </w:r>
      <w:r w:rsidR="00A00CAA" w:rsidRPr="00FC71BE">
        <w:t>throughout</w:t>
      </w:r>
      <w:r w:rsidR="00402FD8" w:rsidRPr="00FC71BE">
        <w:t xml:space="preserve"> </w:t>
      </w:r>
      <w:r w:rsidR="00A00CAA" w:rsidRPr="00FC71BE">
        <w:t>my</w:t>
      </w:r>
      <w:r w:rsidR="00402FD8" w:rsidRPr="00FC71BE">
        <w:t xml:space="preserve"> Ph.D. </w:t>
      </w:r>
      <w:r w:rsidR="00A00CAA" w:rsidRPr="00FC71BE">
        <w:t>research</w:t>
      </w:r>
      <w:r w:rsidR="00402FD8" w:rsidRPr="00FC71BE">
        <w:t>.</w:t>
      </w:r>
      <w:r w:rsidR="00FA3117" w:rsidRPr="00FC71BE">
        <w:t xml:space="preserve"> </w:t>
      </w:r>
      <w:r w:rsidR="00E42128" w:rsidRPr="00FC71BE">
        <w:t xml:space="preserve">I deeply appreciate all his </w:t>
      </w:r>
      <w:r w:rsidR="006755B1" w:rsidRPr="00FC71BE">
        <w:t>support, which</w:t>
      </w:r>
      <w:r w:rsidR="00B17764" w:rsidRPr="00FC71BE">
        <w:t xml:space="preserve"> </w:t>
      </w:r>
      <w:r w:rsidR="006755B1" w:rsidRPr="00FC71BE">
        <w:t>has been instrumental in</w:t>
      </w:r>
      <w:r w:rsidR="0075673B" w:rsidRPr="00FC71BE">
        <w:t xml:space="preserve"> ke</w:t>
      </w:r>
      <w:r w:rsidR="006755B1" w:rsidRPr="00FC71BE">
        <w:t>eping</w:t>
      </w:r>
      <w:r w:rsidR="0075673B" w:rsidRPr="00FC71BE">
        <w:t xml:space="preserve"> me motivated </w:t>
      </w:r>
      <w:r w:rsidR="002926DB" w:rsidRPr="00FC71BE">
        <w:t>and dedicated to</w:t>
      </w:r>
      <w:r w:rsidR="00CE6D7D" w:rsidRPr="00FC71BE">
        <w:t xml:space="preserve"> my study.</w:t>
      </w:r>
      <w:r w:rsidR="00F3747A" w:rsidRPr="00FC71BE">
        <w:t xml:space="preserve"> </w:t>
      </w:r>
      <w:r w:rsidR="00340CFC" w:rsidRPr="00FC71BE">
        <w:t>I also would like to thank my second supervisor, Professor Zi-</w:t>
      </w:r>
      <w:r w:rsidR="00033518" w:rsidRPr="00FC71BE">
        <w:t>Q</w:t>
      </w:r>
      <w:r w:rsidR="00340CFC" w:rsidRPr="00FC71BE">
        <w:t>iang</w:t>
      </w:r>
      <w:r w:rsidR="009869B9" w:rsidRPr="00FC71BE">
        <w:t xml:space="preserve"> </w:t>
      </w:r>
      <w:r w:rsidR="008520AF" w:rsidRPr="00FC71BE">
        <w:rPr>
          <w:rFonts w:hint="eastAsia"/>
        </w:rPr>
        <w:t>Zhu</w:t>
      </w:r>
      <w:r w:rsidR="008520AF" w:rsidRPr="00FC71BE">
        <w:t xml:space="preserve"> </w:t>
      </w:r>
      <w:r w:rsidR="009869B9" w:rsidRPr="00FC71BE">
        <w:t>for his</w:t>
      </w:r>
      <w:r w:rsidR="00D850E7" w:rsidRPr="00FC71BE">
        <w:t xml:space="preserve"> instructive advice to my research and publications from this work.</w:t>
      </w:r>
    </w:p>
    <w:p w14:paraId="2BB2F33C" w14:textId="1DE15228" w:rsidR="008520AF" w:rsidRPr="00FC71BE" w:rsidRDefault="00F51967" w:rsidP="008B60E2">
      <w:pPr>
        <w:ind w:firstLine="0"/>
      </w:pPr>
      <w:r w:rsidRPr="00FC71BE">
        <w:rPr>
          <w:b/>
          <w:bCs/>
        </w:rPr>
        <w:t>Colleagues</w:t>
      </w:r>
      <w:r w:rsidRPr="00FC71BE">
        <w:t xml:space="preserve">: </w:t>
      </w:r>
      <w:r w:rsidR="00AC26F9" w:rsidRPr="00FC71BE">
        <w:t xml:space="preserve">My sincere appreciation also goes to </w:t>
      </w:r>
      <w:r w:rsidR="00625F4C" w:rsidRPr="00FC71BE">
        <w:t>my</w:t>
      </w:r>
      <w:r w:rsidR="009F1AB7" w:rsidRPr="00FC71BE">
        <w:t xml:space="preserve"> </w:t>
      </w:r>
      <w:r w:rsidR="00C07D51" w:rsidRPr="00FC71BE">
        <w:t>wonderful</w:t>
      </w:r>
      <w:r w:rsidR="00625F4C" w:rsidRPr="00FC71BE">
        <w:t xml:space="preserve"> </w:t>
      </w:r>
      <w:r w:rsidR="00A034AE" w:rsidRPr="00FC71BE">
        <w:t>colleagues</w:t>
      </w:r>
      <w:r w:rsidR="00291831" w:rsidRPr="00FC71BE">
        <w:t xml:space="preserve"> in my </w:t>
      </w:r>
      <w:r w:rsidR="00C65134" w:rsidRPr="00FC71BE">
        <w:t>group</w:t>
      </w:r>
      <w:r w:rsidR="00D7560A" w:rsidRPr="00FC71BE">
        <w:t xml:space="preserve">: </w:t>
      </w:r>
      <w:r w:rsidR="00EC0CEC" w:rsidRPr="00FC71BE">
        <w:t>Mr Yin Qing, Mr Guang</w:t>
      </w:r>
      <w:r w:rsidR="006631E2" w:rsidRPr="00FC71BE">
        <w:t>b</w:t>
      </w:r>
      <w:r w:rsidR="00EC0CEC" w:rsidRPr="00FC71BE">
        <w:t>o Zhang, Mr Yang</w:t>
      </w:r>
      <w:r w:rsidR="006631E2" w:rsidRPr="00FC71BE">
        <w:t>y</w:t>
      </w:r>
      <w:r w:rsidR="00EC0CEC" w:rsidRPr="00FC71BE">
        <w:t>e Ji, Dr Ze</w:t>
      </w:r>
      <w:r w:rsidR="006631E2" w:rsidRPr="00FC71BE">
        <w:t>t</w:t>
      </w:r>
      <w:r w:rsidR="00EC0CEC" w:rsidRPr="00FC71BE">
        <w:t>ing Mei, Dr Rui Zhou, Dr Kai Zhang, Mr Kai</w:t>
      </w:r>
      <w:r w:rsidR="006631E2" w:rsidRPr="00FC71BE">
        <w:t>l</w:t>
      </w:r>
      <w:r w:rsidR="00EC0CEC" w:rsidRPr="00FC71BE">
        <w:t xml:space="preserve">e Li, </w:t>
      </w:r>
      <w:r w:rsidR="009138C8" w:rsidRPr="00FC71BE">
        <w:t>Mr Jian Ye</w:t>
      </w:r>
      <w:r w:rsidR="00143C60" w:rsidRPr="00FC71BE">
        <w:t>, Mr Issac Rudden</w:t>
      </w:r>
      <w:r w:rsidR="008520AF" w:rsidRPr="00FC71BE">
        <w:t xml:space="preserve"> and my colleagues of the University of Sheffield: Mr Yangyu Sun, Mr Zixiao Li.</w:t>
      </w:r>
    </w:p>
    <w:p w14:paraId="5E1EB809" w14:textId="04551212" w:rsidR="007869A5" w:rsidRPr="00FC71BE" w:rsidRDefault="008520AF" w:rsidP="008B60E2">
      <w:pPr>
        <w:ind w:firstLine="0"/>
      </w:pPr>
      <w:r w:rsidRPr="00FC71BE">
        <w:rPr>
          <w:b/>
          <w:bCs/>
        </w:rPr>
        <w:t>Funding</w:t>
      </w:r>
      <w:r w:rsidRPr="00FC71BE">
        <w:t>: Funding Acknowledgment: I extend my sincere gratitude to Motor Design Ltd for generously providing financial support and technical assistance. Special thanks to their engineers, Dr. Bo Ren, Dr. Yew Chuan Chong, and Dr. Melanie Michon.</w:t>
      </w:r>
    </w:p>
    <w:p w14:paraId="34B8C873" w14:textId="57FB1596" w:rsidR="00292DCB" w:rsidRPr="00FC71BE" w:rsidRDefault="00292DCB" w:rsidP="008B60E2">
      <w:pPr>
        <w:ind w:firstLine="0"/>
      </w:pPr>
      <w:r w:rsidRPr="00FC71BE">
        <w:rPr>
          <w:b/>
          <w:bCs/>
        </w:rPr>
        <w:t>Friends</w:t>
      </w:r>
      <w:r w:rsidRPr="00FC71BE">
        <w:t>:</w:t>
      </w:r>
      <w:r w:rsidR="00F64FDD" w:rsidRPr="00FC71BE">
        <w:t xml:space="preserve"> </w:t>
      </w:r>
      <w:r w:rsidR="003020D1" w:rsidRPr="00FC71BE">
        <w:t>To my friends</w:t>
      </w:r>
      <w:r w:rsidR="00E005B9" w:rsidRPr="00FC71BE">
        <w:t>:</w:t>
      </w:r>
      <w:r w:rsidR="003020D1" w:rsidRPr="00FC71BE">
        <w:t xml:space="preserve"> </w:t>
      </w:r>
      <w:r w:rsidR="00D249C7" w:rsidRPr="00FC71BE">
        <w:t>Mr Guan</w:t>
      </w:r>
      <w:r w:rsidR="006631E2" w:rsidRPr="00FC71BE">
        <w:t>h</w:t>
      </w:r>
      <w:r w:rsidR="00D249C7" w:rsidRPr="00FC71BE">
        <w:t xml:space="preserve">ua Zhang, Mr </w:t>
      </w:r>
      <w:r w:rsidR="00E90D52" w:rsidRPr="00FC71BE">
        <w:t xml:space="preserve">Hao Chen, </w:t>
      </w:r>
      <w:r w:rsidR="00DB6F0C" w:rsidRPr="00FC71BE">
        <w:t>Mr Yin</w:t>
      </w:r>
      <w:r w:rsidR="006631E2" w:rsidRPr="00FC71BE">
        <w:t>z</w:t>
      </w:r>
      <w:r w:rsidR="00DB6F0C" w:rsidRPr="00FC71BE">
        <w:t>ong</w:t>
      </w:r>
      <w:r w:rsidR="0030596F" w:rsidRPr="00FC71BE">
        <w:t xml:space="preserve"> Liang, Mr Da</w:t>
      </w:r>
      <w:r w:rsidR="006631E2" w:rsidRPr="00FC71BE">
        <w:t>s</w:t>
      </w:r>
      <w:r w:rsidR="0030596F" w:rsidRPr="00FC71BE">
        <w:t>ong Ma,</w:t>
      </w:r>
      <w:r w:rsidR="00DB6F0C" w:rsidRPr="00FC71BE">
        <w:t xml:space="preserve"> </w:t>
      </w:r>
      <w:r w:rsidR="003020D1" w:rsidRPr="00FC71BE">
        <w:t>Miss Jin Qin</w:t>
      </w:r>
      <w:r w:rsidR="00D249C7" w:rsidRPr="00FC71BE">
        <w:t xml:space="preserve">, </w:t>
      </w:r>
      <w:r w:rsidR="0030596F" w:rsidRPr="00FC71BE">
        <w:t xml:space="preserve">and </w:t>
      </w:r>
      <w:r w:rsidR="00E90D52" w:rsidRPr="00FC71BE">
        <w:t xml:space="preserve">Miss </w:t>
      </w:r>
      <w:r w:rsidR="009700BB" w:rsidRPr="00FC71BE">
        <w:t>Yong</w:t>
      </w:r>
      <w:r w:rsidR="006631E2" w:rsidRPr="00FC71BE">
        <w:t>h</w:t>
      </w:r>
      <w:r w:rsidR="009700BB" w:rsidRPr="00FC71BE">
        <w:t>ui Zhang,</w:t>
      </w:r>
      <w:r w:rsidR="00E005B9" w:rsidRPr="00FC71BE">
        <w:t xml:space="preserve"> thank you for your</w:t>
      </w:r>
      <w:r w:rsidR="008D021B" w:rsidRPr="00FC71BE">
        <w:t xml:space="preserve"> camaraderie that have enriched my </w:t>
      </w:r>
      <w:r w:rsidR="0068016E" w:rsidRPr="00FC71BE">
        <w:t>study life.</w:t>
      </w:r>
    </w:p>
    <w:p w14:paraId="5AAE99DA" w14:textId="5BCCAE42" w:rsidR="00221C69" w:rsidRPr="00FC71BE" w:rsidRDefault="00221C69" w:rsidP="008B60E2">
      <w:pPr>
        <w:ind w:firstLine="0"/>
      </w:pPr>
      <w:r w:rsidRPr="00FC71BE">
        <w:rPr>
          <w:b/>
          <w:bCs/>
        </w:rPr>
        <w:t>Family</w:t>
      </w:r>
      <w:r w:rsidRPr="00FC71BE">
        <w:t>:</w:t>
      </w:r>
      <w:r w:rsidR="0025694D" w:rsidRPr="00FC71BE">
        <w:t xml:space="preserve"> </w:t>
      </w:r>
      <w:r w:rsidR="00E17BE6" w:rsidRPr="00FC71BE">
        <w:t xml:space="preserve">I would like to express my </w:t>
      </w:r>
      <w:r w:rsidR="0051546A" w:rsidRPr="00FC71BE">
        <w:t xml:space="preserve">sincere </w:t>
      </w:r>
      <w:r w:rsidR="00E17BE6" w:rsidRPr="00FC71BE">
        <w:t>gratitude</w:t>
      </w:r>
      <w:r w:rsidR="00D723E2" w:rsidRPr="00FC71BE">
        <w:t xml:space="preserve"> to my family</w:t>
      </w:r>
      <w:r w:rsidR="0051546A" w:rsidRPr="00FC71BE">
        <w:t>:</w:t>
      </w:r>
      <w:r w:rsidR="00D723E2" w:rsidRPr="00FC71BE">
        <w:t xml:space="preserve"> Mr Tian</w:t>
      </w:r>
      <w:r w:rsidR="006631E2" w:rsidRPr="00FC71BE">
        <w:t>a</w:t>
      </w:r>
      <w:r w:rsidR="00D723E2" w:rsidRPr="00FC71BE">
        <w:t xml:space="preserve">n Zhang, Mrs </w:t>
      </w:r>
      <w:r w:rsidR="005C3C3A" w:rsidRPr="00FC71BE">
        <w:t>Su</w:t>
      </w:r>
      <w:r w:rsidR="006631E2" w:rsidRPr="00FC71BE">
        <w:t>z</w:t>
      </w:r>
      <w:r w:rsidR="005C3C3A" w:rsidRPr="00FC71BE">
        <w:t>hen Zhang, Mrs Lin</w:t>
      </w:r>
      <w:r w:rsidR="006631E2" w:rsidRPr="00FC71BE">
        <w:t>l</w:t>
      </w:r>
      <w:r w:rsidR="005C3C3A" w:rsidRPr="00FC71BE">
        <w:t>in Zhang</w:t>
      </w:r>
      <w:r w:rsidR="004645E4" w:rsidRPr="00FC71BE">
        <w:t>,</w:t>
      </w:r>
      <w:r w:rsidR="005B0634" w:rsidRPr="00FC71BE">
        <w:t xml:space="preserve"> and her </w:t>
      </w:r>
      <w:r w:rsidR="00113C04" w:rsidRPr="00FC71BE">
        <w:t xml:space="preserve">husband and </w:t>
      </w:r>
      <w:r w:rsidR="00051B99" w:rsidRPr="00FC71BE">
        <w:t>lovely daughter</w:t>
      </w:r>
      <w:r w:rsidR="0051546A" w:rsidRPr="00FC71BE">
        <w:t>,</w:t>
      </w:r>
      <w:r w:rsidR="00314F19" w:rsidRPr="00FC71BE">
        <w:t xml:space="preserve"> for their unwavering encouragement</w:t>
      </w:r>
      <w:r w:rsidR="00541697" w:rsidRPr="00FC71BE">
        <w:t xml:space="preserve"> and</w:t>
      </w:r>
      <w:r w:rsidR="00562351" w:rsidRPr="00FC71BE">
        <w:t xml:space="preserve"> </w:t>
      </w:r>
      <w:r w:rsidR="00A8730A" w:rsidRPr="00FC71BE">
        <w:t>companionship</w:t>
      </w:r>
      <w:r w:rsidR="00562351" w:rsidRPr="00FC71BE">
        <w:t xml:space="preserve"> </w:t>
      </w:r>
      <w:r w:rsidR="006316FA" w:rsidRPr="00FC71BE">
        <w:t xml:space="preserve">throughout my life. </w:t>
      </w:r>
      <w:r w:rsidR="006631E2" w:rsidRPr="00FC71BE">
        <w:t>Their love and patience</w:t>
      </w:r>
      <w:r w:rsidR="006316FA" w:rsidRPr="00FC71BE">
        <w:t xml:space="preserve"> </w:t>
      </w:r>
      <w:r w:rsidR="00541697" w:rsidRPr="00FC71BE">
        <w:t>have been a constant source of motivation.</w:t>
      </w:r>
      <w:r w:rsidR="00FC2D62" w:rsidRPr="00FC71BE">
        <w:t xml:space="preserve"> Thank you for always being there for me.</w:t>
      </w:r>
      <w:r w:rsidR="004D4E67" w:rsidRPr="00FC71BE">
        <w:t xml:space="preserve"> </w:t>
      </w:r>
      <w:r w:rsidR="00B7146E" w:rsidRPr="00FC71BE">
        <w:t>Special thanks to my beloved partner, Miss Jin Shi, for her love, encouragement, and understanding. I am deeply grateful for her presence in my life.</w:t>
      </w:r>
    </w:p>
    <w:p w14:paraId="1AD90C58" w14:textId="767E05B8" w:rsidR="003B55DB" w:rsidRPr="00FC71BE" w:rsidRDefault="00D2712C" w:rsidP="00292DCB">
      <w:r w:rsidRPr="00FC71BE">
        <w:t>I am truly grateful for the support, guidance, and encouragement I have received</w:t>
      </w:r>
      <w:r w:rsidR="001637DD" w:rsidRPr="00FC71BE">
        <w:t>. This accomplishment would not have been possible without your contributions.</w:t>
      </w:r>
    </w:p>
    <w:p w14:paraId="2028A125" w14:textId="5B2329A4" w:rsidR="001637DD" w:rsidRPr="00FC71BE" w:rsidRDefault="00132FAB" w:rsidP="00CE49EF">
      <w:pPr>
        <w:spacing w:line="240" w:lineRule="auto"/>
        <w:jc w:val="right"/>
      </w:pPr>
      <w:r w:rsidRPr="00FC71BE">
        <w:t>Wei Zhang</w:t>
      </w:r>
    </w:p>
    <w:p w14:paraId="120CB5E5" w14:textId="24BE5F34" w:rsidR="006631E2" w:rsidRPr="00FC71BE" w:rsidRDefault="006631E2" w:rsidP="00CE49EF">
      <w:pPr>
        <w:spacing w:line="240" w:lineRule="auto"/>
        <w:jc w:val="right"/>
      </w:pPr>
      <w:r w:rsidRPr="00FC71BE">
        <w:t>University of Sheffield</w:t>
      </w:r>
      <w:r w:rsidR="006E3ADE" w:rsidRPr="00FC71BE">
        <w:t>, UK</w:t>
      </w:r>
    </w:p>
    <w:p w14:paraId="676151BB" w14:textId="796FC194" w:rsidR="007B3789" w:rsidRPr="00FC71BE" w:rsidRDefault="00132FAB" w:rsidP="009556F7">
      <w:pPr>
        <w:spacing w:line="240" w:lineRule="auto"/>
        <w:jc w:val="right"/>
      </w:pPr>
      <w:r w:rsidRPr="00FC71BE">
        <w:t>November 2023</w:t>
      </w:r>
      <w:r w:rsidR="007B3789" w:rsidRPr="00FC71BE">
        <w:br w:type="page"/>
      </w:r>
    </w:p>
    <w:p w14:paraId="7E4A4E7A" w14:textId="6631AF75" w:rsidR="007B3789" w:rsidRPr="00FC71BE" w:rsidRDefault="00E6543C" w:rsidP="009944C4">
      <w:pPr>
        <w:pStyle w:val="Heading1"/>
        <w:rPr>
          <w:color w:val="auto"/>
        </w:rPr>
      </w:pPr>
      <w:bookmarkStart w:id="1" w:name="_Toc157695321"/>
      <w:r w:rsidRPr="00FC71BE">
        <w:rPr>
          <w:color w:val="auto"/>
        </w:rPr>
        <w:lastRenderedPageBreak/>
        <w:t>Abstract</w:t>
      </w:r>
      <w:bookmarkEnd w:id="1"/>
    </w:p>
    <w:p w14:paraId="3F61D1EC" w14:textId="5ED1DF32" w:rsidR="00EE26F9" w:rsidRPr="00FC71BE" w:rsidRDefault="008617C4" w:rsidP="007D6C45">
      <w:pPr>
        <w:spacing w:after="60"/>
      </w:pPr>
      <w:bookmarkStart w:id="2" w:name="_Hlk148691719"/>
      <w:r w:rsidRPr="00FC71BE">
        <w:t xml:space="preserve">Advanced thermal management is </w:t>
      </w:r>
      <w:r w:rsidR="00FE638B" w:rsidRPr="00FC71BE">
        <w:t>a</w:t>
      </w:r>
      <w:r w:rsidRPr="00FC71BE">
        <w:t xml:space="preserve"> </w:t>
      </w:r>
      <w:r w:rsidR="00810DE9" w:rsidRPr="00FC71BE">
        <w:t>critical</w:t>
      </w:r>
      <w:r w:rsidRPr="00FC71BE">
        <w:t xml:space="preserve"> field that</w:t>
      </w:r>
      <w:r w:rsidR="00C673A1" w:rsidRPr="00FC71BE">
        <w:t xml:space="preserve"> can improve the electrical machine</w:t>
      </w:r>
      <w:r w:rsidR="00880E11" w:rsidRPr="00FC71BE">
        <w:t xml:space="preserve"> performance</w:t>
      </w:r>
      <w:r w:rsidR="0014377D" w:rsidRPr="00FC71BE">
        <w:t xml:space="preserve"> in terms of</w:t>
      </w:r>
      <w:r w:rsidR="00880E11" w:rsidRPr="00FC71BE">
        <w:t xml:space="preserve"> th</w:t>
      </w:r>
      <w:r w:rsidR="00C42235" w:rsidRPr="00FC71BE">
        <w:t>e torque and power density, efficiency, reliability</w:t>
      </w:r>
      <w:r w:rsidR="007D4DF3" w:rsidRPr="00FC71BE">
        <w:t xml:space="preserve">, and maintenance. </w:t>
      </w:r>
      <w:r w:rsidR="00EE26F9" w:rsidRPr="00FC71BE">
        <w:t xml:space="preserve">This thesis </w:t>
      </w:r>
      <w:r w:rsidR="0014377D" w:rsidRPr="00FC71BE">
        <w:t>delves into</w:t>
      </w:r>
      <w:r w:rsidR="004B4C58" w:rsidRPr="00FC71BE">
        <w:t xml:space="preserve"> advanced thermal management for high torque density permanent </w:t>
      </w:r>
      <w:r w:rsidR="00455CC9" w:rsidRPr="00FC71BE">
        <w:t xml:space="preserve">magnet </w:t>
      </w:r>
      <w:r w:rsidR="004B4C58" w:rsidRPr="00FC71BE">
        <w:t>machines</w:t>
      </w:r>
      <w:r w:rsidR="0074762D" w:rsidRPr="00FC71BE">
        <w:t xml:space="preserve">. </w:t>
      </w:r>
      <w:r w:rsidR="00A35859" w:rsidRPr="00FC71BE">
        <w:t>It explores a</w:t>
      </w:r>
      <w:r w:rsidR="0074762D" w:rsidRPr="00FC71BE">
        <w:t xml:space="preserve"> novel machine configuration that introduces stator modularity in a </w:t>
      </w:r>
      <w:r w:rsidR="00215ACF" w:rsidRPr="00FC71BE">
        <w:t>surface-mounted permanent machine</w:t>
      </w:r>
      <w:r w:rsidR="00C330EA" w:rsidRPr="00FC71BE">
        <w:t xml:space="preserve">. The influence of the </w:t>
      </w:r>
      <w:r w:rsidR="003937BF" w:rsidRPr="00FC71BE">
        <w:t>flux gap</w:t>
      </w:r>
      <w:r w:rsidR="009F591F" w:rsidRPr="00FC71BE">
        <w:t xml:space="preserve">s </w:t>
      </w:r>
      <w:r w:rsidR="003937BF" w:rsidRPr="00FC71BE">
        <w:t xml:space="preserve">on the </w:t>
      </w:r>
      <w:r w:rsidR="00C11EFA" w:rsidRPr="00FC71BE">
        <w:t xml:space="preserve">machine electromagnetic, fluid dynamics, and </w:t>
      </w:r>
      <w:r w:rsidR="0033339D" w:rsidRPr="00FC71BE">
        <w:t xml:space="preserve">heat transfer </w:t>
      </w:r>
      <w:r w:rsidR="007936F4" w:rsidRPr="00FC71BE">
        <w:t>performance</w:t>
      </w:r>
      <w:r w:rsidR="007E0A3C" w:rsidRPr="00FC71BE">
        <w:t>s</w:t>
      </w:r>
      <w:r w:rsidR="00C11EFA" w:rsidRPr="00FC71BE">
        <w:t xml:space="preserve"> </w:t>
      </w:r>
      <w:r w:rsidR="00A04B2D" w:rsidRPr="00FC71BE">
        <w:t>ha</w:t>
      </w:r>
      <w:r w:rsidR="007E0A3C" w:rsidRPr="00FC71BE">
        <w:t>s</w:t>
      </w:r>
      <w:r w:rsidR="00A04B2D" w:rsidRPr="00FC71BE">
        <w:t xml:space="preserve"> been</w:t>
      </w:r>
      <w:r w:rsidR="001E6C7E" w:rsidRPr="00FC71BE">
        <w:t xml:space="preserve"> </w:t>
      </w:r>
      <w:r w:rsidR="007E0A3C" w:rsidRPr="00FC71BE">
        <w:t>investigated</w:t>
      </w:r>
      <w:r w:rsidR="00A04B2D" w:rsidRPr="00FC71BE">
        <w:t xml:space="preserve"> in this thesis</w:t>
      </w:r>
      <w:r w:rsidR="001E6C7E" w:rsidRPr="00FC71BE">
        <w:t xml:space="preserve">. </w:t>
      </w:r>
    </w:p>
    <w:p w14:paraId="7308CFE9" w14:textId="5B065E1C" w:rsidR="009C637E" w:rsidRPr="00FC71BE" w:rsidRDefault="00021F88" w:rsidP="007D6C45">
      <w:pPr>
        <w:spacing w:after="60"/>
      </w:pPr>
      <w:r w:rsidRPr="00FC71BE">
        <w:t>In order to</w:t>
      </w:r>
      <w:r w:rsidR="00341E34" w:rsidRPr="00FC71BE">
        <w:t xml:space="preserve"> accurately predict the </w:t>
      </w:r>
      <w:r w:rsidR="00B4117D" w:rsidRPr="00FC71BE">
        <w:t xml:space="preserve">influence of different cooling technologies on machine electromagnetic </w:t>
      </w:r>
      <w:r w:rsidR="00230B0D" w:rsidRPr="00FC71BE">
        <w:t>performance, a</w:t>
      </w:r>
      <w:r w:rsidR="003B04C5" w:rsidRPr="00FC71BE">
        <w:t>n</w:t>
      </w:r>
      <w:r w:rsidR="00230B0D" w:rsidRPr="00FC71BE">
        <w:t xml:space="preserve"> electromagnetic-thermal coupled model is </w:t>
      </w:r>
      <w:r w:rsidR="00D2424D" w:rsidRPr="00FC71BE">
        <w:t>established</w:t>
      </w:r>
      <w:r w:rsidR="005F5D97" w:rsidRPr="00FC71BE">
        <w:t xml:space="preserve"> based on finite element</w:t>
      </w:r>
      <w:r w:rsidR="00C03F2D" w:rsidRPr="00FC71BE">
        <w:t xml:space="preserve"> method, computational fluid dynamics, and lumped parameter </w:t>
      </w:r>
      <w:r w:rsidR="00A63397" w:rsidRPr="00FC71BE">
        <w:t>thermal network methods</w:t>
      </w:r>
      <w:r w:rsidR="008C566F" w:rsidRPr="00FC71BE">
        <w:t xml:space="preserve">. </w:t>
      </w:r>
      <w:r w:rsidR="00AB2192" w:rsidRPr="00FC71BE">
        <w:t xml:space="preserve">Comparative studies </w:t>
      </w:r>
      <w:r w:rsidR="00C76383" w:rsidRPr="00FC71BE">
        <w:t>involved t</w:t>
      </w:r>
      <w:r w:rsidR="008C566F" w:rsidRPr="00FC71BE">
        <w:t xml:space="preserve">he </w:t>
      </w:r>
      <w:r w:rsidR="0076575F" w:rsidRPr="00FC71BE">
        <w:t xml:space="preserve">static electromagnetic performance, such as torque and torque ripple, as well as dynamic electromagnetic performance, such as </w:t>
      </w:r>
      <w:r w:rsidR="00AB2192" w:rsidRPr="00FC71BE">
        <w:t xml:space="preserve">torque speed curve and efficiency map, </w:t>
      </w:r>
      <w:r w:rsidR="00C76383" w:rsidRPr="00FC71BE">
        <w:t xml:space="preserve">have been </w:t>
      </w:r>
      <w:r w:rsidR="002C15C8" w:rsidRPr="00FC71BE">
        <w:t>investigated</w:t>
      </w:r>
      <w:r w:rsidR="003978C1" w:rsidRPr="00FC71BE">
        <w:t>,</w:t>
      </w:r>
      <w:r w:rsidR="002C15C8" w:rsidRPr="00FC71BE">
        <w:t xml:space="preserve"> </w:t>
      </w:r>
      <w:r w:rsidR="00B03AD4" w:rsidRPr="00FC71BE">
        <w:t>w</w:t>
      </w:r>
      <w:r w:rsidR="003978C1" w:rsidRPr="00FC71BE">
        <w:t>hile</w:t>
      </w:r>
      <w:r w:rsidR="00B03AD4" w:rsidRPr="00FC71BE">
        <w:t xml:space="preserve"> considering the electromagnetic-thermal coupl</w:t>
      </w:r>
      <w:r w:rsidR="00E36712" w:rsidRPr="00FC71BE">
        <w:t>ing</w:t>
      </w:r>
      <w:r w:rsidR="00B03AD4" w:rsidRPr="00FC71BE">
        <w:t>.</w:t>
      </w:r>
      <w:r w:rsidR="008520AF" w:rsidRPr="00FC71BE">
        <w:t xml:space="preserve"> More accurate predictions of machine dynamics performances have been achieved.</w:t>
      </w:r>
    </w:p>
    <w:p w14:paraId="2DB070C3" w14:textId="7918C002" w:rsidR="00871F91" w:rsidRPr="00FC71BE" w:rsidRDefault="004846C1" w:rsidP="007D6C45">
      <w:pPr>
        <w:spacing w:after="60"/>
      </w:pPr>
      <w:r w:rsidRPr="00FC71BE">
        <w:t>To</w:t>
      </w:r>
      <w:r w:rsidR="009C637E" w:rsidRPr="00FC71BE">
        <w:t xml:space="preserve"> </w:t>
      </w:r>
      <w:r w:rsidR="0036002E" w:rsidRPr="00FC71BE">
        <w:t xml:space="preserve">further elucidate </w:t>
      </w:r>
      <w:r w:rsidRPr="00FC71BE">
        <w:t xml:space="preserve">the impact of flux gaps, </w:t>
      </w:r>
      <w:r w:rsidR="009D4297" w:rsidRPr="00FC71BE">
        <w:t>the coupled model ha</w:t>
      </w:r>
      <w:r w:rsidR="00741959" w:rsidRPr="00FC71BE">
        <w:t>s</w:t>
      </w:r>
      <w:r w:rsidR="009D4297" w:rsidRPr="00FC71BE">
        <w:t xml:space="preserve"> been </w:t>
      </w:r>
      <w:r w:rsidR="00941C89" w:rsidRPr="00FC71BE">
        <w:t xml:space="preserve">employed </w:t>
      </w:r>
      <w:r w:rsidR="00965CC5" w:rsidRPr="00FC71BE">
        <w:t>to</w:t>
      </w:r>
      <w:r w:rsidR="00941C89" w:rsidRPr="00FC71BE">
        <w:t xml:space="preserve"> </w:t>
      </w:r>
      <w:r w:rsidR="00CD2F0A" w:rsidRPr="00FC71BE">
        <w:t>investigat</w:t>
      </w:r>
      <w:r w:rsidR="00965CC5" w:rsidRPr="00FC71BE">
        <w:t>e</w:t>
      </w:r>
      <w:r w:rsidR="00CD2F0A" w:rsidRPr="00FC71BE">
        <w:t xml:space="preserve"> </w:t>
      </w:r>
      <w:r w:rsidR="00941C89" w:rsidRPr="00FC71BE">
        <w:t>the modular SPM machine and its non-modular counterpart</w:t>
      </w:r>
      <w:r w:rsidR="00CD2F0A" w:rsidRPr="00FC71BE">
        <w:t xml:space="preserve"> with</w:t>
      </w:r>
      <w:r w:rsidR="00941C89" w:rsidRPr="00FC71BE">
        <w:t xml:space="preserve"> </w:t>
      </w:r>
      <w:r w:rsidRPr="00FC71BE">
        <w:t>two</w:t>
      </w:r>
      <w:r w:rsidR="003B04C5" w:rsidRPr="00FC71BE">
        <w:t xml:space="preserve"> </w:t>
      </w:r>
      <w:r w:rsidR="00CD2F0A" w:rsidRPr="00FC71BE">
        <w:t xml:space="preserve">different </w:t>
      </w:r>
      <w:r w:rsidR="003B04C5" w:rsidRPr="00FC71BE">
        <w:t>advanced cooling technologies</w:t>
      </w:r>
      <w:r w:rsidR="00965CC5" w:rsidRPr="00FC71BE">
        <w:t>:</w:t>
      </w:r>
      <w:r w:rsidR="00DD4337" w:rsidRPr="00FC71BE">
        <w:t xml:space="preserve"> </w:t>
      </w:r>
      <w:r w:rsidR="00EC4886" w:rsidRPr="00FC71BE">
        <w:t>including semi-flooded oil cooling</w:t>
      </w:r>
      <w:r w:rsidR="00965CC5" w:rsidRPr="00FC71BE">
        <w:t xml:space="preserve"> and</w:t>
      </w:r>
      <w:r w:rsidR="00EC4886" w:rsidRPr="00FC71BE">
        <w:t xml:space="preserve"> ventilation cooling</w:t>
      </w:r>
      <w:r w:rsidR="009C637E" w:rsidRPr="00FC71BE">
        <w:t>.</w:t>
      </w:r>
      <w:r w:rsidR="00741959" w:rsidRPr="00FC71BE">
        <w:t xml:space="preserve"> </w:t>
      </w:r>
      <w:r w:rsidR="008520AF" w:rsidRPr="00FC71BE">
        <w:t>The investigations have revealed that, the machine temperature can be significantly reduced by more than 100</w:t>
      </w:r>
      <m:oMath>
        <m:r>
          <w:rPr>
            <w:rFonts w:ascii="Cambria Math" w:hAnsi="Cambria Math"/>
          </w:rPr>
          <m:t>℃</m:t>
        </m:r>
      </m:oMath>
      <w:r w:rsidR="008520AF" w:rsidRPr="00FC71BE">
        <w:t xml:space="preserve">. Moreover, the finding also reveal that introducing flux gaps can further improve cooling efficiency. </w:t>
      </w:r>
      <w:r w:rsidR="00417329" w:rsidRPr="00FC71BE">
        <w:t>Additionally</w:t>
      </w:r>
      <w:r w:rsidR="00741959" w:rsidRPr="00FC71BE">
        <w:t>, multiphysics model</w:t>
      </w:r>
      <w:r w:rsidR="00534481" w:rsidRPr="00FC71BE">
        <w:t>s</w:t>
      </w:r>
      <w:r w:rsidR="00741959" w:rsidRPr="00FC71BE">
        <w:t xml:space="preserve">, </w:t>
      </w:r>
      <w:r w:rsidR="00534481" w:rsidRPr="00FC71BE">
        <w:t xml:space="preserve">incorporating </w:t>
      </w:r>
      <w:r w:rsidR="00D214B0" w:rsidRPr="00FC71BE">
        <w:t>magnetic body force</w:t>
      </w:r>
      <w:r w:rsidR="00534481" w:rsidRPr="00FC71BE">
        <w:t>s</w:t>
      </w:r>
      <w:r w:rsidR="00D214B0" w:rsidRPr="00FC71BE">
        <w:t xml:space="preserve"> in computational fluid dynamics</w:t>
      </w:r>
      <w:r w:rsidR="0039153F" w:rsidRPr="00FC71BE">
        <w:t xml:space="preserve"> simulation</w:t>
      </w:r>
      <w:r w:rsidR="00534481" w:rsidRPr="00FC71BE">
        <w:t>s</w:t>
      </w:r>
      <w:r w:rsidR="0039153F" w:rsidRPr="00FC71BE">
        <w:t>, ha</w:t>
      </w:r>
      <w:r w:rsidR="00534481" w:rsidRPr="00FC71BE">
        <w:t>ve</w:t>
      </w:r>
      <w:r w:rsidR="0039153F" w:rsidRPr="00FC71BE">
        <w:t xml:space="preserve"> been developed</w:t>
      </w:r>
      <w:r w:rsidR="00D3114C" w:rsidRPr="00FC71BE">
        <w:t xml:space="preserve"> </w:t>
      </w:r>
      <w:r w:rsidR="00BD4EEE" w:rsidRPr="00FC71BE">
        <w:t>to examine thermomagnetic convection in ferrofluid cooling</w:t>
      </w:r>
      <w:r w:rsidR="00D3114C" w:rsidRPr="00FC71BE">
        <w:t>.</w:t>
      </w:r>
      <w:r w:rsidR="009054A1" w:rsidRPr="00FC71BE">
        <w:t xml:space="preserve"> </w:t>
      </w:r>
      <w:r w:rsidR="00675885" w:rsidRPr="00FC71BE">
        <w:t>T</w:t>
      </w:r>
      <w:r w:rsidR="009054A1" w:rsidRPr="00FC71BE">
        <w:t>he cooling efficiency</w:t>
      </w:r>
      <w:r w:rsidR="00181317" w:rsidRPr="00FC71BE">
        <w:t xml:space="preserve"> of ferrofluid </w:t>
      </w:r>
      <w:r w:rsidR="000C71D6" w:rsidRPr="00FC71BE">
        <w:t>cooling methods</w:t>
      </w:r>
      <w:r w:rsidR="00BE6040" w:rsidRPr="00FC71BE">
        <w:t xml:space="preserve"> under different </w:t>
      </w:r>
      <w:r w:rsidR="00A626AF" w:rsidRPr="00FC71BE">
        <w:t>load current</w:t>
      </w:r>
      <w:r w:rsidR="00350E9A" w:rsidRPr="00FC71BE">
        <w:t>s</w:t>
      </w:r>
      <w:r w:rsidR="00A626AF" w:rsidRPr="00FC71BE">
        <w:t xml:space="preserve"> and various </w:t>
      </w:r>
      <w:r w:rsidR="002F369B" w:rsidRPr="00FC71BE">
        <w:t xml:space="preserve">coolant </w:t>
      </w:r>
      <w:r w:rsidR="00A626AF" w:rsidRPr="00FC71BE">
        <w:t>properties</w:t>
      </w:r>
      <w:r w:rsidR="000C71D6" w:rsidRPr="00FC71BE">
        <w:t xml:space="preserve"> </w:t>
      </w:r>
      <w:r w:rsidR="00344BF7" w:rsidRPr="00FC71BE">
        <w:t xml:space="preserve">has been </w:t>
      </w:r>
      <w:r w:rsidR="00417329" w:rsidRPr="00FC71BE">
        <w:t>assessed</w:t>
      </w:r>
      <w:r w:rsidR="00344BF7" w:rsidRPr="00FC71BE">
        <w:t xml:space="preserve"> </w:t>
      </w:r>
      <w:r w:rsidR="00BE6040" w:rsidRPr="00FC71BE">
        <w:t>by employing this multiphysics model</w:t>
      </w:r>
      <w:r w:rsidR="00344BF7" w:rsidRPr="00FC71BE">
        <w:t>.</w:t>
      </w:r>
      <w:r w:rsidR="00F80FA3" w:rsidRPr="00FC71BE">
        <w:t xml:space="preserve"> </w:t>
      </w:r>
      <w:r w:rsidR="008520AF" w:rsidRPr="00FC71BE">
        <w:t>A significant temperature decrease can be achieved after introducing ferrofluid cooling. Compared with machine without any cooling, the machine temperature can be reduced by 36.4</w:t>
      </w:r>
      <m:oMath>
        <m:r>
          <w:rPr>
            <w:rFonts w:ascii="Cambria Math" w:hAnsi="Cambria Math"/>
          </w:rPr>
          <m:t>℃</m:t>
        </m:r>
      </m:oMath>
      <w:r w:rsidR="008520AF" w:rsidRPr="00FC71BE">
        <w:t xml:space="preserve"> when loading current is around 22.1A/mm</w:t>
      </w:r>
      <w:r w:rsidR="008520AF" w:rsidRPr="00FC71BE">
        <w:rPr>
          <w:vertAlign w:val="superscript"/>
        </w:rPr>
        <w:t>2</w:t>
      </w:r>
      <w:r w:rsidR="008520AF" w:rsidRPr="00FC71BE">
        <w:t xml:space="preserve">. </w:t>
      </w:r>
      <w:r w:rsidR="00417329" w:rsidRPr="00FC71BE">
        <w:t>Moreover</w:t>
      </w:r>
      <w:r w:rsidR="00A165E0" w:rsidRPr="00FC71BE">
        <w:t>, the impact of flux gaps on the ferrofluid cooling system</w:t>
      </w:r>
      <w:r w:rsidR="00EF4402" w:rsidRPr="00FC71BE">
        <w:t xml:space="preserve"> has also been revealed in this thesis.</w:t>
      </w:r>
    </w:p>
    <w:p w14:paraId="584C87E1" w14:textId="3A582624" w:rsidR="00195C96" w:rsidRPr="00FC71BE" w:rsidRDefault="007B6848" w:rsidP="007D6C45">
      <w:pPr>
        <w:spacing w:after="60"/>
      </w:pPr>
      <w:r w:rsidRPr="00FC71BE">
        <w:t>In summary</w:t>
      </w:r>
      <w:r w:rsidR="00085482" w:rsidRPr="00FC71BE">
        <w:t xml:space="preserve">, </w:t>
      </w:r>
      <w:r w:rsidRPr="00FC71BE">
        <w:t xml:space="preserve">this thesis comprehensively investigates </w:t>
      </w:r>
      <w:r w:rsidR="00085482" w:rsidRPr="00FC71BE">
        <w:t xml:space="preserve">the influence of flux gaps on machine electromagnetic, fluid dynamics, and </w:t>
      </w:r>
      <w:r w:rsidR="00BF4BB3" w:rsidRPr="00FC71BE">
        <w:t xml:space="preserve">heat transfer fields </w:t>
      </w:r>
      <w:r w:rsidR="00A631D6" w:rsidRPr="00FC71BE">
        <w:t>using</w:t>
      </w:r>
      <w:r w:rsidR="00680D9A" w:rsidRPr="00FC71BE">
        <w:t xml:space="preserve"> finite element, computational fluid dynamics </w:t>
      </w:r>
      <w:r w:rsidR="00B8202F" w:rsidRPr="00FC71BE">
        <w:t xml:space="preserve">methods and </w:t>
      </w:r>
      <w:r w:rsidR="003E1706" w:rsidRPr="00FC71BE">
        <w:t xml:space="preserve">their </w:t>
      </w:r>
      <w:r w:rsidR="00B8202F" w:rsidRPr="00FC71BE">
        <w:t>coupled models</w:t>
      </w:r>
      <w:r w:rsidR="0082412A" w:rsidRPr="00FC71BE">
        <w:t>.</w:t>
      </w:r>
      <w:bookmarkEnd w:id="2"/>
      <w:r w:rsidR="00B3173A" w:rsidRPr="00FC71BE">
        <w:br w:type="page"/>
      </w:r>
    </w:p>
    <w:p w14:paraId="5F72E4B7" w14:textId="77777777" w:rsidR="00FD45C5" w:rsidRPr="00FC71BE" w:rsidRDefault="00FD45C5" w:rsidP="00DA6AFF">
      <w:pPr>
        <w:pStyle w:val="Heading1"/>
        <w:rPr>
          <w:color w:val="auto"/>
        </w:rPr>
      </w:pPr>
      <w:bookmarkStart w:id="3" w:name="_Toc157695322"/>
      <w:r w:rsidRPr="00FC71BE">
        <w:rPr>
          <w:color w:val="auto"/>
        </w:rPr>
        <w:lastRenderedPageBreak/>
        <w:t>List of Abbreviation</w:t>
      </w:r>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178"/>
      </w:tblGrid>
      <w:tr w:rsidR="00FC71BE" w:rsidRPr="00FC71BE" w14:paraId="37C02D70" w14:textId="77777777">
        <w:tc>
          <w:tcPr>
            <w:tcW w:w="1838" w:type="dxa"/>
          </w:tcPr>
          <w:p w14:paraId="55BD2688" w14:textId="77777777" w:rsidR="00FD45C5" w:rsidRPr="00FC71BE" w:rsidRDefault="00FD45C5">
            <w:pPr>
              <w:ind w:firstLine="0"/>
            </w:pPr>
            <w:r w:rsidRPr="00FC71BE">
              <w:t>2p</w:t>
            </w:r>
          </w:p>
        </w:tc>
        <w:tc>
          <w:tcPr>
            <w:tcW w:w="7178" w:type="dxa"/>
          </w:tcPr>
          <w:p w14:paraId="547C1861" w14:textId="77777777" w:rsidR="00FD45C5" w:rsidRPr="00FC71BE" w:rsidRDefault="00FD45C5">
            <w:pPr>
              <w:ind w:firstLine="0"/>
            </w:pPr>
            <w:r w:rsidRPr="00FC71BE">
              <w:t>Pole number</w:t>
            </w:r>
          </w:p>
        </w:tc>
      </w:tr>
      <w:tr w:rsidR="00FC71BE" w:rsidRPr="00FC71BE" w14:paraId="6B9A24AB" w14:textId="77777777">
        <w:tc>
          <w:tcPr>
            <w:tcW w:w="1838" w:type="dxa"/>
          </w:tcPr>
          <w:p w14:paraId="629BE040" w14:textId="77777777" w:rsidR="00FD45C5" w:rsidRPr="00FC71BE" w:rsidRDefault="00FD45C5">
            <w:pPr>
              <w:ind w:firstLine="0"/>
            </w:pPr>
            <w:r w:rsidRPr="00FC71BE">
              <w:t>AC</w:t>
            </w:r>
          </w:p>
        </w:tc>
        <w:tc>
          <w:tcPr>
            <w:tcW w:w="7178" w:type="dxa"/>
          </w:tcPr>
          <w:p w14:paraId="10F6EACB" w14:textId="77777777" w:rsidR="00FD45C5" w:rsidRPr="00FC71BE" w:rsidRDefault="00FD45C5">
            <w:pPr>
              <w:ind w:firstLine="0"/>
            </w:pPr>
            <w:r w:rsidRPr="00FC71BE">
              <w:t>Alternating current</w:t>
            </w:r>
          </w:p>
        </w:tc>
      </w:tr>
      <w:tr w:rsidR="00FC71BE" w:rsidRPr="00FC71BE" w14:paraId="7FD5D309" w14:textId="77777777">
        <w:tc>
          <w:tcPr>
            <w:tcW w:w="1838" w:type="dxa"/>
          </w:tcPr>
          <w:p w14:paraId="137D936F" w14:textId="77777777" w:rsidR="00FD45C5" w:rsidRPr="00FC71BE" w:rsidRDefault="00FD45C5">
            <w:pPr>
              <w:ind w:firstLine="0"/>
            </w:pPr>
            <w:r w:rsidRPr="00FC71BE">
              <w:t>AM</w:t>
            </w:r>
          </w:p>
        </w:tc>
        <w:tc>
          <w:tcPr>
            <w:tcW w:w="7178" w:type="dxa"/>
          </w:tcPr>
          <w:p w14:paraId="538DBE99" w14:textId="77777777" w:rsidR="00FD45C5" w:rsidRPr="00FC71BE" w:rsidRDefault="00FD45C5">
            <w:pPr>
              <w:ind w:firstLine="0"/>
            </w:pPr>
            <w:r w:rsidRPr="00FC71BE">
              <w:t>Additive manufacture</w:t>
            </w:r>
          </w:p>
        </w:tc>
      </w:tr>
      <w:tr w:rsidR="00FC71BE" w:rsidRPr="00FC71BE" w14:paraId="3538FDCA" w14:textId="77777777">
        <w:tc>
          <w:tcPr>
            <w:tcW w:w="1838" w:type="dxa"/>
          </w:tcPr>
          <w:p w14:paraId="490E1035" w14:textId="77777777" w:rsidR="00FD45C5" w:rsidRPr="00FC71BE" w:rsidRDefault="00FD45C5">
            <w:pPr>
              <w:ind w:firstLine="0"/>
            </w:pPr>
            <w:r w:rsidRPr="00FC71BE">
              <w:t>CFD</w:t>
            </w:r>
          </w:p>
        </w:tc>
        <w:tc>
          <w:tcPr>
            <w:tcW w:w="7178" w:type="dxa"/>
          </w:tcPr>
          <w:p w14:paraId="3B90988C" w14:textId="77777777" w:rsidR="00FD45C5" w:rsidRPr="00FC71BE" w:rsidRDefault="00FD45C5">
            <w:pPr>
              <w:ind w:firstLine="0"/>
            </w:pPr>
            <w:r w:rsidRPr="00FC71BE">
              <w:t>Computational fluid dynamics</w:t>
            </w:r>
          </w:p>
        </w:tc>
      </w:tr>
      <w:tr w:rsidR="00FC71BE" w:rsidRPr="00FC71BE" w14:paraId="3D6CFABF" w14:textId="77777777">
        <w:tc>
          <w:tcPr>
            <w:tcW w:w="1838" w:type="dxa"/>
          </w:tcPr>
          <w:p w14:paraId="666CFA6F" w14:textId="77777777" w:rsidR="00FD45C5" w:rsidRPr="00FC71BE" w:rsidRDefault="00FD45C5">
            <w:pPr>
              <w:ind w:firstLine="0"/>
            </w:pPr>
            <w:r w:rsidRPr="00FC71BE">
              <w:t>DC</w:t>
            </w:r>
          </w:p>
        </w:tc>
        <w:tc>
          <w:tcPr>
            <w:tcW w:w="7178" w:type="dxa"/>
          </w:tcPr>
          <w:p w14:paraId="7DD05C2C" w14:textId="77777777" w:rsidR="00FD45C5" w:rsidRPr="00FC71BE" w:rsidRDefault="00FD45C5">
            <w:pPr>
              <w:ind w:firstLine="0"/>
            </w:pPr>
            <w:r w:rsidRPr="00FC71BE">
              <w:t>Direct current</w:t>
            </w:r>
          </w:p>
        </w:tc>
      </w:tr>
      <w:tr w:rsidR="00FC71BE" w:rsidRPr="00FC71BE" w14:paraId="36DAC0E1" w14:textId="77777777">
        <w:tc>
          <w:tcPr>
            <w:tcW w:w="1838" w:type="dxa"/>
          </w:tcPr>
          <w:p w14:paraId="18DC477B" w14:textId="77777777" w:rsidR="00FD45C5" w:rsidRPr="00FC71BE" w:rsidRDefault="00FD45C5">
            <w:pPr>
              <w:ind w:firstLine="0"/>
            </w:pPr>
            <w:r w:rsidRPr="00FC71BE">
              <w:t>DNS</w:t>
            </w:r>
          </w:p>
        </w:tc>
        <w:tc>
          <w:tcPr>
            <w:tcW w:w="7178" w:type="dxa"/>
          </w:tcPr>
          <w:p w14:paraId="55AF0835" w14:textId="77777777" w:rsidR="00FD45C5" w:rsidRPr="00FC71BE" w:rsidRDefault="00FD45C5">
            <w:pPr>
              <w:ind w:firstLine="0"/>
            </w:pPr>
            <w:r w:rsidRPr="00FC71BE">
              <w:t>Direct numerical simulation</w:t>
            </w:r>
          </w:p>
        </w:tc>
      </w:tr>
      <w:tr w:rsidR="00FC71BE" w:rsidRPr="00FC71BE" w14:paraId="5FFF2061" w14:textId="77777777">
        <w:tc>
          <w:tcPr>
            <w:tcW w:w="1838" w:type="dxa"/>
          </w:tcPr>
          <w:p w14:paraId="01265999" w14:textId="77777777" w:rsidR="00FD45C5" w:rsidRPr="00FC71BE" w:rsidRDefault="00FD45C5">
            <w:pPr>
              <w:ind w:firstLine="0"/>
            </w:pPr>
            <w:r w:rsidRPr="00FC71BE">
              <w:t>DSPM</w:t>
            </w:r>
          </w:p>
        </w:tc>
        <w:tc>
          <w:tcPr>
            <w:tcW w:w="7178" w:type="dxa"/>
          </w:tcPr>
          <w:p w14:paraId="3747FE9A" w14:textId="77777777" w:rsidR="00FD45C5" w:rsidRPr="00FC71BE" w:rsidRDefault="00FD45C5">
            <w:pPr>
              <w:ind w:firstLine="0"/>
            </w:pPr>
            <w:r w:rsidRPr="00FC71BE">
              <w:t>Double salient permanent magnet</w:t>
            </w:r>
          </w:p>
        </w:tc>
      </w:tr>
      <w:tr w:rsidR="00FC71BE" w:rsidRPr="00FC71BE" w14:paraId="43296B48" w14:textId="77777777">
        <w:tc>
          <w:tcPr>
            <w:tcW w:w="1838" w:type="dxa"/>
          </w:tcPr>
          <w:p w14:paraId="598A04A6" w14:textId="77777777" w:rsidR="00FD45C5" w:rsidRPr="00FC71BE" w:rsidRDefault="00FD45C5">
            <w:pPr>
              <w:ind w:firstLine="0"/>
            </w:pPr>
            <w:r w:rsidRPr="00FC71BE">
              <w:rPr>
                <w:i/>
                <w:iCs/>
              </w:rPr>
              <w:t>d</w:t>
            </w:r>
            <w:r w:rsidRPr="00FC71BE">
              <w:t>-axis</w:t>
            </w:r>
          </w:p>
        </w:tc>
        <w:tc>
          <w:tcPr>
            <w:tcW w:w="7178" w:type="dxa"/>
          </w:tcPr>
          <w:p w14:paraId="1EE14539" w14:textId="77777777" w:rsidR="00FD45C5" w:rsidRPr="00FC71BE" w:rsidRDefault="00FD45C5">
            <w:pPr>
              <w:ind w:firstLine="0"/>
            </w:pPr>
            <w:r w:rsidRPr="00FC71BE">
              <w:t>Direct axis</w:t>
            </w:r>
          </w:p>
        </w:tc>
      </w:tr>
      <w:tr w:rsidR="00FC71BE" w:rsidRPr="00FC71BE" w14:paraId="385EFB8E" w14:textId="77777777">
        <w:tc>
          <w:tcPr>
            <w:tcW w:w="1838" w:type="dxa"/>
          </w:tcPr>
          <w:p w14:paraId="27057F40" w14:textId="77777777" w:rsidR="00FD45C5" w:rsidRPr="00FC71BE" w:rsidRDefault="00FD45C5">
            <w:pPr>
              <w:ind w:firstLine="0"/>
            </w:pPr>
            <w:r w:rsidRPr="00FC71BE">
              <w:t>EFC</w:t>
            </w:r>
          </w:p>
        </w:tc>
        <w:tc>
          <w:tcPr>
            <w:tcW w:w="7178" w:type="dxa"/>
          </w:tcPr>
          <w:p w14:paraId="18EF88C7" w14:textId="77777777" w:rsidR="00FD45C5" w:rsidRPr="00FC71BE" w:rsidRDefault="00FD45C5">
            <w:pPr>
              <w:ind w:firstLine="0"/>
            </w:pPr>
            <w:r w:rsidRPr="00FC71BE">
              <w:t>Enclosed fan cooled</w:t>
            </w:r>
          </w:p>
        </w:tc>
      </w:tr>
      <w:tr w:rsidR="00FC71BE" w:rsidRPr="00FC71BE" w14:paraId="2E026DC2" w14:textId="77777777">
        <w:tc>
          <w:tcPr>
            <w:tcW w:w="1838" w:type="dxa"/>
          </w:tcPr>
          <w:p w14:paraId="2EE55872" w14:textId="77777777" w:rsidR="00FD45C5" w:rsidRPr="00FC71BE" w:rsidRDefault="00FD45C5">
            <w:pPr>
              <w:ind w:firstLine="0"/>
            </w:pPr>
            <w:r w:rsidRPr="00FC71BE">
              <w:t>EGW</w:t>
            </w:r>
          </w:p>
        </w:tc>
        <w:tc>
          <w:tcPr>
            <w:tcW w:w="7178" w:type="dxa"/>
          </w:tcPr>
          <w:p w14:paraId="2F7EC96F" w14:textId="77777777" w:rsidR="00FD45C5" w:rsidRPr="00FC71BE" w:rsidRDefault="00FD45C5">
            <w:pPr>
              <w:ind w:firstLine="0"/>
            </w:pPr>
            <w:r w:rsidRPr="00FC71BE">
              <w:t>Ethylene Glycol based water</w:t>
            </w:r>
          </w:p>
        </w:tc>
      </w:tr>
      <w:tr w:rsidR="00FC71BE" w:rsidRPr="00FC71BE" w14:paraId="488B6CE7" w14:textId="77777777">
        <w:tc>
          <w:tcPr>
            <w:tcW w:w="1838" w:type="dxa"/>
          </w:tcPr>
          <w:p w14:paraId="2E397B6D" w14:textId="77777777" w:rsidR="00FD45C5" w:rsidRPr="00FC71BE" w:rsidRDefault="00FD45C5">
            <w:pPr>
              <w:ind w:firstLine="0"/>
            </w:pPr>
            <w:r w:rsidRPr="00FC71BE">
              <w:t>EM</w:t>
            </w:r>
          </w:p>
        </w:tc>
        <w:tc>
          <w:tcPr>
            <w:tcW w:w="7178" w:type="dxa"/>
          </w:tcPr>
          <w:p w14:paraId="6E40D72B" w14:textId="77777777" w:rsidR="00FD45C5" w:rsidRPr="00FC71BE" w:rsidRDefault="00FD45C5">
            <w:pPr>
              <w:ind w:firstLine="0"/>
            </w:pPr>
            <w:r w:rsidRPr="00FC71BE">
              <w:t>Electromagnetic</w:t>
            </w:r>
          </w:p>
        </w:tc>
      </w:tr>
      <w:tr w:rsidR="00FC71BE" w:rsidRPr="00FC71BE" w14:paraId="2E1DC73C" w14:textId="77777777">
        <w:tc>
          <w:tcPr>
            <w:tcW w:w="1838" w:type="dxa"/>
          </w:tcPr>
          <w:p w14:paraId="27DDC37E" w14:textId="77777777" w:rsidR="00FD45C5" w:rsidRPr="00FC71BE" w:rsidRDefault="00FD45C5">
            <w:pPr>
              <w:ind w:firstLine="0"/>
            </w:pPr>
            <w:r w:rsidRPr="00FC71BE">
              <w:t>EMF</w:t>
            </w:r>
          </w:p>
        </w:tc>
        <w:tc>
          <w:tcPr>
            <w:tcW w:w="7178" w:type="dxa"/>
          </w:tcPr>
          <w:p w14:paraId="01A18FFE" w14:textId="77777777" w:rsidR="00FD45C5" w:rsidRPr="00FC71BE" w:rsidRDefault="00FD45C5">
            <w:pPr>
              <w:ind w:firstLine="0"/>
            </w:pPr>
            <w:r w:rsidRPr="00FC71BE">
              <w:t>Electromotive force</w:t>
            </w:r>
          </w:p>
        </w:tc>
      </w:tr>
      <w:tr w:rsidR="00FC71BE" w:rsidRPr="00FC71BE" w14:paraId="6B15F624" w14:textId="77777777">
        <w:tc>
          <w:tcPr>
            <w:tcW w:w="1838" w:type="dxa"/>
          </w:tcPr>
          <w:p w14:paraId="477118F9" w14:textId="77777777" w:rsidR="00FD45C5" w:rsidRPr="00FC71BE" w:rsidRDefault="00FD45C5">
            <w:pPr>
              <w:ind w:firstLine="0"/>
            </w:pPr>
            <w:r w:rsidRPr="00FC71BE">
              <w:t>EV</w:t>
            </w:r>
          </w:p>
        </w:tc>
        <w:tc>
          <w:tcPr>
            <w:tcW w:w="7178" w:type="dxa"/>
          </w:tcPr>
          <w:p w14:paraId="58D7D512" w14:textId="77777777" w:rsidR="00FD45C5" w:rsidRPr="00FC71BE" w:rsidRDefault="00FD45C5">
            <w:pPr>
              <w:ind w:firstLine="0"/>
            </w:pPr>
            <w:r w:rsidRPr="00FC71BE">
              <w:t>Electrical vehicle</w:t>
            </w:r>
          </w:p>
        </w:tc>
      </w:tr>
      <w:tr w:rsidR="00FC71BE" w:rsidRPr="00FC71BE" w14:paraId="43E52E17" w14:textId="77777777">
        <w:tc>
          <w:tcPr>
            <w:tcW w:w="1838" w:type="dxa"/>
          </w:tcPr>
          <w:p w14:paraId="4490C4C7" w14:textId="77777777" w:rsidR="00FD45C5" w:rsidRPr="00FC71BE" w:rsidRDefault="00FD45C5">
            <w:pPr>
              <w:ind w:firstLine="0"/>
            </w:pPr>
            <w:r w:rsidRPr="00FC71BE">
              <w:t>FE/FEA/FEM</w:t>
            </w:r>
          </w:p>
        </w:tc>
        <w:tc>
          <w:tcPr>
            <w:tcW w:w="7178" w:type="dxa"/>
          </w:tcPr>
          <w:p w14:paraId="00D9F052" w14:textId="77777777" w:rsidR="00FD45C5" w:rsidRPr="00FC71BE" w:rsidRDefault="00FD45C5">
            <w:pPr>
              <w:ind w:firstLine="0"/>
            </w:pPr>
            <w:r w:rsidRPr="00FC71BE">
              <w:t>Finite element analysis/method</w:t>
            </w:r>
          </w:p>
        </w:tc>
      </w:tr>
      <w:tr w:rsidR="00FC71BE" w:rsidRPr="00FC71BE" w14:paraId="5A0F7C5F" w14:textId="77777777">
        <w:tc>
          <w:tcPr>
            <w:tcW w:w="1838" w:type="dxa"/>
          </w:tcPr>
          <w:p w14:paraId="4A25F9F4" w14:textId="77777777" w:rsidR="00FD45C5" w:rsidRPr="00FC71BE" w:rsidRDefault="00FD45C5">
            <w:pPr>
              <w:ind w:firstLine="0"/>
            </w:pPr>
            <w:r w:rsidRPr="00FC71BE">
              <w:t>FF</w:t>
            </w:r>
          </w:p>
        </w:tc>
        <w:tc>
          <w:tcPr>
            <w:tcW w:w="7178" w:type="dxa"/>
          </w:tcPr>
          <w:p w14:paraId="2DF2E387" w14:textId="77777777" w:rsidR="00FD45C5" w:rsidRPr="00FC71BE" w:rsidRDefault="00FD45C5">
            <w:pPr>
              <w:ind w:firstLine="0"/>
            </w:pPr>
            <w:r w:rsidRPr="00FC71BE">
              <w:t>Ferrofluid</w:t>
            </w:r>
          </w:p>
        </w:tc>
      </w:tr>
      <w:tr w:rsidR="00FC71BE" w:rsidRPr="00FC71BE" w14:paraId="7654AD0A" w14:textId="77777777">
        <w:tc>
          <w:tcPr>
            <w:tcW w:w="1838" w:type="dxa"/>
          </w:tcPr>
          <w:p w14:paraId="1F23298C" w14:textId="77777777" w:rsidR="00FD45C5" w:rsidRPr="00FC71BE" w:rsidRDefault="00FD45C5">
            <w:pPr>
              <w:ind w:firstLine="0"/>
            </w:pPr>
            <w:r w:rsidRPr="00FC71BE">
              <w:t>FG</w:t>
            </w:r>
          </w:p>
        </w:tc>
        <w:tc>
          <w:tcPr>
            <w:tcW w:w="7178" w:type="dxa"/>
          </w:tcPr>
          <w:p w14:paraId="22FD9BF4" w14:textId="77777777" w:rsidR="00FD45C5" w:rsidRPr="00FC71BE" w:rsidRDefault="00FD45C5">
            <w:pPr>
              <w:ind w:firstLine="0"/>
            </w:pPr>
            <w:r w:rsidRPr="00FC71BE">
              <w:t>Flux gap</w:t>
            </w:r>
          </w:p>
        </w:tc>
      </w:tr>
      <w:tr w:rsidR="00FC71BE" w:rsidRPr="00FC71BE" w14:paraId="57A1F158" w14:textId="77777777">
        <w:tc>
          <w:tcPr>
            <w:tcW w:w="1838" w:type="dxa"/>
          </w:tcPr>
          <w:p w14:paraId="297F4AD3" w14:textId="77777777" w:rsidR="00FD45C5" w:rsidRPr="00FC71BE" w:rsidRDefault="00FD45C5">
            <w:pPr>
              <w:ind w:firstLine="0"/>
            </w:pPr>
            <w:r w:rsidRPr="00FC71BE">
              <w:t>FRPM</w:t>
            </w:r>
          </w:p>
        </w:tc>
        <w:tc>
          <w:tcPr>
            <w:tcW w:w="7178" w:type="dxa"/>
          </w:tcPr>
          <w:p w14:paraId="1366539A" w14:textId="77777777" w:rsidR="00FD45C5" w:rsidRPr="00FC71BE" w:rsidRDefault="00FD45C5">
            <w:pPr>
              <w:ind w:firstLine="0"/>
            </w:pPr>
            <w:r w:rsidRPr="00FC71BE">
              <w:t>Flux reversal permanent magnet</w:t>
            </w:r>
          </w:p>
        </w:tc>
      </w:tr>
      <w:tr w:rsidR="00FC71BE" w:rsidRPr="00FC71BE" w14:paraId="223F7B9F" w14:textId="77777777">
        <w:tc>
          <w:tcPr>
            <w:tcW w:w="1838" w:type="dxa"/>
          </w:tcPr>
          <w:p w14:paraId="7AB491DC" w14:textId="77777777" w:rsidR="00FD45C5" w:rsidRPr="00FC71BE" w:rsidRDefault="00FD45C5">
            <w:pPr>
              <w:ind w:firstLine="0"/>
            </w:pPr>
            <w:r w:rsidRPr="00FC71BE">
              <w:t>FSPM</w:t>
            </w:r>
          </w:p>
        </w:tc>
        <w:tc>
          <w:tcPr>
            <w:tcW w:w="7178" w:type="dxa"/>
          </w:tcPr>
          <w:p w14:paraId="7C4C9D67" w14:textId="77777777" w:rsidR="00FD45C5" w:rsidRPr="00FC71BE" w:rsidRDefault="00FD45C5">
            <w:pPr>
              <w:ind w:firstLine="0"/>
            </w:pPr>
            <w:r w:rsidRPr="00FC71BE">
              <w:t>Flux-switching permanent magnet</w:t>
            </w:r>
          </w:p>
        </w:tc>
      </w:tr>
      <w:tr w:rsidR="00FC71BE" w:rsidRPr="00FC71BE" w14:paraId="68E6C0DB" w14:textId="77777777">
        <w:tc>
          <w:tcPr>
            <w:tcW w:w="1838" w:type="dxa"/>
          </w:tcPr>
          <w:p w14:paraId="78763855" w14:textId="77777777" w:rsidR="00FD45C5" w:rsidRPr="00FC71BE" w:rsidRDefault="00FD45C5">
            <w:pPr>
              <w:ind w:firstLine="0"/>
            </w:pPr>
            <w:r w:rsidRPr="00FC71BE">
              <w:t>GA</w:t>
            </w:r>
          </w:p>
        </w:tc>
        <w:tc>
          <w:tcPr>
            <w:tcW w:w="7178" w:type="dxa"/>
          </w:tcPr>
          <w:p w14:paraId="6A5C1035" w14:textId="77777777" w:rsidR="00FD45C5" w:rsidRPr="00FC71BE" w:rsidRDefault="00FD45C5">
            <w:pPr>
              <w:ind w:firstLine="0"/>
            </w:pPr>
            <w:r w:rsidRPr="00FC71BE">
              <w:t>Genetic algorithm</w:t>
            </w:r>
          </w:p>
        </w:tc>
      </w:tr>
      <w:tr w:rsidR="00FC71BE" w:rsidRPr="00FC71BE" w14:paraId="7EDEE956" w14:textId="77777777">
        <w:tc>
          <w:tcPr>
            <w:tcW w:w="1838" w:type="dxa"/>
          </w:tcPr>
          <w:p w14:paraId="77817835" w14:textId="77777777" w:rsidR="00FD45C5" w:rsidRPr="00FC71BE" w:rsidRDefault="00FD45C5">
            <w:pPr>
              <w:ind w:firstLine="0"/>
            </w:pPr>
            <w:r w:rsidRPr="00FC71BE">
              <w:t>HEV</w:t>
            </w:r>
          </w:p>
        </w:tc>
        <w:tc>
          <w:tcPr>
            <w:tcW w:w="7178" w:type="dxa"/>
          </w:tcPr>
          <w:p w14:paraId="3CED839D" w14:textId="77777777" w:rsidR="00FD45C5" w:rsidRPr="00FC71BE" w:rsidRDefault="00FD45C5">
            <w:pPr>
              <w:ind w:firstLine="0"/>
            </w:pPr>
            <w:r w:rsidRPr="00FC71BE">
              <w:t>Hybrid electrical vehicle</w:t>
            </w:r>
          </w:p>
        </w:tc>
      </w:tr>
      <w:tr w:rsidR="00FC71BE" w:rsidRPr="00FC71BE" w14:paraId="4FFA4BA3" w14:textId="77777777">
        <w:tc>
          <w:tcPr>
            <w:tcW w:w="1838" w:type="dxa"/>
          </w:tcPr>
          <w:p w14:paraId="48AA7723" w14:textId="77777777" w:rsidR="00FD45C5" w:rsidRPr="00FC71BE" w:rsidRDefault="00FD45C5">
            <w:pPr>
              <w:ind w:firstLine="0"/>
            </w:pPr>
            <w:r w:rsidRPr="00FC71BE">
              <w:t>HG</w:t>
            </w:r>
          </w:p>
        </w:tc>
        <w:tc>
          <w:tcPr>
            <w:tcW w:w="7178" w:type="dxa"/>
          </w:tcPr>
          <w:p w14:paraId="4EA94CF6" w14:textId="77777777" w:rsidR="00FD45C5" w:rsidRPr="00FC71BE" w:rsidRDefault="00FD45C5">
            <w:pPr>
              <w:ind w:firstLine="0"/>
            </w:pPr>
            <w:r w:rsidRPr="00FC71BE">
              <w:t>Heat guide</w:t>
            </w:r>
          </w:p>
        </w:tc>
      </w:tr>
      <w:tr w:rsidR="00FC71BE" w:rsidRPr="00FC71BE" w14:paraId="3AA59F28" w14:textId="77777777">
        <w:tc>
          <w:tcPr>
            <w:tcW w:w="1838" w:type="dxa"/>
          </w:tcPr>
          <w:p w14:paraId="503496FD" w14:textId="77777777" w:rsidR="00FD45C5" w:rsidRPr="00FC71BE" w:rsidRDefault="00FD45C5">
            <w:pPr>
              <w:ind w:firstLine="0"/>
            </w:pPr>
            <w:r w:rsidRPr="00FC71BE">
              <w:t>IM</w:t>
            </w:r>
          </w:p>
        </w:tc>
        <w:tc>
          <w:tcPr>
            <w:tcW w:w="7178" w:type="dxa"/>
          </w:tcPr>
          <w:p w14:paraId="0C913B89" w14:textId="77777777" w:rsidR="00FD45C5" w:rsidRPr="00FC71BE" w:rsidRDefault="00FD45C5">
            <w:pPr>
              <w:ind w:firstLine="0"/>
            </w:pPr>
            <w:r w:rsidRPr="00FC71BE">
              <w:t>Induction machine</w:t>
            </w:r>
          </w:p>
        </w:tc>
      </w:tr>
      <w:tr w:rsidR="00FC71BE" w:rsidRPr="00FC71BE" w14:paraId="463968E5" w14:textId="77777777">
        <w:tc>
          <w:tcPr>
            <w:tcW w:w="1838" w:type="dxa"/>
          </w:tcPr>
          <w:p w14:paraId="7ED797B2" w14:textId="77777777" w:rsidR="00FD45C5" w:rsidRPr="00FC71BE" w:rsidRDefault="00FD45C5">
            <w:pPr>
              <w:ind w:firstLine="0"/>
            </w:pPr>
            <w:r w:rsidRPr="00FC71BE">
              <w:t>IP</w:t>
            </w:r>
          </w:p>
        </w:tc>
        <w:tc>
          <w:tcPr>
            <w:tcW w:w="7178" w:type="dxa"/>
          </w:tcPr>
          <w:p w14:paraId="2FE38386" w14:textId="77777777" w:rsidR="00FD45C5" w:rsidRPr="00FC71BE" w:rsidRDefault="00FD45C5">
            <w:pPr>
              <w:ind w:firstLine="0"/>
            </w:pPr>
            <w:r w:rsidRPr="00FC71BE">
              <w:t>Ingress protection</w:t>
            </w:r>
          </w:p>
        </w:tc>
      </w:tr>
      <w:tr w:rsidR="00FC71BE" w:rsidRPr="00FC71BE" w14:paraId="025C11BF" w14:textId="77777777">
        <w:tc>
          <w:tcPr>
            <w:tcW w:w="1838" w:type="dxa"/>
          </w:tcPr>
          <w:p w14:paraId="237A0265" w14:textId="77777777" w:rsidR="00FD45C5" w:rsidRPr="00FC71BE" w:rsidRDefault="00FD45C5">
            <w:pPr>
              <w:ind w:firstLine="0"/>
            </w:pPr>
            <w:r w:rsidRPr="00FC71BE">
              <w:t>IPM</w:t>
            </w:r>
          </w:p>
        </w:tc>
        <w:tc>
          <w:tcPr>
            <w:tcW w:w="7178" w:type="dxa"/>
          </w:tcPr>
          <w:p w14:paraId="1ABA9112" w14:textId="77777777" w:rsidR="00FD45C5" w:rsidRPr="00FC71BE" w:rsidRDefault="00FD45C5">
            <w:pPr>
              <w:ind w:firstLine="0"/>
            </w:pPr>
            <w:r w:rsidRPr="00FC71BE">
              <w:t>Interior permanent magnet</w:t>
            </w:r>
          </w:p>
        </w:tc>
      </w:tr>
      <w:tr w:rsidR="00FC71BE" w:rsidRPr="00FC71BE" w14:paraId="750F7E3B" w14:textId="77777777">
        <w:tc>
          <w:tcPr>
            <w:tcW w:w="1838" w:type="dxa"/>
          </w:tcPr>
          <w:p w14:paraId="21217453" w14:textId="77777777" w:rsidR="00FD45C5" w:rsidRPr="00FC71BE" w:rsidRDefault="00FD45C5">
            <w:pPr>
              <w:ind w:firstLine="0"/>
            </w:pPr>
            <w:r w:rsidRPr="00FC71BE">
              <w:t>LES</w:t>
            </w:r>
          </w:p>
        </w:tc>
        <w:tc>
          <w:tcPr>
            <w:tcW w:w="7178" w:type="dxa"/>
          </w:tcPr>
          <w:p w14:paraId="1B7866E1" w14:textId="77777777" w:rsidR="00FD45C5" w:rsidRPr="00FC71BE" w:rsidRDefault="00FD45C5">
            <w:pPr>
              <w:ind w:firstLine="0"/>
            </w:pPr>
            <w:r w:rsidRPr="00FC71BE">
              <w:t>Large eddy simulation</w:t>
            </w:r>
          </w:p>
        </w:tc>
      </w:tr>
      <w:tr w:rsidR="00FC71BE" w:rsidRPr="00FC71BE" w14:paraId="0F7E6F35" w14:textId="77777777">
        <w:tc>
          <w:tcPr>
            <w:tcW w:w="1838" w:type="dxa"/>
          </w:tcPr>
          <w:p w14:paraId="6E6A9BFC" w14:textId="77777777" w:rsidR="00FD45C5" w:rsidRPr="00FC71BE" w:rsidRDefault="00FD45C5">
            <w:pPr>
              <w:ind w:firstLine="0"/>
            </w:pPr>
            <w:r w:rsidRPr="00FC71BE">
              <w:t>LH</w:t>
            </w:r>
          </w:p>
        </w:tc>
        <w:tc>
          <w:tcPr>
            <w:tcW w:w="7178" w:type="dxa"/>
          </w:tcPr>
          <w:p w14:paraId="0AEF0ACF" w14:textId="77777777" w:rsidR="00FD45C5" w:rsidRPr="00FC71BE" w:rsidRDefault="00FD45C5">
            <w:pPr>
              <w:ind w:firstLine="0"/>
            </w:pPr>
            <w:r w:rsidRPr="00FC71BE">
              <w:t>Liquid hydrogen</w:t>
            </w:r>
          </w:p>
        </w:tc>
      </w:tr>
      <w:tr w:rsidR="00FC71BE" w:rsidRPr="00FC71BE" w14:paraId="3AC1008A" w14:textId="77777777">
        <w:tc>
          <w:tcPr>
            <w:tcW w:w="1838" w:type="dxa"/>
          </w:tcPr>
          <w:p w14:paraId="007D0D17" w14:textId="77777777" w:rsidR="00FD45C5" w:rsidRPr="00FC71BE" w:rsidRDefault="00FD45C5">
            <w:pPr>
              <w:ind w:firstLine="0"/>
            </w:pPr>
            <w:r w:rsidRPr="00FC71BE">
              <w:t>LN</w:t>
            </w:r>
            <w:r w:rsidRPr="00FC71BE">
              <w:rPr>
                <w:vertAlign w:val="subscript"/>
              </w:rPr>
              <w:t>2</w:t>
            </w:r>
          </w:p>
        </w:tc>
        <w:tc>
          <w:tcPr>
            <w:tcW w:w="7178" w:type="dxa"/>
          </w:tcPr>
          <w:p w14:paraId="586BCDBF" w14:textId="77777777" w:rsidR="00FD45C5" w:rsidRPr="00FC71BE" w:rsidRDefault="00FD45C5">
            <w:pPr>
              <w:ind w:firstLine="0"/>
            </w:pPr>
            <w:r w:rsidRPr="00FC71BE">
              <w:t>Liquid nitrogen</w:t>
            </w:r>
          </w:p>
        </w:tc>
      </w:tr>
      <w:tr w:rsidR="00FC71BE" w:rsidRPr="00FC71BE" w14:paraId="750266BB" w14:textId="77777777">
        <w:tc>
          <w:tcPr>
            <w:tcW w:w="1838" w:type="dxa"/>
          </w:tcPr>
          <w:p w14:paraId="193E7F82" w14:textId="77777777" w:rsidR="00FD45C5" w:rsidRPr="00FC71BE" w:rsidRDefault="00FD45C5">
            <w:pPr>
              <w:ind w:firstLine="0"/>
            </w:pPr>
            <w:r w:rsidRPr="00FC71BE">
              <w:t>LNG</w:t>
            </w:r>
          </w:p>
        </w:tc>
        <w:tc>
          <w:tcPr>
            <w:tcW w:w="7178" w:type="dxa"/>
          </w:tcPr>
          <w:p w14:paraId="0DAE5BBF" w14:textId="77777777" w:rsidR="00FD45C5" w:rsidRPr="00FC71BE" w:rsidRDefault="00FD45C5">
            <w:pPr>
              <w:ind w:firstLine="0"/>
            </w:pPr>
            <w:r w:rsidRPr="00FC71BE">
              <w:t>Liquefied natural gas</w:t>
            </w:r>
          </w:p>
        </w:tc>
      </w:tr>
      <w:tr w:rsidR="00FC71BE" w:rsidRPr="00FC71BE" w14:paraId="57380A0A" w14:textId="77777777">
        <w:tc>
          <w:tcPr>
            <w:tcW w:w="1838" w:type="dxa"/>
          </w:tcPr>
          <w:p w14:paraId="782C048C" w14:textId="77777777" w:rsidR="00FD45C5" w:rsidRPr="00FC71BE" w:rsidRDefault="00FD45C5">
            <w:pPr>
              <w:ind w:firstLine="0"/>
            </w:pPr>
            <w:r w:rsidRPr="00FC71BE">
              <w:t>LPTN</w:t>
            </w:r>
          </w:p>
        </w:tc>
        <w:tc>
          <w:tcPr>
            <w:tcW w:w="7178" w:type="dxa"/>
          </w:tcPr>
          <w:p w14:paraId="4BB76F5C" w14:textId="77777777" w:rsidR="00FD45C5" w:rsidRPr="00FC71BE" w:rsidRDefault="00FD45C5">
            <w:pPr>
              <w:ind w:firstLine="0"/>
            </w:pPr>
            <w:r w:rsidRPr="00FC71BE">
              <w:t>Lumped parameter thermal network</w:t>
            </w:r>
          </w:p>
        </w:tc>
      </w:tr>
      <w:tr w:rsidR="00FC71BE" w:rsidRPr="00FC71BE" w14:paraId="46951870" w14:textId="77777777">
        <w:tc>
          <w:tcPr>
            <w:tcW w:w="1838" w:type="dxa"/>
            <w:vAlign w:val="center"/>
          </w:tcPr>
          <w:p w14:paraId="1BE617DF" w14:textId="77777777" w:rsidR="00FD45C5" w:rsidRPr="00FC71BE" w:rsidRDefault="00FD45C5">
            <w:pPr>
              <w:ind w:firstLine="0"/>
            </w:pPr>
            <w:r w:rsidRPr="00FC71BE">
              <w:rPr>
                <w:rFonts w:eastAsia="等线" w:cs="Times New Roman"/>
              </w:rPr>
              <w:t>Ma</w:t>
            </w:r>
          </w:p>
        </w:tc>
        <w:tc>
          <w:tcPr>
            <w:tcW w:w="7178" w:type="dxa"/>
          </w:tcPr>
          <w:p w14:paraId="652E919D" w14:textId="77777777" w:rsidR="00FD45C5" w:rsidRPr="00FC71BE" w:rsidRDefault="00FD45C5">
            <w:pPr>
              <w:ind w:firstLine="0"/>
            </w:pPr>
            <w:r w:rsidRPr="00FC71BE">
              <w:t>Mach number</w:t>
            </w:r>
          </w:p>
        </w:tc>
      </w:tr>
      <w:tr w:rsidR="00FC71BE" w:rsidRPr="00FC71BE" w14:paraId="6A95AD90" w14:textId="77777777">
        <w:tc>
          <w:tcPr>
            <w:tcW w:w="1838" w:type="dxa"/>
            <w:vAlign w:val="center"/>
          </w:tcPr>
          <w:p w14:paraId="60D769CF" w14:textId="77777777" w:rsidR="00FD45C5" w:rsidRPr="00FC71BE" w:rsidRDefault="00FD45C5">
            <w:pPr>
              <w:ind w:firstLine="0"/>
            </w:pPr>
            <w:r w:rsidRPr="00FC71BE">
              <w:rPr>
                <w:rFonts w:eastAsia="等线" w:cs="Times New Roman"/>
              </w:rPr>
              <w:t>MMF</w:t>
            </w:r>
          </w:p>
        </w:tc>
        <w:tc>
          <w:tcPr>
            <w:tcW w:w="7178" w:type="dxa"/>
          </w:tcPr>
          <w:p w14:paraId="43032455" w14:textId="5361672E" w:rsidR="00FD45C5" w:rsidRPr="00FC71BE" w:rsidRDefault="004419F6">
            <w:pPr>
              <w:ind w:firstLine="0"/>
            </w:pPr>
            <w:r w:rsidRPr="00FC71BE">
              <w:t>M</w:t>
            </w:r>
            <w:r w:rsidR="00FD45C5" w:rsidRPr="00FC71BE">
              <w:t>agnetomotive force</w:t>
            </w:r>
          </w:p>
        </w:tc>
      </w:tr>
      <w:tr w:rsidR="00FC71BE" w:rsidRPr="00FC71BE" w14:paraId="2B7538E7" w14:textId="77777777">
        <w:tc>
          <w:tcPr>
            <w:tcW w:w="1838" w:type="dxa"/>
          </w:tcPr>
          <w:p w14:paraId="0B30619B" w14:textId="77777777" w:rsidR="00FD45C5" w:rsidRPr="00FC71BE" w:rsidRDefault="00FD45C5">
            <w:pPr>
              <w:ind w:firstLine="0"/>
            </w:pPr>
            <w:r w:rsidRPr="00FC71BE">
              <w:lastRenderedPageBreak/>
              <w:t>MRF</w:t>
            </w:r>
          </w:p>
        </w:tc>
        <w:tc>
          <w:tcPr>
            <w:tcW w:w="7178" w:type="dxa"/>
          </w:tcPr>
          <w:p w14:paraId="5A1D2730" w14:textId="77777777" w:rsidR="00FD45C5" w:rsidRPr="00FC71BE" w:rsidRDefault="00FD45C5">
            <w:pPr>
              <w:ind w:firstLine="0"/>
            </w:pPr>
            <w:r w:rsidRPr="00FC71BE">
              <w:t>Moving reference frame</w:t>
            </w:r>
          </w:p>
        </w:tc>
      </w:tr>
      <w:tr w:rsidR="00FC71BE" w:rsidRPr="00FC71BE" w14:paraId="45D2BA15" w14:textId="77777777">
        <w:tc>
          <w:tcPr>
            <w:tcW w:w="1838" w:type="dxa"/>
          </w:tcPr>
          <w:p w14:paraId="4B14AEF0" w14:textId="77777777" w:rsidR="00FD45C5" w:rsidRPr="00FC71BE" w:rsidRDefault="00FD45C5">
            <w:pPr>
              <w:ind w:firstLine="0"/>
            </w:pPr>
            <w:r w:rsidRPr="00FC71BE">
              <w:t>MTPA</w:t>
            </w:r>
          </w:p>
        </w:tc>
        <w:tc>
          <w:tcPr>
            <w:tcW w:w="7178" w:type="dxa"/>
          </w:tcPr>
          <w:p w14:paraId="73880FCA" w14:textId="77777777" w:rsidR="00FD45C5" w:rsidRPr="00FC71BE" w:rsidRDefault="00FD45C5">
            <w:pPr>
              <w:ind w:firstLine="0"/>
            </w:pPr>
            <w:r w:rsidRPr="00FC71BE">
              <w:t>Maximum torque per ampere</w:t>
            </w:r>
          </w:p>
        </w:tc>
      </w:tr>
      <w:tr w:rsidR="00FC71BE" w:rsidRPr="00FC71BE" w14:paraId="2F5EB47A" w14:textId="77777777">
        <w:tc>
          <w:tcPr>
            <w:tcW w:w="1838" w:type="dxa"/>
          </w:tcPr>
          <w:p w14:paraId="4039A1A7" w14:textId="77777777" w:rsidR="00FD45C5" w:rsidRPr="00FC71BE" w:rsidRDefault="00FD45C5">
            <w:pPr>
              <w:ind w:firstLine="0"/>
            </w:pPr>
            <w:r w:rsidRPr="00FC71BE">
              <w:t>MTPV</w:t>
            </w:r>
          </w:p>
        </w:tc>
        <w:tc>
          <w:tcPr>
            <w:tcW w:w="7178" w:type="dxa"/>
          </w:tcPr>
          <w:p w14:paraId="7DFB5E54" w14:textId="77777777" w:rsidR="00FD45C5" w:rsidRPr="00FC71BE" w:rsidRDefault="00FD45C5">
            <w:pPr>
              <w:ind w:firstLine="0"/>
            </w:pPr>
            <w:r w:rsidRPr="00FC71BE">
              <w:t>Maximum torque per voltage</w:t>
            </w:r>
          </w:p>
        </w:tc>
      </w:tr>
      <w:tr w:rsidR="00FC71BE" w:rsidRPr="00FC71BE" w14:paraId="759A9EC7" w14:textId="77777777">
        <w:tc>
          <w:tcPr>
            <w:tcW w:w="1838" w:type="dxa"/>
          </w:tcPr>
          <w:p w14:paraId="5F3E7ED1" w14:textId="77777777" w:rsidR="00FD45C5" w:rsidRPr="00FC71BE" w:rsidRDefault="00FD45C5">
            <w:pPr>
              <w:ind w:firstLine="0"/>
            </w:pPr>
            <w:r w:rsidRPr="00FC71BE">
              <w:t>NF</w:t>
            </w:r>
          </w:p>
        </w:tc>
        <w:tc>
          <w:tcPr>
            <w:tcW w:w="7178" w:type="dxa"/>
          </w:tcPr>
          <w:p w14:paraId="7B93F13D" w14:textId="77777777" w:rsidR="00FD45C5" w:rsidRPr="00FC71BE" w:rsidRDefault="00FD45C5">
            <w:pPr>
              <w:ind w:firstLine="0"/>
            </w:pPr>
            <w:r w:rsidRPr="00FC71BE">
              <w:t>Nanofluid</w:t>
            </w:r>
          </w:p>
        </w:tc>
      </w:tr>
      <w:tr w:rsidR="00FC71BE" w:rsidRPr="00FC71BE" w14:paraId="44C5F1E4" w14:textId="77777777">
        <w:tc>
          <w:tcPr>
            <w:tcW w:w="1838" w:type="dxa"/>
          </w:tcPr>
          <w:p w14:paraId="47CA2E9B" w14:textId="77777777" w:rsidR="00FD45C5" w:rsidRPr="00FC71BE" w:rsidRDefault="00FD45C5">
            <w:pPr>
              <w:ind w:firstLine="0"/>
            </w:pPr>
            <w:r w:rsidRPr="00FC71BE">
              <w:t>Ns</w:t>
            </w:r>
          </w:p>
        </w:tc>
        <w:tc>
          <w:tcPr>
            <w:tcW w:w="7178" w:type="dxa"/>
          </w:tcPr>
          <w:p w14:paraId="326AC2F5" w14:textId="77777777" w:rsidR="00FD45C5" w:rsidRPr="00FC71BE" w:rsidRDefault="00FD45C5">
            <w:pPr>
              <w:ind w:firstLine="0"/>
            </w:pPr>
            <w:r w:rsidRPr="00FC71BE">
              <w:t>Slot number</w:t>
            </w:r>
          </w:p>
        </w:tc>
      </w:tr>
      <w:tr w:rsidR="00FC71BE" w:rsidRPr="00FC71BE" w14:paraId="2C47DE4D" w14:textId="77777777">
        <w:tc>
          <w:tcPr>
            <w:tcW w:w="1838" w:type="dxa"/>
          </w:tcPr>
          <w:p w14:paraId="78DD9D34" w14:textId="77777777" w:rsidR="00FD45C5" w:rsidRPr="00FC71BE" w:rsidRDefault="00FD45C5">
            <w:pPr>
              <w:ind w:firstLine="0"/>
            </w:pPr>
            <w:r w:rsidRPr="00FC71BE">
              <w:t>PCM</w:t>
            </w:r>
          </w:p>
        </w:tc>
        <w:tc>
          <w:tcPr>
            <w:tcW w:w="7178" w:type="dxa"/>
          </w:tcPr>
          <w:p w14:paraId="68E4CAE0" w14:textId="77777777" w:rsidR="00FD45C5" w:rsidRPr="00FC71BE" w:rsidRDefault="00FD45C5">
            <w:pPr>
              <w:ind w:firstLine="0"/>
            </w:pPr>
            <w:r w:rsidRPr="00FC71BE">
              <w:t>Phase change material</w:t>
            </w:r>
          </w:p>
        </w:tc>
      </w:tr>
      <w:tr w:rsidR="00FC71BE" w:rsidRPr="00FC71BE" w14:paraId="7433A3E7" w14:textId="77777777">
        <w:tc>
          <w:tcPr>
            <w:tcW w:w="1838" w:type="dxa"/>
          </w:tcPr>
          <w:p w14:paraId="5C27EB2A" w14:textId="77777777" w:rsidR="00FD45C5" w:rsidRPr="00FC71BE" w:rsidRDefault="00FD45C5">
            <w:pPr>
              <w:ind w:firstLine="0"/>
            </w:pPr>
            <w:r w:rsidRPr="00FC71BE">
              <w:t>PC-AL</w:t>
            </w:r>
          </w:p>
        </w:tc>
        <w:tc>
          <w:tcPr>
            <w:tcW w:w="7178" w:type="dxa"/>
          </w:tcPr>
          <w:p w14:paraId="02759722" w14:textId="77777777" w:rsidR="00FD45C5" w:rsidRPr="00FC71BE" w:rsidRDefault="00FD45C5">
            <w:pPr>
              <w:ind w:firstLine="0"/>
            </w:pPr>
            <w:r w:rsidRPr="00FC71BE">
              <w:t>Polycarbonate aluminium flake</w:t>
            </w:r>
          </w:p>
        </w:tc>
      </w:tr>
      <w:tr w:rsidR="00FC71BE" w:rsidRPr="00FC71BE" w14:paraId="69135E34" w14:textId="77777777">
        <w:tc>
          <w:tcPr>
            <w:tcW w:w="1838" w:type="dxa"/>
          </w:tcPr>
          <w:p w14:paraId="7C23C9BB" w14:textId="77777777" w:rsidR="00FD45C5" w:rsidRPr="00FC71BE" w:rsidRDefault="00FD45C5">
            <w:pPr>
              <w:ind w:firstLine="0"/>
            </w:pPr>
            <w:r w:rsidRPr="00FC71BE">
              <w:t>PEEK</w:t>
            </w:r>
          </w:p>
        </w:tc>
        <w:tc>
          <w:tcPr>
            <w:tcW w:w="7178" w:type="dxa"/>
          </w:tcPr>
          <w:p w14:paraId="03FF0299" w14:textId="77777777" w:rsidR="00FD45C5" w:rsidRPr="00FC71BE" w:rsidRDefault="00FD45C5">
            <w:pPr>
              <w:ind w:firstLine="0"/>
            </w:pPr>
            <w:r w:rsidRPr="00FC71BE">
              <w:t>Polyether ether ketone</w:t>
            </w:r>
          </w:p>
        </w:tc>
      </w:tr>
      <w:tr w:rsidR="00FC71BE" w:rsidRPr="00FC71BE" w14:paraId="4E93E369" w14:textId="77777777">
        <w:tc>
          <w:tcPr>
            <w:tcW w:w="1838" w:type="dxa"/>
          </w:tcPr>
          <w:p w14:paraId="2711DAB1" w14:textId="77777777" w:rsidR="00FD45C5" w:rsidRPr="00FC71BE" w:rsidRDefault="00FD45C5">
            <w:pPr>
              <w:ind w:firstLine="0"/>
            </w:pPr>
            <w:r w:rsidRPr="00FC71BE">
              <w:t>PM</w:t>
            </w:r>
          </w:p>
        </w:tc>
        <w:tc>
          <w:tcPr>
            <w:tcW w:w="7178" w:type="dxa"/>
          </w:tcPr>
          <w:p w14:paraId="72FF7E0E" w14:textId="77777777" w:rsidR="00FD45C5" w:rsidRPr="00FC71BE" w:rsidRDefault="00FD45C5">
            <w:pPr>
              <w:ind w:firstLine="0"/>
            </w:pPr>
            <w:r w:rsidRPr="00FC71BE">
              <w:t>Permanent magnet</w:t>
            </w:r>
          </w:p>
        </w:tc>
      </w:tr>
      <w:tr w:rsidR="00FC71BE" w:rsidRPr="00FC71BE" w14:paraId="797276FA" w14:textId="77777777">
        <w:tc>
          <w:tcPr>
            <w:tcW w:w="1838" w:type="dxa"/>
          </w:tcPr>
          <w:p w14:paraId="1A880498" w14:textId="77777777" w:rsidR="00FD45C5" w:rsidRPr="00FC71BE" w:rsidRDefault="00FD45C5">
            <w:pPr>
              <w:ind w:firstLine="0"/>
            </w:pPr>
            <w:r w:rsidRPr="00FC71BE">
              <w:t>PMSM</w:t>
            </w:r>
          </w:p>
        </w:tc>
        <w:tc>
          <w:tcPr>
            <w:tcW w:w="7178" w:type="dxa"/>
          </w:tcPr>
          <w:p w14:paraId="6F24FFB3" w14:textId="77777777" w:rsidR="00FD45C5" w:rsidRPr="00FC71BE" w:rsidRDefault="00FD45C5">
            <w:pPr>
              <w:ind w:firstLine="0"/>
            </w:pPr>
            <w:r w:rsidRPr="00FC71BE">
              <w:t>Permanent magnet synchronous machine</w:t>
            </w:r>
          </w:p>
        </w:tc>
      </w:tr>
      <w:tr w:rsidR="00FC71BE" w:rsidRPr="00FC71BE" w14:paraId="67AD0E8A" w14:textId="77777777">
        <w:tc>
          <w:tcPr>
            <w:tcW w:w="1838" w:type="dxa"/>
          </w:tcPr>
          <w:p w14:paraId="374B45E3" w14:textId="77777777" w:rsidR="00FD45C5" w:rsidRPr="00FC71BE" w:rsidRDefault="00FD45C5">
            <w:pPr>
              <w:ind w:firstLine="0"/>
            </w:pPr>
            <w:r w:rsidRPr="00FC71BE">
              <w:rPr>
                <w:i/>
                <w:iCs/>
              </w:rPr>
              <w:t>q</w:t>
            </w:r>
            <w:r w:rsidRPr="00FC71BE">
              <w:t>-axis</w:t>
            </w:r>
          </w:p>
        </w:tc>
        <w:tc>
          <w:tcPr>
            <w:tcW w:w="7178" w:type="dxa"/>
          </w:tcPr>
          <w:p w14:paraId="5DC4F30C" w14:textId="77777777" w:rsidR="00FD45C5" w:rsidRPr="00FC71BE" w:rsidRDefault="00FD45C5">
            <w:pPr>
              <w:ind w:firstLine="0"/>
            </w:pPr>
            <w:r w:rsidRPr="00FC71BE">
              <w:t>Quadrature axis</w:t>
            </w:r>
          </w:p>
        </w:tc>
      </w:tr>
      <w:tr w:rsidR="00FC71BE" w:rsidRPr="00FC71BE" w14:paraId="168E1FFB" w14:textId="77777777">
        <w:tc>
          <w:tcPr>
            <w:tcW w:w="1838" w:type="dxa"/>
          </w:tcPr>
          <w:p w14:paraId="7513B5A5" w14:textId="77777777" w:rsidR="00FD45C5" w:rsidRPr="00FC71BE" w:rsidRDefault="00FD45C5">
            <w:pPr>
              <w:ind w:firstLine="0"/>
            </w:pPr>
            <w:r w:rsidRPr="00FC71BE">
              <w:t>RANS</w:t>
            </w:r>
          </w:p>
        </w:tc>
        <w:tc>
          <w:tcPr>
            <w:tcW w:w="7178" w:type="dxa"/>
          </w:tcPr>
          <w:p w14:paraId="102C8244" w14:textId="77777777" w:rsidR="00FD45C5" w:rsidRPr="00FC71BE" w:rsidRDefault="00FD45C5">
            <w:pPr>
              <w:ind w:firstLine="0"/>
            </w:pPr>
            <w:r w:rsidRPr="00FC71BE">
              <w:t>Reynolds-average Navier-Stokes</w:t>
            </w:r>
          </w:p>
        </w:tc>
      </w:tr>
      <w:tr w:rsidR="00FC71BE" w:rsidRPr="00FC71BE" w14:paraId="2599475E" w14:textId="77777777">
        <w:tc>
          <w:tcPr>
            <w:tcW w:w="1838" w:type="dxa"/>
          </w:tcPr>
          <w:p w14:paraId="656D9947" w14:textId="77777777" w:rsidR="00FD45C5" w:rsidRPr="00FC71BE" w:rsidRDefault="00FD45C5">
            <w:pPr>
              <w:ind w:firstLine="0"/>
            </w:pPr>
            <w:r w:rsidRPr="00FC71BE">
              <w:t>RM</w:t>
            </w:r>
          </w:p>
        </w:tc>
        <w:tc>
          <w:tcPr>
            <w:tcW w:w="7178" w:type="dxa"/>
          </w:tcPr>
          <w:p w14:paraId="389E225E" w14:textId="4F4DFDD0" w:rsidR="00FD45C5" w:rsidRPr="00FC71BE" w:rsidRDefault="00700316">
            <w:pPr>
              <w:ind w:firstLine="0"/>
            </w:pPr>
            <w:r w:rsidRPr="00FC71BE">
              <w:t>R</w:t>
            </w:r>
            <w:r w:rsidR="00FD45C5" w:rsidRPr="00FC71BE">
              <w:t>eluctance</w:t>
            </w:r>
            <w:r w:rsidRPr="00FC71BE">
              <w:t xml:space="preserve"> machine</w:t>
            </w:r>
          </w:p>
        </w:tc>
      </w:tr>
      <w:tr w:rsidR="00FC71BE" w:rsidRPr="00FC71BE" w14:paraId="38115E72" w14:textId="77777777">
        <w:tc>
          <w:tcPr>
            <w:tcW w:w="1838" w:type="dxa"/>
          </w:tcPr>
          <w:p w14:paraId="0453A51D" w14:textId="77777777" w:rsidR="00FD45C5" w:rsidRPr="00FC71BE" w:rsidRDefault="00FD45C5">
            <w:pPr>
              <w:ind w:firstLine="0"/>
            </w:pPr>
            <w:r w:rsidRPr="00FC71BE">
              <w:t>SPM</w:t>
            </w:r>
          </w:p>
        </w:tc>
        <w:tc>
          <w:tcPr>
            <w:tcW w:w="7178" w:type="dxa"/>
          </w:tcPr>
          <w:p w14:paraId="17F1F359" w14:textId="77777777" w:rsidR="00FD45C5" w:rsidRPr="00FC71BE" w:rsidRDefault="00FD45C5">
            <w:pPr>
              <w:ind w:firstLine="0"/>
            </w:pPr>
            <w:r w:rsidRPr="00FC71BE">
              <w:t>Surface-mounted permanent magnet</w:t>
            </w:r>
          </w:p>
        </w:tc>
      </w:tr>
      <w:tr w:rsidR="00FC71BE" w:rsidRPr="00FC71BE" w14:paraId="1C838C8D" w14:textId="77777777">
        <w:tc>
          <w:tcPr>
            <w:tcW w:w="1838" w:type="dxa"/>
          </w:tcPr>
          <w:p w14:paraId="0D610F56" w14:textId="77777777" w:rsidR="00FD45C5" w:rsidRPr="00FC71BE" w:rsidRDefault="00FD45C5">
            <w:pPr>
              <w:ind w:firstLine="0"/>
            </w:pPr>
            <w:r w:rsidRPr="00FC71BE">
              <w:t>SST</w:t>
            </w:r>
          </w:p>
        </w:tc>
        <w:tc>
          <w:tcPr>
            <w:tcW w:w="7178" w:type="dxa"/>
          </w:tcPr>
          <w:p w14:paraId="5F961A80" w14:textId="77777777" w:rsidR="00FD45C5" w:rsidRPr="00FC71BE" w:rsidRDefault="00FD45C5">
            <w:pPr>
              <w:ind w:firstLine="0"/>
            </w:pPr>
            <w:r w:rsidRPr="00FC71BE">
              <w:t>Shear stress transport</w:t>
            </w:r>
          </w:p>
        </w:tc>
      </w:tr>
      <w:tr w:rsidR="00FC71BE" w:rsidRPr="00FC71BE" w14:paraId="2777B893" w14:textId="77777777">
        <w:tc>
          <w:tcPr>
            <w:tcW w:w="1838" w:type="dxa"/>
          </w:tcPr>
          <w:p w14:paraId="7DB3ADD9" w14:textId="77777777" w:rsidR="00FD45C5" w:rsidRPr="00FC71BE" w:rsidRDefault="00FD45C5">
            <w:pPr>
              <w:ind w:firstLine="0"/>
            </w:pPr>
            <w:r w:rsidRPr="00FC71BE">
              <w:t>SVPWM</w:t>
            </w:r>
          </w:p>
        </w:tc>
        <w:tc>
          <w:tcPr>
            <w:tcW w:w="7178" w:type="dxa"/>
          </w:tcPr>
          <w:p w14:paraId="7121599C" w14:textId="7E95F1CC" w:rsidR="00FD45C5" w:rsidRPr="00FC71BE" w:rsidRDefault="00FD45C5">
            <w:pPr>
              <w:ind w:firstLine="0"/>
            </w:pPr>
            <w:r w:rsidRPr="00FC71BE">
              <w:t>Space vector pulse width modulation</w:t>
            </w:r>
          </w:p>
        </w:tc>
      </w:tr>
      <w:tr w:rsidR="00FC71BE" w:rsidRPr="00FC71BE" w14:paraId="6E3C7A2A" w14:textId="77777777">
        <w:tc>
          <w:tcPr>
            <w:tcW w:w="1838" w:type="dxa"/>
          </w:tcPr>
          <w:p w14:paraId="36F09F78" w14:textId="77777777" w:rsidR="00FD45C5" w:rsidRPr="00FC71BE" w:rsidRDefault="00FD45C5">
            <w:pPr>
              <w:ind w:firstLine="0"/>
            </w:pPr>
            <w:r w:rsidRPr="00FC71BE">
              <w:t>TEFC</w:t>
            </w:r>
          </w:p>
        </w:tc>
        <w:tc>
          <w:tcPr>
            <w:tcW w:w="7178" w:type="dxa"/>
          </w:tcPr>
          <w:p w14:paraId="48227DAF" w14:textId="77777777" w:rsidR="00FD45C5" w:rsidRPr="00FC71BE" w:rsidRDefault="00FD45C5">
            <w:pPr>
              <w:ind w:firstLine="0"/>
            </w:pPr>
            <w:r w:rsidRPr="00FC71BE">
              <w:t>Totally enclosed fan-cooled</w:t>
            </w:r>
          </w:p>
        </w:tc>
      </w:tr>
    </w:tbl>
    <w:p w14:paraId="21278410" w14:textId="77777777" w:rsidR="00FD45C5" w:rsidRPr="00FC71BE" w:rsidRDefault="00FD45C5" w:rsidP="00FD45C5">
      <w:pPr>
        <w:spacing w:line="259" w:lineRule="auto"/>
        <w:ind w:firstLine="0"/>
        <w:jc w:val="left"/>
      </w:pPr>
      <w:r w:rsidRPr="00FC71BE">
        <w:br w:type="page"/>
      </w:r>
    </w:p>
    <w:p w14:paraId="199E1645" w14:textId="77777777" w:rsidR="0035614F" w:rsidRPr="00FC71BE" w:rsidRDefault="0035614F" w:rsidP="00DA6AFF">
      <w:pPr>
        <w:pStyle w:val="Heading1"/>
        <w:rPr>
          <w:color w:val="auto"/>
        </w:rPr>
      </w:pPr>
      <w:bookmarkStart w:id="4" w:name="_Toc157695323"/>
      <w:r w:rsidRPr="00FC71BE">
        <w:rPr>
          <w:color w:val="auto"/>
        </w:rPr>
        <w:lastRenderedPageBreak/>
        <w:t>Nomenclatures</w:t>
      </w:r>
      <w:bookmarkEnd w:id="4"/>
    </w:p>
    <w:p w14:paraId="539EE78E" w14:textId="3EBBFBA0" w:rsidR="00C941E8" w:rsidRPr="00FC71BE" w:rsidRDefault="00C941E8" w:rsidP="00EE2A23">
      <w:pPr>
        <w:pStyle w:val="Styleofnomenclayures"/>
      </w:pPr>
      <w:r w:rsidRPr="00FC71BE">
        <w:t xml:space="preserve">General </w:t>
      </w:r>
      <w:r w:rsidR="00BA1825" w:rsidRPr="00FC71BE">
        <w:t>symbols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237"/>
        <w:gridCol w:w="1366"/>
      </w:tblGrid>
      <w:tr w:rsidR="00FC71BE" w:rsidRPr="00FC71BE" w14:paraId="1068E7BF" w14:textId="77777777" w:rsidTr="001A3C4F">
        <w:tc>
          <w:tcPr>
            <w:tcW w:w="1413" w:type="dxa"/>
            <w:vAlign w:val="center"/>
          </w:tcPr>
          <w:p w14:paraId="27BD4144" w14:textId="607B5C1A" w:rsidR="00632ECD" w:rsidRPr="00FC71BE" w:rsidRDefault="00632ECD" w:rsidP="00632ECD">
            <w:pPr>
              <w:ind w:firstLine="0"/>
              <w:jc w:val="center"/>
            </w:pPr>
            <w:r w:rsidRPr="00FC71BE">
              <w:rPr>
                <w:rFonts w:eastAsia="等线" w:cs="Times New Roman"/>
                <w:i/>
                <w:iCs/>
              </w:rPr>
              <w:t>A</w:t>
            </w:r>
          </w:p>
        </w:tc>
        <w:tc>
          <w:tcPr>
            <w:tcW w:w="6237" w:type="dxa"/>
          </w:tcPr>
          <w:p w14:paraId="227DA0E0" w14:textId="7789340C" w:rsidR="00632ECD" w:rsidRPr="00FC71BE" w:rsidRDefault="00632ECD" w:rsidP="00632ECD">
            <w:pPr>
              <w:ind w:firstLine="0"/>
            </w:pPr>
            <w:r w:rsidRPr="00FC71BE">
              <w:t>Area</w:t>
            </w:r>
          </w:p>
        </w:tc>
        <w:tc>
          <w:tcPr>
            <w:tcW w:w="1366" w:type="dxa"/>
            <w:vAlign w:val="center"/>
          </w:tcPr>
          <w:p w14:paraId="48917CAE" w14:textId="659EB20F" w:rsidR="00632ECD" w:rsidRPr="00FC71BE" w:rsidRDefault="002143AD" w:rsidP="00632ECD">
            <w:pPr>
              <w:ind w:firstLine="0"/>
              <w:jc w:val="center"/>
            </w:pPr>
            <m:oMathPara>
              <m:oMath>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m:oMathPara>
          </w:p>
        </w:tc>
      </w:tr>
      <w:tr w:rsidR="00FC71BE" w:rsidRPr="00FC71BE" w14:paraId="7EE4024C" w14:textId="77777777" w:rsidTr="001A3C4F">
        <w:tc>
          <w:tcPr>
            <w:tcW w:w="1413" w:type="dxa"/>
            <w:vAlign w:val="center"/>
          </w:tcPr>
          <w:p w14:paraId="64FFB2A6" w14:textId="3F48442C" w:rsidR="00E80007" w:rsidRPr="00FC71BE" w:rsidRDefault="00E80007" w:rsidP="00E80007">
            <w:pPr>
              <w:ind w:firstLine="0"/>
              <w:jc w:val="center"/>
            </w:pPr>
            <m:oMathPara>
              <m:oMath>
                <m:r>
                  <w:rPr>
                    <w:rFonts w:ascii="Cambria Math" w:eastAsia="等线" w:hAnsi="Cambria Math" w:cs="Times New Roman"/>
                  </w:rPr>
                  <m:t>d</m:t>
                </m:r>
              </m:oMath>
            </m:oMathPara>
          </w:p>
        </w:tc>
        <w:tc>
          <w:tcPr>
            <w:tcW w:w="6237" w:type="dxa"/>
          </w:tcPr>
          <w:p w14:paraId="407586D6" w14:textId="526C279F" w:rsidR="00E80007" w:rsidRPr="00FC71BE" w:rsidRDefault="00E80007" w:rsidP="00E80007">
            <w:pPr>
              <w:ind w:firstLine="0"/>
            </w:pPr>
            <w:r w:rsidRPr="00FC71BE">
              <w:t>Average diameter of nano-sized particle</w:t>
            </w:r>
          </w:p>
        </w:tc>
        <w:tc>
          <w:tcPr>
            <w:tcW w:w="1366" w:type="dxa"/>
            <w:vAlign w:val="center"/>
          </w:tcPr>
          <w:p w14:paraId="77C2953B" w14:textId="1A38DE39" w:rsidR="00E80007" w:rsidRPr="00FC71BE" w:rsidRDefault="00E80007" w:rsidP="00E80007">
            <w:pPr>
              <w:ind w:firstLine="0"/>
              <w:jc w:val="center"/>
            </w:pPr>
            <w:r w:rsidRPr="00FC71BE">
              <w:t>m</w:t>
            </w:r>
          </w:p>
        </w:tc>
      </w:tr>
      <w:tr w:rsidR="00FC71BE" w:rsidRPr="00FC71BE" w14:paraId="64AED143" w14:textId="77777777" w:rsidTr="001A3C4F">
        <w:tc>
          <w:tcPr>
            <w:tcW w:w="1413" w:type="dxa"/>
            <w:vAlign w:val="center"/>
          </w:tcPr>
          <w:p w14:paraId="0C392635" w14:textId="04C2A279" w:rsidR="00E80007" w:rsidRPr="00FC71BE" w:rsidRDefault="00E80007" w:rsidP="00E80007">
            <w:pPr>
              <w:ind w:firstLine="0"/>
              <w:jc w:val="center"/>
            </w:pPr>
            <m:oMathPara>
              <m:oMath>
                <m:r>
                  <w:rPr>
                    <w:rFonts w:ascii="Cambria Math" w:hAnsi="Cambria Math"/>
                  </w:rPr>
                  <m:t>F</m:t>
                </m:r>
              </m:oMath>
            </m:oMathPara>
          </w:p>
        </w:tc>
        <w:tc>
          <w:tcPr>
            <w:tcW w:w="6237" w:type="dxa"/>
          </w:tcPr>
          <w:p w14:paraId="077B77D4" w14:textId="39DF9F79" w:rsidR="00E80007" w:rsidRPr="00FC71BE" w:rsidRDefault="00E80007" w:rsidP="00E80007">
            <w:pPr>
              <w:ind w:firstLine="0"/>
            </w:pPr>
            <w:r w:rsidRPr="00FC71BE">
              <w:t>Fitness function</w:t>
            </w:r>
          </w:p>
        </w:tc>
        <w:tc>
          <w:tcPr>
            <w:tcW w:w="1366" w:type="dxa"/>
            <w:vAlign w:val="center"/>
          </w:tcPr>
          <w:p w14:paraId="26B0B8D0" w14:textId="14C4A307" w:rsidR="00E80007" w:rsidRPr="00FC71BE" w:rsidRDefault="00E80007" w:rsidP="00E80007">
            <w:pPr>
              <w:ind w:firstLine="0"/>
              <w:jc w:val="center"/>
            </w:pPr>
          </w:p>
        </w:tc>
      </w:tr>
      <w:tr w:rsidR="00FC71BE" w:rsidRPr="00FC71BE" w14:paraId="6061BF90" w14:textId="77777777" w:rsidTr="001A3C4F">
        <w:tc>
          <w:tcPr>
            <w:tcW w:w="1413" w:type="dxa"/>
            <w:vAlign w:val="center"/>
          </w:tcPr>
          <w:p w14:paraId="35F2F4F1" w14:textId="4C034EF3" w:rsidR="00E80007" w:rsidRPr="00FC71BE" w:rsidRDefault="00E80007" w:rsidP="00E80007">
            <w:pPr>
              <w:ind w:firstLine="0"/>
              <w:jc w:val="center"/>
              <w:rPr>
                <w:rFonts w:eastAsia="等线" w:cs="Times New Roman"/>
              </w:rPr>
            </w:pPr>
            <m:oMathPara>
              <m:oMath>
                <m:r>
                  <w:rPr>
                    <w:rFonts w:ascii="Cambria Math" w:hAnsi="Cambria Math"/>
                  </w:rPr>
                  <m:t>L</m:t>
                </m:r>
              </m:oMath>
            </m:oMathPara>
          </w:p>
        </w:tc>
        <w:tc>
          <w:tcPr>
            <w:tcW w:w="6237" w:type="dxa"/>
          </w:tcPr>
          <w:p w14:paraId="44AB81EA" w14:textId="35F89DB7" w:rsidR="00E80007" w:rsidRPr="00FC71BE" w:rsidRDefault="00E80007" w:rsidP="00E80007">
            <w:pPr>
              <w:ind w:firstLine="0"/>
              <w:rPr>
                <w:i/>
                <w:iCs/>
              </w:rPr>
            </w:pPr>
            <w:r w:rsidRPr="00FC71BE">
              <w:t>Axial length</w:t>
            </w:r>
          </w:p>
        </w:tc>
        <w:tc>
          <w:tcPr>
            <w:tcW w:w="1366" w:type="dxa"/>
            <w:vAlign w:val="center"/>
          </w:tcPr>
          <w:p w14:paraId="02A3C8FA" w14:textId="1DC73C5D" w:rsidR="00E80007" w:rsidRPr="00FC71BE" w:rsidRDefault="00E80007" w:rsidP="00E80007">
            <w:pPr>
              <w:ind w:firstLine="0"/>
              <w:jc w:val="center"/>
            </w:pPr>
            <w:r w:rsidRPr="00FC71BE">
              <w:t>m</w:t>
            </w:r>
          </w:p>
        </w:tc>
      </w:tr>
      <w:tr w:rsidR="00FC71BE" w:rsidRPr="00FC71BE" w14:paraId="00B253B4" w14:textId="77777777" w:rsidTr="001A3C4F">
        <w:tc>
          <w:tcPr>
            <w:tcW w:w="1413" w:type="dxa"/>
            <w:vAlign w:val="center"/>
          </w:tcPr>
          <w:p w14:paraId="0C645484" w14:textId="7ABBDACE" w:rsidR="00E80007" w:rsidRPr="00FC71BE" w:rsidRDefault="002143AD" w:rsidP="00E80007">
            <w:pPr>
              <w:ind w:firstLine="0"/>
              <w:jc w:val="center"/>
              <w:rPr>
                <w:rFonts w:eastAsia="等线" w:cs="Times New Roman"/>
              </w:rPr>
            </w:pPr>
            <m:oMath>
              <m:sSub>
                <m:sSubPr>
                  <m:ctrlPr>
                    <w:rPr>
                      <w:rFonts w:ascii="Cambria Math" w:eastAsia="等线" w:hAnsi="Cambria Math" w:cs="Times New Roman"/>
                      <w:i/>
                    </w:rPr>
                  </m:ctrlPr>
                </m:sSubPr>
                <m:e>
                  <m:r>
                    <w:rPr>
                      <w:rFonts w:ascii="Cambria Math" w:eastAsia="等线" w:hAnsi="Cambria Math" w:cs="Times New Roman"/>
                    </w:rPr>
                    <m:t>r</m:t>
                  </m:r>
                </m:e>
                <m:sub>
                  <m:r>
                    <w:rPr>
                      <w:rFonts w:ascii="Cambria Math" w:eastAsia="等线" w:hAnsi="Cambria Math" w:cs="Times New Roman"/>
                    </w:rPr>
                    <m:t>1</m:t>
                  </m:r>
                </m:sub>
              </m:sSub>
            </m:oMath>
            <w:r w:rsidR="00E80007" w:rsidRPr="00FC71BE">
              <w:rPr>
                <w:rFonts w:eastAsia="等线" w:cs="Times New Roman"/>
              </w:rPr>
              <w:t xml:space="preserve">, </w:t>
            </w:r>
            <m:oMath>
              <m:sSub>
                <m:sSubPr>
                  <m:ctrlPr>
                    <w:rPr>
                      <w:rFonts w:ascii="Cambria Math" w:eastAsia="等线" w:hAnsi="Cambria Math" w:cs="Times New Roman"/>
                      <w:i/>
                    </w:rPr>
                  </m:ctrlPr>
                </m:sSubPr>
                <m:e>
                  <m:r>
                    <w:rPr>
                      <w:rFonts w:ascii="Cambria Math" w:eastAsia="等线" w:hAnsi="Cambria Math" w:cs="Times New Roman"/>
                    </w:rPr>
                    <m:t>r</m:t>
                  </m:r>
                </m:e>
                <m:sub>
                  <m:r>
                    <w:rPr>
                      <w:rFonts w:ascii="Cambria Math" w:eastAsia="等线" w:hAnsi="Cambria Math" w:cs="Times New Roman"/>
                    </w:rPr>
                    <m:t>2</m:t>
                  </m:r>
                </m:sub>
              </m:sSub>
            </m:oMath>
          </w:p>
        </w:tc>
        <w:tc>
          <w:tcPr>
            <w:tcW w:w="6237" w:type="dxa"/>
          </w:tcPr>
          <w:p w14:paraId="000B0966" w14:textId="13C613AA" w:rsidR="00E80007" w:rsidRPr="00FC71BE" w:rsidRDefault="00E80007" w:rsidP="00E80007">
            <w:pPr>
              <w:ind w:firstLine="0"/>
            </w:pPr>
            <w:r w:rsidRPr="00FC71BE">
              <w:t>Radius of inner surface/outer surface</w:t>
            </w:r>
          </w:p>
        </w:tc>
        <w:tc>
          <w:tcPr>
            <w:tcW w:w="1366" w:type="dxa"/>
            <w:vAlign w:val="center"/>
          </w:tcPr>
          <w:p w14:paraId="42743F6F" w14:textId="30ED19EE" w:rsidR="00E80007" w:rsidRPr="00FC71BE" w:rsidRDefault="00E80007" w:rsidP="00E80007">
            <w:pPr>
              <w:ind w:firstLine="0"/>
              <w:jc w:val="center"/>
            </w:pPr>
            <w:r w:rsidRPr="00FC71BE">
              <w:t>m</w:t>
            </w:r>
          </w:p>
        </w:tc>
      </w:tr>
      <w:tr w:rsidR="00FC71BE" w:rsidRPr="00FC71BE" w14:paraId="4D54FA78" w14:textId="77777777" w:rsidTr="001A3C4F">
        <w:tc>
          <w:tcPr>
            <w:tcW w:w="1413" w:type="dxa"/>
            <w:vAlign w:val="center"/>
          </w:tcPr>
          <w:p w14:paraId="4D922A0D" w14:textId="4477FFB9" w:rsidR="00E80007" w:rsidRPr="00FC71BE" w:rsidRDefault="00E80007" w:rsidP="00E80007">
            <w:pPr>
              <w:ind w:firstLine="0"/>
              <w:jc w:val="center"/>
              <w:rPr>
                <w:rFonts w:eastAsia="等线" w:cs="Times New Roman"/>
              </w:rPr>
            </w:pPr>
            <m:oMathPara>
              <m:oMath>
                <m:r>
                  <w:rPr>
                    <w:rFonts w:ascii="Cambria Math" w:hAnsi="Cambria Math"/>
                  </w:rPr>
                  <m:t>t</m:t>
                </m:r>
              </m:oMath>
            </m:oMathPara>
          </w:p>
        </w:tc>
        <w:tc>
          <w:tcPr>
            <w:tcW w:w="6237" w:type="dxa"/>
          </w:tcPr>
          <w:p w14:paraId="7B64124E" w14:textId="4A9A4076" w:rsidR="00E80007" w:rsidRPr="00FC71BE" w:rsidRDefault="00E80007" w:rsidP="00E80007">
            <w:pPr>
              <w:ind w:firstLine="0"/>
            </w:pPr>
            <w:r w:rsidRPr="00FC71BE">
              <w:t>Time</w:t>
            </w:r>
          </w:p>
        </w:tc>
        <w:tc>
          <w:tcPr>
            <w:tcW w:w="1366" w:type="dxa"/>
            <w:vAlign w:val="center"/>
          </w:tcPr>
          <w:p w14:paraId="491F3585" w14:textId="1AA7CA0F" w:rsidR="00E80007" w:rsidRPr="00FC71BE" w:rsidRDefault="00E80007" w:rsidP="00E80007">
            <w:pPr>
              <w:ind w:firstLine="0"/>
              <w:jc w:val="center"/>
            </w:pPr>
            <w:r w:rsidRPr="00FC71BE">
              <w:t>s</w:t>
            </w:r>
          </w:p>
        </w:tc>
      </w:tr>
      <w:tr w:rsidR="00FC71BE" w:rsidRPr="00FC71BE" w14:paraId="51D87EF4" w14:textId="77777777" w:rsidTr="001A3C4F">
        <w:tc>
          <w:tcPr>
            <w:tcW w:w="1413" w:type="dxa"/>
            <w:vAlign w:val="center"/>
          </w:tcPr>
          <w:p w14:paraId="50223A84" w14:textId="31FF5719" w:rsidR="00263705" w:rsidRPr="00FC71BE" w:rsidRDefault="00263705" w:rsidP="00263705">
            <w:pPr>
              <w:ind w:firstLine="0"/>
              <w:jc w:val="center"/>
            </w:pPr>
            <m:oMathPara>
              <m:oMath>
                <m:r>
                  <w:rPr>
                    <w:rFonts w:ascii="Cambria Math" w:hAnsi="Cambria Math"/>
                  </w:rPr>
                  <m:t>w</m:t>
                </m:r>
              </m:oMath>
            </m:oMathPara>
          </w:p>
        </w:tc>
        <w:tc>
          <w:tcPr>
            <w:tcW w:w="6237" w:type="dxa"/>
          </w:tcPr>
          <w:p w14:paraId="4C2BBE48" w14:textId="2BBD3605" w:rsidR="00263705" w:rsidRPr="00FC71BE" w:rsidRDefault="00263705" w:rsidP="00263705">
            <w:pPr>
              <w:ind w:firstLine="0"/>
            </w:pPr>
            <w:r w:rsidRPr="00FC71BE">
              <w:t>PM thickness</w:t>
            </w:r>
          </w:p>
        </w:tc>
        <w:tc>
          <w:tcPr>
            <w:tcW w:w="1366" w:type="dxa"/>
            <w:vAlign w:val="center"/>
          </w:tcPr>
          <w:p w14:paraId="452FB250" w14:textId="14CE32CA" w:rsidR="00263705" w:rsidRPr="00FC71BE" w:rsidRDefault="00263705" w:rsidP="00263705">
            <w:pPr>
              <w:ind w:firstLine="0"/>
              <w:jc w:val="center"/>
            </w:pPr>
            <w:r w:rsidRPr="00FC71BE">
              <w:t>m</w:t>
            </w:r>
          </w:p>
        </w:tc>
      </w:tr>
      <w:tr w:rsidR="00FC71BE" w:rsidRPr="00FC71BE" w14:paraId="15419986" w14:textId="77777777" w:rsidTr="001A3C4F">
        <w:tc>
          <w:tcPr>
            <w:tcW w:w="1413" w:type="dxa"/>
            <w:vAlign w:val="center"/>
          </w:tcPr>
          <w:p w14:paraId="5E9E8936" w14:textId="5F73D1FB" w:rsidR="00263705" w:rsidRPr="00FC71BE" w:rsidRDefault="00263705" w:rsidP="00263705">
            <w:pPr>
              <w:ind w:firstLine="0"/>
              <w:jc w:val="center"/>
              <w:rPr>
                <w:rFonts w:eastAsia="等线" w:cs="Times New Roman"/>
              </w:rPr>
            </w:pPr>
            <m:oMathPara>
              <m:oMath>
                <m:r>
                  <w:rPr>
                    <w:rFonts w:ascii="Cambria Math" w:eastAsia="等线" w:hAnsi="Cambria Math" w:cs="Times New Roman"/>
                  </w:rPr>
                  <m:t>α</m:t>
                </m:r>
              </m:oMath>
            </m:oMathPara>
          </w:p>
        </w:tc>
        <w:tc>
          <w:tcPr>
            <w:tcW w:w="6237" w:type="dxa"/>
          </w:tcPr>
          <w:p w14:paraId="0302D781" w14:textId="794B81FE" w:rsidR="00263705" w:rsidRPr="00FC71BE" w:rsidRDefault="00263705" w:rsidP="00263705">
            <w:pPr>
              <w:ind w:firstLine="0"/>
            </w:pPr>
            <w:r w:rsidRPr="00FC71BE">
              <w:t>angular spans</w:t>
            </w:r>
          </w:p>
        </w:tc>
        <w:tc>
          <w:tcPr>
            <w:tcW w:w="1366" w:type="dxa"/>
            <w:vAlign w:val="center"/>
          </w:tcPr>
          <w:p w14:paraId="1F121F25" w14:textId="60C6D81F" w:rsidR="00263705" w:rsidRPr="00FC71BE" w:rsidRDefault="00263705" w:rsidP="00263705">
            <w:pPr>
              <w:ind w:firstLine="0"/>
              <w:jc w:val="center"/>
            </w:pPr>
            <w:r w:rsidRPr="00FC71BE">
              <w:t>rad</w:t>
            </w:r>
          </w:p>
        </w:tc>
      </w:tr>
      <w:tr w:rsidR="00FC71BE" w:rsidRPr="00FC71BE" w14:paraId="5E1390E1" w14:textId="77777777" w:rsidTr="001A3C4F">
        <w:tc>
          <w:tcPr>
            <w:tcW w:w="1413" w:type="dxa"/>
            <w:vAlign w:val="center"/>
          </w:tcPr>
          <w:p w14:paraId="2D621C0A" w14:textId="48CFA000" w:rsidR="00263705" w:rsidRPr="00FC71BE" w:rsidRDefault="002143AD" w:rsidP="00263705">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ε</m:t>
                    </m:r>
                  </m:e>
                  <m:sub>
                    <m:r>
                      <w:rPr>
                        <w:rFonts w:ascii="Cambria Math" w:eastAsia="等线" w:hAnsi="Cambria Math" w:cs="Times New Roman"/>
                      </w:rPr>
                      <m:t>error</m:t>
                    </m:r>
                  </m:sub>
                </m:sSub>
              </m:oMath>
            </m:oMathPara>
          </w:p>
        </w:tc>
        <w:tc>
          <w:tcPr>
            <w:tcW w:w="6237" w:type="dxa"/>
          </w:tcPr>
          <w:p w14:paraId="27DA6960" w14:textId="3789D0E6" w:rsidR="00263705" w:rsidRPr="00FC71BE" w:rsidRDefault="00FB6F79" w:rsidP="00263705">
            <w:pPr>
              <w:ind w:firstLine="0"/>
            </w:pPr>
            <w:r w:rsidRPr="00FC71BE">
              <w:t>Allowable c</w:t>
            </w:r>
            <w:r w:rsidR="00263705" w:rsidRPr="00FC71BE">
              <w:t>onvergence error</w:t>
            </w:r>
          </w:p>
        </w:tc>
        <w:tc>
          <w:tcPr>
            <w:tcW w:w="1366" w:type="dxa"/>
            <w:vAlign w:val="center"/>
          </w:tcPr>
          <w:p w14:paraId="01095521" w14:textId="60574AB4" w:rsidR="00263705" w:rsidRPr="00FC71BE" w:rsidRDefault="00263705" w:rsidP="00263705">
            <w:pPr>
              <w:ind w:firstLine="0"/>
              <w:jc w:val="center"/>
            </w:pPr>
          </w:p>
        </w:tc>
      </w:tr>
      <w:tr w:rsidR="00FC71BE" w:rsidRPr="00FC71BE" w14:paraId="3EA2FC72" w14:textId="77777777" w:rsidTr="001A3C4F">
        <w:tc>
          <w:tcPr>
            <w:tcW w:w="1413" w:type="dxa"/>
            <w:vAlign w:val="center"/>
          </w:tcPr>
          <w:p w14:paraId="6906334D" w14:textId="68A45C56" w:rsidR="00263705" w:rsidRPr="00FC71BE" w:rsidRDefault="00263705" w:rsidP="00263705">
            <w:pPr>
              <w:ind w:firstLine="0"/>
              <w:jc w:val="center"/>
              <w:rPr>
                <w:rFonts w:eastAsia="等线" w:cs="Times New Roman"/>
              </w:rPr>
            </w:pPr>
            <m:oMathPara>
              <m:oMath>
                <m:r>
                  <w:rPr>
                    <w:rFonts w:ascii="Cambria Math" w:eastAsia="等线" w:hAnsi="Cambria Math" w:cs="Times New Roman"/>
                  </w:rPr>
                  <m:t>ρ</m:t>
                </m:r>
              </m:oMath>
            </m:oMathPara>
          </w:p>
        </w:tc>
        <w:tc>
          <w:tcPr>
            <w:tcW w:w="6237" w:type="dxa"/>
          </w:tcPr>
          <w:p w14:paraId="2DEAFF32" w14:textId="04774B7A" w:rsidR="00263705" w:rsidRPr="00FC71BE" w:rsidRDefault="00263705" w:rsidP="00263705">
            <w:pPr>
              <w:ind w:firstLine="0"/>
            </w:pPr>
            <w:r w:rsidRPr="00FC71BE">
              <w:t>Density</w:t>
            </w:r>
          </w:p>
        </w:tc>
        <w:tc>
          <w:tcPr>
            <w:tcW w:w="1366" w:type="dxa"/>
            <w:vAlign w:val="center"/>
          </w:tcPr>
          <w:p w14:paraId="2B4CDC0F" w14:textId="6F9740F0" w:rsidR="00263705" w:rsidRPr="00FC71BE" w:rsidRDefault="002143AD" w:rsidP="00263705">
            <w:pPr>
              <w:ind w:firstLine="0"/>
              <w:jc w:val="center"/>
            </w:pPr>
            <m:oMathPara>
              <m:oMath>
                <m:f>
                  <m:fPr>
                    <m:type m:val="lin"/>
                    <m:ctrlPr>
                      <w:rPr>
                        <w:rFonts w:ascii="Cambria Math" w:hAnsi="Cambria Math"/>
                      </w:rPr>
                    </m:ctrlPr>
                  </m:fPr>
                  <m:num>
                    <m:r>
                      <m:rPr>
                        <m:sty m:val="p"/>
                      </m:rPr>
                      <w:rPr>
                        <w:rFonts w:ascii="Cambria Math" w:hAnsi="Cambria Math"/>
                      </w:rPr>
                      <m:t>kg</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den>
                </m:f>
              </m:oMath>
            </m:oMathPara>
          </w:p>
        </w:tc>
      </w:tr>
      <w:tr w:rsidR="00FC71BE" w:rsidRPr="00FC71BE" w14:paraId="6748E512" w14:textId="77777777" w:rsidTr="001A3C4F">
        <w:tc>
          <w:tcPr>
            <w:tcW w:w="1413" w:type="dxa"/>
            <w:vAlign w:val="center"/>
          </w:tcPr>
          <w:p w14:paraId="2AABF2A8" w14:textId="147DE78F" w:rsidR="00262941" w:rsidRPr="00FC71BE" w:rsidRDefault="002143AD" w:rsidP="00262941">
            <w:pPr>
              <w:ind w:firstLine="0"/>
              <w:jc w:val="center"/>
              <w:rPr>
                <w:rFonts w:eastAsia="等线" w:cs="Times New Roman"/>
              </w:rPr>
            </w:pPr>
            <m:oMathPara>
              <m:oMath>
                <m:sSub>
                  <m:sSubPr>
                    <m:ctrlPr>
                      <w:rPr>
                        <w:rFonts w:ascii="Cambria Math" w:hAnsi="Cambria Math"/>
                        <w:i/>
                      </w:rPr>
                    </m:ctrlPr>
                  </m:sSubPr>
                  <m:e>
                    <m:r>
                      <w:rPr>
                        <w:rFonts w:ascii="Cambria Math" w:hAnsi="Cambria Math"/>
                      </w:rPr>
                      <m:t>τ</m:t>
                    </m:r>
                  </m:e>
                  <m:sub>
                    <m:r>
                      <w:rPr>
                        <w:rFonts w:ascii="Cambria Math" w:hAnsi="Cambria Math"/>
                      </w:rPr>
                      <m:t>m</m:t>
                    </m:r>
                  </m:sub>
                </m:sSub>
              </m:oMath>
            </m:oMathPara>
          </w:p>
        </w:tc>
        <w:tc>
          <w:tcPr>
            <w:tcW w:w="6237" w:type="dxa"/>
          </w:tcPr>
          <w:p w14:paraId="2188F0CC" w14:textId="3D292347" w:rsidR="00262941" w:rsidRPr="00FC71BE" w:rsidRDefault="00262941" w:rsidP="00262941">
            <w:pPr>
              <w:ind w:firstLine="0"/>
            </w:pPr>
            <w:r w:rsidRPr="00FC71BE">
              <w:t>Relaxation time of magnetization</w:t>
            </w:r>
          </w:p>
        </w:tc>
        <w:tc>
          <w:tcPr>
            <w:tcW w:w="1366" w:type="dxa"/>
            <w:vAlign w:val="center"/>
          </w:tcPr>
          <w:p w14:paraId="1D8A8CD1" w14:textId="6E3B3BD3" w:rsidR="00262941" w:rsidRPr="00FC71BE" w:rsidRDefault="00262941" w:rsidP="00262941">
            <w:pPr>
              <w:ind w:firstLine="0"/>
              <w:jc w:val="center"/>
            </w:pPr>
            <w:r w:rsidRPr="00FC71BE">
              <w:t>s</w:t>
            </w:r>
          </w:p>
        </w:tc>
      </w:tr>
      <w:tr w:rsidR="00FC71BE" w:rsidRPr="00FC71BE" w14:paraId="12E31813" w14:textId="77777777" w:rsidTr="001A3C4F">
        <w:tc>
          <w:tcPr>
            <w:tcW w:w="1413" w:type="dxa"/>
            <w:vAlign w:val="center"/>
          </w:tcPr>
          <w:p w14:paraId="4B99A5E2" w14:textId="7172F01B" w:rsidR="00262941" w:rsidRPr="00FC71BE" w:rsidRDefault="002143AD" w:rsidP="00262941">
            <w:pPr>
              <w:ind w:firstLine="0"/>
              <w:jc w:val="center"/>
              <w:rPr>
                <w:rFonts w:eastAsia="等线" w:cs="Times New Roman"/>
              </w:rPr>
            </w:pPr>
            <m:oMathPara>
              <m:oMath>
                <m:sSub>
                  <m:sSubPr>
                    <m:ctrlPr>
                      <w:rPr>
                        <w:rFonts w:ascii="Cambria Math" w:hAnsi="Cambria Math"/>
                        <w:i/>
                      </w:rPr>
                    </m:ctrlPr>
                  </m:sSubPr>
                  <m:e>
                    <m:r>
                      <w:rPr>
                        <w:rFonts w:ascii="Cambria Math" w:hAnsi="Cambria Math"/>
                      </w:rPr>
                      <m:t>τ</m:t>
                    </m:r>
                  </m:e>
                  <m:sub>
                    <m:r>
                      <w:rPr>
                        <w:rFonts w:ascii="Cambria Math" w:hAnsi="Cambria Math"/>
                      </w:rPr>
                      <m:t>e</m:t>
                    </m:r>
                  </m:sub>
                </m:sSub>
              </m:oMath>
            </m:oMathPara>
          </w:p>
        </w:tc>
        <w:tc>
          <w:tcPr>
            <w:tcW w:w="6237" w:type="dxa"/>
          </w:tcPr>
          <w:p w14:paraId="607DB5FA" w14:textId="61722FB9" w:rsidR="00262941" w:rsidRPr="00FC71BE" w:rsidRDefault="00262941" w:rsidP="00262941">
            <w:pPr>
              <w:ind w:firstLine="0"/>
            </w:pPr>
            <w:r w:rsidRPr="00FC71BE">
              <w:t>Period of alternating current</w:t>
            </w:r>
          </w:p>
        </w:tc>
        <w:tc>
          <w:tcPr>
            <w:tcW w:w="1366" w:type="dxa"/>
            <w:vAlign w:val="center"/>
          </w:tcPr>
          <w:p w14:paraId="51BB20B8" w14:textId="749DA60B" w:rsidR="00262941" w:rsidRPr="00FC71BE" w:rsidRDefault="00262941" w:rsidP="00262941">
            <w:pPr>
              <w:ind w:firstLine="0"/>
              <w:jc w:val="center"/>
            </w:pPr>
            <w:r w:rsidRPr="00FC71BE">
              <w:t>s</w:t>
            </w:r>
          </w:p>
        </w:tc>
      </w:tr>
      <w:tr w:rsidR="00FC71BE" w:rsidRPr="00FC71BE" w14:paraId="159E626D" w14:textId="77777777" w:rsidTr="001A3C4F">
        <w:tc>
          <w:tcPr>
            <w:tcW w:w="1413" w:type="dxa"/>
            <w:vAlign w:val="center"/>
          </w:tcPr>
          <w:p w14:paraId="148F4764" w14:textId="5EF7EC08" w:rsidR="00262941" w:rsidRPr="00FC71BE" w:rsidRDefault="002143AD" w:rsidP="00262941">
            <w:pPr>
              <w:ind w:firstLine="0"/>
              <w:jc w:val="center"/>
              <w:rPr>
                <w:rFonts w:eastAsia="等线" w:cs="Times New Roman"/>
              </w:rPr>
            </w:pPr>
            <m:oMathPara>
              <m:oMath>
                <m:sSub>
                  <m:sSubPr>
                    <m:ctrlPr>
                      <w:rPr>
                        <w:rFonts w:ascii="Cambria Math" w:hAnsi="Cambria Math"/>
                        <w:i/>
                      </w:rPr>
                    </m:ctrlPr>
                  </m:sSubPr>
                  <m:e>
                    <m:r>
                      <w:rPr>
                        <w:rFonts w:ascii="Cambria Math" w:hAnsi="Cambria Math"/>
                      </w:rPr>
                      <m:t>τ</m:t>
                    </m:r>
                  </m:e>
                  <m:sub>
                    <m:r>
                      <w:rPr>
                        <w:rFonts w:ascii="Cambria Math" w:hAnsi="Cambria Math"/>
                      </w:rPr>
                      <m:t>f</m:t>
                    </m:r>
                  </m:sub>
                </m:sSub>
              </m:oMath>
            </m:oMathPara>
          </w:p>
        </w:tc>
        <w:tc>
          <w:tcPr>
            <w:tcW w:w="6237" w:type="dxa"/>
          </w:tcPr>
          <w:p w14:paraId="57B272B6" w14:textId="6826C872" w:rsidR="00262941" w:rsidRPr="00FC71BE" w:rsidRDefault="00262941" w:rsidP="00262941">
            <w:pPr>
              <w:ind w:firstLine="0"/>
            </w:pPr>
            <w:r w:rsidRPr="00FC71BE">
              <w:t>Hydrodynamics and thermodynamics time constant</w:t>
            </w:r>
          </w:p>
        </w:tc>
        <w:tc>
          <w:tcPr>
            <w:tcW w:w="1366" w:type="dxa"/>
            <w:vAlign w:val="center"/>
          </w:tcPr>
          <w:p w14:paraId="73E79079" w14:textId="32E49994" w:rsidR="00262941" w:rsidRPr="00FC71BE" w:rsidRDefault="00262941" w:rsidP="00262941">
            <w:pPr>
              <w:ind w:firstLine="0"/>
              <w:jc w:val="center"/>
            </w:pPr>
            <w:r w:rsidRPr="00FC71BE">
              <w:t>s</w:t>
            </w:r>
          </w:p>
        </w:tc>
      </w:tr>
      <w:tr w:rsidR="00FC71BE" w:rsidRPr="00FC71BE" w14:paraId="58506C46" w14:textId="77777777" w:rsidTr="001A3C4F">
        <w:tc>
          <w:tcPr>
            <w:tcW w:w="1413" w:type="dxa"/>
            <w:vAlign w:val="center"/>
          </w:tcPr>
          <w:p w14:paraId="70DF77D3" w14:textId="1EEC08CC" w:rsidR="00262941" w:rsidRPr="00FC71BE" w:rsidRDefault="002143AD" w:rsidP="00262941">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v</m:t>
                    </m:r>
                  </m:e>
                  <m:sub>
                    <m:r>
                      <w:rPr>
                        <w:rFonts w:ascii="Cambria Math" w:eastAsia="等线" w:hAnsi="Cambria Math" w:cs="Times New Roman"/>
                      </w:rPr>
                      <m:t>c</m:t>
                    </m:r>
                  </m:sub>
                </m:sSub>
              </m:oMath>
            </m:oMathPara>
          </w:p>
        </w:tc>
        <w:tc>
          <w:tcPr>
            <w:tcW w:w="6237" w:type="dxa"/>
          </w:tcPr>
          <w:p w14:paraId="4804BEBB" w14:textId="601A2D49" w:rsidR="00262941" w:rsidRPr="00FC71BE" w:rsidRDefault="00262941" w:rsidP="00262941">
            <w:pPr>
              <w:ind w:firstLine="0"/>
            </w:pPr>
            <w:r w:rsidRPr="00FC71BE">
              <w:t>Volume ratio of conductors</w:t>
            </w:r>
          </w:p>
        </w:tc>
        <w:tc>
          <w:tcPr>
            <w:tcW w:w="1366" w:type="dxa"/>
            <w:vAlign w:val="center"/>
          </w:tcPr>
          <w:p w14:paraId="7915E71E" w14:textId="77777777" w:rsidR="00262941" w:rsidRPr="00FC71BE" w:rsidRDefault="00262941" w:rsidP="00262941">
            <w:pPr>
              <w:ind w:firstLine="0"/>
              <w:jc w:val="center"/>
            </w:pPr>
          </w:p>
        </w:tc>
      </w:tr>
      <w:tr w:rsidR="00FC71BE" w:rsidRPr="00FC71BE" w14:paraId="479EB367" w14:textId="77777777" w:rsidTr="001A3C4F">
        <w:tc>
          <w:tcPr>
            <w:tcW w:w="1413" w:type="dxa"/>
            <w:vAlign w:val="center"/>
          </w:tcPr>
          <w:p w14:paraId="1FC991F1" w14:textId="2352AEFE" w:rsidR="00262941" w:rsidRPr="00FC71BE" w:rsidRDefault="00262941" w:rsidP="00262941">
            <w:pPr>
              <w:ind w:firstLine="0"/>
              <w:jc w:val="center"/>
              <w:rPr>
                <w:rFonts w:eastAsia="等线" w:cs="Times New Roman"/>
              </w:rPr>
            </w:pPr>
            <m:oMathPara>
              <m:oMath>
                <m:r>
                  <w:rPr>
                    <w:rFonts w:ascii="Cambria Math" w:eastAsia="等线" w:hAnsi="Cambria Math" w:cs="Times New Roman"/>
                  </w:rPr>
                  <m:t>Φ</m:t>
                </m:r>
              </m:oMath>
            </m:oMathPara>
          </w:p>
        </w:tc>
        <w:tc>
          <w:tcPr>
            <w:tcW w:w="6237" w:type="dxa"/>
          </w:tcPr>
          <w:p w14:paraId="12F0A046" w14:textId="36100CC8" w:rsidR="00262941" w:rsidRPr="00FC71BE" w:rsidRDefault="00262941" w:rsidP="00262941">
            <w:pPr>
              <w:ind w:firstLine="0"/>
            </w:pPr>
            <w:r w:rsidRPr="00FC71BE">
              <w:t>Volume fraction of nano-sized particle</w:t>
            </w:r>
          </w:p>
        </w:tc>
        <w:tc>
          <w:tcPr>
            <w:tcW w:w="1366" w:type="dxa"/>
            <w:vAlign w:val="center"/>
          </w:tcPr>
          <w:p w14:paraId="3441491D" w14:textId="05F552D6" w:rsidR="00262941" w:rsidRPr="00FC71BE" w:rsidRDefault="00262941" w:rsidP="00262941">
            <w:pPr>
              <w:ind w:firstLine="0"/>
              <w:jc w:val="center"/>
            </w:pPr>
          </w:p>
        </w:tc>
      </w:tr>
    </w:tbl>
    <w:p w14:paraId="09FB9D91" w14:textId="722722A4" w:rsidR="00591465" w:rsidRPr="00FC71BE" w:rsidRDefault="00591465" w:rsidP="00EE2A23">
      <w:pPr>
        <w:pStyle w:val="Styleofnomenclayures"/>
      </w:pPr>
      <w:r w:rsidRPr="00FC71BE">
        <w:t>Electr</w:t>
      </w:r>
      <w:r w:rsidR="00260C2A" w:rsidRPr="00FC71BE">
        <w:t>omagnetic</w:t>
      </w:r>
      <w:r w:rsidRPr="00FC71BE">
        <w:t xml:space="preserve"> symbols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237"/>
        <w:gridCol w:w="1366"/>
      </w:tblGrid>
      <w:tr w:rsidR="00FC71BE" w:rsidRPr="00FC71BE" w14:paraId="152D1BC3" w14:textId="77777777" w:rsidTr="008A14D9">
        <w:trPr>
          <w:trHeight w:val="1247"/>
        </w:trPr>
        <w:tc>
          <w:tcPr>
            <w:tcW w:w="1413" w:type="dxa"/>
            <w:vAlign w:val="center"/>
          </w:tcPr>
          <w:p w14:paraId="263094EA" w14:textId="11597046" w:rsidR="00D42152" w:rsidRPr="00FC71BE" w:rsidRDefault="002143AD" w:rsidP="005914DC">
            <w:pPr>
              <w:ind w:firstLine="0"/>
              <w:jc w:val="center"/>
              <w:rPr>
                <w:rFonts w:eastAsia="等线" w:cs="Times New Roman"/>
              </w:rPr>
            </w:pPr>
            <m:oMathPara>
              <m:oMath>
                <m:d>
                  <m:dPr>
                    <m:begChr m:val="{"/>
                    <m:endChr m:val=""/>
                    <m:ctrlPr>
                      <w:rPr>
                        <w:rFonts w:ascii="Cambria Math" w:eastAsia="等线" w:hAnsi="Cambria Math" w:cs="Times New Roman"/>
                        <w:b/>
                        <w:bCs/>
                        <w:i/>
                      </w:rPr>
                    </m:ctrlPr>
                  </m:dPr>
                  <m:e>
                    <m:eqArr>
                      <m:eqArrPr>
                        <m:ctrlPr>
                          <w:rPr>
                            <w:rFonts w:ascii="Cambria Math" w:eastAsia="等线" w:hAnsi="Cambria Math" w:cs="Times New Roman"/>
                            <w:b/>
                            <w:bCs/>
                            <w:i/>
                          </w:rPr>
                        </m:ctrlPr>
                      </m:eqArrPr>
                      <m:e>
                        <m:sSub>
                          <m:sSubPr>
                            <m:ctrlPr>
                              <w:rPr>
                                <w:rFonts w:ascii="Cambria Math" w:eastAsia="等线" w:hAnsi="Cambria Math" w:cs="Times New Roman"/>
                                <w:b/>
                                <w:bCs/>
                                <w:i/>
                              </w:rPr>
                            </m:ctrlPr>
                          </m:sSubPr>
                          <m:e>
                            <m:r>
                              <m:rPr>
                                <m:sty m:val="bi"/>
                              </m:rPr>
                              <w:rPr>
                                <w:rFonts w:ascii="Cambria Math" w:eastAsia="等线" w:hAnsi="Cambria Math" w:cs="Times New Roman"/>
                              </w:rPr>
                              <m:t>a</m:t>
                            </m:r>
                          </m:e>
                          <m:sub>
                            <m:r>
                              <m:rPr>
                                <m:sty m:val="bi"/>
                              </m:rPr>
                              <w:rPr>
                                <w:rFonts w:ascii="Cambria Math" w:eastAsia="等线" w:hAnsi="Cambria Math" w:cs="Times New Roman"/>
                              </w:rPr>
                              <m:t>(</m:t>
                            </m:r>
                            <m:r>
                              <m:rPr>
                                <m:sty m:val="bi"/>
                              </m:rPr>
                              <w:rPr>
                                <w:rFonts w:ascii="Cambria Math" w:eastAsia="等线" w:hAnsi="Cambria Math" w:cs="Times New Roman"/>
                              </w:rPr>
                              <m:t>R</m:t>
                            </m:r>
                            <m:r>
                              <m:rPr>
                                <m:sty m:val="bi"/>
                              </m:rPr>
                              <w:rPr>
                                <w:rFonts w:ascii="Cambria Math" w:eastAsia="等线" w:hAnsi="Cambria Math" w:cs="Times New Roman"/>
                              </w:rPr>
                              <m:t>)</m:t>
                            </m:r>
                          </m:sub>
                        </m:sSub>
                      </m:e>
                      <m:e>
                        <m:sSub>
                          <m:sSubPr>
                            <m:ctrlPr>
                              <w:rPr>
                                <w:rFonts w:ascii="Cambria Math" w:eastAsia="等线" w:hAnsi="Cambria Math" w:cs="Times New Roman"/>
                                <w:b/>
                                <w:bCs/>
                                <w:i/>
                              </w:rPr>
                            </m:ctrlPr>
                          </m:sSubPr>
                          <m:e>
                            <m:r>
                              <m:rPr>
                                <m:sty m:val="bi"/>
                              </m:rPr>
                              <w:rPr>
                                <w:rFonts w:ascii="Cambria Math" w:eastAsia="等线" w:hAnsi="Cambria Math" w:cs="Times New Roman"/>
                              </w:rPr>
                              <m:t>b</m:t>
                            </m:r>
                          </m:e>
                          <m:sub>
                            <m:r>
                              <m:rPr>
                                <m:sty m:val="bi"/>
                              </m:rPr>
                              <w:rPr>
                                <w:rFonts w:ascii="Cambria Math" w:eastAsia="等线" w:hAnsi="Cambria Math" w:cs="Times New Roman"/>
                              </w:rPr>
                              <m:t>(</m:t>
                            </m:r>
                            <m:r>
                              <m:rPr>
                                <m:sty m:val="bi"/>
                              </m:rPr>
                              <w:rPr>
                                <w:rFonts w:ascii="Cambria Math" w:eastAsia="等线" w:hAnsi="Cambria Math" w:cs="Times New Roman"/>
                              </w:rPr>
                              <m:t>R</m:t>
                            </m:r>
                            <m:r>
                              <m:rPr>
                                <m:sty m:val="bi"/>
                              </m:rPr>
                              <w:rPr>
                                <w:rFonts w:ascii="Cambria Math" w:eastAsia="等线" w:hAnsi="Cambria Math" w:cs="Times New Roman"/>
                              </w:rPr>
                              <m:t>)</m:t>
                            </m:r>
                          </m:sub>
                        </m:sSub>
                      </m:e>
                      <m:e>
                        <m:sSub>
                          <m:sSubPr>
                            <m:ctrlPr>
                              <w:rPr>
                                <w:rFonts w:ascii="Cambria Math" w:eastAsia="等线" w:hAnsi="Cambria Math" w:cs="Times New Roman"/>
                                <w:b/>
                                <w:bCs/>
                                <w:i/>
                              </w:rPr>
                            </m:ctrlPr>
                          </m:sSubPr>
                          <m:e>
                            <m:r>
                              <m:rPr>
                                <m:sty m:val="bi"/>
                              </m:rPr>
                              <w:rPr>
                                <w:rFonts w:ascii="Cambria Math" w:eastAsia="等线" w:hAnsi="Cambria Math" w:cs="Times New Roman"/>
                              </w:rPr>
                              <m:t>k</m:t>
                            </m:r>
                          </m:e>
                          <m:sub>
                            <m:r>
                              <m:rPr>
                                <m:sty m:val="bi"/>
                              </m:rPr>
                              <w:rPr>
                                <w:rFonts w:ascii="Cambria Math" w:eastAsia="等线" w:hAnsi="Cambria Math" w:cs="Times New Roman"/>
                              </w:rPr>
                              <m:t>(</m:t>
                            </m:r>
                            <m:r>
                              <m:rPr>
                                <m:sty m:val="bi"/>
                              </m:rPr>
                              <w:rPr>
                                <w:rFonts w:ascii="Cambria Math" w:eastAsia="等线" w:hAnsi="Cambria Math" w:cs="Times New Roman"/>
                              </w:rPr>
                              <m:t>R</m:t>
                            </m:r>
                            <m:r>
                              <m:rPr>
                                <m:sty m:val="bi"/>
                              </m:rPr>
                              <w:rPr>
                                <w:rFonts w:ascii="Cambria Math" w:eastAsia="等线" w:hAnsi="Cambria Math" w:cs="Times New Roman"/>
                              </w:rPr>
                              <m:t>)</m:t>
                            </m:r>
                          </m:sub>
                        </m:sSub>
                        <m:ctrlPr>
                          <w:rPr>
                            <w:rFonts w:ascii="Cambria Math" w:eastAsia="Cambria Math" w:hAnsi="Cambria Math" w:cs="Cambria Math"/>
                            <w:b/>
                            <w:bCs/>
                            <w:i/>
                          </w:rPr>
                        </m:ctrlPr>
                      </m:e>
                      <m:e>
                        <m:sSub>
                          <m:sSubPr>
                            <m:ctrlPr>
                              <w:rPr>
                                <w:rFonts w:ascii="Cambria Math" w:eastAsia="等线" w:hAnsi="Cambria Math" w:cs="Times New Roman"/>
                                <w:i/>
                              </w:rPr>
                            </m:ctrlPr>
                          </m:sSubPr>
                          <m:e>
                            <m:r>
                              <w:rPr>
                                <w:rFonts w:ascii="Cambria Math" w:eastAsia="等线" w:hAnsi="Cambria Math" w:cs="Times New Roman"/>
                              </w:rPr>
                              <m:t>ϑ</m:t>
                            </m:r>
                          </m:e>
                          <m:sub>
                            <m:r>
                              <w:rPr>
                                <w:rFonts w:ascii="Cambria Math" w:eastAsia="等线" w:hAnsi="Cambria Math" w:cs="Times New Roman"/>
                              </w:rPr>
                              <m:t>(</m:t>
                            </m:r>
                            <m:r>
                              <w:rPr>
                                <w:rFonts w:ascii="Cambria Math" w:eastAsia="等线" w:hAnsi="Cambria Math" w:cs="Times New Roman"/>
                              </w:rPr>
                              <m:t>R</m:t>
                            </m:r>
                            <m:r>
                              <w:rPr>
                                <w:rFonts w:ascii="Cambria Math" w:eastAsia="等线" w:hAnsi="Cambria Math" w:cs="Times New Roman"/>
                              </w:rPr>
                              <m:t>)</m:t>
                            </m:r>
                          </m:sub>
                        </m:sSub>
                      </m:e>
                    </m:eqArr>
                  </m:e>
                </m:d>
                <m:r>
                  <m:rPr>
                    <m:sty m:val="bi"/>
                  </m:rPr>
                  <w:rPr>
                    <w:rFonts w:ascii="Cambria Math" w:eastAsia="等线" w:hAnsi="Cambria Math" w:cs="Times New Roman"/>
                  </w:rPr>
                  <m:t xml:space="preserve"> </m:t>
                </m:r>
              </m:oMath>
            </m:oMathPara>
          </w:p>
        </w:tc>
        <w:tc>
          <w:tcPr>
            <w:tcW w:w="6237" w:type="dxa"/>
            <w:vAlign w:val="center"/>
          </w:tcPr>
          <w:p w14:paraId="30CD9EBD" w14:textId="1EC2D9F2" w:rsidR="00D42152" w:rsidRPr="00FC71BE" w:rsidRDefault="00D42152" w:rsidP="005914DC">
            <w:pPr>
              <w:ind w:firstLine="0"/>
            </w:pPr>
            <w:r w:rsidRPr="00FC71BE">
              <w:t>Position dependent constant for magnetic field strength calculation</w:t>
            </w:r>
          </w:p>
        </w:tc>
        <w:tc>
          <w:tcPr>
            <w:tcW w:w="1366" w:type="dxa"/>
            <w:vAlign w:val="center"/>
          </w:tcPr>
          <w:p w14:paraId="5B4F884F" w14:textId="79770389" w:rsidR="00D42152" w:rsidRPr="00FC71BE" w:rsidRDefault="002143AD" w:rsidP="005914DC">
            <w:pPr>
              <w:ind w:firstLine="0"/>
              <w:jc w:val="center"/>
            </w:pPr>
            <m:oMathPara>
              <m:oMath>
                <m:m>
                  <m:mPr>
                    <m:mcs>
                      <m:mc>
                        <m:mcPr>
                          <m:count m:val="1"/>
                          <m:mcJc m:val="center"/>
                        </m:mcPr>
                      </m:mc>
                    </m:mcs>
                    <m:ctrlPr>
                      <w:rPr>
                        <w:rFonts w:ascii="Cambria Math" w:hAnsi="Cambria Math"/>
                        <w:i/>
                      </w:rPr>
                    </m:ctrlPr>
                  </m:mPr>
                  <m:mr>
                    <m:e>
                      <m:r>
                        <m:rPr>
                          <m:sty m:val="p"/>
                        </m:rPr>
                        <w:rPr>
                          <w:rFonts w:ascii="Cambria Math" w:hAnsi="Cambria Math"/>
                        </w:rPr>
                        <m:t>1/m</m:t>
                      </m:r>
                    </m:e>
                  </m:mr>
                  <m:mr>
                    <m:e>
                      <m:r>
                        <m:rPr>
                          <m:sty m:val="p"/>
                        </m:rPr>
                        <w:rPr>
                          <w:rFonts w:ascii="Cambria Math" w:hAnsi="Cambria Math"/>
                        </w:rPr>
                        <m:t>1/m</m:t>
                      </m:r>
                    </m:e>
                  </m:mr>
                  <m:mr>
                    <m:e>
                      <m:m>
                        <m:mPr>
                          <m:mcs>
                            <m:mc>
                              <m:mcPr>
                                <m:count m:val="1"/>
                                <m:mcJc m:val="center"/>
                              </m:mcPr>
                            </m:mc>
                          </m:mcs>
                          <m:ctrlPr>
                            <w:rPr>
                              <w:rFonts w:ascii="Cambria Math" w:hAnsi="Cambria Math"/>
                              <w:i/>
                            </w:rPr>
                          </m:ctrlPr>
                        </m:mPr>
                        <m:mr>
                          <m:e>
                            <m:r>
                              <m:rPr>
                                <m:sty m:val="p"/>
                              </m:rPr>
                              <w:rPr>
                                <w:rFonts w:ascii="Cambria Math" w:hAnsi="Cambria Math"/>
                              </w:rPr>
                              <m:t>1/m</m:t>
                            </m:r>
                          </m:e>
                        </m:mr>
                        <m:mr>
                          <m:e>
                            <m:r>
                              <m:rPr>
                                <m:sty m:val="p"/>
                              </m:rPr>
                              <w:rPr>
                                <w:rFonts w:ascii="Cambria Math" w:hAnsi="Cambria Math"/>
                              </w:rPr>
                              <m:t>rad</m:t>
                            </m:r>
                          </m:e>
                        </m:mr>
                      </m:m>
                    </m:e>
                  </m:mr>
                </m:m>
              </m:oMath>
            </m:oMathPara>
          </w:p>
        </w:tc>
      </w:tr>
      <w:tr w:rsidR="00FC71BE" w:rsidRPr="00FC71BE" w14:paraId="2889B75D" w14:textId="77777777" w:rsidTr="008A14D9">
        <w:tc>
          <w:tcPr>
            <w:tcW w:w="1413" w:type="dxa"/>
            <w:vAlign w:val="center"/>
          </w:tcPr>
          <w:p w14:paraId="4291ACB6" w14:textId="091B7C4A" w:rsidR="005914DC" w:rsidRPr="00FC71BE" w:rsidRDefault="005914DC" w:rsidP="005914DC">
            <w:pPr>
              <w:ind w:firstLine="0"/>
              <w:jc w:val="center"/>
              <w:rPr>
                <w:rFonts w:eastAsia="等线 Light" w:cs="Times New Roman"/>
              </w:rPr>
            </w:pPr>
            <m:oMath>
              <m:r>
                <w:rPr>
                  <w:rFonts w:ascii="Cambria Math" w:eastAsia="等线" w:hAnsi="Cambria Math" w:cs="Times New Roman"/>
                </w:rPr>
                <m:t>B</m:t>
              </m:r>
            </m:oMath>
            <w:r w:rsidRPr="00FC71BE">
              <w:t xml:space="preserve">, </w:t>
            </w:r>
            <m:oMath>
              <m:r>
                <m:rPr>
                  <m:sty m:val="bi"/>
                </m:rPr>
                <w:rPr>
                  <w:rFonts w:ascii="Cambria Math" w:eastAsia="等线" w:hAnsi="Cambria Math" w:cs="Times New Roman"/>
                </w:rPr>
                <m:t>B</m:t>
              </m:r>
            </m:oMath>
          </w:p>
        </w:tc>
        <w:tc>
          <w:tcPr>
            <w:tcW w:w="6237" w:type="dxa"/>
          </w:tcPr>
          <w:p w14:paraId="699B97C2" w14:textId="7E7BDDB3" w:rsidR="005914DC" w:rsidRPr="00FC71BE" w:rsidRDefault="005914DC" w:rsidP="005914DC">
            <w:pPr>
              <w:ind w:firstLine="0"/>
            </w:pPr>
            <w:r w:rsidRPr="00FC71BE">
              <w:t>Magnetic induction field and its vector</w:t>
            </w:r>
          </w:p>
        </w:tc>
        <w:tc>
          <w:tcPr>
            <w:tcW w:w="1366" w:type="dxa"/>
            <w:vAlign w:val="center"/>
          </w:tcPr>
          <w:p w14:paraId="1119DEEC" w14:textId="70F50C6B" w:rsidR="005914DC" w:rsidRPr="00FC71BE" w:rsidRDefault="005914DC" w:rsidP="005914DC">
            <w:pPr>
              <w:ind w:firstLine="0"/>
              <w:jc w:val="center"/>
            </w:pPr>
            <w:r w:rsidRPr="00FC71BE">
              <w:t>T</w:t>
            </w:r>
          </w:p>
        </w:tc>
      </w:tr>
      <w:tr w:rsidR="00FC71BE" w:rsidRPr="00FC71BE" w14:paraId="310BBB85" w14:textId="77777777" w:rsidTr="008A14D9">
        <w:tc>
          <w:tcPr>
            <w:tcW w:w="1413" w:type="dxa"/>
            <w:vAlign w:val="center"/>
          </w:tcPr>
          <w:p w14:paraId="7238EFE1" w14:textId="6CF72391" w:rsidR="005914DC" w:rsidRPr="00FC71BE" w:rsidRDefault="002143AD" w:rsidP="005914DC">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B</m:t>
                    </m:r>
                  </m:e>
                  <m:sub>
                    <m:r>
                      <w:rPr>
                        <w:rFonts w:ascii="Cambria Math" w:eastAsia="等线" w:hAnsi="Cambria Math" w:cs="Times New Roman"/>
                      </w:rPr>
                      <m:t>m</m:t>
                    </m:r>
                  </m:sub>
                </m:sSub>
              </m:oMath>
            </m:oMathPara>
          </w:p>
        </w:tc>
        <w:tc>
          <w:tcPr>
            <w:tcW w:w="6237" w:type="dxa"/>
          </w:tcPr>
          <w:p w14:paraId="0D577344" w14:textId="601C5182" w:rsidR="005914DC" w:rsidRPr="00FC71BE" w:rsidRDefault="005914DC" w:rsidP="005914DC">
            <w:pPr>
              <w:ind w:firstLine="0"/>
            </w:pPr>
            <w:r w:rsidRPr="00FC71BE">
              <w:t>Magnet flux density</w:t>
            </w:r>
          </w:p>
        </w:tc>
        <w:tc>
          <w:tcPr>
            <w:tcW w:w="1366" w:type="dxa"/>
            <w:vAlign w:val="center"/>
          </w:tcPr>
          <w:p w14:paraId="6EEDBA29" w14:textId="396FCE5B" w:rsidR="005914DC" w:rsidRPr="00FC71BE" w:rsidRDefault="005914DC" w:rsidP="005914DC">
            <w:pPr>
              <w:ind w:firstLine="0"/>
              <w:jc w:val="center"/>
            </w:pPr>
            <w:r w:rsidRPr="00FC71BE">
              <w:t>T</w:t>
            </w:r>
          </w:p>
        </w:tc>
      </w:tr>
      <w:tr w:rsidR="00FC71BE" w:rsidRPr="00FC71BE" w14:paraId="782B8E47" w14:textId="77777777" w:rsidTr="008A14D9">
        <w:tc>
          <w:tcPr>
            <w:tcW w:w="1413" w:type="dxa"/>
            <w:vAlign w:val="center"/>
          </w:tcPr>
          <w:p w14:paraId="6AD3D648" w14:textId="2199C673" w:rsidR="005914DC" w:rsidRPr="00FC71BE" w:rsidRDefault="002143AD" w:rsidP="005914DC">
            <w:pPr>
              <w:ind w:firstLine="0"/>
              <w:jc w:val="center"/>
              <w:rPr>
                <w:rFonts w:eastAsia="等线" w:cs="Times New Roman"/>
              </w:rPr>
            </w:pPr>
            <m:oMathPara>
              <m:oMath>
                <m:sSub>
                  <m:sSubPr>
                    <m:ctrlPr>
                      <w:rPr>
                        <w:rFonts w:ascii="Cambria Math" w:hAnsi="Cambria Math"/>
                        <w:i/>
                      </w:rPr>
                    </m:ctrlPr>
                  </m:sSubPr>
                  <m:e>
                    <m:r>
                      <w:rPr>
                        <w:rFonts w:ascii="Cambria Math" w:hAnsi="Cambria Math"/>
                      </w:rPr>
                      <m:t>B</m:t>
                    </m:r>
                  </m:e>
                  <m:sub>
                    <m:r>
                      <w:rPr>
                        <w:rFonts w:ascii="Cambria Math" w:hAnsi="Cambria Math"/>
                      </w:rPr>
                      <m:t>r</m:t>
                    </m:r>
                  </m:sub>
                </m:sSub>
              </m:oMath>
            </m:oMathPara>
          </w:p>
        </w:tc>
        <w:tc>
          <w:tcPr>
            <w:tcW w:w="6237" w:type="dxa"/>
          </w:tcPr>
          <w:p w14:paraId="5BD07447" w14:textId="235EFBAD" w:rsidR="005914DC" w:rsidRPr="00FC71BE" w:rsidRDefault="005914DC" w:rsidP="005914DC">
            <w:pPr>
              <w:ind w:firstLine="0"/>
            </w:pPr>
            <w:r w:rsidRPr="00FC71BE">
              <w:t>Remanence of PM</w:t>
            </w:r>
          </w:p>
        </w:tc>
        <w:tc>
          <w:tcPr>
            <w:tcW w:w="1366" w:type="dxa"/>
            <w:vAlign w:val="center"/>
          </w:tcPr>
          <w:p w14:paraId="6709A5D3" w14:textId="0DE9E3C8" w:rsidR="005914DC" w:rsidRPr="00FC71BE" w:rsidRDefault="005914DC" w:rsidP="005914DC">
            <w:pPr>
              <w:ind w:firstLine="0"/>
              <w:jc w:val="center"/>
            </w:pPr>
            <w:r w:rsidRPr="00FC71BE">
              <w:t>T</w:t>
            </w:r>
          </w:p>
        </w:tc>
      </w:tr>
      <w:tr w:rsidR="00FC71BE" w:rsidRPr="00FC71BE" w14:paraId="6CE73261" w14:textId="77777777" w:rsidTr="008A14D9">
        <w:tc>
          <w:tcPr>
            <w:tcW w:w="1413" w:type="dxa"/>
            <w:vAlign w:val="center"/>
          </w:tcPr>
          <w:p w14:paraId="36DA1C49" w14:textId="1430A1E7" w:rsidR="005914DC" w:rsidRPr="00FC71BE" w:rsidRDefault="002143AD" w:rsidP="005914DC">
            <w:pPr>
              <w:ind w:firstLine="0"/>
              <w:jc w:val="center"/>
              <w:rPr>
                <w:rFonts w:eastAsia="等线" w:cs="Times New Roman"/>
              </w:rPr>
            </w:pPr>
            <m:oMathPara>
              <m:oMath>
                <m:sSub>
                  <m:sSubPr>
                    <m:ctrlPr>
                      <w:rPr>
                        <w:rFonts w:ascii="Cambria Math" w:hAnsi="Cambria Math"/>
                        <w:i/>
                      </w:rPr>
                    </m:ctrlPr>
                  </m:sSubPr>
                  <m:e>
                    <m:r>
                      <w:rPr>
                        <w:rFonts w:ascii="Cambria Math" w:hAnsi="Cambria Math"/>
                      </w:rPr>
                      <m:t>F</m:t>
                    </m:r>
                  </m:e>
                  <m:sub>
                    <m:r>
                      <w:rPr>
                        <w:rFonts w:ascii="Cambria Math" w:hAnsi="Cambria Math"/>
                      </w:rPr>
                      <m:t>3</m:t>
                    </m:r>
                    <m:r>
                      <w:rPr>
                        <w:rFonts w:ascii="Cambria Math" w:hAnsi="Cambria Math"/>
                      </w:rPr>
                      <m:t>d</m:t>
                    </m:r>
                    <m:r>
                      <w:rPr>
                        <w:rFonts w:ascii="Cambria Math" w:hAnsi="Cambria Math"/>
                      </w:rPr>
                      <m:t>/2</m:t>
                    </m:r>
                    <m:r>
                      <w:rPr>
                        <w:rFonts w:ascii="Cambria Math" w:hAnsi="Cambria Math"/>
                      </w:rPr>
                      <m:t>d</m:t>
                    </m:r>
                  </m:sub>
                </m:sSub>
              </m:oMath>
            </m:oMathPara>
          </w:p>
        </w:tc>
        <w:tc>
          <w:tcPr>
            <w:tcW w:w="6237" w:type="dxa"/>
          </w:tcPr>
          <w:p w14:paraId="687BF8DE" w14:textId="28BFD7C3" w:rsidR="005914DC" w:rsidRPr="00FC71BE" w:rsidRDefault="005914DC" w:rsidP="005914DC">
            <w:pPr>
              <w:ind w:firstLine="0"/>
            </w:pPr>
            <w:r w:rsidRPr="00FC71BE">
              <w:t>A 3D/2D correction factor for PM eddy current loss calculation</w:t>
            </w:r>
          </w:p>
        </w:tc>
        <w:tc>
          <w:tcPr>
            <w:tcW w:w="1366" w:type="dxa"/>
            <w:vAlign w:val="center"/>
          </w:tcPr>
          <w:p w14:paraId="770744CC" w14:textId="4F5FE8B7" w:rsidR="005914DC" w:rsidRPr="00FC71BE" w:rsidRDefault="005914DC" w:rsidP="005914DC">
            <w:pPr>
              <w:ind w:firstLine="0"/>
              <w:jc w:val="center"/>
            </w:pPr>
          </w:p>
        </w:tc>
      </w:tr>
      <w:tr w:rsidR="00FC71BE" w:rsidRPr="00FC71BE" w14:paraId="4EBD943C" w14:textId="77777777" w:rsidTr="008A14D9">
        <w:tc>
          <w:tcPr>
            <w:tcW w:w="1413" w:type="dxa"/>
            <w:vAlign w:val="center"/>
          </w:tcPr>
          <w:p w14:paraId="317C6249" w14:textId="0F3B6171" w:rsidR="005914DC" w:rsidRPr="00FC71BE" w:rsidRDefault="002143AD" w:rsidP="005914DC">
            <w:pPr>
              <w:ind w:firstLine="0"/>
              <w:jc w:val="center"/>
              <w:rPr>
                <w:rFonts w:eastAsia="等线" w:cs="Times New Roman"/>
              </w:rPr>
            </w:pPr>
            <m:oMathPara>
              <m:oMath>
                <m:sSub>
                  <m:sSubPr>
                    <m:ctrlPr>
                      <w:rPr>
                        <w:rFonts w:ascii="Cambria Math" w:hAnsi="Cambria Math"/>
                        <w:i/>
                      </w:rPr>
                    </m:ctrlPr>
                  </m:sSubPr>
                  <m:e>
                    <m:r>
                      <w:rPr>
                        <w:rFonts w:ascii="Cambria Math" w:hAnsi="Cambria Math"/>
                      </w:rPr>
                      <m:t>F</m:t>
                    </m:r>
                  </m:e>
                  <m:sub>
                    <m:r>
                      <w:rPr>
                        <w:rFonts w:ascii="Cambria Math" w:hAnsi="Cambria Math"/>
                      </w:rPr>
                      <m:t>c</m:t>
                    </m:r>
                  </m:sub>
                </m:sSub>
              </m:oMath>
            </m:oMathPara>
          </w:p>
        </w:tc>
        <w:tc>
          <w:tcPr>
            <w:tcW w:w="6237" w:type="dxa"/>
          </w:tcPr>
          <w:p w14:paraId="0BD364F6" w14:textId="7415DC60" w:rsidR="005914DC" w:rsidRPr="00FC71BE" w:rsidRDefault="005914DC" w:rsidP="005914DC">
            <w:pPr>
              <w:ind w:firstLine="0"/>
            </w:pPr>
            <w:r w:rsidRPr="00FC71BE">
              <w:t>Magnetomotive force generated by armature current</w:t>
            </w:r>
          </w:p>
        </w:tc>
        <w:tc>
          <w:tcPr>
            <w:tcW w:w="1366" w:type="dxa"/>
            <w:vAlign w:val="center"/>
          </w:tcPr>
          <w:p w14:paraId="47D4EE0F" w14:textId="05B45526" w:rsidR="005914DC" w:rsidRPr="00FC71BE" w:rsidRDefault="005914DC" w:rsidP="005914DC">
            <w:pPr>
              <w:ind w:firstLine="0"/>
              <w:jc w:val="center"/>
            </w:pPr>
            <w:r w:rsidRPr="00FC71BE">
              <w:t>A</w:t>
            </w:r>
          </w:p>
        </w:tc>
      </w:tr>
      <w:tr w:rsidR="00FC71BE" w:rsidRPr="00FC71BE" w14:paraId="27BF5967" w14:textId="77777777" w:rsidTr="008A14D9">
        <w:tc>
          <w:tcPr>
            <w:tcW w:w="1413" w:type="dxa"/>
            <w:vAlign w:val="center"/>
          </w:tcPr>
          <w:p w14:paraId="61749677" w14:textId="483FED4E" w:rsidR="005914DC" w:rsidRPr="00FC71BE" w:rsidRDefault="002143AD" w:rsidP="005914DC">
            <w:pPr>
              <w:ind w:firstLine="0"/>
              <w:jc w:val="center"/>
              <w:rPr>
                <w:rFonts w:eastAsia="等线" w:cs="Times New Roman"/>
              </w:rPr>
            </w:pPr>
            <m:oMathPara>
              <m:oMath>
                <m:sSub>
                  <m:sSubPr>
                    <m:ctrlPr>
                      <w:rPr>
                        <w:rFonts w:ascii="Cambria Math" w:hAnsi="Cambria Math"/>
                        <w:i/>
                      </w:rPr>
                    </m:ctrlPr>
                  </m:sSubPr>
                  <m:e>
                    <m:r>
                      <w:rPr>
                        <w:rFonts w:ascii="Cambria Math" w:hAnsi="Cambria Math"/>
                      </w:rPr>
                      <m:t>F</m:t>
                    </m:r>
                  </m:e>
                  <m:sub>
                    <m:r>
                      <w:rPr>
                        <w:rFonts w:ascii="Cambria Math" w:hAnsi="Cambria Math"/>
                      </w:rPr>
                      <m:t>m</m:t>
                    </m:r>
                  </m:sub>
                </m:sSub>
              </m:oMath>
            </m:oMathPara>
          </w:p>
        </w:tc>
        <w:tc>
          <w:tcPr>
            <w:tcW w:w="6237" w:type="dxa"/>
          </w:tcPr>
          <w:p w14:paraId="50BD3456" w14:textId="577FADBD" w:rsidR="005914DC" w:rsidRPr="00FC71BE" w:rsidRDefault="005914DC" w:rsidP="005914DC">
            <w:pPr>
              <w:ind w:firstLine="0"/>
            </w:pPr>
            <w:r w:rsidRPr="00FC71BE">
              <w:t>Magnetomotive force generated by magnet</w:t>
            </w:r>
          </w:p>
        </w:tc>
        <w:tc>
          <w:tcPr>
            <w:tcW w:w="1366" w:type="dxa"/>
            <w:vAlign w:val="center"/>
          </w:tcPr>
          <w:p w14:paraId="058DB0AC" w14:textId="583914C9" w:rsidR="005914DC" w:rsidRPr="00FC71BE" w:rsidRDefault="005914DC" w:rsidP="005914DC">
            <w:pPr>
              <w:ind w:firstLine="0"/>
              <w:jc w:val="center"/>
            </w:pPr>
            <w:r w:rsidRPr="00FC71BE">
              <w:t>A</w:t>
            </w:r>
          </w:p>
        </w:tc>
      </w:tr>
      <w:tr w:rsidR="00FC71BE" w:rsidRPr="00FC71BE" w14:paraId="3B1F5BDD" w14:textId="77777777" w:rsidTr="008A14D9">
        <w:tc>
          <w:tcPr>
            <w:tcW w:w="1413" w:type="dxa"/>
            <w:vAlign w:val="center"/>
          </w:tcPr>
          <w:p w14:paraId="72B652EA" w14:textId="1EBE99E1" w:rsidR="005914DC" w:rsidRPr="00FC71BE" w:rsidRDefault="005914DC" w:rsidP="005914DC">
            <w:pPr>
              <w:ind w:firstLine="0"/>
              <w:jc w:val="center"/>
              <w:rPr>
                <w:rFonts w:eastAsia="等线" w:cs="Times New Roman"/>
              </w:rPr>
            </w:pPr>
            <m:oMath>
              <m:r>
                <w:rPr>
                  <w:rFonts w:ascii="Cambria Math" w:eastAsia="等线" w:hAnsi="Cambria Math" w:cs="Times New Roman"/>
                </w:rPr>
                <m:t>H</m:t>
              </m:r>
            </m:oMath>
            <w:r w:rsidRPr="00FC71BE">
              <w:rPr>
                <w:rFonts w:eastAsia="等线" w:cs="Times New Roman"/>
              </w:rPr>
              <w:t xml:space="preserve">, </w:t>
            </w:r>
            <m:oMath>
              <m:r>
                <m:rPr>
                  <m:sty m:val="bi"/>
                </m:rPr>
                <w:rPr>
                  <w:rFonts w:ascii="Cambria Math" w:eastAsia="等线" w:hAnsi="Cambria Math" w:cs="Times New Roman"/>
                </w:rPr>
                <m:t>H</m:t>
              </m:r>
            </m:oMath>
          </w:p>
        </w:tc>
        <w:tc>
          <w:tcPr>
            <w:tcW w:w="6237" w:type="dxa"/>
          </w:tcPr>
          <w:p w14:paraId="5797C6C1" w14:textId="1122023E" w:rsidR="005914DC" w:rsidRPr="00FC71BE" w:rsidRDefault="005914DC" w:rsidP="005914DC">
            <w:pPr>
              <w:ind w:firstLine="0"/>
            </w:pPr>
            <w:r w:rsidRPr="00FC71BE">
              <w:t>Magnetic field strength and its vector</w:t>
            </w:r>
          </w:p>
        </w:tc>
        <w:tc>
          <w:tcPr>
            <w:tcW w:w="1366" w:type="dxa"/>
            <w:vAlign w:val="center"/>
          </w:tcPr>
          <w:p w14:paraId="74B0BBBE" w14:textId="60BCAC29" w:rsidR="005914DC" w:rsidRPr="00FC71BE" w:rsidRDefault="005914DC" w:rsidP="005914DC">
            <w:pPr>
              <w:ind w:firstLine="0"/>
              <w:jc w:val="center"/>
            </w:pPr>
            <m:oMathPara>
              <m:oMath>
                <m:r>
                  <m:rPr>
                    <m:sty m:val="p"/>
                  </m:rPr>
                  <w:rPr>
                    <w:rFonts w:ascii="Cambria Math" w:hAnsi="Cambria Math"/>
                  </w:rPr>
                  <m:t>A/m</m:t>
                </m:r>
              </m:oMath>
            </m:oMathPara>
          </w:p>
        </w:tc>
      </w:tr>
      <w:tr w:rsidR="00FC71BE" w:rsidRPr="00FC71BE" w14:paraId="38F1A603" w14:textId="77777777" w:rsidTr="008A14D9">
        <w:tc>
          <w:tcPr>
            <w:tcW w:w="1413" w:type="dxa"/>
            <w:vAlign w:val="center"/>
          </w:tcPr>
          <w:p w14:paraId="6E9330BF" w14:textId="2F388488" w:rsidR="005914DC" w:rsidRPr="00FC71BE" w:rsidRDefault="002143AD" w:rsidP="005914DC">
            <w:pPr>
              <w:ind w:firstLine="0"/>
              <w:jc w:val="center"/>
              <w:rPr>
                <w:rFonts w:eastAsia="等线" w:cs="Times New Roman"/>
              </w:rPr>
            </w:pPr>
            <m:oMathPara>
              <m:oMath>
                <m:sSub>
                  <m:sSubPr>
                    <m:ctrlPr>
                      <w:rPr>
                        <w:rFonts w:ascii="Cambria Math" w:hAnsi="Cambria Math"/>
                        <w:i/>
                      </w:rPr>
                    </m:ctrlPr>
                  </m:sSubPr>
                  <m:e>
                    <m:r>
                      <w:rPr>
                        <w:rFonts w:ascii="Cambria Math" w:hAnsi="Cambria Math"/>
                      </w:rPr>
                      <m:t>H</m:t>
                    </m:r>
                  </m:e>
                  <m:sub>
                    <m:r>
                      <w:rPr>
                        <w:rFonts w:ascii="Cambria Math" w:hAnsi="Cambria Math"/>
                      </w:rPr>
                      <m:t>c</m:t>
                    </m:r>
                  </m:sub>
                </m:sSub>
              </m:oMath>
            </m:oMathPara>
          </w:p>
        </w:tc>
        <w:tc>
          <w:tcPr>
            <w:tcW w:w="6237" w:type="dxa"/>
          </w:tcPr>
          <w:p w14:paraId="1FC21091" w14:textId="26412B93" w:rsidR="005914DC" w:rsidRPr="00FC71BE" w:rsidRDefault="005914DC" w:rsidP="005914DC">
            <w:pPr>
              <w:ind w:firstLine="0"/>
            </w:pPr>
            <w:r w:rsidRPr="00FC71BE">
              <w:t>Coercivity of PM</w:t>
            </w:r>
          </w:p>
        </w:tc>
        <w:tc>
          <w:tcPr>
            <w:tcW w:w="1366" w:type="dxa"/>
            <w:vAlign w:val="center"/>
          </w:tcPr>
          <w:p w14:paraId="730243D8" w14:textId="2D317BE6" w:rsidR="005914DC" w:rsidRPr="00FC71BE" w:rsidRDefault="005914DC" w:rsidP="005914DC">
            <w:pPr>
              <w:ind w:firstLine="0"/>
              <w:jc w:val="center"/>
            </w:pPr>
            <w:r w:rsidRPr="00FC71BE">
              <w:t>A/m</w:t>
            </w:r>
          </w:p>
        </w:tc>
      </w:tr>
      <w:tr w:rsidR="00FC71BE" w:rsidRPr="00FC71BE" w14:paraId="6B6DCEDA" w14:textId="77777777" w:rsidTr="008A14D9">
        <w:tc>
          <w:tcPr>
            <w:tcW w:w="1413" w:type="dxa"/>
            <w:vAlign w:val="center"/>
          </w:tcPr>
          <w:p w14:paraId="16E4B7D3" w14:textId="61A174DF" w:rsidR="005914DC" w:rsidRPr="00FC71BE" w:rsidRDefault="005914DC" w:rsidP="005914DC">
            <w:pPr>
              <w:ind w:firstLine="0"/>
              <w:jc w:val="center"/>
              <w:rPr>
                <w:rFonts w:eastAsia="等线" w:cs="Times New Roman"/>
              </w:rPr>
            </w:pPr>
            <m:oMathPara>
              <m:oMath>
                <m:r>
                  <w:rPr>
                    <w:rFonts w:ascii="Cambria Math" w:hAnsi="Cambria Math"/>
                  </w:rPr>
                  <m:t>I</m:t>
                </m:r>
              </m:oMath>
            </m:oMathPara>
          </w:p>
        </w:tc>
        <w:tc>
          <w:tcPr>
            <w:tcW w:w="6237" w:type="dxa"/>
          </w:tcPr>
          <w:p w14:paraId="5F6CD96A" w14:textId="0A0D87BA" w:rsidR="005914DC" w:rsidRPr="00FC71BE" w:rsidRDefault="005914DC" w:rsidP="005914DC">
            <w:pPr>
              <w:ind w:firstLine="0"/>
            </w:pPr>
            <w:r w:rsidRPr="00FC71BE">
              <w:t>Winding carrying current amplitude</w:t>
            </w:r>
          </w:p>
        </w:tc>
        <w:tc>
          <w:tcPr>
            <w:tcW w:w="1366" w:type="dxa"/>
            <w:vAlign w:val="center"/>
          </w:tcPr>
          <w:p w14:paraId="6DDDA773" w14:textId="441C8F96" w:rsidR="005914DC" w:rsidRPr="00FC71BE" w:rsidRDefault="005914DC" w:rsidP="005914DC">
            <w:pPr>
              <w:ind w:firstLine="0"/>
              <w:jc w:val="center"/>
            </w:pPr>
            <w:r w:rsidRPr="00FC71BE">
              <w:t>A</w:t>
            </w:r>
          </w:p>
        </w:tc>
      </w:tr>
      <w:tr w:rsidR="00FC71BE" w:rsidRPr="00FC71BE" w14:paraId="251FEE30" w14:textId="77777777" w:rsidTr="008A14D9">
        <w:tc>
          <w:tcPr>
            <w:tcW w:w="1413" w:type="dxa"/>
            <w:vAlign w:val="center"/>
          </w:tcPr>
          <w:p w14:paraId="0D2393C4" w14:textId="16BD3CFE" w:rsidR="005914DC" w:rsidRPr="00FC71BE" w:rsidRDefault="002143AD" w:rsidP="005914DC">
            <w:pPr>
              <w:ind w:firstLine="0"/>
              <w:jc w:val="center"/>
              <w:rPr>
                <w:rFonts w:eastAsia="等线" w:cs="Times New Roman"/>
              </w:rPr>
            </w:pPr>
            <m:oMathPara>
              <m:oMath>
                <m:sSub>
                  <m:sSubPr>
                    <m:ctrlPr>
                      <w:rPr>
                        <w:rFonts w:ascii="Cambria Math" w:hAnsi="Cambria Math"/>
                        <w:i/>
                      </w:rPr>
                    </m:ctrlPr>
                  </m:sSubPr>
                  <m:e>
                    <m:r>
                      <w:rPr>
                        <w:rFonts w:ascii="Cambria Math" w:hAnsi="Cambria Math"/>
                      </w:rPr>
                      <m:t>I</m:t>
                    </m:r>
                  </m:e>
                  <m:sub>
                    <m:r>
                      <w:rPr>
                        <w:rFonts w:ascii="Cambria Math" w:hAnsi="Cambria Math"/>
                      </w:rPr>
                      <m:t>ac</m:t>
                    </m:r>
                  </m:sub>
                </m:sSub>
              </m:oMath>
            </m:oMathPara>
          </w:p>
        </w:tc>
        <w:tc>
          <w:tcPr>
            <w:tcW w:w="6237" w:type="dxa"/>
          </w:tcPr>
          <w:p w14:paraId="28E888F7" w14:textId="74D9AB65" w:rsidR="005914DC" w:rsidRPr="00FC71BE" w:rsidRDefault="005914DC" w:rsidP="005914DC">
            <w:pPr>
              <w:ind w:firstLine="0"/>
            </w:pPr>
            <w:r w:rsidRPr="00FC71BE">
              <w:t>Current amplitude of alternating current</w:t>
            </w:r>
          </w:p>
        </w:tc>
        <w:tc>
          <w:tcPr>
            <w:tcW w:w="1366" w:type="dxa"/>
            <w:vAlign w:val="center"/>
          </w:tcPr>
          <w:p w14:paraId="7BDB3F7F" w14:textId="5D913AB3" w:rsidR="005914DC" w:rsidRPr="00FC71BE" w:rsidRDefault="005914DC" w:rsidP="005914DC">
            <w:pPr>
              <w:ind w:firstLine="0"/>
              <w:jc w:val="center"/>
            </w:pPr>
            <w:r w:rsidRPr="00FC71BE">
              <w:t>A</w:t>
            </w:r>
          </w:p>
        </w:tc>
      </w:tr>
      <w:tr w:rsidR="00FC71BE" w:rsidRPr="00FC71BE" w14:paraId="55A393B5" w14:textId="77777777" w:rsidTr="008A14D9">
        <w:tc>
          <w:tcPr>
            <w:tcW w:w="1413" w:type="dxa"/>
            <w:vAlign w:val="center"/>
          </w:tcPr>
          <w:p w14:paraId="049FB9F4" w14:textId="2785CC5B" w:rsidR="005914DC" w:rsidRPr="00FC71BE" w:rsidRDefault="002143AD" w:rsidP="005914DC">
            <w:pPr>
              <w:ind w:firstLine="0"/>
              <w:jc w:val="center"/>
              <w:rPr>
                <w:rFonts w:eastAsia="等线" w:cs="Times New Roman"/>
              </w:rPr>
            </w:pPr>
            <m:oMathPara>
              <m:oMath>
                <m:sSub>
                  <m:sSubPr>
                    <m:ctrlPr>
                      <w:rPr>
                        <w:rFonts w:ascii="Cambria Math" w:hAnsi="Cambria Math"/>
                        <w:i/>
                      </w:rPr>
                    </m:ctrlPr>
                  </m:sSubPr>
                  <m:e>
                    <m:r>
                      <w:rPr>
                        <w:rFonts w:ascii="Cambria Math" w:hAnsi="Cambria Math"/>
                      </w:rPr>
                      <m:t>I</m:t>
                    </m:r>
                  </m:e>
                  <m:sub>
                    <m:r>
                      <w:rPr>
                        <w:rFonts w:ascii="Cambria Math" w:hAnsi="Cambria Math"/>
                      </w:rPr>
                      <m:t>dc</m:t>
                    </m:r>
                  </m:sub>
                </m:sSub>
              </m:oMath>
            </m:oMathPara>
          </w:p>
        </w:tc>
        <w:tc>
          <w:tcPr>
            <w:tcW w:w="6237" w:type="dxa"/>
          </w:tcPr>
          <w:p w14:paraId="7EAD7E82" w14:textId="52FD850A" w:rsidR="005914DC" w:rsidRPr="00FC71BE" w:rsidRDefault="005914DC" w:rsidP="005914DC">
            <w:pPr>
              <w:ind w:firstLine="0"/>
            </w:pPr>
            <w:r w:rsidRPr="00FC71BE">
              <w:t>Current amplitude if direct current</w:t>
            </w:r>
          </w:p>
        </w:tc>
        <w:tc>
          <w:tcPr>
            <w:tcW w:w="1366" w:type="dxa"/>
            <w:vAlign w:val="center"/>
          </w:tcPr>
          <w:p w14:paraId="60DB3C42" w14:textId="62E5C37F" w:rsidR="005914DC" w:rsidRPr="00FC71BE" w:rsidRDefault="005914DC" w:rsidP="005914DC">
            <w:pPr>
              <w:ind w:firstLine="0"/>
              <w:jc w:val="center"/>
            </w:pPr>
            <w:r w:rsidRPr="00FC71BE">
              <w:t>A</w:t>
            </w:r>
          </w:p>
        </w:tc>
      </w:tr>
      <w:tr w:rsidR="00FC71BE" w:rsidRPr="00FC71BE" w14:paraId="741ADBA3" w14:textId="77777777" w:rsidTr="008A14D9">
        <w:tc>
          <w:tcPr>
            <w:tcW w:w="1413" w:type="dxa"/>
            <w:vAlign w:val="center"/>
          </w:tcPr>
          <w:p w14:paraId="7CDCD5E7" w14:textId="799F7A17" w:rsidR="005914DC" w:rsidRPr="00FC71BE" w:rsidRDefault="002143AD" w:rsidP="005914DC">
            <w:pPr>
              <w:ind w:firstLine="0"/>
              <w:jc w:val="center"/>
              <w:rPr>
                <w:rFonts w:eastAsia="等线" w:cs="Times New Roman"/>
              </w:rPr>
            </w:pPr>
            <m:oMath>
              <m:sSub>
                <m:sSubPr>
                  <m:ctrlPr>
                    <w:rPr>
                      <w:rFonts w:ascii="Cambria Math" w:hAnsi="Cambria Math"/>
                      <w:i/>
                    </w:rPr>
                  </m:ctrlPr>
                </m:sSubPr>
                <m:e>
                  <m:r>
                    <w:rPr>
                      <w:rFonts w:ascii="Cambria Math" w:hAnsi="Cambria Math"/>
                    </w:rPr>
                    <m:t>i</m:t>
                  </m:r>
                </m:e>
                <m:sub>
                  <m:r>
                    <w:rPr>
                      <w:rFonts w:ascii="Cambria Math" w:hAnsi="Cambria Math"/>
                    </w:rPr>
                    <m:t>d</m:t>
                  </m:r>
                </m:sub>
              </m:sSub>
            </m:oMath>
            <w:r w:rsidR="00700316" w:rsidRPr="00FC71BE">
              <w:t xml:space="preserve">, </w:t>
            </w:r>
            <m:oMath>
              <m:sSub>
                <m:sSubPr>
                  <m:ctrlPr>
                    <w:rPr>
                      <w:rFonts w:ascii="Cambria Math" w:hAnsi="Cambria Math"/>
                      <w:i/>
                    </w:rPr>
                  </m:ctrlPr>
                </m:sSubPr>
                <m:e>
                  <m:r>
                    <w:rPr>
                      <w:rFonts w:ascii="Cambria Math" w:hAnsi="Cambria Math"/>
                    </w:rPr>
                    <m:t>i</m:t>
                  </m:r>
                </m:e>
                <m:sub>
                  <m:r>
                    <w:rPr>
                      <w:rFonts w:ascii="Cambria Math" w:hAnsi="Cambria Math"/>
                    </w:rPr>
                    <m:t>q</m:t>
                  </m:r>
                </m:sub>
              </m:sSub>
            </m:oMath>
          </w:p>
        </w:tc>
        <w:tc>
          <w:tcPr>
            <w:tcW w:w="6237" w:type="dxa"/>
          </w:tcPr>
          <w:p w14:paraId="3F06F109" w14:textId="55F84A10" w:rsidR="005914DC" w:rsidRPr="00FC71BE" w:rsidRDefault="005914DC" w:rsidP="005914DC">
            <w:pPr>
              <w:ind w:firstLine="0"/>
            </w:pPr>
            <w:r w:rsidRPr="00FC71BE">
              <w:rPr>
                <w:i/>
                <w:iCs/>
              </w:rPr>
              <w:t>d</w:t>
            </w:r>
            <w:r w:rsidRPr="00FC71BE">
              <w:t>-axis</w:t>
            </w:r>
            <w:r w:rsidR="00700316" w:rsidRPr="00FC71BE">
              <w:t xml:space="preserve"> and</w:t>
            </w:r>
            <w:r w:rsidRPr="00FC71BE">
              <w:rPr>
                <w:i/>
                <w:iCs/>
              </w:rPr>
              <w:t xml:space="preserve"> q</w:t>
            </w:r>
            <w:r w:rsidRPr="00FC71BE">
              <w:t>-axis current</w:t>
            </w:r>
            <w:r w:rsidR="00700316" w:rsidRPr="00FC71BE">
              <w:t>s</w:t>
            </w:r>
          </w:p>
        </w:tc>
        <w:tc>
          <w:tcPr>
            <w:tcW w:w="1366" w:type="dxa"/>
            <w:vAlign w:val="center"/>
          </w:tcPr>
          <w:p w14:paraId="0859B253" w14:textId="2D23BBB0" w:rsidR="005914DC" w:rsidRPr="00FC71BE" w:rsidRDefault="005914DC" w:rsidP="005914DC">
            <w:pPr>
              <w:ind w:firstLine="0"/>
              <w:jc w:val="center"/>
            </w:pPr>
            <w:r w:rsidRPr="00FC71BE">
              <w:t>A</w:t>
            </w:r>
          </w:p>
        </w:tc>
      </w:tr>
      <w:tr w:rsidR="00FC71BE" w:rsidRPr="00FC71BE" w14:paraId="4A37B808" w14:textId="77777777" w:rsidTr="008A14D9">
        <w:tc>
          <w:tcPr>
            <w:tcW w:w="1413" w:type="dxa"/>
            <w:vAlign w:val="center"/>
          </w:tcPr>
          <w:p w14:paraId="1555B209" w14:textId="4EE427E0" w:rsidR="005914DC" w:rsidRPr="00FC71BE" w:rsidRDefault="002143AD" w:rsidP="005914DC">
            <w:pPr>
              <w:ind w:firstLine="0"/>
              <w:jc w:val="center"/>
              <w:rPr>
                <w:rFonts w:eastAsia="等线" w:cs="Times New Roman"/>
              </w:rPr>
            </w:pPr>
            <m:oMathPara>
              <m:oMath>
                <m:sSub>
                  <m:sSubPr>
                    <m:ctrlPr>
                      <w:rPr>
                        <w:rFonts w:ascii="Cambria Math" w:hAnsi="Cambria Math"/>
                        <w:i/>
                      </w:rPr>
                    </m:ctrlPr>
                  </m:sSubPr>
                  <m:e>
                    <m:r>
                      <w:rPr>
                        <w:rFonts w:ascii="Cambria Math" w:hAnsi="Cambria Math"/>
                      </w:rPr>
                      <m:t>i</m:t>
                    </m:r>
                  </m:e>
                  <m:sub>
                    <m:r>
                      <w:rPr>
                        <w:rFonts w:ascii="Cambria Math" w:hAnsi="Cambria Math"/>
                      </w:rPr>
                      <m:t>s</m:t>
                    </m:r>
                  </m:sub>
                </m:sSub>
              </m:oMath>
            </m:oMathPara>
          </w:p>
        </w:tc>
        <w:tc>
          <w:tcPr>
            <w:tcW w:w="6237" w:type="dxa"/>
          </w:tcPr>
          <w:p w14:paraId="139BBED7" w14:textId="21DAAD85" w:rsidR="005914DC" w:rsidRPr="00FC71BE" w:rsidRDefault="005914DC" w:rsidP="005914DC">
            <w:pPr>
              <w:ind w:firstLine="0"/>
            </w:pPr>
            <w:r w:rsidRPr="00FC71BE">
              <w:t>Rated phase current</w:t>
            </w:r>
          </w:p>
        </w:tc>
        <w:tc>
          <w:tcPr>
            <w:tcW w:w="1366" w:type="dxa"/>
            <w:vAlign w:val="center"/>
          </w:tcPr>
          <w:p w14:paraId="58F50117" w14:textId="5D3F856E" w:rsidR="005914DC" w:rsidRPr="00FC71BE" w:rsidRDefault="005914DC" w:rsidP="005914DC">
            <w:pPr>
              <w:ind w:firstLine="0"/>
              <w:jc w:val="center"/>
            </w:pPr>
            <w:r w:rsidRPr="00FC71BE">
              <w:t>A</w:t>
            </w:r>
          </w:p>
        </w:tc>
      </w:tr>
      <w:tr w:rsidR="00FC71BE" w:rsidRPr="00FC71BE" w14:paraId="0856C697" w14:textId="77777777" w:rsidTr="008A14D9">
        <w:tc>
          <w:tcPr>
            <w:tcW w:w="1413" w:type="dxa"/>
            <w:vAlign w:val="center"/>
          </w:tcPr>
          <w:p w14:paraId="2B0587ED" w14:textId="3D9A1F52" w:rsidR="008A14D9" w:rsidRPr="00FC71BE" w:rsidRDefault="002143AD" w:rsidP="008A14D9">
            <w:pPr>
              <w:ind w:firstLine="0"/>
              <w:jc w:val="center"/>
              <w:rPr>
                <w:rFonts w:eastAsia="等线" w:cs="Times New Roman"/>
              </w:rPr>
            </w:pPr>
            <m:oMathPara>
              <m:oMath>
                <m:sSub>
                  <m:sSubPr>
                    <m:ctrlPr>
                      <w:rPr>
                        <w:rFonts w:ascii="Cambria Math" w:eastAsia="等线" w:hAnsi="Cambria Math" w:cs="Times New Roman"/>
                        <w:b/>
                        <w:bCs/>
                        <w:i/>
                      </w:rPr>
                    </m:ctrlPr>
                  </m:sSubPr>
                  <m:e>
                    <m:r>
                      <m:rPr>
                        <m:sty m:val="bi"/>
                      </m:rPr>
                      <w:rPr>
                        <w:rFonts w:ascii="Cambria Math" w:eastAsia="等线" w:hAnsi="Cambria Math" w:cs="Times New Roman"/>
                      </w:rPr>
                      <m:t>K</m:t>
                    </m:r>
                  </m:e>
                  <m:sub>
                    <m:r>
                      <m:rPr>
                        <m:sty m:val="bi"/>
                      </m:rPr>
                      <w:rPr>
                        <w:rFonts w:ascii="Cambria Math" w:eastAsia="等线" w:hAnsi="Cambria Math" w:cs="Times New Roman"/>
                      </w:rPr>
                      <m:t>(</m:t>
                    </m:r>
                    <m:r>
                      <m:rPr>
                        <m:sty m:val="bi"/>
                      </m:rPr>
                      <w:rPr>
                        <w:rFonts w:ascii="Cambria Math" w:eastAsia="等线" w:hAnsi="Cambria Math" w:cs="Times New Roman"/>
                      </w:rPr>
                      <m:t>R</m:t>
                    </m:r>
                    <m:r>
                      <m:rPr>
                        <m:sty m:val="bi"/>
                      </m:rPr>
                      <w:rPr>
                        <w:rFonts w:ascii="Cambria Math" w:eastAsia="等线" w:hAnsi="Cambria Math" w:cs="Times New Roman"/>
                      </w:rPr>
                      <m:t>)</m:t>
                    </m:r>
                  </m:sub>
                </m:sSub>
              </m:oMath>
            </m:oMathPara>
          </w:p>
        </w:tc>
        <w:tc>
          <w:tcPr>
            <w:tcW w:w="6237" w:type="dxa"/>
          </w:tcPr>
          <w:p w14:paraId="0E3C5D1A" w14:textId="509C830F" w:rsidR="008A14D9" w:rsidRPr="00FC71BE" w:rsidRDefault="008A14D9" w:rsidP="008A14D9">
            <w:pPr>
              <w:ind w:firstLine="0"/>
            </w:pPr>
            <w:r w:rsidRPr="00FC71BE">
              <w:t>Position dependent coefficient</w:t>
            </w:r>
          </w:p>
        </w:tc>
        <w:tc>
          <w:tcPr>
            <w:tcW w:w="1366" w:type="dxa"/>
            <w:vAlign w:val="center"/>
          </w:tcPr>
          <w:p w14:paraId="3CCC654B" w14:textId="77777777" w:rsidR="008A14D9" w:rsidRPr="00FC71BE" w:rsidRDefault="008A14D9" w:rsidP="008A14D9">
            <w:pPr>
              <w:ind w:firstLine="0"/>
              <w:jc w:val="center"/>
            </w:pPr>
          </w:p>
        </w:tc>
      </w:tr>
      <w:tr w:rsidR="00FC71BE" w:rsidRPr="00FC71BE" w14:paraId="46D73B48" w14:textId="77777777" w:rsidTr="008A14D9">
        <w:tc>
          <w:tcPr>
            <w:tcW w:w="1413" w:type="dxa"/>
            <w:vAlign w:val="center"/>
          </w:tcPr>
          <w:p w14:paraId="2C7F2195" w14:textId="4D8856B0" w:rsidR="008A14D9" w:rsidRPr="00FC71BE" w:rsidRDefault="002143AD" w:rsidP="008A14D9">
            <w:pPr>
              <w:ind w:firstLine="0"/>
              <w:jc w:val="center"/>
              <w:rPr>
                <w:rFonts w:eastAsia="等线" w:cs="Times New Roman"/>
              </w:rPr>
            </w:pPr>
            <m:oMath>
              <m:sSub>
                <m:sSubPr>
                  <m:ctrlPr>
                    <w:rPr>
                      <w:rFonts w:ascii="Cambria Math" w:hAnsi="Cambria Math"/>
                      <w:i/>
                    </w:rPr>
                  </m:ctrlPr>
                </m:sSubPr>
                <m:e>
                  <m:r>
                    <w:rPr>
                      <w:rFonts w:ascii="Cambria Math" w:hAnsi="Cambria Math"/>
                    </w:rPr>
                    <m:t>L</m:t>
                  </m:r>
                </m:e>
                <m:sub>
                  <m:r>
                    <w:rPr>
                      <w:rFonts w:ascii="Cambria Math" w:hAnsi="Cambria Math"/>
                    </w:rPr>
                    <m:t>d</m:t>
                  </m:r>
                </m:sub>
              </m:sSub>
            </m:oMath>
            <w:r w:rsidR="008A14D9" w:rsidRPr="00FC71BE">
              <w:t xml:space="preserve">, </w:t>
            </w:r>
            <m:oMath>
              <m:sSub>
                <m:sSubPr>
                  <m:ctrlPr>
                    <w:rPr>
                      <w:rFonts w:ascii="Cambria Math" w:hAnsi="Cambria Math"/>
                      <w:i/>
                    </w:rPr>
                  </m:ctrlPr>
                </m:sSubPr>
                <m:e>
                  <m:r>
                    <w:rPr>
                      <w:rFonts w:ascii="Cambria Math" w:hAnsi="Cambria Math"/>
                    </w:rPr>
                    <m:t>L</m:t>
                  </m:r>
                </m:e>
                <m:sub>
                  <m:r>
                    <w:rPr>
                      <w:rFonts w:ascii="Cambria Math" w:hAnsi="Cambria Math"/>
                    </w:rPr>
                    <m:t>q</m:t>
                  </m:r>
                </m:sub>
              </m:sSub>
            </m:oMath>
          </w:p>
        </w:tc>
        <w:tc>
          <w:tcPr>
            <w:tcW w:w="6237" w:type="dxa"/>
          </w:tcPr>
          <w:p w14:paraId="24380FC5" w14:textId="51263A77" w:rsidR="008A14D9" w:rsidRPr="00FC71BE" w:rsidRDefault="008A14D9" w:rsidP="008A14D9">
            <w:pPr>
              <w:ind w:firstLine="0"/>
            </w:pPr>
            <w:r w:rsidRPr="00FC71BE">
              <w:rPr>
                <w:i/>
                <w:iCs/>
              </w:rPr>
              <w:t>d</w:t>
            </w:r>
            <w:r w:rsidRPr="00FC71BE">
              <w:t>-axis and</w:t>
            </w:r>
            <w:r w:rsidRPr="00FC71BE">
              <w:rPr>
                <w:i/>
                <w:iCs/>
              </w:rPr>
              <w:t xml:space="preserve"> q</w:t>
            </w:r>
            <w:r w:rsidRPr="00FC71BE">
              <w:t>-axis inductance</w:t>
            </w:r>
            <w:r w:rsidR="00775828" w:rsidRPr="00FC71BE">
              <w:t>s</w:t>
            </w:r>
          </w:p>
        </w:tc>
        <w:tc>
          <w:tcPr>
            <w:tcW w:w="1366" w:type="dxa"/>
            <w:vAlign w:val="center"/>
          </w:tcPr>
          <w:p w14:paraId="15C1CCB7" w14:textId="7D735C3D" w:rsidR="008A14D9" w:rsidRPr="00FC71BE" w:rsidRDefault="008A14D9" w:rsidP="008A14D9">
            <w:pPr>
              <w:ind w:firstLine="0"/>
              <w:jc w:val="center"/>
            </w:pPr>
            <w:r w:rsidRPr="00FC71BE">
              <w:t>H</w:t>
            </w:r>
          </w:p>
        </w:tc>
      </w:tr>
      <w:tr w:rsidR="00FC71BE" w:rsidRPr="00FC71BE" w14:paraId="6D86CBE8" w14:textId="77777777" w:rsidTr="008A14D9">
        <w:tc>
          <w:tcPr>
            <w:tcW w:w="1413" w:type="dxa"/>
            <w:vAlign w:val="center"/>
          </w:tcPr>
          <w:p w14:paraId="48CC43DC" w14:textId="4DA69322"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L</m:t>
                    </m:r>
                  </m:e>
                  <m:sub>
                    <m:r>
                      <w:rPr>
                        <w:rFonts w:ascii="Cambria Math" w:hAnsi="Cambria Math"/>
                      </w:rPr>
                      <m:t>s</m:t>
                    </m:r>
                  </m:sub>
                </m:sSub>
              </m:oMath>
            </m:oMathPara>
          </w:p>
        </w:tc>
        <w:tc>
          <w:tcPr>
            <w:tcW w:w="6237" w:type="dxa"/>
          </w:tcPr>
          <w:p w14:paraId="5F543892" w14:textId="0A676CAD" w:rsidR="008A14D9" w:rsidRPr="00FC71BE" w:rsidRDefault="008A14D9" w:rsidP="008A14D9">
            <w:pPr>
              <w:ind w:firstLine="0"/>
            </w:pPr>
            <w:r w:rsidRPr="00FC71BE">
              <w:t>Synchronous inductance</w:t>
            </w:r>
          </w:p>
        </w:tc>
        <w:tc>
          <w:tcPr>
            <w:tcW w:w="1366" w:type="dxa"/>
            <w:vAlign w:val="center"/>
          </w:tcPr>
          <w:p w14:paraId="3D0B1739" w14:textId="3CC0DCD9" w:rsidR="008A14D9" w:rsidRPr="00FC71BE" w:rsidRDefault="008A14D9" w:rsidP="008A14D9">
            <w:pPr>
              <w:ind w:firstLine="0"/>
              <w:jc w:val="center"/>
            </w:pPr>
            <w:r w:rsidRPr="00FC71BE">
              <w:t>H</w:t>
            </w:r>
          </w:p>
        </w:tc>
      </w:tr>
      <w:tr w:rsidR="00FC71BE" w:rsidRPr="00FC71BE" w14:paraId="477E0DF3" w14:textId="77777777" w:rsidTr="008A14D9">
        <w:tc>
          <w:tcPr>
            <w:tcW w:w="1413" w:type="dxa"/>
            <w:vAlign w:val="center"/>
          </w:tcPr>
          <w:p w14:paraId="6E278A90" w14:textId="331A0619" w:rsidR="008A14D9" w:rsidRPr="00FC71BE" w:rsidRDefault="008A14D9" w:rsidP="008A14D9">
            <w:pPr>
              <w:ind w:firstLine="0"/>
              <w:jc w:val="center"/>
              <w:rPr>
                <w:rFonts w:eastAsia="等线" w:cs="Times New Roman"/>
              </w:rPr>
            </w:pPr>
            <m:oMathPara>
              <m:oMath>
                <m:r>
                  <w:rPr>
                    <w:rFonts w:ascii="Cambria Math" w:eastAsia="等线" w:hAnsi="Cambria Math" w:cs="Times New Roman"/>
                  </w:rPr>
                  <m:t>m</m:t>
                </m:r>
              </m:oMath>
            </m:oMathPara>
          </w:p>
        </w:tc>
        <w:tc>
          <w:tcPr>
            <w:tcW w:w="6237" w:type="dxa"/>
          </w:tcPr>
          <w:p w14:paraId="7DFBA0EF" w14:textId="0868CECB" w:rsidR="008A14D9" w:rsidRPr="00FC71BE" w:rsidRDefault="008A14D9" w:rsidP="008A14D9">
            <w:pPr>
              <w:ind w:firstLine="0"/>
            </w:pPr>
            <w:r w:rsidRPr="00FC71BE">
              <w:t>Magnetic moment of solute</w:t>
            </w:r>
          </w:p>
        </w:tc>
        <w:tc>
          <w:tcPr>
            <w:tcW w:w="1366" w:type="dxa"/>
            <w:vAlign w:val="center"/>
          </w:tcPr>
          <w:p w14:paraId="3959DCF2" w14:textId="37D1EFD4" w:rsidR="008A14D9" w:rsidRPr="00FC71BE" w:rsidRDefault="008A14D9" w:rsidP="008A14D9">
            <w:pPr>
              <w:ind w:firstLine="0"/>
              <w:jc w:val="center"/>
            </w:pPr>
            <m:oMathPara>
              <m:oMath>
                <m:r>
                  <m:rPr>
                    <m:sty m:val="p"/>
                  </m:rPr>
                  <w:rPr>
                    <w:rFonts w:ascii="Cambria Math" w:hAnsi="Cambria Math"/>
                  </w:rPr>
                  <m:t>A∙</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m:oMathPara>
          </w:p>
        </w:tc>
      </w:tr>
      <w:tr w:rsidR="00FC71BE" w:rsidRPr="00FC71BE" w14:paraId="0443A45D" w14:textId="77777777" w:rsidTr="008A14D9">
        <w:tc>
          <w:tcPr>
            <w:tcW w:w="1413" w:type="dxa"/>
            <w:vAlign w:val="center"/>
          </w:tcPr>
          <w:p w14:paraId="576318F1" w14:textId="7D9CCE8B" w:rsidR="008A14D9" w:rsidRPr="00FC71BE" w:rsidRDefault="008A14D9" w:rsidP="008A14D9">
            <w:pPr>
              <w:ind w:firstLine="0"/>
              <w:jc w:val="center"/>
              <w:rPr>
                <w:rFonts w:eastAsia="等线" w:cs="Times New Roman"/>
              </w:rPr>
            </w:pPr>
            <m:oMath>
              <m:r>
                <w:rPr>
                  <w:rFonts w:ascii="Cambria Math" w:eastAsia="等线" w:hAnsi="Cambria Math" w:cs="Times New Roman"/>
                </w:rPr>
                <m:t>M</m:t>
              </m:r>
            </m:oMath>
            <w:r w:rsidRPr="00FC71BE">
              <w:t xml:space="preserve">, </w:t>
            </w:r>
            <m:oMath>
              <m:r>
                <m:rPr>
                  <m:sty m:val="bi"/>
                </m:rPr>
                <w:rPr>
                  <w:rFonts w:ascii="Cambria Math" w:eastAsia="等线" w:hAnsi="Cambria Math" w:cs="Times New Roman"/>
                </w:rPr>
                <m:t>M</m:t>
              </m:r>
            </m:oMath>
          </w:p>
        </w:tc>
        <w:tc>
          <w:tcPr>
            <w:tcW w:w="6237" w:type="dxa"/>
          </w:tcPr>
          <w:p w14:paraId="0FC0AE0B" w14:textId="26C9678C" w:rsidR="008A14D9" w:rsidRPr="00FC71BE" w:rsidRDefault="008A14D9" w:rsidP="008A14D9">
            <w:pPr>
              <w:ind w:firstLine="0"/>
            </w:pPr>
            <w:r w:rsidRPr="00FC71BE">
              <w:t>Magnetization and its vector</w:t>
            </w:r>
          </w:p>
        </w:tc>
        <w:tc>
          <w:tcPr>
            <w:tcW w:w="1366" w:type="dxa"/>
            <w:vAlign w:val="center"/>
          </w:tcPr>
          <w:p w14:paraId="6DE1A353" w14:textId="3FFB2D5E" w:rsidR="008A14D9" w:rsidRPr="00FC71BE" w:rsidRDefault="008A14D9" w:rsidP="008A14D9">
            <w:pPr>
              <w:ind w:firstLine="0"/>
              <w:jc w:val="center"/>
            </w:pPr>
            <w:r w:rsidRPr="00FC71BE">
              <w:t>A/m</w:t>
            </w:r>
          </w:p>
        </w:tc>
      </w:tr>
      <w:tr w:rsidR="00FC71BE" w:rsidRPr="00FC71BE" w14:paraId="6587A716" w14:textId="77777777" w:rsidTr="008A14D9">
        <w:tc>
          <w:tcPr>
            <w:tcW w:w="1413" w:type="dxa"/>
            <w:vAlign w:val="center"/>
          </w:tcPr>
          <w:p w14:paraId="2F62B0B8" w14:textId="6342AFC2" w:rsidR="008A14D9" w:rsidRPr="00FC71BE" w:rsidRDefault="002143AD" w:rsidP="008A14D9">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M</m:t>
                    </m:r>
                  </m:e>
                  <m:sub>
                    <m:r>
                      <w:rPr>
                        <w:rFonts w:ascii="Cambria Math" w:eastAsia="等线" w:hAnsi="Cambria Math" w:cs="Times New Roman"/>
                      </w:rPr>
                      <m:t>0</m:t>
                    </m:r>
                  </m:sub>
                </m:sSub>
              </m:oMath>
            </m:oMathPara>
          </w:p>
        </w:tc>
        <w:tc>
          <w:tcPr>
            <w:tcW w:w="6237" w:type="dxa"/>
          </w:tcPr>
          <w:p w14:paraId="78225F9A" w14:textId="105DA0E3" w:rsidR="008A14D9" w:rsidRPr="00FC71BE" w:rsidRDefault="008A14D9" w:rsidP="008A14D9">
            <w:pPr>
              <w:ind w:firstLine="0"/>
            </w:pPr>
            <w:r w:rsidRPr="00FC71BE">
              <w:t>Saturation magnetization at reference temperature</w:t>
            </w:r>
          </w:p>
        </w:tc>
        <w:tc>
          <w:tcPr>
            <w:tcW w:w="1366" w:type="dxa"/>
            <w:vAlign w:val="center"/>
          </w:tcPr>
          <w:p w14:paraId="59BA9233" w14:textId="50055F62" w:rsidR="008A14D9" w:rsidRPr="00FC71BE" w:rsidRDefault="008A14D9" w:rsidP="008A14D9">
            <w:pPr>
              <w:ind w:firstLine="0"/>
              <w:jc w:val="center"/>
            </w:pPr>
            <w:r w:rsidRPr="00FC71BE">
              <w:t>A/m</w:t>
            </w:r>
          </w:p>
        </w:tc>
      </w:tr>
      <w:tr w:rsidR="00FC71BE" w:rsidRPr="00FC71BE" w14:paraId="4365576B" w14:textId="77777777" w:rsidTr="008A14D9">
        <w:tc>
          <w:tcPr>
            <w:tcW w:w="1413" w:type="dxa"/>
            <w:vAlign w:val="center"/>
          </w:tcPr>
          <w:p w14:paraId="38693C37" w14:textId="4E6A8B02" w:rsidR="008A14D9" w:rsidRPr="00FC71BE" w:rsidRDefault="002143AD" w:rsidP="008A14D9">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M</m:t>
                    </m:r>
                  </m:e>
                  <m:sub>
                    <m:r>
                      <w:rPr>
                        <w:rFonts w:ascii="Cambria Math" w:eastAsia="等线" w:hAnsi="Cambria Math" w:cs="Times New Roman"/>
                      </w:rPr>
                      <m:t>s</m:t>
                    </m:r>
                  </m:sub>
                </m:sSub>
              </m:oMath>
            </m:oMathPara>
          </w:p>
        </w:tc>
        <w:tc>
          <w:tcPr>
            <w:tcW w:w="6237" w:type="dxa"/>
          </w:tcPr>
          <w:p w14:paraId="3837CC11" w14:textId="6863AD95" w:rsidR="008A14D9" w:rsidRPr="00FC71BE" w:rsidRDefault="008A14D9" w:rsidP="008A14D9">
            <w:pPr>
              <w:ind w:firstLine="0"/>
            </w:pPr>
            <w:r w:rsidRPr="00FC71BE">
              <w:t>Saturation magnetization</w:t>
            </w:r>
          </w:p>
        </w:tc>
        <w:tc>
          <w:tcPr>
            <w:tcW w:w="1366" w:type="dxa"/>
            <w:vAlign w:val="center"/>
          </w:tcPr>
          <w:p w14:paraId="4F9C89F5" w14:textId="2DEE17AC" w:rsidR="008A14D9" w:rsidRPr="00FC71BE" w:rsidRDefault="008A14D9" w:rsidP="008A14D9">
            <w:pPr>
              <w:ind w:firstLine="0"/>
              <w:jc w:val="center"/>
            </w:pPr>
            <w:r w:rsidRPr="00FC71BE">
              <w:t>A/m</w:t>
            </w:r>
          </w:p>
        </w:tc>
      </w:tr>
      <w:tr w:rsidR="00FC71BE" w:rsidRPr="00FC71BE" w14:paraId="5DDB0A34" w14:textId="77777777" w:rsidTr="008A14D9">
        <w:tc>
          <w:tcPr>
            <w:tcW w:w="1413" w:type="dxa"/>
            <w:vAlign w:val="center"/>
          </w:tcPr>
          <w:p w14:paraId="44A44266" w14:textId="41CA7B83"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P</m:t>
                    </m:r>
                  </m:e>
                  <m:sub>
                    <m:r>
                      <w:rPr>
                        <w:rFonts w:ascii="Cambria Math" w:hAnsi="Cambria Math"/>
                      </w:rPr>
                      <m:t>out</m:t>
                    </m:r>
                  </m:sub>
                </m:sSub>
              </m:oMath>
            </m:oMathPara>
          </w:p>
        </w:tc>
        <w:tc>
          <w:tcPr>
            <w:tcW w:w="6237" w:type="dxa"/>
          </w:tcPr>
          <w:p w14:paraId="6C94170C" w14:textId="0FF11F0B" w:rsidR="008A14D9" w:rsidRPr="00FC71BE" w:rsidRDefault="008A14D9" w:rsidP="008A14D9">
            <w:pPr>
              <w:ind w:firstLine="0"/>
            </w:pPr>
            <w:r w:rsidRPr="00FC71BE">
              <w:t>Output power</w:t>
            </w:r>
          </w:p>
        </w:tc>
        <w:tc>
          <w:tcPr>
            <w:tcW w:w="1366" w:type="dxa"/>
            <w:vAlign w:val="center"/>
          </w:tcPr>
          <w:p w14:paraId="084518F4" w14:textId="3040A34B" w:rsidR="008A14D9" w:rsidRPr="00FC71BE" w:rsidRDefault="008A14D9" w:rsidP="008A14D9">
            <w:pPr>
              <w:ind w:firstLine="0"/>
              <w:jc w:val="center"/>
            </w:pPr>
            <w:r w:rsidRPr="00FC71BE">
              <w:t>W</w:t>
            </w:r>
          </w:p>
        </w:tc>
      </w:tr>
      <w:tr w:rsidR="00FC71BE" w:rsidRPr="00FC71BE" w14:paraId="1D371B6A" w14:textId="77777777" w:rsidTr="008A14D9">
        <w:tc>
          <w:tcPr>
            <w:tcW w:w="1413" w:type="dxa"/>
            <w:vAlign w:val="center"/>
          </w:tcPr>
          <w:p w14:paraId="1C6A5E90" w14:textId="3AC533DC"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P</m:t>
                    </m:r>
                  </m:e>
                  <m:sub>
                    <m:r>
                      <w:rPr>
                        <w:rFonts w:ascii="Cambria Math" w:hAnsi="Cambria Math"/>
                      </w:rPr>
                      <m:t>i</m:t>
                    </m:r>
                  </m:sub>
                </m:sSub>
              </m:oMath>
            </m:oMathPara>
          </w:p>
        </w:tc>
        <w:tc>
          <w:tcPr>
            <w:tcW w:w="6237" w:type="dxa"/>
          </w:tcPr>
          <w:p w14:paraId="37BA8731" w14:textId="3A6360EE" w:rsidR="008A14D9" w:rsidRPr="00FC71BE" w:rsidRDefault="008A14D9" w:rsidP="008A14D9">
            <w:pPr>
              <w:ind w:firstLine="0"/>
            </w:pPr>
            <w:r w:rsidRPr="00FC71BE">
              <w:t>Iron losses</w:t>
            </w:r>
          </w:p>
        </w:tc>
        <w:tc>
          <w:tcPr>
            <w:tcW w:w="1366" w:type="dxa"/>
            <w:vAlign w:val="center"/>
          </w:tcPr>
          <w:p w14:paraId="09E12438" w14:textId="118A546B" w:rsidR="008A14D9" w:rsidRPr="00FC71BE" w:rsidRDefault="008A14D9" w:rsidP="008A14D9">
            <w:pPr>
              <w:ind w:firstLine="0"/>
              <w:jc w:val="center"/>
            </w:pPr>
            <w:r w:rsidRPr="00FC71BE">
              <w:t>W</w:t>
            </w:r>
          </w:p>
        </w:tc>
      </w:tr>
      <w:tr w:rsidR="00FC71BE" w:rsidRPr="00FC71BE" w14:paraId="1DDFF5AE" w14:textId="77777777" w:rsidTr="008A14D9">
        <w:tc>
          <w:tcPr>
            <w:tcW w:w="1413" w:type="dxa"/>
            <w:vAlign w:val="center"/>
          </w:tcPr>
          <w:p w14:paraId="14A85569" w14:textId="02D54B11"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P</m:t>
                    </m:r>
                  </m:e>
                  <m:sub>
                    <m:r>
                      <w:rPr>
                        <w:rFonts w:ascii="Cambria Math" w:hAnsi="Cambria Math"/>
                      </w:rPr>
                      <m:t>m</m:t>
                    </m:r>
                  </m:sub>
                </m:sSub>
              </m:oMath>
            </m:oMathPara>
          </w:p>
        </w:tc>
        <w:tc>
          <w:tcPr>
            <w:tcW w:w="6237" w:type="dxa"/>
          </w:tcPr>
          <w:p w14:paraId="18E161C8" w14:textId="4BAD7583" w:rsidR="008A14D9" w:rsidRPr="00FC71BE" w:rsidRDefault="008A14D9" w:rsidP="008A14D9">
            <w:pPr>
              <w:ind w:firstLine="0"/>
            </w:pPr>
            <w:r w:rsidRPr="00FC71BE">
              <w:t>PM eddy current loss</w:t>
            </w:r>
          </w:p>
        </w:tc>
        <w:tc>
          <w:tcPr>
            <w:tcW w:w="1366" w:type="dxa"/>
            <w:vAlign w:val="center"/>
          </w:tcPr>
          <w:p w14:paraId="1970F7D2" w14:textId="5881EE1E" w:rsidR="008A14D9" w:rsidRPr="00FC71BE" w:rsidRDefault="008A14D9" w:rsidP="008A14D9">
            <w:pPr>
              <w:ind w:firstLine="0"/>
              <w:jc w:val="center"/>
            </w:pPr>
            <w:r w:rsidRPr="00FC71BE">
              <w:t>W</w:t>
            </w:r>
          </w:p>
        </w:tc>
      </w:tr>
      <w:tr w:rsidR="00FC71BE" w:rsidRPr="00FC71BE" w14:paraId="04B4032F" w14:textId="77777777" w:rsidTr="008A14D9">
        <w:tc>
          <w:tcPr>
            <w:tcW w:w="1413" w:type="dxa"/>
            <w:vAlign w:val="center"/>
          </w:tcPr>
          <w:p w14:paraId="5B7FFB24" w14:textId="0B98E957"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P</m:t>
                    </m:r>
                  </m:e>
                  <m:sub>
                    <m:r>
                      <w:rPr>
                        <w:rFonts w:ascii="Cambria Math" w:hAnsi="Cambria Math"/>
                      </w:rPr>
                      <m:t>c</m:t>
                    </m:r>
                  </m:sub>
                </m:sSub>
              </m:oMath>
            </m:oMathPara>
          </w:p>
        </w:tc>
        <w:tc>
          <w:tcPr>
            <w:tcW w:w="6237" w:type="dxa"/>
          </w:tcPr>
          <w:p w14:paraId="57D28AD7" w14:textId="6DCE61FE" w:rsidR="008A14D9" w:rsidRPr="00FC71BE" w:rsidRDefault="008A14D9" w:rsidP="008A14D9">
            <w:pPr>
              <w:ind w:firstLine="0"/>
            </w:pPr>
            <w:r w:rsidRPr="00FC71BE">
              <w:t xml:space="preserve">Copper </w:t>
            </w:r>
            <w:r w:rsidR="00775828" w:rsidRPr="00FC71BE">
              <w:t>loss</w:t>
            </w:r>
          </w:p>
        </w:tc>
        <w:tc>
          <w:tcPr>
            <w:tcW w:w="1366" w:type="dxa"/>
            <w:vAlign w:val="center"/>
          </w:tcPr>
          <w:p w14:paraId="43253020" w14:textId="1D183F75" w:rsidR="008A14D9" w:rsidRPr="00FC71BE" w:rsidRDefault="008A14D9" w:rsidP="008A14D9">
            <w:pPr>
              <w:ind w:firstLine="0"/>
              <w:jc w:val="center"/>
            </w:pPr>
            <w:r w:rsidRPr="00FC71BE">
              <w:t>W</w:t>
            </w:r>
          </w:p>
        </w:tc>
      </w:tr>
      <w:tr w:rsidR="00FC71BE" w:rsidRPr="00FC71BE" w14:paraId="0EE4D7EF" w14:textId="77777777" w:rsidTr="008A14D9">
        <w:tc>
          <w:tcPr>
            <w:tcW w:w="1413" w:type="dxa"/>
            <w:vAlign w:val="center"/>
          </w:tcPr>
          <w:p w14:paraId="2D0F6FD1" w14:textId="34C9A1F1" w:rsidR="008A14D9" w:rsidRPr="00FC71BE" w:rsidRDefault="008A14D9" w:rsidP="008A14D9">
            <w:pPr>
              <w:ind w:firstLine="0"/>
              <w:jc w:val="center"/>
              <w:rPr>
                <w:rFonts w:eastAsia="等线" w:cs="Times New Roman"/>
              </w:rPr>
            </w:pPr>
            <m:oMathPara>
              <m:oMath>
                <m:r>
                  <w:rPr>
                    <w:rFonts w:ascii="Cambria Math" w:hAnsi="Cambria Math"/>
                  </w:rPr>
                  <m:t>R</m:t>
                </m:r>
              </m:oMath>
            </m:oMathPara>
          </w:p>
        </w:tc>
        <w:tc>
          <w:tcPr>
            <w:tcW w:w="6237" w:type="dxa"/>
          </w:tcPr>
          <w:p w14:paraId="44417300" w14:textId="36565A04" w:rsidR="008A14D9" w:rsidRPr="00FC71BE" w:rsidRDefault="008A14D9" w:rsidP="008A14D9">
            <w:pPr>
              <w:ind w:firstLine="0"/>
            </w:pPr>
            <w:r w:rsidRPr="00FC71BE">
              <w:t>Armature Resistance</w:t>
            </w:r>
          </w:p>
        </w:tc>
        <w:tc>
          <w:tcPr>
            <w:tcW w:w="1366" w:type="dxa"/>
            <w:vAlign w:val="center"/>
          </w:tcPr>
          <w:p w14:paraId="1DE5AB2E" w14:textId="29C81F86" w:rsidR="008A14D9" w:rsidRPr="00FC71BE" w:rsidRDefault="008A14D9" w:rsidP="008A14D9">
            <w:pPr>
              <w:ind w:firstLine="0"/>
              <w:jc w:val="center"/>
              <w:rPr>
                <w:iCs/>
              </w:rPr>
            </w:pPr>
            <m:oMathPara>
              <m:oMath>
                <m:r>
                  <m:rPr>
                    <m:sty m:val="p"/>
                  </m:rPr>
                  <w:rPr>
                    <w:rFonts w:ascii="Cambria Math" w:hAnsi="Cambria Math"/>
                  </w:rPr>
                  <m:t>Ω</m:t>
                </m:r>
              </m:oMath>
            </m:oMathPara>
          </w:p>
        </w:tc>
      </w:tr>
      <w:tr w:rsidR="00FC71BE" w:rsidRPr="00FC71BE" w14:paraId="2B38531B" w14:textId="77777777" w:rsidTr="008A14D9">
        <w:tc>
          <w:tcPr>
            <w:tcW w:w="1413" w:type="dxa"/>
            <w:vAlign w:val="center"/>
          </w:tcPr>
          <w:p w14:paraId="03CFF95B" w14:textId="6F9E7C2D" w:rsidR="008A14D9" w:rsidRPr="00FC71BE" w:rsidRDefault="008A14D9" w:rsidP="008A14D9">
            <w:pPr>
              <w:ind w:firstLine="0"/>
              <w:jc w:val="center"/>
              <w:rPr>
                <w:rFonts w:eastAsia="等线" w:cs="Times New Roman"/>
              </w:rPr>
            </w:pPr>
            <m:oMathPara>
              <m:oMath>
                <m:r>
                  <w:rPr>
                    <w:rFonts w:ascii="Cambria Math" w:hAnsi="Cambria Math"/>
                  </w:rPr>
                  <m:t>S</m:t>
                </m:r>
              </m:oMath>
            </m:oMathPara>
          </w:p>
        </w:tc>
        <w:tc>
          <w:tcPr>
            <w:tcW w:w="6237" w:type="dxa"/>
          </w:tcPr>
          <w:p w14:paraId="5C9DBD5F" w14:textId="2E0EB5DF" w:rsidR="008A14D9" w:rsidRPr="00FC71BE" w:rsidRDefault="008A14D9" w:rsidP="008A14D9">
            <w:pPr>
              <w:ind w:firstLine="0"/>
            </w:pPr>
            <w:r w:rsidRPr="00FC71BE">
              <w:t>Reluctance of the magnetic circuit</w:t>
            </w:r>
          </w:p>
        </w:tc>
        <w:tc>
          <w:tcPr>
            <w:tcW w:w="1366" w:type="dxa"/>
            <w:vAlign w:val="center"/>
          </w:tcPr>
          <w:p w14:paraId="2A76D0E3" w14:textId="0563F8AB" w:rsidR="008A14D9" w:rsidRPr="00FC71BE" w:rsidRDefault="008A14D9" w:rsidP="008A14D9">
            <w:pPr>
              <w:ind w:firstLine="0"/>
              <w:jc w:val="center"/>
              <w:rPr>
                <w:rFonts w:eastAsia="等线" w:cs="Times New Roman"/>
              </w:rPr>
            </w:pPr>
            <w:r w:rsidRPr="00FC71BE">
              <w:t>A/Wb</w:t>
            </w:r>
          </w:p>
        </w:tc>
      </w:tr>
      <w:tr w:rsidR="00FC71BE" w:rsidRPr="00FC71BE" w14:paraId="3240300E" w14:textId="77777777" w:rsidTr="008A14D9">
        <w:tc>
          <w:tcPr>
            <w:tcW w:w="1413" w:type="dxa"/>
            <w:vAlign w:val="center"/>
          </w:tcPr>
          <w:p w14:paraId="3ABB13A2" w14:textId="7D6E29DF"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T</m:t>
                    </m:r>
                  </m:e>
                  <m:sub>
                    <m:r>
                      <w:rPr>
                        <w:rFonts w:ascii="Cambria Math" w:hAnsi="Cambria Math"/>
                      </w:rPr>
                      <m:t>em</m:t>
                    </m:r>
                  </m:sub>
                </m:sSub>
              </m:oMath>
            </m:oMathPara>
          </w:p>
        </w:tc>
        <w:tc>
          <w:tcPr>
            <w:tcW w:w="6237" w:type="dxa"/>
          </w:tcPr>
          <w:p w14:paraId="35ED0BAA" w14:textId="06495A2F" w:rsidR="008A14D9" w:rsidRPr="00FC71BE" w:rsidRDefault="008A14D9" w:rsidP="008A14D9">
            <w:pPr>
              <w:ind w:firstLine="0"/>
            </w:pPr>
            <w:r w:rsidRPr="00FC71BE">
              <w:t>Electromagnetic torque</w:t>
            </w:r>
          </w:p>
        </w:tc>
        <w:tc>
          <w:tcPr>
            <w:tcW w:w="1366" w:type="dxa"/>
            <w:vAlign w:val="center"/>
          </w:tcPr>
          <w:p w14:paraId="61E53C1E" w14:textId="47156E74" w:rsidR="008A14D9" w:rsidRPr="00FC71BE" w:rsidRDefault="008A14D9" w:rsidP="008A14D9">
            <w:pPr>
              <w:ind w:firstLine="0"/>
              <w:jc w:val="center"/>
              <w:rPr>
                <w:rFonts w:eastAsia="等线" w:cs="Times New Roman"/>
                <w:iCs/>
              </w:rPr>
            </w:pPr>
            <w:r w:rsidRPr="00FC71BE">
              <w:t>Nm</w:t>
            </w:r>
          </w:p>
        </w:tc>
      </w:tr>
      <w:tr w:rsidR="00FC71BE" w:rsidRPr="00FC71BE" w14:paraId="2E48834D" w14:textId="77777777" w:rsidTr="008A14D9">
        <w:tc>
          <w:tcPr>
            <w:tcW w:w="1413" w:type="dxa"/>
            <w:vAlign w:val="center"/>
          </w:tcPr>
          <w:p w14:paraId="0C7960B8" w14:textId="1C3B2685"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T</m:t>
                    </m:r>
                  </m:e>
                  <m:sub>
                    <m:r>
                      <w:rPr>
                        <w:rFonts w:ascii="Cambria Math" w:hAnsi="Cambria Math"/>
                      </w:rPr>
                      <m:t>max</m:t>
                    </m:r>
                  </m:sub>
                </m:sSub>
              </m:oMath>
            </m:oMathPara>
          </w:p>
        </w:tc>
        <w:tc>
          <w:tcPr>
            <w:tcW w:w="6237" w:type="dxa"/>
          </w:tcPr>
          <w:p w14:paraId="27803ADA" w14:textId="24416FA5" w:rsidR="008A14D9" w:rsidRPr="00FC71BE" w:rsidRDefault="008A14D9" w:rsidP="008A14D9">
            <w:pPr>
              <w:ind w:firstLine="0"/>
            </w:pPr>
            <w:r w:rsidRPr="00FC71BE">
              <w:t>Maximum electromagnetic torque</w:t>
            </w:r>
          </w:p>
        </w:tc>
        <w:tc>
          <w:tcPr>
            <w:tcW w:w="1366" w:type="dxa"/>
            <w:vAlign w:val="center"/>
          </w:tcPr>
          <w:p w14:paraId="7D5E8606" w14:textId="7D64D0AC" w:rsidR="008A14D9" w:rsidRPr="00FC71BE" w:rsidRDefault="008A14D9" w:rsidP="008A14D9">
            <w:pPr>
              <w:ind w:firstLine="0"/>
              <w:jc w:val="center"/>
              <w:rPr>
                <w:rFonts w:eastAsia="等线" w:cs="Times New Roman"/>
                <w:iCs/>
              </w:rPr>
            </w:pPr>
            <w:r w:rsidRPr="00FC71BE">
              <w:t>Nm</w:t>
            </w:r>
          </w:p>
        </w:tc>
      </w:tr>
      <w:tr w:rsidR="00FC71BE" w:rsidRPr="00FC71BE" w14:paraId="0FCD5523" w14:textId="77777777" w:rsidTr="008A14D9">
        <w:tc>
          <w:tcPr>
            <w:tcW w:w="1413" w:type="dxa"/>
            <w:vAlign w:val="center"/>
          </w:tcPr>
          <w:p w14:paraId="269560C7" w14:textId="1FA65E7B"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T</m:t>
                    </m:r>
                  </m:e>
                  <m:sub>
                    <m:r>
                      <w:rPr>
                        <w:rFonts w:ascii="Cambria Math" w:hAnsi="Cambria Math"/>
                      </w:rPr>
                      <m:t>min</m:t>
                    </m:r>
                  </m:sub>
                </m:sSub>
              </m:oMath>
            </m:oMathPara>
          </w:p>
        </w:tc>
        <w:tc>
          <w:tcPr>
            <w:tcW w:w="6237" w:type="dxa"/>
          </w:tcPr>
          <w:p w14:paraId="4BAE8C6E" w14:textId="4C83623C" w:rsidR="008A14D9" w:rsidRPr="00FC71BE" w:rsidRDefault="008A14D9" w:rsidP="008A14D9">
            <w:pPr>
              <w:ind w:firstLine="0"/>
            </w:pPr>
            <w:r w:rsidRPr="00FC71BE">
              <w:t>Minimum electromagnetic torque</w:t>
            </w:r>
          </w:p>
        </w:tc>
        <w:tc>
          <w:tcPr>
            <w:tcW w:w="1366" w:type="dxa"/>
            <w:vAlign w:val="center"/>
          </w:tcPr>
          <w:p w14:paraId="024E4583" w14:textId="675C718F" w:rsidR="008A14D9" w:rsidRPr="00FC71BE" w:rsidRDefault="008A14D9" w:rsidP="008A14D9">
            <w:pPr>
              <w:ind w:firstLine="0"/>
              <w:jc w:val="center"/>
              <w:rPr>
                <w:rFonts w:eastAsia="等线" w:cs="Times New Roman"/>
                <w:iCs/>
              </w:rPr>
            </w:pPr>
            <w:r w:rsidRPr="00FC71BE">
              <w:t>Nm</w:t>
            </w:r>
          </w:p>
        </w:tc>
      </w:tr>
      <w:tr w:rsidR="00FC71BE" w:rsidRPr="00FC71BE" w14:paraId="1E3EE27B" w14:textId="77777777" w:rsidTr="008A14D9">
        <w:tc>
          <w:tcPr>
            <w:tcW w:w="1413" w:type="dxa"/>
            <w:vAlign w:val="center"/>
          </w:tcPr>
          <w:p w14:paraId="1D5790E1" w14:textId="607D6C04"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T</m:t>
                    </m:r>
                  </m:e>
                  <m:sub>
                    <m:r>
                      <w:rPr>
                        <w:rFonts w:ascii="Cambria Math" w:hAnsi="Cambria Math"/>
                      </w:rPr>
                      <m:t>av</m:t>
                    </m:r>
                  </m:sub>
                </m:sSub>
              </m:oMath>
            </m:oMathPara>
          </w:p>
        </w:tc>
        <w:tc>
          <w:tcPr>
            <w:tcW w:w="6237" w:type="dxa"/>
          </w:tcPr>
          <w:p w14:paraId="435DD657" w14:textId="46A5B2F7" w:rsidR="008A14D9" w:rsidRPr="00FC71BE" w:rsidRDefault="008A14D9" w:rsidP="008A14D9">
            <w:pPr>
              <w:ind w:firstLine="0"/>
            </w:pPr>
            <w:r w:rsidRPr="00FC71BE">
              <w:t>Average electromagnetic torque</w:t>
            </w:r>
          </w:p>
        </w:tc>
        <w:tc>
          <w:tcPr>
            <w:tcW w:w="1366" w:type="dxa"/>
            <w:vAlign w:val="center"/>
          </w:tcPr>
          <w:p w14:paraId="01F48FD7" w14:textId="5DCF7B94" w:rsidR="008A14D9" w:rsidRPr="00FC71BE" w:rsidRDefault="008A14D9" w:rsidP="008A14D9">
            <w:pPr>
              <w:ind w:firstLine="0"/>
              <w:jc w:val="center"/>
            </w:pPr>
            <w:r w:rsidRPr="00FC71BE">
              <w:t>Nm</w:t>
            </w:r>
          </w:p>
        </w:tc>
      </w:tr>
      <w:tr w:rsidR="00FC71BE" w:rsidRPr="00FC71BE" w14:paraId="7519C6E7" w14:textId="77777777" w:rsidTr="008A14D9">
        <w:tc>
          <w:tcPr>
            <w:tcW w:w="1413" w:type="dxa"/>
            <w:vAlign w:val="center"/>
          </w:tcPr>
          <w:p w14:paraId="4972B4F7" w14:textId="7BC4D266" w:rsidR="008A14D9" w:rsidRPr="00FC71BE" w:rsidRDefault="002143AD" w:rsidP="008A14D9">
            <w:pPr>
              <w:ind w:firstLine="0"/>
              <w:jc w:val="center"/>
              <w:rPr>
                <w:rFonts w:eastAsia="等线" w:cs="Times New Roman"/>
              </w:rPr>
            </w:pPr>
            <m:oMath>
              <m:sSub>
                <m:sSubPr>
                  <m:ctrlPr>
                    <w:rPr>
                      <w:rFonts w:ascii="Cambria Math" w:hAnsi="Cambria Math"/>
                      <w:i/>
                    </w:rPr>
                  </m:ctrlPr>
                </m:sSubPr>
                <m:e>
                  <m:r>
                    <w:rPr>
                      <w:rFonts w:ascii="Cambria Math" w:hAnsi="Cambria Math"/>
                    </w:rPr>
                    <m:t>V</m:t>
                  </m:r>
                </m:e>
                <m:sub>
                  <m:r>
                    <w:rPr>
                      <w:rFonts w:ascii="Cambria Math" w:hAnsi="Cambria Math"/>
                    </w:rPr>
                    <m:t>d</m:t>
                  </m:r>
                </m:sub>
              </m:sSub>
            </m:oMath>
            <w:r w:rsidR="008A14D9" w:rsidRPr="00FC71BE">
              <w:t xml:space="preserve">, </w:t>
            </w:r>
            <m:oMath>
              <m:sSub>
                <m:sSubPr>
                  <m:ctrlPr>
                    <w:rPr>
                      <w:rFonts w:ascii="Cambria Math" w:hAnsi="Cambria Math"/>
                      <w:i/>
                    </w:rPr>
                  </m:ctrlPr>
                </m:sSubPr>
                <m:e>
                  <m:r>
                    <w:rPr>
                      <w:rFonts w:ascii="Cambria Math" w:hAnsi="Cambria Math"/>
                    </w:rPr>
                    <m:t>V</m:t>
                  </m:r>
                </m:e>
                <m:sub>
                  <m:r>
                    <w:rPr>
                      <w:rFonts w:ascii="Cambria Math" w:hAnsi="Cambria Math"/>
                    </w:rPr>
                    <m:t>q</m:t>
                  </m:r>
                </m:sub>
              </m:sSub>
            </m:oMath>
          </w:p>
        </w:tc>
        <w:tc>
          <w:tcPr>
            <w:tcW w:w="6237" w:type="dxa"/>
          </w:tcPr>
          <w:p w14:paraId="50953654" w14:textId="455B8ABF" w:rsidR="008A14D9" w:rsidRPr="00FC71BE" w:rsidRDefault="008A14D9" w:rsidP="008A14D9">
            <w:pPr>
              <w:ind w:firstLine="0"/>
            </w:pPr>
            <w:r w:rsidRPr="00FC71BE">
              <w:rPr>
                <w:i/>
                <w:iCs/>
              </w:rPr>
              <w:t>d</w:t>
            </w:r>
            <w:r w:rsidRPr="00FC71BE">
              <w:t>-axis and</w:t>
            </w:r>
            <w:r w:rsidRPr="00FC71BE">
              <w:rPr>
                <w:i/>
                <w:iCs/>
              </w:rPr>
              <w:t xml:space="preserve"> q</w:t>
            </w:r>
            <w:r w:rsidRPr="00FC71BE">
              <w:t>-axis voltage</w:t>
            </w:r>
            <w:r w:rsidR="00B573FF" w:rsidRPr="00FC71BE">
              <w:t>s</w:t>
            </w:r>
          </w:p>
        </w:tc>
        <w:tc>
          <w:tcPr>
            <w:tcW w:w="1366" w:type="dxa"/>
            <w:vAlign w:val="center"/>
          </w:tcPr>
          <w:p w14:paraId="0752231D" w14:textId="52C8D115" w:rsidR="008A14D9" w:rsidRPr="00FC71BE" w:rsidRDefault="008A14D9" w:rsidP="008A14D9">
            <w:pPr>
              <w:ind w:firstLine="0"/>
              <w:jc w:val="center"/>
            </w:pPr>
            <w:r w:rsidRPr="00FC71BE">
              <w:t>V</w:t>
            </w:r>
          </w:p>
        </w:tc>
      </w:tr>
      <w:tr w:rsidR="00FC71BE" w:rsidRPr="00FC71BE" w14:paraId="3B5A76B5" w14:textId="77777777" w:rsidTr="008A14D9">
        <w:tc>
          <w:tcPr>
            <w:tcW w:w="1413" w:type="dxa"/>
            <w:vAlign w:val="center"/>
          </w:tcPr>
          <w:p w14:paraId="76EE2BFC" w14:textId="77AE8345"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V</m:t>
                    </m:r>
                  </m:e>
                  <m:sub>
                    <m:r>
                      <w:rPr>
                        <w:rFonts w:ascii="Cambria Math" w:hAnsi="Cambria Math"/>
                      </w:rPr>
                      <m:t>s</m:t>
                    </m:r>
                  </m:sub>
                </m:sSub>
              </m:oMath>
            </m:oMathPara>
          </w:p>
        </w:tc>
        <w:tc>
          <w:tcPr>
            <w:tcW w:w="6237" w:type="dxa"/>
          </w:tcPr>
          <w:p w14:paraId="2A1A5437" w14:textId="7CEEE1FA" w:rsidR="008A14D9" w:rsidRPr="00FC71BE" w:rsidRDefault="008A14D9" w:rsidP="008A14D9">
            <w:pPr>
              <w:ind w:firstLine="0"/>
            </w:pPr>
            <w:r w:rsidRPr="00FC71BE">
              <w:t>DC link voltage</w:t>
            </w:r>
          </w:p>
        </w:tc>
        <w:tc>
          <w:tcPr>
            <w:tcW w:w="1366" w:type="dxa"/>
            <w:vAlign w:val="center"/>
          </w:tcPr>
          <w:p w14:paraId="4F1D8A96" w14:textId="73603405" w:rsidR="008A14D9" w:rsidRPr="00FC71BE" w:rsidRDefault="008A14D9" w:rsidP="008A14D9">
            <w:pPr>
              <w:ind w:firstLine="0"/>
              <w:jc w:val="center"/>
            </w:pPr>
            <w:r w:rsidRPr="00FC71BE">
              <w:t>V</w:t>
            </w:r>
          </w:p>
        </w:tc>
      </w:tr>
      <w:tr w:rsidR="00FC71BE" w:rsidRPr="00FC71BE" w14:paraId="29016B93" w14:textId="77777777" w:rsidTr="008A14D9">
        <w:tc>
          <w:tcPr>
            <w:tcW w:w="1413" w:type="dxa"/>
            <w:vAlign w:val="center"/>
          </w:tcPr>
          <w:p w14:paraId="7029FCF8" w14:textId="550885D3" w:rsidR="008A14D9" w:rsidRPr="00FC71BE" w:rsidRDefault="002143AD" w:rsidP="008A14D9">
            <w:pPr>
              <w:ind w:firstLine="0"/>
              <w:jc w:val="center"/>
              <w:rPr>
                <w:rFonts w:eastAsia="等线" w:cs="Times New Roman"/>
                <w:i/>
                <w:iCs/>
              </w:rPr>
            </w:pPr>
            <m:oMath>
              <m:sSub>
                <m:sSubPr>
                  <m:ctrlPr>
                    <w:rPr>
                      <w:rFonts w:ascii="Cambria Math" w:eastAsia="等线" w:hAnsi="Cambria Math" w:cs="Times New Roman"/>
                      <w:i/>
                    </w:rPr>
                  </m:ctrlPr>
                </m:sSubPr>
                <m:e>
                  <m:r>
                    <w:rPr>
                      <w:rFonts w:ascii="Cambria Math" w:eastAsia="等线" w:hAnsi="Cambria Math" w:cs="Times New Roman"/>
                    </w:rPr>
                    <m:t>α</m:t>
                  </m:r>
                </m:e>
                <m:sub>
                  <m:r>
                    <w:rPr>
                      <w:rFonts w:ascii="Cambria Math" w:eastAsia="等线" w:hAnsi="Cambria Math" w:cs="Times New Roman"/>
                    </w:rPr>
                    <m:t>1</m:t>
                  </m:r>
                </m:sub>
              </m:sSub>
            </m:oMath>
            <w:r w:rsidR="008A14D9" w:rsidRPr="00FC71BE">
              <w:rPr>
                <w:rFonts w:eastAsia="等线" w:cs="Times New Roman"/>
              </w:rPr>
              <w:t xml:space="preserve">, </w:t>
            </w:r>
            <m:oMath>
              <m:sSub>
                <m:sSubPr>
                  <m:ctrlPr>
                    <w:rPr>
                      <w:rFonts w:ascii="Cambria Math" w:eastAsia="等线" w:hAnsi="Cambria Math" w:cs="Times New Roman"/>
                      <w:i/>
                    </w:rPr>
                  </m:ctrlPr>
                </m:sSubPr>
                <m:e>
                  <m:r>
                    <w:rPr>
                      <w:rFonts w:ascii="Cambria Math" w:eastAsia="等线" w:hAnsi="Cambria Math" w:cs="Times New Roman"/>
                    </w:rPr>
                    <m:t>α</m:t>
                  </m:r>
                </m:e>
                <m:sub>
                  <m:r>
                    <w:rPr>
                      <w:rFonts w:ascii="Cambria Math" w:eastAsia="等线" w:hAnsi="Cambria Math" w:cs="Times New Roman"/>
                    </w:rPr>
                    <m:t>2</m:t>
                  </m:r>
                </m:sub>
              </m:sSub>
            </m:oMath>
          </w:p>
        </w:tc>
        <w:tc>
          <w:tcPr>
            <w:tcW w:w="6237" w:type="dxa"/>
          </w:tcPr>
          <w:p w14:paraId="15DAB83F" w14:textId="4302E24B" w:rsidR="008A14D9" w:rsidRPr="00FC71BE" w:rsidRDefault="008A14D9" w:rsidP="008A14D9">
            <w:pPr>
              <w:ind w:firstLine="0"/>
            </w:pPr>
            <w:r w:rsidRPr="00FC71BE">
              <w:t>Temperature dependent coefficient of PM B(H) curve</w:t>
            </w:r>
          </w:p>
        </w:tc>
        <w:tc>
          <w:tcPr>
            <w:tcW w:w="1366" w:type="dxa"/>
            <w:vAlign w:val="center"/>
          </w:tcPr>
          <w:p w14:paraId="02DB0FFF" w14:textId="77777777" w:rsidR="008A14D9" w:rsidRPr="00FC71BE" w:rsidRDefault="008A14D9" w:rsidP="008A14D9">
            <w:pPr>
              <w:ind w:firstLine="0"/>
              <w:jc w:val="center"/>
            </w:pPr>
          </w:p>
        </w:tc>
      </w:tr>
      <w:tr w:rsidR="00FC71BE" w:rsidRPr="00FC71BE" w14:paraId="3FBC5E39" w14:textId="77777777" w:rsidTr="008A14D9">
        <w:tc>
          <w:tcPr>
            <w:tcW w:w="1413" w:type="dxa"/>
            <w:vAlign w:val="center"/>
          </w:tcPr>
          <w:p w14:paraId="4EBB5906" w14:textId="60B02DA3" w:rsidR="008A14D9" w:rsidRPr="00FC71BE" w:rsidRDefault="002143AD" w:rsidP="008A14D9">
            <w:pPr>
              <w:ind w:firstLine="0"/>
              <w:jc w:val="center"/>
              <w:rPr>
                <w:rFonts w:eastAsia="等线" w:cs="Times New Roman"/>
                <w:i/>
                <w:iCs/>
              </w:rPr>
            </w:pPr>
            <m:oMath>
              <m:sSub>
                <m:sSubPr>
                  <m:ctrlPr>
                    <w:rPr>
                      <w:rFonts w:ascii="Cambria Math" w:eastAsia="等线" w:hAnsi="Cambria Math" w:cs="Times New Roman"/>
                      <w:i/>
                    </w:rPr>
                  </m:ctrlPr>
                </m:sSubPr>
                <m:e>
                  <m:r>
                    <w:rPr>
                      <w:rFonts w:ascii="Cambria Math" w:eastAsia="等线" w:hAnsi="Cambria Math" w:cs="Times New Roman"/>
                    </w:rPr>
                    <m:t>β</m:t>
                  </m:r>
                </m:e>
                <m:sub>
                  <m:r>
                    <w:rPr>
                      <w:rFonts w:ascii="Cambria Math" w:eastAsia="等线" w:hAnsi="Cambria Math" w:cs="Times New Roman"/>
                    </w:rPr>
                    <m:t>1</m:t>
                  </m:r>
                </m:sub>
              </m:sSub>
            </m:oMath>
            <w:r w:rsidR="008A14D9" w:rsidRPr="00FC71BE">
              <w:rPr>
                <w:rFonts w:eastAsia="等线" w:cs="Times New Roman"/>
              </w:rPr>
              <w:t xml:space="preserve">, </w:t>
            </w:r>
            <m:oMath>
              <m:sSub>
                <m:sSubPr>
                  <m:ctrlPr>
                    <w:rPr>
                      <w:rFonts w:ascii="Cambria Math" w:eastAsia="等线" w:hAnsi="Cambria Math" w:cs="Times New Roman"/>
                      <w:i/>
                    </w:rPr>
                  </m:ctrlPr>
                </m:sSubPr>
                <m:e>
                  <m:r>
                    <w:rPr>
                      <w:rFonts w:ascii="Cambria Math" w:eastAsia="等线" w:hAnsi="Cambria Math" w:cs="Times New Roman"/>
                    </w:rPr>
                    <m:t>β</m:t>
                  </m:r>
                </m:e>
                <m:sub>
                  <m:r>
                    <w:rPr>
                      <w:rFonts w:ascii="Cambria Math" w:eastAsia="等线" w:hAnsi="Cambria Math" w:cs="Times New Roman"/>
                    </w:rPr>
                    <m:t>2</m:t>
                  </m:r>
                </m:sub>
              </m:sSub>
            </m:oMath>
          </w:p>
        </w:tc>
        <w:tc>
          <w:tcPr>
            <w:tcW w:w="6237" w:type="dxa"/>
          </w:tcPr>
          <w:p w14:paraId="0453140C" w14:textId="61D3B09C" w:rsidR="008A14D9" w:rsidRPr="00FC71BE" w:rsidRDefault="008A14D9" w:rsidP="008A14D9">
            <w:pPr>
              <w:ind w:firstLine="0"/>
            </w:pPr>
            <w:r w:rsidRPr="00FC71BE">
              <w:t>Temperature dependent coefficient of PM B(H) curve</w:t>
            </w:r>
          </w:p>
        </w:tc>
        <w:tc>
          <w:tcPr>
            <w:tcW w:w="1366" w:type="dxa"/>
            <w:vAlign w:val="center"/>
          </w:tcPr>
          <w:p w14:paraId="0234D42C" w14:textId="77777777" w:rsidR="008A14D9" w:rsidRPr="00FC71BE" w:rsidRDefault="008A14D9" w:rsidP="008A14D9">
            <w:pPr>
              <w:ind w:firstLine="0"/>
              <w:jc w:val="center"/>
            </w:pPr>
          </w:p>
        </w:tc>
      </w:tr>
      <w:tr w:rsidR="00FC71BE" w:rsidRPr="00FC71BE" w14:paraId="59D858D7" w14:textId="77777777" w:rsidTr="008A14D9">
        <w:tc>
          <w:tcPr>
            <w:tcW w:w="1413" w:type="dxa"/>
            <w:vAlign w:val="center"/>
          </w:tcPr>
          <w:p w14:paraId="6E2F96EA" w14:textId="7C60370D" w:rsidR="008A14D9" w:rsidRPr="00FC71BE" w:rsidRDefault="008A14D9" w:rsidP="008A14D9">
            <w:pPr>
              <w:ind w:firstLine="0"/>
              <w:jc w:val="center"/>
              <w:rPr>
                <w:rFonts w:eastAsia="等线" w:cs="Times New Roman"/>
                <w:i/>
                <w:iCs/>
              </w:rPr>
            </w:pPr>
            <m:oMathPara>
              <m:oMath>
                <m:r>
                  <w:rPr>
                    <w:rFonts w:ascii="Cambria Math" w:eastAsia="等线" w:hAnsi="Cambria Math" w:cs="Times New Roman"/>
                  </w:rPr>
                  <m:t>η</m:t>
                </m:r>
              </m:oMath>
            </m:oMathPara>
          </w:p>
        </w:tc>
        <w:tc>
          <w:tcPr>
            <w:tcW w:w="6237" w:type="dxa"/>
          </w:tcPr>
          <w:p w14:paraId="32BD7D01" w14:textId="122CDA72" w:rsidR="008A14D9" w:rsidRPr="00FC71BE" w:rsidRDefault="008A14D9" w:rsidP="008A14D9">
            <w:pPr>
              <w:ind w:firstLine="0"/>
            </w:pPr>
            <w:r w:rsidRPr="00FC71BE">
              <w:t>Efficiency of electrical machine</w:t>
            </w:r>
          </w:p>
        </w:tc>
        <w:tc>
          <w:tcPr>
            <w:tcW w:w="1366" w:type="dxa"/>
            <w:vAlign w:val="center"/>
          </w:tcPr>
          <w:p w14:paraId="2A715BB8" w14:textId="5DC51078" w:rsidR="008A14D9" w:rsidRPr="00FC71BE" w:rsidRDefault="008A14D9" w:rsidP="008A14D9">
            <w:pPr>
              <w:ind w:firstLine="0"/>
              <w:jc w:val="center"/>
            </w:pPr>
            <w:r w:rsidRPr="00FC71BE">
              <w:t>%</w:t>
            </w:r>
          </w:p>
        </w:tc>
      </w:tr>
      <w:tr w:rsidR="00FC71BE" w:rsidRPr="00FC71BE" w14:paraId="38D4DA01" w14:textId="77777777" w:rsidTr="008A14D9">
        <w:tc>
          <w:tcPr>
            <w:tcW w:w="1413" w:type="dxa"/>
            <w:vAlign w:val="center"/>
          </w:tcPr>
          <w:p w14:paraId="67EE3CFF" w14:textId="33AE853D" w:rsidR="008A14D9" w:rsidRPr="00FC71BE" w:rsidRDefault="002143AD" w:rsidP="008A14D9">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μ</m:t>
                    </m:r>
                  </m:e>
                  <m:sub>
                    <m:r>
                      <w:rPr>
                        <w:rFonts w:ascii="Cambria Math" w:eastAsia="等线" w:hAnsi="Cambria Math" w:cs="Times New Roman"/>
                      </w:rPr>
                      <m:t>0</m:t>
                    </m:r>
                  </m:sub>
                </m:sSub>
              </m:oMath>
            </m:oMathPara>
          </w:p>
        </w:tc>
        <w:tc>
          <w:tcPr>
            <w:tcW w:w="6237" w:type="dxa"/>
          </w:tcPr>
          <w:p w14:paraId="39A6F43B" w14:textId="493A372C" w:rsidR="008A14D9" w:rsidRPr="00FC71BE" w:rsidRDefault="008A14D9" w:rsidP="008A14D9">
            <w:pPr>
              <w:ind w:firstLine="0"/>
            </w:pPr>
            <w:r w:rsidRPr="00FC71BE">
              <w:t>Vacuum permeability</w:t>
            </w:r>
          </w:p>
        </w:tc>
        <w:tc>
          <w:tcPr>
            <w:tcW w:w="1366" w:type="dxa"/>
            <w:vAlign w:val="center"/>
          </w:tcPr>
          <w:p w14:paraId="54F43CFF" w14:textId="59636DCC" w:rsidR="008A14D9" w:rsidRPr="00FC71BE" w:rsidRDefault="008A14D9" w:rsidP="008A14D9">
            <w:pPr>
              <w:ind w:firstLine="0"/>
              <w:jc w:val="center"/>
            </w:pPr>
            <m:oMathPara>
              <m:oMath>
                <m:r>
                  <m:rPr>
                    <m:sty m:val="p"/>
                  </m:rPr>
                  <w:rPr>
                    <w:rFonts w:ascii="Cambria Math" w:hAnsi="Cambria Math"/>
                  </w:rPr>
                  <m:t>N/</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2</m:t>
                    </m:r>
                  </m:sup>
                </m:sSup>
              </m:oMath>
            </m:oMathPara>
          </w:p>
        </w:tc>
      </w:tr>
      <w:tr w:rsidR="00FC71BE" w:rsidRPr="00FC71BE" w14:paraId="4D6A9EF3" w14:textId="77777777" w:rsidTr="008A14D9">
        <w:tc>
          <w:tcPr>
            <w:tcW w:w="1413" w:type="dxa"/>
            <w:vAlign w:val="center"/>
          </w:tcPr>
          <w:p w14:paraId="0C55A120" w14:textId="56780AA4" w:rsidR="008A14D9" w:rsidRPr="00FC71BE" w:rsidRDefault="002143AD" w:rsidP="008A14D9">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μ</m:t>
                    </m:r>
                  </m:e>
                  <m:sub>
                    <m:r>
                      <w:rPr>
                        <w:rFonts w:ascii="Cambria Math" w:eastAsia="等线" w:hAnsi="Cambria Math" w:cs="Times New Roman"/>
                      </w:rPr>
                      <m:t>r</m:t>
                    </m:r>
                  </m:sub>
                </m:sSub>
              </m:oMath>
            </m:oMathPara>
          </w:p>
        </w:tc>
        <w:tc>
          <w:tcPr>
            <w:tcW w:w="6237" w:type="dxa"/>
          </w:tcPr>
          <w:p w14:paraId="4C130A09" w14:textId="563D261F" w:rsidR="008A14D9" w:rsidRPr="00FC71BE" w:rsidRDefault="008A14D9" w:rsidP="008A14D9">
            <w:pPr>
              <w:ind w:firstLine="0"/>
            </w:pPr>
            <w:r w:rsidRPr="00FC71BE">
              <w:t>Relative permeability</w:t>
            </w:r>
          </w:p>
        </w:tc>
        <w:tc>
          <w:tcPr>
            <w:tcW w:w="1366" w:type="dxa"/>
            <w:vAlign w:val="center"/>
          </w:tcPr>
          <w:p w14:paraId="1174EB11" w14:textId="77777777" w:rsidR="008A14D9" w:rsidRPr="00FC71BE" w:rsidRDefault="008A14D9" w:rsidP="008A14D9">
            <w:pPr>
              <w:ind w:firstLine="0"/>
              <w:jc w:val="center"/>
            </w:pPr>
          </w:p>
        </w:tc>
      </w:tr>
      <w:tr w:rsidR="00FC71BE" w:rsidRPr="00FC71BE" w14:paraId="7734B85B" w14:textId="77777777" w:rsidTr="008A14D9">
        <w:tc>
          <w:tcPr>
            <w:tcW w:w="1413" w:type="dxa"/>
            <w:vAlign w:val="center"/>
          </w:tcPr>
          <w:p w14:paraId="1E72D41A" w14:textId="34790219" w:rsidR="008A14D9" w:rsidRPr="00FC71BE" w:rsidRDefault="008A14D9" w:rsidP="008A14D9">
            <w:pPr>
              <w:ind w:firstLine="0"/>
              <w:jc w:val="center"/>
              <w:rPr>
                <w:rFonts w:eastAsia="等线" w:cs="Times New Roman"/>
              </w:rPr>
            </w:pPr>
            <m:oMathPara>
              <m:oMath>
                <m:r>
                  <w:rPr>
                    <w:rFonts w:ascii="Cambria Math" w:eastAsia="等线" w:hAnsi="Cambria Math" w:cs="Times New Roman"/>
                  </w:rPr>
                  <m:t>Φ</m:t>
                </m:r>
              </m:oMath>
            </m:oMathPara>
          </w:p>
        </w:tc>
        <w:tc>
          <w:tcPr>
            <w:tcW w:w="6237" w:type="dxa"/>
          </w:tcPr>
          <w:p w14:paraId="363F9B6C" w14:textId="21523FF7" w:rsidR="008A14D9" w:rsidRPr="00FC71BE" w:rsidRDefault="008A14D9" w:rsidP="008A14D9">
            <w:pPr>
              <w:ind w:firstLine="0"/>
            </w:pPr>
            <w:r w:rsidRPr="00FC71BE">
              <w:t>Flux in the magnet</w:t>
            </w:r>
          </w:p>
        </w:tc>
        <w:tc>
          <w:tcPr>
            <w:tcW w:w="1366" w:type="dxa"/>
            <w:vAlign w:val="center"/>
          </w:tcPr>
          <w:p w14:paraId="413A5DFE" w14:textId="6B6CBA20" w:rsidR="008A14D9" w:rsidRPr="00FC71BE" w:rsidRDefault="008A14D9" w:rsidP="008A14D9">
            <w:pPr>
              <w:ind w:firstLine="0"/>
              <w:jc w:val="center"/>
            </w:pPr>
            <w:r w:rsidRPr="00FC71BE">
              <w:t>Wb</w:t>
            </w:r>
          </w:p>
        </w:tc>
      </w:tr>
      <w:tr w:rsidR="00FC71BE" w:rsidRPr="00FC71BE" w14:paraId="31C82E14" w14:textId="77777777" w:rsidTr="008A14D9">
        <w:tc>
          <w:tcPr>
            <w:tcW w:w="1413" w:type="dxa"/>
            <w:vAlign w:val="center"/>
          </w:tcPr>
          <w:p w14:paraId="7012CF4D" w14:textId="084C89C4" w:rsidR="008A14D9" w:rsidRPr="00FC71BE" w:rsidRDefault="008A14D9" w:rsidP="008A14D9">
            <w:pPr>
              <w:ind w:firstLine="0"/>
              <w:jc w:val="center"/>
              <w:rPr>
                <w:rFonts w:eastAsia="等线" w:cs="Times New Roman"/>
              </w:rPr>
            </w:pPr>
            <m:oMathPara>
              <m:oMath>
                <m:r>
                  <w:rPr>
                    <w:rFonts w:ascii="Cambria Math" w:eastAsia="等线" w:hAnsi="Cambria Math" w:cs="Times New Roman"/>
                  </w:rPr>
                  <m:t>χ</m:t>
                </m:r>
              </m:oMath>
            </m:oMathPara>
          </w:p>
        </w:tc>
        <w:tc>
          <w:tcPr>
            <w:tcW w:w="6237" w:type="dxa"/>
          </w:tcPr>
          <w:p w14:paraId="1CA7BD2D" w14:textId="7B4DCDDC" w:rsidR="008A14D9" w:rsidRPr="00FC71BE" w:rsidRDefault="008A14D9" w:rsidP="008A14D9">
            <w:pPr>
              <w:ind w:firstLine="0"/>
            </w:pPr>
            <w:r w:rsidRPr="00FC71BE">
              <w:t>Magnetic susceptibility</w:t>
            </w:r>
          </w:p>
        </w:tc>
        <w:tc>
          <w:tcPr>
            <w:tcW w:w="1366" w:type="dxa"/>
            <w:vAlign w:val="center"/>
          </w:tcPr>
          <w:p w14:paraId="6A113918" w14:textId="77777777" w:rsidR="008A14D9" w:rsidRPr="00FC71BE" w:rsidRDefault="008A14D9" w:rsidP="008A14D9">
            <w:pPr>
              <w:ind w:firstLine="0"/>
              <w:jc w:val="center"/>
            </w:pPr>
          </w:p>
        </w:tc>
      </w:tr>
      <w:tr w:rsidR="00FC71BE" w:rsidRPr="00FC71BE" w14:paraId="4604C767" w14:textId="77777777" w:rsidTr="008A14D9">
        <w:tc>
          <w:tcPr>
            <w:tcW w:w="1413" w:type="dxa"/>
            <w:vAlign w:val="center"/>
          </w:tcPr>
          <w:p w14:paraId="0B8C34FD" w14:textId="02088EC8"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ψ</m:t>
                    </m:r>
                  </m:e>
                  <m:sub>
                    <m:r>
                      <w:rPr>
                        <w:rFonts w:ascii="Cambria Math" w:hAnsi="Cambria Math"/>
                      </w:rPr>
                      <m:t>m</m:t>
                    </m:r>
                  </m:sub>
                </m:sSub>
              </m:oMath>
            </m:oMathPara>
          </w:p>
        </w:tc>
        <w:tc>
          <w:tcPr>
            <w:tcW w:w="6237" w:type="dxa"/>
          </w:tcPr>
          <w:p w14:paraId="1CD98236" w14:textId="1D5A3133" w:rsidR="008A14D9" w:rsidRPr="00FC71BE" w:rsidRDefault="008A14D9" w:rsidP="008A14D9">
            <w:pPr>
              <w:ind w:firstLine="0"/>
            </w:pPr>
            <w:r w:rsidRPr="00FC71BE">
              <w:t>No-load flux linkage</w:t>
            </w:r>
          </w:p>
        </w:tc>
        <w:tc>
          <w:tcPr>
            <w:tcW w:w="1366" w:type="dxa"/>
            <w:vAlign w:val="center"/>
          </w:tcPr>
          <w:p w14:paraId="5F652336" w14:textId="281E4141" w:rsidR="008A14D9" w:rsidRPr="00FC71BE" w:rsidRDefault="008A14D9" w:rsidP="008A14D9">
            <w:pPr>
              <w:ind w:firstLine="0"/>
              <w:jc w:val="center"/>
            </w:pPr>
            <w:r w:rsidRPr="00FC71BE">
              <w:t>Wb</w:t>
            </w:r>
          </w:p>
        </w:tc>
      </w:tr>
      <w:tr w:rsidR="00FC71BE" w:rsidRPr="00FC71BE" w14:paraId="1F3FDD8B" w14:textId="77777777" w:rsidTr="008A14D9">
        <w:tc>
          <w:tcPr>
            <w:tcW w:w="1413" w:type="dxa"/>
            <w:vAlign w:val="center"/>
          </w:tcPr>
          <w:p w14:paraId="1A47950A" w14:textId="2B2E1B31"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ω</m:t>
                    </m:r>
                  </m:e>
                  <m:sub>
                    <m:r>
                      <w:rPr>
                        <w:rFonts w:ascii="Cambria Math" w:hAnsi="Cambria Math"/>
                      </w:rPr>
                      <m:t>2</m:t>
                    </m:r>
                  </m:sub>
                </m:sSub>
              </m:oMath>
            </m:oMathPara>
          </w:p>
        </w:tc>
        <w:tc>
          <w:tcPr>
            <w:tcW w:w="6237" w:type="dxa"/>
          </w:tcPr>
          <w:p w14:paraId="472D6C4F" w14:textId="22D5DF99" w:rsidR="008A14D9" w:rsidRPr="00FC71BE" w:rsidRDefault="008A14D9" w:rsidP="008A14D9">
            <w:pPr>
              <w:ind w:firstLine="0"/>
            </w:pPr>
            <w:r w:rsidRPr="00FC71BE">
              <w:t>Maximum speed at constant voltage stage of electrical machine</w:t>
            </w:r>
          </w:p>
        </w:tc>
        <w:tc>
          <w:tcPr>
            <w:tcW w:w="1366" w:type="dxa"/>
            <w:vAlign w:val="center"/>
          </w:tcPr>
          <w:p w14:paraId="34A0FE13" w14:textId="01EFBE49" w:rsidR="008A14D9" w:rsidRPr="00FC71BE" w:rsidRDefault="008A14D9" w:rsidP="008A14D9">
            <w:pPr>
              <w:ind w:firstLine="0"/>
              <w:jc w:val="center"/>
            </w:pPr>
            <w:r w:rsidRPr="00FC71BE">
              <w:t>rad/s</w:t>
            </w:r>
          </w:p>
        </w:tc>
      </w:tr>
      <w:tr w:rsidR="00FC71BE" w:rsidRPr="00FC71BE" w14:paraId="1818133F" w14:textId="77777777" w:rsidTr="008A14D9">
        <w:tc>
          <w:tcPr>
            <w:tcW w:w="1413" w:type="dxa"/>
            <w:vAlign w:val="center"/>
          </w:tcPr>
          <w:p w14:paraId="1C845C9D" w14:textId="34079B91"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ω</m:t>
                    </m:r>
                  </m:e>
                  <m:sub>
                    <m:r>
                      <w:rPr>
                        <w:rFonts w:ascii="Cambria Math" w:hAnsi="Cambria Math"/>
                      </w:rPr>
                      <m:t>b</m:t>
                    </m:r>
                  </m:sub>
                </m:sSub>
              </m:oMath>
            </m:oMathPara>
          </w:p>
        </w:tc>
        <w:tc>
          <w:tcPr>
            <w:tcW w:w="6237" w:type="dxa"/>
          </w:tcPr>
          <w:p w14:paraId="1CE1C5AF" w14:textId="22E7C88B" w:rsidR="008A14D9" w:rsidRPr="00FC71BE" w:rsidRDefault="008A14D9" w:rsidP="008A14D9">
            <w:pPr>
              <w:ind w:firstLine="0"/>
            </w:pPr>
            <w:r w:rsidRPr="00FC71BE">
              <w:t>Base speed of electrical machine</w:t>
            </w:r>
          </w:p>
        </w:tc>
        <w:tc>
          <w:tcPr>
            <w:tcW w:w="1366" w:type="dxa"/>
            <w:vAlign w:val="center"/>
          </w:tcPr>
          <w:p w14:paraId="1C698B77" w14:textId="31053F2F" w:rsidR="008A14D9" w:rsidRPr="00FC71BE" w:rsidRDefault="008A14D9" w:rsidP="008A14D9">
            <w:pPr>
              <w:ind w:firstLine="0"/>
              <w:jc w:val="center"/>
            </w:pPr>
            <w:r w:rsidRPr="00FC71BE">
              <w:t>rad/s</w:t>
            </w:r>
          </w:p>
        </w:tc>
      </w:tr>
      <w:tr w:rsidR="00FC71BE" w:rsidRPr="00FC71BE" w14:paraId="07E64028" w14:textId="77777777" w:rsidTr="008A14D9">
        <w:tc>
          <w:tcPr>
            <w:tcW w:w="1413" w:type="dxa"/>
            <w:vAlign w:val="center"/>
          </w:tcPr>
          <w:p w14:paraId="00F93979" w14:textId="4FDFAE5F" w:rsidR="008A14D9" w:rsidRPr="00FC71BE" w:rsidRDefault="002143AD" w:rsidP="008A14D9">
            <w:pPr>
              <w:ind w:firstLine="0"/>
              <w:jc w:val="center"/>
              <w:rPr>
                <w:rFonts w:eastAsia="等线" w:cs="Times New Roman"/>
              </w:rPr>
            </w:pPr>
            <m:oMath>
              <m:sSub>
                <m:sSubPr>
                  <m:ctrlPr>
                    <w:rPr>
                      <w:rFonts w:ascii="Cambria Math" w:hAnsi="Cambria Math"/>
                      <w:i/>
                    </w:rPr>
                  </m:ctrlPr>
                </m:sSubPr>
                <m:e>
                  <m:r>
                    <w:rPr>
                      <w:rFonts w:ascii="Cambria Math" w:hAnsi="Cambria Math"/>
                    </w:rPr>
                    <m:t>ω</m:t>
                  </m:r>
                </m:e>
                <m:sub>
                  <m:r>
                    <w:rPr>
                      <w:rFonts w:ascii="Cambria Math" w:hAnsi="Cambria Math"/>
                    </w:rPr>
                    <m:t>e</m:t>
                  </m:r>
                </m:sub>
              </m:sSub>
            </m:oMath>
            <w:r w:rsidR="008A14D9" w:rsidRPr="00FC71BE">
              <w:t xml:space="preserve">, </w:t>
            </w:r>
            <m:oMath>
              <m:sSub>
                <m:sSubPr>
                  <m:ctrlPr>
                    <w:rPr>
                      <w:rFonts w:ascii="Cambria Math" w:hAnsi="Cambria Math"/>
                      <w:i/>
                    </w:rPr>
                  </m:ctrlPr>
                </m:sSubPr>
                <m:e>
                  <m:r>
                    <w:rPr>
                      <w:rFonts w:ascii="Cambria Math" w:hAnsi="Cambria Math"/>
                    </w:rPr>
                    <m:t>ω</m:t>
                  </m:r>
                </m:e>
                <m:sub>
                  <m:r>
                    <w:rPr>
                      <w:rFonts w:ascii="Cambria Math" w:hAnsi="Cambria Math"/>
                    </w:rPr>
                    <m:t>m</m:t>
                  </m:r>
                </m:sub>
              </m:sSub>
            </m:oMath>
          </w:p>
        </w:tc>
        <w:tc>
          <w:tcPr>
            <w:tcW w:w="6237" w:type="dxa"/>
          </w:tcPr>
          <w:p w14:paraId="741E83E9" w14:textId="649AD311" w:rsidR="008A14D9" w:rsidRPr="00FC71BE" w:rsidRDefault="008A14D9" w:rsidP="008A14D9">
            <w:pPr>
              <w:ind w:firstLine="0"/>
            </w:pPr>
            <w:r w:rsidRPr="00FC71BE">
              <w:t>Rotor electrical and mechanical speed</w:t>
            </w:r>
            <w:r w:rsidR="00B573FF" w:rsidRPr="00FC71BE">
              <w:t>s</w:t>
            </w:r>
          </w:p>
        </w:tc>
        <w:tc>
          <w:tcPr>
            <w:tcW w:w="1366" w:type="dxa"/>
            <w:vAlign w:val="center"/>
          </w:tcPr>
          <w:p w14:paraId="51B7813F" w14:textId="24A9F19D" w:rsidR="008A14D9" w:rsidRPr="00FC71BE" w:rsidRDefault="008A14D9" w:rsidP="008A14D9">
            <w:pPr>
              <w:ind w:firstLine="0"/>
              <w:jc w:val="center"/>
            </w:pPr>
            <w:r w:rsidRPr="00FC71BE">
              <w:t>rad/s</w:t>
            </w:r>
          </w:p>
        </w:tc>
      </w:tr>
      <w:tr w:rsidR="00FC71BE" w:rsidRPr="00FC71BE" w14:paraId="3150747D" w14:textId="77777777" w:rsidTr="008A14D9">
        <w:tc>
          <w:tcPr>
            <w:tcW w:w="1413" w:type="dxa"/>
            <w:vAlign w:val="center"/>
          </w:tcPr>
          <w:p w14:paraId="6248D5D7" w14:textId="487741A7" w:rsidR="008A14D9" w:rsidRPr="00FC71BE" w:rsidRDefault="002143AD" w:rsidP="008A14D9">
            <w:pPr>
              <w:ind w:firstLine="0"/>
              <w:jc w:val="center"/>
              <w:rPr>
                <w:rFonts w:eastAsia="等线" w:cs="Times New Roman"/>
              </w:rPr>
            </w:pPr>
            <m:oMathPara>
              <m:oMath>
                <m:sSub>
                  <m:sSubPr>
                    <m:ctrlPr>
                      <w:rPr>
                        <w:rFonts w:ascii="Cambria Math" w:hAnsi="Cambria Math"/>
                        <w:i/>
                      </w:rPr>
                    </m:ctrlPr>
                  </m:sSubPr>
                  <m:e>
                    <m:r>
                      <w:rPr>
                        <w:rFonts w:ascii="Cambria Math" w:hAnsi="Cambria Math"/>
                      </w:rPr>
                      <m:t>ω</m:t>
                    </m:r>
                  </m:e>
                  <m:sub>
                    <m:r>
                      <w:rPr>
                        <w:rFonts w:ascii="Cambria Math" w:hAnsi="Cambria Math"/>
                      </w:rPr>
                      <m:t>max</m:t>
                    </m:r>
                  </m:sub>
                </m:sSub>
              </m:oMath>
            </m:oMathPara>
          </w:p>
        </w:tc>
        <w:tc>
          <w:tcPr>
            <w:tcW w:w="6237" w:type="dxa"/>
          </w:tcPr>
          <w:p w14:paraId="1F4087C7" w14:textId="221E73C5" w:rsidR="008A14D9" w:rsidRPr="00FC71BE" w:rsidRDefault="008A14D9" w:rsidP="008A14D9">
            <w:pPr>
              <w:ind w:firstLine="0"/>
            </w:pPr>
            <w:r w:rsidRPr="00FC71BE">
              <w:t>Maximum speed of electrical machine</w:t>
            </w:r>
          </w:p>
        </w:tc>
        <w:tc>
          <w:tcPr>
            <w:tcW w:w="1366" w:type="dxa"/>
            <w:vAlign w:val="center"/>
          </w:tcPr>
          <w:p w14:paraId="09A59BA3" w14:textId="054C06B7" w:rsidR="008A14D9" w:rsidRPr="00FC71BE" w:rsidRDefault="008A14D9" w:rsidP="008A14D9">
            <w:pPr>
              <w:ind w:firstLine="0"/>
              <w:jc w:val="center"/>
            </w:pPr>
            <w:r w:rsidRPr="00FC71BE">
              <w:t>rad/s</w:t>
            </w:r>
          </w:p>
        </w:tc>
      </w:tr>
    </w:tbl>
    <w:p w14:paraId="7AFEFD89" w14:textId="48D5EE96" w:rsidR="00591465" w:rsidRPr="00FC71BE" w:rsidRDefault="00591465" w:rsidP="00EE2A23">
      <w:pPr>
        <w:pStyle w:val="Styleofnomenclayures"/>
      </w:pPr>
      <w:r w:rsidRPr="00FC71BE">
        <w:t>Heat transfer symbols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237"/>
        <w:gridCol w:w="1366"/>
      </w:tblGrid>
      <w:tr w:rsidR="00FC71BE" w:rsidRPr="00FC71BE" w14:paraId="3C470832" w14:textId="77777777" w:rsidTr="001A3C4F">
        <w:tc>
          <w:tcPr>
            <w:tcW w:w="1413" w:type="dxa"/>
            <w:vAlign w:val="center"/>
          </w:tcPr>
          <w:p w14:paraId="328B602B" w14:textId="30070540" w:rsidR="009F1C15" w:rsidRPr="00FC71BE" w:rsidRDefault="009F1C15" w:rsidP="009F1C15">
            <w:pPr>
              <w:ind w:firstLine="0"/>
              <w:jc w:val="center"/>
              <w:rPr>
                <w:rFonts w:eastAsia="等线" w:cs="Times New Roman"/>
              </w:rPr>
            </w:pPr>
            <m:oMathPara>
              <m:oMath>
                <m:r>
                  <w:rPr>
                    <w:rFonts w:ascii="Cambria Math" w:eastAsia="等线" w:hAnsi="Cambria Math" w:cs="Times New Roman"/>
                  </w:rPr>
                  <m:t>c</m:t>
                </m:r>
              </m:oMath>
            </m:oMathPara>
          </w:p>
        </w:tc>
        <w:tc>
          <w:tcPr>
            <w:tcW w:w="6237" w:type="dxa"/>
          </w:tcPr>
          <w:p w14:paraId="27F52BB0" w14:textId="18613654" w:rsidR="009F1C15" w:rsidRPr="00FC71BE" w:rsidRDefault="009F1C15" w:rsidP="009F1C15">
            <w:pPr>
              <w:ind w:firstLine="0"/>
            </w:pPr>
            <w:r w:rsidRPr="00FC71BE">
              <w:t>Specific heat capacity</w:t>
            </w:r>
          </w:p>
        </w:tc>
        <w:tc>
          <w:tcPr>
            <w:tcW w:w="1366" w:type="dxa"/>
            <w:vAlign w:val="center"/>
          </w:tcPr>
          <w:p w14:paraId="0399BF28" w14:textId="646DF254" w:rsidR="009F1C15" w:rsidRPr="00FC71BE" w:rsidRDefault="009F1C15" w:rsidP="009F1C15">
            <w:pPr>
              <w:ind w:firstLine="0"/>
              <w:jc w:val="center"/>
            </w:pPr>
            <m:oMathPara>
              <m:oMath>
                <m:r>
                  <m:rPr>
                    <m:sty m:val="p"/>
                  </m:rPr>
                  <w:rPr>
                    <w:rFonts w:ascii="Cambria Math" w:hAnsi="Cambria Math"/>
                  </w:rPr>
                  <m:t>J/</m:t>
                </m:r>
                <m:f>
                  <m:fPr>
                    <m:type m:val="lin"/>
                    <m:ctrlPr>
                      <w:rPr>
                        <w:rFonts w:ascii="Cambria Math" w:hAnsi="Cambria Math"/>
                        <w:iCs/>
                      </w:rPr>
                    </m:ctrlPr>
                  </m:fPr>
                  <m:num>
                    <m:r>
                      <m:rPr>
                        <m:sty m:val="p"/>
                      </m:rPr>
                      <w:rPr>
                        <w:rFonts w:ascii="Cambria Math" w:hAnsi="Cambria Math"/>
                      </w:rPr>
                      <m:t>kg</m:t>
                    </m:r>
                  </m:num>
                  <m:den>
                    <m:r>
                      <m:rPr>
                        <m:sty m:val="p"/>
                      </m:rPr>
                      <w:rPr>
                        <w:rFonts w:ascii="Cambria Math" w:hAnsi="Cambria Math"/>
                      </w:rPr>
                      <m:t>K</m:t>
                    </m:r>
                  </m:den>
                </m:f>
              </m:oMath>
            </m:oMathPara>
          </w:p>
        </w:tc>
      </w:tr>
      <w:tr w:rsidR="00FC71BE" w:rsidRPr="00FC71BE" w14:paraId="26718229" w14:textId="77777777" w:rsidTr="001A3C4F">
        <w:tc>
          <w:tcPr>
            <w:tcW w:w="1413" w:type="dxa"/>
            <w:vAlign w:val="center"/>
          </w:tcPr>
          <w:p w14:paraId="2F0CFB96" w14:textId="4C90B8A3" w:rsidR="004C0084" w:rsidRPr="00FC71BE" w:rsidRDefault="004C0084" w:rsidP="004C0084">
            <w:pPr>
              <w:ind w:firstLine="0"/>
              <w:jc w:val="center"/>
              <w:rPr>
                <w:rFonts w:eastAsia="等线" w:cs="Times New Roman"/>
              </w:rPr>
            </w:pPr>
            <m:oMathPara>
              <m:oMath>
                <m:r>
                  <w:rPr>
                    <w:rFonts w:ascii="Cambria Math" w:eastAsia="等线" w:hAnsi="Cambria Math" w:cs="Times New Roman"/>
                  </w:rPr>
                  <m:t>h</m:t>
                </m:r>
              </m:oMath>
            </m:oMathPara>
          </w:p>
        </w:tc>
        <w:tc>
          <w:tcPr>
            <w:tcW w:w="6237" w:type="dxa"/>
          </w:tcPr>
          <w:p w14:paraId="201C8489" w14:textId="67081C48" w:rsidR="004C0084" w:rsidRPr="00FC71BE" w:rsidRDefault="004C0084" w:rsidP="004C0084">
            <w:pPr>
              <w:ind w:firstLine="0"/>
            </w:pPr>
            <w:r w:rsidRPr="00FC71BE">
              <w:t>Convection coefficient</w:t>
            </w:r>
          </w:p>
        </w:tc>
        <w:tc>
          <w:tcPr>
            <w:tcW w:w="1366" w:type="dxa"/>
            <w:vAlign w:val="center"/>
          </w:tcPr>
          <w:p w14:paraId="01153A7D" w14:textId="3D31D28B" w:rsidR="004C0084" w:rsidRPr="00FC71BE" w:rsidRDefault="004C0084" w:rsidP="004C0084">
            <w:pPr>
              <w:ind w:firstLine="0"/>
              <w:jc w:val="center"/>
              <w:rPr>
                <w:rFonts w:eastAsia="等线" w:cs="Times New Roman"/>
                <w:iCs/>
              </w:rPr>
            </w:pPr>
            <m:oMathPara>
              <m:oMath>
                <m:r>
                  <m:rPr>
                    <m:sty m:val="p"/>
                  </m:rPr>
                  <w:rPr>
                    <w:rFonts w:ascii="Cambria Math" w:hAnsi="Cambria Math"/>
                  </w:rPr>
                  <m:t>W/</m:t>
                </m:r>
                <m:f>
                  <m:fPr>
                    <m:type m:val="lin"/>
                    <m:ctrlPr>
                      <w:rPr>
                        <w:rFonts w:ascii="Cambria Math" w:hAnsi="Cambria Math"/>
                        <w:iCs/>
                      </w:rPr>
                    </m:ctrlPr>
                  </m:fPr>
                  <m:num>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num>
                  <m:den>
                    <m:r>
                      <m:rPr>
                        <m:sty m:val="p"/>
                      </m:rPr>
                      <w:rPr>
                        <w:rFonts w:ascii="Cambria Math" w:hAnsi="Cambria Math"/>
                      </w:rPr>
                      <m:t>K</m:t>
                    </m:r>
                  </m:den>
                </m:f>
              </m:oMath>
            </m:oMathPara>
          </w:p>
        </w:tc>
      </w:tr>
      <w:tr w:rsidR="00FC71BE" w:rsidRPr="00FC71BE" w14:paraId="6AC802B8" w14:textId="77777777" w:rsidTr="001A3C4F">
        <w:tc>
          <w:tcPr>
            <w:tcW w:w="1413" w:type="dxa"/>
            <w:vAlign w:val="center"/>
          </w:tcPr>
          <w:p w14:paraId="53A0673B" w14:textId="36AF1C69" w:rsidR="004C0084" w:rsidRPr="00FC71BE" w:rsidRDefault="002143AD" w:rsidP="004C0084">
            <w:pPr>
              <w:ind w:firstLine="0"/>
              <w:jc w:val="center"/>
              <w:rPr>
                <w:rFonts w:eastAsia="等线" w:cs="Times New Roman"/>
                <w:i/>
                <w:iCs/>
              </w:rPr>
            </w:pPr>
            <m:oMathPara>
              <m:oMath>
                <m:sSub>
                  <m:sSubPr>
                    <m:ctrlPr>
                      <w:rPr>
                        <w:rFonts w:ascii="Cambria Math" w:eastAsia="等线" w:hAnsi="Cambria Math" w:cs="Times New Roman"/>
                        <w:i/>
                      </w:rPr>
                    </m:ctrlPr>
                  </m:sSubPr>
                  <m:e>
                    <m:r>
                      <w:rPr>
                        <w:rFonts w:ascii="Cambria Math" w:eastAsia="等线" w:hAnsi="Cambria Math" w:cs="Times New Roman"/>
                      </w:rPr>
                      <m:t>h</m:t>
                    </m:r>
                  </m:e>
                  <m:sub>
                    <m:r>
                      <w:rPr>
                        <w:rFonts w:ascii="Cambria Math" w:eastAsia="等线" w:hAnsi="Cambria Math" w:cs="Times New Roman"/>
                      </w:rPr>
                      <m:t>e</m:t>
                    </m:r>
                  </m:sub>
                </m:sSub>
              </m:oMath>
            </m:oMathPara>
          </w:p>
        </w:tc>
        <w:tc>
          <w:tcPr>
            <w:tcW w:w="6237" w:type="dxa"/>
          </w:tcPr>
          <w:p w14:paraId="4BA52EDB" w14:textId="76E1ADD3" w:rsidR="004C0084" w:rsidRPr="00FC71BE" w:rsidRDefault="004C0084" w:rsidP="004C0084">
            <w:pPr>
              <w:ind w:firstLine="0"/>
            </w:pPr>
            <w:r w:rsidRPr="00FC71BE">
              <w:t>Average convection coefficient</w:t>
            </w:r>
          </w:p>
        </w:tc>
        <w:tc>
          <w:tcPr>
            <w:tcW w:w="1366" w:type="dxa"/>
            <w:vAlign w:val="center"/>
          </w:tcPr>
          <w:p w14:paraId="1B035B08" w14:textId="4AD67502" w:rsidR="004C0084" w:rsidRPr="00FC71BE" w:rsidRDefault="004C0084" w:rsidP="004C0084">
            <w:pPr>
              <w:ind w:firstLine="0"/>
              <w:jc w:val="center"/>
            </w:pPr>
            <m:oMathPara>
              <m:oMath>
                <m:r>
                  <m:rPr>
                    <m:sty m:val="p"/>
                  </m:rPr>
                  <w:rPr>
                    <w:rFonts w:ascii="Cambria Math" w:hAnsi="Cambria Math"/>
                  </w:rPr>
                  <m:t>W/</m:t>
                </m:r>
                <m:f>
                  <m:fPr>
                    <m:type m:val="lin"/>
                    <m:ctrlPr>
                      <w:rPr>
                        <w:rFonts w:ascii="Cambria Math" w:hAnsi="Cambria Math"/>
                        <w:iCs/>
                      </w:rPr>
                    </m:ctrlPr>
                  </m:fPr>
                  <m:num>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num>
                  <m:den>
                    <m:r>
                      <m:rPr>
                        <m:sty m:val="p"/>
                      </m:rPr>
                      <w:rPr>
                        <w:rFonts w:ascii="Cambria Math" w:hAnsi="Cambria Math"/>
                      </w:rPr>
                      <m:t>K</m:t>
                    </m:r>
                  </m:den>
                </m:f>
              </m:oMath>
            </m:oMathPara>
          </w:p>
        </w:tc>
      </w:tr>
      <w:tr w:rsidR="00FC71BE" w:rsidRPr="00FC71BE" w14:paraId="574D5648" w14:textId="77777777" w:rsidTr="001A3C4F">
        <w:tc>
          <w:tcPr>
            <w:tcW w:w="1413" w:type="dxa"/>
            <w:vAlign w:val="center"/>
          </w:tcPr>
          <w:p w14:paraId="7D290753" w14:textId="1E8D842F" w:rsidR="007F7C39" w:rsidRPr="00FC71BE" w:rsidRDefault="007F7C39" w:rsidP="007F7C39">
            <w:pPr>
              <w:ind w:firstLine="0"/>
              <w:jc w:val="center"/>
              <w:rPr>
                <w:rFonts w:eastAsia="等线" w:cs="Times New Roman"/>
              </w:rPr>
            </w:pPr>
            <m:oMath>
              <m:r>
                <w:rPr>
                  <w:rFonts w:ascii="Cambria Math" w:eastAsia="等线" w:hAnsi="Cambria Math" w:cs="Times New Roman"/>
                </w:rPr>
                <m:t>q</m:t>
              </m:r>
            </m:oMath>
            <w:r w:rsidRPr="00FC71BE">
              <w:rPr>
                <w:rFonts w:eastAsia="等线" w:cs="Times New Roman"/>
              </w:rPr>
              <w:t xml:space="preserve">, </w:t>
            </w:r>
            <m:oMath>
              <m:r>
                <m:rPr>
                  <m:sty m:val="bi"/>
                </m:rPr>
                <w:rPr>
                  <w:rFonts w:ascii="Cambria Math" w:eastAsia="等线" w:hAnsi="Cambria Math" w:cs="Times New Roman"/>
                </w:rPr>
                <m:t>q</m:t>
              </m:r>
            </m:oMath>
          </w:p>
        </w:tc>
        <w:tc>
          <w:tcPr>
            <w:tcW w:w="6237" w:type="dxa"/>
          </w:tcPr>
          <w:p w14:paraId="2A0B07B8" w14:textId="3614BD0A" w:rsidR="007F7C39" w:rsidRPr="00FC71BE" w:rsidRDefault="007F7C39" w:rsidP="007F7C39">
            <w:pPr>
              <w:ind w:firstLine="0"/>
            </w:pPr>
            <w:r w:rsidRPr="00FC71BE">
              <w:t>Heat flux and its vector</w:t>
            </w:r>
          </w:p>
        </w:tc>
        <w:tc>
          <w:tcPr>
            <w:tcW w:w="1366" w:type="dxa"/>
            <w:vAlign w:val="center"/>
          </w:tcPr>
          <w:p w14:paraId="0433EE65" w14:textId="54A50ACA" w:rsidR="007F7C39" w:rsidRPr="00FC71BE" w:rsidRDefault="007F7C39" w:rsidP="007F7C39">
            <w:pPr>
              <w:ind w:firstLine="0"/>
              <w:jc w:val="center"/>
              <w:rPr>
                <w:rFonts w:eastAsia="等线" w:cs="Times New Roman"/>
                <w:iCs/>
              </w:rPr>
            </w:pPr>
            <w:r w:rsidRPr="00FC71BE">
              <w:t>W</w:t>
            </w:r>
          </w:p>
        </w:tc>
      </w:tr>
      <w:tr w:rsidR="00FC71BE" w:rsidRPr="00FC71BE" w14:paraId="4819B655" w14:textId="77777777" w:rsidTr="001A3C4F">
        <w:tc>
          <w:tcPr>
            <w:tcW w:w="1413" w:type="dxa"/>
            <w:vAlign w:val="center"/>
          </w:tcPr>
          <w:p w14:paraId="21C65D9F" w14:textId="60C49D09" w:rsidR="0074442C" w:rsidRPr="00FC71BE" w:rsidRDefault="0074442C" w:rsidP="0074442C">
            <w:pPr>
              <w:ind w:firstLine="0"/>
              <w:jc w:val="center"/>
              <w:rPr>
                <w:rFonts w:eastAsia="等线" w:cs="Times New Roman"/>
              </w:rPr>
            </w:pPr>
            <m:oMathPara>
              <m:oMath>
                <m:r>
                  <w:rPr>
                    <w:rFonts w:ascii="Cambria Math" w:eastAsia="等线" w:hAnsi="Cambria Math" w:cs="Times New Roman"/>
                  </w:rPr>
                  <m:t>Q</m:t>
                </m:r>
              </m:oMath>
            </m:oMathPara>
          </w:p>
        </w:tc>
        <w:tc>
          <w:tcPr>
            <w:tcW w:w="6237" w:type="dxa"/>
          </w:tcPr>
          <w:p w14:paraId="52025555" w14:textId="71C93EBA" w:rsidR="0074442C" w:rsidRPr="00FC71BE" w:rsidRDefault="0074442C" w:rsidP="0074442C">
            <w:pPr>
              <w:ind w:firstLine="0"/>
            </w:pPr>
            <w:r w:rsidRPr="00FC71BE">
              <w:t>Volumetric heat generation</w:t>
            </w:r>
          </w:p>
        </w:tc>
        <w:tc>
          <w:tcPr>
            <w:tcW w:w="1366" w:type="dxa"/>
            <w:vAlign w:val="center"/>
          </w:tcPr>
          <w:p w14:paraId="3E907D0A" w14:textId="50786B51" w:rsidR="0074442C" w:rsidRPr="00FC71BE" w:rsidRDefault="0074442C" w:rsidP="0074442C">
            <w:pPr>
              <w:ind w:firstLine="0"/>
              <w:jc w:val="center"/>
              <w:rPr>
                <w:rFonts w:eastAsia="等线" w:cs="Times New Roman"/>
                <w:iCs/>
              </w:rPr>
            </w:pPr>
            <m:oMathPara>
              <m:oMath>
                <m:r>
                  <m:rPr>
                    <m:sty m:val="p"/>
                  </m:rPr>
                  <w:rPr>
                    <w:rFonts w:ascii="Cambria Math" w:hAnsi="Cambria Math"/>
                  </w:rPr>
                  <m:t>J/</m:t>
                </m:r>
                <m:f>
                  <m:fPr>
                    <m:type m:val="lin"/>
                    <m:ctrlPr>
                      <w:rPr>
                        <w:rFonts w:ascii="Cambria Math" w:hAnsi="Cambria Math"/>
                        <w:iCs/>
                      </w:rPr>
                    </m:ctrlPr>
                  </m:fPr>
                  <m:num>
                    <m:r>
                      <m:rPr>
                        <m:sty m:val="p"/>
                      </m:rPr>
                      <w:rPr>
                        <w:rFonts w:ascii="Cambria Math" w:hAnsi="Cambria Math"/>
                      </w:rPr>
                      <m:t>K</m:t>
                    </m:r>
                  </m:num>
                  <m:den>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den>
                </m:f>
              </m:oMath>
            </m:oMathPara>
          </w:p>
        </w:tc>
      </w:tr>
      <w:tr w:rsidR="00FC71BE" w:rsidRPr="00FC71BE" w14:paraId="64FFE102" w14:textId="77777777" w:rsidTr="001A3C4F">
        <w:tc>
          <w:tcPr>
            <w:tcW w:w="1413" w:type="dxa"/>
            <w:vAlign w:val="center"/>
          </w:tcPr>
          <w:p w14:paraId="574A8FD7" w14:textId="36B9E51B" w:rsidR="0074442C" w:rsidRPr="00FC71BE" w:rsidRDefault="002143AD" w:rsidP="0074442C">
            <w:pPr>
              <w:ind w:firstLine="0"/>
              <w:jc w:val="center"/>
              <w:rPr>
                <w:rFonts w:eastAsia="等线" w:cs="Times New Roman"/>
              </w:rPr>
            </w:pPr>
            <m:oMathPara>
              <m:oMath>
                <m:sSub>
                  <m:sSubPr>
                    <m:ctrlPr>
                      <w:rPr>
                        <w:rFonts w:ascii="Cambria Math" w:eastAsia="等线" w:hAnsi="Cambria Math" w:cs="Times New Roman"/>
                        <w:i/>
                        <w:iCs/>
                      </w:rPr>
                    </m:ctrlPr>
                  </m:sSubPr>
                  <m:e>
                    <m:r>
                      <w:rPr>
                        <w:rFonts w:ascii="Cambria Math" w:eastAsia="等线" w:hAnsi="Cambria Math" w:cs="Times New Roman"/>
                      </w:rPr>
                      <m:t>Q</m:t>
                    </m:r>
                  </m:e>
                  <m:sub>
                    <m:r>
                      <w:rPr>
                        <w:rFonts w:ascii="Cambria Math" w:eastAsia="等线" w:hAnsi="Cambria Math" w:cs="Times New Roman"/>
                      </w:rPr>
                      <m:t>s</m:t>
                    </m:r>
                  </m:sub>
                </m:sSub>
              </m:oMath>
            </m:oMathPara>
          </w:p>
        </w:tc>
        <w:tc>
          <w:tcPr>
            <w:tcW w:w="6237" w:type="dxa"/>
          </w:tcPr>
          <w:p w14:paraId="627D0A56" w14:textId="14971F1E" w:rsidR="0074442C" w:rsidRPr="00FC71BE" w:rsidRDefault="0074442C" w:rsidP="0074442C">
            <w:pPr>
              <w:ind w:firstLine="0"/>
            </w:pPr>
            <w:r w:rsidRPr="00FC71BE">
              <w:t>Average heat transfer rate per surface area</w:t>
            </w:r>
          </w:p>
        </w:tc>
        <w:tc>
          <w:tcPr>
            <w:tcW w:w="1366" w:type="dxa"/>
            <w:vAlign w:val="center"/>
          </w:tcPr>
          <w:p w14:paraId="72028046" w14:textId="0491815E" w:rsidR="0074442C" w:rsidRPr="00FC71BE" w:rsidRDefault="002143AD" w:rsidP="0074442C">
            <w:pPr>
              <w:ind w:firstLine="0"/>
              <w:jc w:val="center"/>
              <w:rPr>
                <w:rFonts w:eastAsia="等线" w:cs="Times New Roman"/>
                <w:iCs/>
              </w:rPr>
            </w:pPr>
            <m:oMathPara>
              <m:oMath>
                <m:f>
                  <m:fPr>
                    <m:type m:val="lin"/>
                    <m:ctrlPr>
                      <w:rPr>
                        <w:rFonts w:ascii="Cambria Math" w:hAnsi="Cambria Math"/>
                        <w:iCs/>
                      </w:rPr>
                    </m:ctrlPr>
                  </m:fPr>
                  <m:num>
                    <m:r>
                      <w:rPr>
                        <w:rFonts w:ascii="Cambria Math" w:hAnsi="Cambria Math"/>
                      </w:rPr>
                      <m:t>W</m:t>
                    </m:r>
                  </m:num>
                  <m:den>
                    <m:sSup>
                      <m:sSupPr>
                        <m:ctrlPr>
                          <w:rPr>
                            <w:rFonts w:ascii="Cambria Math" w:hAnsi="Cambria Math"/>
                            <w:iCs/>
                          </w:rPr>
                        </m:ctrlPr>
                      </m:sSupPr>
                      <m:e>
                        <m:r>
                          <m:rPr>
                            <m:sty m:val="p"/>
                          </m:rPr>
                          <w:rPr>
                            <w:rFonts w:ascii="Cambria Math" w:hAnsi="Cambria Math"/>
                          </w:rPr>
                          <m:t>m</m:t>
                        </m:r>
                      </m:e>
                      <m:sup>
                        <m:r>
                          <w:rPr>
                            <w:rFonts w:ascii="Cambria Math" w:hAnsi="Cambria Math"/>
                          </w:rPr>
                          <m:t>2</m:t>
                        </m:r>
                      </m:sup>
                    </m:sSup>
                  </m:den>
                </m:f>
              </m:oMath>
            </m:oMathPara>
          </w:p>
        </w:tc>
      </w:tr>
      <w:tr w:rsidR="00FC71BE" w:rsidRPr="00FC71BE" w14:paraId="04DB4C51" w14:textId="77777777" w:rsidTr="001A3C4F">
        <w:tc>
          <w:tcPr>
            <w:tcW w:w="1413" w:type="dxa"/>
            <w:vAlign w:val="center"/>
          </w:tcPr>
          <w:p w14:paraId="7B5D9318" w14:textId="6F26C988" w:rsidR="0074442C" w:rsidRPr="00FC71BE" w:rsidRDefault="002143AD" w:rsidP="0074442C">
            <w:pPr>
              <w:ind w:firstLine="0"/>
              <w:jc w:val="center"/>
              <w:rPr>
                <w:rFonts w:eastAsia="等线" w:cs="Times New Roman"/>
                <w:i/>
                <w:iCs/>
              </w:rPr>
            </w:pPr>
            <m:oMathPara>
              <m:oMath>
                <m:sSub>
                  <m:sSubPr>
                    <m:ctrlPr>
                      <w:rPr>
                        <w:rFonts w:ascii="Cambria Math" w:eastAsia="等线" w:hAnsi="Cambria Math" w:cs="Times New Roman"/>
                        <w:i/>
                      </w:rPr>
                    </m:ctrlPr>
                  </m:sSubPr>
                  <m:e>
                    <m:r>
                      <w:rPr>
                        <w:rFonts w:ascii="Cambria Math" w:eastAsia="等线" w:hAnsi="Cambria Math" w:cs="Times New Roman"/>
                      </w:rPr>
                      <m:t>R</m:t>
                    </m:r>
                  </m:e>
                  <m:sub>
                    <m:r>
                      <w:rPr>
                        <w:rFonts w:ascii="Cambria Math" w:eastAsia="等线" w:hAnsi="Cambria Math" w:cs="Times New Roman"/>
                      </w:rPr>
                      <m:t>1</m:t>
                    </m:r>
                    <m:r>
                      <w:rPr>
                        <w:rFonts w:ascii="Cambria Math" w:eastAsia="等线" w:hAnsi="Cambria Math" w:cs="Times New Roman"/>
                      </w:rPr>
                      <m:t>r</m:t>
                    </m:r>
                    <m:r>
                      <w:rPr>
                        <w:rFonts w:ascii="Cambria Math" w:eastAsia="等线" w:hAnsi="Cambria Math" w:cs="Times New Roman"/>
                      </w:rPr>
                      <m:t>,2</m:t>
                    </m:r>
                    <m:r>
                      <w:rPr>
                        <w:rFonts w:ascii="Cambria Math" w:eastAsia="等线" w:hAnsi="Cambria Math" w:cs="Times New Roman"/>
                      </w:rPr>
                      <m:t>r</m:t>
                    </m:r>
                    <m:r>
                      <w:rPr>
                        <w:rFonts w:ascii="Cambria Math" w:eastAsia="等线" w:hAnsi="Cambria Math" w:cs="Times New Roman"/>
                      </w:rPr>
                      <m:t>,3</m:t>
                    </m:r>
                    <m:r>
                      <w:rPr>
                        <w:rFonts w:ascii="Cambria Math" w:eastAsia="等线" w:hAnsi="Cambria Math" w:cs="Times New Roman"/>
                      </w:rPr>
                      <m:t>r</m:t>
                    </m:r>
                  </m:sub>
                </m:sSub>
              </m:oMath>
            </m:oMathPara>
          </w:p>
        </w:tc>
        <w:tc>
          <w:tcPr>
            <w:tcW w:w="6237" w:type="dxa"/>
          </w:tcPr>
          <w:p w14:paraId="4FE0EA7E" w14:textId="3E0E4A49" w:rsidR="0074442C" w:rsidRPr="00FC71BE" w:rsidRDefault="0074442C" w:rsidP="0074442C">
            <w:pPr>
              <w:ind w:firstLine="0"/>
            </w:pPr>
            <w:r w:rsidRPr="00FC71BE">
              <w:t>Equivalent thermal resistance in radial direction</w:t>
            </w:r>
          </w:p>
        </w:tc>
        <w:tc>
          <w:tcPr>
            <w:tcW w:w="1366" w:type="dxa"/>
            <w:vAlign w:val="center"/>
          </w:tcPr>
          <w:p w14:paraId="0290B779" w14:textId="4544B14E" w:rsidR="0074442C" w:rsidRPr="00FC71BE" w:rsidRDefault="002143AD" w:rsidP="0074442C">
            <w:pPr>
              <w:ind w:firstLine="0"/>
              <w:jc w:val="center"/>
            </w:pPr>
            <m:oMathPara>
              <m:oMath>
                <m:f>
                  <m:fPr>
                    <m:type m:val="lin"/>
                    <m:ctrlPr>
                      <w:rPr>
                        <w:rFonts w:ascii="Cambria Math" w:hAnsi="Cambria Math"/>
                      </w:rPr>
                    </m:ctrlPr>
                  </m:fPr>
                  <m:num>
                    <m:r>
                      <m:rPr>
                        <m:sty m:val="p"/>
                      </m:rPr>
                      <w:rPr>
                        <w:rFonts w:ascii="Cambria Math" w:hAnsi="Cambria Math"/>
                      </w:rPr>
                      <m:t>K</m:t>
                    </m:r>
                  </m:num>
                  <m:den>
                    <m:r>
                      <m:rPr>
                        <m:sty m:val="p"/>
                      </m:rPr>
                      <w:rPr>
                        <w:rFonts w:ascii="Cambria Math" w:hAnsi="Cambria Math"/>
                      </w:rPr>
                      <m:t>W</m:t>
                    </m:r>
                  </m:den>
                </m:f>
              </m:oMath>
            </m:oMathPara>
          </w:p>
        </w:tc>
      </w:tr>
      <w:tr w:rsidR="00FC71BE" w:rsidRPr="00FC71BE" w14:paraId="599BDB42" w14:textId="77777777" w:rsidTr="001A3C4F">
        <w:tc>
          <w:tcPr>
            <w:tcW w:w="1413" w:type="dxa"/>
            <w:vAlign w:val="center"/>
          </w:tcPr>
          <w:p w14:paraId="46395824" w14:textId="7752CE8E" w:rsidR="0074442C" w:rsidRPr="00FC71BE" w:rsidRDefault="002143AD" w:rsidP="0074442C">
            <w:pPr>
              <w:ind w:firstLine="0"/>
              <w:jc w:val="center"/>
              <w:rPr>
                <w:rFonts w:eastAsia="等线" w:cs="Times New Roman"/>
                <w:i/>
                <w:iCs/>
              </w:rPr>
            </w:pPr>
            <m:oMathPara>
              <m:oMath>
                <m:sSub>
                  <m:sSubPr>
                    <m:ctrlPr>
                      <w:rPr>
                        <w:rFonts w:ascii="Cambria Math" w:eastAsia="等线" w:hAnsi="Cambria Math" w:cs="Times New Roman"/>
                        <w:i/>
                      </w:rPr>
                    </m:ctrlPr>
                  </m:sSubPr>
                  <m:e>
                    <m:r>
                      <w:rPr>
                        <w:rFonts w:ascii="Cambria Math" w:eastAsia="等线" w:hAnsi="Cambria Math" w:cs="Times New Roman"/>
                      </w:rPr>
                      <m:t>R</m:t>
                    </m:r>
                  </m:e>
                  <m:sub>
                    <m:r>
                      <w:rPr>
                        <w:rFonts w:ascii="Cambria Math" w:eastAsia="等线" w:hAnsi="Cambria Math" w:cs="Times New Roman"/>
                      </w:rPr>
                      <m:t>1</m:t>
                    </m:r>
                    <m:r>
                      <w:rPr>
                        <w:rFonts w:ascii="Cambria Math" w:eastAsia="等线" w:hAnsi="Cambria Math" w:cs="Times New Roman"/>
                      </w:rPr>
                      <m:t>a</m:t>
                    </m:r>
                    <m:r>
                      <w:rPr>
                        <w:rFonts w:ascii="Cambria Math" w:eastAsia="等线" w:hAnsi="Cambria Math" w:cs="Times New Roman"/>
                      </w:rPr>
                      <m:t>,2</m:t>
                    </m:r>
                    <m:r>
                      <w:rPr>
                        <w:rFonts w:ascii="Cambria Math" w:eastAsia="等线" w:hAnsi="Cambria Math" w:cs="Times New Roman"/>
                      </w:rPr>
                      <m:t>a</m:t>
                    </m:r>
                    <m:r>
                      <w:rPr>
                        <w:rFonts w:ascii="Cambria Math" w:eastAsia="等线" w:hAnsi="Cambria Math" w:cs="Times New Roman"/>
                      </w:rPr>
                      <m:t>,3</m:t>
                    </m:r>
                    <m:r>
                      <w:rPr>
                        <w:rFonts w:ascii="Cambria Math" w:eastAsia="等线" w:hAnsi="Cambria Math" w:cs="Times New Roman"/>
                      </w:rPr>
                      <m:t>a</m:t>
                    </m:r>
                  </m:sub>
                </m:sSub>
              </m:oMath>
            </m:oMathPara>
          </w:p>
        </w:tc>
        <w:tc>
          <w:tcPr>
            <w:tcW w:w="6237" w:type="dxa"/>
          </w:tcPr>
          <w:p w14:paraId="20F73652" w14:textId="3ECB19E4" w:rsidR="0074442C" w:rsidRPr="00FC71BE" w:rsidRDefault="0074442C" w:rsidP="0074442C">
            <w:pPr>
              <w:ind w:firstLine="0"/>
            </w:pPr>
            <w:r w:rsidRPr="00FC71BE">
              <w:t>Equivalent thermal resistance in axial direction</w:t>
            </w:r>
          </w:p>
        </w:tc>
        <w:tc>
          <w:tcPr>
            <w:tcW w:w="1366" w:type="dxa"/>
            <w:vAlign w:val="center"/>
          </w:tcPr>
          <w:p w14:paraId="46EBA814" w14:textId="10AD26DC" w:rsidR="0074442C" w:rsidRPr="00FC71BE" w:rsidRDefault="002143AD" w:rsidP="0074442C">
            <w:pPr>
              <w:ind w:firstLine="0"/>
              <w:jc w:val="center"/>
            </w:pPr>
            <m:oMathPara>
              <m:oMath>
                <m:f>
                  <m:fPr>
                    <m:type m:val="lin"/>
                    <m:ctrlPr>
                      <w:rPr>
                        <w:rFonts w:ascii="Cambria Math" w:hAnsi="Cambria Math"/>
                      </w:rPr>
                    </m:ctrlPr>
                  </m:fPr>
                  <m:num>
                    <m:r>
                      <m:rPr>
                        <m:sty m:val="p"/>
                      </m:rPr>
                      <w:rPr>
                        <w:rFonts w:ascii="Cambria Math" w:hAnsi="Cambria Math"/>
                      </w:rPr>
                      <m:t>K</m:t>
                    </m:r>
                  </m:num>
                  <m:den>
                    <m:r>
                      <m:rPr>
                        <m:sty m:val="p"/>
                      </m:rPr>
                      <w:rPr>
                        <w:rFonts w:ascii="Cambria Math" w:hAnsi="Cambria Math"/>
                      </w:rPr>
                      <m:t>W</m:t>
                    </m:r>
                  </m:den>
                </m:f>
              </m:oMath>
            </m:oMathPara>
          </w:p>
        </w:tc>
      </w:tr>
      <w:tr w:rsidR="00FC71BE" w:rsidRPr="00FC71BE" w14:paraId="4FEA499E" w14:textId="77777777" w:rsidTr="001A3C4F">
        <w:tc>
          <w:tcPr>
            <w:tcW w:w="1413" w:type="dxa"/>
            <w:vAlign w:val="center"/>
          </w:tcPr>
          <w:p w14:paraId="340753F6" w14:textId="5DB87008" w:rsidR="0074442C" w:rsidRPr="00FC71BE" w:rsidRDefault="002143AD" w:rsidP="0074442C">
            <w:pPr>
              <w:ind w:firstLine="0"/>
              <w:jc w:val="center"/>
              <w:rPr>
                <w:rFonts w:eastAsia="等线" w:cs="Times New Roman"/>
                <w:i/>
                <w:iCs/>
              </w:rPr>
            </w:pPr>
            <m:oMathPara>
              <m:oMath>
                <m:sSub>
                  <m:sSubPr>
                    <m:ctrlPr>
                      <w:rPr>
                        <w:rFonts w:ascii="Cambria Math" w:eastAsia="等线" w:hAnsi="Cambria Math" w:cs="Times New Roman"/>
                        <w:i/>
                      </w:rPr>
                    </m:ctrlPr>
                  </m:sSubPr>
                  <m:e>
                    <m:r>
                      <w:rPr>
                        <w:rFonts w:ascii="Cambria Math" w:eastAsia="等线" w:hAnsi="Cambria Math" w:cs="Times New Roman"/>
                      </w:rPr>
                      <m:t>R</m:t>
                    </m:r>
                  </m:e>
                  <m:sub>
                    <m:r>
                      <w:rPr>
                        <w:rFonts w:ascii="Cambria Math" w:eastAsia="等线" w:hAnsi="Cambria Math" w:cs="Times New Roman"/>
                      </w:rPr>
                      <m:t>1</m:t>
                    </m:r>
                    <m:r>
                      <w:rPr>
                        <w:rFonts w:ascii="Cambria Math" w:eastAsia="等线" w:hAnsi="Cambria Math" w:cs="Times New Roman"/>
                      </w:rPr>
                      <m:t>c</m:t>
                    </m:r>
                    <m:r>
                      <w:rPr>
                        <w:rFonts w:ascii="Cambria Math" w:eastAsia="等线" w:hAnsi="Cambria Math" w:cs="Times New Roman"/>
                      </w:rPr>
                      <m:t>,2</m:t>
                    </m:r>
                    <m:r>
                      <w:rPr>
                        <w:rFonts w:ascii="Cambria Math" w:eastAsia="等线" w:hAnsi="Cambria Math" w:cs="Times New Roman"/>
                      </w:rPr>
                      <m:t>c</m:t>
                    </m:r>
                    <m:r>
                      <w:rPr>
                        <w:rFonts w:ascii="Cambria Math" w:eastAsia="等线" w:hAnsi="Cambria Math" w:cs="Times New Roman"/>
                      </w:rPr>
                      <m:t>,3</m:t>
                    </m:r>
                    <m:r>
                      <w:rPr>
                        <w:rFonts w:ascii="Cambria Math" w:eastAsia="等线" w:hAnsi="Cambria Math" w:cs="Times New Roman"/>
                      </w:rPr>
                      <m:t>c</m:t>
                    </m:r>
                  </m:sub>
                </m:sSub>
              </m:oMath>
            </m:oMathPara>
          </w:p>
        </w:tc>
        <w:tc>
          <w:tcPr>
            <w:tcW w:w="6237" w:type="dxa"/>
          </w:tcPr>
          <w:p w14:paraId="182CCC4D" w14:textId="07AEBFE5" w:rsidR="0074442C" w:rsidRPr="00FC71BE" w:rsidRDefault="0074442C" w:rsidP="0074442C">
            <w:pPr>
              <w:ind w:firstLine="0"/>
            </w:pPr>
            <w:r w:rsidRPr="00FC71BE">
              <w:t>Equivalent thermal resistance of trapezoidal components</w:t>
            </w:r>
          </w:p>
        </w:tc>
        <w:tc>
          <w:tcPr>
            <w:tcW w:w="1366" w:type="dxa"/>
            <w:vAlign w:val="center"/>
          </w:tcPr>
          <w:p w14:paraId="09A667D7" w14:textId="560477A0" w:rsidR="0074442C" w:rsidRPr="00FC71BE" w:rsidRDefault="002143AD" w:rsidP="0074442C">
            <w:pPr>
              <w:ind w:firstLine="0"/>
              <w:jc w:val="center"/>
            </w:pPr>
            <m:oMathPara>
              <m:oMath>
                <m:f>
                  <m:fPr>
                    <m:type m:val="lin"/>
                    <m:ctrlPr>
                      <w:rPr>
                        <w:rFonts w:ascii="Cambria Math" w:hAnsi="Cambria Math"/>
                      </w:rPr>
                    </m:ctrlPr>
                  </m:fPr>
                  <m:num>
                    <m:r>
                      <m:rPr>
                        <m:sty m:val="p"/>
                      </m:rPr>
                      <w:rPr>
                        <w:rFonts w:ascii="Cambria Math" w:hAnsi="Cambria Math"/>
                      </w:rPr>
                      <m:t>K</m:t>
                    </m:r>
                  </m:num>
                  <m:den>
                    <m:r>
                      <m:rPr>
                        <m:sty m:val="p"/>
                      </m:rPr>
                      <w:rPr>
                        <w:rFonts w:ascii="Cambria Math" w:hAnsi="Cambria Math"/>
                      </w:rPr>
                      <m:t>W</m:t>
                    </m:r>
                  </m:den>
                </m:f>
              </m:oMath>
            </m:oMathPara>
          </w:p>
        </w:tc>
      </w:tr>
      <w:tr w:rsidR="00FC71BE" w:rsidRPr="00FC71BE" w14:paraId="6B8F6929" w14:textId="77777777" w:rsidTr="001A3C4F">
        <w:tc>
          <w:tcPr>
            <w:tcW w:w="1413" w:type="dxa"/>
            <w:vAlign w:val="center"/>
          </w:tcPr>
          <w:p w14:paraId="6A63D189" w14:textId="6C6E2AB5" w:rsidR="0074442C" w:rsidRPr="00FC71BE" w:rsidRDefault="0074442C" w:rsidP="0074442C">
            <w:pPr>
              <w:ind w:firstLine="0"/>
              <w:jc w:val="center"/>
              <w:rPr>
                <w:rFonts w:eastAsia="等线" w:cs="Times New Roman"/>
              </w:rPr>
            </w:pPr>
            <m:oMathPara>
              <m:oMath>
                <m:r>
                  <w:rPr>
                    <w:rFonts w:ascii="Cambria Math" w:eastAsia="等线" w:hAnsi="Cambria Math" w:cs="Times New Roman"/>
                  </w:rPr>
                  <m:t>T</m:t>
                </m:r>
              </m:oMath>
            </m:oMathPara>
          </w:p>
        </w:tc>
        <w:tc>
          <w:tcPr>
            <w:tcW w:w="6237" w:type="dxa"/>
          </w:tcPr>
          <w:p w14:paraId="126A5DD2" w14:textId="59694063" w:rsidR="0074442C" w:rsidRPr="00FC71BE" w:rsidRDefault="0074442C" w:rsidP="0074442C">
            <w:pPr>
              <w:ind w:firstLine="0"/>
            </w:pPr>
            <w:r w:rsidRPr="00FC71BE">
              <w:t>Temperature</w:t>
            </w:r>
          </w:p>
        </w:tc>
        <w:tc>
          <w:tcPr>
            <w:tcW w:w="1366" w:type="dxa"/>
            <w:vAlign w:val="center"/>
          </w:tcPr>
          <w:p w14:paraId="159E0E18" w14:textId="35D7FFB1" w:rsidR="0074442C" w:rsidRPr="00FC71BE" w:rsidRDefault="0074442C" w:rsidP="0074442C">
            <w:pPr>
              <w:ind w:firstLine="0"/>
              <w:jc w:val="center"/>
              <w:rPr>
                <w:iCs/>
              </w:rPr>
            </w:pPr>
            <w:r w:rsidRPr="00FC71BE">
              <w:t>K</w:t>
            </w:r>
          </w:p>
        </w:tc>
      </w:tr>
      <w:tr w:rsidR="00FC71BE" w:rsidRPr="00FC71BE" w14:paraId="73AE36CA" w14:textId="77777777" w:rsidTr="001A3C4F">
        <w:tc>
          <w:tcPr>
            <w:tcW w:w="1413" w:type="dxa"/>
            <w:vAlign w:val="center"/>
          </w:tcPr>
          <w:p w14:paraId="3C85E837" w14:textId="3A78E817" w:rsidR="0074442C" w:rsidRPr="00FC71BE" w:rsidRDefault="002143AD" w:rsidP="0074442C">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T</m:t>
                    </m:r>
                  </m:e>
                  <m:sub>
                    <m:r>
                      <w:rPr>
                        <w:rFonts w:ascii="Cambria Math" w:eastAsia="等线" w:hAnsi="Cambria Math" w:cs="Times New Roman"/>
                      </w:rPr>
                      <m:t>0</m:t>
                    </m:r>
                  </m:sub>
                </m:sSub>
              </m:oMath>
            </m:oMathPara>
          </w:p>
        </w:tc>
        <w:tc>
          <w:tcPr>
            <w:tcW w:w="6237" w:type="dxa"/>
          </w:tcPr>
          <w:p w14:paraId="782A6AC2" w14:textId="4B6C9C70" w:rsidR="0074442C" w:rsidRPr="00FC71BE" w:rsidRDefault="0074442C" w:rsidP="0074442C">
            <w:pPr>
              <w:ind w:firstLine="0"/>
            </w:pPr>
            <w:r w:rsidRPr="00FC71BE">
              <w:t>Reference temperature</w:t>
            </w:r>
          </w:p>
        </w:tc>
        <w:tc>
          <w:tcPr>
            <w:tcW w:w="1366" w:type="dxa"/>
            <w:vAlign w:val="center"/>
          </w:tcPr>
          <w:p w14:paraId="0E4E7A15" w14:textId="20BA459D" w:rsidR="0074442C" w:rsidRPr="00FC71BE" w:rsidRDefault="0074442C" w:rsidP="0074442C">
            <w:pPr>
              <w:ind w:firstLine="0"/>
              <w:jc w:val="center"/>
            </w:pPr>
            <w:r w:rsidRPr="00FC71BE">
              <w:t>K</w:t>
            </w:r>
          </w:p>
        </w:tc>
      </w:tr>
      <w:tr w:rsidR="00FC71BE" w:rsidRPr="00FC71BE" w14:paraId="288E9C97" w14:textId="77777777" w:rsidTr="001A3C4F">
        <w:tc>
          <w:tcPr>
            <w:tcW w:w="1413" w:type="dxa"/>
            <w:vAlign w:val="center"/>
          </w:tcPr>
          <w:p w14:paraId="04504DF6" w14:textId="250D521B" w:rsidR="0074442C" w:rsidRPr="00FC71BE" w:rsidRDefault="002143AD" w:rsidP="0074442C">
            <w:pPr>
              <w:ind w:firstLine="0"/>
              <w:jc w:val="center"/>
              <w:rPr>
                <w:rFonts w:eastAsia="等线" w:cs="Times New Roman"/>
                <w:i/>
                <w:iCs/>
              </w:rPr>
            </w:pPr>
            <m:oMathPara>
              <m:oMath>
                <m:sSub>
                  <m:sSubPr>
                    <m:ctrlPr>
                      <w:rPr>
                        <w:rFonts w:ascii="Cambria Math" w:eastAsia="等线" w:hAnsi="Cambria Math" w:cs="Times New Roman"/>
                        <w:i/>
                      </w:rPr>
                    </m:ctrlPr>
                  </m:sSubPr>
                  <m:e>
                    <m:r>
                      <w:rPr>
                        <w:rFonts w:ascii="Cambria Math" w:eastAsia="等线" w:hAnsi="Cambria Math" w:cs="Times New Roman"/>
                      </w:rPr>
                      <m:t>T</m:t>
                    </m:r>
                  </m:e>
                  <m:sub>
                    <m:r>
                      <w:rPr>
                        <w:rFonts w:ascii="Cambria Math" w:eastAsia="等线" w:hAnsi="Cambria Math" w:cs="Times New Roman"/>
                      </w:rPr>
                      <m:t>1,2,3,4</m:t>
                    </m:r>
                  </m:sub>
                </m:sSub>
              </m:oMath>
            </m:oMathPara>
          </w:p>
        </w:tc>
        <w:tc>
          <w:tcPr>
            <w:tcW w:w="6237" w:type="dxa"/>
          </w:tcPr>
          <w:p w14:paraId="17CB80DB" w14:textId="0B13A6E2" w:rsidR="0074442C" w:rsidRPr="00FC71BE" w:rsidRDefault="0074442C" w:rsidP="0074442C">
            <w:pPr>
              <w:ind w:firstLine="0"/>
            </w:pPr>
            <w:r w:rsidRPr="00FC71BE">
              <w:t>Temperature of the front, rear, outer and inner surface</w:t>
            </w:r>
          </w:p>
        </w:tc>
        <w:tc>
          <w:tcPr>
            <w:tcW w:w="1366" w:type="dxa"/>
            <w:vAlign w:val="center"/>
          </w:tcPr>
          <w:p w14:paraId="751B04A8" w14:textId="0BF5F41C" w:rsidR="0074442C" w:rsidRPr="00FC71BE" w:rsidRDefault="0074442C" w:rsidP="0074442C">
            <w:pPr>
              <w:ind w:firstLine="0"/>
              <w:jc w:val="center"/>
            </w:pPr>
            <w:r w:rsidRPr="00FC71BE">
              <w:t>K</w:t>
            </w:r>
          </w:p>
        </w:tc>
      </w:tr>
      <w:tr w:rsidR="00FC71BE" w:rsidRPr="00FC71BE" w14:paraId="2D31F893" w14:textId="77777777" w:rsidTr="001A3C4F">
        <w:tc>
          <w:tcPr>
            <w:tcW w:w="1413" w:type="dxa"/>
            <w:vAlign w:val="center"/>
          </w:tcPr>
          <w:p w14:paraId="6D7D5302" w14:textId="641893E5" w:rsidR="0074442C" w:rsidRPr="00FC71BE" w:rsidRDefault="002143AD" w:rsidP="0074442C">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T</m:t>
                    </m:r>
                  </m:e>
                  <m:sub>
                    <m:r>
                      <w:rPr>
                        <w:rFonts w:ascii="Cambria Math" w:eastAsia="等线" w:hAnsi="Cambria Math" w:cs="Times New Roman"/>
                      </w:rPr>
                      <m:t>bulk</m:t>
                    </m:r>
                  </m:sub>
                </m:sSub>
              </m:oMath>
            </m:oMathPara>
          </w:p>
        </w:tc>
        <w:tc>
          <w:tcPr>
            <w:tcW w:w="6237" w:type="dxa"/>
          </w:tcPr>
          <w:p w14:paraId="7BE66504" w14:textId="1DEEAAC2" w:rsidR="0074442C" w:rsidRPr="00FC71BE" w:rsidRDefault="0074442C" w:rsidP="0074442C">
            <w:pPr>
              <w:ind w:firstLine="0"/>
            </w:pPr>
            <w:r w:rsidRPr="00FC71BE">
              <w:t>Reference temperature for convection coefficient</w:t>
            </w:r>
          </w:p>
        </w:tc>
        <w:tc>
          <w:tcPr>
            <w:tcW w:w="1366" w:type="dxa"/>
            <w:vAlign w:val="center"/>
          </w:tcPr>
          <w:p w14:paraId="50BE3CDE" w14:textId="6819A3E6" w:rsidR="0074442C" w:rsidRPr="00FC71BE" w:rsidRDefault="0074442C" w:rsidP="0074442C">
            <w:pPr>
              <w:ind w:firstLine="0"/>
              <w:jc w:val="center"/>
              <w:rPr>
                <w:iCs/>
              </w:rPr>
            </w:pPr>
            <w:r w:rsidRPr="00FC71BE">
              <w:t>K</w:t>
            </w:r>
          </w:p>
        </w:tc>
      </w:tr>
      <w:tr w:rsidR="00FC71BE" w:rsidRPr="00FC71BE" w14:paraId="22FB78C4" w14:textId="77777777" w:rsidTr="001A3C4F">
        <w:tc>
          <w:tcPr>
            <w:tcW w:w="1413" w:type="dxa"/>
            <w:vAlign w:val="center"/>
          </w:tcPr>
          <w:p w14:paraId="4C46EE9E" w14:textId="1C42594A" w:rsidR="0074442C" w:rsidRPr="00FC71BE" w:rsidRDefault="002143AD" w:rsidP="0074442C">
            <w:pPr>
              <w:ind w:firstLine="0"/>
              <w:jc w:val="center"/>
              <w:rPr>
                <w:rFonts w:eastAsia="等线" w:cs="Times New Roman"/>
              </w:rPr>
            </w:pPr>
            <m:oMathPara>
              <m:oMath>
                <m:sSub>
                  <m:sSubPr>
                    <m:ctrlPr>
                      <w:rPr>
                        <w:rFonts w:ascii="Cambria Math" w:hAnsi="Cambria Math"/>
                        <w:i/>
                      </w:rPr>
                    </m:ctrlPr>
                  </m:sSubPr>
                  <m:e>
                    <m:r>
                      <w:rPr>
                        <w:rFonts w:ascii="Cambria Math" w:hAnsi="Cambria Math"/>
                      </w:rPr>
                      <m:t>T</m:t>
                    </m:r>
                  </m:e>
                  <m:sub>
                    <m:r>
                      <w:rPr>
                        <w:rFonts w:ascii="Cambria Math" w:hAnsi="Cambria Math"/>
                      </w:rPr>
                      <m:t>c</m:t>
                    </m:r>
                  </m:sub>
                </m:sSub>
              </m:oMath>
            </m:oMathPara>
          </w:p>
        </w:tc>
        <w:tc>
          <w:tcPr>
            <w:tcW w:w="6237" w:type="dxa"/>
          </w:tcPr>
          <w:p w14:paraId="583CF3A5" w14:textId="386820EF" w:rsidR="0074442C" w:rsidRPr="00FC71BE" w:rsidRDefault="0074442C" w:rsidP="0074442C">
            <w:pPr>
              <w:ind w:firstLine="0"/>
            </w:pPr>
            <w:r w:rsidRPr="00FC71BE">
              <w:t>Curie temperature of ferromagnetic material</w:t>
            </w:r>
          </w:p>
        </w:tc>
        <w:tc>
          <w:tcPr>
            <w:tcW w:w="1366" w:type="dxa"/>
            <w:vAlign w:val="center"/>
          </w:tcPr>
          <w:p w14:paraId="355BEF63" w14:textId="0DC43B62" w:rsidR="0074442C" w:rsidRPr="00FC71BE" w:rsidRDefault="0074442C" w:rsidP="0074442C">
            <w:pPr>
              <w:ind w:firstLine="0"/>
              <w:jc w:val="center"/>
            </w:pPr>
            <w:r w:rsidRPr="00FC71BE">
              <w:t>K</w:t>
            </w:r>
          </w:p>
        </w:tc>
      </w:tr>
      <w:tr w:rsidR="00FC71BE" w:rsidRPr="00FC71BE" w14:paraId="31660C7C" w14:textId="77777777" w:rsidTr="001A3C4F">
        <w:tc>
          <w:tcPr>
            <w:tcW w:w="1413" w:type="dxa"/>
            <w:vAlign w:val="center"/>
          </w:tcPr>
          <w:p w14:paraId="59E57E80" w14:textId="69D53A50" w:rsidR="0074442C" w:rsidRPr="00FC71BE" w:rsidRDefault="0074442C" w:rsidP="0074442C">
            <w:pPr>
              <w:ind w:firstLine="0"/>
              <w:jc w:val="center"/>
              <w:rPr>
                <w:rFonts w:eastAsia="等线" w:cs="Times New Roman"/>
              </w:rPr>
            </w:pPr>
            <m:oMathPara>
              <m:oMath>
                <m:r>
                  <w:rPr>
                    <w:rFonts w:ascii="Cambria Math" w:eastAsia="等线" w:hAnsi="Cambria Math" w:cs="Times New Roman"/>
                  </w:rPr>
                  <m:t>β</m:t>
                </m:r>
              </m:oMath>
            </m:oMathPara>
          </w:p>
        </w:tc>
        <w:tc>
          <w:tcPr>
            <w:tcW w:w="6237" w:type="dxa"/>
          </w:tcPr>
          <w:p w14:paraId="5432D65B" w14:textId="342AFD82" w:rsidR="0074442C" w:rsidRPr="00FC71BE" w:rsidRDefault="0074442C" w:rsidP="0074442C">
            <w:pPr>
              <w:ind w:firstLine="0"/>
            </w:pPr>
            <w:r w:rsidRPr="00FC71BE">
              <w:t>Thermal expansion</w:t>
            </w:r>
          </w:p>
        </w:tc>
        <w:tc>
          <w:tcPr>
            <w:tcW w:w="1366" w:type="dxa"/>
            <w:vAlign w:val="center"/>
          </w:tcPr>
          <w:p w14:paraId="3D564371" w14:textId="704C3406" w:rsidR="0074442C" w:rsidRPr="00FC71BE" w:rsidRDefault="0074442C" w:rsidP="0074442C">
            <w:pPr>
              <w:ind w:firstLine="0"/>
              <w:jc w:val="center"/>
            </w:pPr>
            <w:r w:rsidRPr="00FC71BE">
              <w:t>1/K</w:t>
            </w:r>
          </w:p>
        </w:tc>
      </w:tr>
      <w:tr w:rsidR="00FC71BE" w:rsidRPr="00FC71BE" w14:paraId="6008D192" w14:textId="77777777" w:rsidTr="001A3C4F">
        <w:tc>
          <w:tcPr>
            <w:tcW w:w="1413" w:type="dxa"/>
            <w:vAlign w:val="center"/>
          </w:tcPr>
          <w:p w14:paraId="3FAE12FE" w14:textId="5BC1B430" w:rsidR="0074442C" w:rsidRPr="00FC71BE" w:rsidRDefault="0074442C" w:rsidP="0074442C">
            <w:pPr>
              <w:ind w:firstLine="0"/>
              <w:jc w:val="center"/>
              <w:rPr>
                <w:rFonts w:eastAsia="等线" w:cs="Times New Roman"/>
              </w:rPr>
            </w:pPr>
            <m:oMathPara>
              <m:oMath>
                <m:r>
                  <m:rPr>
                    <m:sty m:val="p"/>
                  </m:rPr>
                  <w:rPr>
                    <w:rFonts w:ascii="Cambria Math" w:eastAsia="等线" w:hAnsi="Cambria Math" w:cs="Times New Roman"/>
                  </w:rPr>
                  <m:t>Δ</m:t>
                </m:r>
                <m:r>
                  <w:rPr>
                    <w:rFonts w:ascii="Cambria Math" w:eastAsia="等线" w:hAnsi="Cambria Math" w:cs="Times New Roman"/>
                  </w:rPr>
                  <m:t>T</m:t>
                </m:r>
              </m:oMath>
            </m:oMathPara>
          </w:p>
        </w:tc>
        <w:tc>
          <w:tcPr>
            <w:tcW w:w="6237" w:type="dxa"/>
          </w:tcPr>
          <w:p w14:paraId="141B6308" w14:textId="312A8203" w:rsidR="0074442C" w:rsidRPr="00FC71BE" w:rsidRDefault="0074442C" w:rsidP="0074442C">
            <w:pPr>
              <w:ind w:firstLine="0"/>
            </w:pPr>
            <w:r w:rsidRPr="00FC71BE">
              <w:t>Temperature difference</w:t>
            </w:r>
          </w:p>
        </w:tc>
        <w:tc>
          <w:tcPr>
            <w:tcW w:w="1366" w:type="dxa"/>
            <w:vAlign w:val="center"/>
          </w:tcPr>
          <w:p w14:paraId="79B2EBB1" w14:textId="46CA6822" w:rsidR="0074442C" w:rsidRPr="00FC71BE" w:rsidRDefault="0074442C" w:rsidP="0074442C">
            <w:pPr>
              <w:ind w:firstLine="0"/>
              <w:jc w:val="center"/>
            </w:pPr>
            <w:r w:rsidRPr="00FC71BE">
              <w:t>K</w:t>
            </w:r>
          </w:p>
        </w:tc>
      </w:tr>
      <w:tr w:rsidR="00FC71BE" w:rsidRPr="00FC71BE" w14:paraId="631532CC" w14:textId="77777777" w:rsidTr="001A3C4F">
        <w:tc>
          <w:tcPr>
            <w:tcW w:w="1413" w:type="dxa"/>
            <w:vAlign w:val="center"/>
          </w:tcPr>
          <w:p w14:paraId="44BB1C24" w14:textId="69013A82" w:rsidR="00C845E1" w:rsidRPr="00FC71BE" w:rsidRDefault="002143AD" w:rsidP="00C845E1">
            <w:pPr>
              <w:ind w:firstLine="0"/>
              <w:jc w:val="center"/>
              <w:rPr>
                <w:rFonts w:eastAsia="等线" w:cs="Times New Roman"/>
              </w:rPr>
            </w:pPr>
            <m:oMathPara>
              <m:oMath>
                <m:sSub>
                  <m:sSubPr>
                    <m:ctrlPr>
                      <w:rPr>
                        <w:rFonts w:ascii="Cambria Math" w:eastAsia="等线" w:hAnsi="Cambria Math" w:cs="Times New Roman"/>
                      </w:rPr>
                    </m:ctrlPr>
                  </m:sSubPr>
                  <m:e>
                    <m:r>
                      <m:rPr>
                        <m:sty m:val="p"/>
                      </m:rPr>
                      <w:rPr>
                        <w:rFonts w:ascii="Cambria Math" w:eastAsia="等线" w:hAnsi="Cambria Math" w:cs="Times New Roman"/>
                      </w:rPr>
                      <m:t>Δ</m:t>
                    </m:r>
                  </m:e>
                  <m:sub>
                    <m:r>
                      <w:rPr>
                        <w:rFonts w:ascii="Cambria Math" w:eastAsia="等线" w:hAnsi="Cambria Math" w:cs="Times New Roman"/>
                      </w:rPr>
                      <m:t>NF</m:t>
                    </m:r>
                    <m:r>
                      <w:rPr>
                        <w:rFonts w:ascii="Cambria Math" w:eastAsia="等线" w:hAnsi="Cambria Math" w:cs="Times New Roman"/>
                      </w:rPr>
                      <m:t>-</m:t>
                    </m:r>
                    <m:r>
                      <w:rPr>
                        <w:rFonts w:ascii="Cambria Math" w:eastAsia="等线" w:hAnsi="Cambria Math" w:cs="Times New Roman"/>
                      </w:rPr>
                      <m:t>FF</m:t>
                    </m:r>
                  </m:sub>
                </m:sSub>
              </m:oMath>
            </m:oMathPara>
          </w:p>
        </w:tc>
        <w:tc>
          <w:tcPr>
            <w:tcW w:w="6237" w:type="dxa"/>
          </w:tcPr>
          <w:p w14:paraId="59335B8E" w14:textId="07F41E00" w:rsidR="00C845E1" w:rsidRPr="00FC71BE" w:rsidRDefault="00C845E1" w:rsidP="00C845E1">
            <w:pPr>
              <w:ind w:firstLine="0"/>
            </w:pPr>
            <w:r w:rsidRPr="00FC71BE">
              <w:t xml:space="preserve">Temperature difference between </w:t>
            </w:r>
            <w:r w:rsidR="001A3C4F" w:rsidRPr="00FC71BE">
              <w:t>NF and FF cooling</w:t>
            </w:r>
          </w:p>
        </w:tc>
        <w:tc>
          <w:tcPr>
            <w:tcW w:w="1366" w:type="dxa"/>
            <w:vAlign w:val="center"/>
          </w:tcPr>
          <w:p w14:paraId="224C458F" w14:textId="6528C6D5" w:rsidR="00C845E1" w:rsidRPr="00FC71BE" w:rsidRDefault="00C845E1" w:rsidP="00C845E1">
            <w:pPr>
              <w:ind w:firstLine="0"/>
              <w:jc w:val="center"/>
            </w:pPr>
            <w:r w:rsidRPr="00FC71BE">
              <w:t>K</w:t>
            </w:r>
          </w:p>
        </w:tc>
      </w:tr>
      <w:tr w:rsidR="00FC71BE" w:rsidRPr="00FC71BE" w14:paraId="35FEFDF7" w14:textId="77777777" w:rsidTr="001A3C4F">
        <w:tc>
          <w:tcPr>
            <w:tcW w:w="1413" w:type="dxa"/>
            <w:vAlign w:val="center"/>
          </w:tcPr>
          <w:p w14:paraId="3FFA09AD" w14:textId="7F6078D9" w:rsidR="00C845E1" w:rsidRPr="00FC71BE" w:rsidRDefault="00C845E1" w:rsidP="00C845E1">
            <w:pPr>
              <w:ind w:firstLine="0"/>
              <w:jc w:val="center"/>
              <w:rPr>
                <w:rFonts w:eastAsia="等线" w:cs="Times New Roman"/>
              </w:rPr>
            </w:pPr>
            <m:oMathPara>
              <m:oMath>
                <m:r>
                  <w:rPr>
                    <w:rFonts w:ascii="Cambria Math" w:eastAsia="等线" w:hAnsi="Cambria Math" w:cs="Times New Roman"/>
                  </w:rPr>
                  <m:t>λ</m:t>
                </m:r>
              </m:oMath>
            </m:oMathPara>
          </w:p>
        </w:tc>
        <w:tc>
          <w:tcPr>
            <w:tcW w:w="6237" w:type="dxa"/>
          </w:tcPr>
          <w:p w14:paraId="76521413" w14:textId="3309262D" w:rsidR="00C845E1" w:rsidRPr="00FC71BE" w:rsidRDefault="00C845E1" w:rsidP="00C845E1">
            <w:pPr>
              <w:ind w:firstLine="0"/>
            </w:pPr>
            <w:r w:rsidRPr="00FC71BE">
              <w:t>Thermal conductivity</w:t>
            </w:r>
          </w:p>
        </w:tc>
        <w:tc>
          <w:tcPr>
            <w:tcW w:w="1366" w:type="dxa"/>
            <w:vAlign w:val="center"/>
          </w:tcPr>
          <w:p w14:paraId="45D92220" w14:textId="010A643E" w:rsidR="00C845E1" w:rsidRPr="00FC71BE" w:rsidRDefault="00C845E1" w:rsidP="00C845E1">
            <w:pPr>
              <w:ind w:firstLine="0"/>
              <w:jc w:val="center"/>
            </w:pPr>
            <m:oMathPara>
              <m:oMath>
                <m:r>
                  <m:rPr>
                    <m:sty m:val="p"/>
                  </m:rPr>
                  <w:rPr>
                    <w:rFonts w:ascii="Cambria Math" w:hAnsi="Cambria Math"/>
                  </w:rPr>
                  <m:t>W/</m:t>
                </m:r>
                <m:f>
                  <m:fPr>
                    <m:type m:val="lin"/>
                    <m:ctrlPr>
                      <w:rPr>
                        <w:rFonts w:ascii="Cambria Math" w:hAnsi="Cambria Math"/>
                        <w:iCs/>
                      </w:rPr>
                    </m:ctrlPr>
                  </m:fPr>
                  <m:num>
                    <m:r>
                      <m:rPr>
                        <m:sty m:val="p"/>
                      </m:rPr>
                      <w:rPr>
                        <w:rFonts w:ascii="Cambria Math" w:hAnsi="Cambria Math"/>
                      </w:rPr>
                      <m:t>m</m:t>
                    </m:r>
                  </m:num>
                  <m:den>
                    <m:r>
                      <m:rPr>
                        <m:sty m:val="p"/>
                      </m:rPr>
                      <w:rPr>
                        <w:rFonts w:ascii="Cambria Math" w:hAnsi="Cambria Math"/>
                      </w:rPr>
                      <m:t>K</m:t>
                    </m:r>
                  </m:den>
                </m:f>
              </m:oMath>
            </m:oMathPara>
          </w:p>
        </w:tc>
      </w:tr>
      <w:tr w:rsidR="00FC71BE" w:rsidRPr="00FC71BE" w14:paraId="543DC298" w14:textId="77777777" w:rsidTr="001A3C4F">
        <w:tc>
          <w:tcPr>
            <w:tcW w:w="1413" w:type="dxa"/>
            <w:vAlign w:val="center"/>
          </w:tcPr>
          <w:p w14:paraId="1C1AEC79" w14:textId="06B4547A" w:rsidR="00C845E1" w:rsidRPr="00FC71BE" w:rsidRDefault="002143AD" w:rsidP="00C845E1">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λ</m:t>
                    </m:r>
                  </m:e>
                  <m:sub>
                    <m:r>
                      <w:rPr>
                        <w:rFonts w:ascii="Cambria Math" w:eastAsia="等线" w:hAnsi="Cambria Math" w:cs="Times New Roman"/>
                      </w:rPr>
                      <m:t>e</m:t>
                    </m:r>
                  </m:sub>
                </m:sSub>
              </m:oMath>
            </m:oMathPara>
          </w:p>
        </w:tc>
        <w:tc>
          <w:tcPr>
            <w:tcW w:w="6237" w:type="dxa"/>
          </w:tcPr>
          <w:p w14:paraId="4FEEA01E" w14:textId="4F197768" w:rsidR="00C845E1" w:rsidRPr="00FC71BE" w:rsidRDefault="00C845E1" w:rsidP="00C845E1">
            <w:pPr>
              <w:ind w:firstLine="0"/>
            </w:pPr>
            <w:r w:rsidRPr="00FC71BE">
              <w:t>Equivalent Thermal conductivity of windings</w:t>
            </w:r>
          </w:p>
        </w:tc>
        <w:tc>
          <w:tcPr>
            <w:tcW w:w="1366" w:type="dxa"/>
            <w:vAlign w:val="center"/>
          </w:tcPr>
          <w:p w14:paraId="108187A7" w14:textId="1F06A0C5" w:rsidR="00C845E1" w:rsidRPr="00FC71BE" w:rsidRDefault="00C845E1" w:rsidP="00C845E1">
            <w:pPr>
              <w:ind w:firstLine="0"/>
              <w:jc w:val="center"/>
            </w:pPr>
            <m:oMathPara>
              <m:oMath>
                <m:r>
                  <m:rPr>
                    <m:sty m:val="p"/>
                  </m:rPr>
                  <w:rPr>
                    <w:rFonts w:ascii="Cambria Math" w:hAnsi="Cambria Math"/>
                  </w:rPr>
                  <m:t>W/</m:t>
                </m:r>
                <m:f>
                  <m:fPr>
                    <m:type m:val="lin"/>
                    <m:ctrlPr>
                      <w:rPr>
                        <w:rFonts w:ascii="Cambria Math" w:hAnsi="Cambria Math"/>
                        <w:iCs/>
                      </w:rPr>
                    </m:ctrlPr>
                  </m:fPr>
                  <m:num>
                    <m:r>
                      <m:rPr>
                        <m:sty m:val="p"/>
                      </m:rPr>
                      <w:rPr>
                        <w:rFonts w:ascii="Cambria Math" w:hAnsi="Cambria Math"/>
                      </w:rPr>
                      <m:t>m</m:t>
                    </m:r>
                  </m:num>
                  <m:den>
                    <m:r>
                      <m:rPr>
                        <m:sty m:val="p"/>
                      </m:rPr>
                      <w:rPr>
                        <w:rFonts w:ascii="Cambria Math" w:hAnsi="Cambria Math"/>
                      </w:rPr>
                      <m:t>K</m:t>
                    </m:r>
                  </m:den>
                </m:f>
              </m:oMath>
            </m:oMathPara>
          </w:p>
        </w:tc>
      </w:tr>
      <w:tr w:rsidR="00FC71BE" w:rsidRPr="00FC71BE" w14:paraId="5A42CD21" w14:textId="77777777" w:rsidTr="001A3C4F">
        <w:tc>
          <w:tcPr>
            <w:tcW w:w="1413" w:type="dxa"/>
            <w:vAlign w:val="center"/>
          </w:tcPr>
          <w:p w14:paraId="0ED78A5D" w14:textId="5C526867" w:rsidR="00C845E1" w:rsidRPr="00FC71BE" w:rsidRDefault="002143AD" w:rsidP="00C845E1">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λ</m:t>
                    </m:r>
                  </m:e>
                  <m:sub>
                    <m:r>
                      <w:rPr>
                        <w:rFonts w:ascii="Cambria Math" w:eastAsia="等线" w:hAnsi="Cambria Math" w:cs="Times New Roman"/>
                      </w:rPr>
                      <m:t>c</m:t>
                    </m:r>
                  </m:sub>
                </m:sSub>
              </m:oMath>
            </m:oMathPara>
          </w:p>
        </w:tc>
        <w:tc>
          <w:tcPr>
            <w:tcW w:w="6237" w:type="dxa"/>
          </w:tcPr>
          <w:p w14:paraId="7DE3C170" w14:textId="607C1228" w:rsidR="00C845E1" w:rsidRPr="00FC71BE" w:rsidRDefault="00C845E1" w:rsidP="00C845E1">
            <w:pPr>
              <w:ind w:firstLine="0"/>
            </w:pPr>
            <w:r w:rsidRPr="00FC71BE">
              <w:t>Thermal conductivity of conductors</w:t>
            </w:r>
          </w:p>
        </w:tc>
        <w:tc>
          <w:tcPr>
            <w:tcW w:w="1366" w:type="dxa"/>
            <w:vAlign w:val="center"/>
          </w:tcPr>
          <w:p w14:paraId="2580D39C" w14:textId="12D16119" w:rsidR="00C845E1" w:rsidRPr="00FC71BE" w:rsidRDefault="00C845E1" w:rsidP="00C845E1">
            <w:pPr>
              <w:ind w:firstLine="0"/>
              <w:jc w:val="center"/>
            </w:pPr>
            <m:oMathPara>
              <m:oMath>
                <m:r>
                  <m:rPr>
                    <m:sty m:val="p"/>
                  </m:rPr>
                  <w:rPr>
                    <w:rFonts w:ascii="Cambria Math" w:hAnsi="Cambria Math"/>
                  </w:rPr>
                  <m:t>W/</m:t>
                </m:r>
                <m:f>
                  <m:fPr>
                    <m:type m:val="lin"/>
                    <m:ctrlPr>
                      <w:rPr>
                        <w:rFonts w:ascii="Cambria Math" w:hAnsi="Cambria Math"/>
                        <w:iCs/>
                      </w:rPr>
                    </m:ctrlPr>
                  </m:fPr>
                  <m:num>
                    <m:r>
                      <m:rPr>
                        <m:sty m:val="p"/>
                      </m:rPr>
                      <w:rPr>
                        <w:rFonts w:ascii="Cambria Math" w:hAnsi="Cambria Math"/>
                      </w:rPr>
                      <m:t>m</m:t>
                    </m:r>
                  </m:num>
                  <m:den>
                    <m:r>
                      <m:rPr>
                        <m:sty m:val="p"/>
                      </m:rPr>
                      <w:rPr>
                        <w:rFonts w:ascii="Cambria Math" w:hAnsi="Cambria Math"/>
                      </w:rPr>
                      <m:t>K</m:t>
                    </m:r>
                  </m:den>
                </m:f>
              </m:oMath>
            </m:oMathPara>
          </w:p>
        </w:tc>
      </w:tr>
      <w:tr w:rsidR="00FC71BE" w:rsidRPr="00FC71BE" w14:paraId="60DC5F11" w14:textId="77777777" w:rsidTr="001A3C4F">
        <w:tc>
          <w:tcPr>
            <w:tcW w:w="1413" w:type="dxa"/>
            <w:vAlign w:val="center"/>
          </w:tcPr>
          <w:p w14:paraId="68A54B47" w14:textId="0586CA63" w:rsidR="00C845E1" w:rsidRPr="00FC71BE" w:rsidRDefault="002143AD" w:rsidP="00C845E1">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λ</m:t>
                    </m:r>
                  </m:e>
                  <m:sub>
                    <m:r>
                      <w:rPr>
                        <w:rFonts w:ascii="Cambria Math" w:eastAsia="等线" w:hAnsi="Cambria Math" w:cs="Times New Roman"/>
                      </w:rPr>
                      <m:t>r</m:t>
                    </m:r>
                  </m:sub>
                </m:sSub>
              </m:oMath>
            </m:oMathPara>
          </w:p>
        </w:tc>
        <w:tc>
          <w:tcPr>
            <w:tcW w:w="6237" w:type="dxa"/>
          </w:tcPr>
          <w:p w14:paraId="2845D8BB" w14:textId="1F0EE453" w:rsidR="00C845E1" w:rsidRPr="00FC71BE" w:rsidRDefault="00C845E1" w:rsidP="00C845E1">
            <w:pPr>
              <w:ind w:firstLine="0"/>
            </w:pPr>
            <w:r w:rsidRPr="00FC71BE">
              <w:t>Thermal conductivity of impregnations</w:t>
            </w:r>
          </w:p>
        </w:tc>
        <w:tc>
          <w:tcPr>
            <w:tcW w:w="1366" w:type="dxa"/>
            <w:vAlign w:val="center"/>
          </w:tcPr>
          <w:p w14:paraId="1A985407" w14:textId="195A0C03" w:rsidR="00C845E1" w:rsidRPr="00FC71BE" w:rsidRDefault="00C845E1" w:rsidP="00C845E1">
            <w:pPr>
              <w:ind w:firstLine="0"/>
              <w:jc w:val="center"/>
            </w:pPr>
            <m:oMathPara>
              <m:oMath>
                <m:r>
                  <m:rPr>
                    <m:sty m:val="p"/>
                  </m:rPr>
                  <w:rPr>
                    <w:rFonts w:ascii="Cambria Math" w:hAnsi="Cambria Math"/>
                  </w:rPr>
                  <m:t>W/</m:t>
                </m:r>
                <m:f>
                  <m:fPr>
                    <m:type m:val="lin"/>
                    <m:ctrlPr>
                      <w:rPr>
                        <w:rFonts w:ascii="Cambria Math" w:hAnsi="Cambria Math"/>
                        <w:iCs/>
                      </w:rPr>
                    </m:ctrlPr>
                  </m:fPr>
                  <m:num>
                    <m:r>
                      <m:rPr>
                        <m:sty m:val="p"/>
                      </m:rPr>
                      <w:rPr>
                        <w:rFonts w:ascii="Cambria Math" w:hAnsi="Cambria Math"/>
                      </w:rPr>
                      <m:t>m</m:t>
                    </m:r>
                  </m:num>
                  <m:den>
                    <m:r>
                      <m:rPr>
                        <m:sty m:val="p"/>
                      </m:rPr>
                      <w:rPr>
                        <w:rFonts w:ascii="Cambria Math" w:hAnsi="Cambria Math"/>
                      </w:rPr>
                      <m:t>K</m:t>
                    </m:r>
                  </m:den>
                </m:f>
              </m:oMath>
            </m:oMathPara>
          </w:p>
        </w:tc>
      </w:tr>
    </w:tbl>
    <w:p w14:paraId="0CFEE967" w14:textId="4BED5073" w:rsidR="00591465" w:rsidRPr="00FC71BE" w:rsidRDefault="00591465" w:rsidP="00EE2A23">
      <w:pPr>
        <w:pStyle w:val="Styleofnomenclayures"/>
      </w:pPr>
      <w:r w:rsidRPr="00FC71BE">
        <w:t>Fluid dynamics symbols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237"/>
        <w:gridCol w:w="1366"/>
      </w:tblGrid>
      <w:tr w:rsidR="00FC71BE" w:rsidRPr="00FC71BE" w14:paraId="44D83000" w14:textId="77777777" w:rsidTr="001A3C4F">
        <w:tc>
          <w:tcPr>
            <w:tcW w:w="1413" w:type="dxa"/>
            <w:vAlign w:val="center"/>
          </w:tcPr>
          <w:p w14:paraId="5FFF1751" w14:textId="694C43DA" w:rsidR="00F0008D" w:rsidRPr="00FC71BE" w:rsidRDefault="00F0008D" w:rsidP="00F0008D">
            <w:pPr>
              <w:ind w:firstLine="0"/>
              <w:jc w:val="center"/>
              <w:rPr>
                <w:rFonts w:eastAsia="等线" w:cs="Times New Roman"/>
              </w:rPr>
            </w:pPr>
            <m:oMathPara>
              <m:oMath>
                <m:r>
                  <m:rPr>
                    <m:sty m:val="bi"/>
                  </m:rPr>
                  <w:rPr>
                    <w:rFonts w:ascii="Cambria Math" w:eastAsia="等线" w:hAnsi="Cambria Math" w:cs="Times New Roman"/>
                  </w:rPr>
                  <m:t>F</m:t>
                </m:r>
              </m:oMath>
            </m:oMathPara>
          </w:p>
        </w:tc>
        <w:tc>
          <w:tcPr>
            <w:tcW w:w="6237" w:type="dxa"/>
          </w:tcPr>
          <w:p w14:paraId="582E5B30" w14:textId="2DD3FB35" w:rsidR="00F0008D" w:rsidRPr="00FC71BE" w:rsidRDefault="00F0008D" w:rsidP="00F0008D">
            <w:pPr>
              <w:ind w:firstLine="0"/>
            </w:pPr>
            <w:r w:rsidRPr="00FC71BE">
              <w:t>Force density vector</w:t>
            </w:r>
          </w:p>
        </w:tc>
        <w:tc>
          <w:tcPr>
            <w:tcW w:w="1366" w:type="dxa"/>
            <w:vAlign w:val="center"/>
          </w:tcPr>
          <w:p w14:paraId="056D1556" w14:textId="3858E125" w:rsidR="00F0008D" w:rsidRPr="00FC71BE" w:rsidRDefault="002143AD" w:rsidP="00F0008D">
            <w:pPr>
              <w:ind w:firstLine="0"/>
              <w:jc w:val="center"/>
            </w:pPr>
            <m:oMathPara>
              <m:oMath>
                <m:f>
                  <m:fPr>
                    <m:type m:val="lin"/>
                    <m:ctrlPr>
                      <w:rPr>
                        <w:rFonts w:ascii="Cambria Math" w:hAnsi="Cambria Math"/>
                        <w:iCs/>
                      </w:rPr>
                    </m:ctrlPr>
                  </m:fPr>
                  <m:num>
                    <m:r>
                      <m:rPr>
                        <m:sty m:val="p"/>
                      </m:rPr>
                      <w:rPr>
                        <w:rFonts w:ascii="Cambria Math" w:hAnsi="Cambria Math"/>
                      </w:rPr>
                      <m:t>N</m:t>
                    </m:r>
                  </m:num>
                  <m:den>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den>
                </m:f>
              </m:oMath>
            </m:oMathPara>
          </w:p>
        </w:tc>
      </w:tr>
      <w:tr w:rsidR="00FC71BE" w:rsidRPr="00FC71BE" w14:paraId="28D08BDF" w14:textId="77777777" w:rsidTr="001A3C4F">
        <w:tc>
          <w:tcPr>
            <w:tcW w:w="1413" w:type="dxa"/>
            <w:vAlign w:val="center"/>
          </w:tcPr>
          <w:p w14:paraId="280EDE12" w14:textId="7A4A3CBD" w:rsidR="004B129E" w:rsidRPr="00FC71BE" w:rsidRDefault="002143AD" w:rsidP="004B129E">
            <w:pPr>
              <w:ind w:firstLine="0"/>
              <w:jc w:val="center"/>
              <w:rPr>
                <w:rFonts w:eastAsia="等线" w:cs="Times New Roman"/>
                <w:b/>
                <w:bCs/>
              </w:rPr>
            </w:pPr>
            <m:oMathPara>
              <m:oMath>
                <m:sSub>
                  <m:sSubPr>
                    <m:ctrlPr>
                      <w:rPr>
                        <w:rFonts w:ascii="Cambria Math" w:eastAsia="等线" w:hAnsi="Cambria Math" w:cs="Times New Roman"/>
                        <w:b/>
                        <w:bCs/>
                        <w:i/>
                      </w:rPr>
                    </m:ctrlPr>
                  </m:sSubPr>
                  <m:e>
                    <m:r>
                      <m:rPr>
                        <m:sty m:val="bi"/>
                      </m:rPr>
                      <w:rPr>
                        <w:rFonts w:ascii="Cambria Math" w:eastAsia="等线" w:hAnsi="Cambria Math" w:cs="Times New Roman"/>
                      </w:rPr>
                      <m:t>F</m:t>
                    </m:r>
                  </m:e>
                  <m:sub>
                    <m:r>
                      <m:rPr>
                        <m:sty m:val="bi"/>
                      </m:rPr>
                      <w:rPr>
                        <w:rFonts w:ascii="Cambria Math" w:eastAsia="等线" w:hAnsi="Cambria Math" w:cs="Times New Roman"/>
                      </w:rPr>
                      <m:t>m</m:t>
                    </m:r>
                  </m:sub>
                </m:sSub>
              </m:oMath>
            </m:oMathPara>
          </w:p>
        </w:tc>
        <w:tc>
          <w:tcPr>
            <w:tcW w:w="6237" w:type="dxa"/>
          </w:tcPr>
          <w:p w14:paraId="5D6A220B" w14:textId="0D091ECA" w:rsidR="004B129E" w:rsidRPr="00FC71BE" w:rsidRDefault="004B129E" w:rsidP="004B129E">
            <w:pPr>
              <w:ind w:firstLine="0"/>
            </w:pPr>
            <w:r w:rsidRPr="00FC71BE">
              <w:t>Magnetic body force vector</w:t>
            </w:r>
          </w:p>
        </w:tc>
        <w:tc>
          <w:tcPr>
            <w:tcW w:w="1366" w:type="dxa"/>
            <w:vAlign w:val="center"/>
          </w:tcPr>
          <w:p w14:paraId="4BA8E11A" w14:textId="31EEF63D" w:rsidR="004B129E" w:rsidRPr="00FC71BE" w:rsidRDefault="002143AD" w:rsidP="004B129E">
            <w:pPr>
              <w:ind w:firstLine="0"/>
              <w:jc w:val="center"/>
              <w:rPr>
                <w:rFonts w:eastAsia="等线" w:cs="Times New Roman"/>
                <w:iCs/>
              </w:rPr>
            </w:pPr>
            <m:oMathPara>
              <m:oMath>
                <m:f>
                  <m:fPr>
                    <m:type m:val="lin"/>
                    <m:ctrlPr>
                      <w:rPr>
                        <w:rFonts w:ascii="Cambria Math" w:hAnsi="Cambria Math"/>
                        <w:iCs/>
                      </w:rPr>
                    </m:ctrlPr>
                  </m:fPr>
                  <m:num>
                    <m:r>
                      <m:rPr>
                        <m:sty m:val="p"/>
                      </m:rPr>
                      <w:rPr>
                        <w:rFonts w:ascii="Cambria Math" w:hAnsi="Cambria Math"/>
                      </w:rPr>
                      <m:t>N</m:t>
                    </m:r>
                  </m:num>
                  <m:den>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den>
                </m:f>
              </m:oMath>
            </m:oMathPara>
          </w:p>
        </w:tc>
      </w:tr>
      <w:tr w:rsidR="00FC71BE" w:rsidRPr="00FC71BE" w14:paraId="5BA16666" w14:textId="77777777" w:rsidTr="001A3C4F">
        <w:tc>
          <w:tcPr>
            <w:tcW w:w="1413" w:type="dxa"/>
            <w:vAlign w:val="center"/>
          </w:tcPr>
          <w:p w14:paraId="3CDA220C" w14:textId="68B6B4EA" w:rsidR="004B129E" w:rsidRPr="00FC71BE" w:rsidRDefault="002143AD" w:rsidP="004B129E">
            <w:pPr>
              <w:ind w:firstLine="0"/>
              <w:jc w:val="center"/>
              <w:rPr>
                <w:rFonts w:eastAsia="等线" w:cs="Times New Roman"/>
                <w:b/>
                <w:bCs/>
              </w:rPr>
            </w:pPr>
            <m:oMathPara>
              <m:oMath>
                <m:sSub>
                  <m:sSubPr>
                    <m:ctrlPr>
                      <w:rPr>
                        <w:rFonts w:ascii="Cambria Math" w:eastAsia="等线" w:hAnsi="Cambria Math" w:cs="Times New Roman"/>
                        <w:b/>
                        <w:bCs/>
                        <w:i/>
                      </w:rPr>
                    </m:ctrlPr>
                  </m:sSubPr>
                  <m:e>
                    <m:r>
                      <m:rPr>
                        <m:sty m:val="bi"/>
                      </m:rPr>
                      <w:rPr>
                        <w:rFonts w:ascii="Cambria Math" w:eastAsia="等线" w:hAnsi="Cambria Math" w:cs="Times New Roman"/>
                      </w:rPr>
                      <m:t>F</m:t>
                    </m:r>
                  </m:e>
                  <m:sub>
                    <m:r>
                      <m:rPr>
                        <m:sty m:val="bi"/>
                      </m:rPr>
                      <w:rPr>
                        <w:rFonts w:ascii="Cambria Math" w:eastAsia="等线" w:hAnsi="Cambria Math" w:cs="Times New Roman"/>
                      </w:rPr>
                      <m:t>v</m:t>
                    </m:r>
                  </m:sub>
                </m:sSub>
              </m:oMath>
            </m:oMathPara>
          </w:p>
        </w:tc>
        <w:tc>
          <w:tcPr>
            <w:tcW w:w="6237" w:type="dxa"/>
          </w:tcPr>
          <w:p w14:paraId="1758FD21" w14:textId="444765B3" w:rsidR="004B129E" w:rsidRPr="00FC71BE" w:rsidRDefault="004B129E" w:rsidP="004B129E">
            <w:pPr>
              <w:ind w:firstLine="0"/>
            </w:pPr>
            <w:r w:rsidRPr="00FC71BE">
              <w:t>Viscosity force density vector</w:t>
            </w:r>
          </w:p>
        </w:tc>
        <w:tc>
          <w:tcPr>
            <w:tcW w:w="1366" w:type="dxa"/>
            <w:vAlign w:val="center"/>
          </w:tcPr>
          <w:p w14:paraId="4BF39B80" w14:textId="02156510" w:rsidR="004B129E" w:rsidRPr="00FC71BE" w:rsidRDefault="002143AD" w:rsidP="004B129E">
            <w:pPr>
              <w:ind w:firstLine="0"/>
              <w:jc w:val="center"/>
              <w:rPr>
                <w:rFonts w:eastAsia="等线" w:cs="Times New Roman"/>
                <w:iCs/>
              </w:rPr>
            </w:pPr>
            <m:oMathPara>
              <m:oMath>
                <m:f>
                  <m:fPr>
                    <m:type m:val="lin"/>
                    <m:ctrlPr>
                      <w:rPr>
                        <w:rFonts w:ascii="Cambria Math" w:hAnsi="Cambria Math"/>
                        <w:iCs/>
                      </w:rPr>
                    </m:ctrlPr>
                  </m:fPr>
                  <m:num>
                    <m:r>
                      <m:rPr>
                        <m:sty m:val="p"/>
                      </m:rPr>
                      <w:rPr>
                        <w:rFonts w:ascii="Cambria Math" w:hAnsi="Cambria Math"/>
                      </w:rPr>
                      <m:t>N</m:t>
                    </m:r>
                  </m:num>
                  <m:den>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den>
                </m:f>
              </m:oMath>
            </m:oMathPara>
          </w:p>
        </w:tc>
      </w:tr>
      <w:tr w:rsidR="00FC71BE" w:rsidRPr="00FC71BE" w14:paraId="598FF46B" w14:textId="77777777" w:rsidTr="001A3C4F">
        <w:tc>
          <w:tcPr>
            <w:tcW w:w="1413" w:type="dxa"/>
            <w:vAlign w:val="center"/>
          </w:tcPr>
          <w:p w14:paraId="3B8E2CE9" w14:textId="1E047887" w:rsidR="004B129E" w:rsidRPr="00FC71BE" w:rsidRDefault="004B129E" w:rsidP="004B129E">
            <w:pPr>
              <w:ind w:firstLine="0"/>
              <w:jc w:val="center"/>
              <w:rPr>
                <w:rFonts w:eastAsia="等线" w:cs="Times New Roman"/>
              </w:rPr>
            </w:pPr>
            <m:oMathPara>
              <m:oMath>
                <m:r>
                  <m:rPr>
                    <m:sty m:val="bi"/>
                  </m:rPr>
                  <w:rPr>
                    <w:rFonts w:ascii="Cambria Math" w:eastAsia="等线" w:hAnsi="Cambria Math" w:cs="Times New Roman"/>
                  </w:rPr>
                  <m:t>g</m:t>
                </m:r>
              </m:oMath>
            </m:oMathPara>
          </w:p>
        </w:tc>
        <w:tc>
          <w:tcPr>
            <w:tcW w:w="6237" w:type="dxa"/>
          </w:tcPr>
          <w:p w14:paraId="585DBEFC" w14:textId="2C9096B4" w:rsidR="004B129E" w:rsidRPr="00FC71BE" w:rsidRDefault="004B129E" w:rsidP="004B129E">
            <w:pPr>
              <w:ind w:firstLine="0"/>
            </w:pPr>
            <w:r w:rsidRPr="00FC71BE">
              <w:t>Acceleration of gravity vector</w:t>
            </w:r>
          </w:p>
        </w:tc>
        <w:tc>
          <w:tcPr>
            <w:tcW w:w="1366" w:type="dxa"/>
            <w:vAlign w:val="center"/>
          </w:tcPr>
          <w:p w14:paraId="1F74A94F" w14:textId="41F2520E" w:rsidR="004B129E" w:rsidRPr="00FC71BE" w:rsidRDefault="004B129E" w:rsidP="004B129E">
            <w:pPr>
              <w:ind w:firstLine="0"/>
              <w:jc w:val="center"/>
            </w:pPr>
            <w:r w:rsidRPr="00FC71BE">
              <w:t>m/s</w:t>
            </w:r>
            <w:r w:rsidRPr="00FC71BE">
              <w:rPr>
                <w:vertAlign w:val="superscript"/>
              </w:rPr>
              <w:t>2</w:t>
            </w:r>
          </w:p>
        </w:tc>
      </w:tr>
      <w:tr w:rsidR="00FC71BE" w:rsidRPr="00FC71BE" w14:paraId="1B2B89C8" w14:textId="77777777" w:rsidTr="001A3C4F">
        <w:tc>
          <w:tcPr>
            <w:tcW w:w="1413" w:type="dxa"/>
            <w:vAlign w:val="center"/>
          </w:tcPr>
          <w:p w14:paraId="0AFE7BD8" w14:textId="4F7183B6" w:rsidR="004B129E" w:rsidRPr="00FC71BE" w:rsidRDefault="004B129E" w:rsidP="004B129E">
            <w:pPr>
              <w:ind w:firstLine="0"/>
              <w:jc w:val="center"/>
              <w:rPr>
                <w:rFonts w:eastAsia="等线" w:cs="Times New Roman"/>
              </w:rPr>
            </w:pPr>
            <m:oMathPara>
              <m:oMath>
                <m:r>
                  <w:rPr>
                    <w:rFonts w:ascii="Cambria Math" w:eastAsia="等线" w:hAnsi="Cambria Math" w:cs="Times New Roman"/>
                  </w:rPr>
                  <m:t>h</m:t>
                </m:r>
              </m:oMath>
            </m:oMathPara>
          </w:p>
        </w:tc>
        <w:tc>
          <w:tcPr>
            <w:tcW w:w="6237" w:type="dxa"/>
          </w:tcPr>
          <w:p w14:paraId="5FE1CF67" w14:textId="50D6C08C" w:rsidR="004B129E" w:rsidRPr="00FC71BE" w:rsidRDefault="004B129E" w:rsidP="004B129E">
            <w:pPr>
              <w:ind w:firstLine="0"/>
            </w:pPr>
            <w:r w:rsidRPr="00FC71BE">
              <w:t>Surface roughness</w:t>
            </w:r>
          </w:p>
        </w:tc>
        <w:tc>
          <w:tcPr>
            <w:tcW w:w="1366" w:type="dxa"/>
            <w:vAlign w:val="center"/>
          </w:tcPr>
          <w:p w14:paraId="74DE9CA0" w14:textId="59A5961F" w:rsidR="004B129E" w:rsidRPr="00FC71BE" w:rsidRDefault="004B129E" w:rsidP="004B129E">
            <w:pPr>
              <w:ind w:firstLine="0"/>
              <w:jc w:val="center"/>
            </w:pPr>
            <w:r w:rsidRPr="00FC71BE">
              <w:t>m</w:t>
            </w:r>
          </w:p>
        </w:tc>
      </w:tr>
      <w:tr w:rsidR="00FC71BE" w:rsidRPr="00FC71BE" w14:paraId="24A6F7F8" w14:textId="77777777" w:rsidTr="001A3C4F">
        <w:tc>
          <w:tcPr>
            <w:tcW w:w="1413" w:type="dxa"/>
            <w:vAlign w:val="center"/>
          </w:tcPr>
          <w:p w14:paraId="5CA0BDD6" w14:textId="69F1814F" w:rsidR="004B129E" w:rsidRPr="00FC71BE" w:rsidRDefault="002143AD" w:rsidP="004B129E">
            <w:pPr>
              <w:ind w:firstLine="0"/>
              <w:jc w:val="center"/>
              <w:rPr>
                <w:rFonts w:eastAsia="等线" w:cs="Times New Roman"/>
              </w:rPr>
            </w:pPr>
            <m:oMathPara>
              <m:oMath>
                <m:sSup>
                  <m:sSupPr>
                    <m:ctrlPr>
                      <w:rPr>
                        <w:rFonts w:ascii="Cambria Math" w:hAnsi="Cambria Math"/>
                        <w:i/>
                      </w:rPr>
                    </m:ctrlPr>
                  </m:sSupPr>
                  <m:e>
                    <m:r>
                      <w:rPr>
                        <w:rFonts w:ascii="Cambria Math" w:hAnsi="Cambria Math"/>
                      </w:rPr>
                      <m:t>h</m:t>
                    </m:r>
                  </m:e>
                  <m:sup>
                    <m:r>
                      <w:rPr>
                        <w:rFonts w:ascii="Cambria Math" w:hAnsi="Cambria Math"/>
                      </w:rPr>
                      <m:t>+</m:t>
                    </m:r>
                  </m:sup>
                </m:sSup>
              </m:oMath>
            </m:oMathPara>
          </w:p>
        </w:tc>
        <w:tc>
          <w:tcPr>
            <w:tcW w:w="6237" w:type="dxa"/>
          </w:tcPr>
          <w:p w14:paraId="1D9FA704" w14:textId="70FAAA3C" w:rsidR="004B129E" w:rsidRPr="00FC71BE" w:rsidRDefault="004B129E" w:rsidP="004B129E">
            <w:pPr>
              <w:ind w:firstLine="0"/>
            </w:pPr>
            <w:r w:rsidRPr="00FC71BE">
              <w:t>Dimensionless roughness height</w:t>
            </w:r>
          </w:p>
        </w:tc>
        <w:tc>
          <w:tcPr>
            <w:tcW w:w="1366" w:type="dxa"/>
            <w:vAlign w:val="center"/>
          </w:tcPr>
          <w:p w14:paraId="10D709FD" w14:textId="77777777" w:rsidR="004B129E" w:rsidRPr="00FC71BE" w:rsidRDefault="004B129E" w:rsidP="004B129E">
            <w:pPr>
              <w:ind w:firstLine="0"/>
              <w:jc w:val="center"/>
            </w:pPr>
          </w:p>
        </w:tc>
      </w:tr>
      <w:tr w:rsidR="00FC71BE" w:rsidRPr="00FC71BE" w14:paraId="082AAD1D" w14:textId="77777777" w:rsidTr="001A3C4F">
        <w:tc>
          <w:tcPr>
            <w:tcW w:w="1413" w:type="dxa"/>
            <w:vAlign w:val="center"/>
          </w:tcPr>
          <w:p w14:paraId="58FD5B8E" w14:textId="4BF7AB4B" w:rsidR="004B129E" w:rsidRPr="00FC71BE" w:rsidRDefault="002143AD" w:rsidP="004B129E">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k</m:t>
                    </m:r>
                  </m:e>
                  <m:sub>
                    <m:r>
                      <w:rPr>
                        <w:rFonts w:ascii="Cambria Math" w:eastAsia="等线" w:hAnsi="Cambria Math" w:cs="Times New Roman"/>
                      </w:rPr>
                      <m:t>f</m:t>
                    </m:r>
                  </m:sub>
                </m:sSub>
              </m:oMath>
            </m:oMathPara>
          </w:p>
        </w:tc>
        <w:tc>
          <w:tcPr>
            <w:tcW w:w="6237" w:type="dxa"/>
          </w:tcPr>
          <w:p w14:paraId="0AAE4C14" w14:textId="77733854" w:rsidR="004B129E" w:rsidRPr="00FC71BE" w:rsidRDefault="004B129E" w:rsidP="004B129E">
            <w:pPr>
              <w:ind w:firstLine="0"/>
            </w:pPr>
            <w:r w:rsidRPr="00FC71BE">
              <w:t>Dimensionless pressure loss coefficient</w:t>
            </w:r>
          </w:p>
        </w:tc>
        <w:tc>
          <w:tcPr>
            <w:tcW w:w="1366" w:type="dxa"/>
            <w:vAlign w:val="center"/>
          </w:tcPr>
          <w:p w14:paraId="5BA9478C" w14:textId="77777777" w:rsidR="004B129E" w:rsidRPr="00FC71BE" w:rsidRDefault="004B129E" w:rsidP="004B129E">
            <w:pPr>
              <w:ind w:firstLine="0"/>
              <w:jc w:val="center"/>
            </w:pPr>
          </w:p>
        </w:tc>
      </w:tr>
      <w:tr w:rsidR="00FC71BE" w:rsidRPr="00FC71BE" w14:paraId="3079BD87" w14:textId="77777777" w:rsidTr="001A3C4F">
        <w:tc>
          <w:tcPr>
            <w:tcW w:w="1413" w:type="dxa"/>
            <w:vAlign w:val="center"/>
          </w:tcPr>
          <w:p w14:paraId="2BB84BF6" w14:textId="4180878F" w:rsidR="004B129E" w:rsidRPr="00FC71BE" w:rsidRDefault="002143AD" w:rsidP="004B129E">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k</m:t>
                    </m:r>
                  </m:e>
                  <m:sub>
                    <m:r>
                      <w:rPr>
                        <w:rFonts w:ascii="Cambria Math" w:eastAsia="等线" w:hAnsi="Cambria Math" w:cs="Times New Roman"/>
                      </w:rPr>
                      <m:t>fs</m:t>
                    </m:r>
                  </m:sub>
                </m:sSub>
              </m:oMath>
            </m:oMathPara>
          </w:p>
        </w:tc>
        <w:tc>
          <w:tcPr>
            <w:tcW w:w="6237" w:type="dxa"/>
          </w:tcPr>
          <w:p w14:paraId="5846E9D8" w14:textId="7ADD546F" w:rsidR="004B129E" w:rsidRPr="00FC71BE" w:rsidRDefault="004B129E" w:rsidP="004B129E">
            <w:pPr>
              <w:ind w:firstLine="0"/>
            </w:pPr>
            <w:r w:rsidRPr="00FC71BE">
              <w:t>Dimensionless pressure loss coefficient for stationary system</w:t>
            </w:r>
          </w:p>
        </w:tc>
        <w:tc>
          <w:tcPr>
            <w:tcW w:w="1366" w:type="dxa"/>
            <w:vAlign w:val="center"/>
          </w:tcPr>
          <w:p w14:paraId="3385D644" w14:textId="77777777" w:rsidR="004B129E" w:rsidRPr="00FC71BE" w:rsidRDefault="004B129E" w:rsidP="004B129E">
            <w:pPr>
              <w:ind w:firstLine="0"/>
              <w:jc w:val="center"/>
            </w:pPr>
          </w:p>
        </w:tc>
      </w:tr>
      <w:tr w:rsidR="00FC71BE" w:rsidRPr="00FC71BE" w14:paraId="57503A1C" w14:textId="77777777" w:rsidTr="001A3C4F">
        <w:tc>
          <w:tcPr>
            <w:tcW w:w="1413" w:type="dxa"/>
            <w:vAlign w:val="center"/>
          </w:tcPr>
          <w:p w14:paraId="43F549F0" w14:textId="17FD1E36" w:rsidR="004B129E" w:rsidRPr="00FC71BE" w:rsidRDefault="002143AD" w:rsidP="004B129E">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k</m:t>
                    </m:r>
                  </m:e>
                  <m:sub>
                    <m:r>
                      <w:rPr>
                        <w:rFonts w:ascii="Cambria Math" w:eastAsia="等线" w:hAnsi="Cambria Math" w:cs="Times New Roman"/>
                      </w:rPr>
                      <m:t>fr</m:t>
                    </m:r>
                  </m:sub>
                </m:sSub>
              </m:oMath>
            </m:oMathPara>
          </w:p>
        </w:tc>
        <w:tc>
          <w:tcPr>
            <w:tcW w:w="6237" w:type="dxa"/>
          </w:tcPr>
          <w:p w14:paraId="34224671" w14:textId="647CC911" w:rsidR="004B129E" w:rsidRPr="00FC71BE" w:rsidRDefault="004B129E" w:rsidP="004B129E">
            <w:pPr>
              <w:ind w:firstLine="0"/>
            </w:pPr>
            <w:r w:rsidRPr="00FC71BE">
              <w:t>Dimensionless pressure loss coefficient for rotational system</w:t>
            </w:r>
          </w:p>
        </w:tc>
        <w:tc>
          <w:tcPr>
            <w:tcW w:w="1366" w:type="dxa"/>
            <w:vAlign w:val="center"/>
          </w:tcPr>
          <w:p w14:paraId="21F5371E" w14:textId="77777777" w:rsidR="004B129E" w:rsidRPr="00FC71BE" w:rsidRDefault="004B129E" w:rsidP="004B129E">
            <w:pPr>
              <w:ind w:firstLine="0"/>
              <w:jc w:val="center"/>
            </w:pPr>
          </w:p>
        </w:tc>
      </w:tr>
      <w:tr w:rsidR="00FC71BE" w:rsidRPr="00FC71BE" w14:paraId="29ED5B36" w14:textId="77777777" w:rsidTr="001A3C4F">
        <w:tc>
          <w:tcPr>
            <w:tcW w:w="1413" w:type="dxa"/>
            <w:vAlign w:val="center"/>
          </w:tcPr>
          <w:p w14:paraId="6DD9FECD" w14:textId="253E3DEB" w:rsidR="004B129E" w:rsidRPr="00FC71BE" w:rsidRDefault="002143AD" w:rsidP="004B129E">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k</m:t>
                    </m:r>
                  </m:e>
                  <m:sub>
                    <m:r>
                      <w:rPr>
                        <w:rFonts w:ascii="Cambria Math" w:eastAsia="等线" w:hAnsi="Cambria Math" w:cs="Times New Roman"/>
                      </w:rPr>
                      <m:t>r</m:t>
                    </m:r>
                  </m:sub>
                </m:sSub>
              </m:oMath>
            </m:oMathPara>
          </w:p>
        </w:tc>
        <w:tc>
          <w:tcPr>
            <w:tcW w:w="6237" w:type="dxa"/>
          </w:tcPr>
          <w:p w14:paraId="5F10E4F9" w14:textId="5FDA2DEC" w:rsidR="004B129E" w:rsidRPr="00FC71BE" w:rsidRDefault="004B129E" w:rsidP="004B129E">
            <w:pPr>
              <w:ind w:firstLine="0"/>
            </w:pPr>
            <w:r w:rsidRPr="00FC71BE">
              <w:t>Correction factor for rotational pressure loss</w:t>
            </w:r>
          </w:p>
        </w:tc>
        <w:tc>
          <w:tcPr>
            <w:tcW w:w="1366" w:type="dxa"/>
            <w:vAlign w:val="center"/>
          </w:tcPr>
          <w:p w14:paraId="262D10E1" w14:textId="77777777" w:rsidR="004B129E" w:rsidRPr="00FC71BE" w:rsidRDefault="004B129E" w:rsidP="004B129E">
            <w:pPr>
              <w:ind w:firstLine="0"/>
              <w:jc w:val="center"/>
            </w:pPr>
          </w:p>
        </w:tc>
      </w:tr>
      <w:tr w:rsidR="00FC71BE" w:rsidRPr="00FC71BE" w14:paraId="1D517016" w14:textId="77777777" w:rsidTr="001A3C4F">
        <w:tc>
          <w:tcPr>
            <w:tcW w:w="1413" w:type="dxa"/>
            <w:vAlign w:val="center"/>
          </w:tcPr>
          <w:p w14:paraId="067C022A" w14:textId="2B0D13B1" w:rsidR="004B129E" w:rsidRPr="00FC71BE" w:rsidRDefault="004B129E" w:rsidP="004B129E">
            <w:pPr>
              <w:ind w:firstLine="0"/>
              <w:jc w:val="center"/>
              <w:rPr>
                <w:rFonts w:eastAsia="等线" w:cs="Times New Roman"/>
              </w:rPr>
            </w:pPr>
            <m:oMathPara>
              <m:oMath>
                <m:r>
                  <w:rPr>
                    <w:rFonts w:ascii="Cambria Math" w:eastAsia="等线" w:hAnsi="Cambria Math" w:cs="Times New Roman"/>
                  </w:rPr>
                  <m:t>p</m:t>
                </m:r>
              </m:oMath>
            </m:oMathPara>
          </w:p>
        </w:tc>
        <w:tc>
          <w:tcPr>
            <w:tcW w:w="6237" w:type="dxa"/>
          </w:tcPr>
          <w:p w14:paraId="5E6BC3F9" w14:textId="2FB9274C" w:rsidR="004B129E" w:rsidRPr="00FC71BE" w:rsidRDefault="004B129E" w:rsidP="004B129E">
            <w:pPr>
              <w:ind w:firstLine="0"/>
            </w:pPr>
            <w:r w:rsidRPr="00FC71BE">
              <w:t>Pressure of fluid</w:t>
            </w:r>
          </w:p>
        </w:tc>
        <w:tc>
          <w:tcPr>
            <w:tcW w:w="1366" w:type="dxa"/>
            <w:vAlign w:val="center"/>
          </w:tcPr>
          <w:p w14:paraId="674A0291" w14:textId="6D2558B6" w:rsidR="004B129E" w:rsidRPr="00FC71BE" w:rsidRDefault="004B129E" w:rsidP="004B129E">
            <w:pPr>
              <w:ind w:firstLine="0"/>
              <w:jc w:val="center"/>
            </w:pPr>
            <w:r w:rsidRPr="00FC71BE">
              <w:t>Pa</w:t>
            </w:r>
          </w:p>
        </w:tc>
      </w:tr>
      <w:tr w:rsidR="00FC71BE" w:rsidRPr="00FC71BE" w14:paraId="6DA45196" w14:textId="77777777" w:rsidTr="001A3C4F">
        <w:tc>
          <w:tcPr>
            <w:tcW w:w="1413" w:type="dxa"/>
            <w:vAlign w:val="center"/>
          </w:tcPr>
          <w:p w14:paraId="125B8899" w14:textId="08E030D5" w:rsidR="004B129E" w:rsidRPr="00FC71BE" w:rsidRDefault="004B129E" w:rsidP="004B129E">
            <w:pPr>
              <w:ind w:firstLine="0"/>
              <w:jc w:val="center"/>
              <w:rPr>
                <w:rFonts w:eastAsia="等线" w:cs="Times New Roman"/>
              </w:rPr>
            </w:pPr>
            <m:oMathPara>
              <m:oMath>
                <m:r>
                  <w:rPr>
                    <w:rFonts w:ascii="Cambria Math" w:eastAsia="等线" w:hAnsi="Cambria Math" w:cs="Times New Roman"/>
                  </w:rPr>
                  <m:t>Q</m:t>
                </m:r>
              </m:oMath>
            </m:oMathPara>
          </w:p>
        </w:tc>
        <w:tc>
          <w:tcPr>
            <w:tcW w:w="6237" w:type="dxa"/>
          </w:tcPr>
          <w:p w14:paraId="5C940B28" w14:textId="1BBE1B72" w:rsidR="004B129E" w:rsidRPr="00FC71BE" w:rsidRDefault="004B129E" w:rsidP="004B129E">
            <w:pPr>
              <w:ind w:firstLine="0"/>
            </w:pPr>
            <w:r w:rsidRPr="00FC71BE">
              <w:t>Volumetric flow rate</w:t>
            </w:r>
          </w:p>
        </w:tc>
        <w:tc>
          <w:tcPr>
            <w:tcW w:w="1366" w:type="dxa"/>
            <w:vAlign w:val="center"/>
          </w:tcPr>
          <w:p w14:paraId="367CD280" w14:textId="672FA380" w:rsidR="004B129E" w:rsidRPr="00FC71BE" w:rsidRDefault="002143AD" w:rsidP="004B129E">
            <w:pPr>
              <w:ind w:firstLine="0"/>
              <w:jc w:val="center"/>
              <w:rPr>
                <w:iCs/>
              </w:rPr>
            </w:pPr>
            <m:oMathPara>
              <m:oMath>
                <m:f>
                  <m:fPr>
                    <m:type m:val="lin"/>
                    <m:ctrlPr>
                      <w:rPr>
                        <w:rFonts w:ascii="Cambria Math" w:hAnsi="Cambria Math"/>
                        <w:iCs/>
                      </w:rPr>
                    </m:ctrlPr>
                  </m:fPr>
                  <m:num>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num>
                  <m:den>
                    <m:r>
                      <m:rPr>
                        <m:sty m:val="p"/>
                      </m:rPr>
                      <w:rPr>
                        <w:rFonts w:ascii="Cambria Math" w:hAnsi="Cambria Math"/>
                      </w:rPr>
                      <m:t>s</m:t>
                    </m:r>
                  </m:den>
                </m:f>
              </m:oMath>
            </m:oMathPara>
          </w:p>
        </w:tc>
      </w:tr>
      <w:tr w:rsidR="00FC71BE" w:rsidRPr="00FC71BE" w14:paraId="70329EB9" w14:textId="77777777" w:rsidTr="001A3C4F">
        <w:tc>
          <w:tcPr>
            <w:tcW w:w="1413" w:type="dxa"/>
            <w:vAlign w:val="center"/>
          </w:tcPr>
          <w:p w14:paraId="0F0811C1" w14:textId="53A99C58" w:rsidR="004B129E" w:rsidRPr="00FC71BE" w:rsidRDefault="002143AD" w:rsidP="004B129E">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R</m:t>
                    </m:r>
                  </m:e>
                  <m:sub>
                    <m:r>
                      <w:rPr>
                        <w:rFonts w:ascii="Cambria Math" w:eastAsia="等线" w:hAnsi="Cambria Math" w:cs="Times New Roman"/>
                      </w:rPr>
                      <m:t>f</m:t>
                    </m:r>
                  </m:sub>
                </m:sSub>
              </m:oMath>
            </m:oMathPara>
          </w:p>
        </w:tc>
        <w:tc>
          <w:tcPr>
            <w:tcW w:w="6237" w:type="dxa"/>
          </w:tcPr>
          <w:p w14:paraId="439DE251" w14:textId="2CDFB3DC" w:rsidR="004B129E" w:rsidRPr="00FC71BE" w:rsidRDefault="004B129E" w:rsidP="004B129E">
            <w:pPr>
              <w:ind w:firstLine="0"/>
            </w:pPr>
            <w:r w:rsidRPr="00FC71BE">
              <w:t>Flow resistance</w:t>
            </w:r>
          </w:p>
        </w:tc>
        <w:tc>
          <w:tcPr>
            <w:tcW w:w="1366" w:type="dxa"/>
            <w:vAlign w:val="center"/>
          </w:tcPr>
          <w:p w14:paraId="1B002906" w14:textId="1D03DB3C" w:rsidR="004B129E" w:rsidRPr="00FC71BE" w:rsidRDefault="002143AD" w:rsidP="004B129E">
            <w:pPr>
              <w:ind w:firstLine="0"/>
              <w:jc w:val="center"/>
            </w:pPr>
            <m:oMathPara>
              <m:oMath>
                <m:f>
                  <m:fPr>
                    <m:type m:val="lin"/>
                    <m:ctrlPr>
                      <w:rPr>
                        <w:rFonts w:ascii="Cambria Math" w:hAnsi="Cambria Math"/>
                        <w:iCs/>
                      </w:rPr>
                    </m:ctrlPr>
                  </m:fPr>
                  <m:num>
                    <m:sSup>
                      <m:sSupPr>
                        <m:ctrlPr>
                          <w:rPr>
                            <w:rFonts w:ascii="Cambria Math" w:hAnsi="Cambria Math"/>
                            <w:iCs/>
                          </w:rPr>
                        </m:ctrlPr>
                      </m:sSupPr>
                      <m:e>
                        <m:r>
                          <m:rPr>
                            <m:sty m:val="p"/>
                          </m:rPr>
                          <w:rPr>
                            <w:rFonts w:ascii="Cambria Math" w:hAnsi="Cambria Math"/>
                          </w:rPr>
                          <m:t>Pa∙s</m:t>
                        </m:r>
                      </m:e>
                      <m:sup>
                        <m:r>
                          <w:rPr>
                            <w:rFonts w:ascii="Cambria Math" w:hAnsi="Cambria Math"/>
                          </w:rPr>
                          <m:t>2</m:t>
                        </m:r>
                      </m:sup>
                    </m:sSup>
                  </m:num>
                  <m:den>
                    <m:sSup>
                      <m:sSupPr>
                        <m:ctrlPr>
                          <w:rPr>
                            <w:rFonts w:ascii="Cambria Math" w:hAnsi="Cambria Math"/>
                            <w:iCs/>
                          </w:rPr>
                        </m:ctrlPr>
                      </m:sSupPr>
                      <m:e>
                        <m:r>
                          <m:rPr>
                            <m:sty m:val="p"/>
                          </m:rPr>
                          <w:rPr>
                            <w:rFonts w:ascii="Cambria Math" w:hAnsi="Cambria Math"/>
                          </w:rPr>
                          <m:t>m</m:t>
                        </m:r>
                      </m:e>
                      <m:sup>
                        <m:r>
                          <w:rPr>
                            <w:rFonts w:ascii="Cambria Math" w:hAnsi="Cambria Math"/>
                          </w:rPr>
                          <m:t>6</m:t>
                        </m:r>
                      </m:sup>
                    </m:sSup>
                  </m:den>
                </m:f>
              </m:oMath>
            </m:oMathPara>
          </w:p>
        </w:tc>
      </w:tr>
      <w:tr w:rsidR="00FC71BE" w:rsidRPr="00FC71BE" w14:paraId="5AA5D1A7" w14:textId="77777777" w:rsidTr="001A3C4F">
        <w:tc>
          <w:tcPr>
            <w:tcW w:w="1413" w:type="dxa"/>
            <w:vAlign w:val="center"/>
          </w:tcPr>
          <w:p w14:paraId="46574C3D" w14:textId="3B79EE48" w:rsidR="004B129E" w:rsidRPr="00FC71BE" w:rsidRDefault="004B129E" w:rsidP="004B129E">
            <w:pPr>
              <w:ind w:firstLine="0"/>
              <w:jc w:val="center"/>
              <w:rPr>
                <w:rFonts w:eastAsia="等线" w:cs="Times New Roman"/>
              </w:rPr>
            </w:pPr>
            <m:oMath>
              <m:r>
                <w:rPr>
                  <w:rFonts w:ascii="Cambria Math" w:hAnsi="Cambria Math"/>
                </w:rPr>
                <m:t>u</m:t>
              </m:r>
            </m:oMath>
            <w:r w:rsidRPr="00FC71BE">
              <w:t>,</w:t>
            </w:r>
            <m:oMath>
              <m:r>
                <m:rPr>
                  <m:sty m:val="bi"/>
                </m:rPr>
                <w:rPr>
                  <w:rFonts w:ascii="Cambria Math" w:eastAsia="等线" w:hAnsi="Cambria Math" w:cs="Times New Roman"/>
                </w:rPr>
                <m:t>u</m:t>
              </m:r>
            </m:oMath>
          </w:p>
        </w:tc>
        <w:tc>
          <w:tcPr>
            <w:tcW w:w="6237" w:type="dxa"/>
          </w:tcPr>
          <w:p w14:paraId="1E14955B" w14:textId="4FB70876" w:rsidR="004B129E" w:rsidRPr="00FC71BE" w:rsidRDefault="004B129E" w:rsidP="004B129E">
            <w:pPr>
              <w:ind w:firstLine="0"/>
            </w:pPr>
            <w:r w:rsidRPr="00FC71BE">
              <w:t>Velocity and velocity vector</w:t>
            </w:r>
          </w:p>
        </w:tc>
        <w:tc>
          <w:tcPr>
            <w:tcW w:w="1366" w:type="dxa"/>
            <w:vAlign w:val="center"/>
          </w:tcPr>
          <w:p w14:paraId="16B28BB1" w14:textId="3BCC7B92" w:rsidR="004B129E" w:rsidRPr="00FC71BE" w:rsidRDefault="002143AD" w:rsidP="004B129E">
            <w:pPr>
              <w:ind w:firstLine="0"/>
              <w:jc w:val="center"/>
              <w:rPr>
                <w:rFonts w:eastAsia="等线" w:cs="Times New Roman"/>
                <w:iCs/>
              </w:rPr>
            </w:pPr>
            <m:oMathPara>
              <m:oMath>
                <m:f>
                  <m:fPr>
                    <m:type m:val="lin"/>
                    <m:ctrlPr>
                      <w:rPr>
                        <w:rFonts w:ascii="Cambria Math" w:hAnsi="Cambria Math"/>
                        <w:iCs/>
                      </w:rPr>
                    </m:ctrlPr>
                  </m:fPr>
                  <m:num>
                    <m:r>
                      <m:rPr>
                        <m:sty m:val="p"/>
                      </m:rPr>
                      <w:rPr>
                        <w:rFonts w:ascii="Cambria Math" w:hAnsi="Cambria Math"/>
                      </w:rPr>
                      <m:t>m</m:t>
                    </m:r>
                  </m:num>
                  <m:den>
                    <m:r>
                      <m:rPr>
                        <m:sty m:val="p"/>
                      </m:rPr>
                      <w:rPr>
                        <w:rFonts w:ascii="Cambria Math" w:hAnsi="Cambria Math"/>
                      </w:rPr>
                      <m:t>s</m:t>
                    </m:r>
                  </m:den>
                </m:f>
              </m:oMath>
            </m:oMathPara>
          </w:p>
        </w:tc>
      </w:tr>
      <w:tr w:rsidR="00FC71BE" w:rsidRPr="00FC71BE" w14:paraId="74E7B6ED" w14:textId="77777777" w:rsidTr="001A3C4F">
        <w:tc>
          <w:tcPr>
            <w:tcW w:w="1413" w:type="dxa"/>
            <w:vAlign w:val="center"/>
          </w:tcPr>
          <w:p w14:paraId="5501C53C" w14:textId="45568078" w:rsidR="004B129E" w:rsidRPr="00FC71BE" w:rsidRDefault="002143AD" w:rsidP="004B129E">
            <w:pPr>
              <w:ind w:firstLine="0"/>
              <w:jc w:val="center"/>
              <w:rPr>
                <w:rFonts w:eastAsia="等线" w:cs="Times New Roman"/>
              </w:rPr>
            </w:pPr>
            <m:oMathPara>
              <m:oMath>
                <m:sSup>
                  <m:sSupPr>
                    <m:ctrlPr>
                      <w:rPr>
                        <w:rFonts w:ascii="Cambria Math" w:hAnsi="Cambria Math"/>
                        <w:i/>
                      </w:rPr>
                    </m:ctrlPr>
                  </m:sSupPr>
                  <m:e>
                    <m:r>
                      <w:rPr>
                        <w:rFonts w:ascii="Cambria Math" w:hAnsi="Cambria Math"/>
                      </w:rPr>
                      <m:t>u</m:t>
                    </m:r>
                  </m:e>
                  <m:sup>
                    <m:r>
                      <w:rPr>
                        <w:rFonts w:ascii="Cambria Math" w:hAnsi="Cambria Math"/>
                      </w:rPr>
                      <m:t>+</m:t>
                    </m:r>
                  </m:sup>
                </m:sSup>
              </m:oMath>
            </m:oMathPara>
          </w:p>
        </w:tc>
        <w:tc>
          <w:tcPr>
            <w:tcW w:w="6237" w:type="dxa"/>
          </w:tcPr>
          <w:p w14:paraId="3FF8626B" w14:textId="228B5583" w:rsidR="004B129E" w:rsidRPr="00FC71BE" w:rsidRDefault="004B129E" w:rsidP="004B129E">
            <w:pPr>
              <w:ind w:firstLine="0"/>
            </w:pPr>
            <w:r w:rsidRPr="00FC71BE">
              <w:t>Dimensionless velocity</w:t>
            </w:r>
          </w:p>
        </w:tc>
        <w:tc>
          <w:tcPr>
            <w:tcW w:w="1366" w:type="dxa"/>
            <w:vAlign w:val="center"/>
          </w:tcPr>
          <w:p w14:paraId="36E4719F" w14:textId="24861903" w:rsidR="004B129E" w:rsidRPr="00FC71BE" w:rsidRDefault="004B129E" w:rsidP="004B129E">
            <w:pPr>
              <w:ind w:firstLine="0"/>
              <w:jc w:val="center"/>
              <w:rPr>
                <w:rFonts w:eastAsia="等线" w:cs="Times New Roman"/>
                <w:iCs/>
              </w:rPr>
            </w:pPr>
          </w:p>
        </w:tc>
      </w:tr>
      <w:tr w:rsidR="00FC71BE" w:rsidRPr="00FC71BE" w14:paraId="5622C32A" w14:textId="77777777" w:rsidTr="001A3C4F">
        <w:tc>
          <w:tcPr>
            <w:tcW w:w="1413" w:type="dxa"/>
            <w:vAlign w:val="center"/>
          </w:tcPr>
          <w:p w14:paraId="53244979" w14:textId="6FB25E69" w:rsidR="004B129E" w:rsidRPr="00FC71BE" w:rsidRDefault="002143AD" w:rsidP="004B129E">
            <w:pPr>
              <w:ind w:firstLine="0"/>
              <w:jc w:val="center"/>
              <w:rPr>
                <w:rFonts w:eastAsia="等线" w:cs="Times New Roman"/>
              </w:rPr>
            </w:pPr>
            <m:oMathPara>
              <m:oMath>
                <m:sSub>
                  <m:sSubPr>
                    <m:ctrlPr>
                      <w:rPr>
                        <w:rFonts w:ascii="Cambria Math" w:hAnsi="Cambria Math"/>
                        <w:i/>
                      </w:rPr>
                    </m:ctrlPr>
                  </m:sSubPr>
                  <m:e>
                    <m:r>
                      <w:rPr>
                        <w:rFonts w:ascii="Cambria Math" w:hAnsi="Cambria Math"/>
                      </w:rPr>
                      <m:t>u</m:t>
                    </m:r>
                  </m:e>
                  <m:sub>
                    <m:r>
                      <w:rPr>
                        <w:rFonts w:ascii="Cambria Math" w:hAnsi="Cambria Math"/>
                      </w:rPr>
                      <m:t>c</m:t>
                    </m:r>
                  </m:sub>
                </m:sSub>
              </m:oMath>
            </m:oMathPara>
          </w:p>
        </w:tc>
        <w:tc>
          <w:tcPr>
            <w:tcW w:w="6237" w:type="dxa"/>
          </w:tcPr>
          <w:p w14:paraId="322393E7" w14:textId="28DCDE4D" w:rsidR="004B129E" w:rsidRPr="00FC71BE" w:rsidRDefault="004B129E" w:rsidP="004B129E">
            <w:pPr>
              <w:ind w:firstLine="0"/>
            </w:pPr>
            <w:r w:rsidRPr="00FC71BE">
              <w:t>Speed of sound in the medium</w:t>
            </w:r>
          </w:p>
        </w:tc>
        <w:tc>
          <w:tcPr>
            <w:tcW w:w="1366" w:type="dxa"/>
            <w:vAlign w:val="center"/>
          </w:tcPr>
          <w:p w14:paraId="19EDE2CE" w14:textId="3C490910" w:rsidR="004B129E" w:rsidRPr="00FC71BE" w:rsidRDefault="002143AD" w:rsidP="004B129E">
            <w:pPr>
              <w:ind w:firstLine="0"/>
              <w:jc w:val="center"/>
              <w:rPr>
                <w:rFonts w:eastAsia="等线" w:cs="Times New Roman"/>
                <w:iCs/>
              </w:rPr>
            </w:pPr>
            <m:oMathPara>
              <m:oMath>
                <m:f>
                  <m:fPr>
                    <m:type m:val="lin"/>
                    <m:ctrlPr>
                      <w:rPr>
                        <w:rFonts w:ascii="Cambria Math" w:hAnsi="Cambria Math"/>
                        <w:iCs/>
                      </w:rPr>
                    </m:ctrlPr>
                  </m:fPr>
                  <m:num>
                    <m:r>
                      <m:rPr>
                        <m:sty m:val="p"/>
                      </m:rPr>
                      <w:rPr>
                        <w:rFonts w:ascii="Cambria Math" w:hAnsi="Cambria Math"/>
                      </w:rPr>
                      <m:t>m</m:t>
                    </m:r>
                  </m:num>
                  <m:den>
                    <m:r>
                      <m:rPr>
                        <m:sty m:val="p"/>
                      </m:rPr>
                      <w:rPr>
                        <w:rFonts w:ascii="Cambria Math" w:hAnsi="Cambria Math"/>
                      </w:rPr>
                      <m:t>s</m:t>
                    </m:r>
                  </m:den>
                </m:f>
              </m:oMath>
            </m:oMathPara>
          </w:p>
        </w:tc>
      </w:tr>
      <w:tr w:rsidR="00FC71BE" w:rsidRPr="00FC71BE" w14:paraId="03A4E564" w14:textId="77777777" w:rsidTr="001A3C4F">
        <w:tc>
          <w:tcPr>
            <w:tcW w:w="1413" w:type="dxa"/>
            <w:vAlign w:val="center"/>
          </w:tcPr>
          <w:p w14:paraId="7D97C38D" w14:textId="58ED8387" w:rsidR="004B129E" w:rsidRPr="00FC71BE" w:rsidRDefault="002143AD" w:rsidP="004B129E">
            <w:pPr>
              <w:ind w:firstLine="0"/>
              <w:jc w:val="center"/>
              <w:rPr>
                <w:rFonts w:eastAsia="等线" w:cs="Times New Roman"/>
              </w:rPr>
            </w:pPr>
            <m:oMathPara>
              <m:oMath>
                <m:sSub>
                  <m:sSubPr>
                    <m:ctrlPr>
                      <w:rPr>
                        <w:rFonts w:ascii="Cambria Math" w:hAnsi="Cambria Math"/>
                        <w:i/>
                      </w:rPr>
                    </m:ctrlPr>
                  </m:sSubPr>
                  <m:e>
                    <m:r>
                      <w:rPr>
                        <w:rFonts w:ascii="Cambria Math" w:hAnsi="Cambria Math"/>
                      </w:rPr>
                      <m:t>u</m:t>
                    </m:r>
                  </m:e>
                  <m:sub>
                    <m:r>
                      <w:rPr>
                        <w:rFonts w:ascii="Cambria Math" w:hAnsi="Cambria Math"/>
                      </w:rPr>
                      <m:t>τ</m:t>
                    </m:r>
                  </m:sub>
                </m:sSub>
              </m:oMath>
            </m:oMathPara>
          </w:p>
        </w:tc>
        <w:tc>
          <w:tcPr>
            <w:tcW w:w="6237" w:type="dxa"/>
          </w:tcPr>
          <w:p w14:paraId="4235F188" w14:textId="2ADBAE48" w:rsidR="004B129E" w:rsidRPr="00FC71BE" w:rsidRDefault="004B129E" w:rsidP="004B129E">
            <w:pPr>
              <w:ind w:firstLine="0"/>
            </w:pPr>
            <w:r w:rsidRPr="00FC71BE">
              <w:t>Friction velocity</w:t>
            </w:r>
          </w:p>
        </w:tc>
        <w:tc>
          <w:tcPr>
            <w:tcW w:w="1366" w:type="dxa"/>
            <w:vAlign w:val="center"/>
          </w:tcPr>
          <w:p w14:paraId="2A7FCB3E" w14:textId="48B9CAA3" w:rsidR="004B129E" w:rsidRPr="00FC71BE" w:rsidRDefault="002143AD" w:rsidP="004B129E">
            <w:pPr>
              <w:ind w:firstLine="0"/>
              <w:jc w:val="center"/>
              <w:rPr>
                <w:rFonts w:eastAsia="等线" w:cs="Times New Roman"/>
                <w:iCs/>
              </w:rPr>
            </w:pPr>
            <m:oMathPara>
              <m:oMath>
                <m:f>
                  <m:fPr>
                    <m:type m:val="lin"/>
                    <m:ctrlPr>
                      <w:rPr>
                        <w:rFonts w:ascii="Cambria Math" w:hAnsi="Cambria Math"/>
                        <w:iCs/>
                      </w:rPr>
                    </m:ctrlPr>
                  </m:fPr>
                  <m:num>
                    <m:r>
                      <m:rPr>
                        <m:sty m:val="p"/>
                      </m:rPr>
                      <w:rPr>
                        <w:rFonts w:ascii="Cambria Math" w:hAnsi="Cambria Math"/>
                      </w:rPr>
                      <m:t>m</m:t>
                    </m:r>
                  </m:num>
                  <m:den>
                    <m:r>
                      <m:rPr>
                        <m:sty m:val="p"/>
                      </m:rPr>
                      <w:rPr>
                        <w:rFonts w:ascii="Cambria Math" w:hAnsi="Cambria Math"/>
                      </w:rPr>
                      <m:t>s</m:t>
                    </m:r>
                  </m:den>
                </m:f>
              </m:oMath>
            </m:oMathPara>
          </w:p>
        </w:tc>
      </w:tr>
      <w:tr w:rsidR="00FC71BE" w:rsidRPr="00FC71BE" w14:paraId="273BAA17" w14:textId="77777777" w:rsidTr="001A3C4F">
        <w:tc>
          <w:tcPr>
            <w:tcW w:w="1413" w:type="dxa"/>
            <w:vAlign w:val="center"/>
          </w:tcPr>
          <w:p w14:paraId="41AE0AB9" w14:textId="42E38292" w:rsidR="004B129E" w:rsidRPr="00FC71BE" w:rsidRDefault="004B129E" w:rsidP="004B129E">
            <w:pPr>
              <w:ind w:firstLine="0"/>
              <w:jc w:val="center"/>
              <w:rPr>
                <w:rFonts w:eastAsia="等线" w:cs="Times New Roman"/>
              </w:rPr>
            </w:pPr>
            <m:oMathPara>
              <m:oMath>
                <m:r>
                  <w:rPr>
                    <w:rFonts w:ascii="Cambria Math" w:eastAsia="等线" w:hAnsi="Cambria Math" w:cs="Times New Roman"/>
                  </w:rPr>
                  <m:t>U</m:t>
                </m:r>
              </m:oMath>
            </m:oMathPara>
          </w:p>
        </w:tc>
        <w:tc>
          <w:tcPr>
            <w:tcW w:w="6237" w:type="dxa"/>
          </w:tcPr>
          <w:p w14:paraId="4CDE2C47" w14:textId="2D14FAB9" w:rsidR="004B129E" w:rsidRPr="00FC71BE" w:rsidRDefault="004B129E" w:rsidP="004B129E">
            <w:pPr>
              <w:ind w:firstLine="0"/>
            </w:pPr>
            <w:r w:rsidRPr="00FC71BE">
              <w:t>Axial velocity of fluid</w:t>
            </w:r>
          </w:p>
        </w:tc>
        <w:tc>
          <w:tcPr>
            <w:tcW w:w="1366" w:type="dxa"/>
            <w:vAlign w:val="center"/>
          </w:tcPr>
          <w:p w14:paraId="02558E2B" w14:textId="18E36353" w:rsidR="004B129E" w:rsidRPr="00FC71BE" w:rsidRDefault="004B129E" w:rsidP="004B129E">
            <w:pPr>
              <w:ind w:firstLine="0"/>
              <w:jc w:val="center"/>
              <w:rPr>
                <w:rFonts w:eastAsia="等线" w:cs="Times New Roman"/>
                <w:iCs/>
              </w:rPr>
            </w:pPr>
            <w:r w:rsidRPr="00FC71BE">
              <w:t>m/s</w:t>
            </w:r>
          </w:p>
        </w:tc>
      </w:tr>
      <w:tr w:rsidR="00FC71BE" w:rsidRPr="00FC71BE" w14:paraId="4538C064" w14:textId="77777777" w:rsidTr="001A3C4F">
        <w:tc>
          <w:tcPr>
            <w:tcW w:w="1413" w:type="dxa"/>
            <w:vAlign w:val="center"/>
          </w:tcPr>
          <w:p w14:paraId="76830F96" w14:textId="593D2DBA" w:rsidR="004B129E" w:rsidRPr="00FC71BE" w:rsidRDefault="002143AD" w:rsidP="004B129E">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V</m:t>
                    </m:r>
                  </m:e>
                  <m:sub>
                    <m:r>
                      <w:rPr>
                        <w:rFonts w:ascii="Cambria Math" w:eastAsia="等线" w:hAnsi="Cambria Math" w:cs="Times New Roman"/>
                      </w:rPr>
                      <m:t>t</m:t>
                    </m:r>
                  </m:sub>
                </m:sSub>
              </m:oMath>
            </m:oMathPara>
          </w:p>
        </w:tc>
        <w:tc>
          <w:tcPr>
            <w:tcW w:w="6237" w:type="dxa"/>
          </w:tcPr>
          <w:p w14:paraId="1CF9E395" w14:textId="1B102CA3" w:rsidR="004B129E" w:rsidRPr="00FC71BE" w:rsidRDefault="004B129E" w:rsidP="004B129E">
            <w:pPr>
              <w:ind w:firstLine="0"/>
            </w:pPr>
            <w:r w:rsidRPr="00FC71BE">
              <w:t>Tangential velocity of fluid</w:t>
            </w:r>
          </w:p>
        </w:tc>
        <w:tc>
          <w:tcPr>
            <w:tcW w:w="1366" w:type="dxa"/>
            <w:vAlign w:val="center"/>
          </w:tcPr>
          <w:p w14:paraId="399C88CC" w14:textId="568D2A8D" w:rsidR="004B129E" w:rsidRPr="00FC71BE" w:rsidRDefault="004B129E" w:rsidP="004B129E">
            <w:pPr>
              <w:ind w:firstLine="0"/>
              <w:jc w:val="center"/>
              <w:rPr>
                <w:rFonts w:eastAsia="等线" w:cs="Times New Roman"/>
                <w:iCs/>
              </w:rPr>
            </w:pPr>
            <w:r w:rsidRPr="00FC71BE">
              <w:t>m/s</w:t>
            </w:r>
          </w:p>
        </w:tc>
      </w:tr>
      <w:tr w:rsidR="00FC71BE" w:rsidRPr="00FC71BE" w14:paraId="002DCE97" w14:textId="77777777" w:rsidTr="001A3C4F">
        <w:tc>
          <w:tcPr>
            <w:tcW w:w="1413" w:type="dxa"/>
            <w:vAlign w:val="center"/>
          </w:tcPr>
          <w:p w14:paraId="500CFCE2" w14:textId="56A5A113" w:rsidR="004B129E" w:rsidRPr="00FC71BE" w:rsidRDefault="004B129E" w:rsidP="004B129E">
            <w:pPr>
              <w:ind w:firstLine="0"/>
              <w:jc w:val="center"/>
              <w:rPr>
                <w:rFonts w:eastAsia="等线" w:cs="Times New Roman"/>
              </w:rPr>
            </w:pPr>
            <m:oMathPara>
              <m:oMath>
                <m:r>
                  <w:rPr>
                    <w:rFonts w:ascii="Cambria Math" w:eastAsia="等线" w:hAnsi="Cambria Math" w:cs="Times New Roman"/>
                  </w:rPr>
                  <m:t>y</m:t>
                </m:r>
              </m:oMath>
            </m:oMathPara>
          </w:p>
        </w:tc>
        <w:tc>
          <w:tcPr>
            <w:tcW w:w="6237" w:type="dxa"/>
          </w:tcPr>
          <w:p w14:paraId="1D4E4A76" w14:textId="2B213DFB" w:rsidR="004B129E" w:rsidRPr="00FC71BE" w:rsidRDefault="004B129E" w:rsidP="004B129E">
            <w:pPr>
              <w:ind w:firstLine="0"/>
            </w:pPr>
            <w:r w:rsidRPr="00FC71BE">
              <w:t>Distance that is normal to the wall</w:t>
            </w:r>
          </w:p>
        </w:tc>
        <w:tc>
          <w:tcPr>
            <w:tcW w:w="1366" w:type="dxa"/>
            <w:vAlign w:val="center"/>
          </w:tcPr>
          <w:p w14:paraId="5F8B5AF8" w14:textId="35538520" w:rsidR="004B129E" w:rsidRPr="00FC71BE" w:rsidRDefault="004B129E" w:rsidP="004B129E">
            <w:pPr>
              <w:ind w:firstLine="0"/>
              <w:jc w:val="center"/>
              <w:rPr>
                <w:rFonts w:eastAsia="等线" w:cs="Times New Roman"/>
                <w:iCs/>
              </w:rPr>
            </w:pPr>
            <w:r w:rsidRPr="00FC71BE">
              <w:t>m</w:t>
            </w:r>
          </w:p>
        </w:tc>
      </w:tr>
      <w:tr w:rsidR="00FC71BE" w:rsidRPr="00FC71BE" w14:paraId="271B9D90" w14:textId="77777777" w:rsidTr="001A3C4F">
        <w:tc>
          <w:tcPr>
            <w:tcW w:w="1413" w:type="dxa"/>
            <w:vAlign w:val="center"/>
          </w:tcPr>
          <w:p w14:paraId="4E15AF63" w14:textId="6026E647" w:rsidR="004B129E" w:rsidRPr="00FC71BE" w:rsidRDefault="002143AD" w:rsidP="004B129E">
            <w:pPr>
              <w:ind w:firstLine="0"/>
              <w:jc w:val="center"/>
              <w:rPr>
                <w:rFonts w:eastAsia="等线" w:cs="Times New Roman"/>
              </w:rPr>
            </w:pPr>
            <m:oMathPara>
              <m:oMath>
                <m:sSup>
                  <m:sSupPr>
                    <m:ctrlPr>
                      <w:rPr>
                        <w:rFonts w:ascii="Cambria Math" w:hAnsi="Cambria Math"/>
                        <w:i/>
                      </w:rPr>
                    </m:ctrlPr>
                  </m:sSupPr>
                  <m:e>
                    <m:r>
                      <w:rPr>
                        <w:rFonts w:ascii="Cambria Math" w:hAnsi="Cambria Math"/>
                      </w:rPr>
                      <m:t>y</m:t>
                    </m:r>
                  </m:e>
                  <m:sup>
                    <m:r>
                      <w:rPr>
                        <w:rFonts w:ascii="Cambria Math" w:hAnsi="Cambria Math"/>
                      </w:rPr>
                      <m:t>+</m:t>
                    </m:r>
                  </m:sup>
                </m:sSup>
              </m:oMath>
            </m:oMathPara>
          </w:p>
        </w:tc>
        <w:tc>
          <w:tcPr>
            <w:tcW w:w="6237" w:type="dxa"/>
          </w:tcPr>
          <w:p w14:paraId="30F64E7E" w14:textId="4F5D20D6" w:rsidR="004B129E" w:rsidRPr="00FC71BE" w:rsidRDefault="004B129E" w:rsidP="004B129E">
            <w:pPr>
              <w:ind w:firstLine="0"/>
            </w:pPr>
            <w:r w:rsidRPr="00FC71BE">
              <w:t>Dimensionless wall distance</w:t>
            </w:r>
          </w:p>
        </w:tc>
        <w:tc>
          <w:tcPr>
            <w:tcW w:w="1366" w:type="dxa"/>
            <w:vAlign w:val="center"/>
          </w:tcPr>
          <w:p w14:paraId="742E1655" w14:textId="77777777" w:rsidR="004B129E" w:rsidRPr="00FC71BE" w:rsidRDefault="004B129E" w:rsidP="004B129E">
            <w:pPr>
              <w:ind w:firstLine="0"/>
              <w:jc w:val="center"/>
              <w:rPr>
                <w:rFonts w:eastAsia="等线" w:cs="Times New Roman"/>
                <w:iCs/>
              </w:rPr>
            </w:pPr>
          </w:p>
        </w:tc>
      </w:tr>
      <w:tr w:rsidR="00FC71BE" w:rsidRPr="00FC71BE" w14:paraId="6E2C0A16" w14:textId="77777777" w:rsidTr="001A3C4F">
        <w:tc>
          <w:tcPr>
            <w:tcW w:w="1413" w:type="dxa"/>
            <w:vAlign w:val="center"/>
          </w:tcPr>
          <w:p w14:paraId="64F83390" w14:textId="3688E0C8" w:rsidR="004B129E" w:rsidRPr="00FC71BE" w:rsidRDefault="004B129E" w:rsidP="004B129E">
            <w:pPr>
              <w:ind w:firstLine="0"/>
              <w:jc w:val="center"/>
              <w:rPr>
                <w:rFonts w:eastAsia="等线" w:cs="Times New Roman"/>
              </w:rPr>
            </w:pPr>
            <m:oMathPara>
              <m:oMath>
                <m:r>
                  <w:rPr>
                    <w:rFonts w:ascii="Cambria Math" w:eastAsia="等线" w:hAnsi="Cambria Math" w:cs="Times New Roman"/>
                  </w:rPr>
                  <m:t>Δp</m:t>
                </m:r>
              </m:oMath>
            </m:oMathPara>
          </w:p>
        </w:tc>
        <w:tc>
          <w:tcPr>
            <w:tcW w:w="6237" w:type="dxa"/>
          </w:tcPr>
          <w:p w14:paraId="20DF12E6" w14:textId="3C24392A" w:rsidR="004B129E" w:rsidRPr="00FC71BE" w:rsidRDefault="004B129E" w:rsidP="004B129E">
            <w:pPr>
              <w:ind w:firstLine="0"/>
            </w:pPr>
            <w:r w:rsidRPr="00FC71BE">
              <w:t>Pressure loss</w:t>
            </w:r>
          </w:p>
        </w:tc>
        <w:tc>
          <w:tcPr>
            <w:tcW w:w="1366" w:type="dxa"/>
            <w:vAlign w:val="center"/>
          </w:tcPr>
          <w:p w14:paraId="28E4D780" w14:textId="54B1D84C" w:rsidR="004B129E" w:rsidRPr="00FC71BE" w:rsidRDefault="004B129E" w:rsidP="004B129E">
            <w:pPr>
              <w:ind w:firstLine="0"/>
              <w:jc w:val="center"/>
            </w:pPr>
            <w:r w:rsidRPr="00FC71BE">
              <w:t>Pa</w:t>
            </w:r>
          </w:p>
        </w:tc>
      </w:tr>
      <w:tr w:rsidR="00FC71BE" w:rsidRPr="00FC71BE" w14:paraId="55215EBA" w14:textId="77777777" w:rsidTr="001A3C4F">
        <w:tc>
          <w:tcPr>
            <w:tcW w:w="1413" w:type="dxa"/>
            <w:vAlign w:val="center"/>
          </w:tcPr>
          <w:p w14:paraId="6831A01E" w14:textId="598479C3" w:rsidR="00F66BF7" w:rsidRPr="00FC71BE" w:rsidRDefault="002143AD" w:rsidP="00F66BF7">
            <w:pPr>
              <w:ind w:firstLine="0"/>
              <w:jc w:val="center"/>
              <w:rPr>
                <w:rFonts w:eastAsia="等线" w:cs="Times New Roman"/>
              </w:rPr>
            </w:pPr>
            <m:oMathPara>
              <m:oMath>
                <m:sSub>
                  <m:sSubPr>
                    <m:ctrlPr>
                      <w:rPr>
                        <w:rFonts w:ascii="Cambria Math" w:hAnsi="Cambria Math"/>
                        <w:i/>
                      </w:rPr>
                    </m:ctrlPr>
                  </m:sSubPr>
                  <m:e>
                    <m:r>
                      <w:rPr>
                        <w:rFonts w:ascii="Cambria Math" w:hAnsi="Cambria Math"/>
                      </w:rPr>
                      <m:t>λ</m:t>
                    </m:r>
                  </m:e>
                  <m:sub>
                    <m:r>
                      <w:rPr>
                        <w:rFonts w:ascii="Cambria Math" w:hAnsi="Cambria Math"/>
                      </w:rPr>
                      <m:t>μ</m:t>
                    </m:r>
                  </m:sub>
                </m:sSub>
              </m:oMath>
            </m:oMathPara>
          </w:p>
        </w:tc>
        <w:tc>
          <w:tcPr>
            <w:tcW w:w="6237" w:type="dxa"/>
          </w:tcPr>
          <w:p w14:paraId="52D8877F" w14:textId="4A400176" w:rsidR="00F66BF7" w:rsidRPr="00FC71BE" w:rsidRDefault="00F66BF7" w:rsidP="00F66BF7">
            <w:pPr>
              <w:ind w:firstLine="0"/>
            </w:pPr>
            <w:r w:rsidRPr="00FC71BE">
              <w:t>Second coefficient of viscosity</w:t>
            </w:r>
          </w:p>
        </w:tc>
        <w:tc>
          <w:tcPr>
            <w:tcW w:w="1366" w:type="dxa"/>
            <w:vAlign w:val="center"/>
          </w:tcPr>
          <w:p w14:paraId="57D302DB" w14:textId="23F6A5C5" w:rsidR="00F66BF7" w:rsidRPr="00FC71BE" w:rsidRDefault="00FA6FB5" w:rsidP="00F66BF7">
            <w:pPr>
              <w:ind w:firstLine="0"/>
              <w:jc w:val="center"/>
              <w:rPr>
                <w:rFonts w:eastAsia="等线" w:cs="Times New Roman"/>
              </w:rPr>
            </w:pPr>
            <m:oMathPara>
              <m:oMath>
                <m:r>
                  <m:rPr>
                    <m:sty m:val="p"/>
                  </m:rPr>
                  <w:rPr>
                    <w:rFonts w:ascii="Cambria Math" w:hAnsi="Cambria Math"/>
                  </w:rPr>
                  <m:t>Pa</m:t>
                </m:r>
                <m:r>
                  <w:rPr>
                    <w:rFonts w:ascii="Cambria Math" w:hAnsi="Cambria Math"/>
                  </w:rPr>
                  <m:t>∙</m:t>
                </m:r>
                <m:r>
                  <m:rPr>
                    <m:sty m:val="p"/>
                  </m:rPr>
                  <w:rPr>
                    <w:rFonts w:ascii="Cambria Math" w:hAnsi="Cambria Math"/>
                  </w:rPr>
                  <m:t>s</m:t>
                </m:r>
              </m:oMath>
            </m:oMathPara>
          </w:p>
        </w:tc>
      </w:tr>
      <w:tr w:rsidR="00FC71BE" w:rsidRPr="00FC71BE" w14:paraId="3A4978D7" w14:textId="77777777" w:rsidTr="001A3C4F">
        <w:tc>
          <w:tcPr>
            <w:tcW w:w="1413" w:type="dxa"/>
            <w:vAlign w:val="center"/>
          </w:tcPr>
          <w:p w14:paraId="0D95E19F" w14:textId="154FF885" w:rsidR="00F66BF7" w:rsidRPr="00FC71BE" w:rsidRDefault="00F66BF7" w:rsidP="00F66BF7">
            <w:pPr>
              <w:ind w:firstLine="0"/>
              <w:jc w:val="center"/>
              <w:rPr>
                <w:rFonts w:eastAsia="等线" w:cs="Times New Roman"/>
              </w:rPr>
            </w:pPr>
            <m:oMathPara>
              <m:oMath>
                <m:r>
                  <w:rPr>
                    <w:rFonts w:ascii="Cambria Math" w:eastAsia="等线" w:hAnsi="Cambria Math" w:cs="Times New Roman"/>
                  </w:rPr>
                  <m:t>μ</m:t>
                </m:r>
              </m:oMath>
            </m:oMathPara>
          </w:p>
        </w:tc>
        <w:tc>
          <w:tcPr>
            <w:tcW w:w="6237" w:type="dxa"/>
          </w:tcPr>
          <w:p w14:paraId="49FD5552" w14:textId="37FDCD80" w:rsidR="00F66BF7" w:rsidRPr="00FC71BE" w:rsidRDefault="00F66BF7" w:rsidP="00F66BF7">
            <w:pPr>
              <w:ind w:firstLine="0"/>
            </w:pPr>
            <w:r w:rsidRPr="00FC71BE">
              <w:t>Dynamic viscosity</w:t>
            </w:r>
          </w:p>
        </w:tc>
        <w:tc>
          <w:tcPr>
            <w:tcW w:w="1366" w:type="dxa"/>
            <w:vAlign w:val="center"/>
          </w:tcPr>
          <w:p w14:paraId="16BF0C59" w14:textId="1EC17068" w:rsidR="00F66BF7" w:rsidRPr="00FC71BE" w:rsidRDefault="00F66BF7" w:rsidP="00F66BF7">
            <w:pPr>
              <w:ind w:firstLine="0"/>
              <w:jc w:val="center"/>
            </w:pPr>
            <m:oMathPara>
              <m:oMath>
                <m:r>
                  <m:rPr>
                    <m:sty m:val="p"/>
                  </m:rPr>
                  <w:rPr>
                    <w:rFonts w:ascii="Cambria Math" w:hAnsi="Cambria Math"/>
                  </w:rPr>
                  <m:t>Pa</m:t>
                </m:r>
                <m:r>
                  <w:rPr>
                    <w:rFonts w:ascii="Cambria Math" w:hAnsi="Cambria Math"/>
                  </w:rPr>
                  <m:t>∙</m:t>
                </m:r>
                <m:r>
                  <m:rPr>
                    <m:sty m:val="p"/>
                  </m:rPr>
                  <w:rPr>
                    <w:rFonts w:ascii="Cambria Math" w:hAnsi="Cambria Math"/>
                  </w:rPr>
                  <m:t>s</m:t>
                </m:r>
              </m:oMath>
            </m:oMathPara>
          </w:p>
        </w:tc>
      </w:tr>
      <w:tr w:rsidR="00FC71BE" w:rsidRPr="00FC71BE" w14:paraId="15BA8C5E" w14:textId="77777777" w:rsidTr="001A3C4F">
        <w:tc>
          <w:tcPr>
            <w:tcW w:w="1413" w:type="dxa"/>
            <w:vAlign w:val="center"/>
          </w:tcPr>
          <w:p w14:paraId="47801044" w14:textId="7E021580" w:rsidR="00F66BF7" w:rsidRPr="00FC71BE" w:rsidRDefault="002143AD" w:rsidP="00F66BF7">
            <w:pPr>
              <w:ind w:firstLine="0"/>
              <w:jc w:val="center"/>
              <w:rPr>
                <w:rFonts w:eastAsia="等线" w:cs="Times New Roman"/>
              </w:rPr>
            </w:pPr>
            <m:oMathPara>
              <m:oMath>
                <m:sSub>
                  <m:sSubPr>
                    <m:ctrlPr>
                      <w:rPr>
                        <w:rFonts w:ascii="Cambria Math" w:eastAsia="等线" w:hAnsi="Cambria Math" w:cs="Times New Roman"/>
                        <w:i/>
                      </w:rPr>
                    </m:ctrlPr>
                  </m:sSubPr>
                  <m:e>
                    <m:r>
                      <w:rPr>
                        <w:rFonts w:ascii="Cambria Math" w:eastAsia="等线" w:hAnsi="Cambria Math" w:cs="Times New Roman"/>
                      </w:rPr>
                      <m:t>μ</m:t>
                    </m:r>
                  </m:e>
                  <m:sub>
                    <m:r>
                      <w:rPr>
                        <w:rFonts w:ascii="Cambria Math" w:eastAsia="等线" w:hAnsi="Cambria Math" w:cs="Times New Roman"/>
                      </w:rPr>
                      <m:t>f</m:t>
                    </m:r>
                  </m:sub>
                </m:sSub>
              </m:oMath>
            </m:oMathPara>
          </w:p>
        </w:tc>
        <w:tc>
          <w:tcPr>
            <w:tcW w:w="6237" w:type="dxa"/>
          </w:tcPr>
          <w:p w14:paraId="16FCCD48" w14:textId="30FFD9E5" w:rsidR="00F66BF7" w:rsidRPr="00FC71BE" w:rsidRDefault="00F66BF7" w:rsidP="00F66BF7">
            <w:pPr>
              <w:ind w:firstLine="0"/>
            </w:pPr>
            <w:r w:rsidRPr="00FC71BE">
              <w:t>Dynamic viscosity of liquid base for colloidal suspension</w:t>
            </w:r>
          </w:p>
        </w:tc>
        <w:tc>
          <w:tcPr>
            <w:tcW w:w="1366" w:type="dxa"/>
            <w:vAlign w:val="center"/>
          </w:tcPr>
          <w:p w14:paraId="7B5C0F0E" w14:textId="6256EC8C" w:rsidR="00F66BF7" w:rsidRPr="00FC71BE" w:rsidRDefault="00F66BF7" w:rsidP="00F66BF7">
            <w:pPr>
              <w:ind w:firstLine="0"/>
              <w:jc w:val="center"/>
            </w:pPr>
            <m:oMathPara>
              <m:oMath>
                <m:r>
                  <m:rPr>
                    <m:sty m:val="p"/>
                  </m:rPr>
                  <w:rPr>
                    <w:rFonts w:ascii="Cambria Math" w:hAnsi="Cambria Math"/>
                  </w:rPr>
                  <m:t>Pa</m:t>
                </m:r>
                <m:r>
                  <w:rPr>
                    <w:rFonts w:ascii="Cambria Math" w:hAnsi="Cambria Math"/>
                  </w:rPr>
                  <m:t>∙</m:t>
                </m:r>
                <m:r>
                  <m:rPr>
                    <m:sty m:val="p"/>
                  </m:rPr>
                  <w:rPr>
                    <w:rFonts w:ascii="Cambria Math" w:hAnsi="Cambria Math"/>
                  </w:rPr>
                  <m:t>s</m:t>
                </m:r>
              </m:oMath>
            </m:oMathPara>
          </w:p>
        </w:tc>
      </w:tr>
      <w:tr w:rsidR="00FC71BE" w:rsidRPr="00FC71BE" w14:paraId="6F920B16" w14:textId="77777777" w:rsidTr="001A3C4F">
        <w:tc>
          <w:tcPr>
            <w:tcW w:w="1413" w:type="dxa"/>
            <w:vAlign w:val="center"/>
          </w:tcPr>
          <w:p w14:paraId="5E1312E7" w14:textId="02208047" w:rsidR="00F66BF7" w:rsidRPr="00FC71BE" w:rsidRDefault="002143AD" w:rsidP="00F66BF7">
            <w:pPr>
              <w:ind w:firstLine="0"/>
              <w:jc w:val="center"/>
              <w:rPr>
                <w:rFonts w:eastAsia="等线" w:cs="Times New Roman"/>
              </w:rPr>
            </w:pPr>
            <m:oMathPara>
              <m:oMath>
                <m:sSub>
                  <m:sSubPr>
                    <m:ctrlPr>
                      <w:rPr>
                        <w:rFonts w:ascii="Cambria Math" w:hAnsi="Cambria Math"/>
                        <w:i/>
                      </w:rPr>
                    </m:ctrlPr>
                  </m:sSubPr>
                  <m:e>
                    <m:r>
                      <w:rPr>
                        <w:rFonts w:ascii="Cambria Math" w:hAnsi="Cambria Math"/>
                      </w:rPr>
                      <m:t>τ</m:t>
                    </m:r>
                  </m:e>
                  <m:sub>
                    <m:r>
                      <w:rPr>
                        <w:rFonts w:ascii="Cambria Math" w:hAnsi="Cambria Math"/>
                      </w:rPr>
                      <m:t>w</m:t>
                    </m:r>
                  </m:sub>
                </m:sSub>
              </m:oMath>
            </m:oMathPara>
          </w:p>
        </w:tc>
        <w:tc>
          <w:tcPr>
            <w:tcW w:w="6237" w:type="dxa"/>
          </w:tcPr>
          <w:p w14:paraId="1CC906A1" w14:textId="33E5E641" w:rsidR="00F66BF7" w:rsidRPr="00FC71BE" w:rsidRDefault="00F66BF7" w:rsidP="00F66BF7">
            <w:pPr>
              <w:ind w:firstLine="0"/>
            </w:pPr>
            <w:r w:rsidRPr="00FC71BE">
              <w:t>Shear stress of the fluid</w:t>
            </w:r>
          </w:p>
        </w:tc>
        <w:tc>
          <w:tcPr>
            <w:tcW w:w="1366" w:type="dxa"/>
            <w:vAlign w:val="center"/>
          </w:tcPr>
          <w:p w14:paraId="671018BD" w14:textId="15BF29E1" w:rsidR="00F66BF7" w:rsidRPr="00FC71BE" w:rsidRDefault="00F66BF7" w:rsidP="00F66BF7">
            <w:pPr>
              <w:ind w:firstLine="0"/>
              <w:jc w:val="center"/>
              <w:rPr>
                <w:rFonts w:eastAsia="等线" w:cs="Times New Roman"/>
                <w:iCs/>
              </w:rPr>
            </w:pPr>
            <w:r w:rsidRPr="00FC71BE">
              <w:t>Pa</w:t>
            </w:r>
          </w:p>
        </w:tc>
      </w:tr>
      <w:tr w:rsidR="00FC71BE" w:rsidRPr="00FC71BE" w14:paraId="7D983265" w14:textId="77777777" w:rsidTr="001A3C4F">
        <w:tc>
          <w:tcPr>
            <w:tcW w:w="1413" w:type="dxa"/>
            <w:vAlign w:val="center"/>
          </w:tcPr>
          <w:p w14:paraId="10F3747C" w14:textId="196ACEFA" w:rsidR="00F66BF7" w:rsidRPr="00FC71BE" w:rsidRDefault="00F66BF7" w:rsidP="00F66BF7">
            <w:pPr>
              <w:ind w:firstLine="0"/>
              <w:jc w:val="center"/>
              <w:rPr>
                <w:rFonts w:eastAsia="等线" w:cs="Times New Roman"/>
              </w:rPr>
            </w:pPr>
            <m:oMathPara>
              <m:oMath>
                <m:r>
                  <w:rPr>
                    <w:rFonts w:ascii="Cambria Math" w:eastAsia="等线" w:hAnsi="Cambria Math" w:cs="Times New Roman"/>
                  </w:rPr>
                  <m:t>ν</m:t>
                </m:r>
              </m:oMath>
            </m:oMathPara>
          </w:p>
        </w:tc>
        <w:tc>
          <w:tcPr>
            <w:tcW w:w="6237" w:type="dxa"/>
          </w:tcPr>
          <w:p w14:paraId="66C8706B" w14:textId="319301B9" w:rsidR="00F66BF7" w:rsidRPr="00FC71BE" w:rsidRDefault="00F66BF7" w:rsidP="00F66BF7">
            <w:pPr>
              <w:ind w:firstLine="0"/>
            </w:pPr>
            <w:r w:rsidRPr="00FC71BE">
              <w:t>Kinematic viscosity</w:t>
            </w:r>
          </w:p>
        </w:tc>
        <w:tc>
          <w:tcPr>
            <w:tcW w:w="1366" w:type="dxa"/>
            <w:vAlign w:val="center"/>
          </w:tcPr>
          <w:p w14:paraId="328D9BA1" w14:textId="6FB5D2D2" w:rsidR="00F66BF7" w:rsidRPr="00FC71BE" w:rsidRDefault="002143AD" w:rsidP="00F66BF7">
            <w:pPr>
              <w:ind w:firstLine="0"/>
              <w:jc w:val="center"/>
              <w:rPr>
                <w:rFonts w:ascii="Cambria Math" w:hAnsi="Cambria Math"/>
                <w:i/>
              </w:rPr>
            </w:pPr>
            <m:oMathPara>
              <m:oMath>
                <m:f>
                  <m:fPr>
                    <m:type m:val="lin"/>
                    <m:ctrlPr>
                      <w:rPr>
                        <w:rFonts w:ascii="Cambria Math" w:hAnsi="Cambria Math"/>
                        <w:iCs/>
                      </w:rPr>
                    </m:ctrlPr>
                  </m:fPr>
                  <m:num>
                    <m:sSup>
                      <m:sSupPr>
                        <m:ctrlPr>
                          <w:rPr>
                            <w:rFonts w:ascii="Cambria Math" w:hAnsi="Cambria Math"/>
                            <w:iCs/>
                          </w:rPr>
                        </m:ctrlPr>
                      </m:sSupPr>
                      <m:e>
                        <m:r>
                          <m:rPr>
                            <m:sty m:val="p"/>
                          </m:rPr>
                          <w:rPr>
                            <w:rFonts w:ascii="Cambria Math" w:hAnsi="Cambria Math"/>
                          </w:rPr>
                          <m:t>m</m:t>
                        </m:r>
                      </m:e>
                      <m:sup>
                        <m:r>
                          <w:rPr>
                            <w:rFonts w:ascii="Cambria Math" w:hAnsi="Cambria Math"/>
                          </w:rPr>
                          <m:t>2</m:t>
                        </m:r>
                      </m:sup>
                    </m:sSup>
                  </m:num>
                  <m:den>
                    <m:r>
                      <m:rPr>
                        <m:sty m:val="p"/>
                      </m:rPr>
                      <w:rPr>
                        <w:rFonts w:ascii="Cambria Math" w:hAnsi="Cambria Math"/>
                      </w:rPr>
                      <m:t>s</m:t>
                    </m:r>
                  </m:den>
                </m:f>
              </m:oMath>
            </m:oMathPara>
          </w:p>
        </w:tc>
      </w:tr>
    </w:tbl>
    <w:p w14:paraId="2F8DFE11" w14:textId="77777777" w:rsidR="00B3173A" w:rsidRPr="00FC71BE" w:rsidRDefault="00B3173A">
      <w:pPr>
        <w:spacing w:line="259" w:lineRule="auto"/>
        <w:ind w:firstLine="0"/>
        <w:jc w:val="left"/>
        <w:rPr>
          <w:rFonts w:eastAsiaTheme="majorEastAsia" w:cstheme="majorBidi"/>
          <w:b/>
          <w:sz w:val="40"/>
          <w:szCs w:val="32"/>
        </w:rPr>
      </w:pPr>
      <w:r w:rsidRPr="00FC71BE">
        <w:br w:type="page"/>
      </w:r>
    </w:p>
    <w:p w14:paraId="718C7C5D" w14:textId="0E60BEAD" w:rsidR="00BE51C8" w:rsidRPr="00FC71BE" w:rsidRDefault="008E56B5" w:rsidP="009944C4">
      <w:pPr>
        <w:pStyle w:val="Caption"/>
        <w:jc w:val="left"/>
        <w:rPr>
          <w:b/>
          <w:i w:val="0"/>
          <w:smallCaps/>
          <w:color w:val="auto"/>
          <w:sz w:val="40"/>
          <w:szCs w:val="40"/>
        </w:rPr>
      </w:pPr>
      <w:r w:rsidRPr="00FC71BE">
        <w:rPr>
          <w:b/>
          <w:bCs/>
          <w:i w:val="0"/>
          <w:iCs w:val="0"/>
          <w:smallCaps/>
          <w:color w:val="auto"/>
          <w:sz w:val="40"/>
          <w:szCs w:val="40"/>
        </w:rPr>
        <w:lastRenderedPageBreak/>
        <w:t>Contents</w:t>
      </w:r>
    </w:p>
    <w:p w14:paraId="53AF3F30" w14:textId="76F82662" w:rsidR="007E62C1" w:rsidRPr="00FC71BE" w:rsidRDefault="006A20AE">
      <w:pPr>
        <w:pStyle w:val="TOC1"/>
        <w:tabs>
          <w:tab w:val="right" w:leader="dot" w:pos="9016"/>
        </w:tabs>
        <w:rPr>
          <w:rFonts w:asciiTheme="minorHAnsi" w:hAnsiTheme="minorHAnsi"/>
          <w:noProof/>
          <w:kern w:val="2"/>
          <w:szCs w:val="24"/>
          <w14:ligatures w14:val="standardContextual"/>
        </w:rPr>
      </w:pPr>
      <w:r w:rsidRPr="00FC71BE">
        <w:fldChar w:fldCharType="begin"/>
      </w:r>
      <w:r w:rsidRPr="00FC71BE">
        <w:instrText xml:space="preserve"> TOC \o "1-3" \u </w:instrText>
      </w:r>
      <w:r w:rsidRPr="00FC71BE">
        <w:fldChar w:fldCharType="separate"/>
      </w:r>
      <w:r w:rsidR="007E62C1" w:rsidRPr="00FC71BE">
        <w:rPr>
          <w:noProof/>
        </w:rPr>
        <w:t>Acknowledgement</w:t>
      </w:r>
      <w:r w:rsidR="007E62C1" w:rsidRPr="00FC71BE">
        <w:rPr>
          <w:noProof/>
        </w:rPr>
        <w:tab/>
      </w:r>
      <w:r w:rsidR="007E62C1" w:rsidRPr="00FC71BE">
        <w:rPr>
          <w:noProof/>
        </w:rPr>
        <w:fldChar w:fldCharType="begin"/>
      </w:r>
      <w:r w:rsidR="007E62C1" w:rsidRPr="00FC71BE">
        <w:rPr>
          <w:noProof/>
        </w:rPr>
        <w:instrText xml:space="preserve"> PAGEREF _Toc157695320 \h </w:instrText>
      </w:r>
      <w:r w:rsidR="007E62C1" w:rsidRPr="00FC71BE">
        <w:rPr>
          <w:noProof/>
        </w:rPr>
      </w:r>
      <w:r w:rsidR="007E62C1" w:rsidRPr="00FC71BE">
        <w:rPr>
          <w:noProof/>
        </w:rPr>
        <w:fldChar w:fldCharType="separate"/>
      </w:r>
      <w:r w:rsidR="007E62C1" w:rsidRPr="00FC71BE">
        <w:rPr>
          <w:noProof/>
        </w:rPr>
        <w:t>i</w:t>
      </w:r>
      <w:r w:rsidR="007E62C1" w:rsidRPr="00FC71BE">
        <w:rPr>
          <w:noProof/>
        </w:rPr>
        <w:fldChar w:fldCharType="end"/>
      </w:r>
    </w:p>
    <w:p w14:paraId="0518085B" w14:textId="6FCE243C" w:rsidR="007E62C1" w:rsidRPr="00FC71BE" w:rsidRDefault="007E62C1">
      <w:pPr>
        <w:pStyle w:val="TOC1"/>
        <w:tabs>
          <w:tab w:val="right" w:leader="dot" w:pos="9016"/>
        </w:tabs>
        <w:rPr>
          <w:rFonts w:asciiTheme="minorHAnsi" w:hAnsiTheme="minorHAnsi"/>
          <w:noProof/>
          <w:kern w:val="2"/>
          <w:szCs w:val="24"/>
          <w14:ligatures w14:val="standardContextual"/>
        </w:rPr>
      </w:pPr>
      <w:r w:rsidRPr="00FC71BE">
        <w:rPr>
          <w:noProof/>
        </w:rPr>
        <w:t>Abstract</w:t>
      </w:r>
      <w:r w:rsidRPr="00FC71BE">
        <w:rPr>
          <w:noProof/>
        </w:rPr>
        <w:tab/>
      </w:r>
      <w:r w:rsidRPr="00FC71BE">
        <w:rPr>
          <w:noProof/>
        </w:rPr>
        <w:fldChar w:fldCharType="begin"/>
      </w:r>
      <w:r w:rsidRPr="00FC71BE">
        <w:rPr>
          <w:noProof/>
        </w:rPr>
        <w:instrText xml:space="preserve"> PAGEREF _Toc157695321 \h </w:instrText>
      </w:r>
      <w:r w:rsidRPr="00FC71BE">
        <w:rPr>
          <w:noProof/>
        </w:rPr>
      </w:r>
      <w:r w:rsidRPr="00FC71BE">
        <w:rPr>
          <w:noProof/>
        </w:rPr>
        <w:fldChar w:fldCharType="separate"/>
      </w:r>
      <w:r w:rsidRPr="00FC71BE">
        <w:rPr>
          <w:noProof/>
        </w:rPr>
        <w:t>ii</w:t>
      </w:r>
      <w:r w:rsidRPr="00FC71BE">
        <w:rPr>
          <w:noProof/>
        </w:rPr>
        <w:fldChar w:fldCharType="end"/>
      </w:r>
    </w:p>
    <w:p w14:paraId="06053E77" w14:textId="2C08F777" w:rsidR="007E62C1" w:rsidRPr="00FC71BE" w:rsidRDefault="007E62C1">
      <w:pPr>
        <w:pStyle w:val="TOC1"/>
        <w:tabs>
          <w:tab w:val="right" w:leader="dot" w:pos="9016"/>
        </w:tabs>
        <w:rPr>
          <w:rFonts w:asciiTheme="minorHAnsi" w:hAnsiTheme="minorHAnsi"/>
          <w:noProof/>
          <w:kern w:val="2"/>
          <w:szCs w:val="24"/>
          <w14:ligatures w14:val="standardContextual"/>
        </w:rPr>
      </w:pPr>
      <w:r w:rsidRPr="00FC71BE">
        <w:rPr>
          <w:noProof/>
        </w:rPr>
        <w:t>List of Abbreviation</w:t>
      </w:r>
      <w:r w:rsidRPr="00FC71BE">
        <w:rPr>
          <w:noProof/>
        </w:rPr>
        <w:tab/>
      </w:r>
      <w:r w:rsidRPr="00FC71BE">
        <w:rPr>
          <w:noProof/>
        </w:rPr>
        <w:fldChar w:fldCharType="begin"/>
      </w:r>
      <w:r w:rsidRPr="00FC71BE">
        <w:rPr>
          <w:noProof/>
        </w:rPr>
        <w:instrText xml:space="preserve"> PAGEREF _Toc157695322 \h </w:instrText>
      </w:r>
      <w:r w:rsidRPr="00FC71BE">
        <w:rPr>
          <w:noProof/>
        </w:rPr>
      </w:r>
      <w:r w:rsidRPr="00FC71BE">
        <w:rPr>
          <w:noProof/>
        </w:rPr>
        <w:fldChar w:fldCharType="separate"/>
      </w:r>
      <w:r w:rsidRPr="00FC71BE">
        <w:rPr>
          <w:noProof/>
        </w:rPr>
        <w:t>iv</w:t>
      </w:r>
      <w:r w:rsidRPr="00FC71BE">
        <w:rPr>
          <w:noProof/>
        </w:rPr>
        <w:fldChar w:fldCharType="end"/>
      </w:r>
    </w:p>
    <w:p w14:paraId="1239FF93" w14:textId="5A3E4DB7" w:rsidR="007E62C1" w:rsidRPr="00FC71BE" w:rsidRDefault="007E62C1">
      <w:pPr>
        <w:pStyle w:val="TOC1"/>
        <w:tabs>
          <w:tab w:val="right" w:leader="dot" w:pos="9016"/>
        </w:tabs>
        <w:rPr>
          <w:rFonts w:asciiTheme="minorHAnsi" w:hAnsiTheme="minorHAnsi"/>
          <w:noProof/>
          <w:kern w:val="2"/>
          <w:szCs w:val="24"/>
          <w:lang w:val="fr-FR"/>
          <w14:ligatures w14:val="standardContextual"/>
        </w:rPr>
      </w:pPr>
      <w:r w:rsidRPr="00FC71BE">
        <w:rPr>
          <w:noProof/>
          <w:lang w:val="fr-FR"/>
        </w:rPr>
        <w:t>Nomenclatures</w:t>
      </w:r>
      <w:r w:rsidRPr="00FC71BE">
        <w:rPr>
          <w:noProof/>
          <w:lang w:val="fr-FR"/>
        </w:rPr>
        <w:tab/>
      </w:r>
      <w:r w:rsidRPr="00FC71BE">
        <w:rPr>
          <w:noProof/>
        </w:rPr>
        <w:fldChar w:fldCharType="begin"/>
      </w:r>
      <w:r w:rsidRPr="00FC71BE">
        <w:rPr>
          <w:noProof/>
          <w:lang w:val="fr-FR"/>
        </w:rPr>
        <w:instrText xml:space="preserve"> PAGEREF _Toc157695323 \h </w:instrText>
      </w:r>
      <w:r w:rsidRPr="00FC71BE">
        <w:rPr>
          <w:noProof/>
        </w:rPr>
      </w:r>
      <w:r w:rsidRPr="00FC71BE">
        <w:rPr>
          <w:noProof/>
        </w:rPr>
        <w:fldChar w:fldCharType="separate"/>
      </w:r>
      <w:r w:rsidRPr="00FC71BE">
        <w:rPr>
          <w:noProof/>
          <w:lang w:val="fr-FR"/>
        </w:rPr>
        <w:t>vi</w:t>
      </w:r>
      <w:r w:rsidRPr="00FC71BE">
        <w:rPr>
          <w:noProof/>
        </w:rPr>
        <w:fldChar w:fldCharType="end"/>
      </w:r>
    </w:p>
    <w:p w14:paraId="560E618C" w14:textId="7708BB93" w:rsidR="007E62C1" w:rsidRPr="00FC71BE" w:rsidRDefault="007E62C1">
      <w:pPr>
        <w:pStyle w:val="TOC1"/>
        <w:tabs>
          <w:tab w:val="left" w:pos="1680"/>
          <w:tab w:val="right" w:leader="dot" w:pos="9016"/>
        </w:tabs>
        <w:rPr>
          <w:rFonts w:asciiTheme="minorHAnsi" w:hAnsiTheme="minorHAnsi"/>
          <w:noProof/>
          <w:kern w:val="2"/>
          <w:szCs w:val="24"/>
          <w:lang w:val="fr-FR"/>
          <w14:ligatures w14:val="standardContextual"/>
        </w:rPr>
      </w:pPr>
      <w:r w:rsidRPr="00FC71BE">
        <w:rPr>
          <w:noProof/>
          <w:lang w:val="fr-FR"/>
        </w:rPr>
        <w:t>Chapter 1</w:t>
      </w:r>
      <w:r w:rsidRPr="00FC71BE">
        <w:rPr>
          <w:rFonts w:asciiTheme="minorHAnsi" w:hAnsiTheme="minorHAnsi"/>
          <w:noProof/>
          <w:kern w:val="2"/>
          <w:szCs w:val="24"/>
          <w:lang w:val="fr-FR"/>
          <w14:ligatures w14:val="standardContextual"/>
        </w:rPr>
        <w:tab/>
      </w:r>
      <w:r w:rsidRPr="00FC71BE">
        <w:rPr>
          <w:noProof/>
          <w:lang w:val="fr-FR"/>
        </w:rPr>
        <w:t>Introduction</w:t>
      </w:r>
      <w:r w:rsidRPr="00FC71BE">
        <w:rPr>
          <w:noProof/>
          <w:lang w:val="fr-FR"/>
        </w:rPr>
        <w:tab/>
      </w:r>
      <w:r w:rsidRPr="00FC71BE">
        <w:rPr>
          <w:noProof/>
        </w:rPr>
        <w:fldChar w:fldCharType="begin"/>
      </w:r>
      <w:r w:rsidRPr="00FC71BE">
        <w:rPr>
          <w:noProof/>
          <w:lang w:val="fr-FR"/>
        </w:rPr>
        <w:instrText xml:space="preserve"> PAGEREF _Toc157695324 \h </w:instrText>
      </w:r>
      <w:r w:rsidRPr="00FC71BE">
        <w:rPr>
          <w:noProof/>
        </w:rPr>
      </w:r>
      <w:r w:rsidRPr="00FC71BE">
        <w:rPr>
          <w:noProof/>
        </w:rPr>
        <w:fldChar w:fldCharType="separate"/>
      </w:r>
      <w:r w:rsidRPr="00FC71BE">
        <w:rPr>
          <w:noProof/>
          <w:lang w:val="fr-FR"/>
        </w:rPr>
        <w:t>1</w:t>
      </w:r>
      <w:r w:rsidRPr="00FC71BE">
        <w:rPr>
          <w:noProof/>
        </w:rPr>
        <w:fldChar w:fldCharType="end"/>
      </w:r>
    </w:p>
    <w:p w14:paraId="00C12C14" w14:textId="24229118" w:rsidR="007E62C1" w:rsidRPr="00FC71BE" w:rsidRDefault="007E62C1">
      <w:pPr>
        <w:pStyle w:val="TOC2"/>
        <w:tabs>
          <w:tab w:val="right" w:leader="dot" w:pos="9016"/>
        </w:tabs>
        <w:rPr>
          <w:rFonts w:asciiTheme="minorHAnsi" w:hAnsiTheme="minorHAnsi"/>
          <w:noProof/>
          <w:kern w:val="2"/>
          <w:szCs w:val="24"/>
          <w:lang w:val="fr-FR"/>
          <w14:ligatures w14:val="standardContextual"/>
        </w:rPr>
      </w:pPr>
      <w:r w:rsidRPr="00FC71BE">
        <w:rPr>
          <w:noProof/>
          <w:lang w:val="fr-FR"/>
        </w:rPr>
        <w:t>1.1. General Introduction</w:t>
      </w:r>
      <w:r w:rsidRPr="00FC71BE">
        <w:rPr>
          <w:noProof/>
          <w:lang w:val="fr-FR"/>
        </w:rPr>
        <w:tab/>
      </w:r>
      <w:r w:rsidRPr="00FC71BE">
        <w:rPr>
          <w:noProof/>
        </w:rPr>
        <w:fldChar w:fldCharType="begin"/>
      </w:r>
      <w:r w:rsidRPr="00FC71BE">
        <w:rPr>
          <w:noProof/>
          <w:lang w:val="fr-FR"/>
        </w:rPr>
        <w:instrText xml:space="preserve"> PAGEREF _Toc157695325 \h </w:instrText>
      </w:r>
      <w:r w:rsidRPr="00FC71BE">
        <w:rPr>
          <w:noProof/>
        </w:rPr>
      </w:r>
      <w:r w:rsidRPr="00FC71BE">
        <w:rPr>
          <w:noProof/>
        </w:rPr>
        <w:fldChar w:fldCharType="separate"/>
      </w:r>
      <w:r w:rsidRPr="00FC71BE">
        <w:rPr>
          <w:noProof/>
          <w:lang w:val="fr-FR"/>
        </w:rPr>
        <w:t>1</w:t>
      </w:r>
      <w:r w:rsidRPr="00FC71BE">
        <w:rPr>
          <w:noProof/>
        </w:rPr>
        <w:fldChar w:fldCharType="end"/>
      </w:r>
    </w:p>
    <w:p w14:paraId="0DC4A42E" w14:textId="33E4CDAA" w:rsidR="007E62C1" w:rsidRPr="00FC71BE" w:rsidRDefault="007E62C1">
      <w:pPr>
        <w:pStyle w:val="TOC2"/>
        <w:tabs>
          <w:tab w:val="right" w:leader="dot" w:pos="9016"/>
        </w:tabs>
        <w:rPr>
          <w:rFonts w:asciiTheme="minorHAnsi" w:hAnsiTheme="minorHAnsi"/>
          <w:noProof/>
          <w:kern w:val="2"/>
          <w:szCs w:val="24"/>
          <w:lang w:val="fr-FR"/>
          <w14:ligatures w14:val="standardContextual"/>
        </w:rPr>
      </w:pPr>
      <w:r w:rsidRPr="00FC71BE">
        <w:rPr>
          <w:noProof/>
          <w:lang w:val="fr-FR"/>
        </w:rPr>
        <w:t>1.2. Permanent Magnet Machines</w:t>
      </w:r>
      <w:r w:rsidRPr="00FC71BE">
        <w:rPr>
          <w:noProof/>
          <w:lang w:val="fr-FR"/>
        </w:rPr>
        <w:tab/>
      </w:r>
      <w:r w:rsidRPr="00FC71BE">
        <w:rPr>
          <w:noProof/>
        </w:rPr>
        <w:fldChar w:fldCharType="begin"/>
      </w:r>
      <w:r w:rsidRPr="00FC71BE">
        <w:rPr>
          <w:noProof/>
          <w:lang w:val="fr-FR"/>
        </w:rPr>
        <w:instrText xml:space="preserve"> PAGEREF _Toc157695326 \h </w:instrText>
      </w:r>
      <w:r w:rsidRPr="00FC71BE">
        <w:rPr>
          <w:noProof/>
        </w:rPr>
      </w:r>
      <w:r w:rsidRPr="00FC71BE">
        <w:rPr>
          <w:noProof/>
        </w:rPr>
        <w:fldChar w:fldCharType="separate"/>
      </w:r>
      <w:r w:rsidRPr="00FC71BE">
        <w:rPr>
          <w:noProof/>
          <w:lang w:val="fr-FR"/>
        </w:rPr>
        <w:t>2</w:t>
      </w:r>
      <w:r w:rsidRPr="00FC71BE">
        <w:rPr>
          <w:noProof/>
        </w:rPr>
        <w:fldChar w:fldCharType="end"/>
      </w:r>
    </w:p>
    <w:p w14:paraId="4BDB32EE" w14:textId="63D2DBA8"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1.3. Modular SPM Machine</w:t>
      </w:r>
      <w:r w:rsidRPr="00FC71BE">
        <w:rPr>
          <w:noProof/>
        </w:rPr>
        <w:tab/>
      </w:r>
      <w:r w:rsidRPr="00FC71BE">
        <w:rPr>
          <w:noProof/>
        </w:rPr>
        <w:fldChar w:fldCharType="begin"/>
      </w:r>
      <w:r w:rsidRPr="00FC71BE">
        <w:rPr>
          <w:noProof/>
        </w:rPr>
        <w:instrText xml:space="preserve"> PAGEREF _Toc157695327 \h </w:instrText>
      </w:r>
      <w:r w:rsidRPr="00FC71BE">
        <w:rPr>
          <w:noProof/>
        </w:rPr>
      </w:r>
      <w:r w:rsidRPr="00FC71BE">
        <w:rPr>
          <w:noProof/>
        </w:rPr>
        <w:fldChar w:fldCharType="separate"/>
      </w:r>
      <w:r w:rsidRPr="00FC71BE">
        <w:rPr>
          <w:noProof/>
        </w:rPr>
        <w:t>6</w:t>
      </w:r>
      <w:r w:rsidRPr="00FC71BE">
        <w:rPr>
          <w:noProof/>
        </w:rPr>
        <w:fldChar w:fldCharType="end"/>
      </w:r>
    </w:p>
    <w:p w14:paraId="333DBEF9" w14:textId="76137212"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1.4. Thermal Managements for PM machines</w:t>
      </w:r>
      <w:r w:rsidRPr="00FC71BE">
        <w:rPr>
          <w:noProof/>
        </w:rPr>
        <w:tab/>
      </w:r>
      <w:r w:rsidRPr="00FC71BE">
        <w:rPr>
          <w:noProof/>
        </w:rPr>
        <w:fldChar w:fldCharType="begin"/>
      </w:r>
      <w:r w:rsidRPr="00FC71BE">
        <w:rPr>
          <w:noProof/>
        </w:rPr>
        <w:instrText xml:space="preserve"> PAGEREF _Toc157695328 \h </w:instrText>
      </w:r>
      <w:r w:rsidRPr="00FC71BE">
        <w:rPr>
          <w:noProof/>
        </w:rPr>
      </w:r>
      <w:r w:rsidRPr="00FC71BE">
        <w:rPr>
          <w:noProof/>
        </w:rPr>
        <w:fldChar w:fldCharType="separate"/>
      </w:r>
      <w:r w:rsidRPr="00FC71BE">
        <w:rPr>
          <w:noProof/>
        </w:rPr>
        <w:t>12</w:t>
      </w:r>
      <w:r w:rsidRPr="00FC71BE">
        <w:rPr>
          <w:noProof/>
        </w:rPr>
        <w:fldChar w:fldCharType="end"/>
      </w:r>
    </w:p>
    <w:p w14:paraId="62D424D5" w14:textId="4752156B"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1.4.1 Passive Cooling Technology</w:t>
      </w:r>
      <w:r w:rsidRPr="00FC71BE">
        <w:rPr>
          <w:noProof/>
        </w:rPr>
        <w:tab/>
      </w:r>
      <w:r w:rsidRPr="00FC71BE">
        <w:rPr>
          <w:noProof/>
        </w:rPr>
        <w:fldChar w:fldCharType="begin"/>
      </w:r>
      <w:r w:rsidRPr="00FC71BE">
        <w:rPr>
          <w:noProof/>
        </w:rPr>
        <w:instrText xml:space="preserve"> PAGEREF _Toc157695329 \h </w:instrText>
      </w:r>
      <w:r w:rsidRPr="00FC71BE">
        <w:rPr>
          <w:noProof/>
        </w:rPr>
      </w:r>
      <w:r w:rsidRPr="00FC71BE">
        <w:rPr>
          <w:noProof/>
        </w:rPr>
        <w:fldChar w:fldCharType="separate"/>
      </w:r>
      <w:r w:rsidRPr="00FC71BE">
        <w:rPr>
          <w:noProof/>
        </w:rPr>
        <w:t>13</w:t>
      </w:r>
      <w:r w:rsidRPr="00FC71BE">
        <w:rPr>
          <w:noProof/>
        </w:rPr>
        <w:fldChar w:fldCharType="end"/>
      </w:r>
    </w:p>
    <w:p w14:paraId="7F95D911" w14:textId="02891F3F"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1.4.2 Active Cooling Technology</w:t>
      </w:r>
      <w:r w:rsidRPr="00FC71BE">
        <w:rPr>
          <w:noProof/>
        </w:rPr>
        <w:tab/>
      </w:r>
      <w:r w:rsidRPr="00FC71BE">
        <w:rPr>
          <w:noProof/>
        </w:rPr>
        <w:fldChar w:fldCharType="begin"/>
      </w:r>
      <w:r w:rsidRPr="00FC71BE">
        <w:rPr>
          <w:noProof/>
        </w:rPr>
        <w:instrText xml:space="preserve"> PAGEREF _Toc157695330 \h </w:instrText>
      </w:r>
      <w:r w:rsidRPr="00FC71BE">
        <w:rPr>
          <w:noProof/>
        </w:rPr>
      </w:r>
      <w:r w:rsidRPr="00FC71BE">
        <w:rPr>
          <w:noProof/>
        </w:rPr>
        <w:fldChar w:fldCharType="separate"/>
      </w:r>
      <w:r w:rsidRPr="00FC71BE">
        <w:rPr>
          <w:noProof/>
        </w:rPr>
        <w:t>18</w:t>
      </w:r>
      <w:r w:rsidRPr="00FC71BE">
        <w:rPr>
          <w:noProof/>
        </w:rPr>
        <w:fldChar w:fldCharType="end"/>
      </w:r>
    </w:p>
    <w:p w14:paraId="32B54B46" w14:textId="05697F7B"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1.4.3 Cooling Technology for the Modular Machines</w:t>
      </w:r>
      <w:r w:rsidRPr="00FC71BE">
        <w:rPr>
          <w:noProof/>
        </w:rPr>
        <w:tab/>
      </w:r>
      <w:r w:rsidRPr="00FC71BE">
        <w:rPr>
          <w:noProof/>
        </w:rPr>
        <w:fldChar w:fldCharType="begin"/>
      </w:r>
      <w:r w:rsidRPr="00FC71BE">
        <w:rPr>
          <w:noProof/>
        </w:rPr>
        <w:instrText xml:space="preserve"> PAGEREF _Toc157695331 \h </w:instrText>
      </w:r>
      <w:r w:rsidRPr="00FC71BE">
        <w:rPr>
          <w:noProof/>
        </w:rPr>
      </w:r>
      <w:r w:rsidRPr="00FC71BE">
        <w:rPr>
          <w:noProof/>
        </w:rPr>
        <w:fldChar w:fldCharType="separate"/>
      </w:r>
      <w:r w:rsidRPr="00FC71BE">
        <w:rPr>
          <w:noProof/>
        </w:rPr>
        <w:t>28</w:t>
      </w:r>
      <w:r w:rsidRPr="00FC71BE">
        <w:rPr>
          <w:noProof/>
        </w:rPr>
        <w:fldChar w:fldCharType="end"/>
      </w:r>
    </w:p>
    <w:p w14:paraId="70159E0F" w14:textId="4B3FA4D6"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1.5. Research Scope and Contributions</w:t>
      </w:r>
      <w:r w:rsidRPr="00FC71BE">
        <w:rPr>
          <w:noProof/>
        </w:rPr>
        <w:tab/>
      </w:r>
      <w:r w:rsidRPr="00FC71BE">
        <w:rPr>
          <w:noProof/>
        </w:rPr>
        <w:fldChar w:fldCharType="begin"/>
      </w:r>
      <w:r w:rsidRPr="00FC71BE">
        <w:rPr>
          <w:noProof/>
        </w:rPr>
        <w:instrText xml:space="preserve"> PAGEREF _Toc157695332 \h </w:instrText>
      </w:r>
      <w:r w:rsidRPr="00FC71BE">
        <w:rPr>
          <w:noProof/>
        </w:rPr>
      </w:r>
      <w:r w:rsidRPr="00FC71BE">
        <w:rPr>
          <w:noProof/>
        </w:rPr>
        <w:fldChar w:fldCharType="separate"/>
      </w:r>
      <w:r w:rsidRPr="00FC71BE">
        <w:rPr>
          <w:noProof/>
        </w:rPr>
        <w:t>29</w:t>
      </w:r>
      <w:r w:rsidRPr="00FC71BE">
        <w:rPr>
          <w:noProof/>
        </w:rPr>
        <w:fldChar w:fldCharType="end"/>
      </w:r>
    </w:p>
    <w:p w14:paraId="085D994B" w14:textId="5F13456F"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1.5.1 Research Scope</w:t>
      </w:r>
      <w:r w:rsidRPr="00FC71BE">
        <w:rPr>
          <w:noProof/>
        </w:rPr>
        <w:tab/>
      </w:r>
      <w:r w:rsidRPr="00FC71BE">
        <w:rPr>
          <w:noProof/>
        </w:rPr>
        <w:fldChar w:fldCharType="begin"/>
      </w:r>
      <w:r w:rsidRPr="00FC71BE">
        <w:rPr>
          <w:noProof/>
        </w:rPr>
        <w:instrText xml:space="preserve"> PAGEREF _Toc157695333 \h </w:instrText>
      </w:r>
      <w:r w:rsidRPr="00FC71BE">
        <w:rPr>
          <w:noProof/>
        </w:rPr>
      </w:r>
      <w:r w:rsidRPr="00FC71BE">
        <w:rPr>
          <w:noProof/>
        </w:rPr>
        <w:fldChar w:fldCharType="separate"/>
      </w:r>
      <w:r w:rsidRPr="00FC71BE">
        <w:rPr>
          <w:noProof/>
        </w:rPr>
        <w:t>29</w:t>
      </w:r>
      <w:r w:rsidRPr="00FC71BE">
        <w:rPr>
          <w:noProof/>
        </w:rPr>
        <w:fldChar w:fldCharType="end"/>
      </w:r>
    </w:p>
    <w:p w14:paraId="09CE7ED5" w14:textId="418C719F"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1.5.2 Contributions</w:t>
      </w:r>
      <w:r w:rsidRPr="00FC71BE">
        <w:rPr>
          <w:noProof/>
        </w:rPr>
        <w:tab/>
      </w:r>
      <w:r w:rsidRPr="00FC71BE">
        <w:rPr>
          <w:noProof/>
        </w:rPr>
        <w:fldChar w:fldCharType="begin"/>
      </w:r>
      <w:r w:rsidRPr="00FC71BE">
        <w:rPr>
          <w:noProof/>
        </w:rPr>
        <w:instrText xml:space="preserve"> PAGEREF _Toc157695334 \h </w:instrText>
      </w:r>
      <w:r w:rsidRPr="00FC71BE">
        <w:rPr>
          <w:noProof/>
        </w:rPr>
      </w:r>
      <w:r w:rsidRPr="00FC71BE">
        <w:rPr>
          <w:noProof/>
        </w:rPr>
        <w:fldChar w:fldCharType="separate"/>
      </w:r>
      <w:r w:rsidRPr="00FC71BE">
        <w:rPr>
          <w:noProof/>
        </w:rPr>
        <w:t>30</w:t>
      </w:r>
      <w:r w:rsidRPr="00FC71BE">
        <w:rPr>
          <w:noProof/>
        </w:rPr>
        <w:fldChar w:fldCharType="end"/>
      </w:r>
    </w:p>
    <w:p w14:paraId="51E467C7" w14:textId="4EE40AB8" w:rsidR="007E62C1" w:rsidRPr="00FC71BE" w:rsidRDefault="007E62C1">
      <w:pPr>
        <w:pStyle w:val="TOC1"/>
        <w:tabs>
          <w:tab w:val="left" w:pos="1680"/>
          <w:tab w:val="right" w:leader="dot" w:pos="9016"/>
        </w:tabs>
        <w:rPr>
          <w:rFonts w:asciiTheme="minorHAnsi" w:hAnsiTheme="minorHAnsi"/>
          <w:noProof/>
          <w:kern w:val="2"/>
          <w:szCs w:val="24"/>
          <w14:ligatures w14:val="standardContextual"/>
        </w:rPr>
      </w:pPr>
      <w:r w:rsidRPr="00FC71BE">
        <w:rPr>
          <w:noProof/>
        </w:rPr>
        <w:t>Chapter 2</w:t>
      </w:r>
      <w:r w:rsidRPr="00FC71BE">
        <w:rPr>
          <w:rFonts w:asciiTheme="minorHAnsi" w:hAnsiTheme="minorHAnsi"/>
          <w:noProof/>
          <w:kern w:val="2"/>
          <w:szCs w:val="24"/>
          <w14:ligatures w14:val="standardContextual"/>
        </w:rPr>
        <w:tab/>
      </w:r>
      <w:r w:rsidRPr="00FC71BE">
        <w:rPr>
          <w:noProof/>
        </w:rPr>
        <w:t>Electromagnetic Analysis of Modular SPM machine</w:t>
      </w:r>
      <w:r w:rsidRPr="00FC71BE">
        <w:rPr>
          <w:noProof/>
        </w:rPr>
        <w:tab/>
      </w:r>
      <w:r w:rsidRPr="00FC71BE">
        <w:rPr>
          <w:noProof/>
        </w:rPr>
        <w:fldChar w:fldCharType="begin"/>
      </w:r>
      <w:r w:rsidRPr="00FC71BE">
        <w:rPr>
          <w:noProof/>
        </w:rPr>
        <w:instrText xml:space="preserve"> PAGEREF _Toc157695335 \h </w:instrText>
      </w:r>
      <w:r w:rsidRPr="00FC71BE">
        <w:rPr>
          <w:noProof/>
        </w:rPr>
      </w:r>
      <w:r w:rsidRPr="00FC71BE">
        <w:rPr>
          <w:noProof/>
        </w:rPr>
        <w:fldChar w:fldCharType="separate"/>
      </w:r>
      <w:r w:rsidRPr="00FC71BE">
        <w:rPr>
          <w:noProof/>
        </w:rPr>
        <w:t>33</w:t>
      </w:r>
      <w:r w:rsidRPr="00FC71BE">
        <w:rPr>
          <w:noProof/>
        </w:rPr>
        <w:fldChar w:fldCharType="end"/>
      </w:r>
    </w:p>
    <w:p w14:paraId="426E1230" w14:textId="21DE2333"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2.1. Introduction</w:t>
      </w:r>
      <w:r w:rsidRPr="00FC71BE">
        <w:rPr>
          <w:noProof/>
        </w:rPr>
        <w:tab/>
      </w:r>
      <w:r w:rsidRPr="00FC71BE">
        <w:rPr>
          <w:noProof/>
        </w:rPr>
        <w:fldChar w:fldCharType="begin"/>
      </w:r>
      <w:r w:rsidRPr="00FC71BE">
        <w:rPr>
          <w:noProof/>
        </w:rPr>
        <w:instrText xml:space="preserve"> PAGEREF _Toc157695336 \h </w:instrText>
      </w:r>
      <w:r w:rsidRPr="00FC71BE">
        <w:rPr>
          <w:noProof/>
        </w:rPr>
      </w:r>
      <w:r w:rsidRPr="00FC71BE">
        <w:rPr>
          <w:noProof/>
        </w:rPr>
        <w:fldChar w:fldCharType="separate"/>
      </w:r>
      <w:r w:rsidRPr="00FC71BE">
        <w:rPr>
          <w:noProof/>
        </w:rPr>
        <w:t>34</w:t>
      </w:r>
      <w:r w:rsidRPr="00FC71BE">
        <w:rPr>
          <w:noProof/>
        </w:rPr>
        <w:fldChar w:fldCharType="end"/>
      </w:r>
    </w:p>
    <w:p w14:paraId="13BC8D90" w14:textId="0D87083E"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2.2. Initial Specification of SPM machines.</w:t>
      </w:r>
      <w:r w:rsidRPr="00FC71BE">
        <w:rPr>
          <w:noProof/>
        </w:rPr>
        <w:tab/>
      </w:r>
      <w:r w:rsidRPr="00FC71BE">
        <w:rPr>
          <w:noProof/>
        </w:rPr>
        <w:fldChar w:fldCharType="begin"/>
      </w:r>
      <w:r w:rsidRPr="00FC71BE">
        <w:rPr>
          <w:noProof/>
        </w:rPr>
        <w:instrText xml:space="preserve"> PAGEREF _Toc157695337 \h </w:instrText>
      </w:r>
      <w:r w:rsidRPr="00FC71BE">
        <w:rPr>
          <w:noProof/>
        </w:rPr>
      </w:r>
      <w:r w:rsidRPr="00FC71BE">
        <w:rPr>
          <w:noProof/>
        </w:rPr>
        <w:fldChar w:fldCharType="separate"/>
      </w:r>
      <w:r w:rsidRPr="00FC71BE">
        <w:rPr>
          <w:noProof/>
        </w:rPr>
        <w:t>35</w:t>
      </w:r>
      <w:r w:rsidRPr="00FC71BE">
        <w:rPr>
          <w:noProof/>
        </w:rPr>
        <w:fldChar w:fldCharType="end"/>
      </w:r>
    </w:p>
    <w:p w14:paraId="438F83C9" w14:textId="402FB6A4"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2.3. Optimization of the Modular Machine</w:t>
      </w:r>
      <w:r w:rsidRPr="00FC71BE">
        <w:rPr>
          <w:noProof/>
        </w:rPr>
        <w:tab/>
      </w:r>
      <w:r w:rsidRPr="00FC71BE">
        <w:rPr>
          <w:noProof/>
        </w:rPr>
        <w:fldChar w:fldCharType="begin"/>
      </w:r>
      <w:r w:rsidRPr="00FC71BE">
        <w:rPr>
          <w:noProof/>
        </w:rPr>
        <w:instrText xml:space="preserve"> PAGEREF _Toc157695338 \h </w:instrText>
      </w:r>
      <w:r w:rsidRPr="00FC71BE">
        <w:rPr>
          <w:noProof/>
        </w:rPr>
      </w:r>
      <w:r w:rsidRPr="00FC71BE">
        <w:rPr>
          <w:noProof/>
        </w:rPr>
        <w:fldChar w:fldCharType="separate"/>
      </w:r>
      <w:r w:rsidRPr="00FC71BE">
        <w:rPr>
          <w:noProof/>
        </w:rPr>
        <w:t>37</w:t>
      </w:r>
      <w:r w:rsidRPr="00FC71BE">
        <w:rPr>
          <w:noProof/>
        </w:rPr>
        <w:fldChar w:fldCharType="end"/>
      </w:r>
    </w:p>
    <w:p w14:paraId="73BF91E1" w14:textId="67419C74"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2.3.1 Optimization Methods</w:t>
      </w:r>
      <w:r w:rsidRPr="00FC71BE">
        <w:rPr>
          <w:noProof/>
        </w:rPr>
        <w:tab/>
      </w:r>
      <w:r w:rsidRPr="00FC71BE">
        <w:rPr>
          <w:noProof/>
        </w:rPr>
        <w:fldChar w:fldCharType="begin"/>
      </w:r>
      <w:r w:rsidRPr="00FC71BE">
        <w:rPr>
          <w:noProof/>
        </w:rPr>
        <w:instrText xml:space="preserve"> PAGEREF _Toc157695339 \h </w:instrText>
      </w:r>
      <w:r w:rsidRPr="00FC71BE">
        <w:rPr>
          <w:noProof/>
        </w:rPr>
      </w:r>
      <w:r w:rsidRPr="00FC71BE">
        <w:rPr>
          <w:noProof/>
        </w:rPr>
        <w:fldChar w:fldCharType="separate"/>
      </w:r>
      <w:r w:rsidRPr="00FC71BE">
        <w:rPr>
          <w:noProof/>
        </w:rPr>
        <w:t>37</w:t>
      </w:r>
      <w:r w:rsidRPr="00FC71BE">
        <w:rPr>
          <w:noProof/>
        </w:rPr>
        <w:fldChar w:fldCharType="end"/>
      </w:r>
    </w:p>
    <w:p w14:paraId="174C591B" w14:textId="34FC37C4"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2.3.2 Optimization for the 24-slot/28-pole SPM Machine.</w:t>
      </w:r>
      <w:r w:rsidRPr="00FC71BE">
        <w:rPr>
          <w:noProof/>
        </w:rPr>
        <w:tab/>
      </w:r>
      <w:r w:rsidRPr="00FC71BE">
        <w:rPr>
          <w:noProof/>
        </w:rPr>
        <w:fldChar w:fldCharType="begin"/>
      </w:r>
      <w:r w:rsidRPr="00FC71BE">
        <w:rPr>
          <w:noProof/>
        </w:rPr>
        <w:instrText xml:space="preserve"> PAGEREF _Toc157695340 \h </w:instrText>
      </w:r>
      <w:r w:rsidRPr="00FC71BE">
        <w:rPr>
          <w:noProof/>
        </w:rPr>
      </w:r>
      <w:r w:rsidRPr="00FC71BE">
        <w:rPr>
          <w:noProof/>
        </w:rPr>
        <w:fldChar w:fldCharType="separate"/>
      </w:r>
      <w:r w:rsidRPr="00FC71BE">
        <w:rPr>
          <w:noProof/>
        </w:rPr>
        <w:t>38</w:t>
      </w:r>
      <w:r w:rsidRPr="00FC71BE">
        <w:rPr>
          <w:noProof/>
        </w:rPr>
        <w:fldChar w:fldCharType="end"/>
      </w:r>
    </w:p>
    <w:p w14:paraId="670317BB" w14:textId="7746BA87"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2.3.3 Evaluation of Optimized 24-slot/28-pole SPM Machines</w:t>
      </w:r>
      <w:r w:rsidRPr="00FC71BE">
        <w:rPr>
          <w:noProof/>
        </w:rPr>
        <w:tab/>
      </w:r>
      <w:r w:rsidRPr="00FC71BE">
        <w:rPr>
          <w:noProof/>
        </w:rPr>
        <w:fldChar w:fldCharType="begin"/>
      </w:r>
      <w:r w:rsidRPr="00FC71BE">
        <w:rPr>
          <w:noProof/>
        </w:rPr>
        <w:instrText xml:space="preserve"> PAGEREF _Toc157695341 \h </w:instrText>
      </w:r>
      <w:r w:rsidRPr="00FC71BE">
        <w:rPr>
          <w:noProof/>
        </w:rPr>
      </w:r>
      <w:r w:rsidRPr="00FC71BE">
        <w:rPr>
          <w:noProof/>
        </w:rPr>
        <w:fldChar w:fldCharType="separate"/>
      </w:r>
      <w:r w:rsidRPr="00FC71BE">
        <w:rPr>
          <w:noProof/>
        </w:rPr>
        <w:t>42</w:t>
      </w:r>
      <w:r w:rsidRPr="00FC71BE">
        <w:rPr>
          <w:noProof/>
        </w:rPr>
        <w:fldChar w:fldCharType="end"/>
      </w:r>
    </w:p>
    <w:p w14:paraId="7CB2403D" w14:textId="674E2B4D"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2.3.4 Optimization for the 24-slot/20-pole SPM Machine.</w:t>
      </w:r>
      <w:r w:rsidRPr="00FC71BE">
        <w:rPr>
          <w:noProof/>
        </w:rPr>
        <w:tab/>
      </w:r>
      <w:r w:rsidRPr="00FC71BE">
        <w:rPr>
          <w:noProof/>
        </w:rPr>
        <w:fldChar w:fldCharType="begin"/>
      </w:r>
      <w:r w:rsidRPr="00FC71BE">
        <w:rPr>
          <w:noProof/>
        </w:rPr>
        <w:instrText xml:space="preserve"> PAGEREF _Toc157695342 \h </w:instrText>
      </w:r>
      <w:r w:rsidRPr="00FC71BE">
        <w:rPr>
          <w:noProof/>
        </w:rPr>
      </w:r>
      <w:r w:rsidRPr="00FC71BE">
        <w:rPr>
          <w:noProof/>
        </w:rPr>
        <w:fldChar w:fldCharType="separate"/>
      </w:r>
      <w:r w:rsidRPr="00FC71BE">
        <w:rPr>
          <w:noProof/>
        </w:rPr>
        <w:t>53</w:t>
      </w:r>
      <w:r w:rsidRPr="00FC71BE">
        <w:rPr>
          <w:noProof/>
        </w:rPr>
        <w:fldChar w:fldCharType="end"/>
      </w:r>
    </w:p>
    <w:p w14:paraId="5D576629" w14:textId="06C67629"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2.3.5 Influence of FG width</w:t>
      </w:r>
      <w:r w:rsidRPr="00FC71BE">
        <w:rPr>
          <w:noProof/>
        </w:rPr>
        <w:tab/>
      </w:r>
      <w:r w:rsidRPr="00FC71BE">
        <w:rPr>
          <w:noProof/>
        </w:rPr>
        <w:fldChar w:fldCharType="begin"/>
      </w:r>
      <w:r w:rsidRPr="00FC71BE">
        <w:rPr>
          <w:noProof/>
        </w:rPr>
        <w:instrText xml:space="preserve"> PAGEREF _Toc157695343 \h </w:instrText>
      </w:r>
      <w:r w:rsidRPr="00FC71BE">
        <w:rPr>
          <w:noProof/>
        </w:rPr>
      </w:r>
      <w:r w:rsidRPr="00FC71BE">
        <w:rPr>
          <w:noProof/>
        </w:rPr>
        <w:fldChar w:fldCharType="separate"/>
      </w:r>
      <w:r w:rsidRPr="00FC71BE">
        <w:rPr>
          <w:noProof/>
        </w:rPr>
        <w:t>53</w:t>
      </w:r>
      <w:r w:rsidRPr="00FC71BE">
        <w:rPr>
          <w:noProof/>
        </w:rPr>
        <w:fldChar w:fldCharType="end"/>
      </w:r>
    </w:p>
    <w:p w14:paraId="7CF7126D" w14:textId="60E82AF5"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2.4. Experimental Validation</w:t>
      </w:r>
      <w:r w:rsidRPr="00FC71BE">
        <w:rPr>
          <w:noProof/>
        </w:rPr>
        <w:tab/>
      </w:r>
      <w:r w:rsidRPr="00FC71BE">
        <w:rPr>
          <w:noProof/>
        </w:rPr>
        <w:fldChar w:fldCharType="begin"/>
      </w:r>
      <w:r w:rsidRPr="00FC71BE">
        <w:rPr>
          <w:noProof/>
        </w:rPr>
        <w:instrText xml:space="preserve"> PAGEREF _Toc157695344 \h </w:instrText>
      </w:r>
      <w:r w:rsidRPr="00FC71BE">
        <w:rPr>
          <w:noProof/>
        </w:rPr>
      </w:r>
      <w:r w:rsidRPr="00FC71BE">
        <w:rPr>
          <w:noProof/>
        </w:rPr>
        <w:fldChar w:fldCharType="separate"/>
      </w:r>
      <w:r w:rsidRPr="00FC71BE">
        <w:rPr>
          <w:noProof/>
        </w:rPr>
        <w:t>55</w:t>
      </w:r>
      <w:r w:rsidRPr="00FC71BE">
        <w:rPr>
          <w:noProof/>
        </w:rPr>
        <w:fldChar w:fldCharType="end"/>
      </w:r>
    </w:p>
    <w:p w14:paraId="2D8AD024" w14:textId="052E77F1"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2.4.1 Phase Back EMF</w:t>
      </w:r>
      <w:r w:rsidRPr="00FC71BE">
        <w:rPr>
          <w:noProof/>
        </w:rPr>
        <w:tab/>
      </w:r>
      <w:r w:rsidRPr="00FC71BE">
        <w:rPr>
          <w:noProof/>
        </w:rPr>
        <w:fldChar w:fldCharType="begin"/>
      </w:r>
      <w:r w:rsidRPr="00FC71BE">
        <w:rPr>
          <w:noProof/>
        </w:rPr>
        <w:instrText xml:space="preserve"> PAGEREF _Toc157695345 \h </w:instrText>
      </w:r>
      <w:r w:rsidRPr="00FC71BE">
        <w:rPr>
          <w:noProof/>
        </w:rPr>
      </w:r>
      <w:r w:rsidRPr="00FC71BE">
        <w:rPr>
          <w:noProof/>
        </w:rPr>
        <w:fldChar w:fldCharType="separate"/>
      </w:r>
      <w:r w:rsidRPr="00FC71BE">
        <w:rPr>
          <w:noProof/>
        </w:rPr>
        <w:t>56</w:t>
      </w:r>
      <w:r w:rsidRPr="00FC71BE">
        <w:rPr>
          <w:noProof/>
        </w:rPr>
        <w:fldChar w:fldCharType="end"/>
      </w:r>
    </w:p>
    <w:p w14:paraId="415FC853" w14:textId="299D7195"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lastRenderedPageBreak/>
        <w:t>2.4.2 Cogging Torque</w:t>
      </w:r>
      <w:r w:rsidRPr="00FC71BE">
        <w:rPr>
          <w:noProof/>
        </w:rPr>
        <w:tab/>
      </w:r>
      <w:r w:rsidRPr="00FC71BE">
        <w:rPr>
          <w:noProof/>
        </w:rPr>
        <w:fldChar w:fldCharType="begin"/>
      </w:r>
      <w:r w:rsidRPr="00FC71BE">
        <w:rPr>
          <w:noProof/>
        </w:rPr>
        <w:instrText xml:space="preserve"> PAGEREF _Toc157695346 \h </w:instrText>
      </w:r>
      <w:r w:rsidRPr="00FC71BE">
        <w:rPr>
          <w:noProof/>
        </w:rPr>
      </w:r>
      <w:r w:rsidRPr="00FC71BE">
        <w:rPr>
          <w:noProof/>
        </w:rPr>
        <w:fldChar w:fldCharType="separate"/>
      </w:r>
      <w:r w:rsidRPr="00FC71BE">
        <w:rPr>
          <w:noProof/>
        </w:rPr>
        <w:t>57</w:t>
      </w:r>
      <w:r w:rsidRPr="00FC71BE">
        <w:rPr>
          <w:noProof/>
        </w:rPr>
        <w:fldChar w:fldCharType="end"/>
      </w:r>
    </w:p>
    <w:p w14:paraId="1294EA6D" w14:textId="5AFACD9F"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2.4.3 Static Torque</w:t>
      </w:r>
      <w:r w:rsidRPr="00FC71BE">
        <w:rPr>
          <w:noProof/>
        </w:rPr>
        <w:tab/>
      </w:r>
      <w:r w:rsidRPr="00FC71BE">
        <w:rPr>
          <w:noProof/>
        </w:rPr>
        <w:fldChar w:fldCharType="begin"/>
      </w:r>
      <w:r w:rsidRPr="00FC71BE">
        <w:rPr>
          <w:noProof/>
        </w:rPr>
        <w:instrText xml:space="preserve"> PAGEREF _Toc157695347 \h </w:instrText>
      </w:r>
      <w:r w:rsidRPr="00FC71BE">
        <w:rPr>
          <w:noProof/>
        </w:rPr>
      </w:r>
      <w:r w:rsidRPr="00FC71BE">
        <w:rPr>
          <w:noProof/>
        </w:rPr>
        <w:fldChar w:fldCharType="separate"/>
      </w:r>
      <w:r w:rsidRPr="00FC71BE">
        <w:rPr>
          <w:noProof/>
        </w:rPr>
        <w:t>58</w:t>
      </w:r>
      <w:r w:rsidRPr="00FC71BE">
        <w:rPr>
          <w:noProof/>
        </w:rPr>
        <w:fldChar w:fldCharType="end"/>
      </w:r>
    </w:p>
    <w:p w14:paraId="75F21C01" w14:textId="2A43A4FD"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2.5. Conclusion</w:t>
      </w:r>
      <w:r w:rsidRPr="00FC71BE">
        <w:rPr>
          <w:noProof/>
        </w:rPr>
        <w:tab/>
      </w:r>
      <w:r w:rsidRPr="00FC71BE">
        <w:rPr>
          <w:noProof/>
        </w:rPr>
        <w:fldChar w:fldCharType="begin"/>
      </w:r>
      <w:r w:rsidRPr="00FC71BE">
        <w:rPr>
          <w:noProof/>
        </w:rPr>
        <w:instrText xml:space="preserve"> PAGEREF _Toc157695348 \h </w:instrText>
      </w:r>
      <w:r w:rsidRPr="00FC71BE">
        <w:rPr>
          <w:noProof/>
        </w:rPr>
      </w:r>
      <w:r w:rsidRPr="00FC71BE">
        <w:rPr>
          <w:noProof/>
        </w:rPr>
        <w:fldChar w:fldCharType="separate"/>
      </w:r>
      <w:r w:rsidRPr="00FC71BE">
        <w:rPr>
          <w:noProof/>
        </w:rPr>
        <w:t>59</w:t>
      </w:r>
      <w:r w:rsidRPr="00FC71BE">
        <w:rPr>
          <w:noProof/>
        </w:rPr>
        <w:fldChar w:fldCharType="end"/>
      </w:r>
    </w:p>
    <w:p w14:paraId="64294C58" w14:textId="76A49B65" w:rsidR="007E62C1" w:rsidRPr="00FC71BE" w:rsidRDefault="007E62C1">
      <w:pPr>
        <w:pStyle w:val="TOC1"/>
        <w:tabs>
          <w:tab w:val="left" w:pos="1680"/>
          <w:tab w:val="right" w:leader="dot" w:pos="9016"/>
        </w:tabs>
        <w:rPr>
          <w:rFonts w:asciiTheme="minorHAnsi" w:hAnsiTheme="minorHAnsi"/>
          <w:noProof/>
          <w:kern w:val="2"/>
          <w:szCs w:val="24"/>
          <w14:ligatures w14:val="standardContextual"/>
        </w:rPr>
      </w:pPr>
      <w:r w:rsidRPr="00FC71BE">
        <w:rPr>
          <w:noProof/>
        </w:rPr>
        <w:t>Chapter 3</w:t>
      </w:r>
      <w:r w:rsidRPr="00FC71BE">
        <w:rPr>
          <w:rFonts w:asciiTheme="minorHAnsi" w:hAnsiTheme="minorHAnsi"/>
          <w:noProof/>
          <w:kern w:val="2"/>
          <w:szCs w:val="24"/>
          <w14:ligatures w14:val="standardContextual"/>
        </w:rPr>
        <w:tab/>
      </w:r>
      <w:r w:rsidRPr="00FC71BE">
        <w:rPr>
          <w:noProof/>
        </w:rPr>
        <w:t>Coupled EM-thermal Modelling for Modular SPM Machines</w:t>
      </w:r>
      <w:r w:rsidRPr="00FC71BE">
        <w:rPr>
          <w:noProof/>
        </w:rPr>
        <w:tab/>
      </w:r>
      <w:r w:rsidRPr="00FC71BE">
        <w:rPr>
          <w:noProof/>
        </w:rPr>
        <w:fldChar w:fldCharType="begin"/>
      </w:r>
      <w:r w:rsidRPr="00FC71BE">
        <w:rPr>
          <w:noProof/>
        </w:rPr>
        <w:instrText xml:space="preserve"> PAGEREF _Toc157695349 \h </w:instrText>
      </w:r>
      <w:r w:rsidRPr="00FC71BE">
        <w:rPr>
          <w:noProof/>
        </w:rPr>
      </w:r>
      <w:r w:rsidRPr="00FC71BE">
        <w:rPr>
          <w:noProof/>
        </w:rPr>
        <w:fldChar w:fldCharType="separate"/>
      </w:r>
      <w:r w:rsidRPr="00FC71BE">
        <w:rPr>
          <w:noProof/>
        </w:rPr>
        <w:t>61</w:t>
      </w:r>
      <w:r w:rsidRPr="00FC71BE">
        <w:rPr>
          <w:noProof/>
        </w:rPr>
        <w:fldChar w:fldCharType="end"/>
      </w:r>
    </w:p>
    <w:p w14:paraId="1F62C115" w14:textId="50AA3E4D"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3.1. Introduction</w:t>
      </w:r>
      <w:r w:rsidRPr="00FC71BE">
        <w:rPr>
          <w:noProof/>
        </w:rPr>
        <w:tab/>
      </w:r>
      <w:r w:rsidRPr="00FC71BE">
        <w:rPr>
          <w:noProof/>
        </w:rPr>
        <w:fldChar w:fldCharType="begin"/>
      </w:r>
      <w:r w:rsidRPr="00FC71BE">
        <w:rPr>
          <w:noProof/>
        </w:rPr>
        <w:instrText xml:space="preserve"> PAGEREF _Toc157695350 \h </w:instrText>
      </w:r>
      <w:r w:rsidRPr="00FC71BE">
        <w:rPr>
          <w:noProof/>
        </w:rPr>
      </w:r>
      <w:r w:rsidRPr="00FC71BE">
        <w:rPr>
          <w:noProof/>
        </w:rPr>
        <w:fldChar w:fldCharType="separate"/>
      </w:r>
      <w:r w:rsidRPr="00FC71BE">
        <w:rPr>
          <w:noProof/>
        </w:rPr>
        <w:t>63</w:t>
      </w:r>
      <w:r w:rsidRPr="00FC71BE">
        <w:rPr>
          <w:noProof/>
        </w:rPr>
        <w:fldChar w:fldCharType="end"/>
      </w:r>
    </w:p>
    <w:p w14:paraId="2A9618CC" w14:textId="679C82AE"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3.2. Dynamic EM Performances of the Modular Machine</w:t>
      </w:r>
      <w:r w:rsidRPr="00FC71BE">
        <w:rPr>
          <w:noProof/>
        </w:rPr>
        <w:tab/>
      </w:r>
      <w:r w:rsidRPr="00FC71BE">
        <w:rPr>
          <w:noProof/>
        </w:rPr>
        <w:fldChar w:fldCharType="begin"/>
      </w:r>
      <w:r w:rsidRPr="00FC71BE">
        <w:rPr>
          <w:noProof/>
        </w:rPr>
        <w:instrText xml:space="preserve"> PAGEREF _Toc157695351 \h </w:instrText>
      </w:r>
      <w:r w:rsidRPr="00FC71BE">
        <w:rPr>
          <w:noProof/>
        </w:rPr>
      </w:r>
      <w:r w:rsidRPr="00FC71BE">
        <w:rPr>
          <w:noProof/>
        </w:rPr>
        <w:fldChar w:fldCharType="separate"/>
      </w:r>
      <w:r w:rsidRPr="00FC71BE">
        <w:rPr>
          <w:noProof/>
        </w:rPr>
        <w:t>65</w:t>
      </w:r>
      <w:r w:rsidRPr="00FC71BE">
        <w:rPr>
          <w:noProof/>
        </w:rPr>
        <w:fldChar w:fldCharType="end"/>
      </w:r>
    </w:p>
    <w:p w14:paraId="5B421F9A" w14:textId="2CB3599D"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3.2.1 Without EM-thermal coupling</w:t>
      </w:r>
      <w:r w:rsidRPr="00FC71BE">
        <w:rPr>
          <w:noProof/>
        </w:rPr>
        <w:tab/>
      </w:r>
      <w:r w:rsidRPr="00FC71BE">
        <w:rPr>
          <w:noProof/>
        </w:rPr>
        <w:fldChar w:fldCharType="begin"/>
      </w:r>
      <w:r w:rsidRPr="00FC71BE">
        <w:rPr>
          <w:noProof/>
        </w:rPr>
        <w:instrText xml:space="preserve"> PAGEREF _Toc157695352 \h </w:instrText>
      </w:r>
      <w:r w:rsidRPr="00FC71BE">
        <w:rPr>
          <w:noProof/>
        </w:rPr>
      </w:r>
      <w:r w:rsidRPr="00FC71BE">
        <w:rPr>
          <w:noProof/>
        </w:rPr>
        <w:fldChar w:fldCharType="separate"/>
      </w:r>
      <w:r w:rsidRPr="00FC71BE">
        <w:rPr>
          <w:noProof/>
        </w:rPr>
        <w:t>65</w:t>
      </w:r>
      <w:r w:rsidRPr="00FC71BE">
        <w:rPr>
          <w:noProof/>
        </w:rPr>
        <w:fldChar w:fldCharType="end"/>
      </w:r>
    </w:p>
    <w:p w14:paraId="12C33A74" w14:textId="5B1600DC"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3.2.2 With EM-thermal Coupling</w:t>
      </w:r>
      <w:r w:rsidRPr="00FC71BE">
        <w:rPr>
          <w:noProof/>
        </w:rPr>
        <w:tab/>
      </w:r>
      <w:r w:rsidRPr="00FC71BE">
        <w:rPr>
          <w:noProof/>
        </w:rPr>
        <w:fldChar w:fldCharType="begin"/>
      </w:r>
      <w:r w:rsidRPr="00FC71BE">
        <w:rPr>
          <w:noProof/>
        </w:rPr>
        <w:instrText xml:space="preserve"> PAGEREF _Toc157695353 \h </w:instrText>
      </w:r>
      <w:r w:rsidRPr="00FC71BE">
        <w:rPr>
          <w:noProof/>
        </w:rPr>
      </w:r>
      <w:r w:rsidRPr="00FC71BE">
        <w:rPr>
          <w:noProof/>
        </w:rPr>
        <w:fldChar w:fldCharType="separate"/>
      </w:r>
      <w:r w:rsidRPr="00FC71BE">
        <w:rPr>
          <w:noProof/>
        </w:rPr>
        <w:t>68</w:t>
      </w:r>
      <w:r w:rsidRPr="00FC71BE">
        <w:rPr>
          <w:noProof/>
        </w:rPr>
        <w:fldChar w:fldCharType="end"/>
      </w:r>
    </w:p>
    <w:p w14:paraId="66A63002" w14:textId="00144C16"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3.3. Demagnetization Characteristics of the Modular Machine</w:t>
      </w:r>
      <w:r w:rsidRPr="00FC71BE">
        <w:rPr>
          <w:noProof/>
        </w:rPr>
        <w:tab/>
      </w:r>
      <w:r w:rsidRPr="00FC71BE">
        <w:rPr>
          <w:noProof/>
        </w:rPr>
        <w:fldChar w:fldCharType="begin"/>
      </w:r>
      <w:r w:rsidRPr="00FC71BE">
        <w:rPr>
          <w:noProof/>
        </w:rPr>
        <w:instrText xml:space="preserve"> PAGEREF _Toc157695354 \h </w:instrText>
      </w:r>
      <w:r w:rsidRPr="00FC71BE">
        <w:rPr>
          <w:noProof/>
        </w:rPr>
      </w:r>
      <w:r w:rsidRPr="00FC71BE">
        <w:rPr>
          <w:noProof/>
        </w:rPr>
        <w:fldChar w:fldCharType="separate"/>
      </w:r>
      <w:r w:rsidRPr="00FC71BE">
        <w:rPr>
          <w:noProof/>
        </w:rPr>
        <w:t>80</w:t>
      </w:r>
      <w:r w:rsidRPr="00FC71BE">
        <w:rPr>
          <w:noProof/>
        </w:rPr>
        <w:fldChar w:fldCharType="end"/>
      </w:r>
    </w:p>
    <w:p w14:paraId="108C9B97" w14:textId="163AB498"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3.3.1 Mechanism of magnet irreversible demagnetization</w:t>
      </w:r>
      <w:r w:rsidRPr="00FC71BE">
        <w:rPr>
          <w:noProof/>
        </w:rPr>
        <w:tab/>
      </w:r>
      <w:r w:rsidRPr="00FC71BE">
        <w:rPr>
          <w:noProof/>
        </w:rPr>
        <w:fldChar w:fldCharType="begin"/>
      </w:r>
      <w:r w:rsidRPr="00FC71BE">
        <w:rPr>
          <w:noProof/>
        </w:rPr>
        <w:instrText xml:space="preserve"> PAGEREF _Toc157695355 \h </w:instrText>
      </w:r>
      <w:r w:rsidRPr="00FC71BE">
        <w:rPr>
          <w:noProof/>
        </w:rPr>
      </w:r>
      <w:r w:rsidRPr="00FC71BE">
        <w:rPr>
          <w:noProof/>
        </w:rPr>
        <w:fldChar w:fldCharType="separate"/>
      </w:r>
      <w:r w:rsidRPr="00FC71BE">
        <w:rPr>
          <w:noProof/>
        </w:rPr>
        <w:t>81</w:t>
      </w:r>
      <w:r w:rsidRPr="00FC71BE">
        <w:rPr>
          <w:noProof/>
        </w:rPr>
        <w:fldChar w:fldCharType="end"/>
      </w:r>
    </w:p>
    <w:p w14:paraId="7D39A1AE" w14:textId="651A509A"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3.3.2 Demagnetization without EM-thermal coupling</w:t>
      </w:r>
      <w:r w:rsidRPr="00FC71BE">
        <w:rPr>
          <w:noProof/>
        </w:rPr>
        <w:tab/>
      </w:r>
      <w:r w:rsidRPr="00FC71BE">
        <w:rPr>
          <w:noProof/>
        </w:rPr>
        <w:fldChar w:fldCharType="begin"/>
      </w:r>
      <w:r w:rsidRPr="00FC71BE">
        <w:rPr>
          <w:noProof/>
        </w:rPr>
        <w:instrText xml:space="preserve"> PAGEREF _Toc157695356 \h </w:instrText>
      </w:r>
      <w:r w:rsidRPr="00FC71BE">
        <w:rPr>
          <w:noProof/>
        </w:rPr>
      </w:r>
      <w:r w:rsidRPr="00FC71BE">
        <w:rPr>
          <w:noProof/>
        </w:rPr>
        <w:fldChar w:fldCharType="separate"/>
      </w:r>
      <w:r w:rsidRPr="00FC71BE">
        <w:rPr>
          <w:noProof/>
        </w:rPr>
        <w:t>83</w:t>
      </w:r>
      <w:r w:rsidRPr="00FC71BE">
        <w:rPr>
          <w:noProof/>
        </w:rPr>
        <w:fldChar w:fldCharType="end"/>
      </w:r>
    </w:p>
    <w:p w14:paraId="26FC8866" w14:textId="20379781"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3.3.3 Demagnetization with Coupled EM-Thermal Modelling</w:t>
      </w:r>
      <w:r w:rsidRPr="00FC71BE">
        <w:rPr>
          <w:noProof/>
        </w:rPr>
        <w:tab/>
      </w:r>
      <w:r w:rsidRPr="00FC71BE">
        <w:rPr>
          <w:noProof/>
        </w:rPr>
        <w:fldChar w:fldCharType="begin"/>
      </w:r>
      <w:r w:rsidRPr="00FC71BE">
        <w:rPr>
          <w:noProof/>
        </w:rPr>
        <w:instrText xml:space="preserve"> PAGEREF _Toc157695357 \h </w:instrText>
      </w:r>
      <w:r w:rsidRPr="00FC71BE">
        <w:rPr>
          <w:noProof/>
        </w:rPr>
      </w:r>
      <w:r w:rsidRPr="00FC71BE">
        <w:rPr>
          <w:noProof/>
        </w:rPr>
        <w:fldChar w:fldCharType="separate"/>
      </w:r>
      <w:r w:rsidRPr="00FC71BE">
        <w:rPr>
          <w:noProof/>
        </w:rPr>
        <w:t>90</w:t>
      </w:r>
      <w:r w:rsidRPr="00FC71BE">
        <w:rPr>
          <w:noProof/>
        </w:rPr>
        <w:fldChar w:fldCharType="end"/>
      </w:r>
    </w:p>
    <w:p w14:paraId="41097205" w14:textId="0E37C022"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3.4. Conclusion</w:t>
      </w:r>
      <w:r w:rsidRPr="00FC71BE">
        <w:rPr>
          <w:noProof/>
        </w:rPr>
        <w:tab/>
      </w:r>
      <w:r w:rsidRPr="00FC71BE">
        <w:rPr>
          <w:noProof/>
        </w:rPr>
        <w:fldChar w:fldCharType="begin"/>
      </w:r>
      <w:r w:rsidRPr="00FC71BE">
        <w:rPr>
          <w:noProof/>
        </w:rPr>
        <w:instrText xml:space="preserve"> PAGEREF _Toc157695358 \h </w:instrText>
      </w:r>
      <w:r w:rsidRPr="00FC71BE">
        <w:rPr>
          <w:noProof/>
        </w:rPr>
      </w:r>
      <w:r w:rsidRPr="00FC71BE">
        <w:rPr>
          <w:noProof/>
        </w:rPr>
        <w:fldChar w:fldCharType="separate"/>
      </w:r>
      <w:r w:rsidRPr="00FC71BE">
        <w:rPr>
          <w:noProof/>
        </w:rPr>
        <w:t>97</w:t>
      </w:r>
      <w:r w:rsidRPr="00FC71BE">
        <w:rPr>
          <w:noProof/>
        </w:rPr>
        <w:fldChar w:fldCharType="end"/>
      </w:r>
    </w:p>
    <w:p w14:paraId="2267EFCD" w14:textId="56D589FA" w:rsidR="007E62C1" w:rsidRPr="00FC71BE" w:rsidRDefault="007E62C1">
      <w:pPr>
        <w:pStyle w:val="TOC1"/>
        <w:tabs>
          <w:tab w:val="left" w:pos="1680"/>
          <w:tab w:val="right" w:leader="dot" w:pos="9016"/>
        </w:tabs>
        <w:rPr>
          <w:rFonts w:asciiTheme="minorHAnsi" w:hAnsiTheme="minorHAnsi"/>
          <w:noProof/>
          <w:kern w:val="2"/>
          <w:szCs w:val="24"/>
          <w14:ligatures w14:val="standardContextual"/>
        </w:rPr>
      </w:pPr>
      <w:r w:rsidRPr="00FC71BE">
        <w:rPr>
          <w:noProof/>
        </w:rPr>
        <w:t>Chapter 4</w:t>
      </w:r>
      <w:r w:rsidRPr="00FC71BE">
        <w:rPr>
          <w:rFonts w:asciiTheme="minorHAnsi" w:hAnsiTheme="minorHAnsi"/>
          <w:noProof/>
          <w:kern w:val="2"/>
          <w:szCs w:val="24"/>
          <w14:ligatures w14:val="standardContextual"/>
        </w:rPr>
        <w:tab/>
      </w:r>
      <w:r w:rsidRPr="00FC71BE">
        <w:rPr>
          <w:noProof/>
        </w:rPr>
        <w:t>Forced Cooling Systems for the Modular Machine</w:t>
      </w:r>
      <w:r w:rsidRPr="00FC71BE">
        <w:rPr>
          <w:noProof/>
        </w:rPr>
        <w:tab/>
      </w:r>
      <w:r w:rsidRPr="00FC71BE">
        <w:rPr>
          <w:noProof/>
        </w:rPr>
        <w:fldChar w:fldCharType="begin"/>
      </w:r>
      <w:r w:rsidRPr="00FC71BE">
        <w:rPr>
          <w:noProof/>
        </w:rPr>
        <w:instrText xml:space="preserve"> PAGEREF _Toc157695359 \h </w:instrText>
      </w:r>
      <w:r w:rsidRPr="00FC71BE">
        <w:rPr>
          <w:noProof/>
        </w:rPr>
      </w:r>
      <w:r w:rsidRPr="00FC71BE">
        <w:rPr>
          <w:noProof/>
        </w:rPr>
        <w:fldChar w:fldCharType="separate"/>
      </w:r>
      <w:r w:rsidRPr="00FC71BE">
        <w:rPr>
          <w:noProof/>
        </w:rPr>
        <w:t>98</w:t>
      </w:r>
      <w:r w:rsidRPr="00FC71BE">
        <w:rPr>
          <w:noProof/>
        </w:rPr>
        <w:fldChar w:fldCharType="end"/>
      </w:r>
    </w:p>
    <w:p w14:paraId="086757FA" w14:textId="745414B8"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4.1. Introduction</w:t>
      </w:r>
      <w:r w:rsidRPr="00FC71BE">
        <w:rPr>
          <w:noProof/>
        </w:rPr>
        <w:tab/>
      </w:r>
      <w:r w:rsidRPr="00FC71BE">
        <w:rPr>
          <w:noProof/>
        </w:rPr>
        <w:fldChar w:fldCharType="begin"/>
      </w:r>
      <w:r w:rsidRPr="00FC71BE">
        <w:rPr>
          <w:noProof/>
        </w:rPr>
        <w:instrText xml:space="preserve"> PAGEREF _Toc157695360 \h </w:instrText>
      </w:r>
      <w:r w:rsidRPr="00FC71BE">
        <w:rPr>
          <w:noProof/>
        </w:rPr>
      </w:r>
      <w:r w:rsidRPr="00FC71BE">
        <w:rPr>
          <w:noProof/>
        </w:rPr>
        <w:fldChar w:fldCharType="separate"/>
      </w:r>
      <w:r w:rsidRPr="00FC71BE">
        <w:rPr>
          <w:noProof/>
        </w:rPr>
        <w:t>99</w:t>
      </w:r>
      <w:r w:rsidRPr="00FC71BE">
        <w:rPr>
          <w:noProof/>
        </w:rPr>
        <w:fldChar w:fldCharType="end"/>
      </w:r>
    </w:p>
    <w:p w14:paraId="7FA6D6C0" w14:textId="29E133CB"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4.2. Computational Fluid Dynamics Modelling</w:t>
      </w:r>
      <w:r w:rsidRPr="00FC71BE">
        <w:rPr>
          <w:noProof/>
        </w:rPr>
        <w:tab/>
      </w:r>
      <w:r w:rsidRPr="00FC71BE">
        <w:rPr>
          <w:noProof/>
        </w:rPr>
        <w:fldChar w:fldCharType="begin"/>
      </w:r>
      <w:r w:rsidRPr="00FC71BE">
        <w:rPr>
          <w:noProof/>
        </w:rPr>
        <w:instrText xml:space="preserve"> PAGEREF _Toc157695361 \h </w:instrText>
      </w:r>
      <w:r w:rsidRPr="00FC71BE">
        <w:rPr>
          <w:noProof/>
        </w:rPr>
      </w:r>
      <w:r w:rsidRPr="00FC71BE">
        <w:rPr>
          <w:noProof/>
        </w:rPr>
        <w:fldChar w:fldCharType="separate"/>
      </w:r>
      <w:r w:rsidRPr="00FC71BE">
        <w:rPr>
          <w:noProof/>
        </w:rPr>
        <w:t>101</w:t>
      </w:r>
      <w:r w:rsidRPr="00FC71BE">
        <w:rPr>
          <w:noProof/>
        </w:rPr>
        <w:fldChar w:fldCharType="end"/>
      </w:r>
    </w:p>
    <w:p w14:paraId="3E898826" w14:textId="19916CBB"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4.2.1 Governing Equations</w:t>
      </w:r>
      <w:r w:rsidRPr="00FC71BE">
        <w:rPr>
          <w:noProof/>
        </w:rPr>
        <w:tab/>
      </w:r>
      <w:r w:rsidRPr="00FC71BE">
        <w:rPr>
          <w:noProof/>
        </w:rPr>
        <w:fldChar w:fldCharType="begin"/>
      </w:r>
      <w:r w:rsidRPr="00FC71BE">
        <w:rPr>
          <w:noProof/>
        </w:rPr>
        <w:instrText xml:space="preserve"> PAGEREF _Toc157695362 \h </w:instrText>
      </w:r>
      <w:r w:rsidRPr="00FC71BE">
        <w:rPr>
          <w:noProof/>
        </w:rPr>
      </w:r>
      <w:r w:rsidRPr="00FC71BE">
        <w:rPr>
          <w:noProof/>
        </w:rPr>
        <w:fldChar w:fldCharType="separate"/>
      </w:r>
      <w:r w:rsidRPr="00FC71BE">
        <w:rPr>
          <w:noProof/>
        </w:rPr>
        <w:t>101</w:t>
      </w:r>
      <w:r w:rsidRPr="00FC71BE">
        <w:rPr>
          <w:noProof/>
        </w:rPr>
        <w:fldChar w:fldCharType="end"/>
      </w:r>
    </w:p>
    <w:p w14:paraId="3D38F225" w14:textId="691544D2"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4.2.2 Model Settings</w:t>
      </w:r>
      <w:r w:rsidRPr="00FC71BE">
        <w:rPr>
          <w:noProof/>
        </w:rPr>
        <w:tab/>
      </w:r>
      <w:r w:rsidRPr="00FC71BE">
        <w:rPr>
          <w:noProof/>
        </w:rPr>
        <w:fldChar w:fldCharType="begin"/>
      </w:r>
      <w:r w:rsidRPr="00FC71BE">
        <w:rPr>
          <w:noProof/>
        </w:rPr>
        <w:instrText xml:space="preserve"> PAGEREF _Toc157695363 \h </w:instrText>
      </w:r>
      <w:r w:rsidRPr="00FC71BE">
        <w:rPr>
          <w:noProof/>
        </w:rPr>
      </w:r>
      <w:r w:rsidRPr="00FC71BE">
        <w:rPr>
          <w:noProof/>
        </w:rPr>
        <w:fldChar w:fldCharType="separate"/>
      </w:r>
      <w:r w:rsidRPr="00FC71BE">
        <w:rPr>
          <w:noProof/>
        </w:rPr>
        <w:t>102</w:t>
      </w:r>
      <w:r w:rsidRPr="00FC71BE">
        <w:rPr>
          <w:noProof/>
        </w:rPr>
        <w:fldChar w:fldCharType="end"/>
      </w:r>
    </w:p>
    <w:p w14:paraId="4CAE5533" w14:textId="17E815C2"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4.2.3 Turbulent Boundary Layer and Wall Treatment</w:t>
      </w:r>
      <w:r w:rsidRPr="00FC71BE">
        <w:rPr>
          <w:noProof/>
        </w:rPr>
        <w:tab/>
      </w:r>
      <w:r w:rsidRPr="00FC71BE">
        <w:rPr>
          <w:noProof/>
        </w:rPr>
        <w:fldChar w:fldCharType="begin"/>
      </w:r>
      <w:r w:rsidRPr="00FC71BE">
        <w:rPr>
          <w:noProof/>
        </w:rPr>
        <w:instrText xml:space="preserve"> PAGEREF _Toc157695364 \h </w:instrText>
      </w:r>
      <w:r w:rsidRPr="00FC71BE">
        <w:rPr>
          <w:noProof/>
        </w:rPr>
      </w:r>
      <w:r w:rsidRPr="00FC71BE">
        <w:rPr>
          <w:noProof/>
        </w:rPr>
        <w:fldChar w:fldCharType="separate"/>
      </w:r>
      <w:r w:rsidRPr="00FC71BE">
        <w:rPr>
          <w:noProof/>
        </w:rPr>
        <w:t>103</w:t>
      </w:r>
      <w:r w:rsidRPr="00FC71BE">
        <w:rPr>
          <w:noProof/>
        </w:rPr>
        <w:fldChar w:fldCharType="end"/>
      </w:r>
    </w:p>
    <w:p w14:paraId="5707649C" w14:textId="240320E1"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4.2.4 Mesh</w:t>
      </w:r>
      <w:r w:rsidRPr="00FC71BE">
        <w:rPr>
          <w:noProof/>
        </w:rPr>
        <w:tab/>
      </w:r>
      <w:r w:rsidRPr="00FC71BE">
        <w:rPr>
          <w:noProof/>
        </w:rPr>
        <w:fldChar w:fldCharType="begin"/>
      </w:r>
      <w:r w:rsidRPr="00FC71BE">
        <w:rPr>
          <w:noProof/>
        </w:rPr>
        <w:instrText xml:space="preserve"> PAGEREF _Toc157695365 \h </w:instrText>
      </w:r>
      <w:r w:rsidRPr="00FC71BE">
        <w:rPr>
          <w:noProof/>
        </w:rPr>
      </w:r>
      <w:r w:rsidRPr="00FC71BE">
        <w:rPr>
          <w:noProof/>
        </w:rPr>
        <w:fldChar w:fldCharType="separate"/>
      </w:r>
      <w:r w:rsidRPr="00FC71BE">
        <w:rPr>
          <w:noProof/>
        </w:rPr>
        <w:t>106</w:t>
      </w:r>
      <w:r w:rsidRPr="00FC71BE">
        <w:rPr>
          <w:noProof/>
        </w:rPr>
        <w:fldChar w:fldCharType="end"/>
      </w:r>
    </w:p>
    <w:p w14:paraId="51ABA1C4" w14:textId="4F6D4E7F"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4.2.5 Rough Wall Treatment</w:t>
      </w:r>
      <w:r w:rsidRPr="00FC71BE">
        <w:rPr>
          <w:noProof/>
        </w:rPr>
        <w:tab/>
      </w:r>
      <w:r w:rsidRPr="00FC71BE">
        <w:rPr>
          <w:noProof/>
        </w:rPr>
        <w:fldChar w:fldCharType="begin"/>
      </w:r>
      <w:r w:rsidRPr="00FC71BE">
        <w:rPr>
          <w:noProof/>
        </w:rPr>
        <w:instrText xml:space="preserve"> PAGEREF _Toc157695366 \h </w:instrText>
      </w:r>
      <w:r w:rsidRPr="00FC71BE">
        <w:rPr>
          <w:noProof/>
        </w:rPr>
      </w:r>
      <w:r w:rsidRPr="00FC71BE">
        <w:rPr>
          <w:noProof/>
        </w:rPr>
        <w:fldChar w:fldCharType="separate"/>
      </w:r>
      <w:r w:rsidRPr="00FC71BE">
        <w:rPr>
          <w:noProof/>
        </w:rPr>
        <w:t>106</w:t>
      </w:r>
      <w:r w:rsidRPr="00FC71BE">
        <w:rPr>
          <w:noProof/>
        </w:rPr>
        <w:fldChar w:fldCharType="end"/>
      </w:r>
    </w:p>
    <w:p w14:paraId="4069C806" w14:textId="0128AF4D"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4.2.6 Convection Coefficient Calculation</w:t>
      </w:r>
      <w:r w:rsidRPr="00FC71BE">
        <w:rPr>
          <w:noProof/>
        </w:rPr>
        <w:tab/>
      </w:r>
      <w:r w:rsidRPr="00FC71BE">
        <w:rPr>
          <w:noProof/>
        </w:rPr>
        <w:fldChar w:fldCharType="begin"/>
      </w:r>
      <w:r w:rsidRPr="00FC71BE">
        <w:rPr>
          <w:noProof/>
        </w:rPr>
        <w:instrText xml:space="preserve"> PAGEREF _Toc157695367 \h </w:instrText>
      </w:r>
      <w:r w:rsidRPr="00FC71BE">
        <w:rPr>
          <w:noProof/>
        </w:rPr>
      </w:r>
      <w:r w:rsidRPr="00FC71BE">
        <w:rPr>
          <w:noProof/>
        </w:rPr>
        <w:fldChar w:fldCharType="separate"/>
      </w:r>
      <w:r w:rsidRPr="00FC71BE">
        <w:rPr>
          <w:noProof/>
        </w:rPr>
        <w:t>107</w:t>
      </w:r>
      <w:r w:rsidRPr="00FC71BE">
        <w:rPr>
          <w:noProof/>
        </w:rPr>
        <w:fldChar w:fldCharType="end"/>
      </w:r>
    </w:p>
    <w:p w14:paraId="352B76A1" w14:textId="6B71821A"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4.3. Semi-Flooded Oil Cooling</w:t>
      </w:r>
      <w:r w:rsidRPr="00FC71BE">
        <w:rPr>
          <w:noProof/>
        </w:rPr>
        <w:tab/>
      </w:r>
      <w:r w:rsidRPr="00FC71BE">
        <w:rPr>
          <w:noProof/>
        </w:rPr>
        <w:fldChar w:fldCharType="begin"/>
      </w:r>
      <w:r w:rsidRPr="00FC71BE">
        <w:rPr>
          <w:noProof/>
        </w:rPr>
        <w:instrText xml:space="preserve"> PAGEREF _Toc157695368 \h </w:instrText>
      </w:r>
      <w:r w:rsidRPr="00FC71BE">
        <w:rPr>
          <w:noProof/>
        </w:rPr>
      </w:r>
      <w:r w:rsidRPr="00FC71BE">
        <w:rPr>
          <w:noProof/>
        </w:rPr>
        <w:fldChar w:fldCharType="separate"/>
      </w:r>
      <w:r w:rsidRPr="00FC71BE">
        <w:rPr>
          <w:noProof/>
        </w:rPr>
        <w:t>108</w:t>
      </w:r>
      <w:r w:rsidRPr="00FC71BE">
        <w:rPr>
          <w:noProof/>
        </w:rPr>
        <w:fldChar w:fldCharType="end"/>
      </w:r>
    </w:p>
    <w:p w14:paraId="5F72E045" w14:textId="65EADEFA"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4.3.1 CFD Results for the Modular Machine</w:t>
      </w:r>
      <w:r w:rsidRPr="00FC71BE">
        <w:rPr>
          <w:noProof/>
        </w:rPr>
        <w:tab/>
      </w:r>
      <w:r w:rsidRPr="00FC71BE">
        <w:rPr>
          <w:noProof/>
        </w:rPr>
        <w:fldChar w:fldCharType="begin"/>
      </w:r>
      <w:r w:rsidRPr="00FC71BE">
        <w:rPr>
          <w:noProof/>
        </w:rPr>
        <w:instrText xml:space="preserve"> PAGEREF _Toc157695369 \h </w:instrText>
      </w:r>
      <w:r w:rsidRPr="00FC71BE">
        <w:rPr>
          <w:noProof/>
        </w:rPr>
      </w:r>
      <w:r w:rsidRPr="00FC71BE">
        <w:rPr>
          <w:noProof/>
        </w:rPr>
        <w:fldChar w:fldCharType="separate"/>
      </w:r>
      <w:r w:rsidRPr="00FC71BE">
        <w:rPr>
          <w:noProof/>
        </w:rPr>
        <w:t>110</w:t>
      </w:r>
      <w:r w:rsidRPr="00FC71BE">
        <w:rPr>
          <w:noProof/>
        </w:rPr>
        <w:fldChar w:fldCharType="end"/>
      </w:r>
    </w:p>
    <w:p w14:paraId="5512927A" w14:textId="25FD413B"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4.3.2 Influence of Flux Gap Width</w:t>
      </w:r>
      <w:r w:rsidRPr="00FC71BE">
        <w:rPr>
          <w:noProof/>
        </w:rPr>
        <w:tab/>
      </w:r>
      <w:r w:rsidRPr="00FC71BE">
        <w:rPr>
          <w:noProof/>
        </w:rPr>
        <w:fldChar w:fldCharType="begin"/>
      </w:r>
      <w:r w:rsidRPr="00FC71BE">
        <w:rPr>
          <w:noProof/>
        </w:rPr>
        <w:instrText xml:space="preserve"> PAGEREF _Toc157695370 \h </w:instrText>
      </w:r>
      <w:r w:rsidRPr="00FC71BE">
        <w:rPr>
          <w:noProof/>
        </w:rPr>
      </w:r>
      <w:r w:rsidRPr="00FC71BE">
        <w:rPr>
          <w:noProof/>
        </w:rPr>
        <w:fldChar w:fldCharType="separate"/>
      </w:r>
      <w:r w:rsidRPr="00FC71BE">
        <w:rPr>
          <w:noProof/>
        </w:rPr>
        <w:t>114</w:t>
      </w:r>
      <w:r w:rsidRPr="00FC71BE">
        <w:rPr>
          <w:noProof/>
        </w:rPr>
        <w:fldChar w:fldCharType="end"/>
      </w:r>
    </w:p>
    <w:p w14:paraId="448A433D" w14:textId="6F1B0992"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4.3.3 Influence of Inlet/Outlet Area</w:t>
      </w:r>
      <w:r w:rsidRPr="00FC71BE">
        <w:rPr>
          <w:noProof/>
        </w:rPr>
        <w:tab/>
      </w:r>
      <w:r w:rsidRPr="00FC71BE">
        <w:rPr>
          <w:noProof/>
        </w:rPr>
        <w:fldChar w:fldCharType="begin"/>
      </w:r>
      <w:r w:rsidRPr="00FC71BE">
        <w:rPr>
          <w:noProof/>
        </w:rPr>
        <w:instrText xml:space="preserve"> PAGEREF _Toc157695371 \h </w:instrText>
      </w:r>
      <w:r w:rsidRPr="00FC71BE">
        <w:rPr>
          <w:noProof/>
        </w:rPr>
      </w:r>
      <w:r w:rsidRPr="00FC71BE">
        <w:rPr>
          <w:noProof/>
        </w:rPr>
        <w:fldChar w:fldCharType="separate"/>
      </w:r>
      <w:r w:rsidRPr="00FC71BE">
        <w:rPr>
          <w:noProof/>
        </w:rPr>
        <w:t>118</w:t>
      </w:r>
      <w:r w:rsidRPr="00FC71BE">
        <w:rPr>
          <w:noProof/>
        </w:rPr>
        <w:fldChar w:fldCharType="end"/>
      </w:r>
    </w:p>
    <w:p w14:paraId="07424ABD" w14:textId="46454E85"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4.4. Ventilation Cooling</w:t>
      </w:r>
      <w:r w:rsidRPr="00FC71BE">
        <w:rPr>
          <w:noProof/>
        </w:rPr>
        <w:tab/>
      </w:r>
      <w:r w:rsidRPr="00FC71BE">
        <w:rPr>
          <w:noProof/>
        </w:rPr>
        <w:fldChar w:fldCharType="begin"/>
      </w:r>
      <w:r w:rsidRPr="00FC71BE">
        <w:rPr>
          <w:noProof/>
        </w:rPr>
        <w:instrText xml:space="preserve"> PAGEREF _Toc157695372 \h </w:instrText>
      </w:r>
      <w:r w:rsidRPr="00FC71BE">
        <w:rPr>
          <w:noProof/>
        </w:rPr>
      </w:r>
      <w:r w:rsidRPr="00FC71BE">
        <w:rPr>
          <w:noProof/>
        </w:rPr>
        <w:fldChar w:fldCharType="separate"/>
      </w:r>
      <w:r w:rsidRPr="00FC71BE">
        <w:rPr>
          <w:noProof/>
        </w:rPr>
        <w:t>120</w:t>
      </w:r>
      <w:r w:rsidRPr="00FC71BE">
        <w:rPr>
          <w:noProof/>
        </w:rPr>
        <w:fldChar w:fldCharType="end"/>
      </w:r>
    </w:p>
    <w:p w14:paraId="1539E464" w14:textId="0F721E4F"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lastRenderedPageBreak/>
        <w:t>4.4.1 Comparative Analysis of Different Models</w:t>
      </w:r>
      <w:r w:rsidRPr="00FC71BE">
        <w:rPr>
          <w:noProof/>
        </w:rPr>
        <w:tab/>
      </w:r>
      <w:r w:rsidRPr="00FC71BE">
        <w:rPr>
          <w:noProof/>
        </w:rPr>
        <w:fldChar w:fldCharType="begin"/>
      </w:r>
      <w:r w:rsidRPr="00FC71BE">
        <w:rPr>
          <w:noProof/>
        </w:rPr>
        <w:instrText xml:space="preserve"> PAGEREF _Toc157695373 \h </w:instrText>
      </w:r>
      <w:r w:rsidRPr="00FC71BE">
        <w:rPr>
          <w:noProof/>
        </w:rPr>
      </w:r>
      <w:r w:rsidRPr="00FC71BE">
        <w:rPr>
          <w:noProof/>
        </w:rPr>
        <w:fldChar w:fldCharType="separate"/>
      </w:r>
      <w:r w:rsidRPr="00FC71BE">
        <w:rPr>
          <w:noProof/>
        </w:rPr>
        <w:t>124</w:t>
      </w:r>
      <w:r w:rsidRPr="00FC71BE">
        <w:rPr>
          <w:noProof/>
        </w:rPr>
        <w:fldChar w:fldCharType="end"/>
      </w:r>
    </w:p>
    <w:p w14:paraId="68FB9EDA" w14:textId="39F9C7C1"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4.4.2 Influence of Rotor Speed</w:t>
      </w:r>
      <w:r w:rsidRPr="00FC71BE">
        <w:rPr>
          <w:noProof/>
        </w:rPr>
        <w:tab/>
      </w:r>
      <w:r w:rsidRPr="00FC71BE">
        <w:rPr>
          <w:noProof/>
        </w:rPr>
        <w:fldChar w:fldCharType="begin"/>
      </w:r>
      <w:r w:rsidRPr="00FC71BE">
        <w:rPr>
          <w:noProof/>
        </w:rPr>
        <w:instrText xml:space="preserve"> PAGEREF _Toc157695374 \h </w:instrText>
      </w:r>
      <w:r w:rsidRPr="00FC71BE">
        <w:rPr>
          <w:noProof/>
        </w:rPr>
      </w:r>
      <w:r w:rsidRPr="00FC71BE">
        <w:rPr>
          <w:noProof/>
        </w:rPr>
        <w:fldChar w:fldCharType="separate"/>
      </w:r>
      <w:r w:rsidRPr="00FC71BE">
        <w:rPr>
          <w:noProof/>
        </w:rPr>
        <w:t>131</w:t>
      </w:r>
      <w:r w:rsidRPr="00FC71BE">
        <w:rPr>
          <w:noProof/>
        </w:rPr>
        <w:fldChar w:fldCharType="end"/>
      </w:r>
    </w:p>
    <w:p w14:paraId="1809F8D3" w14:textId="36A88C22"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4.4.3 Combining Flow Phenomenon</w:t>
      </w:r>
      <w:r w:rsidRPr="00FC71BE">
        <w:rPr>
          <w:noProof/>
        </w:rPr>
        <w:tab/>
      </w:r>
      <w:r w:rsidRPr="00FC71BE">
        <w:rPr>
          <w:noProof/>
        </w:rPr>
        <w:fldChar w:fldCharType="begin"/>
      </w:r>
      <w:r w:rsidRPr="00FC71BE">
        <w:rPr>
          <w:noProof/>
        </w:rPr>
        <w:instrText xml:space="preserve"> PAGEREF _Toc157695375 \h </w:instrText>
      </w:r>
      <w:r w:rsidRPr="00FC71BE">
        <w:rPr>
          <w:noProof/>
        </w:rPr>
      </w:r>
      <w:r w:rsidRPr="00FC71BE">
        <w:rPr>
          <w:noProof/>
        </w:rPr>
        <w:fldChar w:fldCharType="separate"/>
      </w:r>
      <w:r w:rsidRPr="00FC71BE">
        <w:rPr>
          <w:noProof/>
        </w:rPr>
        <w:t>134</w:t>
      </w:r>
      <w:r w:rsidRPr="00FC71BE">
        <w:rPr>
          <w:noProof/>
        </w:rPr>
        <w:fldChar w:fldCharType="end"/>
      </w:r>
    </w:p>
    <w:p w14:paraId="519B7225" w14:textId="466CCBD0"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4.5. Experimental Validation</w:t>
      </w:r>
      <w:r w:rsidRPr="00FC71BE">
        <w:rPr>
          <w:noProof/>
        </w:rPr>
        <w:tab/>
      </w:r>
      <w:r w:rsidRPr="00FC71BE">
        <w:rPr>
          <w:noProof/>
        </w:rPr>
        <w:fldChar w:fldCharType="begin"/>
      </w:r>
      <w:r w:rsidRPr="00FC71BE">
        <w:rPr>
          <w:noProof/>
        </w:rPr>
        <w:instrText xml:space="preserve"> PAGEREF _Toc157695376 \h </w:instrText>
      </w:r>
      <w:r w:rsidRPr="00FC71BE">
        <w:rPr>
          <w:noProof/>
        </w:rPr>
      </w:r>
      <w:r w:rsidRPr="00FC71BE">
        <w:rPr>
          <w:noProof/>
        </w:rPr>
        <w:fldChar w:fldCharType="separate"/>
      </w:r>
      <w:r w:rsidRPr="00FC71BE">
        <w:rPr>
          <w:noProof/>
        </w:rPr>
        <w:t>137</w:t>
      </w:r>
      <w:r w:rsidRPr="00FC71BE">
        <w:rPr>
          <w:noProof/>
        </w:rPr>
        <w:fldChar w:fldCharType="end"/>
      </w:r>
    </w:p>
    <w:p w14:paraId="5376D7D2" w14:textId="6C430A78"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4.5.1 Semi-flooded Oil Cooling System</w:t>
      </w:r>
      <w:r w:rsidRPr="00FC71BE">
        <w:rPr>
          <w:noProof/>
        </w:rPr>
        <w:tab/>
      </w:r>
      <w:r w:rsidRPr="00FC71BE">
        <w:rPr>
          <w:noProof/>
        </w:rPr>
        <w:fldChar w:fldCharType="begin"/>
      </w:r>
      <w:r w:rsidRPr="00FC71BE">
        <w:rPr>
          <w:noProof/>
        </w:rPr>
        <w:instrText xml:space="preserve"> PAGEREF _Toc157695377 \h </w:instrText>
      </w:r>
      <w:r w:rsidRPr="00FC71BE">
        <w:rPr>
          <w:noProof/>
        </w:rPr>
      </w:r>
      <w:r w:rsidRPr="00FC71BE">
        <w:rPr>
          <w:noProof/>
        </w:rPr>
        <w:fldChar w:fldCharType="separate"/>
      </w:r>
      <w:r w:rsidRPr="00FC71BE">
        <w:rPr>
          <w:noProof/>
        </w:rPr>
        <w:t>137</w:t>
      </w:r>
      <w:r w:rsidRPr="00FC71BE">
        <w:rPr>
          <w:noProof/>
        </w:rPr>
        <w:fldChar w:fldCharType="end"/>
      </w:r>
    </w:p>
    <w:p w14:paraId="11428017" w14:textId="09FA9589"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4.5.2 Ventilation Cooling</w:t>
      </w:r>
      <w:r w:rsidRPr="00FC71BE">
        <w:rPr>
          <w:noProof/>
        </w:rPr>
        <w:tab/>
      </w:r>
      <w:r w:rsidRPr="00FC71BE">
        <w:rPr>
          <w:noProof/>
        </w:rPr>
        <w:fldChar w:fldCharType="begin"/>
      </w:r>
      <w:r w:rsidRPr="00FC71BE">
        <w:rPr>
          <w:noProof/>
        </w:rPr>
        <w:instrText xml:space="preserve"> PAGEREF _Toc157695378 \h </w:instrText>
      </w:r>
      <w:r w:rsidRPr="00FC71BE">
        <w:rPr>
          <w:noProof/>
        </w:rPr>
      </w:r>
      <w:r w:rsidRPr="00FC71BE">
        <w:rPr>
          <w:noProof/>
        </w:rPr>
        <w:fldChar w:fldCharType="separate"/>
      </w:r>
      <w:r w:rsidRPr="00FC71BE">
        <w:rPr>
          <w:noProof/>
        </w:rPr>
        <w:t>141</w:t>
      </w:r>
      <w:r w:rsidRPr="00FC71BE">
        <w:rPr>
          <w:noProof/>
        </w:rPr>
        <w:fldChar w:fldCharType="end"/>
      </w:r>
    </w:p>
    <w:p w14:paraId="3F389BF1" w14:textId="595A7AA0"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4.6. Conclusion</w:t>
      </w:r>
      <w:r w:rsidRPr="00FC71BE">
        <w:rPr>
          <w:noProof/>
        </w:rPr>
        <w:tab/>
      </w:r>
      <w:r w:rsidRPr="00FC71BE">
        <w:rPr>
          <w:noProof/>
        </w:rPr>
        <w:fldChar w:fldCharType="begin"/>
      </w:r>
      <w:r w:rsidRPr="00FC71BE">
        <w:rPr>
          <w:noProof/>
        </w:rPr>
        <w:instrText xml:space="preserve"> PAGEREF _Toc157695379 \h </w:instrText>
      </w:r>
      <w:r w:rsidRPr="00FC71BE">
        <w:rPr>
          <w:noProof/>
        </w:rPr>
      </w:r>
      <w:r w:rsidRPr="00FC71BE">
        <w:rPr>
          <w:noProof/>
        </w:rPr>
        <w:fldChar w:fldCharType="separate"/>
      </w:r>
      <w:r w:rsidRPr="00FC71BE">
        <w:rPr>
          <w:noProof/>
        </w:rPr>
        <w:t>148</w:t>
      </w:r>
      <w:r w:rsidRPr="00FC71BE">
        <w:rPr>
          <w:noProof/>
        </w:rPr>
        <w:fldChar w:fldCharType="end"/>
      </w:r>
    </w:p>
    <w:p w14:paraId="79C33F1E" w14:textId="6F5835A1" w:rsidR="007E62C1" w:rsidRPr="00FC71BE" w:rsidRDefault="007E62C1">
      <w:pPr>
        <w:pStyle w:val="TOC1"/>
        <w:tabs>
          <w:tab w:val="left" w:pos="1680"/>
          <w:tab w:val="right" w:leader="dot" w:pos="9016"/>
        </w:tabs>
        <w:rPr>
          <w:rFonts w:asciiTheme="minorHAnsi" w:hAnsiTheme="minorHAnsi"/>
          <w:noProof/>
          <w:kern w:val="2"/>
          <w:szCs w:val="24"/>
          <w14:ligatures w14:val="standardContextual"/>
        </w:rPr>
      </w:pPr>
      <w:r w:rsidRPr="00FC71BE">
        <w:rPr>
          <w:noProof/>
        </w:rPr>
        <w:t>Chapter 5</w:t>
      </w:r>
      <w:r w:rsidRPr="00FC71BE">
        <w:rPr>
          <w:rFonts w:asciiTheme="minorHAnsi" w:hAnsiTheme="minorHAnsi"/>
          <w:noProof/>
          <w:kern w:val="2"/>
          <w:szCs w:val="24"/>
          <w14:ligatures w14:val="standardContextual"/>
        </w:rPr>
        <w:tab/>
      </w:r>
      <w:r w:rsidRPr="00FC71BE">
        <w:rPr>
          <w:noProof/>
        </w:rPr>
        <w:t>Ferrofluid Cooling for the Modular SPM Machines</w:t>
      </w:r>
      <w:r w:rsidRPr="00FC71BE">
        <w:rPr>
          <w:noProof/>
        </w:rPr>
        <w:tab/>
      </w:r>
      <w:r w:rsidRPr="00FC71BE">
        <w:rPr>
          <w:noProof/>
        </w:rPr>
        <w:fldChar w:fldCharType="begin"/>
      </w:r>
      <w:r w:rsidRPr="00FC71BE">
        <w:rPr>
          <w:noProof/>
        </w:rPr>
        <w:instrText xml:space="preserve"> PAGEREF _Toc157695380 \h </w:instrText>
      </w:r>
      <w:r w:rsidRPr="00FC71BE">
        <w:rPr>
          <w:noProof/>
        </w:rPr>
      </w:r>
      <w:r w:rsidRPr="00FC71BE">
        <w:rPr>
          <w:noProof/>
        </w:rPr>
        <w:fldChar w:fldCharType="separate"/>
      </w:r>
      <w:r w:rsidRPr="00FC71BE">
        <w:rPr>
          <w:noProof/>
        </w:rPr>
        <w:t>150</w:t>
      </w:r>
      <w:r w:rsidRPr="00FC71BE">
        <w:rPr>
          <w:noProof/>
        </w:rPr>
        <w:fldChar w:fldCharType="end"/>
      </w:r>
    </w:p>
    <w:p w14:paraId="5259688B" w14:textId="6AF2EC0C"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5.1. Introduction</w:t>
      </w:r>
      <w:r w:rsidRPr="00FC71BE">
        <w:rPr>
          <w:noProof/>
        </w:rPr>
        <w:tab/>
      </w:r>
      <w:r w:rsidRPr="00FC71BE">
        <w:rPr>
          <w:noProof/>
        </w:rPr>
        <w:fldChar w:fldCharType="begin"/>
      </w:r>
      <w:r w:rsidRPr="00FC71BE">
        <w:rPr>
          <w:noProof/>
        </w:rPr>
        <w:instrText xml:space="preserve"> PAGEREF _Toc157695381 \h </w:instrText>
      </w:r>
      <w:r w:rsidRPr="00FC71BE">
        <w:rPr>
          <w:noProof/>
        </w:rPr>
      </w:r>
      <w:r w:rsidRPr="00FC71BE">
        <w:rPr>
          <w:noProof/>
        </w:rPr>
        <w:fldChar w:fldCharType="separate"/>
      </w:r>
      <w:r w:rsidRPr="00FC71BE">
        <w:rPr>
          <w:noProof/>
        </w:rPr>
        <w:t>152</w:t>
      </w:r>
      <w:r w:rsidRPr="00FC71BE">
        <w:rPr>
          <w:noProof/>
        </w:rPr>
        <w:fldChar w:fldCharType="end"/>
      </w:r>
    </w:p>
    <w:p w14:paraId="4B0C8612" w14:textId="38EE087C"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5.2. Theoretical Background</w:t>
      </w:r>
      <w:r w:rsidRPr="00FC71BE">
        <w:rPr>
          <w:noProof/>
        </w:rPr>
        <w:tab/>
      </w:r>
      <w:r w:rsidRPr="00FC71BE">
        <w:rPr>
          <w:noProof/>
        </w:rPr>
        <w:fldChar w:fldCharType="begin"/>
      </w:r>
      <w:r w:rsidRPr="00FC71BE">
        <w:rPr>
          <w:noProof/>
        </w:rPr>
        <w:instrText xml:space="preserve"> PAGEREF _Toc157695382 \h </w:instrText>
      </w:r>
      <w:r w:rsidRPr="00FC71BE">
        <w:rPr>
          <w:noProof/>
        </w:rPr>
      </w:r>
      <w:r w:rsidRPr="00FC71BE">
        <w:rPr>
          <w:noProof/>
        </w:rPr>
        <w:fldChar w:fldCharType="separate"/>
      </w:r>
      <w:r w:rsidRPr="00FC71BE">
        <w:rPr>
          <w:noProof/>
        </w:rPr>
        <w:t>154</w:t>
      </w:r>
      <w:r w:rsidRPr="00FC71BE">
        <w:rPr>
          <w:noProof/>
        </w:rPr>
        <w:fldChar w:fldCharType="end"/>
      </w:r>
    </w:p>
    <w:p w14:paraId="3A8037C2" w14:textId="54CB3483"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5.2.1 Properties of Ferrofluids</w:t>
      </w:r>
      <w:r w:rsidRPr="00FC71BE">
        <w:rPr>
          <w:noProof/>
        </w:rPr>
        <w:tab/>
      </w:r>
      <w:r w:rsidRPr="00FC71BE">
        <w:rPr>
          <w:noProof/>
        </w:rPr>
        <w:fldChar w:fldCharType="begin"/>
      </w:r>
      <w:r w:rsidRPr="00FC71BE">
        <w:rPr>
          <w:noProof/>
        </w:rPr>
        <w:instrText xml:space="preserve"> PAGEREF _Toc157695383 \h </w:instrText>
      </w:r>
      <w:r w:rsidRPr="00FC71BE">
        <w:rPr>
          <w:noProof/>
        </w:rPr>
      </w:r>
      <w:r w:rsidRPr="00FC71BE">
        <w:rPr>
          <w:noProof/>
        </w:rPr>
        <w:fldChar w:fldCharType="separate"/>
      </w:r>
      <w:r w:rsidRPr="00FC71BE">
        <w:rPr>
          <w:noProof/>
        </w:rPr>
        <w:t>154</w:t>
      </w:r>
      <w:r w:rsidRPr="00FC71BE">
        <w:rPr>
          <w:noProof/>
        </w:rPr>
        <w:fldChar w:fldCharType="end"/>
      </w:r>
    </w:p>
    <w:p w14:paraId="63E7D16F" w14:textId="2844CD3E"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5.2.2 Governing Equations</w:t>
      </w:r>
      <w:r w:rsidRPr="00FC71BE">
        <w:rPr>
          <w:noProof/>
        </w:rPr>
        <w:tab/>
      </w:r>
      <w:r w:rsidRPr="00FC71BE">
        <w:rPr>
          <w:noProof/>
        </w:rPr>
        <w:fldChar w:fldCharType="begin"/>
      </w:r>
      <w:r w:rsidRPr="00FC71BE">
        <w:rPr>
          <w:noProof/>
        </w:rPr>
        <w:instrText xml:space="preserve"> PAGEREF _Toc157695384 \h </w:instrText>
      </w:r>
      <w:r w:rsidRPr="00FC71BE">
        <w:rPr>
          <w:noProof/>
        </w:rPr>
      </w:r>
      <w:r w:rsidRPr="00FC71BE">
        <w:rPr>
          <w:noProof/>
        </w:rPr>
        <w:fldChar w:fldCharType="separate"/>
      </w:r>
      <w:r w:rsidRPr="00FC71BE">
        <w:rPr>
          <w:noProof/>
        </w:rPr>
        <w:t>157</w:t>
      </w:r>
      <w:r w:rsidRPr="00FC71BE">
        <w:rPr>
          <w:noProof/>
        </w:rPr>
        <w:fldChar w:fldCharType="end"/>
      </w:r>
    </w:p>
    <w:p w14:paraId="4F5A85DC" w14:textId="1BBB17E9"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5.3. Multiphysics Modelling</w:t>
      </w:r>
      <w:r w:rsidRPr="00FC71BE">
        <w:rPr>
          <w:noProof/>
        </w:rPr>
        <w:tab/>
      </w:r>
      <w:r w:rsidRPr="00FC71BE">
        <w:rPr>
          <w:noProof/>
        </w:rPr>
        <w:fldChar w:fldCharType="begin"/>
      </w:r>
      <w:r w:rsidRPr="00FC71BE">
        <w:rPr>
          <w:noProof/>
        </w:rPr>
        <w:instrText xml:space="preserve"> PAGEREF _Toc157695385 \h </w:instrText>
      </w:r>
      <w:r w:rsidRPr="00FC71BE">
        <w:rPr>
          <w:noProof/>
        </w:rPr>
      </w:r>
      <w:r w:rsidRPr="00FC71BE">
        <w:rPr>
          <w:noProof/>
        </w:rPr>
        <w:fldChar w:fldCharType="separate"/>
      </w:r>
      <w:r w:rsidRPr="00FC71BE">
        <w:rPr>
          <w:noProof/>
        </w:rPr>
        <w:t>159</w:t>
      </w:r>
      <w:r w:rsidRPr="00FC71BE">
        <w:rPr>
          <w:noProof/>
        </w:rPr>
        <w:fldChar w:fldCharType="end"/>
      </w:r>
    </w:p>
    <w:p w14:paraId="5ECE3065" w14:textId="21A0D746"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5.3.1 Machine Topologies and Specifications</w:t>
      </w:r>
      <w:r w:rsidRPr="00FC71BE">
        <w:rPr>
          <w:noProof/>
        </w:rPr>
        <w:tab/>
      </w:r>
      <w:r w:rsidRPr="00FC71BE">
        <w:rPr>
          <w:noProof/>
        </w:rPr>
        <w:fldChar w:fldCharType="begin"/>
      </w:r>
      <w:r w:rsidRPr="00FC71BE">
        <w:rPr>
          <w:noProof/>
        </w:rPr>
        <w:instrText xml:space="preserve"> PAGEREF _Toc157695386 \h </w:instrText>
      </w:r>
      <w:r w:rsidRPr="00FC71BE">
        <w:rPr>
          <w:noProof/>
        </w:rPr>
      </w:r>
      <w:r w:rsidRPr="00FC71BE">
        <w:rPr>
          <w:noProof/>
        </w:rPr>
        <w:fldChar w:fldCharType="separate"/>
      </w:r>
      <w:r w:rsidRPr="00FC71BE">
        <w:rPr>
          <w:noProof/>
        </w:rPr>
        <w:t>159</w:t>
      </w:r>
      <w:r w:rsidRPr="00FC71BE">
        <w:rPr>
          <w:noProof/>
        </w:rPr>
        <w:fldChar w:fldCharType="end"/>
      </w:r>
    </w:p>
    <w:p w14:paraId="27238CFA" w14:textId="61BA96BC"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5.3.2 Ferrofluid Properties</w:t>
      </w:r>
      <w:r w:rsidRPr="00FC71BE">
        <w:rPr>
          <w:noProof/>
        </w:rPr>
        <w:tab/>
      </w:r>
      <w:r w:rsidRPr="00FC71BE">
        <w:rPr>
          <w:noProof/>
        </w:rPr>
        <w:fldChar w:fldCharType="begin"/>
      </w:r>
      <w:r w:rsidRPr="00FC71BE">
        <w:rPr>
          <w:noProof/>
        </w:rPr>
        <w:instrText xml:space="preserve"> PAGEREF _Toc157695387 \h </w:instrText>
      </w:r>
      <w:r w:rsidRPr="00FC71BE">
        <w:rPr>
          <w:noProof/>
        </w:rPr>
      </w:r>
      <w:r w:rsidRPr="00FC71BE">
        <w:rPr>
          <w:noProof/>
        </w:rPr>
        <w:fldChar w:fldCharType="separate"/>
      </w:r>
      <w:r w:rsidRPr="00FC71BE">
        <w:rPr>
          <w:noProof/>
        </w:rPr>
        <w:t>160</w:t>
      </w:r>
      <w:r w:rsidRPr="00FC71BE">
        <w:rPr>
          <w:noProof/>
        </w:rPr>
        <w:fldChar w:fldCharType="end"/>
      </w:r>
    </w:p>
    <w:p w14:paraId="19E41715" w14:textId="3054A59E"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5.3.3 Assumptions and Boundary Conditions</w:t>
      </w:r>
      <w:r w:rsidRPr="00FC71BE">
        <w:rPr>
          <w:noProof/>
        </w:rPr>
        <w:tab/>
      </w:r>
      <w:r w:rsidRPr="00FC71BE">
        <w:rPr>
          <w:noProof/>
        </w:rPr>
        <w:fldChar w:fldCharType="begin"/>
      </w:r>
      <w:r w:rsidRPr="00FC71BE">
        <w:rPr>
          <w:noProof/>
        </w:rPr>
        <w:instrText xml:space="preserve"> PAGEREF _Toc157695388 \h </w:instrText>
      </w:r>
      <w:r w:rsidRPr="00FC71BE">
        <w:rPr>
          <w:noProof/>
        </w:rPr>
      </w:r>
      <w:r w:rsidRPr="00FC71BE">
        <w:rPr>
          <w:noProof/>
        </w:rPr>
        <w:fldChar w:fldCharType="separate"/>
      </w:r>
      <w:r w:rsidRPr="00FC71BE">
        <w:rPr>
          <w:noProof/>
        </w:rPr>
        <w:t>160</w:t>
      </w:r>
      <w:r w:rsidRPr="00FC71BE">
        <w:rPr>
          <w:noProof/>
        </w:rPr>
        <w:fldChar w:fldCharType="end"/>
      </w:r>
    </w:p>
    <w:p w14:paraId="5E564650" w14:textId="1FA87DDA"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5.3.4 Mesh Sensitivity Tests</w:t>
      </w:r>
      <w:r w:rsidRPr="00FC71BE">
        <w:rPr>
          <w:noProof/>
        </w:rPr>
        <w:tab/>
      </w:r>
      <w:r w:rsidRPr="00FC71BE">
        <w:rPr>
          <w:noProof/>
        </w:rPr>
        <w:fldChar w:fldCharType="begin"/>
      </w:r>
      <w:r w:rsidRPr="00FC71BE">
        <w:rPr>
          <w:noProof/>
        </w:rPr>
        <w:instrText xml:space="preserve"> PAGEREF _Toc157695389 \h </w:instrText>
      </w:r>
      <w:r w:rsidRPr="00FC71BE">
        <w:rPr>
          <w:noProof/>
        </w:rPr>
      </w:r>
      <w:r w:rsidRPr="00FC71BE">
        <w:rPr>
          <w:noProof/>
        </w:rPr>
        <w:fldChar w:fldCharType="separate"/>
      </w:r>
      <w:r w:rsidRPr="00FC71BE">
        <w:rPr>
          <w:noProof/>
        </w:rPr>
        <w:t>162</w:t>
      </w:r>
      <w:r w:rsidRPr="00FC71BE">
        <w:rPr>
          <w:noProof/>
        </w:rPr>
        <w:fldChar w:fldCharType="end"/>
      </w:r>
    </w:p>
    <w:p w14:paraId="2ED4420E" w14:textId="0BBC3C3F"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5.4. Performances of the Ferrofluid Cooling Machines</w:t>
      </w:r>
      <w:r w:rsidRPr="00FC71BE">
        <w:rPr>
          <w:noProof/>
        </w:rPr>
        <w:tab/>
      </w:r>
      <w:r w:rsidRPr="00FC71BE">
        <w:rPr>
          <w:noProof/>
        </w:rPr>
        <w:fldChar w:fldCharType="begin"/>
      </w:r>
      <w:r w:rsidRPr="00FC71BE">
        <w:rPr>
          <w:noProof/>
        </w:rPr>
        <w:instrText xml:space="preserve"> PAGEREF _Toc157695390 \h </w:instrText>
      </w:r>
      <w:r w:rsidRPr="00FC71BE">
        <w:rPr>
          <w:noProof/>
        </w:rPr>
      </w:r>
      <w:r w:rsidRPr="00FC71BE">
        <w:rPr>
          <w:noProof/>
        </w:rPr>
        <w:fldChar w:fldCharType="separate"/>
      </w:r>
      <w:r w:rsidRPr="00FC71BE">
        <w:rPr>
          <w:noProof/>
        </w:rPr>
        <w:t>163</w:t>
      </w:r>
      <w:r w:rsidRPr="00FC71BE">
        <w:rPr>
          <w:noProof/>
        </w:rPr>
        <w:fldChar w:fldCharType="end"/>
      </w:r>
    </w:p>
    <w:p w14:paraId="1FF6E882" w14:textId="4C46E469"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5.4.1 Cooling Efficiency of Ferrofluid Cooling</w:t>
      </w:r>
      <w:r w:rsidRPr="00FC71BE">
        <w:rPr>
          <w:noProof/>
        </w:rPr>
        <w:tab/>
      </w:r>
      <w:r w:rsidRPr="00FC71BE">
        <w:rPr>
          <w:noProof/>
        </w:rPr>
        <w:fldChar w:fldCharType="begin"/>
      </w:r>
      <w:r w:rsidRPr="00FC71BE">
        <w:rPr>
          <w:noProof/>
        </w:rPr>
        <w:instrText xml:space="preserve"> PAGEREF _Toc157695391 \h </w:instrText>
      </w:r>
      <w:r w:rsidRPr="00FC71BE">
        <w:rPr>
          <w:noProof/>
        </w:rPr>
      </w:r>
      <w:r w:rsidRPr="00FC71BE">
        <w:rPr>
          <w:noProof/>
        </w:rPr>
        <w:fldChar w:fldCharType="separate"/>
      </w:r>
      <w:r w:rsidRPr="00FC71BE">
        <w:rPr>
          <w:noProof/>
        </w:rPr>
        <w:t>164</w:t>
      </w:r>
      <w:r w:rsidRPr="00FC71BE">
        <w:rPr>
          <w:noProof/>
        </w:rPr>
        <w:fldChar w:fldCharType="end"/>
      </w:r>
    </w:p>
    <w:p w14:paraId="5E427966" w14:textId="62487E44"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5.4.2 Influence of Electrical Loading</w:t>
      </w:r>
      <w:r w:rsidRPr="00FC71BE">
        <w:rPr>
          <w:noProof/>
        </w:rPr>
        <w:tab/>
      </w:r>
      <w:r w:rsidRPr="00FC71BE">
        <w:rPr>
          <w:noProof/>
        </w:rPr>
        <w:fldChar w:fldCharType="begin"/>
      </w:r>
      <w:r w:rsidRPr="00FC71BE">
        <w:rPr>
          <w:noProof/>
        </w:rPr>
        <w:instrText xml:space="preserve"> PAGEREF _Toc157695392 \h </w:instrText>
      </w:r>
      <w:r w:rsidRPr="00FC71BE">
        <w:rPr>
          <w:noProof/>
        </w:rPr>
      </w:r>
      <w:r w:rsidRPr="00FC71BE">
        <w:rPr>
          <w:noProof/>
        </w:rPr>
        <w:fldChar w:fldCharType="separate"/>
      </w:r>
      <w:r w:rsidRPr="00FC71BE">
        <w:rPr>
          <w:noProof/>
        </w:rPr>
        <w:t>167</w:t>
      </w:r>
      <w:r w:rsidRPr="00FC71BE">
        <w:rPr>
          <w:noProof/>
        </w:rPr>
        <w:fldChar w:fldCharType="end"/>
      </w:r>
    </w:p>
    <w:p w14:paraId="37382468" w14:textId="066534A1"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5.5. Influence of Ferrofluid Properties</w:t>
      </w:r>
      <w:r w:rsidRPr="00FC71BE">
        <w:rPr>
          <w:noProof/>
        </w:rPr>
        <w:tab/>
      </w:r>
      <w:r w:rsidRPr="00FC71BE">
        <w:rPr>
          <w:noProof/>
        </w:rPr>
        <w:fldChar w:fldCharType="begin"/>
      </w:r>
      <w:r w:rsidRPr="00FC71BE">
        <w:rPr>
          <w:noProof/>
        </w:rPr>
        <w:instrText xml:space="preserve"> PAGEREF _Toc157695393 \h </w:instrText>
      </w:r>
      <w:r w:rsidRPr="00FC71BE">
        <w:rPr>
          <w:noProof/>
        </w:rPr>
      </w:r>
      <w:r w:rsidRPr="00FC71BE">
        <w:rPr>
          <w:noProof/>
        </w:rPr>
        <w:fldChar w:fldCharType="separate"/>
      </w:r>
      <w:r w:rsidRPr="00FC71BE">
        <w:rPr>
          <w:noProof/>
        </w:rPr>
        <w:t>169</w:t>
      </w:r>
      <w:r w:rsidRPr="00FC71BE">
        <w:rPr>
          <w:noProof/>
        </w:rPr>
        <w:fldChar w:fldCharType="end"/>
      </w:r>
    </w:p>
    <w:p w14:paraId="7FD98843" w14:textId="264FEDF4"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5.5.1 Concentration of Ferrofluid</w:t>
      </w:r>
      <w:r w:rsidRPr="00FC71BE">
        <w:rPr>
          <w:noProof/>
        </w:rPr>
        <w:tab/>
      </w:r>
      <w:r w:rsidRPr="00FC71BE">
        <w:rPr>
          <w:noProof/>
        </w:rPr>
        <w:fldChar w:fldCharType="begin"/>
      </w:r>
      <w:r w:rsidRPr="00FC71BE">
        <w:rPr>
          <w:noProof/>
        </w:rPr>
        <w:instrText xml:space="preserve"> PAGEREF _Toc157695394 \h </w:instrText>
      </w:r>
      <w:r w:rsidRPr="00FC71BE">
        <w:rPr>
          <w:noProof/>
        </w:rPr>
      </w:r>
      <w:r w:rsidRPr="00FC71BE">
        <w:rPr>
          <w:noProof/>
        </w:rPr>
        <w:fldChar w:fldCharType="separate"/>
      </w:r>
      <w:r w:rsidRPr="00FC71BE">
        <w:rPr>
          <w:noProof/>
        </w:rPr>
        <w:t>169</w:t>
      </w:r>
      <w:r w:rsidRPr="00FC71BE">
        <w:rPr>
          <w:noProof/>
        </w:rPr>
        <w:fldChar w:fldCharType="end"/>
      </w:r>
    </w:p>
    <w:p w14:paraId="574D746A" w14:textId="594E84EE"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5.5.2 Magnetization Characters of Ferrofluid</w:t>
      </w:r>
      <w:r w:rsidRPr="00FC71BE">
        <w:rPr>
          <w:noProof/>
        </w:rPr>
        <w:tab/>
      </w:r>
      <w:r w:rsidRPr="00FC71BE">
        <w:rPr>
          <w:noProof/>
        </w:rPr>
        <w:fldChar w:fldCharType="begin"/>
      </w:r>
      <w:r w:rsidRPr="00FC71BE">
        <w:rPr>
          <w:noProof/>
        </w:rPr>
        <w:instrText xml:space="preserve"> PAGEREF _Toc157695395 \h </w:instrText>
      </w:r>
      <w:r w:rsidRPr="00FC71BE">
        <w:rPr>
          <w:noProof/>
        </w:rPr>
      </w:r>
      <w:r w:rsidRPr="00FC71BE">
        <w:rPr>
          <w:noProof/>
        </w:rPr>
        <w:fldChar w:fldCharType="separate"/>
      </w:r>
      <w:r w:rsidRPr="00FC71BE">
        <w:rPr>
          <w:noProof/>
        </w:rPr>
        <w:t>170</w:t>
      </w:r>
      <w:r w:rsidRPr="00FC71BE">
        <w:rPr>
          <w:noProof/>
        </w:rPr>
        <w:fldChar w:fldCharType="end"/>
      </w:r>
    </w:p>
    <w:p w14:paraId="5177ECEF" w14:textId="181948CD"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5.6. Influence of Winding Configurations</w:t>
      </w:r>
      <w:r w:rsidRPr="00FC71BE">
        <w:rPr>
          <w:noProof/>
        </w:rPr>
        <w:tab/>
      </w:r>
      <w:r w:rsidRPr="00FC71BE">
        <w:rPr>
          <w:noProof/>
        </w:rPr>
        <w:fldChar w:fldCharType="begin"/>
      </w:r>
      <w:r w:rsidRPr="00FC71BE">
        <w:rPr>
          <w:noProof/>
        </w:rPr>
        <w:instrText xml:space="preserve"> PAGEREF _Toc157695396 \h </w:instrText>
      </w:r>
      <w:r w:rsidRPr="00FC71BE">
        <w:rPr>
          <w:noProof/>
        </w:rPr>
      </w:r>
      <w:r w:rsidRPr="00FC71BE">
        <w:rPr>
          <w:noProof/>
        </w:rPr>
        <w:fldChar w:fldCharType="separate"/>
      </w:r>
      <w:r w:rsidRPr="00FC71BE">
        <w:rPr>
          <w:noProof/>
        </w:rPr>
        <w:t>172</w:t>
      </w:r>
      <w:r w:rsidRPr="00FC71BE">
        <w:rPr>
          <w:noProof/>
        </w:rPr>
        <w:fldChar w:fldCharType="end"/>
      </w:r>
    </w:p>
    <w:p w14:paraId="00C97248" w14:textId="2582D0E3"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5.6.1 Nanofluid Cooling</w:t>
      </w:r>
      <w:r w:rsidRPr="00FC71BE">
        <w:rPr>
          <w:noProof/>
        </w:rPr>
        <w:tab/>
      </w:r>
      <w:r w:rsidRPr="00FC71BE">
        <w:rPr>
          <w:noProof/>
        </w:rPr>
        <w:fldChar w:fldCharType="begin"/>
      </w:r>
      <w:r w:rsidRPr="00FC71BE">
        <w:rPr>
          <w:noProof/>
        </w:rPr>
        <w:instrText xml:space="preserve"> PAGEREF _Toc157695397 \h </w:instrText>
      </w:r>
      <w:r w:rsidRPr="00FC71BE">
        <w:rPr>
          <w:noProof/>
        </w:rPr>
      </w:r>
      <w:r w:rsidRPr="00FC71BE">
        <w:rPr>
          <w:noProof/>
        </w:rPr>
        <w:fldChar w:fldCharType="separate"/>
      </w:r>
      <w:r w:rsidRPr="00FC71BE">
        <w:rPr>
          <w:noProof/>
        </w:rPr>
        <w:t>172</w:t>
      </w:r>
      <w:r w:rsidRPr="00FC71BE">
        <w:rPr>
          <w:noProof/>
        </w:rPr>
        <w:fldChar w:fldCharType="end"/>
      </w:r>
    </w:p>
    <w:p w14:paraId="4B31E562" w14:textId="1C9A2126"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5.6.2 Ferrofluid Cooling</w:t>
      </w:r>
      <w:r w:rsidRPr="00FC71BE">
        <w:rPr>
          <w:noProof/>
        </w:rPr>
        <w:tab/>
      </w:r>
      <w:r w:rsidRPr="00FC71BE">
        <w:rPr>
          <w:noProof/>
        </w:rPr>
        <w:fldChar w:fldCharType="begin"/>
      </w:r>
      <w:r w:rsidRPr="00FC71BE">
        <w:rPr>
          <w:noProof/>
        </w:rPr>
        <w:instrText xml:space="preserve"> PAGEREF _Toc157695398 \h </w:instrText>
      </w:r>
      <w:r w:rsidRPr="00FC71BE">
        <w:rPr>
          <w:noProof/>
        </w:rPr>
      </w:r>
      <w:r w:rsidRPr="00FC71BE">
        <w:rPr>
          <w:noProof/>
        </w:rPr>
        <w:fldChar w:fldCharType="separate"/>
      </w:r>
      <w:r w:rsidRPr="00FC71BE">
        <w:rPr>
          <w:noProof/>
        </w:rPr>
        <w:t>175</w:t>
      </w:r>
      <w:r w:rsidRPr="00FC71BE">
        <w:rPr>
          <w:noProof/>
        </w:rPr>
        <w:fldChar w:fldCharType="end"/>
      </w:r>
    </w:p>
    <w:p w14:paraId="5439C767" w14:textId="330E9998"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5.6.3 Electromagnetic Performances Considering Thermal Coupling Models</w:t>
      </w:r>
      <w:r w:rsidRPr="00FC71BE">
        <w:rPr>
          <w:noProof/>
        </w:rPr>
        <w:tab/>
      </w:r>
      <w:r w:rsidRPr="00FC71BE">
        <w:rPr>
          <w:noProof/>
        </w:rPr>
        <w:fldChar w:fldCharType="begin"/>
      </w:r>
      <w:r w:rsidRPr="00FC71BE">
        <w:rPr>
          <w:noProof/>
        </w:rPr>
        <w:instrText xml:space="preserve"> PAGEREF _Toc157695399 \h </w:instrText>
      </w:r>
      <w:r w:rsidRPr="00FC71BE">
        <w:rPr>
          <w:noProof/>
        </w:rPr>
      </w:r>
      <w:r w:rsidRPr="00FC71BE">
        <w:rPr>
          <w:noProof/>
        </w:rPr>
        <w:fldChar w:fldCharType="separate"/>
      </w:r>
      <w:r w:rsidRPr="00FC71BE">
        <w:rPr>
          <w:noProof/>
        </w:rPr>
        <w:t>183</w:t>
      </w:r>
      <w:r w:rsidRPr="00FC71BE">
        <w:rPr>
          <w:noProof/>
        </w:rPr>
        <w:fldChar w:fldCharType="end"/>
      </w:r>
    </w:p>
    <w:p w14:paraId="47A3A7D0" w14:textId="11949789"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lastRenderedPageBreak/>
        <w:t>5.7. Ferrofluid cooling for the Modular Machine</w:t>
      </w:r>
      <w:r w:rsidRPr="00FC71BE">
        <w:rPr>
          <w:noProof/>
        </w:rPr>
        <w:tab/>
      </w:r>
      <w:r w:rsidRPr="00FC71BE">
        <w:rPr>
          <w:noProof/>
        </w:rPr>
        <w:fldChar w:fldCharType="begin"/>
      </w:r>
      <w:r w:rsidRPr="00FC71BE">
        <w:rPr>
          <w:noProof/>
        </w:rPr>
        <w:instrText xml:space="preserve"> PAGEREF _Toc157695400 \h </w:instrText>
      </w:r>
      <w:r w:rsidRPr="00FC71BE">
        <w:rPr>
          <w:noProof/>
        </w:rPr>
      </w:r>
      <w:r w:rsidRPr="00FC71BE">
        <w:rPr>
          <w:noProof/>
        </w:rPr>
        <w:fldChar w:fldCharType="separate"/>
      </w:r>
      <w:r w:rsidRPr="00FC71BE">
        <w:rPr>
          <w:noProof/>
        </w:rPr>
        <w:t>186</w:t>
      </w:r>
      <w:r w:rsidRPr="00FC71BE">
        <w:rPr>
          <w:noProof/>
        </w:rPr>
        <w:fldChar w:fldCharType="end"/>
      </w:r>
    </w:p>
    <w:p w14:paraId="6C69B7E4" w14:textId="26B15FC0"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5.7.1 Different Machine Topologies</w:t>
      </w:r>
      <w:r w:rsidRPr="00FC71BE">
        <w:rPr>
          <w:noProof/>
        </w:rPr>
        <w:tab/>
      </w:r>
      <w:r w:rsidRPr="00FC71BE">
        <w:rPr>
          <w:noProof/>
        </w:rPr>
        <w:fldChar w:fldCharType="begin"/>
      </w:r>
      <w:r w:rsidRPr="00FC71BE">
        <w:rPr>
          <w:noProof/>
        </w:rPr>
        <w:instrText xml:space="preserve"> PAGEREF _Toc157695401 \h </w:instrText>
      </w:r>
      <w:r w:rsidRPr="00FC71BE">
        <w:rPr>
          <w:noProof/>
        </w:rPr>
      </w:r>
      <w:r w:rsidRPr="00FC71BE">
        <w:rPr>
          <w:noProof/>
        </w:rPr>
        <w:fldChar w:fldCharType="separate"/>
      </w:r>
      <w:r w:rsidRPr="00FC71BE">
        <w:rPr>
          <w:noProof/>
        </w:rPr>
        <w:t>186</w:t>
      </w:r>
      <w:r w:rsidRPr="00FC71BE">
        <w:rPr>
          <w:noProof/>
        </w:rPr>
        <w:fldChar w:fldCharType="end"/>
      </w:r>
    </w:p>
    <w:p w14:paraId="2EC0A429" w14:textId="05FE857E"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5.7.2 Different Flux Gap Widths</w:t>
      </w:r>
      <w:r w:rsidRPr="00FC71BE">
        <w:rPr>
          <w:noProof/>
        </w:rPr>
        <w:tab/>
      </w:r>
      <w:r w:rsidRPr="00FC71BE">
        <w:rPr>
          <w:noProof/>
        </w:rPr>
        <w:fldChar w:fldCharType="begin"/>
      </w:r>
      <w:r w:rsidRPr="00FC71BE">
        <w:rPr>
          <w:noProof/>
        </w:rPr>
        <w:instrText xml:space="preserve"> PAGEREF _Toc157695402 \h </w:instrText>
      </w:r>
      <w:r w:rsidRPr="00FC71BE">
        <w:rPr>
          <w:noProof/>
        </w:rPr>
      </w:r>
      <w:r w:rsidRPr="00FC71BE">
        <w:rPr>
          <w:noProof/>
        </w:rPr>
        <w:fldChar w:fldCharType="separate"/>
      </w:r>
      <w:r w:rsidRPr="00FC71BE">
        <w:rPr>
          <w:noProof/>
        </w:rPr>
        <w:t>189</w:t>
      </w:r>
      <w:r w:rsidRPr="00FC71BE">
        <w:rPr>
          <w:noProof/>
        </w:rPr>
        <w:fldChar w:fldCharType="end"/>
      </w:r>
    </w:p>
    <w:p w14:paraId="2F6675F6" w14:textId="67CE60D1"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5.8. Experimental Validation</w:t>
      </w:r>
      <w:r w:rsidRPr="00FC71BE">
        <w:rPr>
          <w:noProof/>
        </w:rPr>
        <w:tab/>
      </w:r>
      <w:r w:rsidRPr="00FC71BE">
        <w:rPr>
          <w:noProof/>
        </w:rPr>
        <w:fldChar w:fldCharType="begin"/>
      </w:r>
      <w:r w:rsidRPr="00FC71BE">
        <w:rPr>
          <w:noProof/>
        </w:rPr>
        <w:instrText xml:space="preserve"> PAGEREF _Toc157695403 \h </w:instrText>
      </w:r>
      <w:r w:rsidRPr="00FC71BE">
        <w:rPr>
          <w:noProof/>
        </w:rPr>
      </w:r>
      <w:r w:rsidRPr="00FC71BE">
        <w:rPr>
          <w:noProof/>
        </w:rPr>
        <w:fldChar w:fldCharType="separate"/>
      </w:r>
      <w:r w:rsidRPr="00FC71BE">
        <w:rPr>
          <w:noProof/>
        </w:rPr>
        <w:t>191</w:t>
      </w:r>
      <w:r w:rsidRPr="00FC71BE">
        <w:rPr>
          <w:noProof/>
        </w:rPr>
        <w:fldChar w:fldCharType="end"/>
      </w:r>
    </w:p>
    <w:p w14:paraId="08C839A2" w14:textId="3E4C872C"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5.8.1 Single Coil Motorette</w:t>
      </w:r>
      <w:r w:rsidRPr="00FC71BE">
        <w:rPr>
          <w:noProof/>
        </w:rPr>
        <w:tab/>
      </w:r>
      <w:r w:rsidRPr="00FC71BE">
        <w:rPr>
          <w:noProof/>
        </w:rPr>
        <w:fldChar w:fldCharType="begin"/>
      </w:r>
      <w:r w:rsidRPr="00FC71BE">
        <w:rPr>
          <w:noProof/>
        </w:rPr>
        <w:instrText xml:space="preserve"> PAGEREF _Toc157695404 \h </w:instrText>
      </w:r>
      <w:r w:rsidRPr="00FC71BE">
        <w:rPr>
          <w:noProof/>
        </w:rPr>
      </w:r>
      <w:r w:rsidRPr="00FC71BE">
        <w:rPr>
          <w:noProof/>
        </w:rPr>
        <w:fldChar w:fldCharType="separate"/>
      </w:r>
      <w:r w:rsidRPr="00FC71BE">
        <w:rPr>
          <w:noProof/>
        </w:rPr>
        <w:t>191</w:t>
      </w:r>
      <w:r w:rsidRPr="00FC71BE">
        <w:rPr>
          <w:noProof/>
        </w:rPr>
        <w:fldChar w:fldCharType="end"/>
      </w:r>
    </w:p>
    <w:p w14:paraId="0457B879" w14:textId="0372C668" w:rsidR="007E62C1" w:rsidRPr="00FC71BE" w:rsidRDefault="007E62C1">
      <w:pPr>
        <w:pStyle w:val="TOC3"/>
        <w:tabs>
          <w:tab w:val="right" w:leader="dot" w:pos="9016"/>
        </w:tabs>
        <w:rPr>
          <w:rFonts w:asciiTheme="minorHAnsi" w:hAnsiTheme="minorHAnsi"/>
          <w:noProof/>
          <w:kern w:val="2"/>
          <w:szCs w:val="24"/>
          <w14:ligatures w14:val="standardContextual"/>
        </w:rPr>
      </w:pPr>
      <w:r w:rsidRPr="00FC71BE">
        <w:rPr>
          <w:noProof/>
        </w:rPr>
        <w:t>5.8.2 Multiple Coils Motorette</w:t>
      </w:r>
      <w:r w:rsidRPr="00FC71BE">
        <w:rPr>
          <w:noProof/>
        </w:rPr>
        <w:tab/>
      </w:r>
      <w:r w:rsidRPr="00FC71BE">
        <w:rPr>
          <w:noProof/>
        </w:rPr>
        <w:fldChar w:fldCharType="begin"/>
      </w:r>
      <w:r w:rsidRPr="00FC71BE">
        <w:rPr>
          <w:noProof/>
        </w:rPr>
        <w:instrText xml:space="preserve"> PAGEREF _Toc157695405 \h </w:instrText>
      </w:r>
      <w:r w:rsidRPr="00FC71BE">
        <w:rPr>
          <w:noProof/>
        </w:rPr>
      </w:r>
      <w:r w:rsidRPr="00FC71BE">
        <w:rPr>
          <w:noProof/>
        </w:rPr>
        <w:fldChar w:fldCharType="separate"/>
      </w:r>
      <w:r w:rsidRPr="00FC71BE">
        <w:rPr>
          <w:noProof/>
        </w:rPr>
        <w:t>197</w:t>
      </w:r>
      <w:r w:rsidRPr="00FC71BE">
        <w:rPr>
          <w:noProof/>
        </w:rPr>
        <w:fldChar w:fldCharType="end"/>
      </w:r>
    </w:p>
    <w:p w14:paraId="344CAB69" w14:textId="574CC0F2"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5.9. Conclusion</w:t>
      </w:r>
      <w:r w:rsidRPr="00FC71BE">
        <w:rPr>
          <w:noProof/>
        </w:rPr>
        <w:tab/>
      </w:r>
      <w:r w:rsidRPr="00FC71BE">
        <w:rPr>
          <w:noProof/>
        </w:rPr>
        <w:fldChar w:fldCharType="begin"/>
      </w:r>
      <w:r w:rsidRPr="00FC71BE">
        <w:rPr>
          <w:noProof/>
        </w:rPr>
        <w:instrText xml:space="preserve"> PAGEREF _Toc157695406 \h </w:instrText>
      </w:r>
      <w:r w:rsidRPr="00FC71BE">
        <w:rPr>
          <w:noProof/>
        </w:rPr>
      </w:r>
      <w:r w:rsidRPr="00FC71BE">
        <w:rPr>
          <w:noProof/>
        </w:rPr>
        <w:fldChar w:fldCharType="separate"/>
      </w:r>
      <w:r w:rsidRPr="00FC71BE">
        <w:rPr>
          <w:noProof/>
        </w:rPr>
        <w:t>201</w:t>
      </w:r>
      <w:r w:rsidRPr="00FC71BE">
        <w:rPr>
          <w:noProof/>
        </w:rPr>
        <w:fldChar w:fldCharType="end"/>
      </w:r>
    </w:p>
    <w:p w14:paraId="7C58B07C" w14:textId="5E3E7D9F" w:rsidR="007E62C1" w:rsidRPr="00FC71BE" w:rsidRDefault="007E62C1">
      <w:pPr>
        <w:pStyle w:val="TOC1"/>
        <w:tabs>
          <w:tab w:val="left" w:pos="1680"/>
          <w:tab w:val="right" w:leader="dot" w:pos="9016"/>
        </w:tabs>
        <w:rPr>
          <w:rFonts w:asciiTheme="minorHAnsi" w:hAnsiTheme="minorHAnsi"/>
          <w:noProof/>
          <w:kern w:val="2"/>
          <w:szCs w:val="24"/>
          <w14:ligatures w14:val="standardContextual"/>
        </w:rPr>
      </w:pPr>
      <w:r w:rsidRPr="00FC71BE">
        <w:rPr>
          <w:noProof/>
        </w:rPr>
        <w:t>Chapter 6</w:t>
      </w:r>
      <w:r w:rsidRPr="00FC71BE">
        <w:rPr>
          <w:rFonts w:asciiTheme="minorHAnsi" w:hAnsiTheme="minorHAnsi"/>
          <w:noProof/>
          <w:kern w:val="2"/>
          <w:szCs w:val="24"/>
          <w14:ligatures w14:val="standardContextual"/>
        </w:rPr>
        <w:tab/>
      </w:r>
      <w:r w:rsidRPr="00FC71BE">
        <w:rPr>
          <w:noProof/>
        </w:rPr>
        <w:t>Conclusion and Future Work</w:t>
      </w:r>
      <w:r w:rsidRPr="00FC71BE">
        <w:rPr>
          <w:noProof/>
        </w:rPr>
        <w:tab/>
      </w:r>
      <w:r w:rsidRPr="00FC71BE">
        <w:rPr>
          <w:noProof/>
        </w:rPr>
        <w:fldChar w:fldCharType="begin"/>
      </w:r>
      <w:r w:rsidRPr="00FC71BE">
        <w:rPr>
          <w:noProof/>
        </w:rPr>
        <w:instrText xml:space="preserve"> PAGEREF _Toc157695407 \h </w:instrText>
      </w:r>
      <w:r w:rsidRPr="00FC71BE">
        <w:rPr>
          <w:noProof/>
        </w:rPr>
      </w:r>
      <w:r w:rsidRPr="00FC71BE">
        <w:rPr>
          <w:noProof/>
        </w:rPr>
        <w:fldChar w:fldCharType="separate"/>
      </w:r>
      <w:r w:rsidRPr="00FC71BE">
        <w:rPr>
          <w:noProof/>
        </w:rPr>
        <w:t>203</w:t>
      </w:r>
      <w:r w:rsidRPr="00FC71BE">
        <w:rPr>
          <w:noProof/>
        </w:rPr>
        <w:fldChar w:fldCharType="end"/>
      </w:r>
    </w:p>
    <w:p w14:paraId="717780FA" w14:textId="423904C2"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6.1. Conclusion</w:t>
      </w:r>
      <w:r w:rsidRPr="00FC71BE">
        <w:rPr>
          <w:noProof/>
        </w:rPr>
        <w:tab/>
      </w:r>
      <w:r w:rsidRPr="00FC71BE">
        <w:rPr>
          <w:noProof/>
        </w:rPr>
        <w:fldChar w:fldCharType="begin"/>
      </w:r>
      <w:r w:rsidRPr="00FC71BE">
        <w:rPr>
          <w:noProof/>
        </w:rPr>
        <w:instrText xml:space="preserve"> PAGEREF _Toc157695408 \h </w:instrText>
      </w:r>
      <w:r w:rsidRPr="00FC71BE">
        <w:rPr>
          <w:noProof/>
        </w:rPr>
      </w:r>
      <w:r w:rsidRPr="00FC71BE">
        <w:rPr>
          <w:noProof/>
        </w:rPr>
        <w:fldChar w:fldCharType="separate"/>
      </w:r>
      <w:r w:rsidRPr="00FC71BE">
        <w:rPr>
          <w:noProof/>
        </w:rPr>
        <w:t>203</w:t>
      </w:r>
      <w:r w:rsidRPr="00FC71BE">
        <w:rPr>
          <w:noProof/>
        </w:rPr>
        <w:fldChar w:fldCharType="end"/>
      </w:r>
    </w:p>
    <w:p w14:paraId="109BE172" w14:textId="7383FF45" w:rsidR="007E62C1" w:rsidRPr="00FC71BE" w:rsidRDefault="007E62C1">
      <w:pPr>
        <w:pStyle w:val="TOC2"/>
        <w:tabs>
          <w:tab w:val="right" w:leader="dot" w:pos="9016"/>
        </w:tabs>
        <w:rPr>
          <w:rFonts w:asciiTheme="minorHAnsi" w:hAnsiTheme="minorHAnsi"/>
          <w:noProof/>
          <w:kern w:val="2"/>
          <w:szCs w:val="24"/>
          <w14:ligatures w14:val="standardContextual"/>
        </w:rPr>
      </w:pPr>
      <w:r w:rsidRPr="00FC71BE">
        <w:rPr>
          <w:noProof/>
        </w:rPr>
        <w:t>6.2. Future Work</w:t>
      </w:r>
      <w:r w:rsidRPr="00FC71BE">
        <w:rPr>
          <w:noProof/>
        </w:rPr>
        <w:tab/>
      </w:r>
      <w:r w:rsidRPr="00FC71BE">
        <w:rPr>
          <w:noProof/>
        </w:rPr>
        <w:fldChar w:fldCharType="begin"/>
      </w:r>
      <w:r w:rsidRPr="00FC71BE">
        <w:rPr>
          <w:noProof/>
        </w:rPr>
        <w:instrText xml:space="preserve"> PAGEREF _Toc157695409 \h </w:instrText>
      </w:r>
      <w:r w:rsidRPr="00FC71BE">
        <w:rPr>
          <w:noProof/>
        </w:rPr>
      </w:r>
      <w:r w:rsidRPr="00FC71BE">
        <w:rPr>
          <w:noProof/>
        </w:rPr>
        <w:fldChar w:fldCharType="separate"/>
      </w:r>
      <w:r w:rsidRPr="00FC71BE">
        <w:rPr>
          <w:noProof/>
        </w:rPr>
        <w:t>205</w:t>
      </w:r>
      <w:r w:rsidRPr="00FC71BE">
        <w:rPr>
          <w:noProof/>
        </w:rPr>
        <w:fldChar w:fldCharType="end"/>
      </w:r>
    </w:p>
    <w:p w14:paraId="4724982C" w14:textId="118F15DA" w:rsidR="007E62C1" w:rsidRPr="00FC71BE" w:rsidRDefault="007E62C1">
      <w:pPr>
        <w:pStyle w:val="TOC1"/>
        <w:tabs>
          <w:tab w:val="right" w:leader="dot" w:pos="9016"/>
        </w:tabs>
        <w:rPr>
          <w:rFonts w:asciiTheme="minorHAnsi" w:hAnsiTheme="minorHAnsi"/>
          <w:noProof/>
          <w:kern w:val="2"/>
          <w:szCs w:val="24"/>
          <w14:ligatures w14:val="standardContextual"/>
        </w:rPr>
      </w:pPr>
      <w:r w:rsidRPr="00FC71BE">
        <w:rPr>
          <w:noProof/>
        </w:rPr>
        <w:t>Reference</w:t>
      </w:r>
      <w:r w:rsidRPr="00FC71BE">
        <w:rPr>
          <w:noProof/>
        </w:rPr>
        <w:tab/>
      </w:r>
      <w:r w:rsidRPr="00FC71BE">
        <w:rPr>
          <w:noProof/>
        </w:rPr>
        <w:fldChar w:fldCharType="begin"/>
      </w:r>
      <w:r w:rsidRPr="00FC71BE">
        <w:rPr>
          <w:noProof/>
        </w:rPr>
        <w:instrText xml:space="preserve"> PAGEREF _Toc157695410 \h </w:instrText>
      </w:r>
      <w:r w:rsidRPr="00FC71BE">
        <w:rPr>
          <w:noProof/>
        </w:rPr>
      </w:r>
      <w:r w:rsidRPr="00FC71BE">
        <w:rPr>
          <w:noProof/>
        </w:rPr>
        <w:fldChar w:fldCharType="separate"/>
      </w:r>
      <w:r w:rsidRPr="00FC71BE">
        <w:rPr>
          <w:noProof/>
        </w:rPr>
        <w:t>207</w:t>
      </w:r>
      <w:r w:rsidRPr="00FC71BE">
        <w:rPr>
          <w:noProof/>
        </w:rPr>
        <w:fldChar w:fldCharType="end"/>
      </w:r>
    </w:p>
    <w:p w14:paraId="0681D0C9" w14:textId="61EEADF1" w:rsidR="00374D39" w:rsidRPr="00FC71BE" w:rsidRDefault="006A20AE" w:rsidP="0035614F">
      <w:pPr>
        <w:pStyle w:val="Content"/>
        <w:ind w:firstLine="0"/>
        <w:rPr>
          <w:color w:val="auto"/>
        </w:rPr>
      </w:pPr>
      <w:r w:rsidRPr="00FC71BE">
        <w:rPr>
          <w:color w:val="auto"/>
        </w:rPr>
        <w:fldChar w:fldCharType="end"/>
      </w:r>
    </w:p>
    <w:p w14:paraId="1F7235F8" w14:textId="77777777" w:rsidR="00731E32" w:rsidRPr="00FC71BE" w:rsidRDefault="00731E32" w:rsidP="0035614F">
      <w:pPr>
        <w:ind w:firstLine="0"/>
        <w:rPr>
          <w:rFonts w:cs="Times New Roman"/>
        </w:rPr>
        <w:sectPr w:rsidR="00731E32" w:rsidRPr="00FC71BE" w:rsidSect="00230564">
          <w:footerReference w:type="default" r:id="rId13"/>
          <w:pgSz w:w="11906" w:h="16838"/>
          <w:pgMar w:top="1440" w:right="1440" w:bottom="1440" w:left="1440" w:header="708" w:footer="708" w:gutter="0"/>
          <w:pgNumType w:fmt="lowerRoman" w:start="1"/>
          <w:cols w:space="708"/>
          <w:docGrid w:linePitch="360"/>
        </w:sectPr>
      </w:pPr>
    </w:p>
    <w:p w14:paraId="6AD74775" w14:textId="77777777" w:rsidR="00416180" w:rsidRPr="00FC71BE" w:rsidRDefault="00416180" w:rsidP="00DA6AFF">
      <w:pPr>
        <w:pStyle w:val="Heading1"/>
        <w:numPr>
          <w:ilvl w:val="0"/>
          <w:numId w:val="43"/>
        </w:numPr>
        <w:rPr>
          <w:color w:val="auto"/>
        </w:rPr>
      </w:pPr>
      <w:bookmarkStart w:id="5" w:name="_Toc157695324"/>
      <w:r w:rsidRPr="00FC71BE">
        <w:rPr>
          <w:color w:val="auto"/>
        </w:rPr>
        <w:lastRenderedPageBreak/>
        <w:t>Introduction</w:t>
      </w:r>
      <w:bookmarkEnd w:id="5"/>
    </w:p>
    <w:p w14:paraId="5FDD4C5D" w14:textId="77777777" w:rsidR="00416180" w:rsidRPr="00FC71BE" w:rsidRDefault="00416180" w:rsidP="00416180">
      <w:r w:rsidRPr="00FC71BE">
        <w:t>This chapter provides an overview of the research background for this thesis. It begins by introducing permanent magnet (PM) machines, including the machines with stator modularity. The advantages of the modular PM machines on electromagnetic (EM) performances are explored and elucidated. Furthermore, the chapter delves into the thermal managements for electrical machines, emphasizing its significance for the PM machines. The discussion encompasses various thermal management techniques, including active cooling and passive cooling, highlighting the potential enhancements in machine performances. Moreover, the thermal managements are reviewed with a specific consideration for stator modularity. In addition, this chapter outlines the structure and contributions of this thesis, giving the publications associated with this research project.</w:t>
      </w:r>
    </w:p>
    <w:p w14:paraId="47C7652D" w14:textId="77777777" w:rsidR="00416180" w:rsidRPr="00FC71BE" w:rsidRDefault="00416180" w:rsidP="00E22A36">
      <w:pPr>
        <w:pStyle w:val="Heading2"/>
        <w:numPr>
          <w:ilvl w:val="1"/>
          <w:numId w:val="49"/>
        </w:numPr>
      </w:pPr>
      <w:bookmarkStart w:id="6" w:name="_Toc157695325"/>
      <w:r w:rsidRPr="00FC71BE">
        <w:t>General Introduction</w:t>
      </w:r>
      <w:bookmarkEnd w:id="6"/>
    </w:p>
    <w:p w14:paraId="47813D93" w14:textId="3B374C3D" w:rsidR="00416180" w:rsidRPr="00FC71BE" w:rsidRDefault="00416180" w:rsidP="00416180">
      <w:r w:rsidRPr="00FC71BE">
        <w:t xml:space="preserve">Electric motors have played a pivotal role in modern life since the construction of the direct current (DC) electric motor by Thomas Davenport in 1834 and the patenting of the alternating current (AC) induction motor by Nikola Tesla in 1888. These innovations have endowed electrical machines with immense significance, especially in industrial applications, including electrical/hybrid electrical vehicles (EVs/HEVs), aerospace applications, renewable energy. In industrial applications, electrical machines offer a multitude of advantages, including high efficiency, reduced emissions, exceptional reliability, precise control, and minimal maintenance requirements. Various kinds of electrical machines have been developed, such as induction machines (IMs), reluctance machines (RMs), and permanent magnet (PM) machines </w:t>
      </w:r>
      <w:r w:rsidRPr="00FC71BE">
        <w:fldChar w:fldCharType="begin"/>
      </w:r>
      <w:r w:rsidR="00103B0D" w:rsidRPr="00FC71BE">
        <w:instrText xml:space="preserve"> ADDIN EN.CITE &lt;EndNote&gt;&lt;Cite&gt;&lt;Author&gt;Zhu&lt;/Author&gt;&lt;Year&gt;2007&lt;/Year&gt;&lt;RecNum&gt;67&lt;/RecNum&gt;&lt;DisplayText&gt;[1]&lt;/DisplayText&gt;&lt;record&gt;&lt;rec-number&gt;67&lt;/rec-number&gt;&lt;foreign-keys&gt;&lt;key app="EN" db-id="rf2p5e05jx0x9jep00uvx0s1fvaww2dfa0r9" timestamp="1695734547"&gt;67&lt;/key&gt;&lt;/foreign-keys&gt;&lt;ref-type name="Journal Article"&gt;17&lt;/ref-type&gt;&lt;contributors&gt;&lt;authors&gt;&lt;author&gt;Zhu, Zi Qiang&lt;/author&gt;&lt;author&gt;Howe, David&lt;/author&gt;&lt;/authors&gt;&lt;/contributors&gt;&lt;titles&gt;&lt;title&gt;Electrical machines and drives for electric, hybrid, and fuel cell vehicles&lt;/title&gt;&lt;secondary-title&gt;Proceedings of the IEEE&lt;/secondary-title&gt;&lt;/titles&gt;&lt;periodical&gt;&lt;full-title&gt;Proceedings of the IEEE&lt;/full-title&gt;&lt;/periodical&gt;&lt;pages&gt;746-765&lt;/pages&gt;&lt;volume&gt;95&lt;/volume&gt;&lt;number&gt;4&lt;/number&gt;&lt;dates&gt;&lt;year&gt;2007&lt;/year&gt;&lt;/dates&gt;&lt;isbn&gt;0018-9219&lt;/isbn&gt;&lt;urls&gt;&lt;/urls&gt;&lt;/record&gt;&lt;/Cite&gt;&lt;/EndNote&gt;</w:instrText>
      </w:r>
      <w:r w:rsidRPr="00FC71BE">
        <w:fldChar w:fldCharType="separate"/>
      </w:r>
      <w:r w:rsidRPr="00FC71BE">
        <w:t>[1]</w:t>
      </w:r>
      <w:r w:rsidRPr="00FC71BE">
        <w:fldChar w:fldCharType="end"/>
      </w:r>
      <w:r w:rsidRPr="00FC71BE">
        <w:t xml:space="preserve">. Among the pivotal advancements in electrical machine, permanent magnet synchronous machines (PMSMs) hold a prominent position. In contrast to other synchronous machines that implement DC current to establish a constant magnetic field over time within the rotor, the PMSMs generate a constant magnetic field through the excitation provided by PMs </w:t>
      </w:r>
      <w:r w:rsidRPr="00FC71BE">
        <w:fldChar w:fldCharType="begin"/>
      </w:r>
      <w:r w:rsidRPr="00FC71BE">
        <w:instrText xml:space="preserve"> ADDIN EN.CITE &lt;EndNote&gt;&lt;Cite&gt;&lt;Author&gt;Gerling&lt;/Author&gt;&lt;Year&gt;2016&lt;/Year&gt;&lt;RecNum&gt;68&lt;/RecNum&gt;&lt;DisplayText&gt;[2]&lt;/DisplayText&gt;&lt;record&gt;&lt;rec-number&gt;68&lt;/rec-number&gt;&lt;foreign-keys&gt;&lt;key app="EN" db-id="rf2p5e05jx0x9jep00uvx0s1fvaww2dfa0r9" timestamp="1695736346"&gt;68&lt;/key&gt;&lt;/foreign-keys&gt;&lt;ref-type name="Book"&gt;6&lt;/ref-type&gt;&lt;contributors&gt;&lt;authors&gt;&lt;author&gt;Gerling, Dieter&lt;/author&gt;&lt;/authors&gt;&lt;/contributors&gt;&lt;titles&gt;&lt;title&gt;Electrical Machines&lt;/title&gt;&lt;/titles&gt;&lt;dates&gt;&lt;year&gt;2016&lt;/year&gt;&lt;/dates&gt;&lt;publisher&gt;Springer&lt;/publisher&gt;&lt;isbn&gt;366252032X&lt;/isbn&gt;&lt;urls&gt;&lt;/urls&gt;&lt;/record&gt;&lt;/Cite&gt;&lt;/EndNote&gt;</w:instrText>
      </w:r>
      <w:r w:rsidRPr="00FC71BE">
        <w:fldChar w:fldCharType="separate"/>
      </w:r>
      <w:r w:rsidRPr="00FC71BE">
        <w:t>[2]</w:t>
      </w:r>
      <w:r w:rsidRPr="00FC71BE">
        <w:fldChar w:fldCharType="end"/>
      </w:r>
      <w:r w:rsidRPr="00FC71BE">
        <w:t>. Benefit from the high energy density that rare-earth magnets have, PMSMs have gained significant popularity over the past few decades, owing to a range of attractive features, such as their high efficiency, high torque and power density, and excellent overload capability.</w:t>
      </w:r>
    </w:p>
    <w:p w14:paraId="4423FC28" w14:textId="77777777" w:rsidR="00416180" w:rsidRPr="00FC71BE" w:rsidRDefault="00416180" w:rsidP="00416180">
      <w:r w:rsidRPr="00FC71BE">
        <w:t xml:space="preserve">Numerous research studies on PMSMs have been undertaken to improve their electromagnetic (EM) performances, with a particular focus on improving the torque/power density, increasing fault-tolerance capability, and minimizing volume and cost. The PM </w:t>
      </w:r>
      <w:r w:rsidRPr="00FC71BE">
        <w:lastRenderedPageBreak/>
        <w:t>machine with stator modularity is one kind of the PMSMs. Research studies have revealed that the introduced flux gaps/flux barriers between stator segments holds potential for improving machine EM performance.</w:t>
      </w:r>
    </w:p>
    <w:p w14:paraId="338D5682" w14:textId="77777777" w:rsidR="00416180" w:rsidRPr="00FC71BE" w:rsidRDefault="00416180" w:rsidP="00416180">
      <w:r w:rsidRPr="00FC71BE">
        <w:t xml:space="preserve">In recent years, thermal managements have gained increasing importance in electrical machine designs, driven by increasing demands for high power output </w:t>
      </w:r>
      <w:r w:rsidRPr="00FC71BE">
        <w:fldChar w:fldCharType="begin"/>
      </w:r>
      <w:r w:rsidRPr="00FC71BE">
        <w:instrText xml:space="preserve"> ADDIN EN.CITE &lt;EndNote&gt;&lt;Cite&gt;&lt;Author&gt;Staton&lt;/Author&gt;&lt;Year&gt;2022&lt;/Year&gt;&lt;RecNum&gt;1&lt;/RecNum&gt;&lt;DisplayText&gt;[3]&lt;/DisplayText&gt;&lt;record&gt;&lt;rec-number&gt;1&lt;/rec-number&gt;&lt;foreign-keys&gt;&lt;key app="EN" db-id="99rv9pxv5d5ap3ep5a4pw2sf5e5sr9pw5fvd" timestamp="1696863243"&gt;1&lt;/key&gt;&lt;/foreign-keys&gt;&lt;ref-type name="Book"&gt;6&lt;/ref-type&gt;&lt;contributors&gt;&lt;authors&gt;&lt;author&gt;Staton, David&lt;/author&gt;&lt;author&gt;Chong, Eddie&lt;/author&gt;&lt;author&gt;Pickering, Stephen&lt;/author&gt;&lt;author&gt;Boglietti, Aldo&lt;/author&gt;&lt;/authors&gt;&lt;/contributors&gt;&lt;titles&gt;&lt;title&gt;Cooling of Rotating Electrical Machines: Fundamentals, Modelling, Testing and Design&lt;/title&gt;&lt;/titles&gt;&lt;volume&gt;109&lt;/volume&gt;&lt;dates&gt;&lt;year&gt;2022&lt;/year&gt;&lt;/dates&gt;&lt;publisher&gt;IET&lt;/publisher&gt;&lt;isbn&gt;1785613510&lt;/isbn&gt;&lt;urls&gt;&lt;/urls&gt;&lt;/record&gt;&lt;/Cite&gt;&lt;/EndNote&gt;</w:instrText>
      </w:r>
      <w:r w:rsidRPr="00FC71BE">
        <w:fldChar w:fldCharType="separate"/>
      </w:r>
      <w:r w:rsidRPr="00FC71BE">
        <w:t>[3]</w:t>
      </w:r>
      <w:r w:rsidRPr="00FC71BE">
        <w:fldChar w:fldCharType="end"/>
      </w:r>
      <w:r w:rsidRPr="00FC71BE">
        <w:t>. A well-structured cooling system efficiently reduces machine temperatures, thereby allowing for higher current densities, improved reliabilities, and enhanced demagnetization withstand capabilities. Cooling technologies encompass both passive and active cooling methods. Passive cooling methods established effective heat transfer without the need for additional pumps. In contrast, active cooling methods achieve more efficient heat transfer through the use of external pumps. This chapter has provided a review of various cooling technologies, including their applications to modular machines.</w:t>
      </w:r>
    </w:p>
    <w:p w14:paraId="503C9A1C" w14:textId="1C4F87A4" w:rsidR="00416180" w:rsidRPr="00FC71BE" w:rsidRDefault="00416180" w:rsidP="00416180">
      <w:r w:rsidRPr="00FC71BE">
        <w:t xml:space="preserve">To evaluate the performance (e.g., flow profile and heat transfer) of the thermal managements implemented in investigated electrical machines, various methods are employed. The analytical lumped parameter thermal network (LPTN) is recognized for its computational efficiency in predicting the machine temperature, making it particularly appealing for temperature analysis for machine drive cycle assessments </w:t>
      </w:r>
      <w:r w:rsidRPr="00FC71BE">
        <w:fldChar w:fldCharType="begin">
          <w:fldData xml:space="preserve">PEVuZE5vdGU+PENpdGU+PEF1dGhvcj5TdGF0b248L0F1dGhvcj48WWVhcj4yMDIyPC9ZZWFyPjxS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</w:fldData>
        </w:fldChar>
      </w:r>
      <w:r w:rsidR="00334780" w:rsidRPr="00FC71BE">
        <w:instrText xml:space="preserve"> ADDIN EN.CITE </w:instrText>
      </w:r>
      <w:r w:rsidR="00334780" w:rsidRPr="00FC71BE">
        <w:fldChar w:fldCharType="begin">
          <w:fldData xml:space="preserve">PEVuZE5vdGU+PENpdGU+PEF1dGhvcj5TdGF0b248L0F1dGhvcj48WWVhcj4yMDIyPC9ZZWFyPjxS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</w:fldData>
        </w:fldChar>
      </w:r>
      <w:r w:rsidR="00334780" w:rsidRPr="00FC71BE">
        <w:instrText xml:space="preserve"> ADDIN EN.CITE.DATA </w:instrText>
      </w:r>
      <w:r w:rsidR="00334780" w:rsidRPr="00FC71BE">
        <w:fldChar w:fldCharType="end"/>
      </w:r>
      <w:r w:rsidRPr="00FC71BE">
        <w:fldChar w:fldCharType="separate"/>
      </w:r>
      <w:r w:rsidRPr="00FC71BE">
        <w:t>[3-5]</w:t>
      </w:r>
      <w:r w:rsidRPr="00FC71BE">
        <w:fldChar w:fldCharType="end"/>
      </w:r>
      <w:r w:rsidRPr="00FC71BE">
        <w:t>. The LPTN, based on finite difference method, constructs an equivalent thermal circuit for modelling thermal domains. It utilizes the relationships between temperature, heat flux and thermal resistances due to conduction, convection, and radiation to predict temperature. Two numerical methods commonly used for thermal analysis of electrical machines are finite element analysis (FEA) and computational fluid dynamics (CFD) modelling. In contrast to the LPTN, which neglects the temperature ununiform distribution with each lump, both FEA and CFD modelling can accurately predict the conductive heat transfer and temperature at each element. Additionally, CFD modelling goes a step further by allowing for the prediction of flow profiles, enabling consideration of both convective and radiative heat transfer processes.</w:t>
      </w:r>
    </w:p>
    <w:p w14:paraId="3FF0F8B1" w14:textId="77777777" w:rsidR="00416180" w:rsidRPr="00FC71BE" w:rsidRDefault="00416180" w:rsidP="00E22A36">
      <w:pPr>
        <w:pStyle w:val="Heading2"/>
        <w:numPr>
          <w:ilvl w:val="1"/>
          <w:numId w:val="49"/>
        </w:numPr>
      </w:pPr>
      <w:bookmarkStart w:id="7" w:name="_Ref146809194"/>
      <w:bookmarkStart w:id="8" w:name="_Toc157695326"/>
      <w:r w:rsidRPr="00FC71BE">
        <w:t>Permanent Magnet Machines</w:t>
      </w:r>
      <w:bookmarkEnd w:id="7"/>
      <w:bookmarkEnd w:id="8"/>
    </w:p>
    <w:p w14:paraId="1A8173F2" w14:textId="19A8212B" w:rsidR="00416180" w:rsidRPr="00FC71BE" w:rsidRDefault="00416180" w:rsidP="00416180">
      <w:r w:rsidRPr="00FC71BE">
        <w:t xml:space="preserve">Electrical machines play a pivotal role in various industrial applications. The basic characteristics which are required for electrical machines encompass </w:t>
      </w:r>
      <w:r w:rsidRPr="00FC71BE">
        <w:fldChar w:fldCharType="begin"/>
      </w:r>
      <w:r w:rsidR="00103B0D" w:rsidRPr="00FC71BE">
        <w:instrText xml:space="preserve"> ADDIN EN.CITE &lt;EndNote&gt;&lt;Cite&gt;&lt;Author&gt;Zhu&lt;/Author&gt;&lt;Year&gt;2007&lt;/Year&gt;&lt;RecNum&gt;67&lt;/RecNum&gt;&lt;DisplayText&gt;[1]&lt;/DisplayText&gt;&lt;record&gt;&lt;rec-number&gt;67&lt;/rec-number&gt;&lt;foreign-keys&gt;&lt;key app="EN" db-id="rf2p5e05jx0x9jep00uvx0s1fvaww2dfa0r9" timestamp="1695734547"&gt;67&lt;/key&gt;&lt;/foreign-keys&gt;&lt;ref-type name="Journal Article"&gt;17&lt;/ref-type&gt;&lt;contributors&gt;&lt;authors&gt;&lt;author&gt;Zhu, Zi Qiang&lt;/author&gt;&lt;author&gt;Howe, David&lt;/author&gt;&lt;/authors&gt;&lt;/contributors&gt;&lt;titles&gt;&lt;title&gt;Electrical machines and drives for electric, hybrid, and fuel cell vehicles&lt;/title&gt;&lt;secondary-title&gt;Proceedings of the IEEE&lt;/secondary-title&gt;&lt;/titles&gt;&lt;periodical&gt;&lt;full-title&gt;Proceedings of the IEEE&lt;/full-title&gt;&lt;/periodical&gt;&lt;pages&gt;746-765&lt;/pages&gt;&lt;volume&gt;95&lt;/volume&gt;&lt;number&gt;4&lt;/number&gt;&lt;dates&gt;&lt;year&gt;2007&lt;/year&gt;&lt;/dates&gt;&lt;isbn&gt;0018-9219&lt;/isbn&gt;&lt;urls&gt;&lt;/urls&gt;&lt;/record&gt;&lt;/Cite&gt;&lt;/EndNote&gt;</w:instrText>
      </w:r>
      <w:r w:rsidRPr="00FC71BE">
        <w:fldChar w:fldCharType="separate"/>
      </w:r>
      <w:r w:rsidRPr="00FC71BE">
        <w:t>[1]</w:t>
      </w:r>
      <w:r w:rsidRPr="00FC71BE">
        <w:fldChar w:fldCharType="end"/>
      </w:r>
      <w:r w:rsidRPr="00FC71BE">
        <w:t>:</w:t>
      </w:r>
    </w:p>
    <w:p w14:paraId="7349D5FD" w14:textId="77777777" w:rsidR="00416180" w:rsidRPr="00FC71BE" w:rsidRDefault="00416180" w:rsidP="00AF4190">
      <w:pPr>
        <w:pStyle w:val="ListParagraph"/>
        <w:numPr>
          <w:ilvl w:val="0"/>
          <w:numId w:val="18"/>
        </w:numPr>
      </w:pPr>
      <w:r w:rsidRPr="00FC71BE">
        <w:t>High torque and power densities</w:t>
      </w:r>
    </w:p>
    <w:p w14:paraId="72A34B42" w14:textId="77777777" w:rsidR="00416180" w:rsidRPr="00FC71BE" w:rsidRDefault="00416180" w:rsidP="00AF4190">
      <w:pPr>
        <w:pStyle w:val="ListParagraph"/>
        <w:numPr>
          <w:ilvl w:val="0"/>
          <w:numId w:val="18"/>
        </w:numPr>
      </w:pPr>
      <w:r w:rsidRPr="00FC71BE">
        <w:t>High efficiency</w:t>
      </w:r>
    </w:p>
    <w:p w14:paraId="7D8B2905" w14:textId="77777777" w:rsidR="00416180" w:rsidRPr="00FC71BE" w:rsidRDefault="00416180" w:rsidP="00AF4190">
      <w:pPr>
        <w:pStyle w:val="ListParagraph"/>
        <w:numPr>
          <w:ilvl w:val="0"/>
          <w:numId w:val="18"/>
        </w:numPr>
      </w:pPr>
      <w:r w:rsidRPr="00FC71BE">
        <w:lastRenderedPageBreak/>
        <w:t>Intermittent overload capability</w:t>
      </w:r>
    </w:p>
    <w:p w14:paraId="5FD54568" w14:textId="16B31D9C" w:rsidR="00416180" w:rsidRPr="00FC71BE" w:rsidRDefault="00416180" w:rsidP="008520AF">
      <w:pPr>
        <w:pStyle w:val="ListParagraph"/>
        <w:numPr>
          <w:ilvl w:val="0"/>
          <w:numId w:val="18"/>
        </w:numPr>
      </w:pPr>
      <w:r w:rsidRPr="00FC71BE">
        <w:t>High reliability and robustness</w:t>
      </w:r>
    </w:p>
    <w:p w14:paraId="13D49514" w14:textId="66359532" w:rsidR="00416180" w:rsidRPr="00FC71BE" w:rsidRDefault="00416180" w:rsidP="00416180">
      <w:r w:rsidRPr="00FC71BE">
        <w:t xml:space="preserve">Compared with IMs and switched or synchronous reluctance machines, PM machines have higher power density and efficiency, as well lower mass, and shorter machine active length </w:t>
      </w:r>
      <w:r w:rsidRPr="00FC71BE">
        <w:fldChar w:fldCharType="begin"/>
      </w:r>
      <w:r w:rsidRPr="00FC71BE">
        <w:instrText xml:space="preserve"> ADDIN EN.CITE &lt;EndNote&gt;&lt;Cite&gt;&lt;Author&gt;Aydin&lt;/Author&gt;&lt;Year&gt;2004&lt;/Year&gt;&lt;RecNum&gt;77&lt;/RecNum&gt;&lt;DisplayText&gt;[6, 7]&lt;/DisplayText&gt;&lt;record&gt;&lt;rec-number&gt;77&lt;/rec-number&gt;&lt;foreign-keys&gt;&lt;key app="EN" db-id="rf2p5e05jx0x9jep00uvx0s1fvaww2dfa0r9" timestamp="1695811876"&gt;77&lt;/key&gt;&lt;/foreign-keys&gt;&lt;ref-type name="Conference Proceedings"&gt;10&lt;/ref-type&gt;&lt;contributors&gt;&lt;authors&gt;&lt;author&gt;Aydin, Metin&lt;/author&gt;&lt;author&gt;Huang, Shouming&lt;/author&gt;&lt;author&gt;Lipo, Thomas A&lt;/author&gt;&lt;/authors&gt;&lt;/contributors&gt;&lt;titles&gt;&lt;title&gt;Axial flux permanent magnet disc machines: A review&lt;/title&gt;&lt;secondary-title&gt;Conf. Record of SPEEDAM&lt;/secondary-title&gt;&lt;/titles&gt;&lt;pages&gt;61-71&lt;/pages&gt;&lt;volume&gt;8&lt;/volume&gt;&lt;dates&gt;&lt;year&gt;2004&lt;/year&gt;&lt;/dates&gt;&lt;urls&gt;&lt;/urls&gt;&lt;/record&gt;&lt;/Cite&gt;&lt;Cite&gt;&lt;Author&gt;He&lt;/Author&gt;&lt;Year&gt;2022&lt;/Year&gt;&lt;RecNum&gt;75&lt;/RecNum&gt;&lt;record&gt;&lt;rec-number&gt;75&lt;/rec-number&gt;&lt;foreign-keys&gt;&lt;key app="EN" db-id="rf2p5e05jx0x9jep00uvx0s1fvaww2dfa0r9" timestamp="1695809800"&gt;75&lt;/key&gt;&lt;/foreign-keys&gt;&lt;ref-type name="Journal Article"&gt;17&lt;/ref-type&gt;&lt;contributors&gt;&lt;authors&gt;&lt;author&gt;He, Tianran&lt;/author&gt;&lt;author&gt;Zhu, Ziqiang&lt;/author&gt;&lt;author&gt;Eastham, Fred&lt;/author&gt;&lt;author&gt;Wang, Yu&lt;/author&gt;&lt;author&gt;Bin, Hong&lt;/author&gt;&lt;author&gt;Wu, Di&lt;/author&gt;&lt;author&gt;Gong, Liming&lt;/author&gt;&lt;author&gt;Chen, Jintao&lt;/author&gt;&lt;/authors&gt;&lt;/contributors&gt;&lt;titles&gt;&lt;title&gt;Permanent magnet machines for high-speed applications&lt;/title&gt;&lt;secondary-title&gt;World Electric Vehicle Journal&lt;/secondary-title&gt;&lt;/titles&gt;&lt;periodical&gt;&lt;full-title&gt;World Electric Vehicle Journal&lt;/full-title&gt;&lt;/periodical&gt;&lt;pages&gt;18&lt;/pages&gt;&lt;volume&gt;13&lt;/volume&gt;&lt;number&gt;1&lt;/number&gt;&lt;dates&gt;&lt;year&gt;2022&lt;/year&gt;&lt;/dates&gt;&lt;isbn&gt;2032-6653&lt;/isbn&gt;&lt;urls&gt;&lt;/urls&gt;&lt;/record&gt;&lt;/Cite&gt;&lt;/EndNote&gt;</w:instrText>
      </w:r>
      <w:r w:rsidRPr="00FC71BE">
        <w:fldChar w:fldCharType="separate"/>
      </w:r>
      <w:r w:rsidRPr="00FC71BE">
        <w:t>[6, 7]</w:t>
      </w:r>
      <w:r w:rsidRPr="00FC71BE">
        <w:fldChar w:fldCharType="end"/>
      </w:r>
      <w:r w:rsidRPr="00FC71BE">
        <w:t>.</w:t>
      </w:r>
      <w:r w:rsidR="008520AF" w:rsidRPr="00FC71BE">
        <w:t xml:space="preserve"> Nevertheless, additional costs are incurred due to the high expense associated with PMs. </w:t>
      </w:r>
      <w:r w:rsidRPr="00FC71BE">
        <w:t>Additionally, the PM machines are attracted for their maintenance-free operation, precise controllability, and exceptional robustness. However, the high cost and volatile supply of rare-earth materials pose significant challenges, potentially inflating the overall machine cost. Therefore, lots of research efforts have been directed towards improving PM machines performance and minimizing PM material consumption.</w:t>
      </w:r>
    </w:p>
    <w:p w14:paraId="5D67E220" w14:textId="77777777" w:rsidR="00416180" w:rsidRPr="00FC71BE" w:rsidRDefault="00416180" w:rsidP="00416180">
      <w:r w:rsidRPr="00FC71BE">
        <w:t xml:space="preserve">The torque produced by a PM machine, which is a pivotal factor in machine design, comprises of two components. One component is the magnet torque, generated by the permanent magnet. The other one is the reluctance torque, arising from the difference between the </w:t>
      </w:r>
      <w:r w:rsidRPr="00FC71BE">
        <w:rPr>
          <w:i/>
          <w:iCs/>
        </w:rPr>
        <w:t>d</w:t>
      </w:r>
      <w:r w:rsidRPr="00FC71BE">
        <w:t xml:space="preserve">-axis and </w:t>
      </w:r>
      <w:r w:rsidRPr="00FC71BE">
        <w:rPr>
          <w:i/>
          <w:iCs/>
        </w:rPr>
        <w:t>q-</w:t>
      </w:r>
      <w:r w:rsidRPr="00FC71BE">
        <w:t>axis inductances. An increase in magnet torque can lead to higher iron losses and render flux weakening operation more challenging. Designing a machine to emphasize reluctance torque can effectively reduce the consumption of permanent magnets while maintaining similar overall electromagnetic torque.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3009"/>
        <w:gridCol w:w="3007"/>
      </w:tblGrid>
      <w:tr w:rsidR="00FC71BE" w:rsidRPr="00FC71BE" w14:paraId="1C7C8FD6" w14:textId="77777777">
        <w:tc>
          <w:tcPr>
            <w:tcW w:w="1667" w:type="pct"/>
          </w:tcPr>
          <w:p w14:paraId="73E90401" w14:textId="77777777" w:rsidR="00673405" w:rsidRPr="00FC71BE" w:rsidRDefault="00673405">
            <w:pPr>
              <w:pStyle w:val="Figure"/>
              <w:rPr>
                <w:noProof w:val="0"/>
              </w:rPr>
            </w:pPr>
            <w:r w:rsidRPr="00FC71BE">
              <w:drawing>
                <wp:inline distT="0" distB="0" distL="0" distR="0" wp14:anchorId="14684ECE" wp14:editId="6F9C9D06">
                  <wp:extent cx="1745032" cy="1721922"/>
                  <wp:effectExtent l="0" t="0" r="7620" b="0"/>
                  <wp:docPr id="1457996748" name="Picture 1457996748"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996748" name="Picture 1457996748" descr="A circular object with a circle in the middl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59859" cy="1736553"/>
                          </a:xfrm>
                          <a:prstGeom prst="rect">
                            <a:avLst/>
                          </a:prstGeom>
                          <a:noFill/>
                        </pic:spPr>
                      </pic:pic>
                    </a:graphicData>
                  </a:graphic>
                </wp:inline>
              </w:drawing>
            </w:r>
          </w:p>
        </w:tc>
        <w:tc>
          <w:tcPr>
            <w:tcW w:w="1667" w:type="pct"/>
          </w:tcPr>
          <w:p w14:paraId="4D4B8895" w14:textId="77777777" w:rsidR="00673405" w:rsidRPr="00FC71BE" w:rsidRDefault="00673405">
            <w:pPr>
              <w:pStyle w:val="Figure"/>
              <w:rPr>
                <w:noProof w:val="0"/>
              </w:rPr>
            </w:pPr>
            <w:r w:rsidRPr="00FC71BE">
              <w:drawing>
                <wp:inline distT="0" distB="0" distL="0" distR="0" wp14:anchorId="2BC64EB8" wp14:editId="30094B5B">
                  <wp:extent cx="1751312" cy="1739735"/>
                  <wp:effectExtent l="0" t="0" r="1905" b="0"/>
                  <wp:docPr id="283114229" name="Picture 283114229"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14229" name="Picture 283114229" descr="A circular object with a circle in the middl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59208" cy="1747579"/>
                          </a:xfrm>
                          <a:prstGeom prst="rect">
                            <a:avLst/>
                          </a:prstGeom>
                          <a:noFill/>
                        </pic:spPr>
                      </pic:pic>
                    </a:graphicData>
                  </a:graphic>
                </wp:inline>
              </w:drawing>
            </w:r>
          </w:p>
        </w:tc>
        <w:tc>
          <w:tcPr>
            <w:tcW w:w="1666" w:type="pct"/>
          </w:tcPr>
          <w:p w14:paraId="65C39D75" w14:textId="77777777" w:rsidR="00673405" w:rsidRPr="00FC71BE" w:rsidRDefault="00673405">
            <w:pPr>
              <w:pStyle w:val="Figure"/>
              <w:rPr>
                <w:noProof w:val="0"/>
              </w:rPr>
            </w:pPr>
            <w:r w:rsidRPr="00FC71BE">
              <w:drawing>
                <wp:inline distT="0" distB="0" distL="0" distR="0" wp14:anchorId="6D4ABD3C" wp14:editId="75F76C79">
                  <wp:extent cx="1769424" cy="1775361"/>
                  <wp:effectExtent l="0" t="0" r="2540" b="0"/>
                  <wp:docPr id="329048560" name="Picture 329048560"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048560" name="Picture 329048560" descr="A circular object with a circle in the middle&#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9695" cy="1785666"/>
                          </a:xfrm>
                          <a:prstGeom prst="rect">
                            <a:avLst/>
                          </a:prstGeom>
                          <a:noFill/>
                        </pic:spPr>
                      </pic:pic>
                    </a:graphicData>
                  </a:graphic>
                </wp:inline>
              </w:drawing>
            </w:r>
          </w:p>
        </w:tc>
      </w:tr>
      <w:tr w:rsidR="00FC71BE" w:rsidRPr="00FC71BE" w14:paraId="64120E3E" w14:textId="77777777">
        <w:tc>
          <w:tcPr>
            <w:tcW w:w="1667" w:type="pct"/>
          </w:tcPr>
          <w:p w14:paraId="71A6C1A8" w14:textId="77777777" w:rsidR="00673405" w:rsidRPr="00FC71BE" w:rsidRDefault="00673405">
            <w:pPr>
              <w:pStyle w:val="Figure"/>
              <w:rPr>
                <w:noProof w:val="0"/>
              </w:rPr>
            </w:pPr>
            <w:r w:rsidRPr="00FC71BE">
              <w:rPr>
                <w:noProof w:val="0"/>
              </w:rPr>
              <w:t>(a) SPM</w:t>
            </w:r>
          </w:p>
        </w:tc>
        <w:tc>
          <w:tcPr>
            <w:tcW w:w="1667" w:type="pct"/>
          </w:tcPr>
          <w:p w14:paraId="25603DB9" w14:textId="77777777" w:rsidR="00673405" w:rsidRPr="00FC71BE" w:rsidRDefault="00673405">
            <w:pPr>
              <w:pStyle w:val="Figure"/>
              <w:rPr>
                <w:noProof w:val="0"/>
              </w:rPr>
            </w:pPr>
            <w:r w:rsidRPr="00FC71BE">
              <w:rPr>
                <w:noProof w:val="0"/>
              </w:rPr>
              <w:t>(b) Inset SPM</w:t>
            </w:r>
          </w:p>
        </w:tc>
        <w:tc>
          <w:tcPr>
            <w:tcW w:w="1666" w:type="pct"/>
          </w:tcPr>
          <w:p w14:paraId="782CA710" w14:textId="77777777" w:rsidR="00673405" w:rsidRPr="00FC71BE" w:rsidRDefault="00673405">
            <w:pPr>
              <w:pStyle w:val="Figure"/>
              <w:rPr>
                <w:noProof w:val="0"/>
              </w:rPr>
            </w:pPr>
            <w:r w:rsidRPr="00FC71BE">
              <w:rPr>
                <w:noProof w:val="0"/>
              </w:rPr>
              <w:t>(c) IPM</w:t>
            </w:r>
          </w:p>
        </w:tc>
      </w:tr>
    </w:tbl>
    <w:p w14:paraId="23B93D10" w14:textId="584CF1C6" w:rsidR="00673405" w:rsidRPr="00FC71BE" w:rsidRDefault="00673405" w:rsidP="00673405">
      <w:pPr>
        <w:pStyle w:val="FigureTitle"/>
        <w:rPr>
          <w:iCs w:val="0"/>
        </w:rPr>
      </w:pPr>
      <w:bookmarkStart w:id="9" w:name="_Ref139368360"/>
      <w:r w:rsidRPr="00FC71BE">
        <w:t xml:space="preserve">Fig. </w:t>
      </w:r>
      <w:fldSimple w:instr=" STYLEREF 1 \s ">
        <w:r w:rsidR="007E62C1" w:rsidRPr="00FC71BE">
          <w:rPr>
            <w:noProof/>
          </w:rPr>
          <w:t>1</w:t>
        </w:r>
      </w:fldSimple>
      <w:r w:rsidRPr="00FC71BE">
        <w:t>.</w:t>
      </w:r>
      <w:fldSimple w:instr=" SEQ Fig. \* ARABIC \s 1 ">
        <w:r w:rsidR="007E62C1" w:rsidRPr="00FC71BE">
          <w:rPr>
            <w:noProof/>
          </w:rPr>
          <w:t>1</w:t>
        </w:r>
      </w:fldSimple>
      <w:bookmarkEnd w:id="9"/>
      <w:r w:rsidRPr="00FC71BE">
        <w:t>. The topologies of rotor-mounted PM machines</w:t>
      </w:r>
      <w:r w:rsidRPr="00FC71BE">
        <w:rPr>
          <w:iCs w:val="0"/>
        </w:rPr>
        <w:t>.</w:t>
      </w:r>
    </w:p>
    <w:p w14:paraId="755AD8DD" w14:textId="3D6001D0" w:rsidR="00416180" w:rsidRPr="00FC71BE" w:rsidRDefault="00416180" w:rsidP="00416180">
      <w:r w:rsidRPr="00FC71BE">
        <w:t xml:space="preserve">Various PM machine topologies have been proposed. One of the popular machine topologies is rotor-mounted PM machines, including, surface-mounted PM (SPM) machines, inset SPM machines, and interior PM (IPM) machines as shown in </w:t>
      </w:r>
      <w:r w:rsidRPr="00FC71BE">
        <w:fldChar w:fldCharType="begin"/>
      </w:r>
      <w:r w:rsidRPr="00FC71BE">
        <w:instrText xml:space="preserve"> REF _Ref139368360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1</w:t>
      </w:r>
      <w:r w:rsidRPr="00FC71BE">
        <w:fldChar w:fldCharType="end"/>
      </w:r>
      <w:r w:rsidRPr="00FC71BE">
        <w:t xml:space="preserve">. It is noteworthy that SPM machines, shown in </w:t>
      </w:r>
      <w:r w:rsidRPr="00FC71BE">
        <w:fldChar w:fldCharType="begin"/>
      </w:r>
      <w:r w:rsidRPr="00FC71BE">
        <w:instrText xml:space="preserve"> REF _Ref139368360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1</w:t>
      </w:r>
      <w:r w:rsidRPr="00FC71BE">
        <w:fldChar w:fldCharType="end"/>
      </w:r>
      <w:r w:rsidRPr="00FC71BE">
        <w:t xml:space="preserve"> (a), feature non-salient rotor cores where arc-shaped PMs are affixed to the rotor's surface. In such configurations, the electromagnetic torque is </w:t>
      </w:r>
      <w:r w:rsidRPr="00FC71BE">
        <w:lastRenderedPageBreak/>
        <w:t xml:space="preserve">solely generated by the magnet torque. In contrast, both the inset SPM machines and IPM machines exhibit magnetic saliency, resulting in reluctance torque </w:t>
      </w:r>
      <w:r w:rsidRPr="00FC71BE">
        <w:fldChar w:fldCharType="begin"/>
      </w:r>
      <w:r w:rsidRPr="00FC71BE">
        <w:instrText xml:space="preserve"> ADDIN EN.CITE &lt;EndNote&gt;&lt;Cite&gt;&lt;Author&gt;Morimoto&lt;/Author&gt;&lt;Year&gt;2007&lt;/Year&gt;&lt;RecNum&gt;76&lt;/RecNum&gt;&lt;DisplayText&gt;[8]&lt;/DisplayText&gt;&lt;record&gt;&lt;rec-number&gt;76&lt;/rec-number&gt;&lt;foreign-keys&gt;&lt;key app="EN" db-id="rf2p5e05jx0x9jep00uvx0s1fvaww2dfa0r9" timestamp="1695810723"&gt;76&lt;/key&gt;&lt;/foreign-keys&gt;&lt;ref-type name="Journal Article"&gt;17&lt;/ref-type&gt;&lt;contributors&gt;&lt;authors&gt;&lt;author&gt;Morimoto, Shigeo&lt;/author&gt;&lt;/authors&gt;&lt;/contributors&gt;&lt;titles&gt;&lt;title&gt;Trend of permanent magnet synchronous machines&lt;/title&gt;&lt;secondary-title&gt;IEEJ Transactions on Electrical and Electronic Engineering&lt;/secondary-title&gt;&lt;/titles&gt;&lt;periodical&gt;&lt;full-title&gt;IEEJ Transactions on Electrical and Electronic Engineering&lt;/full-title&gt;&lt;/periodical&gt;&lt;pages&gt;101-108&lt;/pages&gt;&lt;volume&gt;2&lt;/volume&gt;&lt;number&gt;2&lt;/number&gt;&lt;dates&gt;&lt;year&gt;2007&lt;/year&gt;&lt;/dates&gt;&lt;isbn&gt;1931-4973&lt;/isbn&gt;&lt;urls&gt;&lt;/urls&gt;&lt;/record&gt;&lt;/Cite&gt;&lt;/EndNote&gt;</w:instrText>
      </w:r>
      <w:r w:rsidRPr="00FC71BE">
        <w:fldChar w:fldCharType="separate"/>
      </w:r>
      <w:r w:rsidRPr="00FC71BE">
        <w:t>[8]</w:t>
      </w:r>
      <w:r w:rsidRPr="00FC71BE">
        <w:fldChar w:fldCharType="end"/>
      </w:r>
      <w:r w:rsidRPr="00FC71BE">
        <w:t>.</w:t>
      </w:r>
    </w:p>
    <w:p w14:paraId="70E21922" w14:textId="65D706C7" w:rsidR="00416180" w:rsidRPr="00FC71BE" w:rsidRDefault="00416180" w:rsidP="00416180">
      <w:r w:rsidRPr="00FC71BE">
        <w:t xml:space="preserve">Numerous research has undertaken a comparative study between SPM and IPM machines. In reference to </w:t>
      </w:r>
      <w:r w:rsidRPr="00FC71BE">
        <w:fldChar w:fldCharType="begin"/>
      </w:r>
      <w:r w:rsidRPr="00FC71BE">
        <w:instrText xml:space="preserve"> ADDIN EN.CITE &lt;EndNote&gt;&lt;Cite&gt;&lt;Author&gt;Vagati&lt;/Author&gt;&lt;Year&gt;2010&lt;/Year&gt;&lt;RecNum&gt;78&lt;/RecNum&gt;&lt;DisplayText&gt;[9]&lt;/DisplayText&gt;&lt;record&gt;&lt;rec-number&gt;78&lt;/rec-number&gt;&lt;foreign-keys&gt;&lt;key app="EN" db-id="rf2p5e05jx0x9jep00uvx0s1fvaww2dfa0r9" timestamp="1695824000"&gt;78&lt;/key&gt;&lt;/foreign-keys&gt;&lt;ref-type name="Conference Proceedings"&gt;10&lt;/ref-type&gt;&lt;contributors&gt;&lt;authors&gt;&lt;author&gt;Vagati, Alfredo&lt;/author&gt;&lt;author&gt;Pellegrino, Gianmario&lt;/author&gt;&lt;author&gt;Guglielmi, Paolo&lt;/author&gt;&lt;/authors&gt;&lt;/contributors&gt;&lt;titles&gt;&lt;title&gt;Comparison between SPM and IPM motor drives for EV application&lt;/title&gt;&lt;secondary-title&gt;The XIX International Conference on Electrical Machines-ICEM 2010&lt;/secondary-title&gt;&lt;/titles&gt;&lt;pages&gt;1-6&lt;/pages&gt;&lt;dates&gt;&lt;year&gt;2010&lt;/year&gt;&lt;/dates&gt;&lt;publisher&gt;IEEE&lt;/publisher&gt;&lt;isbn&gt;1424441749&lt;/isbn&gt;&lt;urls&gt;&lt;/urls&gt;&lt;/record&gt;&lt;/Cite&gt;&lt;/EndNote&gt;</w:instrText>
      </w:r>
      <w:r w:rsidRPr="00FC71BE">
        <w:fldChar w:fldCharType="separate"/>
      </w:r>
      <w:r w:rsidRPr="00FC71BE">
        <w:t>[9]</w:t>
      </w:r>
      <w:r w:rsidRPr="00FC71BE">
        <w:fldChar w:fldCharType="end"/>
      </w:r>
      <w:r w:rsidRPr="00FC71BE">
        <w:t xml:space="preserve">, it was highlighted that IPM machines exhibit better overload capabilities compared to SPM machines, both at low and high speed. Notably, IPM machines achieve substantial reductions in PM losses, especially under high-speed conditions. This assertion was corroborated by </w:t>
      </w:r>
      <w:r w:rsidRPr="00FC71BE">
        <w:fldChar w:fldCharType="begin"/>
      </w:r>
      <w:r w:rsidRPr="00FC71BE">
        <w:instrText xml:space="preserve"> ADDIN EN.CITE &lt;EndNote&gt;&lt;Cite&gt;&lt;Author&gt;Reddy&lt;/Author&gt;&lt;Year&gt;2012&lt;/Year&gt;&lt;RecNum&gt;80&lt;/RecNum&gt;&lt;DisplayText&gt;[10]&lt;/DisplayText&gt;&lt;record&gt;&lt;rec-number&gt;80&lt;/rec-number&gt;&lt;foreign-keys&gt;&lt;key app="EN" db-id="rf2p5e05jx0x9jep00uvx0s1fvaww2dfa0r9" timestamp="1695825417"&gt;80&lt;/key&gt;&lt;/foreign-keys&gt;&lt;ref-type name="Journal Article"&gt;17&lt;/ref-type&gt;&lt;contributors&gt;&lt;authors&gt;&lt;author&gt;Reddy, Patel B&lt;/author&gt;&lt;author&gt;El-Refaie, Ayman M&lt;/author&gt;&lt;author&gt;Huh, Kum-Kang&lt;/author&gt;&lt;author&gt;Tangudu, Jagadeesh K&lt;/author&gt;&lt;author&gt;Jahns, Thomas M&lt;/author&gt;&lt;/authors&gt;&lt;/contributors&gt;&lt;titles&gt;&lt;title&gt;Comparison of interior and surface PM machines equipped with fractional-slot concentrated windings for hybrid traction applications&lt;/title&gt;&lt;secondary-title&gt;IEEE Transactions on Energy Conversion&lt;/secondary-title&gt;&lt;/titles&gt;&lt;periodical&gt;&lt;full-title&gt;IEEE Transactions on Energy Conversion&lt;/full-title&gt;&lt;/periodical&gt;&lt;pages&gt;593-602&lt;/pages&gt;&lt;volume&gt;27&lt;/volume&gt;&lt;number&gt;3&lt;/number&gt;&lt;dates&gt;&lt;year&gt;2012&lt;/year&gt;&lt;/dates&gt;&lt;isbn&gt;0885-8969&lt;/isbn&gt;&lt;urls&gt;&lt;/urls&gt;&lt;/record&gt;&lt;/Cite&gt;&lt;/EndNote&gt;</w:instrText>
      </w:r>
      <w:r w:rsidRPr="00FC71BE">
        <w:fldChar w:fldCharType="separate"/>
      </w:r>
      <w:r w:rsidRPr="00FC71BE">
        <w:t>[10]</w:t>
      </w:r>
      <w:r w:rsidRPr="00FC71BE">
        <w:fldChar w:fldCharType="end"/>
      </w:r>
      <w:r w:rsidRPr="00FC71BE">
        <w:t xml:space="preserve">, which also acknowledged that while SPM machines tend to generate higher PM losses, they achieve a notable reduction in iron losses, leading to higher efficiency. </w:t>
      </w:r>
      <w:r w:rsidRPr="00FC71BE">
        <w:fldChar w:fldCharType="begin"/>
      </w:r>
      <w:r w:rsidRPr="00FC71BE">
        <w:instrText xml:space="preserve"> ADDIN EN.CITE &lt;EndNote&gt;&lt;Cite&gt;&lt;Author&gt;Pellegrino&lt;/Author&gt;&lt;Year&gt;2011&lt;/Year&gt;&lt;RecNum&gt;82&lt;/RecNum&gt;&lt;DisplayText&gt;[11]&lt;/DisplayText&gt;&lt;record&gt;&lt;rec-number&gt;82&lt;/rec-number&gt;&lt;foreign-keys&gt;&lt;key app="EN" db-id="rf2p5e05jx0x9jep00uvx0s1fvaww2dfa0r9" timestamp="1695826459"&gt;82&lt;/key&gt;&lt;/foreign-keys&gt;&lt;ref-type name="Journal Article"&gt;17&lt;/ref-type&gt;&lt;contributors&gt;&lt;authors&gt;&lt;author&gt;Pellegrino, Gianmario&lt;/author&gt;&lt;author&gt;Vagati, Alfredo&lt;/author&gt;&lt;author&gt;Guglielmi, Paolo&lt;/author&gt;&lt;author&gt;Boazzo, Barbara&lt;/author&gt;&lt;/authors&gt;&lt;/contributors&gt;&lt;titles&gt;&lt;title&gt;Performance comparison between surface-mounted and interior PM motor drives for electric vehicle application&lt;/title&gt;&lt;secondary-title&gt;IEEE Transactions on Industrial Electronics&lt;/secondary-title&gt;&lt;/titles&gt;&lt;periodical&gt;&lt;full-title&gt;IEEE Transactions on Industrial Electronics&lt;/full-title&gt;&lt;/periodical&gt;&lt;pages&gt;803-811&lt;/pages&gt;&lt;volume&gt;59&lt;/volume&gt;&lt;number&gt;2&lt;/number&gt;&lt;dates&gt;&lt;year&gt;2011&lt;/year&gt;&lt;/dates&gt;&lt;isbn&gt;0278-0046&lt;/isbn&gt;&lt;urls&gt;&lt;/urls&gt;&lt;/record&gt;&lt;/Cite&gt;&lt;/EndNote&gt;</w:instrText>
      </w:r>
      <w:r w:rsidRPr="00FC71BE">
        <w:fldChar w:fldCharType="separate"/>
      </w:r>
      <w:r w:rsidRPr="00FC71BE">
        <w:t>[11]</w:t>
      </w:r>
      <w:r w:rsidRPr="00FC71BE">
        <w:fldChar w:fldCharType="end"/>
      </w:r>
      <w:r w:rsidRPr="00FC71BE">
        <w:t xml:space="preserve"> involved a point that, SPM machines experience additional copper losses when weakening the PM flux at high speed. On the other hand, </w:t>
      </w:r>
      <w:r w:rsidRPr="00FC71BE">
        <w:fldChar w:fldCharType="begin"/>
      </w:r>
      <w:r w:rsidR="00103B0D" w:rsidRPr="00FC71BE">
        <w:instrText xml:space="preserve"> ADDIN EN.CITE &lt;EndNote&gt;&lt;Cite&gt;&lt;Author&gt;Kim&lt;/Author&gt;&lt;Year&gt;2001&lt;/Year&gt;&lt;RecNum&gt;79&lt;/RecNum&gt;&lt;DisplayText&gt;[12]&lt;/DisplayText&gt;&lt;record&gt;&lt;rec-number&gt;79&lt;/rec-number&gt;&lt;foreign-keys&gt;&lt;key app="EN" db-id="rf2p5e05jx0x9jep00uvx0s1fvaww2dfa0r9" timestamp="1695824317"&gt;79&lt;/key&gt;&lt;/foreign-keys&gt;&lt;ref-type name="Journal Article"&gt;17&lt;/ref-type&gt;&lt;contributors&gt;&lt;authors&gt;&lt;author&gt;Kim, Tae Jong&lt;/author&gt;&lt;author&gt;Hwang, Sang Moon&lt;/author&gt;&lt;author&gt;Kim, Kyung Tae&lt;/author&gt;&lt;author&gt;Jung, Weui Bong&lt;/author&gt;&lt;author&gt;Kim, Chul U&lt;/author&gt;&lt;/authors&gt;&lt;/contributors&gt;&lt;titles&gt;&lt;title&gt;Comparison of dynamic responses for IPM and SPM motors by considering mechanical and magnetic coupling&lt;/title&gt;&lt;secondary-title&gt;IEEE Transactions on Magnetics&lt;/secondary-title&gt;&lt;/titles&gt;&lt;periodical&gt;&lt;full-title&gt;IEEE Transactions on Magnetics&lt;/full-title&gt;&lt;/periodical&gt;&lt;pages&gt;2818-2820&lt;/pages&gt;&lt;volume&gt;37&lt;/volume&gt;&lt;number&gt;4&lt;/number&gt;&lt;dates&gt;&lt;year&gt;2001&lt;/year&gt;&lt;/dates&gt;&lt;isbn&gt;0018-9464&lt;/isbn&gt;&lt;urls&gt;&lt;/urls&gt;&lt;/record&gt;&lt;/Cite&gt;&lt;/EndNote&gt;</w:instrText>
      </w:r>
      <w:r w:rsidRPr="00FC71BE">
        <w:fldChar w:fldCharType="separate"/>
      </w:r>
      <w:r w:rsidRPr="00FC71BE">
        <w:t>[12]</w:t>
      </w:r>
      <w:r w:rsidRPr="00FC71BE">
        <w:fldChar w:fldCharType="end"/>
      </w:r>
      <w:r w:rsidRPr="00FC71BE">
        <w:t xml:space="preserve"> emphasized the advantage of SPM machines, particularly their better dynamic responses and fault-tolerant capabilities, mitigating unbalanced forces, particularly in the presence of rotor eccentricity. However, a concern with SPM machines pertains to PM separation due to centrifugal forces under high-speed conditions, an issue that can be eliminated by introducing rotor sleeve </w:t>
      </w:r>
      <w:r w:rsidRPr="00FC71BE">
        <w:fldChar w:fldCharType="begin"/>
      </w:r>
      <w:r w:rsidRPr="00FC71BE">
        <w:instrText xml:space="preserve"> ADDIN EN.CITE &lt;EndNote&gt;&lt;Cite&gt;&lt;Author&gt;Damiano&lt;/Author&gt;&lt;Year&gt;2016&lt;/Year&gt;&lt;RecNum&gt;85&lt;/RecNum&gt;&lt;DisplayText&gt;[13]&lt;/DisplayText&gt;&lt;record&gt;&lt;rec-number&gt;85&lt;/rec-number&gt;&lt;foreign-keys&gt;&lt;key app="EN" db-id="rf2p5e05jx0x9jep00uvx0s1fvaww2dfa0r9" timestamp="1695829288"&gt;85&lt;/key&gt;&lt;/foreign-keys&gt;&lt;ref-type name="Conference Proceedings"&gt;10&lt;/ref-type&gt;&lt;contributors&gt;&lt;authors&gt;&lt;author&gt;Damiano, Alfonso&lt;/author&gt;&lt;author&gt;Floris, Andrea&lt;/author&gt;&lt;author&gt;Fois, Giuseppe&lt;/author&gt;&lt;author&gt;Porru, Mario&lt;/author&gt;&lt;author&gt;Serpi, Alessandro&lt;/author&gt;&lt;/authors&gt;&lt;/contributors&gt;&lt;titles&gt;&lt;title&gt;Modelling and design of PM retention sleeves for High-Speed PM Synchronous Machines&lt;/title&gt;&lt;secondary-title&gt;2016 6th International Electric Drives Production Conference (EDPC)&lt;/secondary-title&gt;&lt;/titles&gt;&lt;pages&gt;118-125&lt;/pages&gt;&lt;dates&gt;&lt;year&gt;2016&lt;/year&gt;&lt;/dates&gt;&lt;publisher&gt;IEEE&lt;/publisher&gt;&lt;isbn&gt;1509029095&lt;/isbn&gt;&lt;urls&gt;&lt;/urls&gt;&lt;/record&gt;&lt;/Cite&gt;&lt;/EndNote&gt;</w:instrText>
      </w:r>
      <w:r w:rsidRPr="00FC71BE">
        <w:fldChar w:fldCharType="separate"/>
      </w:r>
      <w:r w:rsidRPr="00FC71BE">
        <w:t>[13]</w:t>
      </w:r>
      <w:r w:rsidRPr="00FC71BE">
        <w:fldChar w:fldCharType="end"/>
      </w:r>
      <w:r w:rsidRPr="00FC71BE">
        <w:t xml:space="preserve">. Meanwhile, IPM machines face more serious mechanical stress, as noted in </w:t>
      </w:r>
      <w:r w:rsidRPr="00FC71BE">
        <w:fldChar w:fldCharType="begin"/>
      </w:r>
      <w:r w:rsidRPr="00FC71BE">
        <w:instrText xml:space="preserve"> ADDIN EN.CITE &lt;EndNote&gt;&lt;Cite&gt;&lt;Author&gt;He&lt;/Author&gt;&lt;Year&gt;2022&lt;/Year&gt;&lt;RecNum&gt;75&lt;/RecNum&gt;&lt;DisplayText&gt;[7]&lt;/DisplayText&gt;&lt;record&gt;&lt;rec-number&gt;75&lt;/rec-number&gt;&lt;foreign-keys&gt;&lt;key app="EN" db-id="rf2p5e05jx0x9jep00uvx0s1fvaww2dfa0r9" timestamp="1695809800"&gt;75&lt;/key&gt;&lt;/foreign-keys&gt;&lt;ref-type name="Journal Article"&gt;17&lt;/ref-type&gt;&lt;contributors&gt;&lt;authors&gt;&lt;author&gt;He, Tianran&lt;/author&gt;&lt;author&gt;Zhu, Ziqiang&lt;/author&gt;&lt;author&gt;Eastham, Fred&lt;/author&gt;&lt;author&gt;Wang, Yu&lt;/author&gt;&lt;author&gt;Bin, Hong&lt;/author&gt;&lt;author&gt;Wu, Di&lt;/author&gt;&lt;author&gt;Gong, Liming&lt;/author&gt;&lt;author&gt;Chen, Jintao&lt;/author&gt;&lt;/authors&gt;&lt;/contributors&gt;&lt;titles&gt;&lt;title&gt;Permanent magnet machines for high-speed applications&lt;/title&gt;&lt;secondary-title&gt;World Electric Vehicle Journal&lt;/secondary-title&gt;&lt;/titles&gt;&lt;periodical&gt;&lt;full-title&gt;World Electric Vehicle Journal&lt;/full-title&gt;&lt;/periodical&gt;&lt;pages&gt;18&lt;/pages&gt;&lt;volume&gt;13&lt;/volume&gt;&lt;number&gt;1&lt;/number&gt;&lt;dates&gt;&lt;year&gt;2022&lt;/year&gt;&lt;/dates&gt;&lt;isbn&gt;2032-6653&lt;/isbn&gt;&lt;urls&gt;&lt;/urls&gt;&lt;/record&gt;&lt;/Cite&gt;&lt;/EndNote&gt;</w:instrText>
      </w:r>
      <w:r w:rsidRPr="00FC71BE">
        <w:fldChar w:fldCharType="separate"/>
      </w:r>
      <w:r w:rsidRPr="00FC71BE">
        <w:t>[7]</w:t>
      </w:r>
      <w:r w:rsidRPr="00FC71BE">
        <w:fldChar w:fldCharType="end"/>
      </w:r>
      <w:r w:rsidRPr="00FC71BE">
        <w:t xml:space="preserve">, since their rotor iron bridges subject not only the centrifugal forces, but the magnetic force from magnets. In contrast, </w:t>
      </w:r>
      <w:r w:rsidRPr="00FC71BE">
        <w:fldChar w:fldCharType="begin"/>
      </w:r>
      <w:r w:rsidRPr="00FC71BE">
        <w:instrText xml:space="preserve"> ADDIN EN.CITE &lt;EndNote&gt;&lt;Cite&gt;&lt;Author&gt;Fakam&lt;/Author&gt;&lt;Year&gt;2011&lt;/Year&gt;&lt;RecNum&gt;81&lt;/RecNum&gt;&lt;DisplayText&gt;[14]&lt;/DisplayText&gt;&lt;record&gt;&lt;rec-number&gt;81&lt;/rec-number&gt;&lt;foreign-keys&gt;&lt;key app="EN" db-id="rf2p5e05jx0x9jep00uvx0s1fvaww2dfa0r9" timestamp="1695825722"&gt;81&lt;/key&gt;&lt;/foreign-keys&gt;&lt;ref-type name="Conference Proceedings"&gt;10&lt;/ref-type&gt;&lt;contributors&gt;&lt;authors&gt;&lt;author&gt;Fakam, Mathias&lt;/author&gt;&lt;author&gt;Verbeke, Damien&lt;/author&gt;&lt;author&gt;Hecquet, Michel&lt;/author&gt;&lt;author&gt;Lanfranchi, Vincent&lt;/author&gt;&lt;author&gt;Brochet, Pascal&lt;/author&gt;&lt;author&gt;Randria, A&lt;/author&gt;&lt;/authors&gt;&lt;/contributors&gt;&lt;titles&gt;&lt;title&gt;Electromagnetic noise comparaison between’SPM’and’IPM’concentrated winding synchronous machine&lt;/title&gt;&lt;secondary-title&gt;XV International Symposium on Electromagnetic Fields in Mechatronics, Electrical and Electronic Engineering&lt;/secondary-title&gt;&lt;/titles&gt;&lt;dates&gt;&lt;year&gt;2011&lt;/year&gt;&lt;/dates&gt;&lt;urls&gt;&lt;/urls&gt;&lt;/record&gt;&lt;/Cite&gt;&lt;/EndNote&gt;</w:instrText>
      </w:r>
      <w:r w:rsidRPr="00FC71BE">
        <w:fldChar w:fldCharType="separate"/>
      </w:r>
      <w:r w:rsidRPr="00FC71BE">
        <w:t>[14]</w:t>
      </w:r>
      <w:r w:rsidRPr="00FC71BE">
        <w:fldChar w:fldCharType="end"/>
      </w:r>
      <w:r w:rsidRPr="00FC71BE">
        <w:t xml:space="preserve"> showed that higher torque density, while lower vibrations and acoustic noise can be achieved by employing SPM machines. Additionally, </w:t>
      </w:r>
      <w:r w:rsidRPr="00FC71BE">
        <w:fldChar w:fldCharType="begin"/>
      </w:r>
      <w:r w:rsidRPr="00FC71BE">
        <w:instrText xml:space="preserve"> ADDIN EN.CITE &lt;EndNote&gt;&lt;Cite&gt;&lt;Author&gt;Zhao&lt;/Author&gt;&lt;Year&gt;2019&lt;/Year&gt;&lt;RecNum&gt;83&lt;/RecNum&gt;&lt;DisplayText&gt;[15]&lt;/DisplayText&gt;&lt;record&gt;&lt;rec-number&gt;83&lt;/rec-number&gt;&lt;foreign-keys&gt;&lt;key app="EN" db-id="rf2p5e05jx0x9jep00uvx0s1fvaww2dfa0r9" timestamp="1695826957"&gt;83&lt;/key&gt;&lt;/foreign-keys&gt;&lt;ref-type name="Journal Article"&gt;17&lt;/ref-type&gt;&lt;contributors&gt;&lt;authors&gt;&lt;author&gt;Zhao, Nan&lt;/author&gt;&lt;author&gt;Schofield, Nigel&lt;/author&gt;&lt;author&gt;Hu, Yiheng&lt;/author&gt;&lt;/authors&gt;&lt;/contributors&gt;&lt;titles&gt;&lt;title&gt;Phase voltage distortion of IPM and SPM machines with distributed windings in field weakening region&lt;/title&gt;&lt;secondary-title&gt;The Journal of Engineering&lt;/secondary-title&gt;&lt;/titles&gt;&lt;periodical&gt;&lt;full-title&gt;The Journal of Engineering&lt;/full-title&gt;&lt;/periodical&gt;&lt;pages&gt;3872-3877&lt;/pages&gt;&lt;volume&gt;2019&lt;/volume&gt;&lt;number&gt;17&lt;/number&gt;&lt;dates&gt;&lt;year&gt;2019&lt;/year&gt;&lt;/dates&gt;&lt;isbn&gt;2051-3305&lt;/isbn&gt;&lt;urls&gt;&lt;/urls&gt;&lt;/record&gt;&lt;/Cite&gt;&lt;/EndNote&gt;</w:instrText>
      </w:r>
      <w:r w:rsidRPr="00FC71BE">
        <w:fldChar w:fldCharType="separate"/>
      </w:r>
      <w:r w:rsidRPr="00FC71BE">
        <w:t>[15]</w:t>
      </w:r>
      <w:r w:rsidRPr="00FC71BE">
        <w:fldChar w:fldCharType="end"/>
      </w:r>
      <w:r w:rsidRPr="00FC71BE">
        <w:t xml:space="preserve"> proposed that the SPM machines have slight phase voltage distortion, as well lower torque ripple than IPM machines. </w:t>
      </w:r>
      <w:r w:rsidRPr="00FC71BE">
        <w:fldChar w:fldCharType="begin"/>
      </w:r>
      <w:r w:rsidRPr="00FC71BE">
        <w:instrText xml:space="preserve"> ADDIN EN.CITE &lt;EndNote&gt;&lt;Cite&gt;&lt;Author&gt;Chen&lt;/Author&gt;&lt;Year&gt;2014&lt;/Year&gt;&lt;RecNum&gt;84&lt;/RecNum&gt;&lt;DisplayText&gt;[16]&lt;/DisplayText&gt;&lt;record&gt;&lt;rec-number&gt;84&lt;/rec-number&gt;&lt;foreign-keys&gt;&lt;key app="EN" db-id="rf2p5e05jx0x9jep00uvx0s1fvaww2dfa0r9" timestamp="1695828115"&gt;84&lt;/key&gt;&lt;/foreign-keys&gt;&lt;ref-type name="Conference Proceedings"&gt;10&lt;/ref-type&gt;&lt;contributors&gt;&lt;authors&gt;&lt;author&gt;Chen, Hong&lt;/author&gt;&lt;author&gt;Qu, Ronghai&lt;/author&gt;&lt;author&gt;Li, Jian&lt;/author&gt;&lt;author&gt;Zhao, Bo&lt;/author&gt;&lt;/authors&gt;&lt;/contributors&gt;&lt;titles&gt;&lt;title&gt;Comparison of interior and surface permanent magnet machines with fractional slot concentrated windings for direct-drive wind generators&lt;/title&gt;&lt;secondary-title&gt;2014 17th International Conference on Electrical Machines and Systems (ICEMS)&lt;/secondary-title&gt;&lt;/titles&gt;&lt;pages&gt;2612-2617&lt;/pages&gt;&lt;dates&gt;&lt;year&gt;2014&lt;/year&gt;&lt;/dates&gt;&lt;publisher&gt;IEEE&lt;/publisher&gt;&lt;isbn&gt;1479951625&lt;/isbn&gt;&lt;urls&gt;&lt;/urls&gt;&lt;/record&gt;&lt;/Cite&gt;&lt;/EndNote&gt;</w:instrText>
      </w:r>
      <w:r w:rsidRPr="00FC71BE">
        <w:fldChar w:fldCharType="separate"/>
      </w:r>
      <w:r w:rsidRPr="00FC71BE">
        <w:t>[16]</w:t>
      </w:r>
      <w:r w:rsidRPr="00FC71BE">
        <w:fldChar w:fldCharType="end"/>
      </w:r>
      <w:r w:rsidRPr="00FC71BE">
        <w:t>, in a comparison between SPM and IPM machines using large-scale 7MW PM generators, concluded that SPM machines offer advantages in terms of reduced weight and cost, as well as improved demagnetization withstand capability.</w:t>
      </w:r>
    </w:p>
    <w:p w14:paraId="2CEB0F49" w14:textId="6E6EA06A" w:rsidR="00416180" w:rsidRPr="00FC71BE" w:rsidRDefault="00416180" w:rsidP="00416180">
      <w:r w:rsidRPr="00FC71BE">
        <w:t xml:space="preserve">IPM machines provide more degree of freedom for machine designs when it comes to rotor structures, a factor that affects several important EM characteristics of machines. These characteristics include torque density, cogging torque, and torque-speed range. Thus, different IPM machines can be implemented to meeting various requirements during industrial applications </w:t>
      </w:r>
      <w:r w:rsidRPr="00FC71BE">
        <w:fldChar w:fldCharType="begin"/>
      </w:r>
      <w:r w:rsidRPr="00FC71BE">
        <w:instrText xml:space="preserve"> ADDIN EN.CITE &lt;EndNote&gt;&lt;Cite&gt;&lt;Author&gt;Morimoto&lt;/Author&gt;&lt;Year&gt;2007&lt;/Year&gt;&lt;RecNum&gt;76&lt;/RecNum&gt;&lt;DisplayText&gt;[8]&lt;/DisplayText&gt;&lt;record&gt;&lt;rec-number&gt;76&lt;/rec-number&gt;&lt;foreign-keys&gt;&lt;key app="EN" db-id="rf2p5e05jx0x9jep00uvx0s1fvaww2dfa0r9" timestamp="1695810723"&gt;76&lt;/key&gt;&lt;/foreign-keys&gt;&lt;ref-type name="Journal Article"&gt;17&lt;/ref-type&gt;&lt;contributors&gt;&lt;authors&gt;&lt;author&gt;Morimoto, Shigeo&lt;/author&gt;&lt;/authors&gt;&lt;/contributors&gt;&lt;titles&gt;&lt;title&gt;Trend of permanent magnet synchronous machines&lt;/title&gt;&lt;secondary-title&gt;IEEJ Transactions on Electrical and Electronic Engineering&lt;/secondary-title&gt;&lt;/titles&gt;&lt;periodical&gt;&lt;full-title&gt;IEEJ Transactions on Electrical and Electronic Engineering&lt;/full-title&gt;&lt;/periodical&gt;&lt;pages&gt;101-108&lt;/pages&gt;&lt;volume&gt;2&lt;/volume&gt;&lt;number&gt;2&lt;/number&gt;&lt;dates&gt;&lt;year&gt;2007&lt;/year&gt;&lt;/dates&gt;&lt;isbn&gt;1931-4973&lt;/isbn&gt;&lt;urls&gt;&lt;/urls&gt;&lt;/record&gt;&lt;/Cite&gt;&lt;/EndNote&gt;</w:instrText>
      </w:r>
      <w:r w:rsidRPr="00FC71BE">
        <w:fldChar w:fldCharType="separate"/>
      </w:r>
      <w:r w:rsidRPr="00FC71BE">
        <w:t>[8]</w:t>
      </w:r>
      <w:r w:rsidRPr="00FC71BE">
        <w:fldChar w:fldCharType="end"/>
      </w:r>
      <w:r w:rsidRPr="00FC71BE">
        <w:t xml:space="preserve">. Progressed from basic concept of flat magnets </w:t>
      </w:r>
      <w:r w:rsidRPr="00FC71BE">
        <w:fldChar w:fldCharType="begin"/>
      </w:r>
      <w:r w:rsidRPr="00FC71BE">
        <w:instrText xml:space="preserve"> ADDIN EN.CITE &lt;EndNote&gt;&lt;Cite&gt;&lt;Author&gt;Dutta&lt;/Author&gt;&lt;Year&gt;2008&lt;/Year&gt;&lt;RecNum&gt;89&lt;/RecNum&gt;&lt;DisplayText&gt;[17]&lt;/DisplayText&gt;&lt;record&gt;&lt;rec-number&gt;89&lt;/rec-number&gt;&lt;foreign-keys&gt;&lt;key app="EN" db-id="rf2p5e05jx0x9jep00uvx0s1fvaww2dfa0r9" timestamp="1695832922"&gt;89&lt;/key&gt;&lt;/foreign-keys&gt;&lt;ref-type name="Journal Article"&gt;17&lt;/ref-type&gt;&lt;contributors&gt;&lt;authors&gt;&lt;author&gt;Dutta, Rukmi&lt;/author&gt;&lt;author&gt;Rahman, MF&lt;/author&gt;&lt;/authors&gt;&lt;/contributors&gt;&lt;titles&gt;&lt;title&gt;Design and analysis of an interior permanent magnet (IPM) machine with very wide constant power operation range&lt;/title&gt;&lt;secondary-title&gt;IEEE Transactions on Energy Conversion&lt;/secondary-title&gt;&lt;/titles&gt;&lt;periodical&gt;&lt;full-title&gt;IEEE Transactions on Energy Conversion&lt;/full-title&gt;&lt;/periodical&gt;&lt;pages&gt;25-33&lt;/pages&gt;&lt;volume&gt;23&lt;/volume&gt;&lt;number&gt;1&lt;/number&gt;&lt;dates&gt;&lt;year&gt;2008&lt;/year&gt;&lt;/dates&gt;&lt;isbn&gt;0885-8969&lt;/isbn&gt;&lt;urls&gt;&lt;/urls&gt;&lt;/record&gt;&lt;/Cite&gt;&lt;/EndNote&gt;</w:instrText>
      </w:r>
      <w:r w:rsidRPr="00FC71BE">
        <w:fldChar w:fldCharType="separate"/>
      </w:r>
      <w:r w:rsidRPr="00FC71BE">
        <w:t>[17]</w:t>
      </w:r>
      <w:r w:rsidRPr="00FC71BE">
        <w:fldChar w:fldCharType="end"/>
      </w:r>
      <w:r w:rsidRPr="00FC71BE">
        <w:t xml:space="preserve"> as shown in </w:t>
      </w:r>
      <w:r w:rsidRPr="00FC71BE">
        <w:fldChar w:fldCharType="begin"/>
      </w:r>
      <w:r w:rsidRPr="00FC71BE">
        <w:instrText xml:space="preserve"> REF _Ref139368360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1</w:t>
      </w:r>
      <w:r w:rsidRPr="00FC71BE">
        <w:fldChar w:fldCharType="end"/>
      </w:r>
      <w:r w:rsidRPr="00FC71BE">
        <w:t xml:space="preserve"> (c), IPM machines have evolved to encompass a diverse array of rotor configurations. These various rotor configurations and their associated advantages are listed in </w:t>
      </w:r>
      <w:r w:rsidRPr="00FC71BE">
        <w:fldChar w:fldCharType="begin"/>
      </w:r>
      <w:r w:rsidRPr="00FC71BE">
        <w:instrText xml:space="preserve"> REF _Ref139980866 \h </w:instrText>
      </w:r>
      <w:r w:rsidRPr="00FC71BE">
        <w:fldChar w:fldCharType="separate"/>
      </w:r>
      <w:r w:rsidR="007E62C1" w:rsidRPr="00FC71BE">
        <w:t xml:space="preserve">Table </w:t>
      </w:r>
      <w:r w:rsidR="007E62C1" w:rsidRPr="00FC71BE">
        <w:rPr>
          <w:noProof/>
        </w:rPr>
        <w:t>1</w:t>
      </w:r>
      <w:r w:rsidR="007E62C1" w:rsidRPr="00FC71BE">
        <w:t>.</w:t>
      </w:r>
      <w:r w:rsidR="007E62C1" w:rsidRPr="00FC71BE">
        <w:rPr>
          <w:noProof/>
        </w:rPr>
        <w:t>1</w:t>
      </w:r>
      <w:r w:rsidRPr="00FC71BE">
        <w:fldChar w:fldCharType="end"/>
      </w:r>
      <w:r w:rsidRPr="00FC71BE">
        <w:t xml:space="preserve">. Remarkably, certain IPM machine designs are capable of achieving exceptionally high reluctance torque, often reaching values in the range of 40% to 50% or even higher of the total torque </w:t>
      </w:r>
      <w:r w:rsidRPr="00FC71BE">
        <w:fldChar w:fldCharType="begin"/>
      </w:r>
      <w:r w:rsidRPr="00FC71BE">
        <w:instrText xml:space="preserve"> ADDIN EN.CITE &lt;EndNote&gt;&lt;Cite&gt;&lt;Author&gt;Dutta&lt;/Author&gt;&lt;Year&gt;2008&lt;/Year&gt;&lt;RecNum&gt;89&lt;/RecNum&gt;&lt;DisplayText&gt;[17, 18]&lt;/DisplayText&gt;&lt;record&gt;&lt;rec-number&gt;89&lt;/rec-number&gt;&lt;foreign-keys&gt;&lt;key app="EN" db-id="rf2p5e05jx0x9jep00uvx0s1fvaww2dfa0r9" timestamp="1695832922"&gt;89&lt;/key&gt;&lt;/foreign-keys&gt;&lt;ref-type name="Journal Article"&gt;17&lt;/ref-type&gt;&lt;contributors&gt;&lt;authors&gt;&lt;author&gt;Dutta, Rukmi&lt;/author&gt;&lt;author&gt;Rahman, MF&lt;/author&gt;&lt;/authors&gt;&lt;/contributors&gt;&lt;titles&gt;&lt;title&gt;Design and analysis of an interior permanent magnet (IPM) machine with very wide constant power operation range&lt;/title&gt;&lt;secondary-title&gt;IEEE Transactions on Energy Conversion&lt;/secondary-title&gt;&lt;/titles&gt;&lt;periodical&gt;&lt;full-title&gt;IEEE Transactions on Energy Conversion&lt;/full-title&gt;&lt;/periodical&gt;&lt;pages&gt;25-33&lt;/pages&gt;&lt;volume&gt;23&lt;/volume&gt;&lt;number&gt;1&lt;/number&gt;&lt;dates&gt;&lt;year&gt;2008&lt;/year&gt;&lt;/dates&gt;&lt;isbn&gt;0885-8969&lt;/isbn&gt;&lt;urls&gt;&lt;/urls&gt;&lt;/record&gt;&lt;/Cite&gt;&lt;Cite&gt;&lt;Author&gt;Agamloh&lt;/Author&gt;&lt;Year&gt;2020&lt;/Year&gt;&lt;RecNum&gt;86&lt;/RecNum&gt;&lt;record&gt;&lt;rec-number&gt;86&lt;/rec-number&gt;&lt;foreign-keys&gt;&lt;key app="EN" db-id="rf2p5e05jx0x9jep00uvx0s1fvaww2dfa0r9" timestamp="1695832535"&gt;86&lt;/key&gt;&lt;/foreign-keys&gt;&lt;ref-type name="Journal Article"&gt;17&lt;/ref-type&gt;&lt;contributors&gt;&lt;authors&gt;&lt;author&gt;Agamloh, Emmanuel&lt;/author&gt;&lt;author&gt;Von Jouanne, Annette&lt;/author&gt;&lt;author&gt;Yokochi, Alexandre&lt;/author&gt;&lt;/authors&gt;&lt;/contributors&gt;&lt;titles&gt;&lt;title&gt;An overview of electric machine trends in modern electric vehicles&lt;/title&gt;&lt;secondary-title&gt;Machines&lt;/secondary-title&gt;&lt;/titles&gt;&lt;periodical&gt;&lt;full-title&gt;Machines&lt;/full-title&gt;&lt;/periodical&gt;&lt;pages&gt;20&lt;/pages&gt;&lt;volume&gt;8&lt;/volume&gt;&lt;number&gt;2&lt;/number&gt;&lt;dates&gt;&lt;year&gt;2020&lt;/year&gt;&lt;/dates&gt;&lt;isbn&gt;2075-1702&lt;/isbn&gt;&lt;urls&gt;&lt;/urls&gt;&lt;/record&gt;&lt;/Cite&gt;&lt;/EndNote&gt;</w:instrText>
      </w:r>
      <w:r w:rsidRPr="00FC71BE">
        <w:fldChar w:fldCharType="separate"/>
      </w:r>
      <w:r w:rsidRPr="00FC71BE">
        <w:t>[17, 18]</w:t>
      </w:r>
      <w:r w:rsidRPr="00FC71BE">
        <w:fldChar w:fldCharType="end"/>
      </w:r>
      <w:r w:rsidRPr="00FC71BE">
        <w:t>. This attractive feature has contributed significantly to growing popularity of IPM machines.</w:t>
      </w:r>
    </w:p>
    <w:p w14:paraId="50B62694" w14:textId="09B9653F" w:rsidR="00416180" w:rsidRPr="00FC71BE" w:rsidRDefault="00416180" w:rsidP="00416180">
      <w:pPr>
        <w:pStyle w:val="Tabletitle"/>
        <w:rPr>
          <w:color w:val="auto"/>
        </w:rPr>
      </w:pPr>
      <w:bookmarkStart w:id="10" w:name="_Ref139980866"/>
      <w:bookmarkStart w:id="11" w:name="_Ref90777594"/>
      <w:bookmarkStart w:id="12" w:name="_Hlk54643459"/>
      <w:r w:rsidRPr="00FC71BE">
        <w:rPr>
          <w:color w:val="auto"/>
        </w:rPr>
        <w:lastRenderedPageBreak/>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1</w:t>
      </w:r>
      <w:r w:rsidR="002839C4" w:rsidRPr="00FC71BE">
        <w:rPr>
          <w:color w:val="auto"/>
        </w:rPr>
        <w:fldChar w:fldCharType="end"/>
      </w:r>
      <w:bookmarkEnd w:id="10"/>
      <w:r w:rsidRPr="00FC71BE">
        <w:rPr>
          <w:color w:val="auto"/>
        </w:rPr>
        <w:t xml:space="preserve">  </w:t>
      </w:r>
      <w:bookmarkEnd w:id="11"/>
      <w:bookmarkEnd w:id="12"/>
      <w:r w:rsidRPr="00FC71BE">
        <w:rPr>
          <w:color w:val="auto"/>
        </w:rPr>
        <w:t>Advantages of Different Rotor Configurations for IPM Machines</w:t>
      </w:r>
    </w:p>
    <w:tbl>
      <w:tblPr>
        <w:tblStyle w:val="TableGrid"/>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748"/>
        <w:gridCol w:w="1330"/>
        <w:gridCol w:w="5948"/>
      </w:tblGrid>
      <w:tr w:rsidR="00FC71BE" w:rsidRPr="00FC71BE" w14:paraId="724F8A80" w14:textId="77777777">
        <w:tc>
          <w:tcPr>
            <w:tcW w:w="968" w:type="pct"/>
            <w:tcBorders>
              <w:top w:val="double" w:sz="4" w:space="0" w:color="auto"/>
              <w:bottom w:val="single" w:sz="4" w:space="0" w:color="auto"/>
            </w:tcBorders>
          </w:tcPr>
          <w:p w14:paraId="76F2EB68" w14:textId="77777777" w:rsidR="00416180" w:rsidRPr="00FC71BE" w:rsidRDefault="00416180" w:rsidP="00257003">
            <w:pPr>
              <w:pStyle w:val="Table"/>
              <w:rPr>
                <w:color w:val="auto"/>
              </w:rPr>
            </w:pPr>
            <w:r w:rsidRPr="00FC71BE">
              <w:rPr>
                <w:color w:val="auto"/>
              </w:rPr>
              <w:t>Types of PM</w:t>
            </w:r>
          </w:p>
        </w:tc>
        <w:tc>
          <w:tcPr>
            <w:tcW w:w="737" w:type="pct"/>
            <w:tcBorders>
              <w:top w:val="double" w:sz="4" w:space="0" w:color="auto"/>
              <w:bottom w:val="single" w:sz="4" w:space="0" w:color="auto"/>
            </w:tcBorders>
          </w:tcPr>
          <w:p w14:paraId="603DE758" w14:textId="77777777" w:rsidR="00416180" w:rsidRPr="00FC71BE" w:rsidRDefault="00416180" w:rsidP="00257003">
            <w:pPr>
              <w:pStyle w:val="Table"/>
              <w:rPr>
                <w:color w:val="auto"/>
              </w:rPr>
            </w:pPr>
            <w:r w:rsidRPr="00FC71BE">
              <w:rPr>
                <w:color w:val="auto"/>
              </w:rPr>
              <w:t>Reference</w:t>
            </w:r>
          </w:p>
        </w:tc>
        <w:tc>
          <w:tcPr>
            <w:tcW w:w="3295" w:type="pct"/>
            <w:tcBorders>
              <w:top w:val="double" w:sz="4" w:space="0" w:color="auto"/>
              <w:bottom w:val="single" w:sz="4" w:space="0" w:color="auto"/>
            </w:tcBorders>
          </w:tcPr>
          <w:p w14:paraId="41E110D5" w14:textId="77777777" w:rsidR="00416180" w:rsidRPr="00FC71BE" w:rsidRDefault="00416180" w:rsidP="00257003">
            <w:pPr>
              <w:pStyle w:val="Table"/>
              <w:rPr>
                <w:color w:val="auto"/>
              </w:rPr>
            </w:pPr>
            <w:r w:rsidRPr="00FC71BE">
              <w:rPr>
                <w:color w:val="auto"/>
              </w:rPr>
              <w:t>Advantages</w:t>
            </w:r>
          </w:p>
        </w:tc>
      </w:tr>
      <w:tr w:rsidR="00FC71BE" w:rsidRPr="00FC71BE" w14:paraId="35C7A56A" w14:textId="77777777">
        <w:tc>
          <w:tcPr>
            <w:tcW w:w="968" w:type="pct"/>
            <w:tcBorders>
              <w:top w:val="single" w:sz="4" w:space="0" w:color="auto"/>
            </w:tcBorders>
          </w:tcPr>
          <w:p w14:paraId="70814982" w14:textId="77777777" w:rsidR="00416180" w:rsidRPr="00FC71BE" w:rsidRDefault="00416180" w:rsidP="00257003">
            <w:pPr>
              <w:pStyle w:val="Table"/>
              <w:rPr>
                <w:color w:val="auto"/>
              </w:rPr>
            </w:pPr>
            <w:r w:rsidRPr="00FC71BE">
              <w:rPr>
                <w:color w:val="auto"/>
              </w:rPr>
              <w:t>V-shaped</w:t>
            </w:r>
          </w:p>
        </w:tc>
        <w:tc>
          <w:tcPr>
            <w:tcW w:w="737" w:type="pct"/>
            <w:tcBorders>
              <w:top w:val="single" w:sz="4" w:space="0" w:color="auto"/>
            </w:tcBorders>
          </w:tcPr>
          <w:p w14:paraId="2AEDE78E" w14:textId="77777777" w:rsidR="00416180" w:rsidRPr="00FC71BE" w:rsidRDefault="00416180" w:rsidP="00257003">
            <w:pPr>
              <w:pStyle w:val="Table"/>
              <w:rPr>
                <w:color w:val="auto"/>
              </w:rPr>
            </w:pPr>
            <w:r w:rsidRPr="00FC71BE">
              <w:rPr>
                <w:color w:val="auto"/>
              </w:rPr>
              <w:fldChar w:fldCharType="begin"/>
            </w:r>
            <w:r w:rsidRPr="00FC71BE">
              <w:rPr>
                <w:color w:val="auto"/>
              </w:rPr>
              <w:instrText xml:space="preserve"> ADDIN EN.CITE &lt;EndNote&gt;&lt;Cite&gt;&lt;Author&gt;Husain&lt;/Author&gt;&lt;Year&gt;2019&lt;/Year&gt;&lt;RecNum&gt;96&lt;/RecNum&gt;&lt;DisplayText&gt;[19, 20]&lt;/DisplayText&gt;&lt;record&gt;&lt;rec-number&gt;96&lt;/rec-number&gt;&lt;foreign-keys&gt;&lt;key app="EN" db-id="rf2p5e05jx0x9jep00uvx0s1fvaww2dfa0r9" timestamp="1695905334"&gt;96&lt;/key&gt;&lt;/foreign-keys&gt;&lt;ref-type name="Conference Proceedings"&gt;10&lt;/ref-type&gt;&lt;contributors&gt;&lt;authors&gt;&lt;author&gt;Husain, Tausif&lt;/author&gt;&lt;author&gt;Lee, Seong T&lt;/author&gt;&lt;/authors&gt;&lt;/contributors&gt;&lt;titles&gt;&lt;title&gt;Design considerations for magnet configurations in IPM rotor for high speed traction applications&lt;/title&gt;&lt;secondary-title&gt;2019 IEEE Energy Conversion Congress and Exposition (ECCE)&lt;/secondary-title&gt;&lt;/titles&gt;&lt;pages&gt;6062-6069&lt;/pages&gt;&lt;dates&gt;&lt;year&gt;2019&lt;/year&gt;&lt;/dates&gt;&lt;publisher&gt;IEEE&lt;/publisher&gt;&lt;isbn&gt;1728103959&lt;/isbn&gt;&lt;urls&gt;&lt;/urls&gt;&lt;/record&gt;&lt;/Cite&gt;&lt;Cite&gt;&lt;Author&gt;Guo&lt;/Author&gt;&lt;Year&gt;2009&lt;/Year&gt;&lt;RecNum&gt;91&lt;/RecNum&gt;&lt;record&gt;&lt;rec-number&gt;91&lt;/rec-number&gt;&lt;foreign-keys&gt;&lt;key app="EN" db-id="rf2p5e05jx0x9jep00uvx0s1fvaww2dfa0r9" timestamp="1695902262"&gt;91&lt;/key&gt;&lt;/foreign-keys&gt;&lt;ref-type name="Conference Proceedings"&gt;10&lt;/ref-type&gt;&lt;contributors&gt;&lt;authors&gt;&lt;author&gt;Guo, Lusu&lt;/author&gt;&lt;author&gt;Parsa, Leila&lt;/author&gt;&lt;/authors&gt;&lt;/contributors&gt;&lt;titles&gt;&lt;title&gt;Effects of magnet shape on torque characteristics of interior permanent magnet machines&lt;/title&gt;&lt;secondary-title&gt;2009 IEEE Electric Ship Technologies Symposium&lt;/secondary-title&gt;&lt;/titles&gt;&lt;pages&gt;93-97&lt;/pages&gt;&lt;dates&gt;&lt;year&gt;2009&lt;/year&gt;&lt;/dates&gt;&lt;publisher&gt;IEEE&lt;/publisher&gt;&lt;isbn&gt;1424434386&lt;/isbn&gt;&lt;urls&gt;&lt;/urls&gt;&lt;/record&gt;&lt;/Cite&gt;&lt;/EndNote&gt;</w:instrText>
            </w:r>
            <w:r w:rsidRPr="00FC71BE">
              <w:rPr>
                <w:color w:val="auto"/>
              </w:rPr>
              <w:fldChar w:fldCharType="separate"/>
            </w:r>
            <w:r w:rsidRPr="00FC71BE">
              <w:rPr>
                <w:color w:val="auto"/>
              </w:rPr>
              <w:t>[19, 20]</w:t>
            </w:r>
            <w:r w:rsidRPr="00FC71BE">
              <w:rPr>
                <w:color w:val="auto"/>
              </w:rPr>
              <w:fldChar w:fldCharType="end"/>
            </w:r>
          </w:p>
        </w:tc>
        <w:tc>
          <w:tcPr>
            <w:tcW w:w="3295" w:type="pct"/>
            <w:tcBorders>
              <w:top w:val="single" w:sz="4" w:space="0" w:color="auto"/>
            </w:tcBorders>
          </w:tcPr>
          <w:p w14:paraId="03D8F8A6" w14:textId="77777777" w:rsidR="00416180" w:rsidRPr="00FC71BE" w:rsidRDefault="00416180" w:rsidP="00257003">
            <w:pPr>
              <w:pStyle w:val="Table"/>
              <w:rPr>
                <w:color w:val="auto"/>
              </w:rPr>
            </w:pPr>
            <w:r w:rsidRPr="00FC71BE">
              <w:rPr>
                <w:color w:val="auto"/>
              </w:rPr>
              <w:t>Improved average torque</w:t>
            </w:r>
          </w:p>
        </w:tc>
      </w:tr>
      <w:tr w:rsidR="00FC71BE" w:rsidRPr="00FC71BE" w14:paraId="572FEB8A" w14:textId="77777777">
        <w:tc>
          <w:tcPr>
            <w:tcW w:w="968" w:type="pct"/>
          </w:tcPr>
          <w:p w14:paraId="47219452" w14:textId="77777777" w:rsidR="00416180" w:rsidRPr="00FC71BE" w:rsidRDefault="00416180" w:rsidP="00257003">
            <w:pPr>
              <w:pStyle w:val="Table"/>
              <w:rPr>
                <w:color w:val="auto"/>
              </w:rPr>
            </w:pPr>
            <w:r w:rsidRPr="00FC71BE">
              <w:rPr>
                <w:color w:val="auto"/>
              </w:rPr>
              <w:t>U-shaped</w:t>
            </w:r>
          </w:p>
        </w:tc>
        <w:tc>
          <w:tcPr>
            <w:tcW w:w="737" w:type="pct"/>
          </w:tcPr>
          <w:p w14:paraId="6E43EC32" w14:textId="77777777" w:rsidR="00416180" w:rsidRPr="00FC71BE" w:rsidRDefault="00416180" w:rsidP="00257003">
            <w:pPr>
              <w:pStyle w:val="Table"/>
              <w:rPr>
                <w:color w:val="auto"/>
              </w:rPr>
            </w:pPr>
            <w:r w:rsidRPr="00FC71BE">
              <w:rPr>
                <w:color w:val="auto"/>
              </w:rPr>
              <w:fldChar w:fldCharType="begin">
                <w:fldData xml:space="preserve">PEVuZE5vdGU+PENpdGU+PEF1dGhvcj5IYWpkaW5qYWs8L0F1dGhvcj48WWVhcj4yMDE5PC9ZZWFy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</w:fldData>
              </w:fldChar>
            </w:r>
            <w:r w:rsidRPr="00FC71BE">
              <w:rPr>
                <w:color w:val="auto"/>
              </w:rPr>
              <w:instrText xml:space="preserve"> ADDIN EN.CITE </w:instrText>
            </w:r>
            <w:r w:rsidRPr="00FC71BE">
              <w:rPr>
                <w:color w:val="auto"/>
              </w:rPr>
              <w:fldChar w:fldCharType="begin">
                <w:fldData xml:space="preserve">PEVuZE5vdGU+PENpdGU+PEF1dGhvcj5IYWpkaW5qYWs8L0F1dGhvcj48WWVhcj4yMDE5PC9ZZWFy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</w:fldData>
              </w:fldChar>
            </w:r>
            <w:r w:rsidRPr="00FC71BE">
              <w:rPr>
                <w:color w:val="auto"/>
              </w:rPr>
              <w:instrText xml:space="preserve"> ADDIN EN.CITE.DATA </w:instrText>
            </w:r>
            <w:r w:rsidRPr="00FC71BE">
              <w:rPr>
                <w:color w:val="auto"/>
              </w:rPr>
            </w:r>
            <w:r w:rsidRPr="00FC71BE">
              <w:rPr>
                <w:color w:val="auto"/>
              </w:rPr>
              <w:fldChar w:fldCharType="end"/>
            </w:r>
            <w:r w:rsidRPr="00FC71BE">
              <w:rPr>
                <w:color w:val="auto"/>
              </w:rPr>
            </w:r>
            <w:r w:rsidRPr="00FC71BE">
              <w:rPr>
                <w:color w:val="auto"/>
              </w:rPr>
              <w:fldChar w:fldCharType="separate"/>
            </w:r>
            <w:r w:rsidRPr="00FC71BE">
              <w:rPr>
                <w:color w:val="auto"/>
              </w:rPr>
              <w:t>[19-22]</w:t>
            </w:r>
            <w:r w:rsidRPr="00FC71BE">
              <w:rPr>
                <w:color w:val="auto"/>
              </w:rPr>
              <w:fldChar w:fldCharType="end"/>
            </w:r>
          </w:p>
        </w:tc>
        <w:tc>
          <w:tcPr>
            <w:tcW w:w="3295" w:type="pct"/>
          </w:tcPr>
          <w:p w14:paraId="3EC93546" w14:textId="77777777" w:rsidR="00416180" w:rsidRPr="00FC71BE" w:rsidRDefault="00416180" w:rsidP="00257003">
            <w:pPr>
              <w:pStyle w:val="Table"/>
              <w:rPr>
                <w:color w:val="auto"/>
              </w:rPr>
            </w:pPr>
            <w:r w:rsidRPr="00FC71BE">
              <w:rPr>
                <w:color w:val="auto"/>
              </w:rPr>
              <w:t>High torque with low torque ripple</w:t>
            </w:r>
          </w:p>
          <w:p w14:paraId="480D82B0" w14:textId="77777777" w:rsidR="00416180" w:rsidRPr="00FC71BE" w:rsidRDefault="00416180" w:rsidP="00257003">
            <w:pPr>
              <w:pStyle w:val="Table"/>
              <w:rPr>
                <w:color w:val="auto"/>
              </w:rPr>
            </w:pPr>
            <w:r w:rsidRPr="00FC71BE">
              <w:rPr>
                <w:color w:val="auto"/>
              </w:rPr>
              <w:t>Low PM losses</w:t>
            </w:r>
          </w:p>
          <w:p w14:paraId="495B85FC" w14:textId="77777777" w:rsidR="00416180" w:rsidRPr="00FC71BE" w:rsidRDefault="00416180" w:rsidP="00257003">
            <w:pPr>
              <w:pStyle w:val="Table"/>
              <w:rPr>
                <w:color w:val="auto"/>
              </w:rPr>
            </w:pPr>
            <w:r w:rsidRPr="00FC71BE">
              <w:rPr>
                <w:color w:val="auto"/>
              </w:rPr>
              <w:t>High efficiency</w:t>
            </w:r>
          </w:p>
        </w:tc>
      </w:tr>
      <w:tr w:rsidR="00FC71BE" w:rsidRPr="00FC71BE" w14:paraId="32E86C37" w14:textId="77777777">
        <w:tc>
          <w:tcPr>
            <w:tcW w:w="968" w:type="pct"/>
          </w:tcPr>
          <w:p w14:paraId="646BE28D" w14:textId="77777777" w:rsidR="00416180" w:rsidRPr="00FC71BE" w:rsidRDefault="00416180" w:rsidP="00257003">
            <w:pPr>
              <w:pStyle w:val="Table"/>
              <w:rPr>
                <w:color w:val="auto"/>
              </w:rPr>
            </w:pPr>
            <m:oMath>
              <m:r>
                <m:rPr>
                  <m:sty m:val="p"/>
                </m:rPr>
                <w:rPr>
                  <w:rFonts w:ascii="Cambria Math" w:hAnsi="Cambria Math"/>
                  <w:color w:val="auto"/>
                </w:rPr>
                <m:t>∇</m:t>
              </m:r>
            </m:oMath>
            <w:r w:rsidRPr="00FC71BE">
              <w:rPr>
                <w:color w:val="auto"/>
              </w:rPr>
              <w:t>-shaped</w:t>
            </w:r>
          </w:p>
        </w:tc>
        <w:tc>
          <w:tcPr>
            <w:tcW w:w="737" w:type="pct"/>
          </w:tcPr>
          <w:p w14:paraId="19DF17C3" w14:textId="50DB6816" w:rsidR="00416180" w:rsidRPr="00FC71BE" w:rsidRDefault="00416180" w:rsidP="00257003">
            <w:pPr>
              <w:pStyle w:val="Table"/>
              <w:rPr>
                <w:color w:val="auto"/>
              </w:rPr>
            </w:pPr>
            <w:r w:rsidRPr="00FC71BE">
              <w:rPr>
                <w:color w:val="auto"/>
              </w:rPr>
              <w:fldChar w:fldCharType="begin">
                <w:fldData xml:space="preserve">PEVuZE5vdGU+PENpdGU+PEF1dGhvcj5DaGFyaWg8L0F1dGhvcj48WWVhcj4yMDEyPC9ZZWFyPjxS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</w:fldData>
              </w:fldChar>
            </w:r>
            <w:r w:rsidR="00103B0D" w:rsidRPr="00FC71BE">
              <w:rPr>
                <w:color w:val="auto"/>
              </w:rPr>
              <w:instrText xml:space="preserve"> ADDIN EN.CITE </w:instrText>
            </w:r>
            <w:r w:rsidR="00103B0D" w:rsidRPr="00FC71BE">
              <w:rPr>
                <w:color w:val="auto"/>
              </w:rPr>
              <w:fldChar w:fldCharType="begin">
                <w:fldData xml:space="preserve">PEVuZE5vdGU+PENpdGU+PEF1dGhvcj5DaGFyaWg8L0F1dGhvcj48WWVhcj4yMDEyPC9ZZWFyPjxS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</w:fldData>
              </w:fldChar>
            </w:r>
            <w:r w:rsidR="00103B0D" w:rsidRPr="00FC71BE">
              <w:rPr>
                <w:color w:val="auto"/>
              </w:rPr>
              <w:instrText xml:space="preserve"> ADDIN EN.CITE.DATA </w:instrText>
            </w:r>
            <w:r w:rsidR="00103B0D" w:rsidRPr="00FC71BE">
              <w:rPr>
                <w:color w:val="auto"/>
              </w:rPr>
            </w:r>
            <w:r w:rsidR="00103B0D" w:rsidRPr="00FC71BE">
              <w:rPr>
                <w:color w:val="auto"/>
              </w:rPr>
              <w:fldChar w:fldCharType="end"/>
            </w:r>
            <w:r w:rsidRPr="00FC71BE">
              <w:rPr>
                <w:color w:val="auto"/>
              </w:rPr>
            </w:r>
            <w:r w:rsidRPr="00FC71BE">
              <w:rPr>
                <w:color w:val="auto"/>
              </w:rPr>
              <w:fldChar w:fldCharType="separate"/>
            </w:r>
            <w:r w:rsidRPr="00FC71BE">
              <w:rPr>
                <w:color w:val="auto"/>
              </w:rPr>
              <w:t>[22-24]</w:t>
            </w:r>
            <w:r w:rsidRPr="00FC71BE">
              <w:rPr>
                <w:color w:val="auto"/>
              </w:rPr>
              <w:fldChar w:fldCharType="end"/>
            </w:r>
          </w:p>
        </w:tc>
        <w:tc>
          <w:tcPr>
            <w:tcW w:w="3295" w:type="pct"/>
          </w:tcPr>
          <w:p w14:paraId="1E9F53D5" w14:textId="77777777" w:rsidR="00416180" w:rsidRPr="00FC71BE" w:rsidRDefault="00416180" w:rsidP="00257003">
            <w:pPr>
              <w:pStyle w:val="Table"/>
              <w:rPr>
                <w:color w:val="auto"/>
              </w:rPr>
            </w:pPr>
            <w:r w:rsidRPr="00FC71BE">
              <w:rPr>
                <w:color w:val="auto"/>
              </w:rPr>
              <w:t>High machine efficiency</w:t>
            </w:r>
          </w:p>
          <w:p w14:paraId="615FCA80" w14:textId="77777777" w:rsidR="00416180" w:rsidRPr="00FC71BE" w:rsidRDefault="00416180" w:rsidP="00257003">
            <w:pPr>
              <w:pStyle w:val="Table"/>
              <w:rPr>
                <w:color w:val="auto"/>
              </w:rPr>
            </w:pPr>
            <w:r w:rsidRPr="00FC71BE">
              <w:rPr>
                <w:color w:val="auto"/>
              </w:rPr>
              <w:t>Low torque ripple</w:t>
            </w:r>
          </w:p>
        </w:tc>
      </w:tr>
      <w:tr w:rsidR="00FC71BE" w:rsidRPr="00FC71BE" w14:paraId="1CBCD436" w14:textId="77777777">
        <w:tc>
          <w:tcPr>
            <w:tcW w:w="968" w:type="pct"/>
          </w:tcPr>
          <w:p w14:paraId="198C3A0C" w14:textId="77777777" w:rsidR="00416180" w:rsidRPr="00FC71BE" w:rsidRDefault="00416180" w:rsidP="00257003">
            <w:pPr>
              <w:pStyle w:val="Table"/>
              <w:rPr>
                <w:color w:val="auto"/>
              </w:rPr>
            </w:pPr>
            <w:r w:rsidRPr="00FC71BE">
              <w:rPr>
                <w:color w:val="auto"/>
              </w:rPr>
              <w:t>Spoke-shaped</w:t>
            </w:r>
          </w:p>
        </w:tc>
        <w:tc>
          <w:tcPr>
            <w:tcW w:w="737" w:type="pct"/>
          </w:tcPr>
          <w:p w14:paraId="339B9D73" w14:textId="77777777" w:rsidR="00416180" w:rsidRPr="00FC71BE" w:rsidRDefault="00416180" w:rsidP="00257003">
            <w:pPr>
              <w:pStyle w:val="Table"/>
              <w:rPr>
                <w:color w:val="auto"/>
              </w:rPr>
            </w:pPr>
            <w:r w:rsidRPr="00FC71BE">
              <w:rPr>
                <w:color w:val="auto"/>
              </w:rPr>
              <w:fldChar w:fldCharType="begin"/>
            </w:r>
            <w:r w:rsidRPr="00FC71BE">
              <w:rPr>
                <w:color w:val="auto"/>
              </w:rPr>
              <w:instrText xml:space="preserve"> ADDIN EN.CITE &lt;EndNote&gt;&lt;Cite&gt;&lt;Author&gt;Charih&lt;/Author&gt;&lt;Year&gt;2012&lt;/Year&gt;&lt;RecNum&gt;94&lt;/RecNum&gt;&lt;DisplayText&gt;[22]&lt;/DisplayText&gt;&lt;record&gt;&lt;rec-number&gt;94&lt;/rec-number&gt;&lt;foreign-keys&gt;&lt;key app="EN" db-id="rf2p5e05jx0x9jep00uvx0s1fvaww2dfa0r9" timestamp="1695903992"&gt;94&lt;/key&gt;&lt;/foreign-keys&gt;&lt;ref-type name="Conference Proceedings"&gt;10&lt;/ref-type&gt;&lt;contributors&gt;&lt;authors&gt;&lt;author&gt;Charih, Fouad&lt;/author&gt;&lt;author&gt;Dubas, Frédéric&lt;/author&gt;&lt;author&gt;Espanet, Christophe&lt;/author&gt;&lt;author&gt;Chamagne, Didier&lt;/author&gt;&lt;/authors&gt;&lt;/contributors&gt;&lt;titles&gt;&lt;title&gt;Performances comparison of PM machines with different rotor topologies and similar slot and pole numbers&lt;/title&gt;&lt;secondary-title&gt;International Symposium on Power Electronics Power Electronics, Electrical Drives, Automation and Motion&lt;/secondary-title&gt;&lt;/titles&gt;&lt;pages&gt;56-59&lt;/pages&gt;&lt;dates&gt;&lt;year&gt;2012&lt;/year&gt;&lt;/dates&gt;&lt;publisher&gt;IEEE&lt;/publisher&gt;&lt;isbn&gt;1467313017&lt;/isbn&gt;&lt;urls&gt;&lt;/urls&gt;&lt;/record&gt;&lt;/Cite&gt;&lt;/EndNote&gt;</w:instrText>
            </w:r>
            <w:r w:rsidRPr="00FC71BE">
              <w:rPr>
                <w:color w:val="auto"/>
              </w:rPr>
              <w:fldChar w:fldCharType="separate"/>
            </w:r>
            <w:r w:rsidRPr="00FC71BE">
              <w:rPr>
                <w:color w:val="auto"/>
              </w:rPr>
              <w:t>[22]</w:t>
            </w:r>
            <w:r w:rsidRPr="00FC71BE">
              <w:rPr>
                <w:color w:val="auto"/>
              </w:rPr>
              <w:fldChar w:fldCharType="end"/>
            </w:r>
          </w:p>
        </w:tc>
        <w:tc>
          <w:tcPr>
            <w:tcW w:w="3295" w:type="pct"/>
          </w:tcPr>
          <w:p w14:paraId="73F41C5E" w14:textId="77777777" w:rsidR="00416180" w:rsidRPr="00FC71BE" w:rsidRDefault="00416180" w:rsidP="00257003">
            <w:pPr>
              <w:pStyle w:val="Table"/>
              <w:rPr>
                <w:color w:val="auto"/>
              </w:rPr>
            </w:pPr>
            <w:r w:rsidRPr="00FC71BE">
              <w:rPr>
                <w:color w:val="auto"/>
              </w:rPr>
              <w:t>Very high torque density</w:t>
            </w:r>
          </w:p>
          <w:p w14:paraId="76F128F2" w14:textId="77777777" w:rsidR="00416180" w:rsidRPr="00FC71BE" w:rsidRDefault="00416180" w:rsidP="00257003">
            <w:pPr>
              <w:pStyle w:val="Table"/>
              <w:rPr>
                <w:color w:val="auto"/>
              </w:rPr>
            </w:pPr>
            <w:r w:rsidRPr="00FC71BE">
              <w:rPr>
                <w:color w:val="auto"/>
              </w:rPr>
              <w:t>Reduced back-EMF harmonics</w:t>
            </w:r>
          </w:p>
        </w:tc>
      </w:tr>
      <w:tr w:rsidR="00FC71BE" w:rsidRPr="00FC71BE" w14:paraId="0A34060C" w14:textId="77777777">
        <w:tc>
          <w:tcPr>
            <w:tcW w:w="968" w:type="pct"/>
          </w:tcPr>
          <w:p w14:paraId="1325DEAE" w14:textId="77777777" w:rsidR="00416180" w:rsidRPr="00FC71BE" w:rsidRDefault="00416180" w:rsidP="00257003">
            <w:pPr>
              <w:pStyle w:val="Table"/>
              <w:rPr>
                <w:color w:val="auto"/>
              </w:rPr>
            </w:pPr>
            <w:r w:rsidRPr="00FC71BE">
              <w:rPr>
                <w:color w:val="auto"/>
              </w:rPr>
              <w:t>VV-shaped</w:t>
            </w:r>
          </w:p>
        </w:tc>
        <w:tc>
          <w:tcPr>
            <w:tcW w:w="737" w:type="pct"/>
          </w:tcPr>
          <w:p w14:paraId="2EDC827E" w14:textId="77777777" w:rsidR="00416180" w:rsidRPr="00FC71BE" w:rsidRDefault="00416180" w:rsidP="00257003">
            <w:pPr>
              <w:pStyle w:val="Table"/>
              <w:rPr>
                <w:color w:val="auto"/>
              </w:rPr>
            </w:pPr>
            <w:r w:rsidRPr="00FC71BE">
              <w:rPr>
                <w:color w:val="auto"/>
              </w:rPr>
              <w:fldChar w:fldCharType="begin"/>
            </w:r>
            <w:r w:rsidRPr="00FC71BE">
              <w:rPr>
                <w:color w:val="auto"/>
              </w:rPr>
              <w:instrText xml:space="preserve"> ADDIN EN.CITE &lt;EndNote&gt;&lt;Cite&gt;&lt;Author&gt;Husain&lt;/Author&gt;&lt;Year&gt;2019&lt;/Year&gt;&lt;RecNum&gt;96&lt;/RecNum&gt;&lt;DisplayText&gt;[19, 25]&lt;/DisplayText&gt;&lt;record&gt;&lt;rec-number&gt;96&lt;/rec-number&gt;&lt;foreign-keys&gt;&lt;key app="EN" db-id="rf2p5e05jx0x9jep00uvx0s1fvaww2dfa0r9" timestamp="1695905334"&gt;96&lt;/key&gt;&lt;/foreign-keys&gt;&lt;ref-type name="Conference Proceedings"&gt;10&lt;/ref-type&gt;&lt;contributors&gt;&lt;authors&gt;&lt;author&gt;Husain, Tausif&lt;/author&gt;&lt;author&gt;Lee, Seong T&lt;/author&gt;&lt;/authors&gt;&lt;/contributors&gt;&lt;titles&gt;&lt;title&gt;Design considerations for magnet configurations in IPM rotor for high speed traction applications&lt;/title&gt;&lt;secondary-title&gt;2019 IEEE Energy Conversion Congress and Exposition (ECCE)&lt;/secondary-title&gt;&lt;/titles&gt;&lt;pages&gt;6062-6069&lt;/pages&gt;&lt;dates&gt;&lt;year&gt;2019&lt;/year&gt;&lt;/dates&gt;&lt;publisher&gt;IEEE&lt;/publisher&gt;&lt;isbn&gt;1728103959&lt;/isbn&gt;&lt;urls&gt;&lt;/urls&gt;&lt;/record&gt;&lt;/Cite&gt;&lt;Cite&gt;&lt;Author&gt;Akiki&lt;/Author&gt;&lt;Year&gt;2018&lt;/Year&gt;&lt;RecNum&gt;95&lt;/RecNum&gt;&lt;record&gt;&lt;rec-number&gt;95&lt;/rec-number&gt;&lt;foreign-keys&gt;&lt;key app="EN" db-id="rf2p5e05jx0x9jep00uvx0s1fvaww2dfa0r9" timestamp="1695904438"&gt;95&lt;/key&gt;&lt;/foreign-keys&gt;&lt;ref-type name="Journal Article"&gt;17&lt;/ref-type&gt;&lt;contributors&gt;&lt;authors&gt;&lt;author&gt;Akiki, Paul&lt;/author&gt;&lt;author&gt;Hassan, Maya Hage&lt;/author&gt;&lt;author&gt;Bensetti, Mohamed&lt;/author&gt;&lt;author&gt;Dessante, Philippe&lt;/author&gt;&lt;author&gt;Vannier, Jean-Claude&lt;/author&gt;&lt;author&gt;Prieto, Dany&lt;/author&gt;&lt;author&gt;McClelland, Mike&lt;/author&gt;&lt;/authors&gt;&lt;/contributors&gt;&lt;titles&gt;&lt;title&gt;Multiphysics design of a V-shape IPM motor&lt;/title&gt;&lt;secondary-title&gt;IEEE Transactions on Energy Conversion&lt;/secondary-title&gt;&lt;/titles&gt;&lt;periodical&gt;&lt;full-title&gt;IEEE Transactions on Energy Conversion&lt;/full-title&gt;&lt;/periodical&gt;&lt;pages&gt;1141-1153&lt;/pages&gt;&lt;volume&gt;33&lt;/volume&gt;&lt;number&gt;3&lt;/number&gt;&lt;dates&gt;&lt;year&gt;2018&lt;/year&gt;&lt;/dates&gt;&lt;isbn&gt;0885-8969&lt;/isbn&gt;&lt;urls&gt;&lt;/urls&gt;&lt;/record&gt;&lt;/Cite&gt;&lt;/EndNote&gt;</w:instrText>
            </w:r>
            <w:r w:rsidRPr="00FC71BE">
              <w:rPr>
                <w:color w:val="auto"/>
              </w:rPr>
              <w:fldChar w:fldCharType="separate"/>
            </w:r>
            <w:r w:rsidRPr="00FC71BE">
              <w:rPr>
                <w:color w:val="auto"/>
              </w:rPr>
              <w:t>[19, 25]</w:t>
            </w:r>
            <w:r w:rsidRPr="00FC71BE">
              <w:rPr>
                <w:color w:val="auto"/>
              </w:rPr>
              <w:fldChar w:fldCharType="end"/>
            </w:r>
          </w:p>
        </w:tc>
        <w:tc>
          <w:tcPr>
            <w:tcW w:w="3295" w:type="pct"/>
          </w:tcPr>
          <w:p w14:paraId="5C86E7F9" w14:textId="77777777" w:rsidR="00416180" w:rsidRPr="00FC71BE" w:rsidRDefault="00416180" w:rsidP="00257003">
            <w:pPr>
              <w:pStyle w:val="Table"/>
              <w:rPr>
                <w:color w:val="auto"/>
              </w:rPr>
            </w:pPr>
            <w:r w:rsidRPr="00FC71BE">
              <w:rPr>
                <w:color w:val="auto"/>
              </w:rPr>
              <w:t>Low back-EMF harmonics</w:t>
            </w:r>
          </w:p>
          <w:p w14:paraId="3E7E313F" w14:textId="77777777" w:rsidR="00416180" w:rsidRPr="00FC71BE" w:rsidRDefault="00416180" w:rsidP="00257003">
            <w:pPr>
              <w:pStyle w:val="Table"/>
              <w:rPr>
                <w:color w:val="auto"/>
              </w:rPr>
            </w:pPr>
            <w:r w:rsidRPr="00FC71BE">
              <w:rPr>
                <w:color w:val="auto"/>
              </w:rPr>
              <w:t>High power density</w:t>
            </w:r>
          </w:p>
        </w:tc>
      </w:tr>
      <w:tr w:rsidR="00FC71BE" w:rsidRPr="00FC71BE" w14:paraId="265B85B4" w14:textId="77777777">
        <w:tc>
          <w:tcPr>
            <w:tcW w:w="968" w:type="pct"/>
            <w:tcBorders>
              <w:bottom w:val="single" w:sz="4" w:space="0" w:color="auto"/>
            </w:tcBorders>
          </w:tcPr>
          <w:p w14:paraId="08D8AAC4" w14:textId="77777777" w:rsidR="00416180" w:rsidRPr="00FC71BE" w:rsidRDefault="00416180" w:rsidP="00257003">
            <w:pPr>
              <w:pStyle w:val="Table"/>
              <w:rPr>
                <w:color w:val="auto"/>
              </w:rPr>
            </w:pPr>
            <w:r w:rsidRPr="00FC71BE">
              <w:rPr>
                <w:color w:val="auto"/>
              </w:rPr>
              <w:t>UV-shaped</w:t>
            </w:r>
          </w:p>
        </w:tc>
        <w:tc>
          <w:tcPr>
            <w:tcW w:w="737" w:type="pct"/>
            <w:tcBorders>
              <w:bottom w:val="single" w:sz="4" w:space="0" w:color="auto"/>
            </w:tcBorders>
          </w:tcPr>
          <w:p w14:paraId="7B1BE1B7" w14:textId="19D40CBC" w:rsidR="00416180" w:rsidRPr="00FC71BE" w:rsidRDefault="00416180" w:rsidP="00257003">
            <w:pPr>
              <w:pStyle w:val="Table"/>
              <w:rPr>
                <w:color w:val="auto"/>
              </w:rPr>
            </w:pPr>
            <w:r w:rsidRPr="00FC71BE">
              <w:rPr>
                <w:color w:val="auto"/>
              </w:rPr>
              <w:fldChar w:fldCharType="begin"/>
            </w:r>
            <w:r w:rsidR="00103B0D" w:rsidRPr="00FC71BE">
              <w:rPr>
                <w:color w:val="auto"/>
              </w:rPr>
              <w:instrText xml:space="preserve"> ADDIN EN.CITE &lt;EndNote&gt;&lt;Cite&gt;&lt;Author&gt;McFarland&lt;/Author&gt;&lt;Year&gt;2014&lt;/Year&gt;&lt;RecNum&gt;97&lt;/RecNum&gt;&lt;DisplayText&gt;[26, 27]&lt;/DisplayText&gt;&lt;record&gt;&lt;rec-number&gt;97&lt;/rec-number&gt;&lt;foreign-keys&gt;&lt;key app="EN" db-id="rf2p5e05jx0x9jep00uvx0s1fvaww2dfa0r9" timestamp="1695905765"&gt;97&lt;/key&gt;&lt;/foreign-keys&gt;&lt;ref-type name="Conference Proceedings"&gt;10&lt;/ref-type&gt;&lt;contributors&gt;&lt;authors&gt;&lt;author&gt;McFarland, James D&lt;/author&gt;&lt;author&gt;Jahns, TM&lt;/author&gt;&lt;author&gt;EL-Refaie, Ayman M&lt;/author&gt;&lt;author&gt;Reddy, Patel B&lt;/author&gt;&lt;/authors&gt;&lt;/contributors&gt;&lt;titles&gt;&lt;title&gt;Effect of magnet properties on power density and flux-weakening performance of high-speed interior permanent magnet synchronous machines&lt;/title&gt;&lt;secondary-title&gt;2014 IEEE Energy Conversion Congress and Exposition (ECCE)&lt;/secondary-title&gt;&lt;/titles&gt;&lt;pages&gt;4218-4225&lt;/pages&gt;&lt;dates&gt;&lt;year&gt;2014&lt;/year&gt;&lt;/dates&gt;&lt;publisher&gt;IEEE&lt;/publisher&gt;&lt;isbn&gt;1479957763&lt;/isbn&gt;&lt;urls&gt;&lt;/urls&gt;&lt;/record&gt;&lt;/Cite&gt;&lt;Cite&gt;&lt;Author&gt;Han&lt;/Author&gt;&lt;Year&gt;2008&lt;/Year&gt;&lt;RecNum&gt;99&lt;/RecNum&gt;&lt;record&gt;&lt;rec-number&gt;99&lt;/rec-number&gt;&lt;foreign-keys&gt;&lt;key app="EN" db-id="rf2p5e05jx0x9jep00uvx0s1fvaww2dfa0r9" timestamp="1695908416"&gt;99&lt;/key&gt;&lt;/foreign-keys&gt;&lt;ref-type name="Conference Proceedings"&gt;10&lt;/ref-type&gt;&lt;contributors&gt;&lt;authors&gt;&lt;author&gt;Han, Seok Hee&lt;/author&gt;&lt;author&gt;Jahns, Thomas M&lt;/author&gt;&lt;author&gt;Zhu, Zi Qiang&lt;/author&gt;&lt;/authors&gt;&lt;/contributors&gt;&lt;titles&gt;&lt;title&gt;Design tradeoffs between stator core loss and torque ripple in IPM machines&lt;/title&gt;&lt;secondary-title&gt;2008 IEEE Industry Applications Society Annual Meeting&lt;/secondary-title&gt;&lt;/titles&gt;&lt;pages&gt;1-8&lt;/pages&gt;&lt;dates&gt;&lt;year&gt;2008&lt;/year&gt;&lt;/dates&gt;&lt;publisher&gt;IEEE&lt;/publisher&gt;&lt;isbn&gt;1424422787&lt;/isbn&gt;&lt;urls&gt;&lt;/urls&gt;&lt;/record&gt;&lt;/Cite&gt;&lt;/EndNote&gt;</w:instrText>
            </w:r>
            <w:r w:rsidRPr="00FC71BE">
              <w:rPr>
                <w:color w:val="auto"/>
              </w:rPr>
              <w:fldChar w:fldCharType="separate"/>
            </w:r>
            <w:r w:rsidRPr="00FC71BE">
              <w:rPr>
                <w:color w:val="auto"/>
              </w:rPr>
              <w:t>[26, 27]</w:t>
            </w:r>
            <w:r w:rsidRPr="00FC71BE">
              <w:rPr>
                <w:color w:val="auto"/>
              </w:rPr>
              <w:fldChar w:fldCharType="end"/>
            </w:r>
          </w:p>
        </w:tc>
        <w:tc>
          <w:tcPr>
            <w:tcW w:w="3295" w:type="pct"/>
            <w:tcBorders>
              <w:bottom w:val="single" w:sz="4" w:space="0" w:color="auto"/>
            </w:tcBorders>
          </w:tcPr>
          <w:p w14:paraId="77AF1261" w14:textId="77777777" w:rsidR="00416180" w:rsidRPr="00FC71BE" w:rsidRDefault="00416180" w:rsidP="00257003">
            <w:pPr>
              <w:pStyle w:val="Table"/>
              <w:rPr>
                <w:color w:val="auto"/>
              </w:rPr>
            </w:pPr>
            <w:r w:rsidRPr="00FC71BE">
              <w:rPr>
                <w:color w:val="auto"/>
              </w:rPr>
              <w:t>Minimized machine size</w:t>
            </w:r>
          </w:p>
          <w:p w14:paraId="1260F878" w14:textId="77777777" w:rsidR="00416180" w:rsidRPr="00FC71BE" w:rsidRDefault="00416180" w:rsidP="00257003">
            <w:pPr>
              <w:pStyle w:val="Table"/>
              <w:rPr>
                <w:color w:val="auto"/>
              </w:rPr>
            </w:pPr>
            <w:r w:rsidRPr="00FC71BE">
              <w:rPr>
                <w:color w:val="auto"/>
              </w:rPr>
              <w:t>Doubled back-EMF</w:t>
            </w:r>
          </w:p>
          <w:p w14:paraId="2D28D65B" w14:textId="77777777" w:rsidR="00416180" w:rsidRPr="00FC71BE" w:rsidRDefault="00416180" w:rsidP="00257003">
            <w:pPr>
              <w:pStyle w:val="Table"/>
              <w:rPr>
                <w:color w:val="auto"/>
              </w:rPr>
            </w:pPr>
            <w:r w:rsidRPr="00FC71BE">
              <w:rPr>
                <w:color w:val="auto"/>
              </w:rPr>
              <w:t>Reducing harmonic eddy-current losses</w:t>
            </w:r>
          </w:p>
          <w:p w14:paraId="12B434D5" w14:textId="77777777" w:rsidR="00416180" w:rsidRPr="00FC71BE" w:rsidRDefault="00416180" w:rsidP="00257003">
            <w:pPr>
              <w:pStyle w:val="Table"/>
              <w:rPr>
                <w:color w:val="auto"/>
              </w:rPr>
            </w:pPr>
            <w:r w:rsidRPr="00FC71BE">
              <w:rPr>
                <w:color w:val="auto"/>
              </w:rPr>
              <w:t>Reducing torque ripple and high-speed core losses</w:t>
            </w:r>
          </w:p>
        </w:tc>
      </w:tr>
      <w:tr w:rsidR="005E3DFE" w:rsidRPr="00FC71BE" w14:paraId="09F04581" w14:textId="77777777">
        <w:tc>
          <w:tcPr>
            <w:tcW w:w="968" w:type="pct"/>
            <w:tcBorders>
              <w:top w:val="single" w:sz="4" w:space="0" w:color="auto"/>
              <w:bottom w:val="double" w:sz="4" w:space="0" w:color="auto"/>
            </w:tcBorders>
          </w:tcPr>
          <w:p w14:paraId="20251851" w14:textId="77777777" w:rsidR="00416180" w:rsidRPr="00FC71BE" w:rsidRDefault="00416180" w:rsidP="00257003">
            <w:pPr>
              <w:pStyle w:val="Table"/>
              <w:rPr>
                <w:color w:val="auto"/>
              </w:rPr>
            </w:pPr>
            <m:oMath>
              <m:r>
                <m:rPr>
                  <m:sty m:val="p"/>
                </m:rPr>
                <w:rPr>
                  <w:rFonts w:ascii="Cambria Math" w:hAnsi="Cambria Math"/>
                  <w:color w:val="auto"/>
                </w:rPr>
                <m:t>∇</m:t>
              </m:r>
            </m:oMath>
            <w:r w:rsidRPr="00FC71BE">
              <w:rPr>
                <w:color w:val="auto"/>
              </w:rPr>
              <w:t>U-shaped</w:t>
            </w:r>
          </w:p>
        </w:tc>
        <w:tc>
          <w:tcPr>
            <w:tcW w:w="737" w:type="pct"/>
            <w:tcBorders>
              <w:top w:val="single" w:sz="4" w:space="0" w:color="auto"/>
              <w:bottom w:val="double" w:sz="4" w:space="0" w:color="auto"/>
            </w:tcBorders>
          </w:tcPr>
          <w:p w14:paraId="4A22B1AB" w14:textId="77777777" w:rsidR="00416180" w:rsidRPr="00FC71BE" w:rsidRDefault="00416180" w:rsidP="00257003">
            <w:pPr>
              <w:pStyle w:val="Table"/>
              <w:rPr>
                <w:color w:val="auto"/>
              </w:rPr>
            </w:pPr>
            <w:r w:rsidRPr="00FC71BE">
              <w:rPr>
                <w:color w:val="auto"/>
              </w:rPr>
              <w:fldChar w:fldCharType="begin"/>
            </w:r>
            <w:r w:rsidRPr="00FC71BE">
              <w:rPr>
                <w:color w:val="auto"/>
              </w:rPr>
              <w:instrText xml:space="preserve"> ADDIN EN.CITE &lt;EndNote&gt;&lt;Cite&gt;&lt;Author&gt;Zhu&lt;/Author&gt;&lt;Year&gt;2017&lt;/Year&gt;&lt;RecNum&gt;98&lt;/RecNum&gt;&lt;DisplayText&gt;[24]&lt;/DisplayText&gt;&lt;record&gt;&lt;rec-number&gt;98&lt;/rec-number&gt;&lt;foreign-keys&gt;&lt;key app="EN" db-id="rf2p5e05jx0x9jep00uvx0s1fvaww2dfa0r9" timestamp="1695906383"&gt;98&lt;/key&gt;&lt;/foreign-keys&gt;&lt;ref-type name="Journal Article"&gt;17&lt;/ref-type&gt;&lt;contributors&gt;&lt;authors&gt;&lt;author&gt;Zhu, Shushu&lt;/author&gt;&lt;author&gt;Hu, Yaohua&lt;/author&gt;&lt;author&gt;Liu, Chuang&lt;/author&gt;&lt;author&gt;Wang, Kai&lt;/author&gt;&lt;/authors&gt;&lt;/contributors&gt;&lt;titles&gt;&lt;title&gt;Iron loss and efficiency analysis of interior PM machines for electric vehicle applications&lt;/title&gt;&lt;secondary-title&gt;IEEE Transactions on Industrial Electronics&lt;/secondary-title&gt;&lt;/titles&gt;&lt;periodical&gt;&lt;full-title&gt;IEEE Transactions on Industrial Electronics&lt;/full-title&gt;&lt;/periodical&gt;&lt;pages&gt;114-124&lt;/pages&gt;&lt;volume&gt;65&lt;/volume&gt;&lt;number&gt;1&lt;/number&gt;&lt;dates&gt;&lt;year&gt;2017&lt;/year&gt;&lt;/dates&gt;&lt;isbn&gt;0278-0046&lt;/isbn&gt;&lt;urls&gt;&lt;/urls&gt;&lt;/record&gt;&lt;/Cite&gt;&lt;/EndNote&gt;</w:instrText>
            </w:r>
            <w:r w:rsidRPr="00FC71BE">
              <w:rPr>
                <w:color w:val="auto"/>
              </w:rPr>
              <w:fldChar w:fldCharType="separate"/>
            </w:r>
            <w:r w:rsidRPr="00FC71BE">
              <w:rPr>
                <w:color w:val="auto"/>
              </w:rPr>
              <w:t>[24]</w:t>
            </w:r>
            <w:r w:rsidRPr="00FC71BE">
              <w:rPr>
                <w:color w:val="auto"/>
              </w:rPr>
              <w:fldChar w:fldCharType="end"/>
            </w:r>
          </w:p>
        </w:tc>
        <w:tc>
          <w:tcPr>
            <w:tcW w:w="3295" w:type="pct"/>
            <w:tcBorders>
              <w:top w:val="single" w:sz="4" w:space="0" w:color="auto"/>
              <w:bottom w:val="double" w:sz="4" w:space="0" w:color="auto"/>
            </w:tcBorders>
          </w:tcPr>
          <w:p w14:paraId="3006C995" w14:textId="77777777" w:rsidR="00416180" w:rsidRPr="00FC71BE" w:rsidRDefault="00416180" w:rsidP="00257003">
            <w:pPr>
              <w:pStyle w:val="Table"/>
              <w:rPr>
                <w:color w:val="auto"/>
              </w:rPr>
            </w:pPr>
            <w:r w:rsidRPr="00FC71BE">
              <w:rPr>
                <w:color w:val="auto"/>
              </w:rPr>
              <w:t>Low core loss</w:t>
            </w:r>
          </w:p>
          <w:p w14:paraId="0F703884" w14:textId="77777777" w:rsidR="00416180" w:rsidRPr="00FC71BE" w:rsidRDefault="00416180" w:rsidP="00257003">
            <w:pPr>
              <w:pStyle w:val="Table"/>
              <w:rPr>
                <w:color w:val="auto"/>
              </w:rPr>
            </w:pPr>
            <w:r w:rsidRPr="00FC71BE">
              <w:rPr>
                <w:color w:val="auto"/>
              </w:rPr>
              <w:t>Low torque ripple</w:t>
            </w:r>
          </w:p>
          <w:p w14:paraId="5F34DC32" w14:textId="77777777" w:rsidR="00416180" w:rsidRPr="00FC71BE" w:rsidRDefault="00416180" w:rsidP="00257003">
            <w:pPr>
              <w:pStyle w:val="Table"/>
              <w:rPr>
                <w:color w:val="auto"/>
              </w:rPr>
            </w:pPr>
            <w:r w:rsidRPr="00FC71BE">
              <w:rPr>
                <w:color w:val="auto"/>
              </w:rPr>
              <w:t>High efficiency</w:t>
            </w:r>
          </w:p>
        </w:tc>
      </w:tr>
    </w:tbl>
    <w:p w14:paraId="61A72972" w14:textId="77777777" w:rsidR="00416180" w:rsidRPr="00FC71BE" w:rsidRDefault="00416180" w:rsidP="00416180"/>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3009"/>
        <w:gridCol w:w="3007"/>
      </w:tblGrid>
      <w:tr w:rsidR="00FC71BE" w:rsidRPr="00FC71BE" w14:paraId="4FC6B9DA" w14:textId="77777777">
        <w:tc>
          <w:tcPr>
            <w:tcW w:w="1667" w:type="pct"/>
            <w:vAlign w:val="center"/>
          </w:tcPr>
          <w:p w14:paraId="3CAE6713" w14:textId="77777777" w:rsidR="00304D60" w:rsidRPr="00FC71BE" w:rsidRDefault="00304D60">
            <w:pPr>
              <w:pStyle w:val="Figure"/>
              <w:rPr>
                <w:noProof w:val="0"/>
              </w:rPr>
            </w:pPr>
            <w:r w:rsidRPr="00FC71BE">
              <w:drawing>
                <wp:inline distT="0" distB="0" distL="0" distR="0" wp14:anchorId="3F16A8C5" wp14:editId="6355538C">
                  <wp:extent cx="1710047" cy="1710047"/>
                  <wp:effectExtent l="0" t="0" r="5080" b="5080"/>
                  <wp:docPr id="1091608847" name="Picture 1091608847" descr="A circular object with different colored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08847" name="Picture 1" descr="A circular object with different colored objects&#10;&#10;Description automatically generated"/>
                          <pic:cNvPicPr/>
                        </pic:nvPicPr>
                        <pic:blipFill>
                          <a:blip r:embed="rId17"/>
                          <a:stretch>
                            <a:fillRect/>
                          </a:stretch>
                        </pic:blipFill>
                        <pic:spPr>
                          <a:xfrm>
                            <a:off x="0" y="0"/>
                            <a:ext cx="1715650" cy="1715650"/>
                          </a:xfrm>
                          <a:prstGeom prst="rect">
                            <a:avLst/>
                          </a:prstGeom>
                        </pic:spPr>
                      </pic:pic>
                    </a:graphicData>
                  </a:graphic>
                </wp:inline>
              </w:drawing>
            </w:r>
          </w:p>
        </w:tc>
        <w:tc>
          <w:tcPr>
            <w:tcW w:w="1667" w:type="pct"/>
            <w:vAlign w:val="center"/>
          </w:tcPr>
          <w:p w14:paraId="09B51E92" w14:textId="77777777" w:rsidR="00304D60" w:rsidRPr="00FC71BE" w:rsidRDefault="00304D60">
            <w:pPr>
              <w:pStyle w:val="Figure"/>
              <w:rPr>
                <w:noProof w:val="0"/>
              </w:rPr>
            </w:pPr>
            <w:r w:rsidRPr="00FC71BE">
              <w:drawing>
                <wp:inline distT="0" distB="0" distL="0" distR="0" wp14:anchorId="5B7314B9" wp14:editId="68EEE881">
                  <wp:extent cx="1700236" cy="1686296"/>
                  <wp:effectExtent l="0" t="0" r="0" b="9525"/>
                  <wp:docPr id="1000346486" name="Picture 1000346486" descr="A circular design with a blue and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46486" name="Picture 1" descr="A circular design with a blue and yellow center&#10;&#10;Description automatically generated"/>
                          <pic:cNvPicPr/>
                        </pic:nvPicPr>
                        <pic:blipFill>
                          <a:blip r:embed="rId18"/>
                          <a:stretch>
                            <a:fillRect/>
                          </a:stretch>
                        </pic:blipFill>
                        <pic:spPr>
                          <a:xfrm>
                            <a:off x="0" y="0"/>
                            <a:ext cx="1709542" cy="1695526"/>
                          </a:xfrm>
                          <a:prstGeom prst="rect">
                            <a:avLst/>
                          </a:prstGeom>
                        </pic:spPr>
                      </pic:pic>
                    </a:graphicData>
                  </a:graphic>
                </wp:inline>
              </w:drawing>
            </w:r>
          </w:p>
        </w:tc>
        <w:tc>
          <w:tcPr>
            <w:tcW w:w="1666" w:type="pct"/>
            <w:vAlign w:val="center"/>
          </w:tcPr>
          <w:p w14:paraId="04627247" w14:textId="77777777" w:rsidR="00304D60" w:rsidRPr="00FC71BE" w:rsidRDefault="00304D60">
            <w:pPr>
              <w:pStyle w:val="Figure"/>
              <w:rPr>
                <w:noProof w:val="0"/>
              </w:rPr>
            </w:pPr>
            <w:r w:rsidRPr="00FC71BE">
              <w:drawing>
                <wp:inline distT="0" distB="0" distL="0" distR="0" wp14:anchorId="305A7AE6" wp14:editId="1A29A1D3">
                  <wp:extent cx="1677556" cy="1680358"/>
                  <wp:effectExtent l="0" t="0" r="0" b="0"/>
                  <wp:docPr id="431284270" name="Picture 431284270" descr="A circular design with a blue center and yellow and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84270" name="Picture 1" descr="A circular design with a blue center and yellow and red lines&#10;&#10;Description automatically generated with medium confidence"/>
                          <pic:cNvPicPr/>
                        </pic:nvPicPr>
                        <pic:blipFill>
                          <a:blip r:embed="rId19"/>
                          <a:stretch>
                            <a:fillRect/>
                          </a:stretch>
                        </pic:blipFill>
                        <pic:spPr>
                          <a:xfrm>
                            <a:off x="0" y="0"/>
                            <a:ext cx="1702017" cy="1704859"/>
                          </a:xfrm>
                          <a:prstGeom prst="rect">
                            <a:avLst/>
                          </a:prstGeom>
                        </pic:spPr>
                      </pic:pic>
                    </a:graphicData>
                  </a:graphic>
                </wp:inline>
              </w:drawing>
            </w:r>
          </w:p>
        </w:tc>
      </w:tr>
      <w:tr w:rsidR="00FC71BE" w:rsidRPr="00FC71BE" w14:paraId="6C47917F" w14:textId="77777777">
        <w:tc>
          <w:tcPr>
            <w:tcW w:w="1667" w:type="pct"/>
            <w:vAlign w:val="center"/>
          </w:tcPr>
          <w:p w14:paraId="15D4B28B" w14:textId="77777777" w:rsidR="00304D60" w:rsidRPr="00FC71BE" w:rsidRDefault="00304D60">
            <w:pPr>
              <w:pStyle w:val="Figure"/>
              <w:rPr>
                <w:noProof w:val="0"/>
              </w:rPr>
            </w:pPr>
            <w:r w:rsidRPr="00FC71BE">
              <w:rPr>
                <w:noProof w:val="0"/>
              </w:rPr>
              <w:t>(a) DSPM</w:t>
            </w:r>
          </w:p>
        </w:tc>
        <w:tc>
          <w:tcPr>
            <w:tcW w:w="1667" w:type="pct"/>
            <w:vAlign w:val="center"/>
          </w:tcPr>
          <w:p w14:paraId="1BD249E0" w14:textId="77777777" w:rsidR="00304D60" w:rsidRPr="00FC71BE" w:rsidRDefault="00304D60">
            <w:pPr>
              <w:pStyle w:val="Figure"/>
              <w:rPr>
                <w:noProof w:val="0"/>
              </w:rPr>
            </w:pPr>
            <w:r w:rsidRPr="00FC71BE">
              <w:rPr>
                <w:noProof w:val="0"/>
              </w:rPr>
              <w:t>(b) FRPM</w:t>
            </w:r>
          </w:p>
        </w:tc>
        <w:tc>
          <w:tcPr>
            <w:tcW w:w="1666" w:type="pct"/>
            <w:vAlign w:val="center"/>
          </w:tcPr>
          <w:p w14:paraId="6D68E5DF" w14:textId="77777777" w:rsidR="00304D60" w:rsidRPr="00FC71BE" w:rsidRDefault="00304D60">
            <w:pPr>
              <w:pStyle w:val="Figure"/>
              <w:rPr>
                <w:noProof w:val="0"/>
              </w:rPr>
            </w:pPr>
            <w:r w:rsidRPr="00FC71BE">
              <w:rPr>
                <w:noProof w:val="0"/>
              </w:rPr>
              <w:t>(c) FSPM</w:t>
            </w:r>
          </w:p>
        </w:tc>
      </w:tr>
    </w:tbl>
    <w:p w14:paraId="10A5AE26" w14:textId="114F1A71" w:rsidR="00304D60" w:rsidRPr="00FC71BE" w:rsidRDefault="00304D60" w:rsidP="00304D60">
      <w:pPr>
        <w:pStyle w:val="FigureTitle"/>
        <w:rPr>
          <w:iCs w:val="0"/>
        </w:rPr>
      </w:pPr>
      <w:bookmarkStart w:id="13" w:name="_Ref146807385"/>
      <w:r w:rsidRPr="00FC71BE">
        <w:t xml:space="preserve">Fig. </w:t>
      </w:r>
      <w:fldSimple w:instr=" STYLEREF 1 \s ">
        <w:r w:rsidR="007E62C1" w:rsidRPr="00FC71BE">
          <w:rPr>
            <w:noProof/>
          </w:rPr>
          <w:t>1</w:t>
        </w:r>
      </w:fldSimple>
      <w:r w:rsidRPr="00FC71BE">
        <w:t>.</w:t>
      </w:r>
      <w:fldSimple w:instr=" SEQ Fig. \* ARABIC \s 1 ">
        <w:r w:rsidR="007E62C1" w:rsidRPr="00FC71BE">
          <w:rPr>
            <w:noProof/>
          </w:rPr>
          <w:t>2</w:t>
        </w:r>
      </w:fldSimple>
      <w:bookmarkEnd w:id="13"/>
      <w:r w:rsidRPr="00FC71BE">
        <w:t>. The topologies of stator-mounted PM machines</w:t>
      </w:r>
      <w:r w:rsidRPr="00FC71BE">
        <w:rPr>
          <w:iCs w:val="0"/>
        </w:rPr>
        <w:t>.</w:t>
      </w:r>
    </w:p>
    <w:p w14:paraId="64EDF478" w14:textId="64A3E160" w:rsidR="00416180" w:rsidRPr="00FC71BE" w:rsidRDefault="00416180" w:rsidP="00416180">
      <w:r w:rsidRPr="00FC71BE">
        <w:t xml:space="preserve">In addition to the rotor-mounted PM machines, various stator-mounted PM machines have seen significant development, including the double salient PM (DSPM) machines, the flux reversal PM (FRPM) machines, and the flux-switching PM (FSPM) machines, and their topologies are shown in </w:t>
      </w:r>
      <w:r w:rsidRPr="00FC71BE">
        <w:fldChar w:fldCharType="begin"/>
      </w:r>
      <w:r w:rsidRPr="00FC71BE">
        <w:instrText xml:space="preserve"> REF _Ref146807385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2</w:t>
      </w:r>
      <w:r w:rsidRPr="00FC71BE">
        <w:fldChar w:fldCharType="end"/>
      </w:r>
      <w:r w:rsidRPr="00FC71BE">
        <w:t xml:space="preserve">. In contrast to the rotor-mounted PM machines, where the PMs are situated on the rotor, stator-mounted PM machines place windings and PMs on the stator, with the rotor primarily consisting of iron core. This simplified rotor structure results in enhanced robustness and reliability, especially in high-speed applications </w:t>
      </w:r>
      <w:r w:rsidRPr="00FC71BE">
        <w:fldChar w:fldCharType="begin"/>
      </w:r>
      <w:r w:rsidR="00103B0D" w:rsidRPr="00FC71BE">
        <w:instrText xml:space="preserve"> ADDIN EN.CITE &lt;EndNote&gt;&lt;Cite&gt;&lt;Author&gt;Zhang&lt;/Author&gt;&lt;Year&gt;2022&lt;/Year&gt;&lt;RecNum&gt;100&lt;/RecNum&gt;&lt;DisplayText&gt;[28]&lt;/DisplayText&gt;&lt;record&gt;&lt;rec-number&gt;100&lt;/rec-number&gt;&lt;foreign-keys&gt;&lt;key app="EN" db-id="rf2p5e05jx0x9jep00uvx0s1fvaww2dfa0r9" timestamp="1695911746"&gt;100&lt;/key&gt;&lt;/foreign-keys&gt;&lt;ref-type name="Conference Proceedings"&gt;10&lt;/ref-type&gt;&lt;contributors&gt;&lt;authors&gt;&lt;author&gt;Zhang, G B&lt;/author&gt;&lt;author&gt;Li, G J&lt;/author&gt;&lt;/authors&gt;&lt;/contributors&gt;&lt;titles&gt;&lt;title&gt;Performance Comparison of Optimized Stator-Mounted Permanent Magnet Machines Focusing on PM Usage&lt;/title&gt;&lt;secondary-title&gt;2022 IEEE Energy Conversion Congress and Exposition (ECCE)&lt;/secondary-title&gt;&lt;/titles&gt;&lt;pages&gt;1-7&lt;/pages&gt;&lt;dates&gt;&lt;year&gt;2022&lt;/year&gt;&lt;/dates&gt;&lt;publisher&gt;IEEE&lt;/publisher&gt;&lt;isbn&gt;1728193877&lt;/isbn&gt;&lt;urls&gt;&lt;/urls&gt;&lt;/record&gt;&lt;/Cite&gt;&lt;/EndNote&gt;</w:instrText>
      </w:r>
      <w:r w:rsidRPr="00FC71BE">
        <w:fldChar w:fldCharType="separate"/>
      </w:r>
      <w:r w:rsidRPr="00FC71BE">
        <w:t>[28]</w:t>
      </w:r>
      <w:r w:rsidRPr="00FC71BE">
        <w:fldChar w:fldCharType="end"/>
      </w:r>
      <w:r w:rsidRPr="00FC71BE">
        <w:t xml:space="preserve">. As highlighted in references </w:t>
      </w:r>
      <w:r w:rsidRPr="00FC71BE">
        <w:fldChar w:fldCharType="begin"/>
      </w:r>
      <w:r w:rsidR="00103B0D" w:rsidRPr="00FC71BE">
        <w:instrText xml:space="preserve"> ADDIN EN.CITE &lt;EndNote&gt;&lt;Cite&gt;&lt;Author&gt;Zhang&lt;/Author&gt;&lt;Year&gt;2023&lt;/Year&gt;&lt;RecNum&gt;101&lt;/RecNum&gt;&lt;DisplayText&gt;[29]&lt;/DisplayText&gt;&lt;record&gt;&lt;rec-number&gt;101&lt;/rec-number&gt;&lt;foreign-keys&gt;&lt;key app="EN" db-id="rf2p5e05jx0x9jep00uvx0s1fvaww2dfa0r9" timestamp="1695911910"&gt;101&lt;/key&gt;&lt;/foreign-keys&gt;&lt;ref-type name="Conference Proceedings"&gt;10&lt;/ref-type&gt;&lt;contributors&gt;&lt;authors&gt;&lt;author&gt;Zhang, G B&lt;/author&gt;&lt;author&gt;Li, G J&lt;/author&gt;&lt;/authors&gt;&lt;/contributors&gt;&lt;titles&gt;&lt;title&gt;Comparative Study of Stator-mounted PM Machines Focusing on Thermal Performance&lt;/title&gt;&lt;secondary-title&gt;2023 IEEE International Electric Machines &amp;amp; Drives Conference (IEMDC)&lt;/secondary-title&gt;&lt;/titles&gt;&lt;pages&gt;1-7&lt;/pages&gt;&lt;dates&gt;&lt;year&gt;2023&lt;/year&gt;&lt;/dates&gt;&lt;publisher&gt;IEEE&lt;/publisher&gt;&lt;isbn&gt;9798350398991&lt;/isbn&gt;&lt;urls&gt;&lt;/urls&gt;&lt;/record&gt;&lt;/Cite&gt;&lt;/EndNote&gt;</w:instrText>
      </w:r>
      <w:r w:rsidRPr="00FC71BE">
        <w:fldChar w:fldCharType="separate"/>
      </w:r>
      <w:r w:rsidRPr="00FC71BE">
        <w:t>[29]</w:t>
      </w:r>
      <w:r w:rsidRPr="00FC71BE">
        <w:fldChar w:fldCharType="end"/>
      </w:r>
      <w:r w:rsidRPr="00FC71BE">
        <w:t xml:space="preserve"> and </w:t>
      </w:r>
      <w:r w:rsidRPr="00FC71BE">
        <w:fldChar w:fldCharType="begin"/>
      </w:r>
      <w:r w:rsidRPr="00FC71BE">
        <w:instrText xml:space="preserve"> ADDIN EN.CITE &lt;EndNote&gt;&lt;Cite&gt;&lt;Author&gt;Cheng&lt;/Author&gt;&lt;Year&gt;2011&lt;/Year&gt;&lt;RecNum&gt;102&lt;/RecNum&gt;&lt;DisplayText&gt;[30]&lt;/DisplayText&gt;&lt;record&gt;&lt;rec-number&gt;102&lt;/rec-number&gt;&lt;foreign-keys&gt;&lt;key app="EN" db-id="rf2p5e05jx0x9jep00uvx0s1fvaww2dfa0r9" timestamp="1695912410"&gt;102&lt;/key&gt;&lt;/foreign-keys&gt;&lt;ref-type name="Journal Article"&gt;17&lt;/ref-type&gt;&lt;contributors&gt;&lt;authors&gt;&lt;author&gt;Cheng, Ming&lt;/author&gt;&lt;author&gt;Hua, Wei&lt;/author&gt;&lt;author&gt;Zhang, Jianzhong&lt;/author&gt;&lt;author&gt;Zhao, Wenxiang&lt;/author&gt;&lt;/authors&gt;&lt;/contributors&gt;&lt;titles&gt;&lt;title&gt;Overview of stator-permanent magnet brushless machines&lt;/title&gt;&lt;secondary-title&gt;IEEE Transactions on Industrial Electronics&lt;/secondary-title&gt;&lt;/titles&gt;&lt;periodical&gt;&lt;full-title&gt;IEEE Transactions on Industrial Electronics&lt;/full-title&gt;&lt;/periodical&gt;&lt;pages&gt;5087-5101&lt;/pages&gt;&lt;volume&gt;58&lt;/volume&gt;&lt;number&gt;11&lt;/number&gt;&lt;dates&gt;&lt;year&gt;2011&lt;/year&gt;&lt;/dates&gt;&lt;isbn&gt;0278-0046&lt;/isbn&gt;&lt;urls&gt;&lt;/urls&gt;&lt;/record&gt;&lt;/Cite&gt;&lt;/EndNote&gt;</w:instrText>
      </w:r>
      <w:r w:rsidRPr="00FC71BE">
        <w:fldChar w:fldCharType="separate"/>
      </w:r>
      <w:r w:rsidRPr="00FC71BE">
        <w:t>[30]</w:t>
      </w:r>
      <w:r w:rsidRPr="00FC71BE">
        <w:fldChar w:fldCharType="end"/>
      </w:r>
      <w:r w:rsidRPr="00FC71BE">
        <w:t xml:space="preserve">, stator-mounted machines offer improved thermal performance. This improvement arises from the fact that dissipating heat from the rotor for rotor-mounted </w:t>
      </w:r>
      <w:r w:rsidRPr="00FC71BE">
        <w:lastRenderedPageBreak/>
        <w:t>PM machines is a challenge due to the limitation in the poor thermal conduction within the airgap region.</w:t>
      </w:r>
    </w:p>
    <w:p w14:paraId="58808D23" w14:textId="77777777" w:rsidR="00416180" w:rsidRPr="00FC71BE" w:rsidRDefault="00416180" w:rsidP="00E22A36">
      <w:pPr>
        <w:pStyle w:val="Heading2"/>
        <w:numPr>
          <w:ilvl w:val="1"/>
          <w:numId w:val="49"/>
        </w:numPr>
      </w:pPr>
      <w:bookmarkStart w:id="14" w:name="_Ref147320938"/>
      <w:bookmarkStart w:id="15" w:name="_Toc157695327"/>
      <w:r w:rsidRPr="00FC71BE">
        <w:t>Modular SPM Machine</w:t>
      </w:r>
      <w:bookmarkEnd w:id="14"/>
      <w:bookmarkEnd w:id="15"/>
    </w:p>
    <w:p w14:paraId="56B35A2B" w14:textId="586D4D6B" w:rsidR="00416180" w:rsidRPr="00FC71BE" w:rsidRDefault="00416180" w:rsidP="00416180">
      <w:r w:rsidRPr="00FC71BE">
        <w:t xml:space="preserve">In section </w:t>
      </w:r>
      <w:r w:rsidRPr="00FC71BE">
        <w:fldChar w:fldCharType="begin"/>
      </w:r>
      <w:r w:rsidRPr="00FC71BE">
        <w:instrText xml:space="preserve"> REF _Ref146809194 \r \h </w:instrText>
      </w:r>
      <w:r w:rsidRPr="00FC71BE">
        <w:fldChar w:fldCharType="separate"/>
      </w:r>
      <w:r w:rsidR="007E62C1" w:rsidRPr="00FC71BE">
        <w:t>1.2</w:t>
      </w:r>
      <w:r w:rsidRPr="00FC71BE">
        <w:fldChar w:fldCharType="end"/>
      </w:r>
      <w:r w:rsidRPr="00FC71BE">
        <w:t xml:space="preserve">, a review of various PM machines with different PM arrangements has been conducted. The findings have revealed significant advancements in the EM performance of these machines. Moreover, a variety of stator and rotor configurations have been developed to improve machines performance. For example, Spooner </w:t>
      </w:r>
      <w:r w:rsidRPr="00FC71BE">
        <w:rPr>
          <w:i/>
          <w:iCs/>
        </w:rPr>
        <w:t>et al</w:t>
      </w:r>
      <w:r w:rsidRPr="00FC71BE">
        <w:t xml:space="preserve"> </w:t>
      </w:r>
      <w:r w:rsidRPr="00FC71BE">
        <w:fldChar w:fldCharType="begin">
          <w:fldData xml:space="preserve">PEVuZE5vdGU+PENpdGU+PEF1dGhvcj5DaGVuPC9BdXRob3I+PFllYXI+MTk5NTwvWWVhcj48UmVj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==
</w:fldData>
        </w:fldChar>
      </w:r>
      <w:r w:rsidRPr="00FC71BE">
        <w:instrText xml:space="preserve"> ADDIN EN.CITE </w:instrText>
      </w:r>
      <w:r w:rsidRPr="00FC71BE">
        <w:fldChar w:fldCharType="begin">
          <w:fldData xml:space="preserve">PEVuZE5vdGU+PENpdGU+PEF1dGhvcj5DaGVuPC9BdXRob3I+PFllYXI+MTk5NTwvWWVhcj48UmVj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==
</w:fldData>
        </w:fldChar>
      </w:r>
      <w:r w:rsidRPr="00FC71BE">
        <w:instrText xml:space="preserve"> ADDIN EN.CITE.DATA </w:instrText>
      </w:r>
      <w:r w:rsidRPr="00FC71BE">
        <w:fldChar w:fldCharType="end"/>
      </w:r>
      <w:r w:rsidRPr="00FC71BE">
        <w:fldChar w:fldCharType="separate"/>
      </w:r>
      <w:r w:rsidRPr="00FC71BE">
        <w:t>[31-33]</w:t>
      </w:r>
      <w:r w:rsidRPr="00FC71BE">
        <w:fldChar w:fldCharType="end"/>
      </w:r>
      <w:r w:rsidRPr="00FC71BE">
        <w:t xml:space="preserve"> introduced a new machine topology, involving a modular arrangement of stator and/or rotor as shown in </w:t>
      </w:r>
      <w:r w:rsidRPr="00FC71BE">
        <w:fldChar w:fldCharType="begin"/>
      </w:r>
      <w:r w:rsidRPr="00FC71BE">
        <w:instrText xml:space="preserve"> REF _Ref147163515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3</w:t>
      </w:r>
      <w:r w:rsidRPr="00FC71BE">
        <w:fldChar w:fldCharType="end"/>
      </w:r>
      <w:r w:rsidRPr="00FC71BE">
        <w:t>, for a 166-pole/180-slot radial-field PM machine. These modular designs are specifically implemented in generators with power ratings more than 1MW. In contrast to the non-modular, continuous core designs, modular configurations offer distinct advantages in terms of assembly and maintenance. Moreover, these modular designs have the potential to reduce both the machine's mass and its active length.</w:t>
      </w:r>
    </w:p>
    <w:p w14:paraId="39971763" w14:textId="77777777" w:rsidR="00416180" w:rsidRPr="00FC71BE" w:rsidRDefault="00416180" w:rsidP="00416180">
      <w:pPr>
        <w:pStyle w:val="Figure"/>
        <w:rPr>
          <w:noProof w:val="0"/>
        </w:rPr>
      </w:pPr>
      <w:r w:rsidRPr="00FC71BE">
        <w:drawing>
          <wp:inline distT="0" distB="0" distL="0" distR="0" wp14:anchorId="2B18C490" wp14:editId="703987A0">
            <wp:extent cx="4320038" cy="1894502"/>
            <wp:effectExtent l="0" t="0" r="4445" b="0"/>
            <wp:docPr id="4" name="Picture 4" descr="A drawing of a row of grey and red objects&#10;&#10;Description automatically generated with medium confidence">
              <a:extLst xmlns:a="http://schemas.openxmlformats.org/drawingml/2006/main">
                <a:ext uri="{FF2B5EF4-FFF2-40B4-BE49-F238E27FC236}">
                  <a16:creationId xmlns:a16="http://schemas.microsoft.com/office/drawing/2014/main" id="{1224FC18-C256-2C53-2705-168E43D416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rawing of a row of grey and red objects&#10;&#10;Description automatically generated with medium confidence">
                      <a:extLst>
                        <a:ext uri="{FF2B5EF4-FFF2-40B4-BE49-F238E27FC236}">
                          <a16:creationId xmlns:a16="http://schemas.microsoft.com/office/drawing/2014/main" id="{1224FC18-C256-2C53-2705-168E43D416C2}"/>
                        </a:ext>
                      </a:extLst>
                    </pic:cNvPr>
                    <pic:cNvPicPr>
                      <a:picLocks noChangeAspect="1"/>
                    </pic:cNvPicPr>
                  </pic:nvPicPr>
                  <pic:blipFill rotWithShape="1">
                    <a:blip r:embed="rId20"/>
                    <a:srcRect l="11621" t="11804" r="3851" b="18892"/>
                    <a:stretch/>
                  </pic:blipFill>
                  <pic:spPr>
                    <a:xfrm>
                      <a:off x="0" y="0"/>
                      <a:ext cx="4327929" cy="1897963"/>
                    </a:xfrm>
                    <a:prstGeom prst="rect">
                      <a:avLst/>
                    </a:prstGeom>
                  </pic:spPr>
                </pic:pic>
              </a:graphicData>
            </a:graphic>
          </wp:inline>
        </w:drawing>
      </w:r>
    </w:p>
    <w:p w14:paraId="7468FCCA" w14:textId="16286FB2" w:rsidR="00416180" w:rsidRPr="00FC71BE" w:rsidRDefault="00416180" w:rsidP="00416180">
      <w:pPr>
        <w:pStyle w:val="FigureTitle"/>
        <w:rPr>
          <w:iCs w:val="0"/>
        </w:rPr>
      </w:pPr>
      <w:bookmarkStart w:id="16" w:name="_Ref147163515"/>
      <w:r w:rsidRPr="00FC71BE">
        <w:t xml:space="preserve">Fig. </w:t>
      </w:r>
      <w:fldSimple w:instr=" STYLEREF 1 \s ">
        <w:r w:rsidR="007E62C1" w:rsidRPr="00FC71BE">
          <w:rPr>
            <w:noProof/>
          </w:rPr>
          <w:t>1</w:t>
        </w:r>
      </w:fldSimple>
      <w:r w:rsidRPr="00FC71BE">
        <w:t>.</w:t>
      </w:r>
      <w:fldSimple w:instr=" SEQ Fig. \* ARABIC \s 1 ">
        <w:r w:rsidR="007E62C1" w:rsidRPr="00FC71BE">
          <w:rPr>
            <w:noProof/>
          </w:rPr>
          <w:t>3</w:t>
        </w:r>
      </w:fldSimple>
      <w:bookmarkEnd w:id="16"/>
      <w:r w:rsidRPr="00FC71BE">
        <w:t xml:space="preserve">. Topology of radial-field PM machine with modular-arranged stator and rotor </w:t>
      </w:r>
      <w:r w:rsidRPr="00FC71BE">
        <w:fldChar w:fldCharType="begin"/>
      </w:r>
      <w:r w:rsidRPr="00FC71BE">
        <w:instrText xml:space="preserve"> ADDIN EN.CITE &lt;EndNote&gt;&lt;Cite&gt;&lt;Author&gt;Spooner&lt;/Author&gt;&lt;Year&gt;1996&lt;/Year&gt;&lt;RecNum&gt;105&lt;/RecNum&gt;&lt;DisplayText&gt;[33]&lt;/DisplayText&gt;&lt;record&gt;&lt;rec-number&gt;105&lt;/rec-number&gt;&lt;foreign-keys&gt;&lt;key app="EN" db-id="rf2p5e05jx0x9jep00uvx0s1fvaww2dfa0r9" timestamp="1696262227"&gt;105&lt;/key&gt;&lt;/foreign-keys&gt;&lt;ref-type name="Conference Proceedings"&gt;10&lt;/ref-type&gt;&lt;contributors&gt;&lt;authors&gt;&lt;author&gt;Spooner, Edward&lt;/author&gt;&lt;author&gt;Williamson, Alan&lt;/author&gt;&lt;/authors&gt;&lt;/contributors&gt;&lt;titles&gt;&lt;title&gt;Modular, permanent-magnet wind-turbine generators&lt;/title&gt;&lt;secondary-title&gt;IAS&amp;apos;96. Conference Record of the 1996 IEEE Industry Applications Conference Thirty-First IAS Annual Meeting&lt;/secondary-title&gt;&lt;/titles&gt;&lt;pages&gt;497-502&lt;/pages&gt;&lt;volume&gt;1&lt;/volume&gt;&lt;dates&gt;&lt;year&gt;1996&lt;/year&gt;&lt;/dates&gt;&lt;publisher&gt;IEEE&lt;/publisher&gt;&lt;isbn&gt;0780335449&lt;/isbn&gt;&lt;urls&gt;&lt;/urls&gt;&lt;/record&gt;&lt;/Cite&gt;&lt;/EndNote&gt;</w:instrText>
      </w:r>
      <w:r w:rsidRPr="00FC71BE">
        <w:fldChar w:fldCharType="separate"/>
      </w:r>
      <w:r w:rsidRPr="00FC71BE">
        <w:t>[33]</w:t>
      </w:r>
      <w:r w:rsidRPr="00FC71BE">
        <w:fldChar w:fldCharType="end"/>
      </w:r>
      <w:r w:rsidRPr="00FC71BE">
        <w:rPr>
          <w:iCs w:val="0"/>
        </w:rPr>
        <w:t>.</w:t>
      </w:r>
    </w:p>
    <w:p w14:paraId="7AB6CAB0" w14:textId="5DA1544F" w:rsidR="00416180" w:rsidRPr="00FC71BE" w:rsidRDefault="00416180" w:rsidP="00416180">
      <w:r w:rsidRPr="00FC71BE">
        <w:t xml:space="preserve">Another modular stator structure was explored and presented by Zhu </w:t>
      </w:r>
      <w:r w:rsidRPr="00FC71BE">
        <w:rPr>
          <w:i/>
          <w:iCs/>
        </w:rPr>
        <w:t>et al</w:t>
      </w:r>
      <w:r w:rsidRPr="00FC71BE">
        <w:t xml:space="preserve">. in </w:t>
      </w:r>
      <w:r w:rsidRPr="00FC71BE">
        <w:fldChar w:fldCharType="begin"/>
      </w:r>
      <w:r w:rsidR="00103B0D" w:rsidRPr="00FC71BE">
        <w:instrText xml:space="preserve"> ADDIN EN.CITE &lt;EndNote&gt;&lt;Cite&gt;&lt;Author&gt;Zhu&lt;/Author&gt;&lt;Year&gt;2011&lt;/Year&gt;&lt;RecNum&gt;106&lt;/RecNum&gt;&lt;DisplayText&gt;[34]&lt;/DisplayText&gt;&lt;record&gt;&lt;rec-number&gt;106&lt;/rec-number&gt;&lt;foreign-keys&gt;&lt;key app="EN" db-id="rf2p5e05jx0x9jep00uvx0s1fvaww2dfa0r9" timestamp="1696267441"&gt;106&lt;/key&gt;&lt;/foreign-keys&gt;&lt;ref-type name="Journal Article"&gt;17&lt;/ref-type&gt;&lt;contributors&gt;&lt;authors&gt;&lt;author&gt;Zhu, Z Q&lt;/author&gt;&lt;author&gt;Azar, Z&lt;/author&gt;&lt;author&gt;Ombach, G&lt;/author&gt;&lt;/authors&gt;&lt;/contributors&gt;&lt;titles&gt;&lt;title&gt;Influence of additional air gaps between stator segments on cogging torque of permanent-magnet machines having modular stators&lt;/title&gt;&lt;secondary-title&gt;IEEE Transactions on Magnetics&lt;/secondary-title&gt;&lt;/titles&gt;&lt;periodical&gt;&lt;full-title&gt;IEEE Transactions on Magnetics&lt;/full-title&gt;&lt;/periodical&gt;&lt;pages&gt;2049-2055&lt;/pages&gt;&lt;volume&gt;48&lt;/volume&gt;&lt;number&gt;6&lt;/number&gt;&lt;dates&gt;&lt;year&gt;2011&lt;/year&gt;&lt;/dates&gt;&lt;isbn&gt;0018-9464&lt;/isbn&gt;&lt;urls&gt;&lt;/urls&gt;&lt;/record&gt;&lt;/Cite&gt;&lt;/EndNote&gt;</w:instrText>
      </w:r>
      <w:r w:rsidRPr="00FC71BE">
        <w:fldChar w:fldCharType="separate"/>
      </w:r>
      <w:r w:rsidRPr="00FC71BE">
        <w:t>[34]</w:t>
      </w:r>
      <w:r w:rsidRPr="00FC71BE">
        <w:fldChar w:fldCharType="end"/>
      </w:r>
      <w:r w:rsidRPr="00FC71BE">
        <w:t xml:space="preserve">. A closed-slot stator with segmented teeth and yoke is implemented for a 10-pole/12-slot IPM machine as shown in </w:t>
      </w:r>
      <w:r w:rsidRPr="00FC71BE">
        <w:fldChar w:fldCharType="begin"/>
      </w:r>
      <w:r w:rsidRPr="00FC71BE">
        <w:instrText xml:space="preserve"> REF _Ref147169500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4</w:t>
      </w:r>
      <w:r w:rsidRPr="00FC71BE">
        <w:fldChar w:fldCharType="end"/>
      </w:r>
      <w:r w:rsidRPr="00FC71BE">
        <w:t>. Additional stator gaps between stator teeth and yoke with nonuniform gap width are introduced due to manufacturing tolerances. This topology effectively minimizes the cogging torque, which is a primary contributor to torque ripple, while having a negligible influence on the back-EMF waveform.</w:t>
      </w:r>
    </w:p>
    <w:p w14:paraId="518AC523" w14:textId="77777777" w:rsidR="00416180" w:rsidRPr="00FC71BE" w:rsidRDefault="00416180" w:rsidP="00416180">
      <w:pPr>
        <w:pStyle w:val="Figure"/>
        <w:rPr>
          <w:noProof w:val="0"/>
        </w:rPr>
      </w:pPr>
      <w:r w:rsidRPr="00FC71BE">
        <w:lastRenderedPageBreak/>
        <w:drawing>
          <wp:inline distT="0" distB="0" distL="0" distR="0" wp14:anchorId="6A14F19E" wp14:editId="40863B33">
            <wp:extent cx="3961232" cy="2387886"/>
            <wp:effectExtent l="0" t="0" r="1270" b="0"/>
            <wp:docPr id="30" name="Picture 30" descr="A diagram of a circular object&#10;&#10;Description automatically generated">
              <a:extLst xmlns:a="http://schemas.openxmlformats.org/drawingml/2006/main">
                <a:ext uri="{FF2B5EF4-FFF2-40B4-BE49-F238E27FC236}">
                  <a16:creationId xmlns:a16="http://schemas.microsoft.com/office/drawing/2014/main" id="{56EF4F0F-E470-C7B4-AD1D-8D9783991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descr="A diagram of a circular object&#10;&#10;Description automatically generated">
                      <a:extLst>
                        <a:ext uri="{FF2B5EF4-FFF2-40B4-BE49-F238E27FC236}">
                          <a16:creationId xmlns:a16="http://schemas.microsoft.com/office/drawing/2014/main" id="{56EF4F0F-E470-C7B4-AD1D-8D9783991D3B}"/>
                        </a:ext>
                      </a:extLst>
                    </pic:cNvPr>
                    <pic:cNvPicPr>
                      <a:picLocks noChangeAspect="1"/>
                    </pic:cNvPicPr>
                  </pic:nvPicPr>
                  <pic:blipFill>
                    <a:blip r:embed="rId21"/>
                    <a:stretch>
                      <a:fillRect/>
                    </a:stretch>
                  </pic:blipFill>
                  <pic:spPr>
                    <a:xfrm>
                      <a:off x="0" y="0"/>
                      <a:ext cx="3970710" cy="2393600"/>
                    </a:xfrm>
                    <a:prstGeom prst="rect">
                      <a:avLst/>
                    </a:prstGeom>
                  </pic:spPr>
                </pic:pic>
              </a:graphicData>
            </a:graphic>
          </wp:inline>
        </w:drawing>
      </w:r>
    </w:p>
    <w:p w14:paraId="53B9ABA7" w14:textId="0F55821A" w:rsidR="00416180" w:rsidRPr="00FC71BE" w:rsidRDefault="00416180" w:rsidP="00416180">
      <w:pPr>
        <w:pStyle w:val="FigureTitle"/>
      </w:pPr>
      <w:bookmarkStart w:id="17" w:name="_Ref147169500"/>
      <w:r w:rsidRPr="00FC71BE">
        <w:t xml:space="preserve">Fig. </w:t>
      </w:r>
      <w:fldSimple w:instr=" STYLEREF 1 \s ">
        <w:r w:rsidR="007E62C1" w:rsidRPr="00FC71BE">
          <w:rPr>
            <w:noProof/>
          </w:rPr>
          <w:t>1</w:t>
        </w:r>
      </w:fldSimple>
      <w:r w:rsidRPr="00FC71BE">
        <w:t>.</w:t>
      </w:r>
      <w:fldSimple w:instr=" SEQ Fig. \* ARABIC \s 1 ">
        <w:r w:rsidR="007E62C1" w:rsidRPr="00FC71BE">
          <w:rPr>
            <w:noProof/>
          </w:rPr>
          <w:t>4</w:t>
        </w:r>
      </w:fldSimple>
      <w:bookmarkEnd w:id="17"/>
      <w:r w:rsidRPr="00FC71BE">
        <w:t xml:space="preserve">. Topology of IPM machine with closed-slot stator with segmented teeth and yoke </w:t>
      </w:r>
      <w:r w:rsidRPr="00FC71BE">
        <w:fldChar w:fldCharType="begin"/>
      </w:r>
      <w:r w:rsidR="00103B0D" w:rsidRPr="00FC71BE">
        <w:instrText xml:space="preserve"> ADDIN EN.CITE &lt;EndNote&gt;&lt;Cite&gt;&lt;Author&gt;Zhu&lt;/Author&gt;&lt;Year&gt;2011&lt;/Year&gt;&lt;RecNum&gt;106&lt;/RecNum&gt;&lt;DisplayText&gt;[34]&lt;/DisplayText&gt;&lt;record&gt;&lt;rec-number&gt;106&lt;/rec-number&gt;&lt;foreign-keys&gt;&lt;key app="EN" db-id="rf2p5e05jx0x9jep00uvx0s1fvaww2dfa0r9" timestamp="1696267441"&gt;106&lt;/key&gt;&lt;/foreign-keys&gt;&lt;ref-type name="Journal Article"&gt;17&lt;/ref-type&gt;&lt;contributors&gt;&lt;authors&gt;&lt;author&gt;Zhu, Z Q&lt;/author&gt;&lt;author&gt;Azar, Z&lt;/author&gt;&lt;author&gt;Ombach, G&lt;/author&gt;&lt;/authors&gt;&lt;/contributors&gt;&lt;titles&gt;&lt;title&gt;Influence of additional air gaps between stator segments on cogging torque of permanent-magnet machines having modular stators&lt;/title&gt;&lt;secondary-title&gt;IEEE Transactions on Magnetics&lt;/secondary-title&gt;&lt;/titles&gt;&lt;periodical&gt;&lt;full-title&gt;IEEE Transactions on Magnetics&lt;/full-title&gt;&lt;/periodical&gt;&lt;pages&gt;2049-2055&lt;/pages&gt;&lt;volume&gt;48&lt;/volume&gt;&lt;number&gt;6&lt;/number&gt;&lt;dates&gt;&lt;year&gt;2011&lt;/year&gt;&lt;/dates&gt;&lt;isbn&gt;0018-9464&lt;/isbn&gt;&lt;urls&gt;&lt;/urls&gt;&lt;/record&gt;&lt;/Cite&gt;&lt;/EndNote&gt;</w:instrText>
      </w:r>
      <w:r w:rsidRPr="00FC71BE">
        <w:fldChar w:fldCharType="separate"/>
      </w:r>
      <w:r w:rsidRPr="00FC71BE">
        <w:t>[34]</w:t>
      </w:r>
      <w:r w:rsidRPr="00FC71BE">
        <w:fldChar w:fldCharType="end"/>
      </w:r>
      <w:r w:rsidRPr="00FC71BE">
        <w:t>.</w:t>
      </w:r>
    </w:p>
    <w:p w14:paraId="14FAFAA4" w14:textId="3A55FD32" w:rsidR="00416180" w:rsidRPr="00FC71BE" w:rsidRDefault="00416180" w:rsidP="00416180">
      <w:r w:rsidRPr="00FC71BE">
        <w:t xml:space="preserve">The concept of modularity technology extends to the stator design of FSPMs </w:t>
      </w:r>
      <w:r w:rsidRPr="00FC71BE">
        <w:fldChar w:fldCharType="begin"/>
      </w:r>
      <w:r w:rsidR="00103B0D" w:rsidRPr="00FC71BE">
        <w:instrText xml:space="preserve"> ADDIN EN.CITE &lt;EndNote&gt;&lt;Cite&gt;&lt;Author&gt;Hoang&lt;/Author&gt;&lt;Year&gt;1997&lt;/Year&gt;&lt;RecNum&gt;108&lt;/RecNum&gt;&lt;DisplayText&gt;[35, 36]&lt;/DisplayText&gt;&lt;record&gt;&lt;rec-number&gt;108&lt;/rec-number&gt;&lt;foreign-keys&gt;&lt;key app="EN" db-id="rf2p5e05jx0x9jep00uvx0s1fvaww2dfa0r9" timestamp="1696273133"&gt;108&lt;/key&gt;&lt;/foreign-keys&gt;&lt;ref-type name="Conference Proceedings"&gt;10&lt;/ref-type&gt;&lt;contributors&gt;&lt;authors&gt;&lt;author&gt;Hoang, Emmanuel&lt;/author&gt;&lt;author&gt;Ahmed, Hamid Ben&lt;/author&gt;&lt;author&gt;Lucidarme, Jean&lt;/author&gt;&lt;/authors&gt;&lt;/contributors&gt;&lt;titles&gt;&lt;title&gt;Switching flux permanent magnet polyphased synchronous machines&lt;/title&gt;&lt;secondary-title&gt;EPE 97&lt;/secondary-title&gt;&lt;/titles&gt;&lt;dates&gt;&lt;year&gt;1997&lt;/year&gt;&lt;/dates&gt;&lt;urls&gt;&lt;/urls&gt;&lt;/record&gt;&lt;/Cite&gt;&lt;Cite&gt;&lt;Author&gt;Owen&lt;/Author&gt;&lt;Year&gt;2010&lt;/Year&gt;&lt;RecNum&gt;109&lt;/RecNum&gt;&lt;record&gt;&lt;rec-number&gt;109&lt;/rec-number&gt;&lt;foreign-keys&gt;&lt;key app="EN" db-id="rf2p5e05jx0x9jep00uvx0s1fvaww2dfa0r9" timestamp="1696273297"&gt;109&lt;/key&gt;&lt;/foreign-keys&gt;&lt;ref-type name="Journal Article"&gt;17&lt;/ref-type&gt;&lt;contributors&gt;&lt;authors&gt;&lt;author&gt;Owen, Richard L&lt;/author&gt;&lt;author&gt;Zhu, Z Q&lt;/author&gt;&lt;author&gt;Thomas, Arwyn S&lt;/author&gt;&lt;author&gt;Jewell, Geraint W&lt;/author&gt;&lt;author&gt;Howe, David&lt;/author&gt;&lt;/authors&gt;&lt;/contributors&gt;&lt;titles&gt;&lt;title&gt;Alternate poles wound flux-switching permanent-magnet brushless AC machines&lt;/title&gt;&lt;secondary-title&gt;IEEE Transactions on Industry Applications&lt;/secondary-title&gt;&lt;/titles&gt;&lt;periodical&gt;&lt;full-title&gt;IEEE Transactions on Industry Applications&lt;/full-title&gt;&lt;/periodical&gt;&lt;pages&gt;790-797&lt;/pages&gt;&lt;volume&gt;46&lt;/volume&gt;&lt;number&gt;2&lt;/number&gt;&lt;dates&gt;&lt;year&gt;2010&lt;/year&gt;&lt;/dates&gt;&lt;isbn&gt;0093-9994&lt;/isbn&gt;&lt;urls&gt;&lt;/urls&gt;&lt;/record&gt;&lt;/Cite&gt;&lt;/EndNote&gt;</w:instrText>
      </w:r>
      <w:r w:rsidRPr="00FC71BE">
        <w:fldChar w:fldCharType="separate"/>
      </w:r>
      <w:r w:rsidRPr="00FC71BE">
        <w:t>[35, 36]</w:t>
      </w:r>
      <w:r w:rsidRPr="00FC71BE">
        <w:fldChar w:fldCharType="end"/>
      </w:r>
      <w:r w:rsidRPr="00FC71BE">
        <w:t xml:space="preserve">. In this approach, the PM is selectively removed from alternate stator teeth as shown in </w:t>
      </w:r>
      <w:r w:rsidRPr="00FC71BE">
        <w:fldChar w:fldCharType="begin"/>
      </w:r>
      <w:r w:rsidRPr="00FC71BE">
        <w:instrText xml:space="preserve"> REF _Ref147169612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5</w:t>
      </w:r>
      <w:r w:rsidRPr="00FC71BE">
        <w:fldChar w:fldCharType="end"/>
      </w:r>
      <w:r w:rsidRPr="00FC71BE">
        <w:t xml:space="preserve">. Research findings revealed that, the modular stator exhibits significantly enhanced fault-tolerant capability but comes at the cost of reduced power density. However, by maintaining the same PM volume, it becomes possible to achieve higher torque and power density in this design </w:t>
      </w:r>
      <w:r w:rsidRPr="00FC71BE">
        <w:fldChar w:fldCharType="begin"/>
      </w:r>
      <w:r w:rsidR="00103B0D" w:rsidRPr="00FC71BE">
        <w:instrText xml:space="preserve"> ADDIN EN.CITE &lt;EndNote&gt;&lt;Cite&gt;&lt;Author&gt;Zhang&lt;/Author&gt;&lt;Year&gt;2022&lt;/Year&gt;&lt;RecNum&gt;100&lt;/RecNum&gt;&lt;DisplayText&gt;[28, 37]&lt;/DisplayText&gt;&lt;record&gt;&lt;rec-number&gt;100&lt;/rec-number&gt;&lt;foreign-keys&gt;&lt;key app="EN" db-id="rf2p5e05jx0x9jep00uvx0s1fvaww2dfa0r9" timestamp="1695911746"&gt;100&lt;/key&gt;&lt;/foreign-keys&gt;&lt;ref-type name="Conference Proceedings"&gt;10&lt;/ref-type&gt;&lt;contributors&gt;&lt;authors&gt;&lt;author&gt;Zhang, G B&lt;/author&gt;&lt;author&gt;Li, G J&lt;/author&gt;&lt;/authors&gt;&lt;/contributors&gt;&lt;titles&gt;&lt;title&gt;Performance Comparison of Optimized Stator-Mounted Permanent Magnet Machines Focusing on PM Usage&lt;/title&gt;&lt;secondary-title&gt;2022 IEEE Energy Conversion Congress and Exposition (ECCE)&lt;/secondary-title&gt;&lt;/titles&gt;&lt;pages&gt;1-7&lt;/pages&gt;&lt;dates&gt;&lt;year&gt;2022&lt;/year&gt;&lt;/dates&gt;&lt;publisher&gt;IEEE&lt;/publisher&gt;&lt;isbn&gt;1728193877&lt;/isbn&gt;&lt;urls&gt;&lt;/urls&gt;&lt;/record&gt;&lt;/Cite&gt;&lt;Cite&gt;&lt;Author&gt;Jin&lt;/Author&gt;&lt;Year&gt;2009&lt;/Year&gt;&lt;RecNum&gt;110&lt;/RecNum&gt;&lt;record&gt;&lt;rec-number&gt;110&lt;/rec-number&gt;&lt;foreign-keys&gt;&lt;key app="EN" db-id="rf2p5e05jx0x9jep00uvx0s1fvaww2dfa0r9" timestamp="1696273812"&gt;110&lt;/key&gt;&lt;/foreign-keys&gt;&lt;ref-type name="Journal Article"&gt;17&lt;/ref-type&gt;&lt;contributors&gt;&lt;authors&gt;&lt;author&gt;Jin, Meng Jia&lt;/author&gt;&lt;author&gt;Wang, Can Fei&lt;/author&gt;&lt;author&gt;Shen, Jian Xin&lt;/author&gt;&lt;author&gt;Xia, Bing&lt;/author&gt;&lt;/authors&gt;&lt;/contributors&gt;&lt;titles&gt;&lt;title&gt;A modular permanent-magnet flux-switching linear machine with fault-tolerant capability&lt;/title&gt;&lt;secondary-title&gt;IEEE Transactions on Magnetics&lt;/secondary-title&gt;&lt;/titles&gt;&lt;periodical&gt;&lt;full-title&gt;IEEE Transactions on Magnetics&lt;/full-title&gt;&lt;/periodical&gt;&lt;pages&gt;3179-3186&lt;/pages&gt;&lt;volume&gt;45&lt;/volume&gt;&lt;number&gt;8&lt;/number&gt;&lt;dates&gt;&lt;year&gt;2009&lt;/year&gt;&lt;/dates&gt;&lt;isbn&gt;0018-9464&lt;/isbn&gt;&lt;urls&gt;&lt;/urls&gt;&lt;/record&gt;&lt;/Cite&gt;&lt;/EndNote&gt;</w:instrText>
      </w:r>
      <w:r w:rsidRPr="00FC71BE">
        <w:fldChar w:fldCharType="separate"/>
      </w:r>
      <w:r w:rsidRPr="00FC71BE">
        <w:t>[28, 37]</w:t>
      </w:r>
      <w:r w:rsidRPr="00FC71BE">
        <w:fldChar w:fldCharType="end"/>
      </w:r>
      <w:r w:rsidRPr="00FC71BE">
        <w:t>.</w:t>
      </w:r>
    </w:p>
    <w:p w14:paraId="7B6E184D" w14:textId="77777777" w:rsidR="00416180" w:rsidRPr="00FC71BE" w:rsidRDefault="00416180" w:rsidP="00416180">
      <w:pPr>
        <w:pStyle w:val="Figure"/>
        <w:rPr>
          <w:noProof w:val="0"/>
        </w:rPr>
      </w:pPr>
      <w:r w:rsidRPr="00FC71BE">
        <w:drawing>
          <wp:inline distT="0" distB="0" distL="0" distR="0" wp14:anchorId="7899F694" wp14:editId="459590EA">
            <wp:extent cx="2629119" cy="2620370"/>
            <wp:effectExtent l="0" t="0" r="0" b="8890"/>
            <wp:docPr id="81313218" name="Picture 81313218" descr="A circular design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3218" name="Picture 1" descr="A circular design with different colored lines&#10;&#10;Description automatically generated"/>
                    <pic:cNvPicPr/>
                  </pic:nvPicPr>
                  <pic:blipFill>
                    <a:blip r:embed="rId22"/>
                    <a:stretch>
                      <a:fillRect/>
                    </a:stretch>
                  </pic:blipFill>
                  <pic:spPr>
                    <a:xfrm>
                      <a:off x="0" y="0"/>
                      <a:ext cx="2653675" cy="2644844"/>
                    </a:xfrm>
                    <a:prstGeom prst="rect">
                      <a:avLst/>
                    </a:prstGeom>
                  </pic:spPr>
                </pic:pic>
              </a:graphicData>
            </a:graphic>
          </wp:inline>
        </w:drawing>
      </w:r>
    </w:p>
    <w:p w14:paraId="49A7410D" w14:textId="0197A948" w:rsidR="00416180" w:rsidRPr="00FC71BE" w:rsidRDefault="00416180" w:rsidP="00416180">
      <w:pPr>
        <w:pStyle w:val="FigureTitle"/>
      </w:pPr>
      <w:bookmarkStart w:id="18" w:name="_Ref147169612"/>
      <w:r w:rsidRPr="00FC71BE">
        <w:t xml:space="preserve">Fig. </w:t>
      </w:r>
      <w:fldSimple w:instr=" STYLEREF 1 \s ">
        <w:r w:rsidR="007E62C1" w:rsidRPr="00FC71BE">
          <w:rPr>
            <w:noProof/>
          </w:rPr>
          <w:t>1</w:t>
        </w:r>
      </w:fldSimple>
      <w:r w:rsidRPr="00FC71BE">
        <w:t>.</w:t>
      </w:r>
      <w:fldSimple w:instr=" SEQ Fig. \* ARABIC \s 1 ">
        <w:r w:rsidR="007E62C1" w:rsidRPr="00FC71BE">
          <w:rPr>
            <w:noProof/>
          </w:rPr>
          <w:t>5</w:t>
        </w:r>
      </w:fldSimple>
      <w:bookmarkEnd w:id="18"/>
      <w:r w:rsidRPr="00FC71BE">
        <w:t xml:space="preserve">. Topology of FSPM with stator modularity </w:t>
      </w:r>
      <w:r w:rsidRPr="00FC71BE">
        <w:fldChar w:fldCharType="begin"/>
      </w:r>
      <w:r w:rsidR="00103B0D" w:rsidRPr="00FC71BE">
        <w:instrText xml:space="preserve"> ADDIN EN.CITE &lt;EndNote&gt;&lt;Cite&gt;&lt;Author&gt;Zhang&lt;/Author&gt;&lt;Year&gt;2022&lt;/Year&gt;&lt;RecNum&gt;100&lt;/RecNum&gt;&lt;DisplayText&gt;[28]&lt;/DisplayText&gt;&lt;record&gt;&lt;rec-number&gt;100&lt;/rec-number&gt;&lt;foreign-keys&gt;&lt;key app="EN" db-id="rf2p5e05jx0x9jep00uvx0s1fvaww2dfa0r9" timestamp="1695911746"&gt;100&lt;/key&gt;&lt;/foreign-keys&gt;&lt;ref-type name="Conference Proceedings"&gt;10&lt;/ref-type&gt;&lt;contributors&gt;&lt;authors&gt;&lt;author&gt;Zhang, G B&lt;/author&gt;&lt;author&gt;Li, G J&lt;/author&gt;&lt;/authors&gt;&lt;/contributors&gt;&lt;titles&gt;&lt;title&gt;Performance Comparison of Optimized Stator-Mounted Permanent Magnet Machines Focusing on PM Usage&lt;/title&gt;&lt;secondary-title&gt;2022 IEEE Energy Conversion Congress and Exposition (ECCE)&lt;/secondary-title&gt;&lt;/titles&gt;&lt;pages&gt;1-7&lt;/pages&gt;&lt;dates&gt;&lt;year&gt;2022&lt;/year&gt;&lt;/dates&gt;&lt;publisher&gt;IEEE&lt;/publisher&gt;&lt;isbn&gt;1728193877&lt;/isbn&gt;&lt;urls&gt;&lt;/urls&gt;&lt;/record&gt;&lt;/Cite&gt;&lt;/EndNote&gt;</w:instrText>
      </w:r>
      <w:r w:rsidRPr="00FC71BE">
        <w:fldChar w:fldCharType="separate"/>
      </w:r>
      <w:r w:rsidRPr="00FC71BE">
        <w:t>[28]</w:t>
      </w:r>
      <w:r w:rsidRPr="00FC71BE">
        <w:fldChar w:fldCharType="end"/>
      </w:r>
      <w:r w:rsidRPr="00FC71BE">
        <w:t>.</w:t>
      </w:r>
    </w:p>
    <w:p w14:paraId="30776BF6" w14:textId="32BEF140" w:rsidR="00416180" w:rsidRPr="00FC71BE" w:rsidRDefault="00416180" w:rsidP="00416180">
      <w:r w:rsidRPr="00FC71BE">
        <w:t xml:space="preserve">Number of literatures from Li </w:t>
      </w:r>
      <w:r w:rsidRPr="00FC71BE">
        <w:rPr>
          <w:i/>
          <w:iCs/>
        </w:rPr>
        <w:t>et al</w:t>
      </w:r>
      <w:r w:rsidRPr="00FC71BE">
        <w:t xml:space="preserve"> </w:t>
      </w:r>
      <w:r w:rsidRPr="00FC71BE">
        <w:fldChar w:fldCharType="begin">
          <w:fldData xml:space="preserve">PEVuZE5vdGU+PENpdGU+PEF1dGhvcj5MaTwvQXV0aG9yPjxZZWFyPjIwMTQ8L1llYXI+PFJlY051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=
</w:fldData>
        </w:fldChar>
      </w:r>
      <w:r w:rsidR="00103B0D" w:rsidRPr="00FC71BE">
        <w:instrText xml:space="preserve"> ADDIN EN.CITE </w:instrText>
      </w:r>
      <w:r w:rsidR="00103B0D" w:rsidRPr="00FC71BE">
        <w:fldChar w:fldCharType="begin">
          <w:fldData xml:space="preserve">PEVuZE5vdGU+PENpdGU+PEF1dGhvcj5MaTwvQXV0aG9yPjxZZWFyPjIwMTQ8L1llYXI+PFJlY051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=
</w:fldData>
        </w:fldChar>
      </w:r>
      <w:r w:rsidR="00103B0D" w:rsidRPr="00FC71BE">
        <w:instrText xml:space="preserve"> ADDIN EN.CITE.DATA </w:instrText>
      </w:r>
      <w:r w:rsidR="00103B0D" w:rsidRPr="00FC71BE">
        <w:fldChar w:fldCharType="end"/>
      </w:r>
      <w:r w:rsidRPr="00FC71BE">
        <w:fldChar w:fldCharType="separate"/>
      </w:r>
      <w:r w:rsidRPr="00FC71BE">
        <w:t>[38-47]</w:t>
      </w:r>
      <w:r w:rsidRPr="00FC71BE">
        <w:fldChar w:fldCharType="end"/>
      </w:r>
      <w:r w:rsidRPr="00FC71BE">
        <w:t xml:space="preserve"> elves deep into the investigation and analysis of the influence of flux gaps on the electromagnetic performance of modular PM machines as shown in </w:t>
      </w:r>
      <w:r w:rsidRPr="00FC71BE">
        <w:fldChar w:fldCharType="begin"/>
      </w:r>
      <w:r w:rsidRPr="00FC71BE">
        <w:instrText xml:space="preserve"> REF _Ref147173300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6</w:t>
      </w:r>
      <w:r w:rsidRPr="00FC71BE">
        <w:fldChar w:fldCharType="end"/>
      </w:r>
      <w:r w:rsidRPr="00FC71BE">
        <w:t xml:space="preserve">. Their research explores the influences of flux gaps on electromagnetic performance of 12-slot/14-pole and 12-slot/10-pole SPM machine with stator modularity, as detailed in </w:t>
      </w:r>
      <w:r w:rsidRPr="00FC71BE">
        <w:fldChar w:fldCharType="begin"/>
      </w:r>
      <w:r w:rsidR="00103B0D" w:rsidRPr="00FC71BE">
        <w:instrText xml:space="preserve"> ADDIN EN.CITE &lt;EndNote&gt;&lt;Cite&gt;&lt;Author&gt;Li&lt;/Author&gt;&lt;Year&gt;2014&lt;/Year&gt;&lt;RecNum&gt;3&lt;/RecNum&gt;&lt;DisplayText&gt;[42]&lt;/DisplayText&gt;&lt;record&gt;&lt;rec-number&gt;3&lt;/rec-number&gt;&lt;foreign-keys&gt;&lt;key app="EN" db-id="rf2p5e05jx0x9jep00uvx0s1fvaww2dfa0r9" timestamp="1688999520"&gt;3&lt;/key&gt;&lt;/foreign-keys&gt;&lt;ref-type name="Journal Article"&gt;17&lt;/ref-type&gt;&lt;contributors&gt;&lt;authors&gt;&lt;author&gt;Li, G J&lt;/author&gt;&lt;author&gt;Zhu, Z Q&lt;/author&gt;&lt;author&gt;Chu, W Q&lt;/author&gt;&lt;author&gt;Foster, M P&lt;/author&gt;&lt;author&gt;Stone, D A&lt;/author&gt;&lt;/authors&gt;&lt;/contributors&gt;&lt;titles&gt;&lt;title&gt;Influence of flux gaps on electromagnetic performance of novel modular PM machines&lt;/title&gt;&lt;secondary-title&gt;IEEE Transactions on Energy Conversion&lt;/secondary-title&gt;&lt;/titles&gt;&lt;periodical&gt;&lt;full-title&gt;IEEE Transactions on Energy Conversion&lt;/full-title&gt;&lt;/periodical&gt;&lt;pages&gt;716-726&lt;/pages&gt;&lt;volume&gt;29&lt;/volume&gt;&lt;number&gt;3&lt;/number&gt;&lt;dates&gt;&lt;year&gt;2014&lt;/year&gt;&lt;/dates&gt;&lt;isbn&gt;0885-8969&lt;/isbn&gt;&lt;urls&gt;&lt;/urls&gt;&lt;/record&gt;&lt;/Cite&gt;&lt;/EndNote&gt;</w:instrText>
      </w:r>
      <w:r w:rsidRPr="00FC71BE">
        <w:fldChar w:fldCharType="separate"/>
      </w:r>
      <w:r w:rsidRPr="00FC71BE">
        <w:t>[42]</w:t>
      </w:r>
      <w:r w:rsidRPr="00FC71BE">
        <w:fldChar w:fldCharType="end"/>
      </w:r>
      <w:r w:rsidRPr="00FC71BE">
        <w:t xml:space="preserve">. By inserting flux gaps in alternative stator teeth, this topology effectively </w:t>
      </w:r>
      <w:r w:rsidRPr="00FC71BE">
        <w:lastRenderedPageBreak/>
        <w:t>prevents the flux of one phase from crossing into other phases. This configuration brings about significant reductions in mutual inductance between phases and an enhancement in fault-tolerant capabilities. Moreover, the presence of flux gaps contributes to a reduction in short-circuit currents and diminishes the impact of faults between phases.</w:t>
      </w:r>
    </w:p>
    <w:p w14:paraId="707586D8" w14:textId="77777777" w:rsidR="00416180" w:rsidRPr="00FC71BE" w:rsidRDefault="00416180" w:rsidP="00416180">
      <w:pPr>
        <w:pStyle w:val="Figure"/>
        <w:rPr>
          <w:noProof w:val="0"/>
        </w:rPr>
      </w:pPr>
      <w:r w:rsidRPr="00FC71BE">
        <w:drawing>
          <wp:inline distT="0" distB="0" distL="0" distR="0" wp14:anchorId="15E5324F" wp14:editId="14C7B740">
            <wp:extent cx="2830706" cy="2762964"/>
            <wp:effectExtent l="0" t="0" r="8255" b="0"/>
            <wp:docPr id="36" name="Picture 36" descr="A diagram of a circular object&#10;&#10;Description automatically generated">
              <a:extLst xmlns:a="http://schemas.openxmlformats.org/drawingml/2006/main">
                <a:ext uri="{FF2B5EF4-FFF2-40B4-BE49-F238E27FC236}">
                  <a16:creationId xmlns:a16="http://schemas.microsoft.com/office/drawing/2014/main" id="{8925CA80-D594-07CC-2AA4-33AFB8AE59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A diagram of a circular object&#10;&#10;Description automatically generated">
                      <a:extLst>
                        <a:ext uri="{FF2B5EF4-FFF2-40B4-BE49-F238E27FC236}">
                          <a16:creationId xmlns:a16="http://schemas.microsoft.com/office/drawing/2014/main" id="{8925CA80-D594-07CC-2AA4-33AFB8AE59DB}"/>
                        </a:ext>
                      </a:extLst>
                    </pic:cNvPr>
                    <pic:cNvPicPr>
                      <a:picLocks noChangeAspect="1"/>
                    </pic:cNvPicPr>
                  </pic:nvPicPr>
                  <pic:blipFill>
                    <a:blip r:embed="rId23"/>
                    <a:stretch>
                      <a:fillRect/>
                    </a:stretch>
                  </pic:blipFill>
                  <pic:spPr>
                    <a:xfrm>
                      <a:off x="0" y="0"/>
                      <a:ext cx="2838959" cy="2771020"/>
                    </a:xfrm>
                    <a:prstGeom prst="rect">
                      <a:avLst/>
                    </a:prstGeom>
                  </pic:spPr>
                </pic:pic>
              </a:graphicData>
            </a:graphic>
          </wp:inline>
        </w:drawing>
      </w:r>
    </w:p>
    <w:p w14:paraId="67C2FB6F" w14:textId="3937FEBA" w:rsidR="00416180" w:rsidRPr="00FC71BE" w:rsidRDefault="00416180" w:rsidP="00416180">
      <w:pPr>
        <w:pStyle w:val="FigureTitle"/>
      </w:pPr>
      <w:bookmarkStart w:id="19" w:name="_Ref147173300"/>
      <w:r w:rsidRPr="00FC71BE">
        <w:t xml:space="preserve">Fig. </w:t>
      </w:r>
      <w:fldSimple w:instr=" STYLEREF 1 \s ">
        <w:r w:rsidR="007E62C1" w:rsidRPr="00FC71BE">
          <w:rPr>
            <w:noProof/>
          </w:rPr>
          <w:t>1</w:t>
        </w:r>
      </w:fldSimple>
      <w:r w:rsidRPr="00FC71BE">
        <w:t>.</w:t>
      </w:r>
      <w:fldSimple w:instr=" SEQ Fig. \* ARABIC \s 1 ">
        <w:r w:rsidR="007E62C1" w:rsidRPr="00FC71BE">
          <w:rPr>
            <w:noProof/>
          </w:rPr>
          <w:t>6</w:t>
        </w:r>
      </w:fldSimple>
      <w:bookmarkEnd w:id="19"/>
      <w:r w:rsidRPr="00FC71BE">
        <w:t xml:space="preserve">. Topology of SPM with stator modularity </w:t>
      </w:r>
      <w:r w:rsidRPr="00FC71BE">
        <w:fldChar w:fldCharType="begin"/>
      </w:r>
      <w:r w:rsidR="00103B0D" w:rsidRPr="00FC71BE">
        <w:instrText xml:space="preserve"> ADDIN EN.CITE &lt;EndNote&gt;&lt;Cite&gt;&lt;Author&gt;Li&lt;/Author&gt;&lt;Year&gt;2014&lt;/Year&gt;&lt;RecNum&gt;3&lt;/RecNum&gt;&lt;DisplayText&gt;[42]&lt;/DisplayText&gt;&lt;record&gt;&lt;rec-number&gt;3&lt;/rec-number&gt;&lt;foreign-keys&gt;&lt;key app="EN" db-id="rf2p5e05jx0x9jep00uvx0s1fvaww2dfa0r9" timestamp="1688999520"&gt;3&lt;/key&gt;&lt;/foreign-keys&gt;&lt;ref-type name="Journal Article"&gt;17&lt;/ref-type&gt;&lt;contributors&gt;&lt;authors&gt;&lt;author&gt;Li, G J&lt;/author&gt;&lt;author&gt;Zhu, Z Q&lt;/author&gt;&lt;author&gt;Chu, W Q&lt;/author&gt;&lt;author&gt;Foster, M P&lt;/author&gt;&lt;author&gt;Stone, D A&lt;/author&gt;&lt;/authors&gt;&lt;/contributors&gt;&lt;titles&gt;&lt;title&gt;Influence of flux gaps on electromagnetic performance of novel modular PM machines&lt;/title&gt;&lt;secondary-title&gt;IEEE Transactions on Energy Conversion&lt;/secondary-title&gt;&lt;/titles&gt;&lt;periodical&gt;&lt;full-title&gt;IEEE Transactions on Energy Conversion&lt;/full-title&gt;&lt;/periodical&gt;&lt;pages&gt;716-726&lt;/pages&gt;&lt;volume&gt;29&lt;/volume&gt;&lt;number&gt;3&lt;/number&gt;&lt;dates&gt;&lt;year&gt;2014&lt;/year&gt;&lt;/dates&gt;&lt;isbn&gt;0885-8969&lt;/isbn&gt;&lt;urls&gt;&lt;/urls&gt;&lt;/record&gt;&lt;/Cite&gt;&lt;/EndNote&gt;</w:instrText>
      </w:r>
      <w:r w:rsidRPr="00FC71BE">
        <w:fldChar w:fldCharType="separate"/>
      </w:r>
      <w:r w:rsidRPr="00FC71BE">
        <w:t>[42]</w:t>
      </w:r>
      <w:r w:rsidRPr="00FC71BE">
        <w:fldChar w:fldCharType="end"/>
      </w:r>
      <w:r w:rsidRPr="00FC71BE">
        <w:t>.</w:t>
      </w:r>
    </w:p>
    <w:p w14:paraId="3E34D1FA" w14:textId="3883AD31" w:rsidR="00416180" w:rsidRPr="00FC71BE" w:rsidRDefault="00416180" w:rsidP="00416180">
      <w:r w:rsidRPr="00FC71BE">
        <w:t xml:space="preserve">In </w:t>
      </w:r>
      <w:r w:rsidRPr="00FC71BE">
        <w:fldChar w:fldCharType="begin"/>
      </w:r>
      <w:r w:rsidR="00103B0D" w:rsidRPr="00FC71BE">
        <w:instrText xml:space="preserve"> ADDIN EN.CITE &lt;EndNote&gt;&lt;Cite&gt;&lt;Author&gt;Li&lt;/Author&gt;&lt;Year&gt;2015&lt;/Year&gt;&lt;RecNum&gt;6&lt;/RecNum&gt;&lt;DisplayText&gt;[43]&lt;/DisplayText&gt;&lt;record&gt;&lt;rec-number&gt;6&lt;/rec-number&gt;&lt;foreign-keys&gt;&lt;key app="EN" db-id="rf2p5e05jx0x9jep00uvx0s1fvaww2dfa0r9" timestamp="1688999526"&gt;6&lt;/key&gt;&lt;/foreign-keys&gt;&lt;ref-type name="Journal Article"&gt;17&lt;/ref-type&gt;&lt;contributors&gt;&lt;authors&gt;&lt;author&gt;Li, G J&lt;/author&gt;&lt;author&gt;Zhu, Z Q&lt;/author&gt;&lt;/authors&gt;&lt;/contributors&gt;&lt;titles&gt;&lt;title&gt;Analytical modeling of modular and unequal tooth width surface-mounted permanent magnet machines&lt;/title&gt;&lt;secondary-title&gt;IEEE transactions on magnetics&lt;/secondary-title&gt;&lt;/titles&gt;&lt;periodical&gt;&lt;full-title&gt;IEEE Transactions on Magnetics&lt;/full-title&gt;&lt;/periodical&gt;&lt;pages&gt;1-9&lt;/pages&gt;&lt;volume&gt;51&lt;/volume&gt;&lt;number&gt;9&lt;/number&gt;&lt;dates&gt;&lt;year&gt;2015&lt;/year&gt;&lt;/dates&gt;&lt;isbn&gt;0018-9464&lt;/isbn&gt;&lt;urls&gt;&lt;/urls&gt;&lt;/record&gt;&lt;/Cite&gt;&lt;/EndNote&gt;</w:instrText>
      </w:r>
      <w:r w:rsidRPr="00FC71BE">
        <w:fldChar w:fldCharType="separate"/>
      </w:r>
      <w:r w:rsidRPr="00FC71BE">
        <w:t>[43]</w:t>
      </w:r>
      <w:r w:rsidRPr="00FC71BE">
        <w:fldChar w:fldCharType="end"/>
      </w:r>
      <w:r w:rsidRPr="00FC71BE">
        <w:t xml:space="preserve">, an analytical modelling of the modular SPM machines is established. The findings from this study reveal that the introduction of flux gaps in alternative stator teeth has several significant effects. It not only improves the winding factor, more precisely, pitch factor, but also enhances the open-circuit airgap flux density. Additionally, it introduces an extra flux focusing effect for the machines, but only when their pole number (2p) is larger than slot number (Ns). These threefold effects in modular machine with </w:t>
      </w:r>
      <m:oMath>
        <m:r>
          <m:rPr>
            <m:sty m:val="p"/>
          </m:rPr>
          <w:rPr>
            <w:rFonts w:ascii="Cambria Math" w:hAnsi="Cambria Math"/>
          </w:rPr>
          <m:t>2p&gt;Ns</m:t>
        </m:r>
      </m:oMath>
      <w:r w:rsidRPr="00FC71BE">
        <w:t xml:space="preserve"> result in higher torque and power density. It is noteworthy, however, that these threefold effects have a negative impact on modular machines with </w:t>
      </w:r>
      <m:oMath>
        <m:r>
          <m:rPr>
            <m:sty m:val="p"/>
          </m:rPr>
          <w:rPr>
            <w:rFonts w:ascii="Cambria Math" w:hAnsi="Cambria Math"/>
          </w:rPr>
          <m:t>2p&lt;Ns</m:t>
        </m:r>
      </m:oMath>
      <w:r w:rsidRPr="00FC71BE">
        <w:rPr>
          <w:iCs/>
        </w:rPr>
        <w:t>. In such cases, the flux defocusing, together with reduced pitch factor and decreased open-circuit airgap flux density, leads to a reduction in electromagnetic torque.</w:t>
      </w:r>
    </w:p>
    <w:p w14:paraId="0B6838F1" w14:textId="1A83C580" w:rsidR="00416180" w:rsidRPr="00FC71BE" w:rsidRDefault="00416180" w:rsidP="00416180">
      <w:pPr>
        <w:rPr>
          <w:iCs/>
        </w:rPr>
      </w:pPr>
      <w:r w:rsidRPr="00FC71BE">
        <w:t xml:space="preserve">Furthermore, the introduction of flux gaps in modular machines has been shown to improving demagnetization withstand capability </w:t>
      </w:r>
      <w:r w:rsidRPr="00FC71BE">
        <w:fldChar w:fldCharType="begin"/>
      </w:r>
      <w:r w:rsidR="00103B0D" w:rsidRPr="00FC71BE">
        <w:instrText xml:space="preserve"> ADDIN EN.CITE &lt;EndNote&gt;&lt;Cite&gt;&lt;Author&gt;Li&lt;/Author&gt;&lt;Year&gt;2017&lt;/Year&gt;&lt;RecNum&gt;42&lt;/RecNum&gt;&lt;DisplayText&gt;[44]&lt;/DisplayText&gt;&lt;record&gt;&lt;rec-number&gt;42&lt;/rec-number&gt;&lt;foreign-keys&gt;&lt;key app="EN" db-id="rf2p5e05jx0x9jep00uvx0s1fvaww2dfa0r9" timestamp="1689526697"&gt;42&lt;/key&gt;&lt;/foreign-keys&gt;&lt;ref-type name="Journal Article"&gt;17&lt;/ref-type&gt;&lt;contributors&gt;&lt;authors&gt;&lt;author&gt;Li, Guang Jin&lt;/author&gt;&lt;author&gt;Ren, Bo&lt;/author&gt;&lt;author&gt;Zhu, Zi Qiang&lt;/author&gt;&lt;author&gt;Foster, Martin&lt;/author&gt;&lt;author&gt;Stone, David&lt;/author&gt;&lt;/authors&gt;&lt;/contributors&gt;&lt;titles&gt;&lt;title&gt;Demagnetization withstand capability enhancement of surface mounted PM machines using stator modularity&lt;/title&gt;&lt;secondary-title&gt;IEEE Transactions on Industry Applications&lt;/secondary-title&gt;&lt;/titles&gt;&lt;periodical&gt;&lt;full-title&gt;IEEE Transactions on Industry Applications&lt;/full-title&gt;&lt;/periodical&gt;&lt;pages&gt;1302-1311&lt;/pages&gt;&lt;volume&gt;54&lt;/volume&gt;&lt;number&gt;2&lt;/number&gt;&lt;dates&gt;&lt;year&gt;2017&lt;/year&gt;&lt;/dates&gt;&lt;isbn&gt;0093-9994&lt;/isbn&gt;&lt;urls&gt;&lt;/urls&gt;&lt;/record&gt;&lt;/Cite&gt;&lt;/EndNote&gt;</w:instrText>
      </w:r>
      <w:r w:rsidRPr="00FC71BE">
        <w:fldChar w:fldCharType="separate"/>
      </w:r>
      <w:r w:rsidRPr="00FC71BE">
        <w:t>[44]</w:t>
      </w:r>
      <w:r w:rsidRPr="00FC71BE">
        <w:fldChar w:fldCharType="end"/>
      </w:r>
      <w:r w:rsidRPr="00FC71BE">
        <w:t xml:space="preserve">. Similar to its impact on torque and power density, flux gaps can also mitigate magnet demagnetization for the modular machines with </w:t>
      </w:r>
      <m:oMath>
        <m:r>
          <m:rPr>
            <m:sty m:val="p"/>
          </m:rPr>
          <w:rPr>
            <w:rFonts w:ascii="Cambria Math" w:hAnsi="Cambria Math"/>
          </w:rPr>
          <m:t>2p&gt;Ns</m:t>
        </m:r>
      </m:oMath>
      <w:r w:rsidRPr="00FC71BE">
        <w:rPr>
          <w:iCs/>
        </w:rPr>
        <w:t xml:space="preserve">, in contrast to modular machine with </w:t>
      </w:r>
      <m:oMath>
        <m:r>
          <m:rPr>
            <m:sty m:val="p"/>
          </m:rPr>
          <w:rPr>
            <w:rFonts w:ascii="Cambria Math" w:hAnsi="Cambria Math"/>
          </w:rPr>
          <m:t>2p&lt;Ns</m:t>
        </m:r>
      </m:oMath>
      <w:r w:rsidRPr="00FC71BE">
        <w:rPr>
          <w:iCs/>
        </w:rPr>
        <w:t>, where the introduction of flux gaps exacerbates magnet demagnetization.</w:t>
      </w:r>
    </w:p>
    <w:p w14:paraId="385D3637" w14:textId="2256966E" w:rsidR="00416180" w:rsidRPr="00FC71BE" w:rsidRDefault="00416180" w:rsidP="00416180">
      <w:r w:rsidRPr="00FC71BE">
        <w:lastRenderedPageBreak/>
        <w:t xml:space="preserve">Modular machines also exhibit improvements in vibrations and acoustic noise. A study referenced in </w:t>
      </w:r>
      <w:r w:rsidRPr="00FC71BE">
        <w:fldChar w:fldCharType="begin"/>
      </w:r>
      <w:r w:rsidR="00103B0D" w:rsidRPr="00FC71BE">
        <w:instrText xml:space="preserve"> ADDIN EN.CITE &lt;EndNote&gt;&lt;Cite&gt;&lt;Author&gt;Li&lt;/Author&gt;&lt;Year&gt;2020&lt;/Year&gt;&lt;RecNum&gt;115&lt;/RecNum&gt;&lt;DisplayText&gt;[41]&lt;/DisplayText&gt;&lt;record&gt;&lt;rec-number&gt;115&lt;/rec-number&gt;&lt;foreign-keys&gt;&lt;key app="EN" db-id="rf2p5e05jx0x9jep00uvx0s1fvaww2dfa0r9" timestamp="1696282855"&gt;115&lt;/key&gt;&lt;/foreign-keys&gt;&lt;ref-type name="Conference Proceedings"&gt;10&lt;/ref-type&gt;&lt;contributors&gt;&lt;authors&gt;&lt;author&gt;Li, Guang Jin&lt;/author&gt;&lt;author&gt;Liang, Xiao Bin&lt;/author&gt;&lt;author&gt;Zhu, Zi Qiang&lt;/author&gt;&lt;author&gt;Ojeda, Javier&lt;/author&gt;&lt;author&gt;Gabsi, Mohamed&lt;/author&gt;&lt;/authors&gt;&lt;/contributors&gt;&lt;titles&gt;&lt;title&gt;Vibrations and Acoustic Noise Analyses of Modular SPM Machines&lt;/title&gt;&lt;secondary-title&gt;2020 IEEE Energy Conversion Congress and Exposition (ECCE)&lt;/secondary-title&gt;&lt;/titles&gt;&lt;pages&gt;5567-5573&lt;/pages&gt;&lt;dates&gt;&lt;year&gt;2020&lt;/year&gt;&lt;/dates&gt;&lt;publisher&gt;IEEE&lt;/publisher&gt;&lt;isbn&gt;1728158265&lt;/isbn&gt;&lt;urls&gt;&lt;/urls&gt;&lt;/record&gt;&lt;/Cite&gt;&lt;/EndNote&gt;</w:instrText>
      </w:r>
      <w:r w:rsidRPr="00FC71BE">
        <w:fldChar w:fldCharType="separate"/>
      </w:r>
      <w:r w:rsidRPr="00FC71BE">
        <w:t>[41]</w:t>
      </w:r>
      <w:r w:rsidRPr="00FC71BE">
        <w:fldChar w:fldCharType="end"/>
      </w:r>
      <w:r w:rsidRPr="00FC71BE">
        <w:t xml:space="preserve"> investigated the influence of flux gaps on machine vibrations and acoustic noise, revealing noteworthy findings. Despite the reduction in resonant frequency due to the stator modularity, the decrease in radial force and magnetic pressure within the airgap contributes to the alleviation of radial displacement, vibrations and sound pressure level.</w:t>
      </w:r>
    </w:p>
    <w:p w14:paraId="6AF5AC73" w14:textId="42683435" w:rsidR="00416180" w:rsidRPr="00FC71BE" w:rsidRDefault="00416180" w:rsidP="00416180">
      <w:r w:rsidRPr="00FC71BE">
        <w:t xml:space="preserve">A concern related to the manufacturing tolerance of the modular machines pertains to segment radial displacement. In a study conducted by Ren </w:t>
      </w:r>
      <w:r w:rsidRPr="00FC71BE">
        <w:rPr>
          <w:i/>
          <w:iCs/>
        </w:rPr>
        <w:t>et al</w:t>
      </w:r>
      <w:r w:rsidRPr="00FC71BE">
        <w:t xml:space="preserve">, as detailed in </w:t>
      </w:r>
      <w:r w:rsidRPr="00FC71BE">
        <w:fldChar w:fldCharType="begin"/>
      </w:r>
      <w:r w:rsidR="00103B0D" w:rsidRPr="00FC71BE">
        <w:instrText xml:space="preserve"> ADDIN EN.CITE &lt;EndNote&gt;&lt;Cite&gt;&lt;Author&gt;Ren&lt;/Author&gt;&lt;Year&gt;2019&lt;/Year&gt;&lt;RecNum&gt;113&lt;/RecNum&gt;&lt;DisplayText&gt;[46]&lt;/DisplayText&gt;&lt;record&gt;&lt;rec-number&gt;113&lt;/rec-number&gt;&lt;foreign-keys&gt;&lt;key app="EN" db-id="rf2p5e05jx0x9jep00uvx0s1fvaww2dfa0r9" timestamp="1696279824"&gt;113&lt;/key&gt;&lt;/foreign-keys&gt;&lt;ref-type name="Conference Proceedings"&gt;10&lt;/ref-type&gt;&lt;contributors&gt;&lt;authors&gt;&lt;author&gt;Ren, B&lt;/author&gt;&lt;author&gt;Li, G J&lt;/author&gt;&lt;author&gt;Zhu, Z Q&lt;/author&gt;&lt;author&gt;Foster, M P&lt;/author&gt;&lt;author&gt;Stone, D A&lt;/author&gt;&lt;/authors&gt;&lt;/contributors&gt;&lt;titles&gt;&lt;title&gt;Study of manufacturing tolerance of modular permanent magnet machines: Segment radial displacement&lt;/title&gt;&lt;secondary-title&gt;2019 IEEE International Electric Machines &amp;amp; Drives Conference (IEMDC)&lt;/secondary-title&gt;&lt;/titles&gt;&lt;pages&gt;615-622&lt;/pages&gt;&lt;dates&gt;&lt;year&gt;2019&lt;/year&gt;&lt;/dates&gt;&lt;publisher&gt;IEEE&lt;/publisher&gt;&lt;isbn&gt;153869350X&lt;/isbn&gt;&lt;urls&gt;&lt;/urls&gt;&lt;/record&gt;&lt;/Cite&gt;&lt;/EndNote&gt;</w:instrText>
      </w:r>
      <w:r w:rsidRPr="00FC71BE">
        <w:fldChar w:fldCharType="separate"/>
      </w:r>
      <w:r w:rsidRPr="00FC71BE">
        <w:t>[46]</w:t>
      </w:r>
      <w:r w:rsidRPr="00FC71BE">
        <w:fldChar w:fldCharType="end"/>
      </w:r>
      <w:r w:rsidRPr="00FC71BE">
        <w:t xml:space="preserve">, the influence of flux gaps on segment radial displacement was thoroughly examined. The analysis encompassed the study of back-EMF, on-load torque, cogging torque, and unbalanced magnetic force in modular SPM machines, all of which were evaluated to assess the withstand capability of segment radial displacement. The research indicates that the modular structure, particularly in the case of machines with </w:t>
      </w:r>
      <m:oMath>
        <m:r>
          <m:rPr>
            <m:sty m:val="p"/>
          </m:rPr>
          <w:rPr>
            <w:rFonts w:ascii="Cambria Math" w:hAnsi="Cambria Math"/>
          </w:rPr>
          <m:t>2p&lt;Ns</m:t>
        </m:r>
      </m:oMath>
      <w:r w:rsidRPr="00FC71BE">
        <w:rPr>
          <w:iCs/>
        </w:rPr>
        <w:t>,</w:t>
      </w:r>
      <w:r w:rsidRPr="00FC71BE">
        <w:t xml:space="preserve"> can improve the withstand capability of the segment radial displacement.</w:t>
      </w:r>
    </w:p>
    <w:p w14:paraId="6DE5BB20" w14:textId="77777777" w:rsidR="00416180" w:rsidRPr="00FC71BE" w:rsidRDefault="00416180" w:rsidP="00416180">
      <w:r w:rsidRPr="00FC71BE">
        <w:t xml:space="preserve">Li </w:t>
      </w:r>
      <w:r w:rsidRPr="00FC71BE">
        <w:rPr>
          <w:i/>
          <w:iCs/>
        </w:rPr>
        <w:t>et al</w:t>
      </w:r>
      <w:r w:rsidRPr="00FC71BE">
        <w:t xml:space="preserve">, as detail in </w:t>
      </w:r>
      <w:r w:rsidRPr="00FC71BE">
        <w:fldChar w:fldCharType="begin"/>
      </w:r>
      <w:r w:rsidRPr="00FC71BE">
        <w:instrText xml:space="preserve"> ADDIN EN.CITE &lt;EndNote&gt;&lt;Cite&gt;&lt;Author&gt;Li&lt;/Author&gt;&lt;Year&gt;2017&lt;/Year&gt;&lt;RecNum&gt;114&lt;/RecNum&gt;&lt;DisplayText&gt;[39]&lt;/DisplayText&gt;&lt;record&gt;&lt;rec-number&gt;114&lt;/rec-number&gt;&lt;foreign-keys&gt;&lt;key app="EN" db-id="rf2p5e05jx0x9jep00uvx0s1fvaww2dfa0r9" timestamp="1696281122"&gt;114&lt;/key&gt;&lt;/foreign-keys&gt;&lt;ref-type name="Journal Article"&gt;17&lt;/ref-type&gt;&lt;contributors&gt;&lt;authors&gt;&lt;author&gt;Li, Guang Jin&lt;/author&gt;&lt;author&gt;Ren, Bo&lt;/author&gt;&lt;author&gt;Zhu, Zi Qiang&lt;/author&gt;&lt;/authors&gt;&lt;/contributors&gt;&lt;titles&gt;&lt;title&gt;Design guidelines for fractional slot multi‐phase modular permanent magnet machines&lt;/title&gt;&lt;secondary-title&gt;IET Electric Power Applications&lt;/secondary-title&gt;&lt;/titles&gt;&lt;periodical&gt;&lt;full-title&gt;IET Electric Power Applications&lt;/full-title&gt;&lt;/periodical&gt;&lt;pages&gt;1023-1031&lt;/pages&gt;&lt;volume&gt;11&lt;/volume&gt;&lt;number&gt;6&lt;/number&gt;&lt;dates&gt;&lt;year&gt;2017&lt;/year&gt;&lt;/dates&gt;&lt;isbn&gt;1751-8660&lt;/isbn&gt;&lt;urls&gt;&lt;/urls&gt;&lt;/record&gt;&lt;/Cite&gt;&lt;/EndNote&gt;</w:instrText>
      </w:r>
      <w:r w:rsidRPr="00FC71BE">
        <w:fldChar w:fldCharType="separate"/>
      </w:r>
      <w:r w:rsidRPr="00FC71BE">
        <w:t>[39]</w:t>
      </w:r>
      <w:r w:rsidRPr="00FC71BE">
        <w:fldChar w:fldCharType="end"/>
      </w:r>
      <w:r w:rsidRPr="00FC71BE">
        <w:t>, have formulated design guidelines for fractional slot multi-phase modular PM machines. Embracing stator modularity offers several advantages, including streamlining the manufacturing process, notably the winding process, simplifying by necessitating the replacement of only the faulty segment, and providing additional flexibility for cooling designs. Furthermore, the modular topology has the capacity to reduce the sub-harmonics of airgap MMF, thereby mitigating their adverse impact on machine EM performance. These advantages of introducing flux gaps can be extended to multi-phase machines, e.g., four phase, five phase, and even more.</w:t>
      </w:r>
    </w:p>
    <w:p w14:paraId="2148A480" w14:textId="4F988E79" w:rsidR="00416180" w:rsidRPr="00FC71BE" w:rsidRDefault="00416180" w:rsidP="00416180">
      <w:r w:rsidRPr="00FC71BE">
        <w:t xml:space="preserve">Research on the influence of flux gaps on SPM machines is not limited to a specific type of rotor structure. Similar findings have been established for other rotor structures. For instance, Zhou </w:t>
      </w:r>
      <w:r w:rsidRPr="00FC71BE">
        <w:rPr>
          <w:i/>
          <w:iCs/>
        </w:rPr>
        <w:t>et al</w:t>
      </w:r>
      <w:r w:rsidRPr="00FC71BE">
        <w:t xml:space="preserve">, as presented in </w:t>
      </w:r>
      <w:r w:rsidRPr="00FC71BE">
        <w:fldChar w:fldCharType="begin"/>
      </w:r>
      <w:r w:rsidR="00103B0D" w:rsidRPr="00FC71BE">
        <w:instrText xml:space="preserve"> ADDIN EN.CITE &lt;EndNote&gt;&lt;Cite&gt;&lt;Author&gt;Zhou&lt;/Author&gt;&lt;Year&gt;2020&lt;/Year&gt;&lt;RecNum&gt;116&lt;/RecNum&gt;&lt;DisplayText&gt;[47]&lt;/DisplayText&gt;&lt;record&gt;&lt;rec-number&gt;116&lt;/rec-number&gt;&lt;foreign-keys&gt;&lt;key app="EN" db-id="rf2p5e05jx0x9jep00uvx0s1fvaww2dfa0r9" timestamp="1696322511"&gt;116&lt;/key&gt;&lt;/foreign-keys&gt;&lt;ref-type name="Journal Article"&gt;17&lt;/ref-type&gt;&lt;contributors&gt;&lt;authors&gt;&lt;author&gt;Zhou, Rui&lt;/author&gt;&lt;author&gt;Li, Guang Jin&lt;/author&gt;&lt;author&gt;Zhang, Kai&lt;/author&gt;&lt;author&gt;Zhu, Z Q&lt;/author&gt;&lt;author&gt;Foster, Martin P&lt;/author&gt;&lt;author&gt;Stone, David A&lt;/author&gt;&lt;/authors&gt;&lt;/contributors&gt;&lt;titles&gt;&lt;title&gt;Performance investigation of consequent-pole PM machines with E-core and C-core modular stators&lt;/title&gt;&lt;secondary-title&gt;IEEE Transactions on Energy Conversion&lt;/secondary-title&gt;&lt;/titles&gt;&lt;periodical&gt;&lt;full-title&gt;IEEE Transactions on Energy Conversion&lt;/full-title&gt;&lt;/periodical&gt;&lt;pages&gt;1169-1179&lt;/pages&gt;&lt;volume&gt;36&lt;/volume&gt;&lt;number&gt;2&lt;/number&gt;&lt;dates&gt;&lt;year&gt;2020&lt;/year&gt;&lt;/dates&gt;&lt;isbn&gt;0885-8969&lt;/isbn&gt;&lt;urls&gt;&lt;/urls&gt;&lt;/record&gt;&lt;/Cite&gt;&lt;/EndNote&gt;</w:instrText>
      </w:r>
      <w:r w:rsidRPr="00FC71BE">
        <w:fldChar w:fldCharType="separate"/>
      </w:r>
      <w:r w:rsidRPr="00FC71BE">
        <w:t>[47]</w:t>
      </w:r>
      <w:r w:rsidRPr="00FC71BE">
        <w:fldChar w:fldCharType="end"/>
      </w:r>
      <w:r w:rsidRPr="00FC71BE">
        <w:t xml:space="preserve">, investigated two types of modular stators designed for consequent-pole PM machines. One design, as shown in </w:t>
      </w:r>
      <w:r w:rsidRPr="00FC71BE">
        <w:fldChar w:fldCharType="begin"/>
      </w:r>
      <w:r w:rsidRPr="00FC71BE">
        <w:instrText xml:space="preserve"> REF _Ref147219721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7</w:t>
      </w:r>
      <w:r w:rsidRPr="00FC71BE">
        <w:fldChar w:fldCharType="end"/>
      </w:r>
      <w:r w:rsidRPr="00FC71BE">
        <w:t xml:space="preserve"> (a), is referred to as the E-core stator, while the other, depicted in </w:t>
      </w:r>
      <w:r w:rsidRPr="00FC71BE">
        <w:fldChar w:fldCharType="begin"/>
      </w:r>
      <w:r w:rsidRPr="00FC71BE">
        <w:instrText xml:space="preserve"> REF _Ref147219721 \h </w:instrText>
      </w:r>
      <w:r w:rsidRPr="00FC71BE">
        <w:fldChar w:fldCharType="separate"/>
      </w:r>
      <w:r w:rsidR="007E62C1" w:rsidRPr="00FC71BE">
        <w:t xml:space="preserve">Fig. </w:t>
      </w:r>
      <w:r w:rsidR="007E62C1" w:rsidRPr="00FC71BE">
        <w:rPr>
          <w:noProof/>
        </w:rPr>
        <w:t>1</w:t>
      </w:r>
      <w:r w:rsidR="007E62C1" w:rsidRPr="00FC71BE">
        <w:t>.</w:t>
      </w:r>
      <w:r w:rsidR="007E62C1" w:rsidRPr="00FC71BE">
        <w:rPr>
          <w:noProof/>
        </w:rPr>
        <w:t>7</w:t>
      </w:r>
      <w:r w:rsidRPr="00FC71BE">
        <w:fldChar w:fldCharType="end"/>
      </w:r>
      <w:r w:rsidRPr="00FC71BE">
        <w:t xml:space="preserve"> (b), is known as the C-core stator. Their findings have demonstrated that the E-core modular stator for consequent-pole PM machines contributes to enhancements in electromagnetic torque, increased machine efficiency, and improved flux-weakening capability. Conversely, the C-core modular stator design helps in reducing the torque ripple, minimizing the on-load unbalance magnetic forces, and enhancing the power factor.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FC71BE" w:rsidRPr="00FC71BE" w14:paraId="52BB8F35" w14:textId="77777777">
        <w:tc>
          <w:tcPr>
            <w:tcW w:w="2500" w:type="pct"/>
          </w:tcPr>
          <w:p w14:paraId="7ADB8F4C" w14:textId="77777777" w:rsidR="00416180" w:rsidRPr="00FC71BE" w:rsidRDefault="00416180">
            <w:pPr>
              <w:pStyle w:val="Figure"/>
              <w:rPr>
                <w:noProof w:val="0"/>
              </w:rPr>
            </w:pPr>
            <w:r w:rsidRPr="00FC71BE">
              <w:lastRenderedPageBreak/>
              <w:drawing>
                <wp:inline distT="0" distB="0" distL="0" distR="0" wp14:anchorId="4CCDCEB7" wp14:editId="3C146870">
                  <wp:extent cx="2277390" cy="2304000"/>
                  <wp:effectExtent l="0" t="0" r="8890" b="1270"/>
                  <wp:docPr id="783576680" name="Picture 783576680" descr="A circular design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76680" name="Picture 783576680" descr="A circular design with a circle in the center&#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7390" cy="2304000"/>
                          </a:xfrm>
                          <a:prstGeom prst="rect">
                            <a:avLst/>
                          </a:prstGeom>
                          <a:noFill/>
                        </pic:spPr>
                      </pic:pic>
                    </a:graphicData>
                  </a:graphic>
                </wp:inline>
              </w:drawing>
            </w:r>
          </w:p>
        </w:tc>
        <w:tc>
          <w:tcPr>
            <w:tcW w:w="2500" w:type="pct"/>
          </w:tcPr>
          <w:p w14:paraId="54155DC7" w14:textId="77777777" w:rsidR="00416180" w:rsidRPr="00FC71BE" w:rsidRDefault="00416180">
            <w:pPr>
              <w:pStyle w:val="Figure"/>
              <w:rPr>
                <w:noProof w:val="0"/>
              </w:rPr>
            </w:pPr>
            <w:r w:rsidRPr="00FC71BE">
              <w:drawing>
                <wp:inline distT="0" distB="0" distL="0" distR="0" wp14:anchorId="6726C0CA" wp14:editId="54BF0090">
                  <wp:extent cx="2338720" cy="2304000"/>
                  <wp:effectExtent l="0" t="0" r="4445" b="1270"/>
                  <wp:docPr id="1917360940" name="Picture 1917360940" descr="A circular design with red and yellow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60940" name="Picture 1917360940" descr="A circular design with red and yellow lines&#10;&#10;Description automatically generated"/>
                          <pic:cNvPicPr/>
                        </pic:nvPicPr>
                        <pic:blipFill>
                          <a:blip r:embed="rId25"/>
                          <a:stretch>
                            <a:fillRect/>
                          </a:stretch>
                        </pic:blipFill>
                        <pic:spPr>
                          <a:xfrm>
                            <a:off x="0" y="0"/>
                            <a:ext cx="2338720" cy="2304000"/>
                          </a:xfrm>
                          <a:prstGeom prst="rect">
                            <a:avLst/>
                          </a:prstGeom>
                        </pic:spPr>
                      </pic:pic>
                    </a:graphicData>
                  </a:graphic>
                </wp:inline>
              </w:drawing>
            </w:r>
          </w:p>
        </w:tc>
      </w:tr>
      <w:tr w:rsidR="00FC71BE" w:rsidRPr="00FC71BE" w14:paraId="061C1BD5" w14:textId="77777777">
        <w:tc>
          <w:tcPr>
            <w:tcW w:w="2500" w:type="pct"/>
          </w:tcPr>
          <w:p w14:paraId="0071BE06" w14:textId="77777777" w:rsidR="00416180" w:rsidRPr="00FC71BE" w:rsidRDefault="00416180">
            <w:pPr>
              <w:pStyle w:val="Figure"/>
              <w:rPr>
                <w:noProof w:val="0"/>
              </w:rPr>
            </w:pPr>
            <w:r w:rsidRPr="00FC71BE">
              <w:rPr>
                <w:noProof w:val="0"/>
              </w:rPr>
              <w:t>(a) E-core modular stator</w:t>
            </w:r>
          </w:p>
        </w:tc>
        <w:tc>
          <w:tcPr>
            <w:tcW w:w="2500" w:type="pct"/>
          </w:tcPr>
          <w:p w14:paraId="26939086" w14:textId="77777777" w:rsidR="00416180" w:rsidRPr="00FC71BE" w:rsidRDefault="00416180">
            <w:pPr>
              <w:pStyle w:val="Figure"/>
              <w:rPr>
                <w:noProof w:val="0"/>
              </w:rPr>
            </w:pPr>
            <w:r w:rsidRPr="00FC71BE">
              <w:rPr>
                <w:noProof w:val="0"/>
              </w:rPr>
              <w:t>(b) C-core modular stator</w:t>
            </w:r>
          </w:p>
        </w:tc>
      </w:tr>
    </w:tbl>
    <w:p w14:paraId="7F646D5D" w14:textId="1FF0C327" w:rsidR="00416180" w:rsidRPr="00FC71BE" w:rsidRDefault="00416180" w:rsidP="00416180">
      <w:pPr>
        <w:pStyle w:val="FigureTitle"/>
      </w:pPr>
      <w:bookmarkStart w:id="20" w:name="_Ref147219721"/>
      <w:r w:rsidRPr="00FC71BE">
        <w:t xml:space="preserve">Fig. </w:t>
      </w:r>
      <w:fldSimple w:instr=" STYLEREF 1 \s ">
        <w:r w:rsidR="007E62C1" w:rsidRPr="00FC71BE">
          <w:rPr>
            <w:noProof/>
          </w:rPr>
          <w:t>1</w:t>
        </w:r>
      </w:fldSimple>
      <w:r w:rsidRPr="00FC71BE">
        <w:t>.</w:t>
      </w:r>
      <w:fldSimple w:instr=" SEQ Fig. \* ARABIC \s 1 ">
        <w:r w:rsidR="007E62C1" w:rsidRPr="00FC71BE">
          <w:rPr>
            <w:noProof/>
          </w:rPr>
          <w:t>7</w:t>
        </w:r>
      </w:fldSimple>
      <w:bookmarkEnd w:id="20"/>
      <w:r w:rsidRPr="00FC71BE">
        <w:t xml:space="preserve">. Topology of modular consequent-pole PM machines with stator modularity </w:t>
      </w:r>
      <w:r w:rsidRPr="00FC71BE">
        <w:fldChar w:fldCharType="begin"/>
      </w:r>
      <w:r w:rsidR="00103B0D" w:rsidRPr="00FC71BE">
        <w:instrText xml:space="preserve"> ADDIN EN.CITE &lt;EndNote&gt;&lt;Cite&gt;&lt;Author&gt;Zhou&lt;/Author&gt;&lt;Year&gt;2020&lt;/Year&gt;&lt;RecNum&gt;116&lt;/RecNum&gt;&lt;DisplayText&gt;[47]&lt;/DisplayText&gt;&lt;record&gt;&lt;rec-number&gt;116&lt;/rec-number&gt;&lt;foreign-keys&gt;&lt;key app="EN" db-id="rf2p5e05jx0x9jep00uvx0s1fvaww2dfa0r9" timestamp="1696322511"&gt;116&lt;/key&gt;&lt;/foreign-keys&gt;&lt;ref-type name="Journal Article"&gt;17&lt;/ref-type&gt;&lt;contributors&gt;&lt;authors&gt;&lt;author&gt;Zhou, Rui&lt;/author&gt;&lt;author&gt;Li, Guang Jin&lt;/author&gt;&lt;author&gt;Zhang, Kai&lt;/author&gt;&lt;author&gt;Zhu, Z Q&lt;/author&gt;&lt;author&gt;Foster, Martin P&lt;/author&gt;&lt;author&gt;Stone, David A&lt;/author&gt;&lt;/authors&gt;&lt;/contributors&gt;&lt;titles&gt;&lt;title&gt;Performance investigation of consequent-pole PM machines with E-core and C-core modular stators&lt;/title&gt;&lt;secondary-title&gt;IEEE Transactions on Energy Conversion&lt;/secondary-title&gt;&lt;/titles&gt;&lt;periodical&gt;&lt;full-title&gt;IEEE Transactions on Energy Conversion&lt;/full-title&gt;&lt;/periodical&gt;&lt;pages&gt;1169-1179&lt;/pages&gt;&lt;volume&gt;36&lt;/volume&gt;&lt;number&gt;2&lt;/number&gt;&lt;dates&gt;&lt;year&gt;2020&lt;/year&gt;&lt;/dates&gt;&lt;isbn&gt;0885-8969&lt;/isbn&gt;&lt;urls&gt;&lt;/urls&gt;&lt;/record&gt;&lt;/Cite&gt;&lt;/EndNote&gt;</w:instrText>
      </w:r>
      <w:r w:rsidRPr="00FC71BE">
        <w:fldChar w:fldCharType="separate"/>
      </w:r>
      <w:r w:rsidRPr="00FC71BE">
        <w:t>[47]</w:t>
      </w:r>
      <w:r w:rsidRPr="00FC71BE">
        <w:fldChar w:fldCharType="end"/>
      </w:r>
      <w:r w:rsidRPr="00FC71BE">
        <w:t>.</w:t>
      </w:r>
    </w:p>
    <w:p w14:paraId="4AC48D12" w14:textId="2F25238E" w:rsidR="00416180" w:rsidRPr="00FC71BE" w:rsidRDefault="00416180" w:rsidP="00416180">
      <w:r w:rsidRPr="00FC71BE">
        <w:t xml:space="preserve">The literature also encompasses an analysis of iron losses in modular inset SPM machines, </w:t>
      </w:r>
      <w:r w:rsidRPr="00FC71BE">
        <w:fldChar w:fldCharType="begin"/>
      </w:r>
      <w:r w:rsidR="00103B0D" w:rsidRPr="00FC71BE">
        <w:instrText xml:space="preserve"> ADDIN EN.CITE &lt;EndNote&gt;&lt;Cite&gt;&lt;Author&gt;Ren&lt;/Author&gt;&lt;Year&gt;2019&lt;/Year&gt;&lt;RecNum&gt;117&lt;/RecNum&gt;&lt;DisplayText&gt;[45]&lt;/DisplayText&gt;&lt;record&gt;&lt;rec-number&gt;117&lt;/rec-number&gt;&lt;foreign-keys&gt;&lt;key app="EN" db-id="rf2p5e05jx0x9jep00uvx0s1fvaww2dfa0r9" timestamp="1696322657"&gt;117&lt;/key&gt;&lt;/foreign-keys&gt;&lt;ref-type name="Journal Article"&gt;17&lt;/ref-type&gt;&lt;contributors&gt;&lt;authors&gt;&lt;author&gt;Ren, Bo&lt;/author&gt;&lt;author&gt;Li, Guang Jin&lt;/author&gt;&lt;author&gt;Zhu, Zi Qiang&lt;/author&gt;&lt;author&gt;Foster, Martin&lt;/author&gt;&lt;author&gt;Stone, David&lt;/author&gt;&lt;/authors&gt;&lt;/contributors&gt;&lt;titles&gt;&lt;title&gt;Performance comparison between consequent‐pole and inset modular permanent magnet machines&lt;/title&gt;&lt;secondary-title&gt;The Journal of Engineering&lt;/secondary-title&gt;&lt;/titles&gt;&lt;periodical&gt;&lt;full-title&gt;The Journal of Engineering&lt;/full-title&gt;&lt;/periodical&gt;&lt;pages&gt;3951-3955&lt;/pages&gt;&lt;volume&gt;2019&lt;/volume&gt;&lt;number&gt;17&lt;/number&gt;&lt;dates&gt;&lt;year&gt;2019&lt;/year&gt;&lt;/dates&gt;&lt;isbn&gt;2051-3305&lt;/isbn&gt;&lt;urls&gt;&lt;/urls&gt;&lt;/record&gt;&lt;/Cite&gt;&lt;/EndNote&gt;</w:instrText>
      </w:r>
      <w:r w:rsidRPr="00FC71BE">
        <w:fldChar w:fldCharType="separate"/>
      </w:r>
      <w:r w:rsidRPr="00FC71BE">
        <w:t>[45]</w:t>
      </w:r>
      <w:r w:rsidRPr="00FC71BE">
        <w:fldChar w:fldCharType="end"/>
      </w:r>
      <w:r w:rsidRPr="00FC71BE">
        <w:t>. The introduction of flux gaps has been shown to result in a substantial reduction in iron losses for these modular inset SPM machines. In addition, the presence of flux gaps has also led to improvements in machine electromagnetic torque.</w:t>
      </w:r>
    </w:p>
    <w:p w14:paraId="7164CC92" w14:textId="77777777" w:rsidR="00416180" w:rsidRPr="00FC71BE" w:rsidRDefault="00416180" w:rsidP="00416180">
      <w:r w:rsidRPr="00FC71BE">
        <w:t xml:space="preserve">Stator modularity has also been applied to IPM machines </w:t>
      </w:r>
      <w:r w:rsidRPr="00FC71BE">
        <w:fldChar w:fldCharType="begin">
          <w:fldData xml:space="preserve">PEVuZE5vdGU+PENpdGU+PEF1dGhvcj5EYWpha3U8L0F1dGhvcj48WWVhcj4yMDEyPC9ZZWFyPjxS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=
</w:fldData>
        </w:fldChar>
      </w:r>
      <w:r w:rsidRPr="00FC71BE">
        <w:instrText xml:space="preserve"> ADDIN EN.CITE </w:instrText>
      </w:r>
      <w:r w:rsidRPr="00FC71BE">
        <w:fldChar w:fldCharType="begin">
          <w:fldData xml:space="preserve">PEVuZE5vdGU+PENpdGU+PEF1dGhvcj5EYWpha3U8L0F1dGhvcj48WWVhcj4yMDEyPC9ZZWFyPjxS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=
</w:fldData>
        </w:fldChar>
      </w:r>
      <w:r w:rsidRPr="00FC71BE">
        <w:instrText xml:space="preserve"> ADDIN EN.CITE.DATA </w:instrText>
      </w:r>
      <w:r w:rsidRPr="00FC71BE">
        <w:fldChar w:fldCharType="end"/>
      </w:r>
      <w:r w:rsidRPr="00FC71BE">
        <w:fldChar w:fldCharType="separate"/>
      </w:r>
      <w:r w:rsidRPr="00FC71BE">
        <w:t>[48-50]</w:t>
      </w:r>
      <w:r w:rsidRPr="00FC71BE">
        <w:fldChar w:fldCharType="end"/>
      </w:r>
      <w:r w:rsidRPr="00FC71BE">
        <w:t>. The findings align with Li’s research, demonstrating that introducing flux gaps, also known as flux barriers by Gerling, results in the improvement of machine EM performance, particularly when the machine’s pole number is larger than slot numbers.</w:t>
      </w:r>
    </w:p>
    <w:p w14:paraId="6502DD29" w14:textId="77777777" w:rsidR="00304D60" w:rsidRPr="00FC71BE" w:rsidRDefault="00304D60" w:rsidP="00304D60">
      <w:pPr>
        <w:pStyle w:val="Figure"/>
        <w:rPr>
          <w:noProof w:val="0"/>
        </w:rPr>
      </w:pPr>
      <w:r w:rsidRPr="00FC71BE">
        <w:drawing>
          <wp:inline distT="0" distB="0" distL="0" distR="0" wp14:anchorId="16141BF7" wp14:editId="1C819D70">
            <wp:extent cx="2456229" cy="2448000"/>
            <wp:effectExtent l="0" t="0" r="1270" b="9525"/>
            <wp:docPr id="1414676644" name="Picture 1414676644" descr="A circular design with a blue and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76644" name="Picture 1" descr="A circular design with a blue and yellow center&#10;&#10;Description automatically generated"/>
                    <pic:cNvPicPr/>
                  </pic:nvPicPr>
                  <pic:blipFill>
                    <a:blip r:embed="rId26"/>
                    <a:stretch>
                      <a:fillRect/>
                    </a:stretch>
                  </pic:blipFill>
                  <pic:spPr>
                    <a:xfrm>
                      <a:off x="0" y="0"/>
                      <a:ext cx="2456229" cy="2448000"/>
                    </a:xfrm>
                    <a:prstGeom prst="rect">
                      <a:avLst/>
                    </a:prstGeom>
                  </pic:spPr>
                </pic:pic>
              </a:graphicData>
            </a:graphic>
          </wp:inline>
        </w:drawing>
      </w:r>
    </w:p>
    <w:p w14:paraId="39EB61CF" w14:textId="7750CF7C" w:rsidR="00304D60" w:rsidRPr="00FC71BE" w:rsidRDefault="00304D60" w:rsidP="00304D60">
      <w:pPr>
        <w:pStyle w:val="FigureTitle"/>
      </w:pPr>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8</w:t>
      </w:r>
      <w:r w:rsidRPr="00FC71BE">
        <w:rPr>
          <w:rStyle w:val="FigureTitleChar"/>
          <w:color w:val="auto"/>
        </w:rPr>
        <w:fldChar w:fldCharType="end"/>
      </w:r>
      <w:r w:rsidRPr="00FC71BE">
        <w:rPr>
          <w:rStyle w:val="FigureTitleChar"/>
          <w:color w:val="auto"/>
        </w:rPr>
        <w:t xml:space="preserve">. Topology of modular SRM </w:t>
      </w:r>
      <w:r w:rsidRPr="00FC71BE">
        <w:fldChar w:fldCharType="begin"/>
      </w:r>
      <w:r w:rsidRPr="00FC71BE">
        <w:instrText xml:space="preserve"> ADDIN EN.CITE &lt;EndNote&gt;&lt;Cite&gt;&lt;Author&gt;Li&lt;/Author&gt;&lt;Year&gt;2018&lt;/Year&gt;&lt;RecNum&gt;120&lt;/RecNum&gt;&lt;DisplayText&gt;[51]&lt;/DisplayText&gt;&lt;record&gt;&lt;rec-number&gt;120&lt;/rec-number&gt;&lt;foreign-keys&gt;&lt;key app="EN" db-id="rf2p5e05jx0x9jep00uvx0s1fvaww2dfa0r9" timestamp="1696365881"&gt;120&lt;/key&gt;&lt;/foreign-keys&gt;&lt;ref-type name="Journal Article"&gt;17&lt;/ref-type&gt;&lt;contributors&gt;&lt;authors&gt;&lt;author&gt;Li, GJ&lt;/author&gt;&lt;author&gt;Ma, XY&lt;/author&gt;&lt;author&gt;Jewell, GW&lt;/author&gt;&lt;author&gt;Zhu, ZQ&lt;/author&gt;&lt;/authors&gt;&lt;/contributors&gt;&lt;titles&gt;&lt;title&gt;Novel modular switched reluctance machines for performance improvement&lt;/title&gt;&lt;secondary-title&gt;IEEE Transactions on Energy Conversion&lt;/secondary-title&gt;&lt;/titles&gt;&lt;periodical&gt;&lt;full-title&gt;IEEE Transactions on Energy Conversion&lt;/full-title&gt;&lt;/periodical&gt;&lt;pages&gt;1255-1265&lt;/pages&gt;&lt;volume&gt;33&lt;/volume&gt;&lt;number&gt;3&lt;/number&gt;&lt;dates&gt;&lt;year&gt;2018&lt;/year&gt;&lt;/dates&gt;&lt;isbn&gt;0885-8969&lt;/isbn&gt;&lt;urls&gt;&lt;/urls&gt;&lt;/record&gt;&lt;/Cite&gt;&lt;/EndNote&gt;</w:instrText>
      </w:r>
      <w:r w:rsidRPr="00FC71BE">
        <w:fldChar w:fldCharType="separate"/>
      </w:r>
      <w:r w:rsidRPr="00FC71BE">
        <w:t>[51]</w:t>
      </w:r>
      <w:r w:rsidRPr="00FC71BE">
        <w:fldChar w:fldCharType="end"/>
      </w:r>
      <w:r w:rsidRPr="00FC71BE">
        <w:t>.</w:t>
      </w:r>
    </w:p>
    <w:p w14:paraId="4308DF7F" w14:textId="6AAA8BFF" w:rsidR="00416180" w:rsidRPr="00FC71BE" w:rsidRDefault="00416180" w:rsidP="00416180">
      <w:r w:rsidRPr="00FC71BE">
        <w:t xml:space="preserve">Stator modularity is not limited to PM machines; it also offers advantages for SRMs </w:t>
      </w:r>
      <w:r w:rsidRPr="00FC71BE">
        <w:fldChar w:fldCharType="begin">
          <w:fldData xml:space="preserve">PEVuZE5vdGU+PENpdGU+PEF1dGhvcj5MaTwvQXV0aG9yPjxZZWFyPjIwMTg8L1llYXI+PFJlY051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</w:fldData>
        </w:fldChar>
      </w:r>
      <w:r w:rsidR="00103B0D" w:rsidRPr="00FC71BE">
        <w:instrText xml:space="preserve"> ADDIN EN.CITE </w:instrText>
      </w:r>
      <w:r w:rsidR="00103B0D" w:rsidRPr="00FC71BE">
        <w:fldChar w:fldCharType="begin">
          <w:fldData xml:space="preserve">PEVuZE5vdGU+PENpdGU+PEF1dGhvcj5MaTwvQXV0aG9yPjxZZWFyPjIwMTg8L1llYXI+PFJlY051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</w:fldData>
        </w:fldChar>
      </w:r>
      <w:r w:rsidR="00103B0D" w:rsidRPr="00FC71BE">
        <w:instrText xml:space="preserve"> ADDIN EN.CITE.DATA </w:instrText>
      </w:r>
      <w:r w:rsidR="00103B0D" w:rsidRPr="00FC71BE">
        <w:fldChar w:fldCharType="end"/>
      </w:r>
      <w:r w:rsidRPr="00FC71BE">
        <w:fldChar w:fldCharType="separate"/>
      </w:r>
      <w:r w:rsidRPr="00FC71BE">
        <w:t>[51-53]</w:t>
      </w:r>
      <w:r w:rsidRPr="00FC71BE">
        <w:fldChar w:fldCharType="end"/>
      </w:r>
      <w:r w:rsidRPr="00FC71BE">
        <w:t xml:space="preserve">. Modular 12-slot/14-pole and 12-slot/8-pole SRMs were developed in </w:t>
      </w:r>
      <w:r w:rsidRPr="00FC71BE">
        <w:fldChar w:fldCharType="begin"/>
      </w:r>
      <w:r w:rsidRPr="00FC71BE">
        <w:instrText xml:space="preserve"> ADDIN EN.CITE &lt;EndNote&gt;&lt;Cite&gt;&lt;Author&gt;Li&lt;/Author&gt;&lt;Year&gt;2018&lt;/Year&gt;&lt;RecNum&gt;120&lt;/RecNum&gt;&lt;DisplayText&gt;[51]&lt;/DisplayText&gt;&lt;record&gt;&lt;rec-number&gt;120&lt;/rec-number&gt;&lt;foreign-keys&gt;&lt;key app="EN" db-id="rf2p5e05jx0x9jep00uvx0s1fvaww2dfa0r9" timestamp="1696365881"&gt;120&lt;/key&gt;&lt;/foreign-keys&gt;&lt;ref-type name="Journal Article"&gt;17&lt;/ref-type&gt;&lt;contributors&gt;&lt;authors&gt;&lt;author&gt;Li, GJ&lt;/author&gt;&lt;author&gt;Ma, XY&lt;/author&gt;&lt;author&gt;Jewell, GW&lt;/author&gt;&lt;author&gt;Zhu, ZQ&lt;/author&gt;&lt;/authors&gt;&lt;/contributors&gt;&lt;titles&gt;&lt;title&gt;Novel modular switched reluctance machines for performance improvement&lt;/title&gt;&lt;secondary-title&gt;IEEE Transactions on Energy Conversion&lt;/secondary-title&gt;&lt;/titles&gt;&lt;periodical&gt;&lt;full-title&gt;IEEE Transactions on Energy Conversion&lt;/full-title&gt;&lt;/periodical&gt;&lt;pages&gt;1255-1265&lt;/pages&gt;&lt;volume&gt;33&lt;/volume&gt;&lt;number&gt;3&lt;/number&gt;&lt;dates&gt;&lt;year&gt;2018&lt;/year&gt;&lt;/dates&gt;&lt;isbn&gt;0885-8969&lt;/isbn&gt;&lt;urls&gt;&lt;/urls&gt;&lt;/record&gt;&lt;/Cite&gt;&lt;/EndNote&gt;</w:instrText>
      </w:r>
      <w:r w:rsidRPr="00FC71BE">
        <w:fldChar w:fldCharType="separate"/>
      </w:r>
      <w:r w:rsidRPr="00FC71BE">
        <w:t>[51]</w:t>
      </w:r>
      <w:r w:rsidRPr="00FC71BE">
        <w:fldChar w:fldCharType="end"/>
      </w:r>
      <w:r w:rsidRPr="00FC71BE">
        <w:t xml:space="preserve">. It is found that, modular 12-slot/14-pole SRM exhibited a high average torque. Its reduced sensitive to </w:t>
      </w:r>
      <w:r w:rsidRPr="00FC71BE">
        <w:lastRenderedPageBreak/>
        <w:t>magnetic saturation in the back iron allowed it to generate high torque under overload conditions. Furthermore, similar to stator modularity in PM machines, modular SRMs demonstrated lower iron losses and radial force compared to their non-modular counterparts.</w:t>
      </w:r>
    </w:p>
    <w:p w14:paraId="0C811119" w14:textId="0BEB18EC" w:rsidR="00416180" w:rsidRPr="00FC71BE" w:rsidRDefault="00416180" w:rsidP="00F10532">
      <w:pPr>
        <w:pStyle w:val="Tabletitle"/>
        <w:rPr>
          <w:color w:val="auto"/>
        </w:rPr>
      </w:pPr>
      <w:bookmarkStart w:id="21" w:name="_Ref147304788"/>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bookmarkEnd w:id="21"/>
      <w:r w:rsidRPr="00FC71BE">
        <w:rPr>
          <w:color w:val="auto"/>
        </w:rPr>
        <w:t xml:space="preserve">  Advantages of Machines with Different Modularity Components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534"/>
        <w:gridCol w:w="1564"/>
        <w:gridCol w:w="4739"/>
        <w:gridCol w:w="1189"/>
      </w:tblGrid>
      <w:tr w:rsidR="00FC71BE" w:rsidRPr="00FC71BE" w14:paraId="06FB5487" w14:textId="77777777">
        <w:tc>
          <w:tcPr>
            <w:tcW w:w="895" w:type="pct"/>
          </w:tcPr>
          <w:p w14:paraId="4E79A33B" w14:textId="77777777" w:rsidR="00416180" w:rsidRPr="00FC71BE" w:rsidRDefault="00416180">
            <w:pPr>
              <w:pStyle w:val="Table"/>
              <w:rPr>
                <w:color w:val="auto"/>
              </w:rPr>
            </w:pPr>
            <w:r w:rsidRPr="00FC71BE">
              <w:rPr>
                <w:color w:val="auto"/>
              </w:rPr>
              <w:t>Machine</w:t>
            </w:r>
          </w:p>
        </w:tc>
        <w:tc>
          <w:tcPr>
            <w:tcW w:w="911" w:type="pct"/>
          </w:tcPr>
          <w:p w14:paraId="2B77DC49" w14:textId="77777777" w:rsidR="00416180" w:rsidRPr="00FC71BE" w:rsidRDefault="00416180">
            <w:pPr>
              <w:pStyle w:val="Table"/>
              <w:rPr>
                <w:color w:val="auto"/>
              </w:rPr>
            </w:pPr>
            <w:r w:rsidRPr="00FC71BE">
              <w:rPr>
                <w:color w:val="auto"/>
              </w:rPr>
              <w:t>Modularity</w:t>
            </w:r>
          </w:p>
        </w:tc>
        <w:tc>
          <w:tcPr>
            <w:tcW w:w="2670" w:type="pct"/>
          </w:tcPr>
          <w:p w14:paraId="304AABCC" w14:textId="77777777" w:rsidR="00416180" w:rsidRPr="00FC71BE" w:rsidRDefault="00416180">
            <w:pPr>
              <w:pStyle w:val="Table"/>
              <w:rPr>
                <w:color w:val="auto"/>
              </w:rPr>
            </w:pPr>
            <w:r w:rsidRPr="00FC71BE">
              <w:rPr>
                <w:color w:val="auto"/>
              </w:rPr>
              <w:t>Advantages</w:t>
            </w:r>
          </w:p>
        </w:tc>
        <w:tc>
          <w:tcPr>
            <w:tcW w:w="524" w:type="pct"/>
          </w:tcPr>
          <w:p w14:paraId="3BAD6B54" w14:textId="77777777" w:rsidR="00416180" w:rsidRPr="00FC71BE" w:rsidRDefault="00416180">
            <w:pPr>
              <w:pStyle w:val="Table"/>
              <w:rPr>
                <w:color w:val="auto"/>
              </w:rPr>
            </w:pPr>
            <w:r w:rsidRPr="00FC71BE">
              <w:rPr>
                <w:color w:val="auto"/>
              </w:rPr>
              <w:t>Reference</w:t>
            </w:r>
          </w:p>
        </w:tc>
      </w:tr>
      <w:tr w:rsidR="00FC71BE" w:rsidRPr="00FC71BE" w14:paraId="03060F4F" w14:textId="77777777">
        <w:tc>
          <w:tcPr>
            <w:tcW w:w="895" w:type="pct"/>
            <w:vAlign w:val="center"/>
          </w:tcPr>
          <w:p w14:paraId="72E67ECE" w14:textId="77777777" w:rsidR="00416180" w:rsidRPr="00FC71BE" w:rsidRDefault="00416180">
            <w:pPr>
              <w:pStyle w:val="Table"/>
              <w:rPr>
                <w:color w:val="auto"/>
              </w:rPr>
            </w:pPr>
            <w:r w:rsidRPr="00FC71BE">
              <w:rPr>
                <w:color w:val="auto"/>
              </w:rPr>
              <w:t>Spoke-type PM machine</w:t>
            </w:r>
          </w:p>
        </w:tc>
        <w:tc>
          <w:tcPr>
            <w:tcW w:w="911" w:type="pct"/>
            <w:vAlign w:val="center"/>
          </w:tcPr>
          <w:p w14:paraId="0F9B94C8" w14:textId="77777777" w:rsidR="00416180" w:rsidRPr="00FC71BE" w:rsidRDefault="00416180">
            <w:pPr>
              <w:pStyle w:val="Table"/>
              <w:rPr>
                <w:color w:val="auto"/>
              </w:rPr>
            </w:pPr>
            <w:r w:rsidRPr="00FC71BE">
              <w:rPr>
                <w:color w:val="auto"/>
              </w:rPr>
              <w:t xml:space="preserve">Stator &amp; Rotor </w:t>
            </w:r>
          </w:p>
        </w:tc>
        <w:tc>
          <w:tcPr>
            <w:tcW w:w="2670" w:type="pct"/>
            <w:vAlign w:val="center"/>
          </w:tcPr>
          <w:p w14:paraId="5EA77E84" w14:textId="77777777" w:rsidR="00416180" w:rsidRPr="00FC71BE" w:rsidRDefault="00416180" w:rsidP="00AF4190">
            <w:pPr>
              <w:pStyle w:val="ListParagraph"/>
              <w:numPr>
                <w:ilvl w:val="0"/>
                <w:numId w:val="24"/>
              </w:numPr>
              <w:spacing w:line="240" w:lineRule="auto"/>
              <w:ind w:left="284" w:hanging="284"/>
            </w:pPr>
            <w:r w:rsidRPr="00FC71BE">
              <w:t>Simplified assembly and maintenance.</w:t>
            </w:r>
          </w:p>
          <w:p w14:paraId="5AAD8131" w14:textId="77777777" w:rsidR="00416180" w:rsidRPr="00FC71BE" w:rsidRDefault="00416180" w:rsidP="00AF4190">
            <w:pPr>
              <w:pStyle w:val="ListParagraph"/>
              <w:numPr>
                <w:ilvl w:val="0"/>
                <w:numId w:val="24"/>
              </w:numPr>
              <w:spacing w:line="240" w:lineRule="auto"/>
              <w:ind w:left="284" w:hanging="284"/>
            </w:pPr>
            <w:r w:rsidRPr="00FC71BE">
              <w:t>Reduction of machine weight.</w:t>
            </w:r>
          </w:p>
          <w:p w14:paraId="4D421C93" w14:textId="77777777" w:rsidR="00416180" w:rsidRPr="00FC71BE" w:rsidRDefault="00416180" w:rsidP="00AF4190">
            <w:pPr>
              <w:pStyle w:val="ListParagraph"/>
              <w:numPr>
                <w:ilvl w:val="0"/>
                <w:numId w:val="24"/>
              </w:numPr>
              <w:spacing w:line="240" w:lineRule="auto"/>
              <w:ind w:left="284" w:hanging="284"/>
            </w:pPr>
            <w:r w:rsidRPr="00FC71BE">
              <w:t>Reduction of machine active length.</w:t>
            </w:r>
          </w:p>
        </w:tc>
        <w:tc>
          <w:tcPr>
            <w:tcW w:w="524" w:type="pct"/>
            <w:vAlign w:val="center"/>
          </w:tcPr>
          <w:p w14:paraId="7C4F2331" w14:textId="77777777" w:rsidR="00416180" w:rsidRPr="00FC71BE" w:rsidRDefault="00416180">
            <w:pPr>
              <w:pStyle w:val="Table"/>
              <w:rPr>
                <w:color w:val="auto"/>
              </w:rPr>
            </w:pPr>
            <w:r w:rsidRPr="00FC71BE">
              <w:rPr>
                <w:color w:val="auto"/>
              </w:rPr>
              <w:fldChar w:fldCharType="begin">
                <w:fldData xml:space="preserve">PEVuZE5vdGU+PENpdGU+PEF1dGhvcj5DaGVuPC9BdXRob3I+PFllYXI+MTk5NTwvWWVhcj48UmVj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==
</w:fldData>
              </w:fldChar>
            </w:r>
            <w:r w:rsidRPr="00FC71BE">
              <w:rPr>
                <w:color w:val="auto"/>
              </w:rPr>
              <w:instrText xml:space="preserve"> ADDIN EN.CITE </w:instrText>
            </w:r>
            <w:r w:rsidRPr="00FC71BE">
              <w:rPr>
                <w:color w:val="auto"/>
              </w:rPr>
              <w:fldChar w:fldCharType="begin">
                <w:fldData xml:space="preserve">PEVuZE5vdGU+PENpdGU+PEF1dGhvcj5DaGVuPC9BdXRob3I+PFllYXI+MTk5NTwvWWVhcj48UmVj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==
</w:fldData>
              </w:fldChar>
            </w:r>
            <w:r w:rsidRPr="00FC71BE">
              <w:rPr>
                <w:color w:val="auto"/>
              </w:rPr>
              <w:instrText xml:space="preserve"> ADDIN EN.CITE.DATA </w:instrText>
            </w:r>
            <w:r w:rsidRPr="00FC71BE">
              <w:rPr>
                <w:color w:val="auto"/>
              </w:rPr>
            </w:r>
            <w:r w:rsidRPr="00FC71BE">
              <w:rPr>
                <w:color w:val="auto"/>
              </w:rPr>
              <w:fldChar w:fldCharType="end"/>
            </w:r>
            <w:r w:rsidRPr="00FC71BE">
              <w:rPr>
                <w:color w:val="auto"/>
              </w:rPr>
            </w:r>
            <w:r w:rsidRPr="00FC71BE">
              <w:rPr>
                <w:color w:val="auto"/>
              </w:rPr>
              <w:fldChar w:fldCharType="separate"/>
            </w:r>
            <w:r w:rsidRPr="00FC71BE">
              <w:rPr>
                <w:color w:val="auto"/>
              </w:rPr>
              <w:t>[31-33]</w:t>
            </w:r>
            <w:r w:rsidRPr="00FC71BE">
              <w:rPr>
                <w:color w:val="auto"/>
              </w:rPr>
              <w:fldChar w:fldCharType="end"/>
            </w:r>
          </w:p>
        </w:tc>
      </w:tr>
      <w:tr w:rsidR="00FC71BE" w:rsidRPr="00FC71BE" w14:paraId="7755745B" w14:textId="77777777">
        <w:tc>
          <w:tcPr>
            <w:tcW w:w="895" w:type="pct"/>
            <w:vAlign w:val="center"/>
          </w:tcPr>
          <w:p w14:paraId="1A85EA98" w14:textId="77777777" w:rsidR="00416180" w:rsidRPr="00FC71BE" w:rsidRDefault="00416180">
            <w:pPr>
              <w:pStyle w:val="Table"/>
              <w:rPr>
                <w:color w:val="auto"/>
              </w:rPr>
            </w:pPr>
            <w:r w:rsidRPr="00FC71BE">
              <w:rPr>
                <w:color w:val="auto"/>
              </w:rPr>
              <w:t>IPM</w:t>
            </w:r>
          </w:p>
        </w:tc>
        <w:tc>
          <w:tcPr>
            <w:tcW w:w="911" w:type="pct"/>
            <w:vAlign w:val="center"/>
          </w:tcPr>
          <w:p w14:paraId="1E859919" w14:textId="77777777" w:rsidR="00416180" w:rsidRPr="00FC71BE" w:rsidRDefault="00416180">
            <w:pPr>
              <w:pStyle w:val="Table"/>
              <w:rPr>
                <w:color w:val="auto"/>
              </w:rPr>
            </w:pPr>
            <w:r w:rsidRPr="00FC71BE">
              <w:rPr>
                <w:color w:val="auto"/>
              </w:rPr>
              <w:t>Stator teeth</w:t>
            </w:r>
          </w:p>
        </w:tc>
        <w:tc>
          <w:tcPr>
            <w:tcW w:w="2670" w:type="pct"/>
            <w:vAlign w:val="center"/>
          </w:tcPr>
          <w:p w14:paraId="064F1054" w14:textId="77777777" w:rsidR="00416180" w:rsidRPr="00FC71BE" w:rsidRDefault="00416180" w:rsidP="00AF4190">
            <w:pPr>
              <w:pStyle w:val="ListParagraph"/>
              <w:numPr>
                <w:ilvl w:val="0"/>
                <w:numId w:val="24"/>
              </w:numPr>
              <w:spacing w:line="240" w:lineRule="auto"/>
              <w:ind w:left="284" w:hanging="284"/>
            </w:pPr>
            <w:r w:rsidRPr="00FC71BE">
              <w:t>Minimized cogging torque.</w:t>
            </w:r>
          </w:p>
        </w:tc>
        <w:tc>
          <w:tcPr>
            <w:tcW w:w="524" w:type="pct"/>
            <w:vAlign w:val="center"/>
          </w:tcPr>
          <w:p w14:paraId="22321B7E" w14:textId="34FC03B9" w:rsidR="00416180" w:rsidRPr="00FC71BE" w:rsidRDefault="00416180">
            <w:pPr>
              <w:pStyle w:val="Table"/>
              <w:rPr>
                <w:color w:val="auto"/>
              </w:rPr>
            </w:pPr>
            <w:r w:rsidRPr="00FC71BE">
              <w:rPr>
                <w:color w:val="auto"/>
              </w:rPr>
              <w:fldChar w:fldCharType="begin"/>
            </w:r>
            <w:r w:rsidR="00103B0D" w:rsidRPr="00FC71BE">
              <w:rPr>
                <w:color w:val="auto"/>
              </w:rPr>
              <w:instrText xml:space="preserve"> ADDIN EN.CITE &lt;EndNote&gt;&lt;Cite&gt;&lt;Author&gt;Zhu&lt;/Author&gt;&lt;Year&gt;2011&lt;/Year&gt;&lt;RecNum&gt;106&lt;/RecNum&gt;&lt;DisplayText&gt;[34]&lt;/DisplayText&gt;&lt;record&gt;&lt;rec-number&gt;106&lt;/rec-number&gt;&lt;foreign-keys&gt;&lt;key app="EN" db-id="rf2p5e05jx0x9jep00uvx0s1fvaww2dfa0r9" timestamp="1696267441"&gt;106&lt;/key&gt;&lt;/foreign-keys&gt;&lt;ref-type name="Journal Article"&gt;17&lt;/ref-type&gt;&lt;contributors&gt;&lt;authors&gt;&lt;author&gt;Zhu, Z Q&lt;/author&gt;&lt;author&gt;Azar, Z&lt;/author&gt;&lt;author&gt;Ombach, G&lt;/author&gt;&lt;/authors&gt;&lt;/contributors&gt;&lt;titles&gt;&lt;title&gt;Influence of additional air gaps between stator segments on cogging torque of permanent-magnet machines having modular stators&lt;/title&gt;&lt;secondary-title&gt;IEEE Transactions on Magnetics&lt;/secondary-title&gt;&lt;/titles&gt;&lt;periodical&gt;&lt;full-title&gt;IEEE Transactions on Magnetics&lt;/full-title&gt;&lt;/periodical&gt;&lt;pages&gt;2049-2055&lt;/pages&gt;&lt;volume&gt;48&lt;/volume&gt;&lt;number&gt;6&lt;/number&gt;&lt;dates&gt;&lt;year&gt;2011&lt;/year&gt;&lt;/dates&gt;&lt;isbn&gt;0018-9464&lt;/isbn&gt;&lt;urls&gt;&lt;/urls&gt;&lt;/record&gt;&lt;/Cite&gt;&lt;/EndNote&gt;</w:instrText>
            </w:r>
            <w:r w:rsidRPr="00FC71BE">
              <w:rPr>
                <w:color w:val="auto"/>
              </w:rPr>
              <w:fldChar w:fldCharType="separate"/>
            </w:r>
            <w:r w:rsidRPr="00FC71BE">
              <w:rPr>
                <w:color w:val="auto"/>
              </w:rPr>
              <w:t>[34]</w:t>
            </w:r>
            <w:r w:rsidRPr="00FC71BE">
              <w:rPr>
                <w:color w:val="auto"/>
              </w:rPr>
              <w:fldChar w:fldCharType="end"/>
            </w:r>
          </w:p>
        </w:tc>
      </w:tr>
      <w:tr w:rsidR="00FC71BE" w:rsidRPr="00FC71BE" w14:paraId="2EEC0B13" w14:textId="77777777">
        <w:tc>
          <w:tcPr>
            <w:tcW w:w="895" w:type="pct"/>
            <w:vAlign w:val="center"/>
          </w:tcPr>
          <w:p w14:paraId="245DC11E" w14:textId="77777777" w:rsidR="00416180" w:rsidRPr="00FC71BE" w:rsidRDefault="00416180">
            <w:pPr>
              <w:pStyle w:val="Table"/>
              <w:rPr>
                <w:color w:val="auto"/>
              </w:rPr>
            </w:pPr>
            <w:r w:rsidRPr="00FC71BE">
              <w:rPr>
                <w:color w:val="auto"/>
              </w:rPr>
              <w:t>FSPM</w:t>
            </w:r>
          </w:p>
        </w:tc>
        <w:tc>
          <w:tcPr>
            <w:tcW w:w="911" w:type="pct"/>
            <w:vAlign w:val="center"/>
          </w:tcPr>
          <w:p w14:paraId="3BC671B1" w14:textId="77777777" w:rsidR="00416180" w:rsidRPr="00FC71BE" w:rsidRDefault="00416180">
            <w:pPr>
              <w:pStyle w:val="Table"/>
              <w:rPr>
                <w:color w:val="auto"/>
              </w:rPr>
            </w:pPr>
            <w:r w:rsidRPr="00FC71BE">
              <w:rPr>
                <w:color w:val="auto"/>
              </w:rPr>
              <w:t>E-core Stator</w:t>
            </w:r>
          </w:p>
        </w:tc>
        <w:tc>
          <w:tcPr>
            <w:tcW w:w="2670" w:type="pct"/>
            <w:vAlign w:val="center"/>
          </w:tcPr>
          <w:p w14:paraId="47046C51" w14:textId="77777777" w:rsidR="00416180" w:rsidRPr="00FC71BE" w:rsidRDefault="00416180" w:rsidP="00AF4190">
            <w:pPr>
              <w:pStyle w:val="ListParagraph"/>
              <w:numPr>
                <w:ilvl w:val="0"/>
                <w:numId w:val="24"/>
              </w:numPr>
              <w:spacing w:line="240" w:lineRule="auto"/>
              <w:ind w:left="284" w:hanging="284"/>
            </w:pPr>
            <w:r w:rsidRPr="00FC71BE">
              <w:t>Enhanced fault-tolerant capability.</w:t>
            </w:r>
          </w:p>
          <w:p w14:paraId="0FBC312D" w14:textId="77777777" w:rsidR="00416180" w:rsidRPr="00FC71BE" w:rsidRDefault="00416180" w:rsidP="00AF4190">
            <w:pPr>
              <w:pStyle w:val="ListParagraph"/>
              <w:numPr>
                <w:ilvl w:val="0"/>
                <w:numId w:val="24"/>
              </w:numPr>
              <w:spacing w:line="240" w:lineRule="auto"/>
              <w:ind w:left="284" w:hanging="284"/>
            </w:pPr>
            <w:r w:rsidRPr="00FC71BE">
              <w:t>Reduction of PM usage.</w:t>
            </w:r>
          </w:p>
        </w:tc>
        <w:tc>
          <w:tcPr>
            <w:tcW w:w="524" w:type="pct"/>
            <w:vAlign w:val="center"/>
          </w:tcPr>
          <w:p w14:paraId="41B74558" w14:textId="52A75808" w:rsidR="00416180" w:rsidRPr="00FC71BE" w:rsidRDefault="00416180">
            <w:pPr>
              <w:pStyle w:val="Table"/>
              <w:rPr>
                <w:color w:val="auto"/>
              </w:rPr>
            </w:pPr>
            <w:r w:rsidRPr="00FC71BE">
              <w:rPr>
                <w:color w:val="auto"/>
              </w:rPr>
              <w:fldChar w:fldCharType="begin">
                <w:fldData xml:space="preserve">PEVuZE5vdGU+PENpdGU+PEF1dGhvcj5aaGFuZzwvQXV0aG9yPjxZZWFyPjIwMjI8L1llYXI+PFJl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</w:fldData>
              </w:fldChar>
            </w:r>
            <w:r w:rsidR="00103B0D" w:rsidRPr="00FC71BE">
              <w:rPr>
                <w:color w:val="auto"/>
              </w:rPr>
              <w:instrText xml:space="preserve"> ADDIN EN.CITE </w:instrText>
            </w:r>
            <w:r w:rsidR="00103B0D" w:rsidRPr="00FC71BE">
              <w:rPr>
                <w:color w:val="auto"/>
              </w:rPr>
              <w:fldChar w:fldCharType="begin">
                <w:fldData xml:space="preserve">PEVuZE5vdGU+PENpdGU+PEF1dGhvcj5aaGFuZzwvQXV0aG9yPjxZZWFyPjIwMjI8L1llYXI+PFJl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</w:fldData>
              </w:fldChar>
            </w:r>
            <w:r w:rsidR="00103B0D" w:rsidRPr="00FC71BE">
              <w:rPr>
                <w:color w:val="auto"/>
              </w:rPr>
              <w:instrText xml:space="preserve"> ADDIN EN.CITE.DATA </w:instrText>
            </w:r>
            <w:r w:rsidR="00103B0D" w:rsidRPr="00FC71BE">
              <w:rPr>
                <w:color w:val="auto"/>
              </w:rPr>
            </w:r>
            <w:r w:rsidR="00103B0D" w:rsidRPr="00FC71BE">
              <w:rPr>
                <w:color w:val="auto"/>
              </w:rPr>
              <w:fldChar w:fldCharType="end"/>
            </w:r>
            <w:r w:rsidRPr="00FC71BE">
              <w:rPr>
                <w:color w:val="auto"/>
              </w:rPr>
            </w:r>
            <w:r w:rsidRPr="00FC71BE">
              <w:rPr>
                <w:color w:val="auto"/>
              </w:rPr>
              <w:fldChar w:fldCharType="separate"/>
            </w:r>
            <w:r w:rsidRPr="00FC71BE">
              <w:rPr>
                <w:color w:val="auto"/>
              </w:rPr>
              <w:t>[28, 35-37]</w:t>
            </w:r>
            <w:r w:rsidRPr="00FC71BE">
              <w:rPr>
                <w:color w:val="auto"/>
              </w:rPr>
              <w:fldChar w:fldCharType="end"/>
            </w:r>
          </w:p>
        </w:tc>
      </w:tr>
      <w:tr w:rsidR="00FC71BE" w:rsidRPr="00FC71BE" w14:paraId="766EFF98" w14:textId="77777777">
        <w:tc>
          <w:tcPr>
            <w:tcW w:w="895" w:type="pct"/>
            <w:vAlign w:val="center"/>
          </w:tcPr>
          <w:p w14:paraId="3071A408" w14:textId="77777777" w:rsidR="00416180" w:rsidRPr="00FC71BE" w:rsidRDefault="00416180">
            <w:pPr>
              <w:pStyle w:val="Table"/>
              <w:rPr>
                <w:color w:val="auto"/>
              </w:rPr>
            </w:pPr>
            <w:r w:rsidRPr="00FC71BE">
              <w:rPr>
                <w:color w:val="auto"/>
              </w:rPr>
              <w:t xml:space="preserve">SPM with </w:t>
            </w:r>
            <m:oMath>
              <m:r>
                <m:rPr>
                  <m:sty m:val="p"/>
                </m:rPr>
                <w:rPr>
                  <w:rFonts w:ascii="Cambria Math" w:hAnsi="Cambria Math"/>
                  <w:color w:val="auto"/>
                </w:rPr>
                <m:t>2p&gt;Ns</m:t>
              </m:r>
            </m:oMath>
          </w:p>
        </w:tc>
        <w:tc>
          <w:tcPr>
            <w:tcW w:w="911" w:type="pct"/>
            <w:vAlign w:val="center"/>
          </w:tcPr>
          <w:p w14:paraId="12AE8F5D" w14:textId="77777777" w:rsidR="00416180" w:rsidRPr="00FC71BE" w:rsidRDefault="00416180">
            <w:pPr>
              <w:pStyle w:val="Table"/>
              <w:rPr>
                <w:color w:val="auto"/>
              </w:rPr>
            </w:pPr>
            <w:r w:rsidRPr="00FC71BE">
              <w:rPr>
                <w:color w:val="auto"/>
              </w:rPr>
              <w:t>E-core stator</w:t>
            </w:r>
          </w:p>
        </w:tc>
        <w:tc>
          <w:tcPr>
            <w:tcW w:w="2670" w:type="pct"/>
            <w:vAlign w:val="center"/>
          </w:tcPr>
          <w:p w14:paraId="4DBEAF10" w14:textId="77777777" w:rsidR="00416180" w:rsidRPr="00FC71BE" w:rsidRDefault="00416180" w:rsidP="00AF4190">
            <w:pPr>
              <w:pStyle w:val="ListParagraph"/>
              <w:numPr>
                <w:ilvl w:val="0"/>
                <w:numId w:val="24"/>
              </w:numPr>
              <w:spacing w:line="240" w:lineRule="auto"/>
              <w:ind w:left="284" w:hanging="284"/>
            </w:pPr>
            <w:r w:rsidRPr="00FC71BE">
              <w:t>Increased torque and back-EMF.</w:t>
            </w:r>
          </w:p>
          <w:p w14:paraId="274ECF35" w14:textId="77777777" w:rsidR="00416180" w:rsidRPr="00FC71BE" w:rsidRDefault="00416180" w:rsidP="00AF4190">
            <w:pPr>
              <w:pStyle w:val="ListParagraph"/>
              <w:numPr>
                <w:ilvl w:val="0"/>
                <w:numId w:val="24"/>
              </w:numPr>
              <w:spacing w:line="240" w:lineRule="auto"/>
              <w:ind w:left="284" w:hanging="284"/>
            </w:pPr>
            <w:r w:rsidRPr="00FC71BE">
              <w:t>Mitigation of mutual inductance.</w:t>
            </w:r>
          </w:p>
          <w:p w14:paraId="156FE84B" w14:textId="77777777" w:rsidR="00416180" w:rsidRPr="00FC71BE" w:rsidRDefault="00416180" w:rsidP="00AF4190">
            <w:pPr>
              <w:pStyle w:val="ListParagraph"/>
              <w:numPr>
                <w:ilvl w:val="0"/>
                <w:numId w:val="24"/>
              </w:numPr>
              <w:spacing w:line="240" w:lineRule="auto"/>
              <w:ind w:left="284" w:hanging="284"/>
            </w:pPr>
            <w:r w:rsidRPr="00FC71BE">
              <w:t>Improved fault tolerant capability.</w:t>
            </w:r>
          </w:p>
          <w:p w14:paraId="012F3607" w14:textId="77777777" w:rsidR="00416180" w:rsidRPr="00FC71BE" w:rsidRDefault="00416180" w:rsidP="00AF4190">
            <w:pPr>
              <w:pStyle w:val="ListParagraph"/>
              <w:numPr>
                <w:ilvl w:val="0"/>
                <w:numId w:val="24"/>
              </w:numPr>
              <w:spacing w:line="240" w:lineRule="auto"/>
              <w:ind w:left="284" w:hanging="284"/>
            </w:pPr>
            <w:r w:rsidRPr="00FC71BE">
              <w:t>Improved demagnetization withstand capability.</w:t>
            </w:r>
          </w:p>
          <w:p w14:paraId="0B38678A" w14:textId="77777777" w:rsidR="00416180" w:rsidRPr="00FC71BE" w:rsidRDefault="00416180" w:rsidP="00AF4190">
            <w:pPr>
              <w:pStyle w:val="ListParagraph"/>
              <w:numPr>
                <w:ilvl w:val="0"/>
                <w:numId w:val="24"/>
              </w:numPr>
              <w:spacing w:line="240" w:lineRule="auto"/>
              <w:ind w:left="284" w:hanging="284"/>
            </w:pPr>
            <w:r w:rsidRPr="00FC71BE">
              <w:t>Mitigation of radial displacement, vibrations, and sound pressure level.</w:t>
            </w:r>
          </w:p>
          <w:p w14:paraId="0DE8C712" w14:textId="77777777" w:rsidR="00416180" w:rsidRPr="00FC71BE" w:rsidRDefault="00416180" w:rsidP="00AF4190">
            <w:pPr>
              <w:pStyle w:val="ListParagraph"/>
              <w:numPr>
                <w:ilvl w:val="0"/>
                <w:numId w:val="24"/>
              </w:numPr>
              <w:spacing w:line="240" w:lineRule="auto"/>
              <w:ind w:left="284" w:hanging="284"/>
            </w:pPr>
            <w:r w:rsidRPr="00FC71BE">
              <w:t>Improved withstand capability of segment radial displacement</w:t>
            </w:r>
          </w:p>
        </w:tc>
        <w:tc>
          <w:tcPr>
            <w:tcW w:w="524" w:type="pct"/>
            <w:vAlign w:val="center"/>
          </w:tcPr>
          <w:p w14:paraId="3629A36B" w14:textId="110550FA" w:rsidR="00416180" w:rsidRPr="00FC71BE" w:rsidRDefault="00416180">
            <w:pPr>
              <w:pStyle w:val="Table"/>
              <w:rPr>
                <w:color w:val="auto"/>
              </w:rPr>
            </w:pPr>
            <w:r w:rsidRPr="00FC71BE">
              <w:rPr>
                <w:color w:val="auto"/>
              </w:rPr>
              <w:fldChar w:fldCharType="begin">
                <w:fldData xml:space="preserve">PEVuZE5vdGU+PENpdGU+PEF1dGhvcj5MaTwvQXV0aG9yPjxZZWFyPjIwMTc8L1llYXI+PFJlY051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</w:fldData>
              </w:fldChar>
            </w:r>
            <w:r w:rsidR="00103B0D" w:rsidRPr="00FC71BE">
              <w:rPr>
                <w:color w:val="auto"/>
              </w:rPr>
              <w:instrText xml:space="preserve"> ADDIN EN.CITE </w:instrText>
            </w:r>
            <w:r w:rsidR="00103B0D" w:rsidRPr="00FC71BE">
              <w:rPr>
                <w:color w:val="auto"/>
              </w:rPr>
              <w:fldChar w:fldCharType="begin">
                <w:fldData xml:space="preserve">PEVuZE5vdGU+PENpdGU+PEF1dGhvcj5MaTwvQXV0aG9yPjxZZWFyPjIwMTc8L1llYXI+PFJlY051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</w:fldData>
              </w:fldChar>
            </w:r>
            <w:r w:rsidR="00103B0D" w:rsidRPr="00FC71BE">
              <w:rPr>
                <w:color w:val="auto"/>
              </w:rPr>
              <w:instrText xml:space="preserve"> ADDIN EN.CITE.DATA </w:instrText>
            </w:r>
            <w:r w:rsidR="00103B0D" w:rsidRPr="00FC71BE">
              <w:rPr>
                <w:color w:val="auto"/>
              </w:rPr>
            </w:r>
            <w:r w:rsidR="00103B0D" w:rsidRPr="00FC71BE">
              <w:rPr>
                <w:color w:val="auto"/>
              </w:rPr>
              <w:fldChar w:fldCharType="end"/>
            </w:r>
            <w:r w:rsidRPr="00FC71BE">
              <w:rPr>
                <w:color w:val="auto"/>
              </w:rPr>
            </w:r>
            <w:r w:rsidRPr="00FC71BE">
              <w:rPr>
                <w:color w:val="auto"/>
              </w:rPr>
              <w:fldChar w:fldCharType="separate"/>
            </w:r>
            <w:r w:rsidRPr="00FC71BE">
              <w:rPr>
                <w:color w:val="auto"/>
              </w:rPr>
              <w:t>[41-44, 46]</w:t>
            </w:r>
            <w:r w:rsidRPr="00FC71BE">
              <w:rPr>
                <w:color w:val="auto"/>
              </w:rPr>
              <w:fldChar w:fldCharType="end"/>
            </w:r>
          </w:p>
        </w:tc>
      </w:tr>
      <w:tr w:rsidR="00FC71BE" w:rsidRPr="00FC71BE" w14:paraId="3CEC8107" w14:textId="77777777">
        <w:tc>
          <w:tcPr>
            <w:tcW w:w="895" w:type="pct"/>
            <w:vAlign w:val="center"/>
          </w:tcPr>
          <w:p w14:paraId="1B5069E6" w14:textId="77777777" w:rsidR="00416180" w:rsidRPr="00FC71BE" w:rsidRDefault="00416180">
            <w:pPr>
              <w:pStyle w:val="Table"/>
              <w:rPr>
                <w:color w:val="auto"/>
              </w:rPr>
            </w:pPr>
            <w:r w:rsidRPr="00FC71BE">
              <w:rPr>
                <w:color w:val="auto"/>
              </w:rPr>
              <w:t>Multiphase SPM</w:t>
            </w:r>
          </w:p>
        </w:tc>
        <w:tc>
          <w:tcPr>
            <w:tcW w:w="911" w:type="pct"/>
            <w:vAlign w:val="center"/>
          </w:tcPr>
          <w:p w14:paraId="76FB63CF" w14:textId="77777777" w:rsidR="00416180" w:rsidRPr="00FC71BE" w:rsidRDefault="00416180">
            <w:pPr>
              <w:pStyle w:val="Table"/>
              <w:rPr>
                <w:color w:val="auto"/>
              </w:rPr>
            </w:pPr>
            <w:r w:rsidRPr="00FC71BE">
              <w:rPr>
                <w:color w:val="auto"/>
              </w:rPr>
              <w:t>E-core stator</w:t>
            </w:r>
          </w:p>
        </w:tc>
        <w:tc>
          <w:tcPr>
            <w:tcW w:w="2670" w:type="pct"/>
            <w:vAlign w:val="center"/>
          </w:tcPr>
          <w:p w14:paraId="2530F270" w14:textId="77777777" w:rsidR="00416180" w:rsidRPr="00FC71BE" w:rsidRDefault="00416180" w:rsidP="00AF4190">
            <w:pPr>
              <w:pStyle w:val="ListParagraph"/>
              <w:numPr>
                <w:ilvl w:val="0"/>
                <w:numId w:val="24"/>
              </w:numPr>
              <w:spacing w:line="240" w:lineRule="auto"/>
              <w:ind w:left="284" w:hanging="284"/>
            </w:pPr>
            <w:r w:rsidRPr="00FC71BE">
              <w:t>Reduced sub-harmonic of airgap MMF.</w:t>
            </w:r>
          </w:p>
        </w:tc>
        <w:tc>
          <w:tcPr>
            <w:tcW w:w="524" w:type="pct"/>
            <w:vAlign w:val="center"/>
          </w:tcPr>
          <w:p w14:paraId="61D17E70" w14:textId="77777777" w:rsidR="00416180" w:rsidRPr="00FC71BE" w:rsidRDefault="00416180">
            <w:pPr>
              <w:pStyle w:val="Table"/>
              <w:rPr>
                <w:color w:val="auto"/>
              </w:rPr>
            </w:pPr>
            <w:r w:rsidRPr="00FC71BE">
              <w:rPr>
                <w:color w:val="auto"/>
              </w:rPr>
              <w:fldChar w:fldCharType="begin"/>
            </w:r>
            <w:r w:rsidRPr="00FC71BE">
              <w:rPr>
                <w:color w:val="auto"/>
              </w:rPr>
              <w:instrText xml:space="preserve"> ADDIN EN.CITE &lt;EndNote&gt;&lt;Cite&gt;&lt;Author&gt;Li&lt;/Author&gt;&lt;Year&gt;2017&lt;/Year&gt;&lt;RecNum&gt;114&lt;/RecNum&gt;&lt;DisplayText&gt;[39]&lt;/DisplayText&gt;&lt;record&gt;&lt;rec-number&gt;114&lt;/rec-number&gt;&lt;foreign-keys&gt;&lt;key app="EN" db-id="rf2p5e05jx0x9jep00uvx0s1fvaww2dfa0r9" timestamp="1696281122"&gt;114&lt;/key&gt;&lt;/foreign-keys&gt;&lt;ref-type name="Journal Article"&gt;17&lt;/ref-type&gt;&lt;contributors&gt;&lt;authors&gt;&lt;author&gt;Li, Guang Jin&lt;/author&gt;&lt;author&gt;Ren, Bo&lt;/author&gt;&lt;author&gt;Zhu, Zi Qiang&lt;/author&gt;&lt;/authors&gt;&lt;/contributors&gt;&lt;titles&gt;&lt;title&gt;Design guidelines for fractional slot multi‐phase modular permanent magnet machines&lt;/title&gt;&lt;secondary-title&gt;IET Electric Power Applications&lt;/secondary-title&gt;&lt;/titles&gt;&lt;periodical&gt;&lt;full-title&gt;IET Electric Power Applications&lt;/full-title&gt;&lt;/periodical&gt;&lt;pages&gt;1023-1031&lt;/pages&gt;&lt;volume&gt;11&lt;/volume&gt;&lt;number&gt;6&lt;/number&gt;&lt;dates&gt;&lt;year&gt;2017&lt;/year&gt;&lt;/dates&gt;&lt;isbn&gt;1751-8660&lt;/isbn&gt;&lt;urls&gt;&lt;/urls&gt;&lt;/record&gt;&lt;/Cite&gt;&lt;/EndNote&gt;</w:instrText>
            </w:r>
            <w:r w:rsidRPr="00FC71BE">
              <w:rPr>
                <w:color w:val="auto"/>
              </w:rPr>
              <w:fldChar w:fldCharType="separate"/>
            </w:r>
            <w:r w:rsidRPr="00FC71BE">
              <w:rPr>
                <w:color w:val="auto"/>
              </w:rPr>
              <w:t>[39]</w:t>
            </w:r>
            <w:r w:rsidRPr="00FC71BE">
              <w:rPr>
                <w:color w:val="auto"/>
              </w:rPr>
              <w:fldChar w:fldCharType="end"/>
            </w:r>
          </w:p>
        </w:tc>
      </w:tr>
      <w:tr w:rsidR="00FC71BE" w:rsidRPr="00FC71BE" w14:paraId="111F2B35" w14:textId="77777777">
        <w:tc>
          <w:tcPr>
            <w:tcW w:w="895" w:type="pct"/>
            <w:vAlign w:val="center"/>
          </w:tcPr>
          <w:p w14:paraId="581ECA6D" w14:textId="77777777" w:rsidR="00416180" w:rsidRPr="00FC71BE" w:rsidRDefault="00416180">
            <w:pPr>
              <w:pStyle w:val="Table"/>
              <w:rPr>
                <w:color w:val="auto"/>
              </w:rPr>
            </w:pPr>
            <w:r w:rsidRPr="00FC71BE">
              <w:rPr>
                <w:color w:val="auto"/>
              </w:rPr>
              <w:t>Consequent-pole</w:t>
            </w:r>
          </w:p>
        </w:tc>
        <w:tc>
          <w:tcPr>
            <w:tcW w:w="911" w:type="pct"/>
            <w:vAlign w:val="center"/>
          </w:tcPr>
          <w:p w14:paraId="30488C1E" w14:textId="77777777" w:rsidR="00416180" w:rsidRPr="00FC71BE" w:rsidRDefault="00416180">
            <w:pPr>
              <w:pStyle w:val="Table"/>
              <w:rPr>
                <w:color w:val="auto"/>
              </w:rPr>
            </w:pPr>
            <w:r w:rsidRPr="00FC71BE">
              <w:rPr>
                <w:color w:val="auto"/>
              </w:rPr>
              <w:t>E-core stator</w:t>
            </w:r>
          </w:p>
        </w:tc>
        <w:tc>
          <w:tcPr>
            <w:tcW w:w="2670" w:type="pct"/>
            <w:vAlign w:val="center"/>
          </w:tcPr>
          <w:p w14:paraId="6A34308A" w14:textId="77777777" w:rsidR="00416180" w:rsidRPr="00FC71BE" w:rsidRDefault="00416180" w:rsidP="00AF4190">
            <w:pPr>
              <w:pStyle w:val="ListParagraph"/>
              <w:numPr>
                <w:ilvl w:val="0"/>
                <w:numId w:val="24"/>
              </w:numPr>
              <w:spacing w:line="240" w:lineRule="auto"/>
              <w:ind w:left="284" w:hanging="284"/>
            </w:pPr>
            <w:r w:rsidRPr="00FC71BE">
              <w:t>Enhanced average torque.</w:t>
            </w:r>
          </w:p>
          <w:p w14:paraId="6F370F92" w14:textId="77777777" w:rsidR="00416180" w:rsidRPr="00FC71BE" w:rsidRDefault="00416180" w:rsidP="00AF4190">
            <w:pPr>
              <w:pStyle w:val="ListParagraph"/>
              <w:numPr>
                <w:ilvl w:val="0"/>
                <w:numId w:val="24"/>
              </w:numPr>
              <w:spacing w:line="240" w:lineRule="auto"/>
              <w:ind w:left="284" w:hanging="284"/>
            </w:pPr>
            <w:r w:rsidRPr="00FC71BE">
              <w:t>Increased machine efficiency.</w:t>
            </w:r>
          </w:p>
          <w:p w14:paraId="2E5D5465" w14:textId="77777777" w:rsidR="00416180" w:rsidRPr="00FC71BE" w:rsidRDefault="00416180" w:rsidP="00AF4190">
            <w:pPr>
              <w:pStyle w:val="ListParagraph"/>
              <w:numPr>
                <w:ilvl w:val="0"/>
                <w:numId w:val="24"/>
              </w:numPr>
              <w:spacing w:line="240" w:lineRule="auto"/>
              <w:ind w:left="284" w:hanging="284"/>
            </w:pPr>
            <w:r w:rsidRPr="00FC71BE">
              <w:t>Improved flux-weakening capability.</w:t>
            </w:r>
          </w:p>
        </w:tc>
        <w:tc>
          <w:tcPr>
            <w:tcW w:w="524" w:type="pct"/>
            <w:vAlign w:val="center"/>
          </w:tcPr>
          <w:p w14:paraId="4D7B6003" w14:textId="039CC18E" w:rsidR="00416180" w:rsidRPr="00FC71BE" w:rsidRDefault="00416180">
            <w:pPr>
              <w:pStyle w:val="Table"/>
              <w:rPr>
                <w:color w:val="auto"/>
              </w:rPr>
            </w:pPr>
            <w:r w:rsidRPr="00FC71BE">
              <w:rPr>
                <w:color w:val="auto"/>
              </w:rPr>
              <w:fldChar w:fldCharType="begin"/>
            </w:r>
            <w:r w:rsidR="00103B0D" w:rsidRPr="00FC71BE">
              <w:rPr>
                <w:color w:val="auto"/>
              </w:rPr>
              <w:instrText xml:space="preserve"> ADDIN EN.CITE &lt;EndNote&gt;&lt;Cite&gt;&lt;Author&gt;Zhou&lt;/Author&gt;&lt;Year&gt;2020&lt;/Year&gt;&lt;RecNum&gt;116&lt;/RecNum&gt;&lt;DisplayText&gt;[47]&lt;/DisplayText&gt;&lt;record&gt;&lt;rec-number&gt;116&lt;/rec-number&gt;&lt;foreign-keys&gt;&lt;key app="EN" db-id="rf2p5e05jx0x9jep00uvx0s1fvaww2dfa0r9" timestamp="1696322511"&gt;116&lt;/key&gt;&lt;/foreign-keys&gt;&lt;ref-type name="Journal Article"&gt;17&lt;/ref-type&gt;&lt;contributors&gt;&lt;authors&gt;&lt;author&gt;Zhou, Rui&lt;/author&gt;&lt;author&gt;Li, Guang Jin&lt;/author&gt;&lt;author&gt;Zhang, Kai&lt;/author&gt;&lt;author&gt;Zhu, Z Q&lt;/author&gt;&lt;author&gt;Foster, Martin P&lt;/author&gt;&lt;author&gt;Stone, David A&lt;/author&gt;&lt;/authors&gt;&lt;/contributors&gt;&lt;titles&gt;&lt;title&gt;Performance investigation of consequent-pole PM machines with E-core and C-core modular stators&lt;/title&gt;&lt;secondary-title&gt;IEEE Transactions on Energy Conversion&lt;/secondary-title&gt;&lt;/titles&gt;&lt;periodical&gt;&lt;full-title&gt;IEEE Transactions on Energy Conversion&lt;/full-title&gt;&lt;/periodical&gt;&lt;pages&gt;1169-1179&lt;/pages&gt;&lt;volume&gt;36&lt;/volume&gt;&lt;number&gt;2&lt;/number&gt;&lt;dates&gt;&lt;year&gt;2020&lt;/year&gt;&lt;/dates&gt;&lt;isbn&gt;0885-8969&lt;/isbn&gt;&lt;urls&gt;&lt;/urls&gt;&lt;/record&gt;&lt;/Cite&gt;&lt;/EndNote&gt;</w:instrText>
            </w:r>
            <w:r w:rsidRPr="00FC71BE">
              <w:rPr>
                <w:color w:val="auto"/>
              </w:rPr>
              <w:fldChar w:fldCharType="separate"/>
            </w:r>
            <w:r w:rsidRPr="00FC71BE">
              <w:rPr>
                <w:color w:val="auto"/>
              </w:rPr>
              <w:t>[47]</w:t>
            </w:r>
            <w:r w:rsidRPr="00FC71BE">
              <w:rPr>
                <w:color w:val="auto"/>
              </w:rPr>
              <w:fldChar w:fldCharType="end"/>
            </w:r>
          </w:p>
        </w:tc>
      </w:tr>
      <w:tr w:rsidR="00FC71BE" w:rsidRPr="00FC71BE" w14:paraId="20C5282A" w14:textId="77777777">
        <w:tc>
          <w:tcPr>
            <w:tcW w:w="895" w:type="pct"/>
            <w:vAlign w:val="center"/>
          </w:tcPr>
          <w:p w14:paraId="73C95B1B" w14:textId="77777777" w:rsidR="00416180" w:rsidRPr="00FC71BE" w:rsidRDefault="00416180">
            <w:pPr>
              <w:pStyle w:val="Table"/>
              <w:rPr>
                <w:color w:val="auto"/>
              </w:rPr>
            </w:pPr>
            <w:r w:rsidRPr="00FC71BE">
              <w:rPr>
                <w:color w:val="auto"/>
              </w:rPr>
              <w:t>Consequent-pole</w:t>
            </w:r>
          </w:p>
        </w:tc>
        <w:tc>
          <w:tcPr>
            <w:tcW w:w="911" w:type="pct"/>
            <w:vAlign w:val="center"/>
          </w:tcPr>
          <w:p w14:paraId="0EB90642" w14:textId="77777777" w:rsidR="00416180" w:rsidRPr="00FC71BE" w:rsidRDefault="00416180">
            <w:pPr>
              <w:pStyle w:val="Table"/>
              <w:rPr>
                <w:color w:val="auto"/>
              </w:rPr>
            </w:pPr>
            <w:r w:rsidRPr="00FC71BE">
              <w:rPr>
                <w:color w:val="auto"/>
              </w:rPr>
              <w:t>C-core stator</w:t>
            </w:r>
          </w:p>
        </w:tc>
        <w:tc>
          <w:tcPr>
            <w:tcW w:w="2670" w:type="pct"/>
            <w:vAlign w:val="center"/>
          </w:tcPr>
          <w:p w14:paraId="6B31D7BC" w14:textId="77777777" w:rsidR="00416180" w:rsidRPr="00FC71BE" w:rsidRDefault="00416180" w:rsidP="00AF4190">
            <w:pPr>
              <w:pStyle w:val="ListParagraph"/>
              <w:numPr>
                <w:ilvl w:val="0"/>
                <w:numId w:val="24"/>
              </w:numPr>
              <w:spacing w:line="240" w:lineRule="auto"/>
              <w:ind w:left="284" w:hanging="284"/>
            </w:pPr>
            <w:r w:rsidRPr="00FC71BE">
              <w:t>Reduced torque ripple.</w:t>
            </w:r>
          </w:p>
          <w:p w14:paraId="722E2541" w14:textId="77777777" w:rsidR="00416180" w:rsidRPr="00FC71BE" w:rsidRDefault="00416180" w:rsidP="00AF4190">
            <w:pPr>
              <w:pStyle w:val="ListParagraph"/>
              <w:numPr>
                <w:ilvl w:val="0"/>
                <w:numId w:val="24"/>
              </w:numPr>
              <w:spacing w:line="240" w:lineRule="auto"/>
              <w:ind w:left="284" w:hanging="284"/>
            </w:pPr>
            <w:r w:rsidRPr="00FC71BE">
              <w:t>Lowered on-load unbalance magnetic force.</w:t>
            </w:r>
          </w:p>
          <w:p w14:paraId="6F58266C" w14:textId="77777777" w:rsidR="00416180" w:rsidRPr="00FC71BE" w:rsidRDefault="00416180" w:rsidP="00AF4190">
            <w:pPr>
              <w:pStyle w:val="ListParagraph"/>
              <w:numPr>
                <w:ilvl w:val="0"/>
                <w:numId w:val="24"/>
              </w:numPr>
              <w:spacing w:line="240" w:lineRule="auto"/>
              <w:ind w:left="284" w:hanging="284"/>
            </w:pPr>
            <w:r w:rsidRPr="00FC71BE">
              <w:t>Improved power factor.</w:t>
            </w:r>
          </w:p>
        </w:tc>
        <w:tc>
          <w:tcPr>
            <w:tcW w:w="524" w:type="pct"/>
            <w:vAlign w:val="center"/>
          </w:tcPr>
          <w:p w14:paraId="23C6E829" w14:textId="658B6F7B" w:rsidR="00416180" w:rsidRPr="00FC71BE" w:rsidRDefault="00416180">
            <w:pPr>
              <w:pStyle w:val="Table"/>
              <w:rPr>
                <w:color w:val="auto"/>
              </w:rPr>
            </w:pPr>
            <w:r w:rsidRPr="00FC71BE">
              <w:rPr>
                <w:color w:val="auto"/>
              </w:rPr>
              <w:fldChar w:fldCharType="begin"/>
            </w:r>
            <w:r w:rsidR="00103B0D" w:rsidRPr="00FC71BE">
              <w:rPr>
                <w:color w:val="auto"/>
              </w:rPr>
              <w:instrText xml:space="preserve"> ADDIN EN.CITE &lt;EndNote&gt;&lt;Cite&gt;&lt;Author&gt;Zhou&lt;/Author&gt;&lt;Year&gt;2020&lt;/Year&gt;&lt;RecNum&gt;116&lt;/RecNum&gt;&lt;DisplayText&gt;[47]&lt;/DisplayText&gt;&lt;record&gt;&lt;rec-number&gt;116&lt;/rec-number&gt;&lt;foreign-keys&gt;&lt;key app="EN" db-id="rf2p5e05jx0x9jep00uvx0s1fvaww2dfa0r9" timestamp="1696322511"&gt;116&lt;/key&gt;&lt;/foreign-keys&gt;&lt;ref-type name="Journal Article"&gt;17&lt;/ref-type&gt;&lt;contributors&gt;&lt;authors&gt;&lt;author&gt;Zhou, Rui&lt;/author&gt;&lt;author&gt;Li, Guang Jin&lt;/author&gt;&lt;author&gt;Zhang, Kai&lt;/author&gt;&lt;author&gt;Zhu, Z Q&lt;/author&gt;&lt;author&gt;Foster, Martin P&lt;/author&gt;&lt;author&gt;Stone, David A&lt;/author&gt;&lt;/authors&gt;&lt;/contributors&gt;&lt;titles&gt;&lt;title&gt;Performance investigation of consequent-pole PM machines with E-core and C-core modular stators&lt;/title&gt;&lt;secondary-title&gt;IEEE Transactions on Energy Conversion&lt;/secondary-title&gt;&lt;/titles&gt;&lt;periodical&gt;&lt;full-title&gt;IEEE Transactions on Energy Conversion&lt;/full-title&gt;&lt;/periodical&gt;&lt;pages&gt;1169-1179&lt;/pages&gt;&lt;volume&gt;36&lt;/volume&gt;&lt;number&gt;2&lt;/number&gt;&lt;dates&gt;&lt;year&gt;2020&lt;/year&gt;&lt;/dates&gt;&lt;isbn&gt;0885-8969&lt;/isbn&gt;&lt;urls&gt;&lt;/urls&gt;&lt;/record&gt;&lt;/Cite&gt;&lt;/EndNote&gt;</w:instrText>
            </w:r>
            <w:r w:rsidRPr="00FC71BE">
              <w:rPr>
                <w:color w:val="auto"/>
              </w:rPr>
              <w:fldChar w:fldCharType="separate"/>
            </w:r>
            <w:r w:rsidRPr="00FC71BE">
              <w:rPr>
                <w:color w:val="auto"/>
              </w:rPr>
              <w:t>[47]</w:t>
            </w:r>
            <w:r w:rsidRPr="00FC71BE">
              <w:rPr>
                <w:color w:val="auto"/>
              </w:rPr>
              <w:fldChar w:fldCharType="end"/>
            </w:r>
          </w:p>
        </w:tc>
      </w:tr>
      <w:tr w:rsidR="00FC71BE" w:rsidRPr="00FC71BE" w14:paraId="0F2C5176" w14:textId="77777777">
        <w:tc>
          <w:tcPr>
            <w:tcW w:w="895" w:type="pct"/>
            <w:vAlign w:val="center"/>
          </w:tcPr>
          <w:p w14:paraId="46A2A0BC" w14:textId="77777777" w:rsidR="00416180" w:rsidRPr="00FC71BE" w:rsidRDefault="00416180">
            <w:pPr>
              <w:pStyle w:val="Table"/>
              <w:rPr>
                <w:color w:val="auto"/>
              </w:rPr>
            </w:pPr>
            <w:r w:rsidRPr="00FC71BE">
              <w:rPr>
                <w:color w:val="auto"/>
              </w:rPr>
              <w:t>Inset SPM</w:t>
            </w:r>
          </w:p>
        </w:tc>
        <w:tc>
          <w:tcPr>
            <w:tcW w:w="911" w:type="pct"/>
            <w:vAlign w:val="center"/>
          </w:tcPr>
          <w:p w14:paraId="67FD1F17" w14:textId="77777777" w:rsidR="00416180" w:rsidRPr="00FC71BE" w:rsidRDefault="00416180">
            <w:pPr>
              <w:pStyle w:val="Table"/>
              <w:rPr>
                <w:color w:val="auto"/>
              </w:rPr>
            </w:pPr>
            <w:r w:rsidRPr="00FC71BE">
              <w:rPr>
                <w:color w:val="auto"/>
              </w:rPr>
              <w:t>E-core stator</w:t>
            </w:r>
          </w:p>
        </w:tc>
        <w:tc>
          <w:tcPr>
            <w:tcW w:w="2670" w:type="pct"/>
            <w:vAlign w:val="center"/>
          </w:tcPr>
          <w:p w14:paraId="749EAA8A" w14:textId="77777777" w:rsidR="00416180" w:rsidRPr="00FC71BE" w:rsidRDefault="00416180" w:rsidP="00AF4190">
            <w:pPr>
              <w:pStyle w:val="ListParagraph"/>
              <w:numPr>
                <w:ilvl w:val="0"/>
                <w:numId w:val="24"/>
              </w:numPr>
              <w:spacing w:line="240" w:lineRule="auto"/>
              <w:ind w:left="284" w:hanging="284"/>
            </w:pPr>
            <w:r w:rsidRPr="00FC71BE">
              <w:t>Reduced iron losses.</w:t>
            </w:r>
          </w:p>
          <w:p w14:paraId="060173A3" w14:textId="77777777" w:rsidR="00416180" w:rsidRPr="00FC71BE" w:rsidRDefault="00416180" w:rsidP="00AF4190">
            <w:pPr>
              <w:pStyle w:val="ListParagraph"/>
              <w:numPr>
                <w:ilvl w:val="0"/>
                <w:numId w:val="24"/>
              </w:numPr>
              <w:spacing w:line="240" w:lineRule="auto"/>
              <w:ind w:left="284" w:hanging="284"/>
            </w:pPr>
            <w:r w:rsidRPr="00FC71BE">
              <w:t>Increased torque.</w:t>
            </w:r>
          </w:p>
        </w:tc>
        <w:tc>
          <w:tcPr>
            <w:tcW w:w="524" w:type="pct"/>
            <w:vAlign w:val="center"/>
          </w:tcPr>
          <w:p w14:paraId="00BDDF4E" w14:textId="4FEDBB70" w:rsidR="00416180" w:rsidRPr="00FC71BE" w:rsidRDefault="00416180">
            <w:pPr>
              <w:pStyle w:val="Table"/>
              <w:rPr>
                <w:color w:val="auto"/>
              </w:rPr>
            </w:pPr>
            <w:r w:rsidRPr="00FC71BE">
              <w:rPr>
                <w:color w:val="auto"/>
              </w:rPr>
              <w:fldChar w:fldCharType="begin"/>
            </w:r>
            <w:r w:rsidR="00103B0D" w:rsidRPr="00FC71BE">
              <w:rPr>
                <w:color w:val="auto"/>
              </w:rPr>
              <w:instrText xml:space="preserve"> ADDIN EN.CITE &lt;EndNote&gt;&lt;Cite&gt;&lt;Author&gt;Ren&lt;/Author&gt;&lt;Year&gt;2019&lt;/Year&gt;&lt;RecNum&gt;117&lt;/RecNum&gt;&lt;DisplayText&gt;[45]&lt;/DisplayText&gt;&lt;record&gt;&lt;rec-number&gt;117&lt;/rec-number&gt;&lt;foreign-keys&gt;&lt;key app="EN" db-id="rf2p5e05jx0x9jep00uvx0s1fvaww2dfa0r9" timestamp="1696322657"&gt;117&lt;/key&gt;&lt;/foreign-keys&gt;&lt;ref-type name="Journal Article"&gt;17&lt;/ref-type&gt;&lt;contributors&gt;&lt;authors&gt;&lt;author&gt;Ren, Bo&lt;/author&gt;&lt;author&gt;Li, Guang Jin&lt;/author&gt;&lt;author&gt;Zhu, Zi Qiang&lt;/author&gt;&lt;author&gt;Foster, Martin&lt;/author&gt;&lt;author&gt;Stone, David&lt;/author&gt;&lt;/authors&gt;&lt;/contributors&gt;&lt;titles&gt;&lt;title&gt;Performance comparison between consequent‐pole and inset modular permanent magnet machines&lt;/title&gt;&lt;secondary-title&gt;The Journal of Engineering&lt;/secondary-title&gt;&lt;/titles&gt;&lt;periodical&gt;&lt;full-title&gt;The Journal of Engineering&lt;/full-title&gt;&lt;/periodical&gt;&lt;pages&gt;3951-3955&lt;/pages&gt;&lt;volume&gt;2019&lt;/volume&gt;&lt;number&gt;17&lt;/number&gt;&lt;dates&gt;&lt;year&gt;2019&lt;/year&gt;&lt;/dates&gt;&lt;isbn&gt;2051-3305&lt;/isbn&gt;&lt;urls&gt;&lt;/urls&gt;&lt;/record&gt;&lt;/Cite&gt;&lt;/EndNote&gt;</w:instrText>
            </w:r>
            <w:r w:rsidRPr="00FC71BE">
              <w:rPr>
                <w:color w:val="auto"/>
              </w:rPr>
              <w:fldChar w:fldCharType="separate"/>
            </w:r>
            <w:r w:rsidRPr="00FC71BE">
              <w:rPr>
                <w:color w:val="auto"/>
              </w:rPr>
              <w:t>[45]</w:t>
            </w:r>
            <w:r w:rsidRPr="00FC71BE">
              <w:rPr>
                <w:color w:val="auto"/>
              </w:rPr>
              <w:fldChar w:fldCharType="end"/>
            </w:r>
          </w:p>
        </w:tc>
      </w:tr>
      <w:tr w:rsidR="00FC71BE" w:rsidRPr="00FC71BE" w14:paraId="42AF8583" w14:textId="77777777">
        <w:tc>
          <w:tcPr>
            <w:tcW w:w="895" w:type="pct"/>
            <w:vAlign w:val="center"/>
          </w:tcPr>
          <w:p w14:paraId="323DD018" w14:textId="77777777" w:rsidR="00416180" w:rsidRPr="00FC71BE" w:rsidRDefault="00416180">
            <w:pPr>
              <w:pStyle w:val="Table"/>
              <w:rPr>
                <w:color w:val="auto"/>
              </w:rPr>
            </w:pPr>
            <w:r w:rsidRPr="00FC71BE">
              <w:rPr>
                <w:color w:val="auto"/>
              </w:rPr>
              <w:t>IPM</w:t>
            </w:r>
          </w:p>
        </w:tc>
        <w:tc>
          <w:tcPr>
            <w:tcW w:w="911" w:type="pct"/>
            <w:vAlign w:val="center"/>
          </w:tcPr>
          <w:p w14:paraId="0864FEDA" w14:textId="77777777" w:rsidR="00416180" w:rsidRPr="00FC71BE" w:rsidRDefault="00416180">
            <w:pPr>
              <w:pStyle w:val="Table"/>
              <w:rPr>
                <w:color w:val="auto"/>
              </w:rPr>
            </w:pPr>
            <w:r w:rsidRPr="00FC71BE">
              <w:rPr>
                <w:color w:val="auto"/>
              </w:rPr>
              <w:t>E-core stator</w:t>
            </w:r>
          </w:p>
        </w:tc>
        <w:tc>
          <w:tcPr>
            <w:tcW w:w="2670" w:type="pct"/>
            <w:vAlign w:val="center"/>
          </w:tcPr>
          <w:p w14:paraId="2591B006" w14:textId="77777777" w:rsidR="00416180" w:rsidRPr="00FC71BE" w:rsidRDefault="00416180" w:rsidP="00AF4190">
            <w:pPr>
              <w:pStyle w:val="ListParagraph"/>
              <w:numPr>
                <w:ilvl w:val="0"/>
                <w:numId w:val="24"/>
              </w:numPr>
              <w:spacing w:line="240" w:lineRule="auto"/>
              <w:ind w:left="284" w:hanging="284"/>
            </w:pPr>
            <w:r w:rsidRPr="00FC71BE">
              <w:t>Increased torque.</w:t>
            </w:r>
          </w:p>
          <w:p w14:paraId="611AA890" w14:textId="77777777" w:rsidR="00416180" w:rsidRPr="00FC71BE" w:rsidRDefault="00416180" w:rsidP="00AF4190">
            <w:pPr>
              <w:pStyle w:val="ListParagraph"/>
              <w:numPr>
                <w:ilvl w:val="0"/>
                <w:numId w:val="24"/>
              </w:numPr>
              <w:spacing w:line="240" w:lineRule="auto"/>
              <w:ind w:left="284" w:hanging="284"/>
            </w:pPr>
            <w:r w:rsidRPr="00FC71BE">
              <w:t>Reduced iron losses and PM losses.</w:t>
            </w:r>
          </w:p>
          <w:p w14:paraId="56C17E5B" w14:textId="77777777" w:rsidR="00416180" w:rsidRPr="00FC71BE" w:rsidRDefault="00416180" w:rsidP="00AF4190">
            <w:pPr>
              <w:pStyle w:val="ListParagraph"/>
              <w:numPr>
                <w:ilvl w:val="0"/>
                <w:numId w:val="24"/>
              </w:numPr>
              <w:spacing w:line="240" w:lineRule="auto"/>
              <w:ind w:left="284" w:hanging="284"/>
            </w:pPr>
            <w:r w:rsidRPr="00FC71BE">
              <w:t>Reduced sub-harmonic.</w:t>
            </w:r>
          </w:p>
          <w:p w14:paraId="581949B7" w14:textId="77777777" w:rsidR="00416180" w:rsidRPr="00FC71BE" w:rsidRDefault="00416180" w:rsidP="00AF4190">
            <w:pPr>
              <w:pStyle w:val="ListParagraph"/>
              <w:numPr>
                <w:ilvl w:val="0"/>
                <w:numId w:val="24"/>
              </w:numPr>
              <w:spacing w:line="240" w:lineRule="auto"/>
              <w:ind w:left="284" w:hanging="284"/>
            </w:pPr>
            <w:r w:rsidRPr="00FC71BE">
              <w:t>Improved field weakening capability</w:t>
            </w:r>
          </w:p>
        </w:tc>
        <w:tc>
          <w:tcPr>
            <w:tcW w:w="524" w:type="pct"/>
            <w:vAlign w:val="center"/>
          </w:tcPr>
          <w:p w14:paraId="5D2DD775" w14:textId="77777777" w:rsidR="00416180" w:rsidRPr="00FC71BE" w:rsidRDefault="00416180">
            <w:pPr>
              <w:pStyle w:val="Table"/>
              <w:rPr>
                <w:color w:val="auto"/>
              </w:rPr>
            </w:pPr>
            <w:r w:rsidRPr="00FC71BE">
              <w:rPr>
                <w:color w:val="auto"/>
              </w:rPr>
              <w:fldChar w:fldCharType="begin">
                <w:fldData xml:space="preserve">PEVuZE5vdGU+PENpdGU+PEF1dGhvcj5EYWpha3U8L0F1dGhvcj48WWVhcj4yMDEyPC9ZZWFyPjxS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=
</w:fldData>
              </w:fldChar>
            </w:r>
            <w:r w:rsidRPr="00FC71BE">
              <w:rPr>
                <w:color w:val="auto"/>
              </w:rPr>
              <w:instrText xml:space="preserve"> ADDIN EN.CITE </w:instrText>
            </w:r>
            <w:r w:rsidRPr="00FC71BE">
              <w:rPr>
                <w:color w:val="auto"/>
              </w:rPr>
              <w:fldChar w:fldCharType="begin">
                <w:fldData xml:space="preserve">PEVuZE5vdGU+PENpdGU+PEF1dGhvcj5EYWpha3U8L0F1dGhvcj48WWVhcj4yMDEyPC9ZZWFyPjxS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=
</w:fldData>
              </w:fldChar>
            </w:r>
            <w:r w:rsidRPr="00FC71BE">
              <w:rPr>
                <w:color w:val="auto"/>
              </w:rPr>
              <w:instrText xml:space="preserve"> ADDIN EN.CITE.DATA </w:instrText>
            </w:r>
            <w:r w:rsidRPr="00FC71BE">
              <w:rPr>
                <w:color w:val="auto"/>
              </w:rPr>
            </w:r>
            <w:r w:rsidRPr="00FC71BE">
              <w:rPr>
                <w:color w:val="auto"/>
              </w:rPr>
              <w:fldChar w:fldCharType="end"/>
            </w:r>
            <w:r w:rsidRPr="00FC71BE">
              <w:rPr>
                <w:color w:val="auto"/>
              </w:rPr>
            </w:r>
            <w:r w:rsidRPr="00FC71BE">
              <w:rPr>
                <w:color w:val="auto"/>
              </w:rPr>
              <w:fldChar w:fldCharType="separate"/>
            </w:r>
            <w:r w:rsidRPr="00FC71BE">
              <w:rPr>
                <w:color w:val="auto"/>
              </w:rPr>
              <w:t>[48-50]</w:t>
            </w:r>
            <w:r w:rsidRPr="00FC71BE">
              <w:rPr>
                <w:color w:val="auto"/>
              </w:rPr>
              <w:fldChar w:fldCharType="end"/>
            </w:r>
          </w:p>
        </w:tc>
      </w:tr>
      <w:tr w:rsidR="005E3DFE" w:rsidRPr="00FC71BE" w14:paraId="79FF1B5E" w14:textId="77777777">
        <w:tc>
          <w:tcPr>
            <w:tcW w:w="895" w:type="pct"/>
            <w:vAlign w:val="center"/>
          </w:tcPr>
          <w:p w14:paraId="62A1BC8B" w14:textId="77777777" w:rsidR="00416180" w:rsidRPr="00FC71BE" w:rsidRDefault="00416180">
            <w:pPr>
              <w:pStyle w:val="Table"/>
              <w:rPr>
                <w:color w:val="auto"/>
              </w:rPr>
            </w:pPr>
            <w:r w:rsidRPr="00FC71BE">
              <w:rPr>
                <w:color w:val="auto"/>
              </w:rPr>
              <w:t>SRM</w:t>
            </w:r>
          </w:p>
        </w:tc>
        <w:tc>
          <w:tcPr>
            <w:tcW w:w="911" w:type="pct"/>
            <w:vAlign w:val="center"/>
          </w:tcPr>
          <w:p w14:paraId="71CB050C" w14:textId="77777777" w:rsidR="00416180" w:rsidRPr="00FC71BE" w:rsidRDefault="00416180">
            <w:pPr>
              <w:pStyle w:val="Table"/>
              <w:rPr>
                <w:color w:val="auto"/>
              </w:rPr>
            </w:pPr>
            <w:r w:rsidRPr="00FC71BE">
              <w:rPr>
                <w:color w:val="auto"/>
              </w:rPr>
              <w:t>E-core</w:t>
            </w:r>
          </w:p>
        </w:tc>
        <w:tc>
          <w:tcPr>
            <w:tcW w:w="2670" w:type="pct"/>
            <w:vAlign w:val="center"/>
          </w:tcPr>
          <w:p w14:paraId="148D946C" w14:textId="77777777" w:rsidR="00416180" w:rsidRPr="00FC71BE" w:rsidRDefault="00416180" w:rsidP="00AF4190">
            <w:pPr>
              <w:pStyle w:val="ListParagraph"/>
              <w:numPr>
                <w:ilvl w:val="0"/>
                <w:numId w:val="24"/>
              </w:numPr>
              <w:spacing w:line="240" w:lineRule="auto"/>
              <w:ind w:left="284" w:hanging="284"/>
            </w:pPr>
            <w:r w:rsidRPr="00FC71BE">
              <w:t>Increased torque.</w:t>
            </w:r>
          </w:p>
          <w:p w14:paraId="1683BED7" w14:textId="77777777" w:rsidR="00416180" w:rsidRPr="00FC71BE" w:rsidRDefault="00416180" w:rsidP="00AF4190">
            <w:pPr>
              <w:pStyle w:val="ListParagraph"/>
              <w:numPr>
                <w:ilvl w:val="0"/>
                <w:numId w:val="24"/>
              </w:numPr>
              <w:spacing w:line="240" w:lineRule="auto"/>
              <w:ind w:left="284" w:hanging="284"/>
            </w:pPr>
            <w:r w:rsidRPr="00FC71BE">
              <w:t>Less sensitive to magnetic saturation.</w:t>
            </w:r>
          </w:p>
          <w:p w14:paraId="573CFC25" w14:textId="77777777" w:rsidR="00416180" w:rsidRPr="00FC71BE" w:rsidRDefault="00416180" w:rsidP="00AF4190">
            <w:pPr>
              <w:pStyle w:val="ListParagraph"/>
              <w:numPr>
                <w:ilvl w:val="0"/>
                <w:numId w:val="24"/>
              </w:numPr>
              <w:spacing w:line="240" w:lineRule="auto"/>
              <w:ind w:left="284" w:hanging="284"/>
            </w:pPr>
            <w:r w:rsidRPr="00FC71BE">
              <w:t>Reduced torque ripple.</w:t>
            </w:r>
          </w:p>
          <w:p w14:paraId="59A20091" w14:textId="77777777" w:rsidR="00416180" w:rsidRPr="00FC71BE" w:rsidRDefault="00416180" w:rsidP="00AF4190">
            <w:pPr>
              <w:pStyle w:val="ListParagraph"/>
              <w:numPr>
                <w:ilvl w:val="0"/>
                <w:numId w:val="24"/>
              </w:numPr>
              <w:spacing w:line="240" w:lineRule="auto"/>
              <w:ind w:left="284" w:hanging="284"/>
            </w:pPr>
            <w:r w:rsidRPr="00FC71BE">
              <w:t>Reduced iron losses.</w:t>
            </w:r>
          </w:p>
          <w:p w14:paraId="36FC8E72" w14:textId="77777777" w:rsidR="00416180" w:rsidRPr="00FC71BE" w:rsidRDefault="00416180" w:rsidP="00AF4190">
            <w:pPr>
              <w:pStyle w:val="ListParagraph"/>
              <w:numPr>
                <w:ilvl w:val="0"/>
                <w:numId w:val="24"/>
              </w:numPr>
              <w:spacing w:line="240" w:lineRule="auto"/>
              <w:ind w:left="284" w:hanging="284"/>
            </w:pPr>
            <w:r w:rsidRPr="00FC71BE">
              <w:t>Reduced radial force.</w:t>
            </w:r>
          </w:p>
        </w:tc>
        <w:tc>
          <w:tcPr>
            <w:tcW w:w="524" w:type="pct"/>
            <w:vAlign w:val="center"/>
          </w:tcPr>
          <w:p w14:paraId="11F1881A" w14:textId="77777777" w:rsidR="00416180" w:rsidRPr="00FC71BE" w:rsidRDefault="00416180">
            <w:pPr>
              <w:pStyle w:val="Table"/>
              <w:rPr>
                <w:color w:val="auto"/>
              </w:rPr>
            </w:pPr>
            <w:r w:rsidRPr="00FC71BE">
              <w:rPr>
                <w:color w:val="auto"/>
              </w:rPr>
              <w:fldChar w:fldCharType="begin"/>
            </w:r>
            <w:r w:rsidRPr="00FC71BE">
              <w:rPr>
                <w:color w:val="auto"/>
              </w:rPr>
              <w:instrText xml:space="preserve"> ADDIN EN.CITE &lt;EndNote&gt;&lt;Cite&gt;&lt;Author&gt;Li&lt;/Author&gt;&lt;Year&gt;2018&lt;/Year&gt;&lt;RecNum&gt;120&lt;/RecNum&gt;&lt;DisplayText&gt;[51]&lt;/DisplayText&gt;&lt;record&gt;&lt;rec-number&gt;120&lt;/rec-number&gt;&lt;foreign-keys&gt;&lt;key app="EN" db-id="rf2p5e05jx0x9jep00uvx0s1fvaww2dfa0r9" timestamp="1696365881"&gt;120&lt;/key&gt;&lt;/foreign-keys&gt;&lt;ref-type name="Journal Article"&gt;17&lt;/ref-type&gt;&lt;contributors&gt;&lt;authors&gt;&lt;author&gt;Li, GJ&lt;/author&gt;&lt;author&gt;Ma, XY&lt;/author&gt;&lt;author&gt;Jewell, GW&lt;/author&gt;&lt;author&gt;Zhu, ZQ&lt;/author&gt;&lt;/authors&gt;&lt;/contributors&gt;&lt;titles&gt;&lt;title&gt;Novel modular switched reluctance machines for performance improvement&lt;/title&gt;&lt;secondary-title&gt;IEEE Transactions on Energy Conversion&lt;/secondary-title&gt;&lt;/titles&gt;&lt;periodical&gt;&lt;full-title&gt;IEEE Transactions on Energy Conversion&lt;/full-title&gt;&lt;/periodical&gt;&lt;pages&gt;1255-1265&lt;/pages&gt;&lt;volume&gt;33&lt;/volume&gt;&lt;number&gt;3&lt;/number&gt;&lt;dates&gt;&lt;year&gt;2018&lt;/year&gt;&lt;/dates&gt;&lt;isbn&gt;0885-8969&lt;/isbn&gt;&lt;urls&gt;&lt;/urls&gt;&lt;/record&gt;&lt;/Cite&gt;&lt;/EndNote&gt;</w:instrText>
            </w:r>
            <w:r w:rsidRPr="00FC71BE">
              <w:rPr>
                <w:color w:val="auto"/>
              </w:rPr>
              <w:fldChar w:fldCharType="separate"/>
            </w:r>
            <w:r w:rsidRPr="00FC71BE">
              <w:rPr>
                <w:color w:val="auto"/>
              </w:rPr>
              <w:t>[51]</w:t>
            </w:r>
            <w:r w:rsidRPr="00FC71BE">
              <w:rPr>
                <w:color w:val="auto"/>
              </w:rPr>
              <w:fldChar w:fldCharType="end"/>
            </w:r>
          </w:p>
        </w:tc>
      </w:tr>
    </w:tbl>
    <w:p w14:paraId="4AC9E1C1" w14:textId="77777777" w:rsidR="00416180" w:rsidRPr="00FC71BE" w:rsidRDefault="00416180" w:rsidP="00416180"/>
    <w:p w14:paraId="3DE685A6" w14:textId="195E5572" w:rsidR="00416180" w:rsidRPr="00FC71BE" w:rsidRDefault="00416180" w:rsidP="00416180">
      <w:r w:rsidRPr="00FC71BE">
        <w:t xml:space="preserve">In this section, various machines with different machine modularity have been reviewed and their novelties have been investigated and analysed as listed in </w:t>
      </w:r>
      <w:r w:rsidRPr="00FC71BE">
        <w:fldChar w:fldCharType="begin"/>
      </w:r>
      <w:r w:rsidRPr="00FC71BE">
        <w:instrText xml:space="preserve"> REF _Ref147304788 \h </w:instrText>
      </w:r>
      <w:r w:rsidRPr="00FC71BE">
        <w:fldChar w:fldCharType="separate"/>
      </w:r>
      <w:r w:rsidR="007E62C1" w:rsidRPr="00FC71BE">
        <w:t xml:space="preserve">Table </w:t>
      </w:r>
      <w:r w:rsidR="007E62C1" w:rsidRPr="00FC71BE">
        <w:rPr>
          <w:noProof/>
        </w:rPr>
        <w:t>1</w:t>
      </w:r>
      <w:r w:rsidR="007E62C1" w:rsidRPr="00FC71BE">
        <w:t>.</w:t>
      </w:r>
      <w:r w:rsidR="007E62C1" w:rsidRPr="00FC71BE">
        <w:rPr>
          <w:noProof/>
        </w:rPr>
        <w:t>2</w:t>
      </w:r>
      <w:r w:rsidRPr="00FC71BE">
        <w:fldChar w:fldCharType="end"/>
      </w:r>
      <w:r w:rsidRPr="00FC71BE">
        <w:t xml:space="preserve">. In summary, all the </w:t>
      </w:r>
      <w:r w:rsidRPr="00FC71BE">
        <w:lastRenderedPageBreak/>
        <w:t>reviewed literatures consistently highlight several general advantages associated with the modular structure in machine design, which include:</w:t>
      </w:r>
    </w:p>
    <w:p w14:paraId="4FA217A8" w14:textId="77777777" w:rsidR="00416180" w:rsidRPr="00FC71BE" w:rsidRDefault="00416180" w:rsidP="00AF4190">
      <w:pPr>
        <w:pStyle w:val="ListParagraph"/>
        <w:numPr>
          <w:ilvl w:val="0"/>
          <w:numId w:val="25"/>
        </w:numPr>
        <w:ind w:left="284" w:hanging="284"/>
      </w:pPr>
      <w:r w:rsidRPr="00FC71BE">
        <w:t>Streamlined machine manufacturing process, including assembly, and winding process.</w:t>
      </w:r>
    </w:p>
    <w:p w14:paraId="18726685" w14:textId="77777777" w:rsidR="00416180" w:rsidRPr="00FC71BE" w:rsidRDefault="00416180" w:rsidP="00AF4190">
      <w:pPr>
        <w:pStyle w:val="ListParagraph"/>
        <w:numPr>
          <w:ilvl w:val="0"/>
          <w:numId w:val="25"/>
        </w:numPr>
        <w:ind w:left="284" w:hanging="284"/>
      </w:pPr>
      <w:r w:rsidRPr="00FC71BE">
        <w:t>Lowered cost for machine maintenance and replacement.</w:t>
      </w:r>
    </w:p>
    <w:p w14:paraId="77D3B1AA" w14:textId="77777777" w:rsidR="00416180" w:rsidRPr="00FC71BE" w:rsidRDefault="00416180" w:rsidP="00AF4190">
      <w:pPr>
        <w:pStyle w:val="ListParagraph"/>
        <w:numPr>
          <w:ilvl w:val="0"/>
          <w:numId w:val="25"/>
        </w:numPr>
        <w:ind w:left="284" w:hanging="284"/>
      </w:pPr>
      <w:r w:rsidRPr="00FC71BE">
        <w:t>Decreased overall machine weight.</w:t>
      </w:r>
    </w:p>
    <w:p w14:paraId="0F53AD30" w14:textId="77777777" w:rsidR="00416180" w:rsidRPr="00FC71BE" w:rsidRDefault="00416180" w:rsidP="00AF4190">
      <w:pPr>
        <w:pStyle w:val="ListParagraph"/>
        <w:numPr>
          <w:ilvl w:val="0"/>
          <w:numId w:val="25"/>
        </w:numPr>
        <w:ind w:left="284" w:hanging="284"/>
      </w:pPr>
      <w:r w:rsidRPr="00FC71BE">
        <w:t>Mitigation of mutual inductance.</w:t>
      </w:r>
    </w:p>
    <w:p w14:paraId="1827C99B" w14:textId="77777777" w:rsidR="00416180" w:rsidRPr="00FC71BE" w:rsidRDefault="00416180" w:rsidP="00AF4190">
      <w:pPr>
        <w:pStyle w:val="ListParagraph"/>
        <w:numPr>
          <w:ilvl w:val="0"/>
          <w:numId w:val="25"/>
        </w:numPr>
        <w:ind w:left="284" w:hanging="284"/>
      </w:pPr>
      <w:r w:rsidRPr="00FC71BE">
        <w:t>Improvement of fault tolerant capability by weakening the fault interactions between phases.</w:t>
      </w:r>
    </w:p>
    <w:p w14:paraId="496DF781" w14:textId="77777777" w:rsidR="00416180" w:rsidRPr="00FC71BE" w:rsidRDefault="00416180" w:rsidP="00AF4190">
      <w:pPr>
        <w:pStyle w:val="ListParagraph"/>
        <w:numPr>
          <w:ilvl w:val="0"/>
          <w:numId w:val="25"/>
        </w:numPr>
        <w:ind w:left="284" w:hanging="284"/>
      </w:pPr>
      <w:r w:rsidRPr="00FC71BE">
        <w:t>Reduction in iron core losses.</w:t>
      </w:r>
    </w:p>
    <w:p w14:paraId="1ABCF28C" w14:textId="77777777" w:rsidR="00416180" w:rsidRPr="00FC71BE" w:rsidRDefault="00416180" w:rsidP="00E22A36">
      <w:pPr>
        <w:pStyle w:val="Heading2"/>
        <w:numPr>
          <w:ilvl w:val="1"/>
          <w:numId w:val="49"/>
        </w:numPr>
      </w:pPr>
      <w:bookmarkStart w:id="22" w:name="_Ref147503195"/>
      <w:bookmarkStart w:id="23" w:name="_Toc157695328"/>
      <w:r w:rsidRPr="00FC71BE">
        <w:t>Thermal Managements for PM machine</w:t>
      </w:r>
      <w:bookmarkEnd w:id="22"/>
      <w:r w:rsidRPr="00FC71BE">
        <w:t>s</w:t>
      </w:r>
      <w:bookmarkEnd w:id="23"/>
    </w:p>
    <w:p w14:paraId="5DB1A0CD" w14:textId="77777777" w:rsidR="00416180" w:rsidRPr="00FC71BE" w:rsidRDefault="00416180" w:rsidP="00416180">
      <w:r w:rsidRPr="00FC71BE">
        <w:t>The preceding sections have delved into number of literatures concerning the designs and investigations of various machine topologies. These studies are primarily focused on improving machine EM performance, such as elevating torque and power density, minimizing machine size and mass, and improving the efficiency. However, a notable constraint in the pursuit of improved EM performances lies in the realm of thermal management. Elevated temperatures, beyond the desired range, lead to irreversible damage for machines. The damage includes derating of power electronics components, irreversible demagnetization of PMs, and the deterioration or expedited aging of wire insulation.</w:t>
      </w:r>
    </w:p>
    <w:p w14:paraId="0272BE4E" w14:textId="50915F44" w:rsidR="00416180" w:rsidRPr="00FC71BE" w:rsidRDefault="00416180" w:rsidP="00416180">
      <w:r w:rsidRPr="00FC71BE">
        <w:t xml:space="preserve">As discussed in the literature reviews conducted in sections </w:t>
      </w:r>
      <w:r w:rsidRPr="00FC71BE">
        <w:fldChar w:fldCharType="begin"/>
      </w:r>
      <w:r w:rsidRPr="00FC71BE">
        <w:instrText xml:space="preserve"> REF _Ref146809194 \r \h </w:instrText>
      </w:r>
      <w:r w:rsidRPr="00FC71BE">
        <w:fldChar w:fldCharType="separate"/>
      </w:r>
      <w:r w:rsidR="007E62C1" w:rsidRPr="00FC71BE">
        <w:t>1.2</w:t>
      </w:r>
      <w:r w:rsidRPr="00FC71BE">
        <w:fldChar w:fldCharType="end"/>
      </w:r>
      <w:r w:rsidRPr="00FC71BE">
        <w:t xml:space="preserve"> and </w:t>
      </w:r>
      <w:r w:rsidRPr="00FC71BE">
        <w:fldChar w:fldCharType="begin"/>
      </w:r>
      <w:r w:rsidRPr="00FC71BE">
        <w:instrText xml:space="preserve"> REF _Ref147320938 \r \h </w:instrText>
      </w:r>
      <w:r w:rsidRPr="00FC71BE">
        <w:fldChar w:fldCharType="separate"/>
      </w:r>
      <w:r w:rsidR="007E62C1" w:rsidRPr="00FC71BE">
        <w:t>1.3</w:t>
      </w:r>
      <w:r w:rsidRPr="00FC71BE">
        <w:fldChar w:fldCharType="end"/>
      </w:r>
      <w:r w:rsidRPr="00FC71BE">
        <w:t>, optimizing machine topology plays a pivotal role in reducing losses. These losses encompass stator and rotor core iron losses, PM eddy current losses, and winding copper losses. This optimization contributes to the improved thermal performance in PM machines. Moreover, the employed advanced cooling technologies can further augment the heat transfer processes, encompassing conduction, convection, and radiation, both within the machine itself and on its external surfaces.</w:t>
      </w:r>
    </w:p>
    <w:p w14:paraId="06FB640C" w14:textId="77777777" w:rsidR="00416180" w:rsidRPr="00FC71BE" w:rsidRDefault="00416180" w:rsidP="00416180">
      <w:r w:rsidRPr="00FC71BE">
        <w:t>Cooling technologies can be categorized into two main aspects: passive cooling methods and active cooling methods. Passive cooling methods work without additional pumps or devices to circulate coolant. Some of them aim to improve heat conduction within machines, particularly between the end-windings and the machine housing. Others focus on improving heat convection and radiation at the surface of machine components or its external surfaces.</w:t>
      </w:r>
    </w:p>
    <w:p w14:paraId="7539CC31" w14:textId="77777777" w:rsidR="00416180" w:rsidRPr="00FC71BE" w:rsidRDefault="00416180" w:rsidP="00416180">
      <w:r w:rsidRPr="00FC71BE">
        <w:t xml:space="preserve">On the other hand, active cooling methods represent another category of cooling technology. They involve the incorporation of additional pumps or devices to establish either a close-loop </w:t>
      </w:r>
      <w:r w:rsidRPr="00FC71BE">
        <w:lastRenderedPageBreak/>
        <w:t>coolant circulation or throughflow ventilation for machine cooling. This section reviews and compares the existing literature on the design and investigation of cooling technologies for electrical machines.</w:t>
      </w:r>
    </w:p>
    <w:p w14:paraId="455B6E99" w14:textId="77777777" w:rsidR="00416180" w:rsidRPr="00FC71BE" w:rsidRDefault="00416180" w:rsidP="00B86C68">
      <w:pPr>
        <w:pStyle w:val="Heading3"/>
        <w:numPr>
          <w:ilvl w:val="2"/>
          <w:numId w:val="49"/>
        </w:numPr>
      </w:pPr>
      <w:bookmarkStart w:id="24" w:name="_Ref147503190"/>
      <w:bookmarkStart w:id="25" w:name="_Toc157695329"/>
      <w:r w:rsidRPr="00FC71BE">
        <w:t>Passive Cooling Technology</w:t>
      </w:r>
      <w:bookmarkEnd w:id="24"/>
      <w:bookmarkEnd w:id="25"/>
    </w:p>
    <w:p w14:paraId="5FAEC968" w14:textId="77777777" w:rsidR="00416180" w:rsidRPr="00FC71BE" w:rsidRDefault="00416180" w:rsidP="009375B6">
      <w:pPr>
        <w:pStyle w:val="Heading4"/>
      </w:pPr>
      <w:r w:rsidRPr="00FC71BE">
        <w:t>Natural Passive Cooling</w:t>
      </w:r>
    </w:p>
    <w:p w14:paraId="4F719537" w14:textId="77777777" w:rsidR="00416180" w:rsidRPr="00FC71BE" w:rsidRDefault="00416180" w:rsidP="00416180">
      <w:r w:rsidRPr="00FC71BE">
        <w:t>The outer surface of the machine housing serves as the primary path for transferring heat from the inner components to surrounding. The objective of the natural passive cooling method is to optimize this mechanism to improve the rate of heat dissipation.</w:t>
      </w:r>
    </w:p>
    <w:p w14:paraId="5376312D" w14:textId="3DB7F210" w:rsidR="00416180" w:rsidRPr="00FC71BE" w:rsidRDefault="00416180" w:rsidP="00416180">
      <w:r w:rsidRPr="00FC71BE">
        <w:t xml:space="preserve">Finned housing, as shown in </w:t>
      </w:r>
      <w:r w:rsidRPr="00FC71BE">
        <w:fldChar w:fldCharType="begin"/>
      </w:r>
      <w:r w:rsidRPr="00FC71BE">
        <w:instrText xml:space="preserve"> REF _Ref147325146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9</w:t>
      </w:r>
      <w:r w:rsidRPr="00FC71BE">
        <w:fldChar w:fldCharType="end"/>
      </w:r>
      <w:r w:rsidRPr="00FC71BE">
        <w:t>, employs cooling fins on the frame to enlarge the contact surface area of housing and enhance the convection coefficient. The cooling efficiency of finned housing is affected by different parameters, including the number of fins, fin width, fin height, fin pitch, fin angle, etc. These parameters play a crucial role in determining the effectiveness of finned housing.</w:t>
      </w:r>
    </w:p>
    <w:p w14:paraId="78496F26" w14:textId="77777777" w:rsidR="00416180" w:rsidRPr="00FC71BE" w:rsidRDefault="00416180" w:rsidP="00416180">
      <w:r w:rsidRPr="00FC71BE">
        <w:rPr>
          <w:noProof/>
        </w:rPr>
        <w:drawing>
          <wp:inline distT="0" distB="0" distL="0" distR="0" wp14:anchorId="7FEE89F1" wp14:editId="7D2EDA6F">
            <wp:extent cx="5479085" cy="2420850"/>
            <wp:effectExtent l="0" t="0" r="0" b="0"/>
            <wp:docPr id="96" name="Picture 96" descr="A close-up of a stack of metal&#10;&#10;Description automatically generated">
              <a:extLst xmlns:a="http://schemas.openxmlformats.org/drawingml/2006/main">
                <a:ext uri="{FF2B5EF4-FFF2-40B4-BE49-F238E27FC236}">
                  <a16:creationId xmlns:a16="http://schemas.microsoft.com/office/drawing/2014/main" id="{584CF3DC-3388-1FCA-5670-649AE0366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5" descr="A close-up of a stack of metal&#10;&#10;Description automatically generated">
                      <a:extLst>
                        <a:ext uri="{FF2B5EF4-FFF2-40B4-BE49-F238E27FC236}">
                          <a16:creationId xmlns:a16="http://schemas.microsoft.com/office/drawing/2014/main" id="{584CF3DC-3388-1FCA-5670-649AE0366876}"/>
                        </a:ext>
                      </a:extLst>
                    </pic:cNvPr>
                    <pic:cNvPicPr>
                      <a:picLocks noChangeAspect="1"/>
                    </pic:cNvPicPr>
                  </pic:nvPicPr>
                  <pic:blipFill>
                    <a:blip r:embed="rId27"/>
                    <a:stretch>
                      <a:fillRect/>
                    </a:stretch>
                  </pic:blipFill>
                  <pic:spPr>
                    <a:xfrm>
                      <a:off x="0" y="0"/>
                      <a:ext cx="5489968" cy="2425658"/>
                    </a:xfrm>
                    <a:prstGeom prst="rect">
                      <a:avLst/>
                    </a:prstGeom>
                  </pic:spPr>
                </pic:pic>
              </a:graphicData>
            </a:graphic>
          </wp:inline>
        </w:drawing>
      </w:r>
    </w:p>
    <w:p w14:paraId="343A02E9" w14:textId="1652F916" w:rsidR="00416180" w:rsidRPr="00FC71BE" w:rsidRDefault="00416180" w:rsidP="00416180">
      <w:pPr>
        <w:pStyle w:val="FigureTitle"/>
      </w:pPr>
      <w:bookmarkStart w:id="26" w:name="_Ref147325146"/>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9</w:t>
      </w:r>
      <w:r w:rsidRPr="00FC71BE">
        <w:rPr>
          <w:rStyle w:val="FigureTitleChar"/>
          <w:color w:val="auto"/>
        </w:rPr>
        <w:fldChar w:fldCharType="end"/>
      </w:r>
      <w:bookmarkEnd w:id="26"/>
      <w:r w:rsidRPr="00FC71BE">
        <w:rPr>
          <w:rStyle w:val="FigureTitleChar"/>
          <w:color w:val="auto"/>
        </w:rPr>
        <w:t xml:space="preserve">. Topology of a finned housing machine and parameters of fins </w:t>
      </w:r>
      <w:r w:rsidRPr="00FC71BE">
        <w:fldChar w:fldCharType="begin"/>
      </w:r>
      <w:r w:rsidRPr="00FC71BE">
        <w:instrText xml:space="preserve"> ADDIN EN.CITE &lt;EndNote&gt;&lt;Cite&gt;&lt;Author&gt;Ulbrich&lt;/Author&gt;&lt;Year&gt;2017&lt;/Year&gt;&lt;RecNum&gt;123&lt;/RecNum&gt;&lt;DisplayText&gt;[54]&lt;/DisplayText&gt;&lt;record&gt;&lt;rec-number&gt;123&lt;/rec-number&gt;&lt;foreign-keys&gt;&lt;key app="EN" db-id="rf2p5e05jx0x9jep00uvx0s1fvaww2dfa0r9" timestamp="1696427871"&gt;123&lt;/key&gt;&lt;/foreign-keys&gt;&lt;ref-type name="Journal Article"&gt;17&lt;/ref-type&gt;&lt;contributors&gt;&lt;authors&gt;&lt;author&gt;Ulbrich, Stefan&lt;/author&gt;&lt;author&gt;Kopte, Jeanette&lt;/author&gt;&lt;author&gt;Proske, Jens&lt;/author&gt;&lt;/authors&gt;&lt;/contributors&gt;&lt;titles&gt;&lt;title&gt;Cooling fin optimization on a TEFC electrical machine housing using a 2-D conjugate heat transfer model&lt;/title&gt;&lt;secondary-title&gt;IEEE Transactions on Industrial Electronics&lt;/secondary-title&gt;&lt;/titles&gt;&lt;periodical&gt;&lt;full-title&gt;IEEE Transactions on Industrial Electronics&lt;/full-title&gt;&lt;/periodical&gt;&lt;pages&gt;1711-1718&lt;/pages&gt;&lt;volume&gt;65&lt;/volume&gt;&lt;number&gt;2&lt;/number&gt;&lt;dates&gt;&lt;year&gt;2017&lt;/year&gt;&lt;/dates&gt;&lt;isbn&gt;0278-0046&lt;/isbn&gt;&lt;urls&gt;&lt;/urls&gt;&lt;/record&gt;&lt;/Cite&gt;&lt;/EndNote&gt;</w:instrText>
      </w:r>
      <w:r w:rsidRPr="00FC71BE">
        <w:fldChar w:fldCharType="separate"/>
      </w:r>
      <w:r w:rsidRPr="00FC71BE">
        <w:t>[54]</w:t>
      </w:r>
      <w:r w:rsidRPr="00FC71BE">
        <w:fldChar w:fldCharType="end"/>
      </w:r>
      <w:r w:rsidRPr="00FC71BE">
        <w:t>.</w:t>
      </w:r>
    </w:p>
    <w:p w14:paraId="308E7319" w14:textId="4484E0E8" w:rsidR="00416180" w:rsidRPr="00FC71BE" w:rsidRDefault="00416180" w:rsidP="00416180">
      <w:r w:rsidRPr="00FC71BE">
        <w:t xml:space="preserve">A research involved on optimizing the finned housing has been conducted in </w:t>
      </w:r>
      <w:r w:rsidRPr="00FC71BE">
        <w:fldChar w:fldCharType="begin"/>
      </w:r>
      <w:r w:rsidRPr="00FC71BE">
        <w:instrText xml:space="preserve"> ADDIN EN.CITE &lt;EndNote&gt;&lt;Cite&gt;&lt;Author&gt;Ulbrich&lt;/Author&gt;&lt;Year&gt;2017&lt;/Year&gt;&lt;RecNum&gt;123&lt;/RecNum&gt;&lt;DisplayText&gt;[54]&lt;/DisplayText&gt;&lt;record&gt;&lt;rec-number&gt;123&lt;/rec-number&gt;&lt;foreign-keys&gt;&lt;key app="EN" db-id="rf2p5e05jx0x9jep00uvx0s1fvaww2dfa0r9" timestamp="1696427871"&gt;123&lt;/key&gt;&lt;/foreign-keys&gt;&lt;ref-type name="Journal Article"&gt;17&lt;/ref-type&gt;&lt;contributors&gt;&lt;authors&gt;&lt;author&gt;Ulbrich, Stefan&lt;/author&gt;&lt;author&gt;Kopte, Jeanette&lt;/author&gt;&lt;author&gt;Proske, Jens&lt;/author&gt;&lt;/authors&gt;&lt;/contributors&gt;&lt;titles&gt;&lt;title&gt;Cooling fin optimization on a TEFC electrical machine housing using a 2-D conjugate heat transfer model&lt;/title&gt;&lt;secondary-title&gt;IEEE Transactions on Industrial Electronics&lt;/secondary-title&gt;&lt;/titles&gt;&lt;periodical&gt;&lt;full-title&gt;IEEE Transactions on Industrial Electronics&lt;/full-title&gt;&lt;/periodical&gt;&lt;pages&gt;1711-1718&lt;/pages&gt;&lt;volume&gt;65&lt;/volume&gt;&lt;number&gt;2&lt;/number&gt;&lt;dates&gt;&lt;year&gt;2017&lt;/year&gt;&lt;/dates&gt;&lt;isbn&gt;0278-0046&lt;/isbn&gt;&lt;urls&gt;&lt;/urls&gt;&lt;/record&gt;&lt;/Cite&gt;&lt;/EndNote&gt;</w:instrText>
      </w:r>
      <w:r w:rsidRPr="00FC71BE">
        <w:fldChar w:fldCharType="separate"/>
      </w:r>
      <w:r w:rsidRPr="00FC71BE">
        <w:t>[54]</w:t>
      </w:r>
      <w:r w:rsidRPr="00FC71BE">
        <w:fldChar w:fldCharType="end"/>
      </w:r>
      <w:r w:rsidRPr="00FC71BE">
        <w:t xml:space="preserve">. In this study, 2600 cases of finned housing with various parameters were compared as shown in </w:t>
      </w:r>
      <w:r w:rsidRPr="00FC71BE">
        <w:fldChar w:fldCharType="begin"/>
      </w:r>
      <w:r w:rsidRPr="00FC71BE">
        <w:instrText xml:space="preserve"> REF _Ref147329368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10</w:t>
      </w:r>
      <w:r w:rsidRPr="00FC71BE">
        <w:fldChar w:fldCharType="end"/>
      </w:r>
      <w:r w:rsidRPr="00FC71BE">
        <w:t>. It is found that the finned housing with higher number of fins tended to exhibit better cooling efficiency. Specially, the study indicated that finned housing with nine fins exhibited the best cooling efficiency in this research. A further increase in the number of fins cannot boost the cooling efficiency. It is worth noting that further increasing the number of fins did not yield enhanced cooling efficiency, as this led to a larger portion of the cooling channel being obstructed.</w:t>
      </w:r>
    </w:p>
    <w:p w14:paraId="63E24060" w14:textId="77777777" w:rsidR="00416180" w:rsidRPr="00FC71BE" w:rsidRDefault="00416180" w:rsidP="00416180">
      <w:r w:rsidRPr="00FC71BE">
        <w:lastRenderedPageBreak/>
        <w:t>Furthermore, this study highlighted the importance of the outer contour of the finned housing, suggesting that it is better to follow a circular shape. Deviating from a circular shape may result in significant temperature differences within finned housing, potentially leading to additional heat flow from inner cooling circuit.</w:t>
      </w:r>
    </w:p>
    <w:p w14:paraId="79CC88D9" w14:textId="77777777" w:rsidR="00416180" w:rsidRPr="00FC71BE" w:rsidRDefault="00416180" w:rsidP="00416180">
      <w:pPr>
        <w:pStyle w:val="Figure"/>
        <w:rPr>
          <w:noProof w:val="0"/>
        </w:rPr>
      </w:pPr>
      <w:r w:rsidRPr="00FC71BE">
        <w:drawing>
          <wp:inline distT="0" distB="0" distL="0" distR="0" wp14:anchorId="097EC625" wp14:editId="5F84299E">
            <wp:extent cx="3145348" cy="2450592"/>
            <wp:effectExtent l="0" t="0" r="0" b="6985"/>
            <wp:docPr id="1380340216" name="Picture 1380340216" descr="A graph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340216" name="Picture 1" descr="A graph with numbers and symbols&#10;&#10;Description automatically generated"/>
                    <pic:cNvPicPr/>
                  </pic:nvPicPr>
                  <pic:blipFill>
                    <a:blip r:embed="rId28"/>
                    <a:stretch>
                      <a:fillRect/>
                    </a:stretch>
                  </pic:blipFill>
                  <pic:spPr>
                    <a:xfrm>
                      <a:off x="0" y="0"/>
                      <a:ext cx="3157415" cy="2459993"/>
                    </a:xfrm>
                    <a:prstGeom prst="rect">
                      <a:avLst/>
                    </a:prstGeom>
                  </pic:spPr>
                </pic:pic>
              </a:graphicData>
            </a:graphic>
          </wp:inline>
        </w:drawing>
      </w:r>
    </w:p>
    <w:p w14:paraId="36AAF534" w14:textId="7AD392AA" w:rsidR="00416180" w:rsidRPr="00FC71BE" w:rsidRDefault="00416180" w:rsidP="00416180">
      <w:pPr>
        <w:pStyle w:val="FigureTitle"/>
      </w:pPr>
      <w:bookmarkStart w:id="27" w:name="_Ref147329368"/>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10</w:t>
      </w:r>
      <w:r w:rsidRPr="00FC71BE">
        <w:rPr>
          <w:rStyle w:val="FigureTitleChar"/>
          <w:color w:val="auto"/>
        </w:rPr>
        <w:fldChar w:fldCharType="end"/>
      </w:r>
      <w:bookmarkEnd w:id="27"/>
      <w:r w:rsidRPr="00FC71BE">
        <w:rPr>
          <w:rStyle w:val="FigureTitleChar"/>
          <w:color w:val="auto"/>
        </w:rPr>
        <w:t xml:space="preserve">. </w:t>
      </w:r>
      <w:r w:rsidRPr="00FC71BE">
        <w:t xml:space="preserve">Mean temperature at the inside of the housing (each cross is one case) </w:t>
      </w:r>
      <w:r w:rsidRPr="00FC71BE">
        <w:fldChar w:fldCharType="begin"/>
      </w:r>
      <w:r w:rsidRPr="00FC71BE">
        <w:instrText xml:space="preserve"> ADDIN EN.CITE &lt;EndNote&gt;&lt;Cite&gt;&lt;Author&gt;Ulbrich&lt;/Author&gt;&lt;Year&gt;2017&lt;/Year&gt;&lt;RecNum&gt;123&lt;/RecNum&gt;&lt;DisplayText&gt;[54]&lt;/DisplayText&gt;&lt;record&gt;&lt;rec-number&gt;123&lt;/rec-number&gt;&lt;foreign-keys&gt;&lt;key app="EN" db-id="rf2p5e05jx0x9jep00uvx0s1fvaww2dfa0r9" timestamp="1696427871"&gt;123&lt;/key&gt;&lt;/foreign-keys&gt;&lt;ref-type name="Journal Article"&gt;17&lt;/ref-type&gt;&lt;contributors&gt;&lt;authors&gt;&lt;author&gt;Ulbrich, Stefan&lt;/author&gt;&lt;author&gt;Kopte, Jeanette&lt;/author&gt;&lt;author&gt;Proske, Jens&lt;/author&gt;&lt;/authors&gt;&lt;/contributors&gt;&lt;titles&gt;&lt;title&gt;Cooling fin optimization on a TEFC electrical machine housing using a 2-D conjugate heat transfer model&lt;/title&gt;&lt;secondary-title&gt;IEEE Transactions on Industrial Electronics&lt;/secondary-title&gt;&lt;/titles&gt;&lt;periodical&gt;&lt;full-title&gt;IEEE Transactions on Industrial Electronics&lt;/full-title&gt;&lt;/periodical&gt;&lt;pages&gt;1711-1718&lt;/pages&gt;&lt;volume&gt;65&lt;/volume&gt;&lt;number&gt;2&lt;/number&gt;&lt;dates&gt;&lt;year&gt;2017&lt;/year&gt;&lt;/dates&gt;&lt;isbn&gt;0278-0046&lt;/isbn&gt;&lt;urls&gt;&lt;/urls&gt;&lt;/record&gt;&lt;/Cite&gt;&lt;/EndNote&gt;</w:instrText>
      </w:r>
      <w:r w:rsidRPr="00FC71BE">
        <w:fldChar w:fldCharType="separate"/>
      </w:r>
      <w:r w:rsidRPr="00FC71BE">
        <w:t>[54]</w:t>
      </w:r>
      <w:r w:rsidRPr="00FC71BE">
        <w:fldChar w:fldCharType="end"/>
      </w:r>
      <w:r w:rsidRPr="00FC71BE">
        <w:rPr>
          <w:rStyle w:val="FigureTitleChar"/>
          <w:color w:val="auto"/>
        </w:rPr>
        <w:t>.</w:t>
      </w:r>
    </w:p>
    <w:p w14:paraId="578D95D8" w14:textId="77DA6AC4" w:rsidR="00416180" w:rsidRPr="00FC71BE" w:rsidRDefault="00416180" w:rsidP="00416180">
      <w:r w:rsidRPr="00FC71BE">
        <w:t xml:space="preserve">The orientation of fins is also important for designing a finned housing. In a study conducted by </w:t>
      </w:r>
      <w:r w:rsidRPr="00FC71BE">
        <w:fldChar w:fldCharType="begin"/>
      </w:r>
      <w:r w:rsidRPr="00FC71BE">
        <w:instrText xml:space="preserve"> ADDIN EN.CITE &lt;EndNote&gt;&lt;Cite&gt;&lt;Author&gt;Gilson&lt;/Author&gt;&lt;Year&gt;2010&lt;/Year&gt;&lt;RecNum&gt;125&lt;/RecNum&gt;&lt;DisplayText&gt;[55]&lt;/DisplayText&gt;&lt;record&gt;&lt;rec-number&gt;125&lt;/rec-number&gt;&lt;foreign-keys&gt;&lt;key app="EN" db-id="rf2p5e05jx0x9jep00uvx0s1fvaww2dfa0r9" timestamp="1696434625"&gt;125&lt;/key&gt;&lt;/foreign-keys&gt;&lt;ref-type name="Conference Proceedings"&gt;10&lt;/ref-type&gt;&lt;contributors&gt;&lt;authors&gt;&lt;author&gt;Gilson, GM&lt;/author&gt;&lt;author&gt;Raminosoa, T&lt;/author&gt;&lt;author&gt;Pickering, SJ&lt;/author&gt;&lt;author&gt;Gerada, C&lt;/author&gt;&lt;author&gt;Hann, DB&lt;/author&gt;&lt;/authors&gt;&lt;/contributors&gt;&lt;titles&gt;&lt;title&gt;A combined electromagnetic and thermal optimisation of an aerospace electric motor&lt;/title&gt;&lt;secondary-title&gt;The XIX International Conference on Electrical Machines-ICEM 2010&lt;/secondary-title&gt;&lt;/titles&gt;&lt;pages&gt;1-7&lt;/pages&gt;&lt;dates&gt;&lt;year&gt;2010&lt;/year&gt;&lt;/dates&gt;&lt;publisher&gt;IEEE&lt;/publisher&gt;&lt;isbn&gt;1424441749&lt;/isbn&gt;&lt;urls&gt;&lt;/urls&gt;&lt;/record&gt;&lt;/Cite&gt;&lt;/EndNote&gt;</w:instrText>
      </w:r>
      <w:r w:rsidRPr="00FC71BE">
        <w:fldChar w:fldCharType="separate"/>
      </w:r>
      <w:r w:rsidRPr="00FC71BE">
        <w:t>[55]</w:t>
      </w:r>
      <w:r w:rsidRPr="00FC71BE">
        <w:fldChar w:fldCharType="end"/>
      </w:r>
      <w:r w:rsidRPr="00FC71BE">
        <w:t xml:space="preserve">, two orientations of fins were investigated and compared: axial longitudinal fins and radial fins. For both fin configurations, an increase in fin height led to lower housing temperature. Moreover, a comparison of housing temperatures for these two designs under different housing mass is presented in </w:t>
      </w:r>
      <w:r w:rsidRPr="00FC71BE">
        <w:fldChar w:fldCharType="begin"/>
      </w:r>
      <w:r w:rsidRPr="00FC71BE">
        <w:instrText xml:space="preserve"> REF _Ref147333030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12</w:t>
      </w:r>
      <w:r w:rsidRPr="00FC71BE">
        <w:fldChar w:fldCharType="end"/>
      </w:r>
      <w:r w:rsidRPr="00FC71BE">
        <w:t>. The findings of this comparison demonstrate that radial fins exhibit lower housing temperatures when compared to axial longitudinal fins.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575A2557" w14:textId="77777777" w:rsidTr="002B6456">
        <w:tc>
          <w:tcPr>
            <w:tcW w:w="4508" w:type="dxa"/>
            <w:vAlign w:val="center"/>
          </w:tcPr>
          <w:p w14:paraId="6DBA6405" w14:textId="77777777" w:rsidR="00416180" w:rsidRPr="00FC71BE" w:rsidRDefault="00416180" w:rsidP="002B6456">
            <w:pPr>
              <w:pStyle w:val="Figure"/>
              <w:rPr>
                <w:noProof w:val="0"/>
              </w:rPr>
            </w:pPr>
            <w:r w:rsidRPr="00FC71BE">
              <w:drawing>
                <wp:inline distT="0" distB="0" distL="0" distR="0" wp14:anchorId="6C3D8ABB" wp14:editId="10001D33">
                  <wp:extent cx="2296973" cy="2268471"/>
                  <wp:effectExtent l="0" t="0" r="8255" b="0"/>
                  <wp:docPr id="874633675" name="Picture 874633675" descr="A grey metal object with a circular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33675" name="Picture 874633675" descr="A grey metal object with a circular object&#10;&#10;Description automatically generated with medium confidence"/>
                          <pic:cNvPicPr/>
                        </pic:nvPicPr>
                        <pic:blipFill>
                          <a:blip r:embed="rId29"/>
                          <a:stretch>
                            <a:fillRect/>
                          </a:stretch>
                        </pic:blipFill>
                        <pic:spPr>
                          <a:xfrm>
                            <a:off x="0" y="0"/>
                            <a:ext cx="2314359" cy="2285641"/>
                          </a:xfrm>
                          <a:prstGeom prst="rect">
                            <a:avLst/>
                          </a:prstGeom>
                        </pic:spPr>
                      </pic:pic>
                    </a:graphicData>
                  </a:graphic>
                </wp:inline>
              </w:drawing>
            </w:r>
          </w:p>
        </w:tc>
        <w:tc>
          <w:tcPr>
            <w:tcW w:w="4508" w:type="dxa"/>
            <w:vAlign w:val="center"/>
          </w:tcPr>
          <w:p w14:paraId="229C0AE1" w14:textId="77777777" w:rsidR="00416180" w:rsidRPr="00FC71BE" w:rsidRDefault="00416180" w:rsidP="002B6456">
            <w:pPr>
              <w:pStyle w:val="Figure"/>
              <w:rPr>
                <w:noProof w:val="0"/>
              </w:rPr>
            </w:pPr>
            <w:r w:rsidRPr="00FC71BE">
              <w:drawing>
                <wp:inline distT="0" distB="0" distL="0" distR="0" wp14:anchorId="6F6CEB57" wp14:editId="01FC76ED">
                  <wp:extent cx="1761555" cy="2257425"/>
                  <wp:effectExtent l="0" t="0" r="0" b="0"/>
                  <wp:docPr id="348839073" name="Picture 348839073" descr="A close-up of a met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39073" name="Picture 348839073" descr="A close-up of a metal object&#10;&#10;Description automatically generated"/>
                          <pic:cNvPicPr/>
                        </pic:nvPicPr>
                        <pic:blipFill>
                          <a:blip r:embed="rId30"/>
                          <a:stretch>
                            <a:fillRect/>
                          </a:stretch>
                        </pic:blipFill>
                        <pic:spPr>
                          <a:xfrm>
                            <a:off x="0" y="0"/>
                            <a:ext cx="1768901" cy="2266839"/>
                          </a:xfrm>
                          <a:prstGeom prst="rect">
                            <a:avLst/>
                          </a:prstGeom>
                        </pic:spPr>
                      </pic:pic>
                    </a:graphicData>
                  </a:graphic>
                </wp:inline>
              </w:drawing>
            </w:r>
          </w:p>
        </w:tc>
      </w:tr>
      <w:tr w:rsidR="00FC71BE" w:rsidRPr="00FC71BE" w14:paraId="039456F8" w14:textId="77777777" w:rsidTr="002B6456">
        <w:tc>
          <w:tcPr>
            <w:tcW w:w="4508" w:type="dxa"/>
            <w:vAlign w:val="center"/>
          </w:tcPr>
          <w:p w14:paraId="38575F03" w14:textId="77777777" w:rsidR="00416180" w:rsidRPr="00FC71BE" w:rsidRDefault="00416180" w:rsidP="002B6456">
            <w:pPr>
              <w:pStyle w:val="Figure"/>
              <w:rPr>
                <w:noProof w:val="0"/>
              </w:rPr>
            </w:pPr>
            <w:r w:rsidRPr="00FC71BE">
              <w:rPr>
                <w:noProof w:val="0"/>
              </w:rPr>
              <w:t>(a) Axial longitudinal fins</w:t>
            </w:r>
          </w:p>
        </w:tc>
        <w:tc>
          <w:tcPr>
            <w:tcW w:w="4508" w:type="dxa"/>
            <w:vAlign w:val="center"/>
          </w:tcPr>
          <w:p w14:paraId="0AE4B8DB" w14:textId="77777777" w:rsidR="00416180" w:rsidRPr="00FC71BE" w:rsidRDefault="00416180" w:rsidP="002B6456">
            <w:pPr>
              <w:pStyle w:val="Figure"/>
              <w:rPr>
                <w:noProof w:val="0"/>
              </w:rPr>
            </w:pPr>
            <w:r w:rsidRPr="00FC71BE">
              <w:rPr>
                <w:noProof w:val="0"/>
              </w:rPr>
              <w:t>(b) Radial fins</w:t>
            </w:r>
          </w:p>
        </w:tc>
      </w:tr>
    </w:tbl>
    <w:p w14:paraId="6CD91E6A" w14:textId="4A5844F5" w:rsidR="00416180" w:rsidRPr="00FC71BE" w:rsidRDefault="00416180" w:rsidP="00416180">
      <w:pPr>
        <w:pStyle w:val="FigureTitle"/>
      </w:pPr>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11</w:t>
      </w:r>
      <w:r w:rsidRPr="00FC71BE">
        <w:rPr>
          <w:rStyle w:val="FigureTitleChar"/>
          <w:color w:val="auto"/>
        </w:rPr>
        <w:fldChar w:fldCharType="end"/>
      </w:r>
      <w:r w:rsidRPr="00FC71BE">
        <w:rPr>
          <w:rStyle w:val="FigureTitleChar"/>
          <w:color w:val="auto"/>
        </w:rPr>
        <w:t xml:space="preserve">. </w:t>
      </w:r>
      <w:r w:rsidRPr="00FC71BE">
        <w:t xml:space="preserve">Finned housing with different fin orientations </w:t>
      </w:r>
      <w:r w:rsidRPr="00FC71BE">
        <w:fldChar w:fldCharType="begin"/>
      </w:r>
      <w:r w:rsidRPr="00FC71BE">
        <w:instrText xml:space="preserve"> ADDIN EN.CITE &lt;EndNote&gt;&lt;Cite&gt;&lt;Author&gt;Gilson&lt;/Author&gt;&lt;Year&gt;2010&lt;/Year&gt;&lt;RecNum&gt;125&lt;/RecNum&gt;&lt;DisplayText&gt;[55]&lt;/DisplayText&gt;&lt;record&gt;&lt;rec-number&gt;125&lt;/rec-number&gt;&lt;foreign-keys&gt;&lt;key app="EN" db-id="rf2p5e05jx0x9jep00uvx0s1fvaww2dfa0r9" timestamp="1696434625"&gt;125&lt;/key&gt;&lt;/foreign-keys&gt;&lt;ref-type name="Conference Proceedings"&gt;10&lt;/ref-type&gt;&lt;contributors&gt;&lt;authors&gt;&lt;author&gt;Gilson, GM&lt;/author&gt;&lt;author&gt;Raminosoa, T&lt;/author&gt;&lt;author&gt;Pickering, SJ&lt;/author&gt;&lt;author&gt;Gerada, C&lt;/author&gt;&lt;author&gt;Hann, DB&lt;/author&gt;&lt;/authors&gt;&lt;/contributors&gt;&lt;titles&gt;&lt;title&gt;A combined electromagnetic and thermal optimisation of an aerospace electric motor&lt;/title&gt;&lt;secondary-title&gt;The XIX International Conference on Electrical Machines-ICEM 2010&lt;/secondary-title&gt;&lt;/titles&gt;&lt;pages&gt;1-7&lt;/pages&gt;&lt;dates&gt;&lt;year&gt;2010&lt;/year&gt;&lt;/dates&gt;&lt;publisher&gt;IEEE&lt;/publisher&gt;&lt;isbn&gt;1424441749&lt;/isbn&gt;&lt;urls&gt;&lt;/urls&gt;&lt;/record&gt;&lt;/Cite&gt;&lt;/EndNote&gt;</w:instrText>
      </w:r>
      <w:r w:rsidRPr="00FC71BE">
        <w:fldChar w:fldCharType="separate"/>
      </w:r>
      <w:r w:rsidRPr="00FC71BE">
        <w:t>[55]</w:t>
      </w:r>
      <w:r w:rsidRPr="00FC71BE">
        <w:fldChar w:fldCharType="end"/>
      </w:r>
      <w:r w:rsidRPr="00FC71BE">
        <w:t>.</w:t>
      </w:r>
    </w:p>
    <w:p w14:paraId="6070BCCB" w14:textId="77777777" w:rsidR="00416180" w:rsidRPr="00FC71BE" w:rsidRDefault="00416180" w:rsidP="00416180">
      <w:pPr>
        <w:pStyle w:val="Figure"/>
        <w:rPr>
          <w:noProof w:val="0"/>
        </w:rPr>
      </w:pPr>
      <w:r w:rsidRPr="00FC71BE">
        <w:lastRenderedPageBreak/>
        <w:drawing>
          <wp:inline distT="0" distB="0" distL="0" distR="0" wp14:anchorId="0B230893" wp14:editId="79C2AA83">
            <wp:extent cx="4363200" cy="2616663"/>
            <wp:effectExtent l="0" t="0" r="0" b="0"/>
            <wp:docPr id="241269792" name="Picture 241269792" descr="A graph of a mass of hou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69792" name="Picture 4" descr="A graph of a mass of housing&#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63200" cy="2616663"/>
                    </a:xfrm>
                    <a:prstGeom prst="rect">
                      <a:avLst/>
                    </a:prstGeom>
                    <a:noFill/>
                    <a:ln>
                      <a:noFill/>
                    </a:ln>
                  </pic:spPr>
                </pic:pic>
              </a:graphicData>
            </a:graphic>
          </wp:inline>
        </w:drawing>
      </w:r>
    </w:p>
    <w:p w14:paraId="6007B45A" w14:textId="2F224FB3" w:rsidR="00416180" w:rsidRPr="00FC71BE" w:rsidRDefault="00416180" w:rsidP="00416180">
      <w:pPr>
        <w:pStyle w:val="FigureTitle"/>
      </w:pPr>
      <w:bookmarkStart w:id="28" w:name="_Ref147333030"/>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12</w:t>
      </w:r>
      <w:r w:rsidRPr="00FC71BE">
        <w:rPr>
          <w:rStyle w:val="FigureTitleChar"/>
          <w:color w:val="auto"/>
        </w:rPr>
        <w:fldChar w:fldCharType="end"/>
      </w:r>
      <w:bookmarkEnd w:id="28"/>
      <w:r w:rsidRPr="00FC71BE">
        <w:rPr>
          <w:rStyle w:val="FigureTitleChar"/>
          <w:color w:val="auto"/>
        </w:rPr>
        <w:t xml:space="preserve">. Temperatures of housing for </w:t>
      </w:r>
      <w:r w:rsidRPr="00FC71BE">
        <w:t xml:space="preserve">a horizontally mounted motor with </w:t>
      </w:r>
      <w:r w:rsidRPr="00FC71BE">
        <w:rPr>
          <w:rStyle w:val="FigureTitleChar"/>
          <w:color w:val="auto"/>
        </w:rPr>
        <w:t>r</w:t>
      </w:r>
      <w:r w:rsidRPr="00FC71BE">
        <w:t xml:space="preserve">adial fins and axial longitudinal fins </w:t>
      </w:r>
      <w:r w:rsidRPr="00FC71BE">
        <w:fldChar w:fldCharType="begin"/>
      </w:r>
      <w:r w:rsidRPr="00FC71BE">
        <w:instrText xml:space="preserve"> ADDIN EN.CITE &lt;EndNote&gt;&lt;Cite&gt;&lt;Author&gt;Gilson&lt;/Author&gt;&lt;Year&gt;2010&lt;/Year&gt;&lt;RecNum&gt;125&lt;/RecNum&gt;&lt;DisplayText&gt;[55]&lt;/DisplayText&gt;&lt;record&gt;&lt;rec-number&gt;125&lt;/rec-number&gt;&lt;foreign-keys&gt;&lt;key app="EN" db-id="rf2p5e05jx0x9jep00uvx0s1fvaww2dfa0r9" timestamp="1696434625"&gt;125&lt;/key&gt;&lt;/foreign-keys&gt;&lt;ref-type name="Conference Proceedings"&gt;10&lt;/ref-type&gt;&lt;contributors&gt;&lt;authors&gt;&lt;author&gt;Gilson, GM&lt;/author&gt;&lt;author&gt;Raminosoa, T&lt;/author&gt;&lt;author&gt;Pickering, SJ&lt;/author&gt;&lt;author&gt;Gerada, C&lt;/author&gt;&lt;author&gt;Hann, DB&lt;/author&gt;&lt;/authors&gt;&lt;/contributors&gt;&lt;titles&gt;&lt;title&gt;A combined electromagnetic and thermal optimisation of an aerospace electric motor&lt;/title&gt;&lt;secondary-title&gt;The XIX International Conference on Electrical Machines-ICEM 2010&lt;/secondary-title&gt;&lt;/titles&gt;&lt;pages&gt;1-7&lt;/pages&gt;&lt;dates&gt;&lt;year&gt;2010&lt;/year&gt;&lt;/dates&gt;&lt;publisher&gt;IEEE&lt;/publisher&gt;&lt;isbn&gt;1424441749&lt;/isbn&gt;&lt;urls&gt;&lt;/urls&gt;&lt;/record&gt;&lt;/Cite&gt;&lt;/EndNote&gt;</w:instrText>
      </w:r>
      <w:r w:rsidRPr="00FC71BE">
        <w:fldChar w:fldCharType="separate"/>
      </w:r>
      <w:r w:rsidRPr="00FC71BE">
        <w:t>[55]</w:t>
      </w:r>
      <w:r w:rsidRPr="00FC71BE">
        <w:fldChar w:fldCharType="end"/>
      </w:r>
      <w:r w:rsidRPr="00FC71BE">
        <w:t>.</w:t>
      </w:r>
    </w:p>
    <w:p w14:paraId="229EBD29" w14:textId="37C09E16" w:rsidR="00416180" w:rsidRPr="00FC71BE" w:rsidRDefault="00416180" w:rsidP="00416180">
      <w:r w:rsidRPr="00FC71BE">
        <w:t xml:space="preserve">It's essential to highlight that the orientation of fins should be carefully considered to avoid disrupting airflow </w:t>
      </w:r>
      <w:r w:rsidRPr="00FC71BE">
        <w:fldChar w:fldCharType="begin"/>
      </w:r>
      <w:r w:rsidR="00103B0D" w:rsidRPr="00FC71BE">
        <w:instrText xml:space="preserve"> ADDIN EN.CITE &lt;EndNote&gt;&lt;Cite&gt;&lt;Author&gt;Gai&lt;/Author&gt;&lt;Year&gt;2018&lt;/Year&gt;&lt;RecNum&gt;124&lt;/RecNum&gt;&lt;DisplayText&gt;[56]&lt;/DisplayText&gt;&lt;record&gt;&lt;rec-number&gt;124&lt;/rec-number&gt;&lt;foreign-keys&gt;&lt;key app="EN" db-id="rf2p5e05jx0x9jep00uvx0s1fvaww2dfa0r9" timestamp="1696430525"&gt;124&lt;/key&gt;&lt;/foreign-keys&gt;&lt;ref-type name="Journal Article"&gt;17&lt;/ref-type&gt;&lt;contributors&gt;&lt;authors&gt;&lt;author&gt;Gai, Yao Hui&lt;/author&gt;&lt;author&gt;Kimiabeigi, Mohammad&lt;/author&gt;&lt;author&gt;Chong, Yew Chuan&lt;/author&gt;&lt;author&gt;Widmer, James D&lt;/author&gt;&lt;author&gt;Deng, Xu&lt;/author&gt;&lt;author&gt;Popescu, Mircea&lt;/author&gt;&lt;author&gt;Goss, James&lt;/author&gt;&lt;author&gt;Staton, Dave A&lt;/author&gt;&lt;author&gt;Steven, Andrew&lt;/author&gt;&lt;/authors&gt;&lt;/contributors&gt;&lt;titles&gt;&lt;title&gt;Cooling of automotive traction motors: Schemes, examples, and computation methods&lt;/title&gt;&lt;secondary-title&gt;IEEE Transactions on Industrial Electronics&lt;/secondary-title&gt;&lt;/titles&gt;&lt;periodical&gt;&lt;full-title&gt;IEEE Transactions on Industrial Electronics&lt;/full-title&gt;&lt;/periodical&gt;&lt;pages&gt;1681-1692&lt;/pages&gt;&lt;volume&gt;66&lt;/volume&gt;&lt;number&gt;3&lt;/number&gt;&lt;dates&gt;&lt;year&gt;2018&lt;/year&gt;&lt;/dates&gt;&lt;isbn&gt;0278-0046&lt;/isbn&gt;&lt;urls&gt;&lt;/urls&gt;&lt;/record&gt;&lt;/Cite&gt;&lt;/EndNote&gt;</w:instrText>
      </w:r>
      <w:r w:rsidRPr="00FC71BE">
        <w:fldChar w:fldCharType="separate"/>
      </w:r>
      <w:r w:rsidRPr="00FC71BE">
        <w:t>[56]</w:t>
      </w:r>
      <w:r w:rsidRPr="00FC71BE">
        <w:fldChar w:fldCharType="end"/>
      </w:r>
      <w:r w:rsidRPr="00FC71BE">
        <w:t xml:space="preserve">. Consequently, the cooling efficiency of finned housing with axial longitudinal fins, radial fins, or other configurations will be different under different operating conditions. The finned housing is commonly integrated into totally enclosed fan-cooled (TEFC) motors </w:t>
      </w:r>
      <w:r w:rsidRPr="00FC71BE">
        <w:fldChar w:fldCharType="begin">
          <w:fldData xml:space="preserve">PEVuZE5vdGU+PENpdGU+PEF1dGhvcj5TdGF0b248L0F1dGhvcj48WWVhcj4yMDA1PC9ZZWFyPjxS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</w:fldData>
        </w:fldChar>
      </w:r>
      <w:r w:rsidRPr="00FC71BE">
        <w:instrText xml:space="preserve"> ADDIN EN.CITE </w:instrText>
      </w:r>
      <w:r w:rsidRPr="00FC71BE">
        <w:fldChar w:fldCharType="begin">
          <w:fldData xml:space="preserve">PEVuZE5vdGU+PENpdGU+PEF1dGhvcj5TdGF0b248L0F1dGhvcj48WWVhcj4yMDA1PC9ZZWFyPjxS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</w:fldData>
        </w:fldChar>
      </w:r>
      <w:r w:rsidRPr="00FC71BE">
        <w:instrText xml:space="preserve"> ADDIN EN.CITE.DATA </w:instrText>
      </w:r>
      <w:r w:rsidRPr="00FC71BE">
        <w:fldChar w:fldCharType="end"/>
      </w:r>
      <w:r w:rsidRPr="00FC71BE">
        <w:fldChar w:fldCharType="separate"/>
      </w:r>
      <w:r w:rsidRPr="00FC71BE">
        <w:t>[57-59]</w:t>
      </w:r>
      <w:r w:rsidRPr="00FC71BE">
        <w:fldChar w:fldCharType="end"/>
      </w:r>
      <w:r w:rsidRPr="00FC71BE">
        <w:t>. In TEFC motors, axial airflow is prevalent, making axial longitudinal fins a more attracted choice due to their compatibility with axial airflow.</w:t>
      </w:r>
    </w:p>
    <w:p w14:paraId="3ECB86EA" w14:textId="77777777" w:rsidR="00416180" w:rsidRPr="00FC71BE" w:rsidRDefault="00416180" w:rsidP="009375B6">
      <w:pPr>
        <w:pStyle w:val="Heading4"/>
      </w:pPr>
      <w:bookmarkStart w:id="29" w:name="_Ref147503197"/>
      <w:r w:rsidRPr="00FC71BE">
        <w:t>Potting Materials</w:t>
      </w:r>
      <w:bookmarkEnd w:id="29"/>
    </w:p>
    <w:p w14:paraId="2103A19E" w14:textId="6025B9F6" w:rsidR="00416180" w:rsidRPr="00FC71BE" w:rsidRDefault="00416180" w:rsidP="00416180">
      <w:r w:rsidRPr="00FC71BE">
        <w:t>Particular attention must be given to addressing the two primary areas of concern with electrical machines. One is the rotor, especially in rotor-mounted PM machines, where the issue arises due to a poor heat transfer rate in the airgap region. The other one of concern is end-winding, which characterized by poor heat transfer rate in end space regions</w:t>
      </w:r>
      <w:r w:rsidR="008520AF" w:rsidRPr="00FC71BE">
        <w:t xml:space="preserve"> </w:t>
      </w:r>
      <w:r w:rsidR="008520AF" w:rsidRPr="00FC71BE">
        <w:fldChar w:fldCharType="begin"/>
      </w:r>
      <w:r w:rsidR="008520AF" w:rsidRPr="00FC71BE">
        <w:instrText xml:space="preserve"> ADDIN EN.CITE &lt;EndNote&gt;&lt;Cite ExcludeYear="1"&gt;&lt;Author&gt;ANSYS CFX&lt;/Author&gt;&lt;RecNum&gt;144&lt;/RecNum&gt;&lt;DisplayText&gt;[60]&lt;/DisplayText&gt;&lt;record&gt;&lt;rec-number&gt;144&lt;/rec-number&gt;&lt;foreign-keys&gt;&lt;key app="EN" db-id="rf2p5e05jx0x9jep00uvx0s1fvaww2dfa0r9" timestamp="1696515038"&gt;144&lt;/key&gt;&lt;/foreign-keys&gt;&lt;ref-type name="Online Database"&gt;45&lt;/ref-type&gt;&lt;contributors&gt;&lt;authors&gt;&lt;author&gt;ANSYS CFX, &lt;/author&gt;&lt;/authors&gt;&lt;/contributors&gt;&lt;titles&gt;&lt;title&gt;ANSYS CFX material database&lt;/title&gt;&lt;/titles&gt;&lt;dates&gt;&lt;/dates&gt;&lt;urls&gt;&lt;related-urls&gt;&lt;url&gt;https://www.ansys.com&lt;/url&gt;&lt;/related-urls&gt;&lt;/urls&gt;&lt;/record&gt;&lt;/Cite&gt;&lt;/EndNote&gt;</w:instrText>
      </w:r>
      <w:r w:rsidR="008520AF" w:rsidRPr="00FC71BE">
        <w:fldChar w:fldCharType="separate"/>
      </w:r>
      <w:r w:rsidR="008520AF" w:rsidRPr="00FC71BE">
        <w:t>[60]</w:t>
      </w:r>
      <w:r w:rsidR="008520AF" w:rsidRPr="00FC71BE">
        <w:fldChar w:fldCharType="end"/>
      </w:r>
      <w:r w:rsidRPr="00FC71BE">
        <w:t>.</w:t>
      </w:r>
    </w:p>
    <w:p w14:paraId="235BDF60" w14:textId="02816E05" w:rsidR="00416180" w:rsidRPr="00FC71BE" w:rsidRDefault="00416180" w:rsidP="00416180">
      <w:r w:rsidRPr="00FC71BE">
        <w:t xml:space="preserve">To ameliorate the heat dissipation challenges in end-winding regions, potting materials have been employed to serve the purpose of replacing the air within the end space as shown in </w:t>
      </w:r>
      <w:r w:rsidRPr="00FC71BE">
        <w:fldChar w:fldCharType="begin"/>
      </w:r>
      <w:r w:rsidRPr="00FC71BE">
        <w:instrText xml:space="preserve"> REF _Ref147344141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13</w:t>
      </w:r>
      <w:r w:rsidRPr="00FC71BE">
        <w:fldChar w:fldCharType="end"/>
      </w:r>
      <w:r w:rsidRPr="00FC71BE">
        <w:t>. The potting material establish highly effective heat conduction between the end-winding and the housing, a process that would be notably inefficient if air were retained. The main reason is the significant higher thermal conductivity of potting materials in comparison to air. Moreover, low air velocity and limited turbulence render it less effective at facilitating heat convection.</w:t>
      </w:r>
    </w:p>
    <w:p w14:paraId="16952977" w14:textId="779BD75D" w:rsidR="00416180" w:rsidRPr="00FC71BE" w:rsidRDefault="00416180" w:rsidP="00416180">
      <w:r w:rsidRPr="00FC71BE">
        <w:t xml:space="preserve">It is worth noting that, the cooling efficiency of potting materials is impacted by its thermal conductivity and density. Additionally, the choice of potting materials should consider the </w:t>
      </w:r>
      <w:r w:rsidRPr="00FC71BE">
        <w:lastRenderedPageBreak/>
        <w:t xml:space="preserve">allowable temperature limits of these materials. A summary of these properties for various potting materials are listed in </w:t>
      </w:r>
      <w:r w:rsidRPr="00FC71BE">
        <w:fldChar w:fldCharType="begin"/>
      </w:r>
      <w:r w:rsidRPr="00FC71BE">
        <w:instrText xml:space="preserve"> REF _Ref147397498 \h </w:instrText>
      </w:r>
      <w:r w:rsidRPr="00FC71BE">
        <w:fldChar w:fldCharType="separate"/>
      </w:r>
      <w:r w:rsidR="007E62C1" w:rsidRPr="00FC71BE">
        <w:t xml:space="preserve">Table </w:t>
      </w:r>
      <w:r w:rsidR="007E62C1" w:rsidRPr="00FC71BE">
        <w:rPr>
          <w:noProof/>
        </w:rPr>
        <w:t>1</w:t>
      </w:r>
      <w:r w:rsidR="007E62C1" w:rsidRPr="00FC71BE">
        <w:t>.</w:t>
      </w:r>
      <w:r w:rsidR="007E62C1" w:rsidRPr="00FC71BE">
        <w:rPr>
          <w:noProof/>
        </w:rPr>
        <w:t>3</w:t>
      </w:r>
      <w:r w:rsidRPr="00FC71BE">
        <w:fldChar w:fldCharType="end"/>
      </w:r>
      <w:r w:rsidRPr="00FC71BE">
        <w:t>.</w:t>
      </w:r>
    </w:p>
    <w:p w14:paraId="7364678F" w14:textId="77777777" w:rsidR="00416180" w:rsidRPr="00FC71BE" w:rsidRDefault="00416180" w:rsidP="00416180">
      <w:pPr>
        <w:pStyle w:val="Figure"/>
        <w:rPr>
          <w:noProof w:val="0"/>
        </w:rPr>
      </w:pPr>
      <w:r w:rsidRPr="00FC71BE">
        <w:drawing>
          <wp:inline distT="0" distB="0" distL="0" distR="0" wp14:anchorId="32138070" wp14:editId="31331005">
            <wp:extent cx="3919211" cy="2764638"/>
            <wp:effectExtent l="0" t="0" r="5715" b="0"/>
            <wp:docPr id="19" name="Picture 19" descr="A diagram of a machine&#10;&#10;Description automatically generated">
              <a:extLst xmlns:a="http://schemas.openxmlformats.org/drawingml/2006/main">
                <a:ext uri="{FF2B5EF4-FFF2-40B4-BE49-F238E27FC236}">
                  <a16:creationId xmlns:a16="http://schemas.microsoft.com/office/drawing/2014/main" id="{7F421ADD-E353-5254-AA1E-4CD7CAB0E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diagram of a machine&#10;&#10;Description automatically generated">
                      <a:extLst>
                        <a:ext uri="{FF2B5EF4-FFF2-40B4-BE49-F238E27FC236}">
                          <a16:creationId xmlns:a16="http://schemas.microsoft.com/office/drawing/2014/main" id="{7F421ADD-E353-5254-AA1E-4CD7CAB0E614}"/>
                        </a:ext>
                      </a:extLst>
                    </pic:cNvPr>
                    <pic:cNvPicPr>
                      <a:picLocks noChangeAspect="1"/>
                    </pic:cNvPicPr>
                  </pic:nvPicPr>
                  <pic:blipFill>
                    <a:blip r:embed="rId32"/>
                    <a:stretch>
                      <a:fillRect/>
                    </a:stretch>
                  </pic:blipFill>
                  <pic:spPr>
                    <a:xfrm>
                      <a:off x="0" y="0"/>
                      <a:ext cx="3919211" cy="2764638"/>
                    </a:xfrm>
                    <a:prstGeom prst="rect">
                      <a:avLst/>
                    </a:prstGeom>
                  </pic:spPr>
                </pic:pic>
              </a:graphicData>
            </a:graphic>
          </wp:inline>
        </w:drawing>
      </w:r>
    </w:p>
    <w:p w14:paraId="6DE5D507" w14:textId="75F36786" w:rsidR="00416180" w:rsidRPr="00FC71BE" w:rsidRDefault="00416180" w:rsidP="00416180">
      <w:pPr>
        <w:pStyle w:val="FigureTitle"/>
      </w:pPr>
      <w:bookmarkStart w:id="30" w:name="_Ref147344141"/>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13</w:t>
      </w:r>
      <w:r w:rsidRPr="00FC71BE">
        <w:rPr>
          <w:rStyle w:val="FigureTitleChar"/>
          <w:color w:val="auto"/>
        </w:rPr>
        <w:fldChar w:fldCharType="end"/>
      </w:r>
      <w:bookmarkEnd w:id="30"/>
      <w:r w:rsidRPr="00FC71BE">
        <w:rPr>
          <w:rStyle w:val="FigureTitleChar"/>
          <w:color w:val="auto"/>
        </w:rPr>
        <w:t xml:space="preserve">. </w:t>
      </w:r>
      <w:r w:rsidRPr="00FC71BE">
        <w:t>Cut away view of the machines with potting materials.</w:t>
      </w:r>
    </w:p>
    <w:p w14:paraId="252A65F4" w14:textId="1003A05E" w:rsidR="00416180" w:rsidRPr="00FC71BE" w:rsidRDefault="00416180" w:rsidP="00416180">
      <w:pPr>
        <w:pStyle w:val="Tabletitle"/>
        <w:rPr>
          <w:color w:val="auto"/>
        </w:rPr>
      </w:pPr>
      <w:bookmarkStart w:id="31" w:name="_Ref147397498"/>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bookmarkEnd w:id="31"/>
      <w:r w:rsidRPr="00FC71BE">
        <w:rPr>
          <w:color w:val="auto"/>
        </w:rPr>
        <w:t xml:space="preserve"> Physical Properties of Potting Materials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816"/>
        <w:gridCol w:w="2549"/>
        <w:gridCol w:w="1453"/>
        <w:gridCol w:w="1950"/>
        <w:gridCol w:w="1258"/>
      </w:tblGrid>
      <w:tr w:rsidR="00FC71BE" w:rsidRPr="00FC71BE" w14:paraId="465622BE" w14:textId="77777777">
        <w:tc>
          <w:tcPr>
            <w:tcW w:w="1006" w:type="pct"/>
          </w:tcPr>
          <w:p w14:paraId="66961795" w14:textId="77777777" w:rsidR="00416180" w:rsidRPr="00FC71BE" w:rsidRDefault="00416180">
            <w:pPr>
              <w:pStyle w:val="Table"/>
              <w:rPr>
                <w:color w:val="auto"/>
              </w:rPr>
            </w:pPr>
            <w:r w:rsidRPr="00FC71BE">
              <w:rPr>
                <w:color w:val="auto"/>
              </w:rPr>
              <w:t>Materials</w:t>
            </w:r>
          </w:p>
        </w:tc>
        <w:tc>
          <w:tcPr>
            <w:tcW w:w="1412" w:type="pct"/>
          </w:tcPr>
          <w:p w14:paraId="27139615" w14:textId="77777777" w:rsidR="00416180" w:rsidRPr="00FC71BE" w:rsidRDefault="00416180">
            <w:pPr>
              <w:pStyle w:val="Table"/>
              <w:rPr>
                <w:color w:val="auto"/>
              </w:rPr>
            </w:pPr>
            <w:r w:rsidRPr="00FC71BE">
              <w:rPr>
                <w:color w:val="auto"/>
              </w:rPr>
              <w:t>Thermal Conductivity (</w:t>
            </w:r>
            <m:oMath>
              <m:f>
                <m:fPr>
                  <m:type m:val="lin"/>
                  <m:ctrlPr>
                    <w:rPr>
                      <w:rFonts w:ascii="Cambria Math" w:eastAsiaTheme="minorEastAsia" w:hAnsi="Cambria Math"/>
                      <w:iCs/>
                      <w:color w:val="auto"/>
                      <w:lang w:eastAsia="zh-CN"/>
                    </w:rPr>
                  </m:ctrlPr>
                </m:fPr>
                <m:num>
                  <m:r>
                    <m:rPr>
                      <m:sty m:val="p"/>
                    </m:rPr>
                    <w:rPr>
                      <w:rFonts w:ascii="Cambria Math" w:hAnsi="Cambria Math"/>
                      <w:color w:val="auto"/>
                    </w:rPr>
                    <m:t>W</m:t>
                  </m:r>
                </m:num>
                <m:den>
                  <m:f>
                    <m:fPr>
                      <m:type m:val="lin"/>
                      <m:ctrlPr>
                        <w:rPr>
                          <w:rFonts w:ascii="Cambria Math" w:eastAsiaTheme="minorEastAsia" w:hAnsi="Cambria Math"/>
                          <w:iCs/>
                          <w:color w:val="auto"/>
                          <w:lang w:eastAsia="zh-CN"/>
                        </w:rPr>
                      </m:ctrlPr>
                    </m:fPr>
                    <m:num>
                      <m:r>
                        <m:rPr>
                          <m:sty m:val="p"/>
                        </m:rPr>
                        <w:rPr>
                          <w:rFonts w:ascii="Cambria Math" w:hAnsi="Cambria Math"/>
                          <w:color w:val="auto"/>
                        </w:rPr>
                        <m:t>m</m:t>
                      </m:r>
                    </m:num>
                    <m:den>
                      <m:r>
                        <m:rPr>
                          <m:sty m:val="p"/>
                        </m:rPr>
                        <w:rPr>
                          <w:rFonts w:ascii="Cambria Math" w:hAnsi="Cambria Math"/>
                          <w:color w:val="auto"/>
                        </w:rPr>
                        <m:t>K</m:t>
                      </m:r>
                    </m:den>
                  </m:f>
                </m:den>
              </m:f>
            </m:oMath>
            <w:r w:rsidRPr="00FC71BE">
              <w:rPr>
                <w:iCs/>
                <w:color w:val="auto"/>
              </w:rPr>
              <w:t>)</w:t>
            </w:r>
          </w:p>
        </w:tc>
        <w:tc>
          <w:tcPr>
            <w:tcW w:w="805" w:type="pct"/>
          </w:tcPr>
          <w:p w14:paraId="35716D22" w14:textId="77777777" w:rsidR="00416180" w:rsidRPr="00FC71BE" w:rsidRDefault="00416180">
            <w:pPr>
              <w:pStyle w:val="Table"/>
              <w:rPr>
                <w:iCs/>
                <w:color w:val="auto"/>
              </w:rPr>
            </w:pPr>
            <w:r w:rsidRPr="00FC71BE">
              <w:rPr>
                <w:color w:val="auto"/>
              </w:rPr>
              <w:t>Density (</w:t>
            </w:r>
            <m:oMath>
              <m:f>
                <m:fPr>
                  <m:type m:val="lin"/>
                  <m:ctrlPr>
                    <w:rPr>
                      <w:rFonts w:ascii="Cambria Math" w:eastAsiaTheme="minorEastAsia" w:hAnsi="Cambria Math"/>
                      <w:iCs/>
                      <w:color w:val="auto"/>
                      <w:lang w:eastAsia="zh-CN"/>
                    </w:rPr>
                  </m:ctrlPr>
                </m:fPr>
                <m:num>
                  <m:r>
                    <m:rPr>
                      <m:sty m:val="p"/>
                    </m:rPr>
                    <w:rPr>
                      <w:rFonts w:ascii="Cambria Math" w:hAnsi="Cambria Math"/>
                      <w:color w:val="auto"/>
                    </w:rPr>
                    <m:t>kg</m:t>
                  </m:r>
                </m:num>
                <m:den>
                  <m:sSup>
                    <m:sSupPr>
                      <m:ctrlPr>
                        <w:rPr>
                          <w:rFonts w:ascii="Cambria Math" w:eastAsiaTheme="minorEastAsia" w:hAnsi="Cambria Math"/>
                          <w:iCs/>
                          <w:color w:val="auto"/>
                          <w:lang w:eastAsia="zh-CN"/>
                        </w:rPr>
                      </m:ctrlPr>
                    </m:sSupPr>
                    <m:e>
                      <m:r>
                        <m:rPr>
                          <m:sty m:val="p"/>
                        </m:rPr>
                        <w:rPr>
                          <w:rFonts w:ascii="Cambria Math" w:hAnsi="Cambria Math"/>
                          <w:color w:val="auto"/>
                        </w:rPr>
                        <m:t>m</m:t>
                      </m:r>
                    </m:e>
                    <m:sup>
                      <m:r>
                        <m:rPr>
                          <m:sty m:val="p"/>
                        </m:rPr>
                        <w:rPr>
                          <w:rFonts w:ascii="Cambria Math" w:hAnsi="Cambria Math"/>
                          <w:color w:val="auto"/>
                        </w:rPr>
                        <m:t>3</m:t>
                      </m:r>
                    </m:sup>
                  </m:sSup>
                </m:den>
              </m:f>
            </m:oMath>
            <w:r w:rsidRPr="00FC71BE">
              <w:rPr>
                <w:iCs/>
                <w:color w:val="auto"/>
              </w:rPr>
              <w:t>)</w:t>
            </w:r>
          </w:p>
        </w:tc>
        <w:tc>
          <w:tcPr>
            <w:tcW w:w="1080" w:type="pct"/>
          </w:tcPr>
          <w:p w14:paraId="5B749275" w14:textId="77777777" w:rsidR="00416180" w:rsidRPr="00FC71BE" w:rsidRDefault="00416180">
            <w:pPr>
              <w:pStyle w:val="Table"/>
              <w:rPr>
                <w:color w:val="auto"/>
              </w:rPr>
            </w:pPr>
            <w:r w:rsidRPr="00FC71BE">
              <w:rPr>
                <w:color w:val="auto"/>
              </w:rPr>
              <w:t>Allowable temperature (</w:t>
            </w:r>
            <m:oMath>
              <m:r>
                <w:rPr>
                  <w:rFonts w:ascii="Cambria Math" w:hAnsi="Cambria Math"/>
                  <w:color w:val="auto"/>
                </w:rPr>
                <m:t>℃</m:t>
              </m:r>
            </m:oMath>
            <w:r w:rsidRPr="00FC71BE">
              <w:rPr>
                <w:color w:val="auto"/>
              </w:rPr>
              <w:t>)</w:t>
            </w:r>
          </w:p>
        </w:tc>
        <w:tc>
          <w:tcPr>
            <w:tcW w:w="697" w:type="pct"/>
          </w:tcPr>
          <w:p w14:paraId="22237BEE" w14:textId="77777777" w:rsidR="00416180" w:rsidRPr="00FC71BE" w:rsidRDefault="00416180">
            <w:pPr>
              <w:pStyle w:val="Table"/>
              <w:rPr>
                <w:color w:val="auto"/>
              </w:rPr>
            </w:pPr>
            <w:r w:rsidRPr="00FC71BE">
              <w:rPr>
                <w:color w:val="auto"/>
              </w:rPr>
              <w:t>Reference</w:t>
            </w:r>
          </w:p>
        </w:tc>
      </w:tr>
      <w:tr w:rsidR="00FC71BE" w:rsidRPr="00FC71BE" w14:paraId="5603B8A1" w14:textId="77777777">
        <w:tc>
          <w:tcPr>
            <w:tcW w:w="1006" w:type="pct"/>
          </w:tcPr>
          <w:p w14:paraId="717F9F39" w14:textId="77777777" w:rsidR="00416180" w:rsidRPr="00FC71BE" w:rsidRDefault="00416180">
            <w:pPr>
              <w:pStyle w:val="Table"/>
              <w:rPr>
                <w:color w:val="auto"/>
              </w:rPr>
            </w:pPr>
            <w:r w:rsidRPr="00FC71BE">
              <w:rPr>
                <w:color w:val="auto"/>
              </w:rPr>
              <w:t>Air</w:t>
            </w:r>
          </w:p>
        </w:tc>
        <w:tc>
          <w:tcPr>
            <w:tcW w:w="1412" w:type="pct"/>
          </w:tcPr>
          <w:p w14:paraId="480C437E" w14:textId="77777777" w:rsidR="00416180" w:rsidRPr="00FC71BE" w:rsidRDefault="00416180">
            <w:pPr>
              <w:pStyle w:val="Table"/>
              <w:rPr>
                <w:color w:val="auto"/>
              </w:rPr>
            </w:pPr>
            <w:r w:rsidRPr="00FC71BE">
              <w:rPr>
                <w:color w:val="auto"/>
              </w:rPr>
              <w:t>0.026</w:t>
            </w:r>
          </w:p>
        </w:tc>
        <w:tc>
          <w:tcPr>
            <w:tcW w:w="805" w:type="pct"/>
          </w:tcPr>
          <w:p w14:paraId="1986274C" w14:textId="77777777" w:rsidR="00416180" w:rsidRPr="00FC71BE" w:rsidRDefault="00416180">
            <w:pPr>
              <w:pStyle w:val="Table"/>
              <w:rPr>
                <w:color w:val="auto"/>
              </w:rPr>
            </w:pPr>
            <w:r w:rsidRPr="00FC71BE">
              <w:rPr>
                <w:color w:val="auto"/>
              </w:rPr>
              <w:t>1.185</w:t>
            </w:r>
          </w:p>
        </w:tc>
        <w:tc>
          <w:tcPr>
            <w:tcW w:w="1080" w:type="pct"/>
          </w:tcPr>
          <w:p w14:paraId="4A9E3F03" w14:textId="77777777" w:rsidR="00416180" w:rsidRPr="00FC71BE" w:rsidRDefault="00416180">
            <w:pPr>
              <w:pStyle w:val="Table"/>
              <w:rPr>
                <w:color w:val="auto"/>
              </w:rPr>
            </w:pPr>
            <w:r w:rsidRPr="00FC71BE">
              <w:rPr>
                <w:color w:val="auto"/>
              </w:rPr>
              <w:t>-</w:t>
            </w:r>
          </w:p>
        </w:tc>
        <w:tc>
          <w:tcPr>
            <w:tcW w:w="697" w:type="pct"/>
          </w:tcPr>
          <w:p w14:paraId="33E43CF8" w14:textId="7547B262" w:rsidR="00416180" w:rsidRPr="00FC71BE" w:rsidRDefault="008520AF">
            <w:pPr>
              <w:pStyle w:val="Table"/>
              <w:rPr>
                <w:color w:val="auto"/>
              </w:rPr>
            </w:pPr>
            <w:r w:rsidRPr="00FC71BE">
              <w:rPr>
                <w:color w:val="auto"/>
              </w:rPr>
              <w:fldChar w:fldCharType="begin"/>
            </w:r>
            <w:r w:rsidRPr="00FC71BE">
              <w:rPr>
                <w:color w:val="auto"/>
              </w:rPr>
              <w:instrText xml:space="preserve"> ADDIN EN.CITE &lt;EndNote&gt;&lt;Cite&gt;&lt;Author&gt;Polikarpova&lt;/Author&gt;&lt;Year&gt;2014&lt;/Year&gt;&lt;RecNum&gt;129&lt;/RecNum&gt;&lt;DisplayText&gt;[61]&lt;/DisplayText&gt;&lt;record&gt;&lt;rec-number&gt;129&lt;/rec-number&gt;&lt;foreign-keys&gt;&lt;key app="EN" db-id="rf2p5e05jx0x9jep00uvx0s1fvaww2dfa0r9" timestamp="1696450437"&gt;129&lt;/key&gt;&lt;/foreign-keys&gt;&lt;ref-type name="Conference Proceedings"&gt;10&lt;/ref-type&gt;&lt;contributors&gt;&lt;authors&gt;&lt;author&gt;Polikarpova, M&lt;/author&gt;&lt;author&gt;Lindh, PM&lt;/author&gt;&lt;author&gt;Tapia, JA&lt;/author&gt;&lt;author&gt;Pyrhönen, JJ&lt;/author&gt;&lt;/authors&gt;&lt;/contributors&gt;&lt;titles&gt;&lt;title&gt;Application of potting material for a 100 kW radial flux PMSM&lt;/title&gt;&lt;secondary-title&gt;2014 International Conference on Electrical Machines (ICEM)&lt;/secondary-title&gt;&lt;/titles&gt;&lt;pages&gt;2146-2151&lt;/pages&gt;&lt;dates&gt;&lt;year&gt;2014&lt;/year&gt;&lt;/dates&gt;&lt;publisher&gt;IEEE&lt;/publisher&gt;&lt;isbn&gt;1479943894&lt;/isbn&gt;&lt;urls&gt;&lt;/urls&gt;&lt;/record&gt;&lt;/Cite&gt;&lt;/EndNote&gt;</w:instrText>
            </w:r>
            <w:r w:rsidRPr="00FC71BE">
              <w:rPr>
                <w:color w:val="auto"/>
              </w:rPr>
              <w:fldChar w:fldCharType="separate"/>
            </w:r>
            <w:r w:rsidRPr="00FC71BE">
              <w:rPr>
                <w:color w:val="auto"/>
              </w:rPr>
              <w:t>[61]</w:t>
            </w:r>
            <w:r w:rsidRPr="00FC71BE">
              <w:rPr>
                <w:color w:val="auto"/>
              </w:rPr>
              <w:fldChar w:fldCharType="end"/>
            </w:r>
          </w:p>
        </w:tc>
      </w:tr>
      <w:tr w:rsidR="00FC71BE" w:rsidRPr="00FC71BE" w14:paraId="6EAAB57B" w14:textId="77777777">
        <w:tc>
          <w:tcPr>
            <w:tcW w:w="1006" w:type="pct"/>
          </w:tcPr>
          <w:p w14:paraId="0A8F6F57" w14:textId="77777777" w:rsidR="00416180" w:rsidRPr="00FC71BE" w:rsidRDefault="00416180">
            <w:pPr>
              <w:pStyle w:val="Table"/>
              <w:rPr>
                <w:color w:val="auto"/>
              </w:rPr>
            </w:pPr>
            <w:r w:rsidRPr="00FC71BE">
              <w:rPr>
                <w:color w:val="auto"/>
              </w:rPr>
              <w:t>Lord SC-320</w:t>
            </w:r>
          </w:p>
        </w:tc>
        <w:tc>
          <w:tcPr>
            <w:tcW w:w="1412" w:type="pct"/>
          </w:tcPr>
          <w:p w14:paraId="3BAF036B" w14:textId="77777777" w:rsidR="00416180" w:rsidRPr="00FC71BE" w:rsidRDefault="00416180">
            <w:pPr>
              <w:pStyle w:val="Table"/>
              <w:rPr>
                <w:color w:val="auto"/>
              </w:rPr>
            </w:pPr>
            <w:r w:rsidRPr="00FC71BE">
              <w:rPr>
                <w:color w:val="auto"/>
              </w:rPr>
              <w:t>3.2</w:t>
            </w:r>
          </w:p>
        </w:tc>
        <w:tc>
          <w:tcPr>
            <w:tcW w:w="805" w:type="pct"/>
          </w:tcPr>
          <w:p w14:paraId="4422FD28" w14:textId="77777777" w:rsidR="00416180" w:rsidRPr="00FC71BE" w:rsidRDefault="00416180">
            <w:pPr>
              <w:pStyle w:val="Table"/>
              <w:rPr>
                <w:color w:val="auto"/>
              </w:rPr>
            </w:pPr>
            <w:r w:rsidRPr="00FC71BE">
              <w:rPr>
                <w:color w:val="auto"/>
              </w:rPr>
              <w:t>2810</w:t>
            </w:r>
          </w:p>
        </w:tc>
        <w:tc>
          <w:tcPr>
            <w:tcW w:w="1080" w:type="pct"/>
          </w:tcPr>
          <w:p w14:paraId="0D56C6D8" w14:textId="77777777" w:rsidR="00416180" w:rsidRPr="00FC71BE" w:rsidRDefault="00416180">
            <w:pPr>
              <w:pStyle w:val="Table"/>
              <w:rPr>
                <w:color w:val="auto"/>
              </w:rPr>
            </w:pPr>
            <w:r w:rsidRPr="00FC71BE">
              <w:rPr>
                <w:color w:val="auto"/>
              </w:rPr>
              <w:t>-</w:t>
            </w:r>
          </w:p>
        </w:tc>
        <w:tc>
          <w:tcPr>
            <w:tcW w:w="697" w:type="pct"/>
          </w:tcPr>
          <w:p w14:paraId="551701BE" w14:textId="77777777" w:rsidR="00416180" w:rsidRPr="00FC71BE" w:rsidRDefault="00416180">
            <w:pPr>
              <w:pStyle w:val="Table"/>
              <w:rPr>
                <w:color w:val="auto"/>
              </w:rPr>
            </w:pPr>
            <w:r w:rsidRPr="00FC71BE">
              <w:rPr>
                <w:color w:val="auto"/>
              </w:rPr>
              <w:fldChar w:fldCharType="begin"/>
            </w:r>
            <w:r w:rsidRPr="00FC71BE">
              <w:rPr>
                <w:color w:val="auto"/>
              </w:rPr>
              <w:instrText xml:space="preserve"> ADDIN EN.CITE &lt;EndNote&gt;&lt;Cite ExcludeAuth="1" ExcludeYear="1"&gt;&lt;Author&gt;Lord Corp. technical data file&lt;/Author&gt;&lt;RecNum&gt;130&lt;/RecNum&gt;&lt;DisplayText&gt;[62]&lt;/DisplayText&gt;&lt;record&gt;&lt;rec-number&gt;130&lt;/rec-number&gt;&lt;foreign-keys&gt;&lt;key app="EN" db-id="rf2p5e05jx0x9jep00uvx0s1fvaww2dfa0r9" timestamp="1696451108"&gt;130&lt;/key&gt;&lt;/foreign-keys&gt;&lt;ref-type name="Online Database"&gt;45&lt;/ref-type&gt;&lt;contributors&gt;&lt;authors&gt;&lt;author&gt; Lord Corp. technical data file, &lt;/author&gt;&lt;/authors&gt;&lt;/contributors&gt;&lt;titles&gt;&lt;title&gt;Thermoset SC-320 Thermally Conductive Silicone Encapsulant&lt;/title&gt;&lt;/titles&gt;&lt;dates&gt;&lt;/dates&gt;&lt;urls&gt;&lt;related-urls&gt;&lt;url&gt;www.lord.com&lt;/url&gt;&lt;/related-urls&gt;&lt;/urls&gt;&lt;/record&gt;&lt;/Cite&gt;&lt;/EndNote&gt;</w:instrText>
            </w:r>
            <w:r w:rsidRPr="00FC71BE">
              <w:rPr>
                <w:color w:val="auto"/>
              </w:rPr>
              <w:fldChar w:fldCharType="separate"/>
            </w:r>
            <w:r w:rsidRPr="00FC71BE">
              <w:rPr>
                <w:color w:val="auto"/>
              </w:rPr>
              <w:t>[62]</w:t>
            </w:r>
            <w:r w:rsidRPr="00FC71BE">
              <w:rPr>
                <w:color w:val="auto"/>
              </w:rPr>
              <w:fldChar w:fldCharType="end"/>
            </w:r>
          </w:p>
        </w:tc>
      </w:tr>
      <w:tr w:rsidR="00FC71BE" w:rsidRPr="00FC71BE" w14:paraId="38E7E7C8" w14:textId="77777777">
        <w:tc>
          <w:tcPr>
            <w:tcW w:w="1006" w:type="pct"/>
          </w:tcPr>
          <w:p w14:paraId="26011942" w14:textId="77777777" w:rsidR="00416180" w:rsidRPr="00FC71BE" w:rsidRDefault="00416180">
            <w:pPr>
              <w:pStyle w:val="Table"/>
              <w:rPr>
                <w:color w:val="auto"/>
              </w:rPr>
            </w:pPr>
            <w:r w:rsidRPr="00FC71BE">
              <w:rPr>
                <w:color w:val="auto"/>
              </w:rPr>
              <w:t>AIN Compound</w:t>
            </w:r>
          </w:p>
        </w:tc>
        <w:tc>
          <w:tcPr>
            <w:tcW w:w="1412" w:type="pct"/>
          </w:tcPr>
          <w:p w14:paraId="1332D045" w14:textId="77777777" w:rsidR="00416180" w:rsidRPr="00FC71BE" w:rsidRDefault="00416180">
            <w:pPr>
              <w:pStyle w:val="Table"/>
              <w:rPr>
                <w:color w:val="auto"/>
              </w:rPr>
            </w:pPr>
            <w:r w:rsidRPr="00FC71BE">
              <w:rPr>
                <w:color w:val="auto"/>
              </w:rPr>
              <w:t>3.8</w:t>
            </w:r>
          </w:p>
        </w:tc>
        <w:tc>
          <w:tcPr>
            <w:tcW w:w="805" w:type="pct"/>
          </w:tcPr>
          <w:p w14:paraId="1F6CB1FF" w14:textId="77777777" w:rsidR="00416180" w:rsidRPr="00FC71BE" w:rsidRDefault="00416180">
            <w:pPr>
              <w:pStyle w:val="Table"/>
              <w:rPr>
                <w:color w:val="auto"/>
              </w:rPr>
            </w:pPr>
            <w:r w:rsidRPr="00FC71BE">
              <w:rPr>
                <w:color w:val="auto"/>
              </w:rPr>
              <w:t>2470</w:t>
            </w:r>
          </w:p>
        </w:tc>
        <w:tc>
          <w:tcPr>
            <w:tcW w:w="1080" w:type="pct"/>
          </w:tcPr>
          <w:p w14:paraId="27F54FB1" w14:textId="77777777" w:rsidR="00416180" w:rsidRPr="00FC71BE" w:rsidRDefault="00416180">
            <w:pPr>
              <w:pStyle w:val="Table"/>
              <w:rPr>
                <w:color w:val="auto"/>
              </w:rPr>
            </w:pPr>
            <w:r w:rsidRPr="00FC71BE">
              <w:rPr>
                <w:color w:val="auto"/>
              </w:rPr>
              <w:t>-</w:t>
            </w:r>
          </w:p>
        </w:tc>
        <w:tc>
          <w:tcPr>
            <w:tcW w:w="697" w:type="pct"/>
          </w:tcPr>
          <w:p w14:paraId="08FEFACB" w14:textId="77777777" w:rsidR="00416180" w:rsidRPr="00FC71BE" w:rsidRDefault="00416180">
            <w:pPr>
              <w:pStyle w:val="Table"/>
              <w:rPr>
                <w:color w:val="auto"/>
              </w:rPr>
            </w:pPr>
            <w:r w:rsidRPr="00FC71BE">
              <w:rPr>
                <w:color w:val="auto"/>
              </w:rPr>
              <w:fldChar w:fldCharType="begin"/>
            </w:r>
            <w:r w:rsidRPr="00FC71BE">
              <w:rPr>
                <w:color w:val="auto"/>
              </w:rPr>
              <w:instrText xml:space="preserve"> ADDIN EN.CITE &lt;EndNote&gt;&lt;Cite&gt;&lt;Author&gt;Tracy&lt;/Author&gt;&lt;Year&gt;1997&lt;/Year&gt;&lt;RecNum&gt;136&lt;/RecNum&gt;&lt;DisplayText&gt;[63]&lt;/DisplayText&gt;&lt;record&gt;&lt;rec-number&gt;136&lt;/rec-number&gt;&lt;foreign-keys&gt;&lt;key app="EN" db-id="rf2p5e05jx0x9jep00uvx0s1fvaww2dfa0r9" timestamp="1696501184"&gt;136&lt;/key&gt;&lt;/foreign-keys&gt;&lt;ref-type name="Conference Proceedings"&gt;10&lt;/ref-type&gt;&lt;contributors&gt;&lt;authors&gt;&lt;author&gt;Tracy, Daniel&lt;/author&gt;&lt;author&gt;Nguyen, Luu&lt;/author&gt;&lt;author&gt;Giberti, Richard&lt;/author&gt;&lt;author&gt;Gallo, A&lt;/author&gt;&lt;author&gt;Bischof, C&lt;/author&gt;&lt;author&gt;Sweet, JN&lt;/author&gt;&lt;author&gt;Hsia, AW&lt;/author&gt;&lt;/authors&gt;&lt;/contributors&gt;&lt;titles&gt;&lt;title&gt;Reliability of aluminum-nitride filled mold compound&lt;/title&gt;&lt;secondary-title&gt;1997 Proceedings 47th Electronic Components and Technology Conference&lt;/secondary-title&gt;&lt;/titles&gt;&lt;pages&gt;72-77&lt;/pages&gt;&lt;dates&gt;&lt;year&gt;1997&lt;/year&gt;&lt;/dates&gt;&lt;publisher&gt;IEEE&lt;/publisher&gt;&lt;isbn&gt;078033857X&lt;/isbn&gt;&lt;urls&gt;&lt;/urls&gt;&lt;/record&gt;&lt;/Cite&gt;&lt;/EndNote&gt;</w:instrText>
            </w:r>
            <w:r w:rsidRPr="00FC71BE">
              <w:rPr>
                <w:color w:val="auto"/>
              </w:rPr>
              <w:fldChar w:fldCharType="separate"/>
            </w:r>
            <w:r w:rsidRPr="00FC71BE">
              <w:rPr>
                <w:color w:val="auto"/>
              </w:rPr>
              <w:t>[63]</w:t>
            </w:r>
            <w:r w:rsidRPr="00FC71BE">
              <w:rPr>
                <w:color w:val="auto"/>
              </w:rPr>
              <w:fldChar w:fldCharType="end"/>
            </w:r>
          </w:p>
        </w:tc>
      </w:tr>
      <w:tr w:rsidR="00FC71BE" w:rsidRPr="00FC71BE" w14:paraId="58DE5359" w14:textId="77777777">
        <w:tc>
          <w:tcPr>
            <w:tcW w:w="1006" w:type="pct"/>
          </w:tcPr>
          <w:p w14:paraId="33B3B9AD" w14:textId="77777777" w:rsidR="00416180" w:rsidRPr="00FC71BE" w:rsidRDefault="00416180">
            <w:pPr>
              <w:pStyle w:val="Table"/>
              <w:rPr>
                <w:color w:val="auto"/>
              </w:rPr>
            </w:pPr>
            <w:r w:rsidRPr="00FC71BE">
              <w:rPr>
                <w:color w:val="auto"/>
              </w:rPr>
              <w:t>Stycast 2762</w:t>
            </w:r>
          </w:p>
        </w:tc>
        <w:tc>
          <w:tcPr>
            <w:tcW w:w="1412" w:type="pct"/>
          </w:tcPr>
          <w:p w14:paraId="10E6E968" w14:textId="77777777" w:rsidR="00416180" w:rsidRPr="00FC71BE" w:rsidRDefault="00416180">
            <w:pPr>
              <w:pStyle w:val="Table"/>
              <w:rPr>
                <w:color w:val="auto"/>
              </w:rPr>
            </w:pPr>
            <w:r w:rsidRPr="00FC71BE">
              <w:rPr>
                <w:color w:val="auto"/>
              </w:rPr>
              <w:t>1.37</w:t>
            </w:r>
          </w:p>
        </w:tc>
        <w:tc>
          <w:tcPr>
            <w:tcW w:w="805" w:type="pct"/>
          </w:tcPr>
          <w:p w14:paraId="0595002B" w14:textId="77777777" w:rsidR="00416180" w:rsidRPr="00FC71BE" w:rsidRDefault="00416180">
            <w:pPr>
              <w:pStyle w:val="Table"/>
              <w:rPr>
                <w:color w:val="auto"/>
              </w:rPr>
            </w:pPr>
            <w:r w:rsidRPr="00FC71BE">
              <w:rPr>
                <w:color w:val="auto"/>
              </w:rPr>
              <w:t>-</w:t>
            </w:r>
          </w:p>
        </w:tc>
        <w:tc>
          <w:tcPr>
            <w:tcW w:w="1080" w:type="pct"/>
          </w:tcPr>
          <w:p w14:paraId="40342CBD" w14:textId="77777777" w:rsidR="00416180" w:rsidRPr="00FC71BE" w:rsidRDefault="00416180">
            <w:pPr>
              <w:pStyle w:val="Table"/>
              <w:rPr>
                <w:color w:val="auto"/>
              </w:rPr>
            </w:pPr>
            <w:r w:rsidRPr="00FC71BE">
              <w:rPr>
                <w:color w:val="auto"/>
              </w:rPr>
              <w:t>-</w:t>
            </w:r>
          </w:p>
        </w:tc>
        <w:tc>
          <w:tcPr>
            <w:tcW w:w="697" w:type="pct"/>
          </w:tcPr>
          <w:p w14:paraId="2CA53490" w14:textId="77777777" w:rsidR="00416180" w:rsidRPr="00FC71BE" w:rsidRDefault="00416180">
            <w:pPr>
              <w:pStyle w:val="Table"/>
              <w:rPr>
                <w:color w:val="auto"/>
              </w:rPr>
            </w:pPr>
            <w:r w:rsidRPr="00FC71BE">
              <w:rPr>
                <w:color w:val="auto"/>
              </w:rPr>
              <w:fldChar w:fldCharType="begin"/>
            </w:r>
            <w:r w:rsidRPr="00FC71BE">
              <w:rPr>
                <w:color w:val="auto"/>
              </w:rPr>
              <w:instrText xml:space="preserve"> ADDIN EN.CITE &lt;EndNote&gt;&lt;Cite&gt;&lt;Author&gt;Li&lt;/Author&gt;&lt;Year&gt;2016&lt;/Year&gt;&lt;RecNum&gt;132&lt;/RecNum&gt;&lt;DisplayText&gt;[64]&lt;/DisplayText&gt;&lt;record&gt;&lt;rec-number&gt;132&lt;/rec-number&gt;&lt;foreign-keys&gt;&lt;key app="EN" db-id="rf2p5e05jx0x9jep00uvx0s1fvaww2dfa0r9" timestamp="1696451403"&gt;132&lt;/key&gt;&lt;/foreign-keys&gt;&lt;ref-type name="Journal Article"&gt;17&lt;/ref-type&gt;&lt;contributors&gt;&lt;authors&gt;&lt;author&gt;Li, Haodong&lt;/author&gt;&lt;author&gt;Klontz, Keith W&lt;/author&gt;&lt;author&gt;Ferrell, Victor E&lt;/author&gt;&lt;author&gt;Barber, Daniel&lt;/author&gt;&lt;/authors&gt;&lt;/contributors&gt;&lt;titles&gt;&lt;title&gt;Thermal models and electrical machine performance improvement using encapsulation material&lt;/title&gt;&lt;secondary-title&gt;IEEE Transactions on Industry Applications&lt;/secondary-title&gt;&lt;/titles&gt;&lt;periodical&gt;&lt;full-title&gt;IEEE Transactions on Industry Applications&lt;/full-title&gt;&lt;/periodical&gt;&lt;pages&gt;1063-1069&lt;/pages&gt;&lt;volume&gt;53&lt;/volume&gt;&lt;number&gt;2&lt;/number&gt;&lt;dates&gt;&lt;year&gt;2016&lt;/year&gt;&lt;/dates&gt;&lt;isbn&gt;0093-9994&lt;/isbn&gt;&lt;urls&gt;&lt;/urls&gt;&lt;/record&gt;&lt;/Cite&gt;&lt;/EndNote&gt;</w:instrText>
            </w:r>
            <w:r w:rsidRPr="00FC71BE">
              <w:rPr>
                <w:color w:val="auto"/>
              </w:rPr>
              <w:fldChar w:fldCharType="separate"/>
            </w:r>
            <w:r w:rsidRPr="00FC71BE">
              <w:rPr>
                <w:color w:val="auto"/>
              </w:rPr>
              <w:t>[64]</w:t>
            </w:r>
            <w:r w:rsidRPr="00FC71BE">
              <w:rPr>
                <w:color w:val="auto"/>
              </w:rPr>
              <w:fldChar w:fldCharType="end"/>
            </w:r>
          </w:p>
        </w:tc>
      </w:tr>
      <w:tr w:rsidR="005E3DFE" w:rsidRPr="00FC71BE" w14:paraId="6FD7CC06" w14:textId="77777777">
        <w:tc>
          <w:tcPr>
            <w:tcW w:w="1006" w:type="pct"/>
          </w:tcPr>
          <w:p w14:paraId="643071C5" w14:textId="77777777" w:rsidR="00416180" w:rsidRPr="00FC71BE" w:rsidRDefault="00416180">
            <w:pPr>
              <w:pStyle w:val="Table"/>
              <w:rPr>
                <w:color w:val="auto"/>
              </w:rPr>
            </w:pPr>
            <w:r w:rsidRPr="00FC71BE">
              <w:rPr>
                <w:color w:val="auto"/>
              </w:rPr>
              <w:t>Electrolube ER2218</w:t>
            </w:r>
          </w:p>
        </w:tc>
        <w:tc>
          <w:tcPr>
            <w:tcW w:w="1412" w:type="pct"/>
          </w:tcPr>
          <w:p w14:paraId="318976BF" w14:textId="77777777" w:rsidR="00416180" w:rsidRPr="00FC71BE" w:rsidRDefault="00416180">
            <w:pPr>
              <w:pStyle w:val="Table"/>
              <w:rPr>
                <w:color w:val="auto"/>
              </w:rPr>
            </w:pPr>
            <w:r w:rsidRPr="00FC71BE">
              <w:rPr>
                <w:color w:val="auto"/>
              </w:rPr>
              <w:t>0.28</w:t>
            </w:r>
          </w:p>
        </w:tc>
        <w:tc>
          <w:tcPr>
            <w:tcW w:w="805" w:type="pct"/>
          </w:tcPr>
          <w:p w14:paraId="019D519C" w14:textId="77777777" w:rsidR="00416180" w:rsidRPr="00FC71BE" w:rsidRDefault="00416180">
            <w:pPr>
              <w:pStyle w:val="Table"/>
              <w:rPr>
                <w:color w:val="auto"/>
              </w:rPr>
            </w:pPr>
            <w:r w:rsidRPr="00FC71BE">
              <w:rPr>
                <w:color w:val="auto"/>
              </w:rPr>
              <w:t>1160</w:t>
            </w:r>
          </w:p>
        </w:tc>
        <w:tc>
          <w:tcPr>
            <w:tcW w:w="1080" w:type="pct"/>
          </w:tcPr>
          <w:p w14:paraId="0B508772" w14:textId="77777777" w:rsidR="00416180" w:rsidRPr="00FC71BE" w:rsidRDefault="00416180">
            <w:pPr>
              <w:pStyle w:val="Table"/>
              <w:rPr>
                <w:color w:val="auto"/>
              </w:rPr>
            </w:pPr>
            <w:r w:rsidRPr="00FC71BE">
              <w:rPr>
                <w:color w:val="auto"/>
              </w:rPr>
              <w:t>-50</w:t>
            </w:r>
            <m:oMath>
              <m:r>
                <w:rPr>
                  <w:rFonts w:ascii="Cambria Math" w:hAnsi="Cambria Math"/>
                  <w:color w:val="auto"/>
                </w:rPr>
                <m:t>℃</m:t>
              </m:r>
            </m:oMath>
            <w:r w:rsidRPr="00FC71BE">
              <w:rPr>
                <w:color w:val="auto"/>
              </w:rPr>
              <w:t xml:space="preserve"> to 150</w:t>
            </w:r>
            <m:oMath>
              <m:r>
                <w:rPr>
                  <w:rFonts w:ascii="Cambria Math" w:hAnsi="Cambria Math"/>
                  <w:color w:val="auto"/>
                </w:rPr>
                <m:t>℃</m:t>
              </m:r>
            </m:oMath>
          </w:p>
        </w:tc>
        <w:tc>
          <w:tcPr>
            <w:tcW w:w="697" w:type="pct"/>
          </w:tcPr>
          <w:p w14:paraId="2B68D59E" w14:textId="77777777" w:rsidR="00416180" w:rsidRPr="00FC71BE" w:rsidRDefault="00416180">
            <w:pPr>
              <w:pStyle w:val="Table"/>
              <w:rPr>
                <w:color w:val="auto"/>
              </w:rPr>
            </w:pPr>
            <w:r w:rsidRPr="00FC71BE">
              <w:rPr>
                <w:color w:val="auto"/>
              </w:rPr>
              <w:fldChar w:fldCharType="begin"/>
            </w:r>
            <w:r w:rsidRPr="00FC71BE">
              <w:rPr>
                <w:color w:val="auto"/>
              </w:rPr>
              <w:instrText xml:space="preserve"> ADDIN EN.CITE &lt;EndNote&gt;&lt;Cite ExcludeAuth="1" ExcludeYear="1"&gt;&lt;Author&gt;Electrolube&lt;/Author&gt;&lt;RecNum&gt;133&lt;/RecNum&gt;&lt;DisplayText&gt;[65]&lt;/DisplayText&gt;&lt;record&gt;&lt;rec-number&gt;133&lt;/rec-number&gt;&lt;foreign-keys&gt;&lt;key app="EN" db-id="rf2p5e05jx0x9jep00uvx0s1fvaww2dfa0r9" timestamp="1696499858"&gt;133&lt;/key&gt;&lt;/foreign-keys&gt;&lt;ref-type name="Online Database"&gt;45&lt;/ref-type&gt;&lt;contributors&gt;&lt;authors&gt;&lt;author&gt;Electrolube&lt;/author&gt;&lt;/authors&gt;&lt;/contributors&gt;&lt;titles&gt;&lt;title&gt;Epoxy Resin ER2218 Technical reference&lt;/title&gt;&lt;/titles&gt;&lt;dates&gt;&lt;/dates&gt;&lt;urls&gt;&lt;related-urls&gt;&lt;url&gt;https://uk.rs-online.com&lt;/url&gt;&lt;/related-urls&gt;&lt;/urls&gt;&lt;/record&gt;&lt;/Cite&gt;&lt;/EndNote&gt;</w:instrText>
            </w:r>
            <w:r w:rsidRPr="00FC71BE">
              <w:rPr>
                <w:color w:val="auto"/>
              </w:rPr>
              <w:fldChar w:fldCharType="separate"/>
            </w:r>
            <w:r w:rsidRPr="00FC71BE">
              <w:rPr>
                <w:color w:val="auto"/>
              </w:rPr>
              <w:t>[65]</w:t>
            </w:r>
            <w:r w:rsidRPr="00FC71BE">
              <w:rPr>
                <w:color w:val="auto"/>
              </w:rPr>
              <w:fldChar w:fldCharType="end"/>
            </w:r>
          </w:p>
        </w:tc>
      </w:tr>
    </w:tbl>
    <w:p w14:paraId="44BAFE86" w14:textId="77777777" w:rsidR="00416180" w:rsidRPr="00FC71BE" w:rsidRDefault="00416180" w:rsidP="00416180">
      <w:pPr>
        <w:pStyle w:val="Figure"/>
        <w:rPr>
          <w:noProof w:val="0"/>
        </w:rPr>
      </w:pPr>
    </w:p>
    <w:p w14:paraId="54C331F8" w14:textId="45D72F3B" w:rsidR="00416180" w:rsidRPr="00FC71BE" w:rsidRDefault="00416180" w:rsidP="00416180">
      <w:r w:rsidRPr="00FC71BE">
        <w:t>Moreover, various liquids, including liquid hydrogen (LH), liquefied natural gas (LNG) or liquid nitrogen (LN</w:t>
      </w:r>
      <w:r w:rsidRPr="00FC71BE">
        <w:rPr>
          <w:vertAlign w:val="subscript"/>
        </w:rPr>
        <w:t>2</w:t>
      </w:r>
      <w:r w:rsidRPr="00FC71BE">
        <w:t xml:space="preserve">) </w:t>
      </w:r>
      <w:r w:rsidRPr="00FC71BE">
        <w:fldChar w:fldCharType="begin"/>
      </w:r>
      <w:r w:rsidRPr="00FC71BE">
        <w:instrText xml:space="preserve"> ADDIN EN.CITE &lt;EndNote&gt;&lt;Cite&gt;&lt;Author&gt;Biasion&lt;/Author&gt;&lt;Year&gt;2021&lt;/Year&gt;&lt;RecNum&gt;147&lt;/RecNum&gt;&lt;DisplayText&gt;[66]&lt;/DisplayText&gt;&lt;record&gt;&lt;rec-number&gt;147&lt;/rec-number&gt;&lt;foreign-keys&gt;&lt;key app="EN" db-id="rf2p5e05jx0x9jep00uvx0s1fvaww2dfa0r9" timestamp="1696515731"&gt;147&lt;/key&gt;&lt;/foreign-keys&gt;&lt;ref-type name="Conference Proceedings"&gt;10&lt;/ref-type&gt;&lt;contributors&gt;&lt;authors&gt;&lt;author&gt;Biasion, Marco&lt;/author&gt;&lt;author&gt;Fernandes, FP João&lt;/author&gt;&lt;author&gt;da Costa Branco, Paulo José&lt;/author&gt;&lt;author&gt;Vaschetto, Silvio&lt;/author&gt;&lt;author&gt;Cavagnino, Andrea&lt;/author&gt;&lt;author&gt;Tenconi, Alberto&lt;/author&gt;&lt;/authors&gt;&lt;/contributors&gt;&lt;titles&gt;&lt;title&gt;A comparison of cryogenic-cooled and superconducting electrical machines&lt;/title&gt;&lt;secondary-title&gt;2021 IEEE Energy Conversion Congress and Exposition (ECCE)&lt;/secondary-title&gt;&lt;/titles&gt;&lt;pages&gt;4045-4052&lt;/pages&gt;&lt;dates&gt;&lt;year&gt;2021&lt;/year&gt;&lt;/dates&gt;&lt;publisher&gt;IEEE&lt;/publisher&gt;&lt;isbn&gt;172815135X&lt;/isbn&gt;&lt;urls&gt;&lt;/urls&gt;&lt;/record&gt;&lt;/Cite&gt;&lt;/EndNote&gt;</w:instrText>
      </w:r>
      <w:r w:rsidRPr="00FC71BE">
        <w:fldChar w:fldCharType="separate"/>
      </w:r>
      <w:r w:rsidRPr="00FC71BE">
        <w:t>[66]</w:t>
      </w:r>
      <w:r w:rsidRPr="00FC71BE">
        <w:fldChar w:fldCharType="end"/>
      </w:r>
      <w:r w:rsidRPr="00FC71BE">
        <w:t xml:space="preserve">, as well as nanofluids </w:t>
      </w:r>
      <w:r w:rsidRPr="00FC71BE">
        <w:fldChar w:fldCharType="begin"/>
      </w:r>
      <w:r w:rsidRPr="00FC71BE">
        <w:instrText xml:space="preserve"> ADDIN EN.CITE &lt;EndNote&gt;&lt;Cite&gt;&lt;Author&gt;Vaschetto&lt;/Author&gt;&lt;Year&gt;2019&lt;/Year&gt;&lt;RecNum&gt;145&lt;/RecNum&gt;&lt;DisplayText&gt;[67]&lt;/DisplayText&gt;&lt;record&gt;&lt;rec-number&gt;145&lt;/rec-number&gt;&lt;foreign-keys&gt;&lt;key app="EN" db-id="rf2p5e05jx0x9jep00uvx0s1fvaww2dfa0r9" timestamp="1696515183"&gt;145&lt;/key&gt;&lt;/foreign-keys&gt;&lt;ref-type name="Conference Proceedings"&gt;10&lt;/ref-type&gt;&lt;contributors&gt;&lt;authors&gt;&lt;author&gt;Vaschetto, Silvio&lt;/author&gt;&lt;author&gt;Darmani, Mostafa Ahmadi&lt;/author&gt;&lt;author&gt;Cavagnino, Andrea&lt;/author&gt;&lt;author&gt;Tenconi, Alberto&lt;/author&gt;&lt;/authors&gt;&lt;/contributors&gt;&lt;titles&gt;&lt;title&gt;Nanofluids for rotating electrical machines cooling: perspectives and challenges&lt;/title&gt;&lt;secondary-title&gt;2019 21st European Conference on Power Electronics and Applications (EPE&amp;apos;19 ECCE Europe)&lt;/secondary-title&gt;&lt;/titles&gt;&lt;pages&gt;P. 1-P. 10&lt;/pages&gt;&lt;dates&gt;&lt;year&gt;2019&lt;/year&gt;&lt;/dates&gt;&lt;publisher&gt;IEEE&lt;/publisher&gt;&lt;isbn&gt;907581531X&lt;/isbn&gt;&lt;urls&gt;&lt;/urls&gt;&lt;/record&gt;&lt;/Cite&gt;&lt;/EndNote&gt;</w:instrText>
      </w:r>
      <w:r w:rsidRPr="00FC71BE">
        <w:fldChar w:fldCharType="separate"/>
      </w:r>
      <w:r w:rsidRPr="00FC71BE">
        <w:t>[67]</w:t>
      </w:r>
      <w:r w:rsidRPr="00FC71BE">
        <w:fldChar w:fldCharType="end"/>
      </w:r>
      <w:r w:rsidRPr="00FC71BE">
        <w:t xml:space="preserve">, ferrofluid (also known as thermomagnetic liquid) </w:t>
      </w:r>
      <w:r w:rsidRPr="00FC71BE">
        <w:fldChar w:fldCharType="begin"/>
      </w:r>
      <w:r w:rsidR="00103B0D" w:rsidRPr="00FC71BE">
        <w:instrText xml:space="preserve"> ADDIN EN.CITE &lt;EndNote&gt;&lt;Cite&gt;&lt;Author&gt;Karimi Moghaddam&lt;/Author&gt;&lt;Year&gt;2014&lt;/Year&gt;&lt;RecNum&gt;54&lt;/RecNum&gt;&lt;DisplayText&gt;[68]&lt;/DisplayText&gt;&lt;record&gt;&lt;rec-number&gt;54&lt;/rec-number&gt;&lt;foreign-keys&gt;&lt;key app="EN" db-id="rf2p5e05jx0x9jep00uvx0s1fvaww2dfa0r9" timestamp="1690837634"&gt;54&lt;/key&gt;&lt;/foreign-keys&gt;&lt;ref-type name="Conference Proceedings"&gt;10&lt;/ref-type&gt;&lt;contributors&gt;&lt;authors&gt;&lt;author&gt;Karimi Moghaddam, Giti&lt;/author&gt;&lt;author&gt;Gould, Richard D&lt;/author&gt;&lt;author&gt;Bhattacharya, Subhashish&lt;/author&gt;&lt;author&gt;Tremelling, Darren D&lt;/author&gt;&lt;/authors&gt;&lt;/contributors&gt;&lt;titles&gt;&lt;title&gt;Thermomagnetic liquid cooling: A novel electric machine thermal management solution&lt;/title&gt;&lt;secondary-title&gt;2014 IEEE Energy Conversion Congress and Exposition (ECCE)&lt;/secondary-title&gt;&lt;/titles&gt;&lt;pages&gt;1482-1489&lt;/pages&gt;&lt;dates&gt;&lt;year&gt;2014&lt;/year&gt;&lt;/dates&gt;&lt;publisher&gt;IEEE&lt;/publisher&gt;&lt;isbn&gt;1479957763&lt;/isbn&gt;&lt;urls&gt;&lt;/urls&gt;&lt;/record&gt;&lt;/Cite&gt;&lt;/EndNote&gt;</w:instrText>
      </w:r>
      <w:r w:rsidRPr="00FC71BE">
        <w:fldChar w:fldCharType="separate"/>
      </w:r>
      <w:r w:rsidRPr="00FC71BE">
        <w:t>[68]</w:t>
      </w:r>
      <w:r w:rsidRPr="00FC71BE">
        <w:fldChar w:fldCharType="end"/>
      </w:r>
      <w:r w:rsidRPr="00FC71BE">
        <w:t xml:space="preserve">, and phase change materials (PCMs) </w:t>
      </w:r>
      <w:r w:rsidRPr="00FC71BE">
        <w:fldChar w:fldCharType="begin"/>
      </w:r>
      <w:r w:rsidRPr="00FC71BE">
        <w:instrText xml:space="preserve"> ADDIN EN.CITE &lt;EndNote&gt;&lt;Cite&gt;&lt;Author&gt;T’Jollyn&lt;/Author&gt;&lt;Year&gt;2022&lt;/Year&gt;&lt;RecNum&gt;143&lt;/RecNum&gt;&lt;DisplayText&gt;[69]&lt;/DisplayText&gt;&lt;record&gt;&lt;rec-number&gt;143&lt;/rec-number&gt;&lt;foreign-keys&gt;&lt;key app="EN" db-id="rf2p5e05jx0x9jep00uvx0s1fvaww2dfa0r9" timestamp="1696514546"&gt;143&lt;/key&gt;&lt;/foreign-keys&gt;&lt;ref-type name="Conference Proceedings"&gt;10&lt;/ref-type&gt;&lt;contributors&gt;&lt;authors&gt;&lt;author&gt;T’Jollyn, Ilya&lt;/author&gt;&lt;author&gt;Nonneman, Jasper&lt;/author&gt;&lt;author&gt;Vanhee, Steven&lt;/author&gt;&lt;author&gt;De Paepe, Michel&lt;/author&gt;&lt;/authors&gt;&lt;/contributors&gt;&lt;titles&gt;&lt;title&gt;Measurements on Thermal Buffering of Electric Machine Peak Loads With Phase Change Materials&lt;/title&gt;&lt;secondary-title&gt;2022 International Conference on Electrical Machines (ICEM)&lt;/secondary-title&gt;&lt;/titles&gt;&lt;pages&gt;1934-1940&lt;/pages&gt;&lt;dates&gt;&lt;year&gt;2022&lt;/year&gt;&lt;/dates&gt;&lt;publisher&gt;IEEE&lt;/publisher&gt;&lt;isbn&gt;1665414324&lt;/isbn&gt;&lt;urls&gt;&lt;/urls&gt;&lt;/record&gt;&lt;/Cite&gt;&lt;/EndNote&gt;</w:instrText>
      </w:r>
      <w:r w:rsidRPr="00FC71BE">
        <w:fldChar w:fldCharType="separate"/>
      </w:r>
      <w:r w:rsidRPr="00FC71BE">
        <w:t>[69]</w:t>
      </w:r>
      <w:r w:rsidRPr="00FC71BE">
        <w:fldChar w:fldCharType="end"/>
      </w:r>
      <w:r w:rsidRPr="00FC71BE">
        <w:t xml:space="preserve"> can also be introduced in end space regions to improve the heat transfer rate from end-windings to housing. Compared with air, these liquids can provide higher conductive heat transfer. Additionally, the presence of gravity significantly aids in establishing a more efficient coolant circulation when employing liquids.</w:t>
      </w:r>
    </w:p>
    <w:p w14:paraId="5F60E862" w14:textId="77777777" w:rsidR="00416180" w:rsidRPr="00FC71BE" w:rsidRDefault="00416180" w:rsidP="00416180">
      <w:r w:rsidRPr="00FC71BE">
        <w:t>Moreover, LH, LNG and LN</w:t>
      </w:r>
      <w:r w:rsidRPr="00FC71BE">
        <w:rPr>
          <w:vertAlign w:val="subscript"/>
        </w:rPr>
        <w:t>2</w:t>
      </w:r>
      <w:r w:rsidRPr="00FC71BE">
        <w:t xml:space="preserve"> stand out for their ability to provide much lower coolant temperatures, specifically -253</w:t>
      </w:r>
      <m:oMath>
        <m:r>
          <w:rPr>
            <w:rFonts w:ascii="Cambria Math" w:hAnsi="Cambria Math"/>
          </w:rPr>
          <m:t>℃</m:t>
        </m:r>
      </m:oMath>
      <w:r w:rsidRPr="00FC71BE">
        <w:t>, -161</w:t>
      </w:r>
      <m:oMath>
        <m:r>
          <w:rPr>
            <w:rFonts w:ascii="Cambria Math" w:hAnsi="Cambria Math"/>
          </w:rPr>
          <m:t>℃</m:t>
        </m:r>
      </m:oMath>
      <w:r w:rsidRPr="00FC71BE">
        <w:t>, and -196</w:t>
      </w:r>
      <m:oMath>
        <m:r>
          <w:rPr>
            <w:rFonts w:ascii="Cambria Math" w:hAnsi="Cambria Math"/>
          </w:rPr>
          <m:t>℃</m:t>
        </m:r>
      </m:oMath>
      <w:r w:rsidRPr="00FC71BE">
        <w:t xml:space="preserve">, respectively. This enables highly effective cooling systems, particularly in scenarios such as in superconducting machines where maintaining low operating temperatures is crucial. Furthermore, it is worth noting that, ferrofluids have thermomagnetic convection to create a novel coolant circulation system. This </w:t>
      </w:r>
      <w:r w:rsidRPr="00FC71BE">
        <w:lastRenderedPageBreak/>
        <w:t>phenomenon occurs when ferrofluids subject a magnetic body force in the presence of magnetic field gradients or discontinuities, enabling efficient heat dissipation and cooling.</w:t>
      </w:r>
    </w:p>
    <w:p w14:paraId="23BFEA05" w14:textId="77777777" w:rsidR="00416180" w:rsidRPr="00FC71BE" w:rsidRDefault="00416180" w:rsidP="009375B6">
      <w:pPr>
        <w:pStyle w:val="Heading4"/>
      </w:pPr>
      <w:bookmarkStart w:id="32" w:name="_Ref147505661"/>
      <w:r w:rsidRPr="00FC71BE">
        <w:t>Back-Iron Extension and Heat Guides</w:t>
      </w:r>
      <w:bookmarkEnd w:id="32"/>
    </w:p>
    <w:p w14:paraId="1481834F" w14:textId="179C7CA2" w:rsidR="00416180" w:rsidRPr="00FC71BE" w:rsidRDefault="00416180" w:rsidP="00416180">
      <w:r w:rsidRPr="00FC71BE">
        <w:t xml:space="preserve">Potting materials are employed to improve the heat transfer rate from end-windings to housing, mainly aimed at reducing the end-winding temperature. On the other hand, some other cooling technologies are focused on reducing the temperature of the active coils. Back-iron extension is one of these cooling technologies, as shown in </w:t>
      </w:r>
      <w:r w:rsidRPr="00FC71BE">
        <w:fldChar w:fldCharType="begin"/>
      </w:r>
      <w:r w:rsidRPr="00FC71BE">
        <w:instrText xml:space="preserve"> REF _Ref147406732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14</w:t>
      </w:r>
      <w:r w:rsidRPr="00FC71BE">
        <w:fldChar w:fldCharType="end"/>
      </w:r>
      <w:r w:rsidRPr="00FC71BE">
        <w:t xml:space="preserve"> </w:t>
      </w:r>
      <w:r w:rsidRPr="00FC71BE">
        <w:fldChar w:fldCharType="begin"/>
      </w:r>
      <w:r w:rsidR="00103B0D" w:rsidRPr="00FC71BE">
        <w:instrText xml:space="preserve"> ADDIN EN.CITE &lt;EndNote&gt;&lt;Cite&gt;&lt;Author&gt;Zhang&lt;/Author&gt;&lt;Year&gt;2019&lt;/Year&gt;&lt;RecNum&gt;138&lt;/RecNum&gt;&lt;DisplayText&gt;[70]&lt;/DisplayText&gt;&lt;record&gt;&lt;rec-number&gt;138&lt;/rec-number&gt;&lt;foreign-keys&gt;&lt;key app="EN" db-id="rf2p5e05jx0x9jep00uvx0s1fvaww2dfa0r9" timestamp="1696510103"&gt;138&lt;/key&gt;&lt;/foreign-keys&gt;&lt;ref-type name="Journal Article"&gt;17&lt;/ref-type&gt;&lt;contributors&gt;&lt;authors&gt;&lt;author&gt;Zhang, Feng Yu&lt;/author&gt;&lt;author&gt;Gerada, David&lt;/author&gt;&lt;author&gt;Xu, Ze Yuan&lt;/author&gt;&lt;author&gt;Zhang, Xiao Chen&lt;/author&gt;&lt;author&gt;Tighe, Chris&lt;/author&gt;&lt;author&gt;Zhang, He&lt;/author&gt;&lt;author&gt;Gerada, Chris&lt;/author&gt;&lt;/authors&gt;&lt;/contributors&gt;&lt;titles&gt;&lt;title&gt;Back-iron extension thermal benefits for electrical machines with concentrated windings&lt;/title&gt;&lt;secondary-title&gt;IEEE Transactions on Industrial Electronics&lt;/secondary-title&gt;&lt;/titles&gt;&lt;periodical&gt;&lt;full-title&gt;IEEE Transactions on Industrial Electronics&lt;/full-title&gt;&lt;/periodical&gt;&lt;pages&gt;1728-1738&lt;/pages&gt;&lt;volume&gt;67&lt;/volume&gt;&lt;number&gt;3&lt;/number&gt;&lt;dates&gt;&lt;year&gt;2019&lt;/year&gt;&lt;/dates&gt;&lt;isbn&gt;0278-0046&lt;/isbn&gt;&lt;urls&gt;&lt;/urls&gt;&lt;/record&gt;&lt;/Cite&gt;&lt;/EndNote&gt;</w:instrText>
      </w:r>
      <w:r w:rsidRPr="00FC71BE">
        <w:fldChar w:fldCharType="separate"/>
      </w:r>
      <w:r w:rsidRPr="00FC71BE">
        <w:t>[70]</w:t>
      </w:r>
      <w:r w:rsidRPr="00FC71BE">
        <w:fldChar w:fldCharType="end"/>
      </w:r>
      <w:r w:rsidRPr="00FC71BE">
        <w:t xml:space="preserve">. This method offers a simple and cost-effective means to reduce winding temperature, particularly the active coil. The extended back-iron enhances the heat transfer rate from the coils to the stator. However, it is important to consider its potential influence on slot fill factor and end-winding length. The research in </w:t>
      </w:r>
      <w:r w:rsidRPr="00FC71BE">
        <w:fldChar w:fldCharType="begin"/>
      </w:r>
      <w:r w:rsidR="00103B0D" w:rsidRPr="00FC71BE">
        <w:instrText xml:space="preserve"> ADDIN EN.CITE &lt;EndNote&gt;&lt;Cite&gt;&lt;Author&gt;Zhang&lt;/Author&gt;&lt;Year&gt;2019&lt;/Year&gt;&lt;RecNum&gt;138&lt;/RecNum&gt;&lt;DisplayText&gt;[70]&lt;/DisplayText&gt;&lt;record&gt;&lt;rec-number&gt;138&lt;/rec-number&gt;&lt;foreign-keys&gt;&lt;key app="EN" db-id="rf2p5e05jx0x9jep00uvx0s1fvaww2dfa0r9" timestamp="1696510103"&gt;138&lt;/key&gt;&lt;/foreign-keys&gt;&lt;ref-type name="Journal Article"&gt;17&lt;/ref-type&gt;&lt;contributors&gt;&lt;authors&gt;&lt;author&gt;Zhang, Feng Yu&lt;/author&gt;&lt;author&gt;Gerada, David&lt;/author&gt;&lt;author&gt;Xu, Ze Yuan&lt;/author&gt;&lt;author&gt;Zhang, Xiao Chen&lt;/author&gt;&lt;author&gt;Tighe, Chris&lt;/author&gt;&lt;author&gt;Zhang, He&lt;/author&gt;&lt;author&gt;Gerada, Chris&lt;/author&gt;&lt;/authors&gt;&lt;/contributors&gt;&lt;titles&gt;&lt;title&gt;Back-iron extension thermal benefits for electrical machines with concentrated windings&lt;/title&gt;&lt;secondary-title&gt;IEEE Transactions on Industrial Electronics&lt;/secondary-title&gt;&lt;/titles&gt;&lt;periodical&gt;&lt;full-title&gt;IEEE Transactions on Industrial Electronics&lt;/full-title&gt;&lt;/periodical&gt;&lt;pages&gt;1728-1738&lt;/pages&gt;&lt;volume&gt;67&lt;/volume&gt;&lt;number&gt;3&lt;/number&gt;&lt;dates&gt;&lt;year&gt;2019&lt;/year&gt;&lt;/dates&gt;&lt;isbn&gt;0278-0046&lt;/isbn&gt;&lt;urls&gt;&lt;/urls&gt;&lt;/record&gt;&lt;/Cite&gt;&lt;/EndNote&gt;</w:instrText>
      </w:r>
      <w:r w:rsidRPr="00FC71BE">
        <w:fldChar w:fldCharType="separate"/>
      </w:r>
      <w:r w:rsidRPr="00FC71BE">
        <w:t>[70]</w:t>
      </w:r>
      <w:r w:rsidRPr="00FC71BE">
        <w:fldChar w:fldCharType="end"/>
      </w:r>
      <w:r w:rsidRPr="00FC71BE">
        <w:t xml:space="preserve"> demonstrated a significant temperature reduction, with a remarkable decrease of 26.7%.</w:t>
      </w:r>
    </w:p>
    <w:p w14:paraId="479717BC" w14:textId="7D29D00E" w:rsidR="00416180" w:rsidRPr="00FC71BE" w:rsidRDefault="00416180" w:rsidP="00416180">
      <w:r w:rsidRPr="00FC71BE">
        <w:t xml:space="preserve">A similar structure is proposed and investigated in </w:t>
      </w:r>
      <w:r w:rsidRPr="00FC71BE">
        <w:fldChar w:fldCharType="begin"/>
      </w:r>
      <w:r w:rsidRPr="00FC71BE">
        <w:instrText xml:space="preserve"> ADDIN EN.CITE &lt;EndNote&gt;&lt;Cite&gt;&lt;Author&gt;Wrobel&lt;/Author&gt;&lt;Year&gt;2018&lt;/Year&gt;&lt;RecNum&gt;140&lt;/RecNum&gt;&lt;DisplayText&gt;[71]&lt;/DisplayText&gt;&lt;record&gt;&lt;rec-number&gt;140&lt;/rec-number&gt;&lt;foreign-keys&gt;&lt;key app="EN" db-id="rf2p5e05jx0x9jep00uvx0s1fvaww2dfa0r9" timestamp="1696513093"&gt;140&lt;/key&gt;&lt;/foreign-keys&gt;&lt;ref-type name="Conference Proceedings"&gt;10&lt;/ref-type&gt;&lt;contributors&gt;&lt;authors&gt;&lt;author&gt;Wrobel, Rafal&lt;/author&gt;&lt;author&gt;Hussein, Ahmed&lt;/author&gt;&lt;/authors&gt;&lt;/contributors&gt;&lt;titles&gt;&lt;title&gt;Design considerations of heat guides fabricated using additive manufacturing for enhanced heat transfer in electrical machines&lt;/title&gt;&lt;secondary-title&gt;2018 IEEE Energy Conversion Congress and Exposition (ECCE)&lt;/secondary-title&gt;&lt;/titles&gt;&lt;pages&gt;6506-6513&lt;/pages&gt;&lt;dates&gt;&lt;year&gt;2018&lt;/year&gt;&lt;/dates&gt;&lt;publisher&gt;IEEE&lt;/publisher&gt;&lt;isbn&gt;1479973122&lt;/isbn&gt;&lt;urls&gt;&lt;/urls&gt;&lt;/record&gt;&lt;/Cite&gt;&lt;/EndNote&gt;</w:instrText>
      </w:r>
      <w:r w:rsidRPr="00FC71BE">
        <w:fldChar w:fldCharType="separate"/>
      </w:r>
      <w:r w:rsidRPr="00FC71BE">
        <w:t>[71]</w:t>
      </w:r>
      <w:r w:rsidRPr="00FC71BE">
        <w:fldChar w:fldCharType="end"/>
      </w:r>
      <w:r w:rsidRPr="00FC71BE">
        <w:t xml:space="preserve">. In contrast to the back-iron extension, the approach utilizes detachable thermal conductive heat guides (HGs) within the slot. There are two kinds of HGs: passive type and active type. The mechanism of the passive HGs is similar to the back-iron extension by improving the heat dissipation from windings. However, due to their detachability, they offer advantages in terms of ease of manufacture, assembly, and maintenance. The incorporation of additive manufacturing, commonly known as 3D-printing, is introduced to fabricate different HGs, as shown in </w:t>
      </w:r>
      <w:r w:rsidRPr="00FC71BE">
        <w:fldChar w:fldCharType="begin"/>
      </w:r>
      <w:r w:rsidRPr="00FC71BE">
        <w:instrText xml:space="preserve"> REF _Ref147409318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15</w:t>
      </w:r>
      <w:r w:rsidRPr="00FC71BE">
        <w:fldChar w:fldCharType="end"/>
      </w:r>
      <w:r w:rsidRPr="00FC71BE">
        <w:t xml:space="preserve">. This technology allows for achieving a lighter weight, reduced power loss, and improved heat transfer rate in the HG design. The active type of HGs is more like a heat pipe, which provide a cooling channel for forced cooling systems </w:t>
      </w:r>
      <w:r w:rsidRPr="00FC71BE">
        <w:fldChar w:fldCharType="begin"/>
      </w:r>
      <w:r w:rsidRPr="00FC71BE">
        <w:instrText xml:space="preserve"> ADDIN EN.CITE &lt;EndNote&gt;&lt;Cite&gt;&lt;Author&gt;Sixel&lt;/Author&gt;&lt;Year&gt;2020&lt;/Year&gt;&lt;RecNum&gt;141&lt;/RecNum&gt;&lt;DisplayText&gt;[72, 73]&lt;/DisplayText&gt;&lt;record&gt;&lt;rec-number&gt;141&lt;/rec-number&gt;&lt;foreign-keys&gt;&lt;key app="EN" db-id="rf2p5e05jx0x9jep00uvx0s1fvaww2dfa0r9" timestamp="1696513656"&gt;141&lt;/key&gt;&lt;/foreign-keys&gt;&lt;ref-type name="Journal Article"&gt;17&lt;/ref-type&gt;&lt;contributors&gt;&lt;authors&gt;&lt;author&gt;Sixel, William&lt;/author&gt;&lt;author&gt;Liu, Mingda&lt;/author&gt;&lt;author&gt;Nellis, Gregory&lt;/author&gt;&lt;author&gt;Sarlioglu, Bulent&lt;/author&gt;&lt;/authors&gt;&lt;/contributors&gt;&lt;titles&gt;&lt;title&gt;Cooling of windings in electric machines via 3-D printed heat exchanger&lt;/title&gt;&lt;secondary-title&gt;IEEE Transactions on Industry Applications&lt;/secondary-title&gt;&lt;/titles&gt;&lt;periodical&gt;&lt;full-title&gt;IEEE Transactions on Industry Applications&lt;/full-title&gt;&lt;/periodical&gt;&lt;pages&gt;4718-4726&lt;/pages&gt;&lt;volume&gt;56&lt;/volume&gt;&lt;number&gt;5&lt;/number&gt;&lt;dates&gt;&lt;year&gt;2020&lt;/year&gt;&lt;/dates&gt;&lt;isbn&gt;0093-9994&lt;/isbn&gt;&lt;urls&gt;&lt;/urls&gt;&lt;/record&gt;&lt;/Cite&gt;&lt;Cite&gt;&lt;Author&gt;Wrobel&lt;/Author&gt;&lt;Year&gt;2021&lt;/Year&gt;&lt;RecNum&gt;142&lt;/RecNum&gt;&lt;record&gt;&lt;rec-number&gt;142&lt;/rec-number&gt;&lt;foreign-keys&gt;&lt;key app="EN" db-id="rf2p5e05jx0x9jep00uvx0s1fvaww2dfa0r9" timestamp="1696514345"&gt;142&lt;/key&gt;&lt;/foreign-keys&gt;&lt;ref-type name="Journal Article"&gt;17&lt;/ref-type&gt;&lt;contributors&gt;&lt;authors&gt;&lt;author&gt;Wrobel, Rafal&lt;/author&gt;&lt;author&gt;McGlen, Ryan J&lt;/author&gt;&lt;/authors&gt;&lt;/contributors&gt;&lt;titles&gt;&lt;title&gt;Heat pipes in thermal management of electrical machines–A review&lt;/title&gt;&lt;secondary-title&gt;Thermal Science and Engineering Progress&lt;/secondary-title&gt;&lt;/titles&gt;&lt;periodical&gt;&lt;full-title&gt;Thermal Science and Engineering Progress&lt;/full-title&gt;&lt;/periodical&gt;&lt;pages&gt;101053&lt;/pages&gt;&lt;volume&gt;26&lt;/volume&gt;&lt;dates&gt;&lt;year&gt;2021&lt;/year&gt;&lt;/dates&gt;&lt;isbn&gt;2451-9049&lt;/isbn&gt;&lt;urls&gt;&lt;/urls&gt;&lt;/record&gt;&lt;/Cite&gt;&lt;/EndNote&gt;</w:instrText>
      </w:r>
      <w:r w:rsidRPr="00FC71BE">
        <w:fldChar w:fldCharType="separate"/>
      </w:r>
      <w:r w:rsidRPr="00FC71BE">
        <w:t>[72, 73]</w:t>
      </w:r>
      <w:r w:rsidRPr="00FC71BE">
        <w:fldChar w:fldCharType="end"/>
      </w:r>
      <w:r w:rsidRPr="00FC71BE">
        <w:t>.</w:t>
      </w:r>
    </w:p>
    <w:p w14:paraId="0A765D51" w14:textId="77777777" w:rsidR="00416180" w:rsidRPr="00FC71BE" w:rsidRDefault="00416180" w:rsidP="00416180">
      <w:pPr>
        <w:pStyle w:val="Figure"/>
        <w:rPr>
          <w:noProof w:val="0"/>
        </w:rPr>
      </w:pPr>
      <w:r w:rsidRPr="00FC71BE">
        <w:drawing>
          <wp:inline distT="0" distB="0" distL="0" distR="0" wp14:anchorId="0EFA66A9" wp14:editId="374128E1">
            <wp:extent cx="3661308" cy="1857021"/>
            <wp:effectExtent l="0" t="0" r="0" b="0"/>
            <wp:docPr id="24" name="Picture 24" descr="A close-up of a grey object&#10;&#10;Description automatically generated">
              <a:extLst xmlns:a="http://schemas.openxmlformats.org/drawingml/2006/main">
                <a:ext uri="{FF2B5EF4-FFF2-40B4-BE49-F238E27FC236}">
                  <a16:creationId xmlns:a16="http://schemas.microsoft.com/office/drawing/2014/main" id="{65FE5882-D43C-EF5C-6B10-74854BAB8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A close-up of a grey object&#10;&#10;Description automatically generated">
                      <a:extLst>
                        <a:ext uri="{FF2B5EF4-FFF2-40B4-BE49-F238E27FC236}">
                          <a16:creationId xmlns:a16="http://schemas.microsoft.com/office/drawing/2014/main" id="{65FE5882-D43C-EF5C-6B10-74854BAB8604}"/>
                        </a:ext>
                      </a:extLst>
                    </pic:cNvPr>
                    <pic:cNvPicPr>
                      <a:picLocks noChangeAspect="1"/>
                    </pic:cNvPicPr>
                  </pic:nvPicPr>
                  <pic:blipFill>
                    <a:blip r:embed="rId33"/>
                    <a:stretch>
                      <a:fillRect/>
                    </a:stretch>
                  </pic:blipFill>
                  <pic:spPr>
                    <a:xfrm>
                      <a:off x="0" y="0"/>
                      <a:ext cx="3666610" cy="1859710"/>
                    </a:xfrm>
                    <a:prstGeom prst="rect">
                      <a:avLst/>
                    </a:prstGeom>
                  </pic:spPr>
                </pic:pic>
              </a:graphicData>
            </a:graphic>
          </wp:inline>
        </w:drawing>
      </w:r>
    </w:p>
    <w:p w14:paraId="79E6B3FB" w14:textId="4561DB9D" w:rsidR="00416180" w:rsidRPr="00FC71BE" w:rsidRDefault="00416180" w:rsidP="00416180">
      <w:pPr>
        <w:pStyle w:val="FigureTitle"/>
      </w:pPr>
      <w:bookmarkStart w:id="33" w:name="_Ref147406732"/>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14</w:t>
      </w:r>
      <w:r w:rsidRPr="00FC71BE">
        <w:rPr>
          <w:rStyle w:val="FigureTitleChar"/>
          <w:color w:val="auto"/>
        </w:rPr>
        <w:fldChar w:fldCharType="end"/>
      </w:r>
      <w:bookmarkEnd w:id="33"/>
      <w:r w:rsidRPr="00FC71BE">
        <w:rPr>
          <w:rStyle w:val="FigureTitleChar"/>
          <w:color w:val="auto"/>
        </w:rPr>
        <w:t xml:space="preserve">. </w:t>
      </w:r>
      <w:r w:rsidRPr="00FC71BE">
        <w:t xml:space="preserve">Back-iron extension in machine stator slots </w:t>
      </w:r>
      <w:r w:rsidRPr="00FC71BE">
        <w:fldChar w:fldCharType="begin"/>
      </w:r>
      <w:r w:rsidR="00103B0D" w:rsidRPr="00FC71BE">
        <w:instrText xml:space="preserve"> ADDIN EN.CITE &lt;EndNote&gt;&lt;Cite&gt;&lt;Author&gt;Zhang&lt;/Author&gt;&lt;Year&gt;2019&lt;/Year&gt;&lt;RecNum&gt;138&lt;/RecNum&gt;&lt;DisplayText&gt;[70]&lt;/DisplayText&gt;&lt;record&gt;&lt;rec-number&gt;138&lt;/rec-number&gt;&lt;foreign-keys&gt;&lt;key app="EN" db-id="rf2p5e05jx0x9jep00uvx0s1fvaww2dfa0r9" timestamp="1696510103"&gt;138&lt;/key&gt;&lt;/foreign-keys&gt;&lt;ref-type name="Journal Article"&gt;17&lt;/ref-type&gt;&lt;contributors&gt;&lt;authors&gt;&lt;author&gt;Zhang, Feng Yu&lt;/author&gt;&lt;author&gt;Gerada, David&lt;/author&gt;&lt;author&gt;Xu, Ze Yuan&lt;/author&gt;&lt;author&gt;Zhang, Xiao Chen&lt;/author&gt;&lt;author&gt;Tighe, Chris&lt;/author&gt;&lt;author&gt;Zhang, He&lt;/author&gt;&lt;author&gt;Gerada, Chris&lt;/author&gt;&lt;/authors&gt;&lt;/contributors&gt;&lt;titles&gt;&lt;title&gt;Back-iron extension thermal benefits for electrical machines with concentrated windings&lt;/title&gt;&lt;secondary-title&gt;IEEE Transactions on Industrial Electronics&lt;/secondary-title&gt;&lt;/titles&gt;&lt;periodical&gt;&lt;full-title&gt;IEEE Transactions on Industrial Electronics&lt;/full-title&gt;&lt;/periodical&gt;&lt;pages&gt;1728-1738&lt;/pages&gt;&lt;volume&gt;67&lt;/volume&gt;&lt;number&gt;3&lt;/number&gt;&lt;dates&gt;&lt;year&gt;2019&lt;/year&gt;&lt;/dates&gt;&lt;isbn&gt;0278-0046&lt;/isbn&gt;&lt;urls&gt;&lt;/urls&gt;&lt;/record&gt;&lt;/Cite&gt;&lt;/EndNote&gt;</w:instrText>
      </w:r>
      <w:r w:rsidRPr="00FC71BE">
        <w:fldChar w:fldCharType="separate"/>
      </w:r>
      <w:r w:rsidRPr="00FC71BE">
        <w:t>[70]</w:t>
      </w:r>
      <w:r w:rsidRPr="00FC71BE">
        <w:fldChar w:fldCharType="end"/>
      </w:r>
      <w:r w:rsidRPr="00FC71BE">
        <w:t>.</w:t>
      </w:r>
    </w:p>
    <w:p w14:paraId="22938FEF" w14:textId="77777777" w:rsidR="00416180" w:rsidRPr="00FC71BE" w:rsidRDefault="00416180" w:rsidP="00416180">
      <w:pPr>
        <w:pStyle w:val="Figure"/>
        <w:rPr>
          <w:noProof w:val="0"/>
        </w:rPr>
      </w:pPr>
      <w:r w:rsidRPr="00FC71BE">
        <w:lastRenderedPageBreak/>
        <w:drawing>
          <wp:inline distT="0" distB="0" distL="0" distR="0" wp14:anchorId="59C9FE27" wp14:editId="352803C6">
            <wp:extent cx="2476500" cy="2450592"/>
            <wp:effectExtent l="0" t="0" r="0" b="6985"/>
            <wp:docPr id="488330241" name="Picture 488330241" descr="A group of grey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30241" name="Picture 1" descr="A group of grey plastic pieces&#10;&#10;Description automatically generated with medium confidence"/>
                    <pic:cNvPicPr/>
                  </pic:nvPicPr>
                  <pic:blipFill rotWithShape="1">
                    <a:blip r:embed="rId34"/>
                    <a:srcRect b="51180"/>
                    <a:stretch/>
                  </pic:blipFill>
                  <pic:spPr bwMode="auto">
                    <a:xfrm>
                      <a:off x="0" y="0"/>
                      <a:ext cx="2476846" cy="2450934"/>
                    </a:xfrm>
                    <a:prstGeom prst="rect">
                      <a:avLst/>
                    </a:prstGeom>
                    <a:ln>
                      <a:noFill/>
                    </a:ln>
                    <a:extLst>
                      <a:ext uri="{53640926-AAD7-44D8-BBD7-CCE9431645EC}">
                        <a14:shadowObscured xmlns:a14="http://schemas.microsoft.com/office/drawing/2010/main"/>
                      </a:ext>
                    </a:extLst>
                  </pic:spPr>
                </pic:pic>
              </a:graphicData>
            </a:graphic>
          </wp:inline>
        </w:drawing>
      </w:r>
      <w:r w:rsidRPr="00FC71BE">
        <w:drawing>
          <wp:inline distT="0" distB="0" distL="0" distR="0" wp14:anchorId="5B258218" wp14:editId="48FCB147">
            <wp:extent cx="2476500" cy="2452040"/>
            <wp:effectExtent l="0" t="0" r="0" b="5715"/>
            <wp:docPr id="87936199" name="Picture 87936199" descr="A group of grey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30241" name="Picture 1" descr="A group of grey plastic pieces&#10;&#10;Description automatically generated with medium confidence"/>
                    <pic:cNvPicPr/>
                  </pic:nvPicPr>
                  <pic:blipFill rotWithShape="1">
                    <a:blip r:embed="rId34"/>
                    <a:srcRect t="51151"/>
                    <a:stretch/>
                  </pic:blipFill>
                  <pic:spPr bwMode="auto">
                    <a:xfrm>
                      <a:off x="0" y="0"/>
                      <a:ext cx="2476846" cy="2452383"/>
                    </a:xfrm>
                    <a:prstGeom prst="rect">
                      <a:avLst/>
                    </a:prstGeom>
                    <a:ln>
                      <a:noFill/>
                    </a:ln>
                    <a:extLst>
                      <a:ext uri="{53640926-AAD7-44D8-BBD7-CCE9431645EC}">
                        <a14:shadowObscured xmlns:a14="http://schemas.microsoft.com/office/drawing/2010/main"/>
                      </a:ext>
                    </a:extLst>
                  </pic:spPr>
                </pic:pic>
              </a:graphicData>
            </a:graphic>
          </wp:inline>
        </w:drawing>
      </w:r>
    </w:p>
    <w:p w14:paraId="12057F18" w14:textId="5DF81A0D" w:rsidR="00416180" w:rsidRPr="00FC71BE" w:rsidRDefault="00416180" w:rsidP="00416180">
      <w:pPr>
        <w:pStyle w:val="FigureTitle"/>
      </w:pPr>
      <w:bookmarkStart w:id="34" w:name="_Ref147409318"/>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15</w:t>
      </w:r>
      <w:r w:rsidRPr="00FC71BE">
        <w:rPr>
          <w:rStyle w:val="FigureTitleChar"/>
          <w:color w:val="auto"/>
        </w:rPr>
        <w:fldChar w:fldCharType="end"/>
      </w:r>
      <w:bookmarkEnd w:id="34"/>
      <w:r w:rsidRPr="00FC71BE">
        <w:rPr>
          <w:rStyle w:val="FigureTitleChar"/>
          <w:color w:val="auto"/>
        </w:rPr>
        <w:t xml:space="preserve">. </w:t>
      </w:r>
      <w:r w:rsidRPr="00FC71BE">
        <w:t xml:space="preserve">Alternative heat guide designs </w:t>
      </w:r>
      <w:r w:rsidRPr="00FC71BE">
        <w:fldChar w:fldCharType="begin"/>
      </w:r>
      <w:r w:rsidRPr="00FC71BE">
        <w:instrText xml:space="preserve"> ADDIN EN.CITE &lt;EndNote&gt;&lt;Cite&gt;&lt;Author&gt;Wrobel&lt;/Author&gt;&lt;Year&gt;2018&lt;/Year&gt;&lt;RecNum&gt;140&lt;/RecNum&gt;&lt;DisplayText&gt;[71]&lt;/DisplayText&gt;&lt;record&gt;&lt;rec-number&gt;140&lt;/rec-number&gt;&lt;foreign-keys&gt;&lt;key app="EN" db-id="rf2p5e05jx0x9jep00uvx0s1fvaww2dfa0r9" timestamp="1696513093"&gt;140&lt;/key&gt;&lt;/foreign-keys&gt;&lt;ref-type name="Conference Proceedings"&gt;10&lt;/ref-type&gt;&lt;contributors&gt;&lt;authors&gt;&lt;author&gt;Wrobel, Rafal&lt;/author&gt;&lt;author&gt;Hussein, Ahmed&lt;/author&gt;&lt;/authors&gt;&lt;/contributors&gt;&lt;titles&gt;&lt;title&gt;Design considerations of heat guides fabricated using additive manufacturing for enhanced heat transfer in electrical machines&lt;/title&gt;&lt;secondary-title&gt;2018 IEEE Energy Conversion Congress and Exposition (ECCE)&lt;/secondary-title&gt;&lt;/titles&gt;&lt;pages&gt;6506-6513&lt;/pages&gt;&lt;dates&gt;&lt;year&gt;2018&lt;/year&gt;&lt;/dates&gt;&lt;publisher&gt;IEEE&lt;/publisher&gt;&lt;isbn&gt;1479973122&lt;/isbn&gt;&lt;urls&gt;&lt;/urls&gt;&lt;/record&gt;&lt;/Cite&gt;&lt;/EndNote&gt;</w:instrText>
      </w:r>
      <w:r w:rsidRPr="00FC71BE">
        <w:fldChar w:fldCharType="separate"/>
      </w:r>
      <w:r w:rsidRPr="00FC71BE">
        <w:t>[71]</w:t>
      </w:r>
      <w:r w:rsidRPr="00FC71BE">
        <w:fldChar w:fldCharType="end"/>
      </w:r>
      <w:r w:rsidRPr="00FC71BE">
        <w:t>.</w:t>
      </w:r>
    </w:p>
    <w:p w14:paraId="77E98931" w14:textId="31130F13" w:rsidR="00416180" w:rsidRPr="00FC71BE" w:rsidRDefault="00416180" w:rsidP="00416180">
      <w:r w:rsidRPr="00FC71BE">
        <w:t xml:space="preserve">These HGs can be employed not only within the slot but also inside the stator, as shown in </w:t>
      </w:r>
      <w:r w:rsidRPr="00FC71BE">
        <w:fldChar w:fldCharType="begin"/>
      </w:r>
      <w:r w:rsidRPr="00FC71BE">
        <w:instrText xml:space="preserve"> REF _Ref147413183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16</w:t>
      </w:r>
      <w:r w:rsidRPr="00FC71BE">
        <w:fldChar w:fldCharType="end"/>
      </w:r>
      <w:r w:rsidRPr="00FC71BE">
        <w:t xml:space="preserve"> </w:t>
      </w:r>
      <w:r w:rsidRPr="00FC71BE">
        <w:fldChar w:fldCharType="begin"/>
      </w:r>
      <w:r w:rsidR="00334780" w:rsidRPr="00FC71BE">
        <w:instrText xml:space="preserve"> ADDIN EN.CITE &lt;EndNote&gt;&lt;Cite&gt;&lt;Author&gt;Polikarpova&lt;/Author&gt;&lt;Year&gt;2015&lt;/Year&gt;&lt;RecNum&gt;47&lt;/RecNum&gt;&lt;DisplayText&gt;[74]&lt;/DisplayText&gt;&lt;record&gt;&lt;rec-number&gt;47&lt;/rec-number&gt;&lt;foreign-keys&gt;&lt;key app="EN" db-id="rf2p5e05jx0x9jep00uvx0s1fvaww2dfa0r9" timestamp="1690835972"&gt;47&lt;/key&gt;&lt;/foreign-keys&gt;&lt;ref-type name="Journal Article"&gt;17&lt;/ref-type&gt;&lt;contributors&gt;&lt;authors&gt;&lt;author&gt;Polikarpova, Maria&lt;/author&gt;&lt;author&gt;Ponomarev, Pavel&lt;/author&gt;&lt;author&gt;Lindh, Pia&lt;/author&gt;&lt;author&gt;Petrov, Ilya&lt;/author&gt;&lt;author&gt;Jara, Werner&lt;/author&gt;&lt;author&gt;Naumanen, V&lt;/author&gt;&lt;author&gt;Tapia, Juan A&lt;/author&gt;&lt;author&gt;Pyrhönen, J&lt;/author&gt;&lt;/authors&gt;&lt;/contributors&gt;&lt;titles&gt;&lt;title&gt;Hybrid cooling method of axial-flux permanent-magnet machines for vehicle applications&lt;/title&gt;&lt;secondary-title&gt;IEEE Transactions on Industrial Electronics&lt;/secondary-title&gt;&lt;/titles&gt;&lt;periodical&gt;&lt;full-title&gt;IEEE Transactions on Industrial Electronics&lt;/full-title&gt;&lt;/periodical&gt;&lt;pages&gt;7382-7390&lt;/pages&gt;&lt;volume&gt;62&lt;/volume&gt;&lt;number&gt;12&lt;/number&gt;&lt;dates&gt;&lt;year&gt;2015&lt;/year&gt;&lt;/dates&gt;&lt;isbn&gt;0278-0046&lt;/isbn&gt;&lt;urls&gt;&lt;/urls&gt;&lt;/record&gt;&lt;/Cite&gt;&lt;/EndNote&gt;</w:instrText>
      </w:r>
      <w:r w:rsidRPr="00FC71BE">
        <w:fldChar w:fldCharType="separate"/>
      </w:r>
      <w:r w:rsidRPr="00FC71BE">
        <w:t>[74]</w:t>
      </w:r>
      <w:r w:rsidRPr="00FC71BE">
        <w:fldChar w:fldCharType="end"/>
      </w:r>
      <w:r w:rsidRPr="00FC71BE">
        <w:t xml:space="preserve">. In this design, a highly thermal conductive bar, which made of copper as seen in </w:t>
      </w:r>
      <w:r w:rsidRPr="00FC71BE">
        <w:fldChar w:fldCharType="begin"/>
      </w:r>
      <w:r w:rsidR="00334780" w:rsidRPr="00FC71BE">
        <w:instrText xml:space="preserve"> ADDIN EN.CITE &lt;EndNote&gt;&lt;Cite&gt;&lt;Author&gt;Polikarpova&lt;/Author&gt;&lt;Year&gt;2015&lt;/Year&gt;&lt;RecNum&gt;47&lt;/RecNum&gt;&lt;DisplayText&gt;[74]&lt;/DisplayText&gt;&lt;record&gt;&lt;rec-number&gt;47&lt;/rec-number&gt;&lt;foreign-keys&gt;&lt;key app="EN" db-id="rf2p5e05jx0x9jep00uvx0s1fvaww2dfa0r9" timestamp="1690835972"&gt;47&lt;/key&gt;&lt;/foreign-keys&gt;&lt;ref-type name="Journal Article"&gt;17&lt;/ref-type&gt;&lt;contributors&gt;&lt;authors&gt;&lt;author&gt;Polikarpova, Maria&lt;/author&gt;&lt;author&gt;Ponomarev, Pavel&lt;/author&gt;&lt;author&gt;Lindh, Pia&lt;/author&gt;&lt;author&gt;Petrov, Ilya&lt;/author&gt;&lt;author&gt;Jara, Werner&lt;/author&gt;&lt;author&gt;Naumanen, V&lt;/author&gt;&lt;author&gt;Tapia, Juan A&lt;/author&gt;&lt;author&gt;Pyrhönen, J&lt;/author&gt;&lt;/authors&gt;&lt;/contributors&gt;&lt;titles&gt;&lt;title&gt;Hybrid cooling method of axial-flux permanent-magnet machines for vehicle applications&lt;/title&gt;&lt;secondary-title&gt;IEEE Transactions on Industrial Electronics&lt;/secondary-title&gt;&lt;/titles&gt;&lt;periodical&gt;&lt;full-title&gt;IEEE Transactions on Industrial Electronics&lt;/full-title&gt;&lt;/periodical&gt;&lt;pages&gt;7382-7390&lt;/pages&gt;&lt;volume&gt;62&lt;/volume&gt;&lt;number&gt;12&lt;/number&gt;&lt;dates&gt;&lt;year&gt;2015&lt;/year&gt;&lt;/dates&gt;&lt;isbn&gt;0278-0046&lt;/isbn&gt;&lt;urls&gt;&lt;/urls&gt;&lt;/record&gt;&lt;/Cite&gt;&lt;/EndNote&gt;</w:instrText>
      </w:r>
      <w:r w:rsidRPr="00FC71BE">
        <w:fldChar w:fldCharType="separate"/>
      </w:r>
      <w:r w:rsidRPr="00FC71BE">
        <w:t>[74]</w:t>
      </w:r>
      <w:r w:rsidRPr="00FC71BE">
        <w:fldChar w:fldCharType="end"/>
      </w:r>
      <w:r w:rsidRPr="00FC71BE">
        <w:t>, is embedded through the stator iron core. This arrangement allows for more effective transfer of heat generated in stator teeth to the external frame, usually embedded with a water jacket. The placement of these thermal conductive bars aligns with the magnetic flux, resulting in negligible eddy current losses. However, it is worth considering potential mechanical reliability problems associated with this design.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03450DD0" w14:textId="77777777">
        <w:tc>
          <w:tcPr>
            <w:tcW w:w="4508" w:type="dxa"/>
          </w:tcPr>
          <w:p w14:paraId="554115F5" w14:textId="77777777" w:rsidR="00416180" w:rsidRPr="00FC71BE" w:rsidRDefault="00416180">
            <w:pPr>
              <w:pStyle w:val="Figure"/>
              <w:rPr>
                <w:noProof w:val="0"/>
              </w:rPr>
            </w:pPr>
            <w:r w:rsidRPr="00FC71BE">
              <w:drawing>
                <wp:inline distT="0" distB="0" distL="0" distR="0" wp14:anchorId="2129D37A" wp14:editId="5CA2AB43">
                  <wp:extent cx="2650209" cy="2633472"/>
                  <wp:effectExtent l="0" t="0" r="0" b="0"/>
                  <wp:docPr id="40493239" name="Picture 40493239" descr="A transparent object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3239" name="Picture 1" descr="A transparent object with blue lines&#10;&#10;Description automatically generated"/>
                          <pic:cNvPicPr/>
                        </pic:nvPicPr>
                        <pic:blipFill>
                          <a:blip r:embed="rId35"/>
                          <a:stretch>
                            <a:fillRect/>
                          </a:stretch>
                        </pic:blipFill>
                        <pic:spPr>
                          <a:xfrm>
                            <a:off x="0" y="0"/>
                            <a:ext cx="2672152" cy="2655276"/>
                          </a:xfrm>
                          <a:prstGeom prst="rect">
                            <a:avLst/>
                          </a:prstGeom>
                        </pic:spPr>
                      </pic:pic>
                    </a:graphicData>
                  </a:graphic>
                </wp:inline>
              </w:drawing>
            </w:r>
          </w:p>
        </w:tc>
        <w:tc>
          <w:tcPr>
            <w:tcW w:w="4508" w:type="dxa"/>
          </w:tcPr>
          <w:p w14:paraId="3CF44D44" w14:textId="77777777" w:rsidR="00416180" w:rsidRPr="00FC71BE" w:rsidRDefault="00416180">
            <w:pPr>
              <w:pStyle w:val="Figure"/>
              <w:rPr>
                <w:noProof w:val="0"/>
              </w:rPr>
            </w:pPr>
            <w:r w:rsidRPr="00FC71BE">
              <w:drawing>
                <wp:inline distT="0" distB="0" distL="0" distR="0" wp14:anchorId="67910F2A" wp14:editId="42FFB8B1">
                  <wp:extent cx="2567759" cy="2651345"/>
                  <wp:effectExtent l="0" t="0" r="4445" b="0"/>
                  <wp:docPr id="13" name="Picture 13" descr="A diagram of a heat conductive bar&#10;&#10;Description automatically generated">
                    <a:extLst xmlns:a="http://schemas.openxmlformats.org/drawingml/2006/main">
                      <a:ext uri="{FF2B5EF4-FFF2-40B4-BE49-F238E27FC236}">
                        <a16:creationId xmlns:a16="http://schemas.microsoft.com/office/drawing/2014/main" id="{E812F103-82EC-ED39-2617-82EAA15424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diagram of a heat conductive bar&#10;&#10;Description automatically generated">
                            <a:extLst>
                              <a:ext uri="{FF2B5EF4-FFF2-40B4-BE49-F238E27FC236}">
                                <a16:creationId xmlns:a16="http://schemas.microsoft.com/office/drawing/2014/main" id="{E812F103-82EC-ED39-2617-82EAA1542435}"/>
                              </a:ext>
                            </a:extLst>
                          </pic:cNvPr>
                          <pic:cNvPicPr>
                            <a:picLocks noChangeAspect="1"/>
                          </pic:cNvPicPr>
                        </pic:nvPicPr>
                        <pic:blipFill>
                          <a:blip r:embed="rId36"/>
                          <a:stretch>
                            <a:fillRect/>
                          </a:stretch>
                        </pic:blipFill>
                        <pic:spPr>
                          <a:xfrm>
                            <a:off x="0" y="0"/>
                            <a:ext cx="2585341" cy="2669499"/>
                          </a:xfrm>
                          <a:prstGeom prst="rect">
                            <a:avLst/>
                          </a:prstGeom>
                        </pic:spPr>
                      </pic:pic>
                    </a:graphicData>
                  </a:graphic>
                </wp:inline>
              </w:drawing>
            </w:r>
          </w:p>
        </w:tc>
      </w:tr>
      <w:tr w:rsidR="00FC71BE" w:rsidRPr="00FC71BE" w14:paraId="04B2E817" w14:textId="77777777">
        <w:tc>
          <w:tcPr>
            <w:tcW w:w="4508" w:type="dxa"/>
          </w:tcPr>
          <w:p w14:paraId="0B2F8B74" w14:textId="77777777" w:rsidR="00416180" w:rsidRPr="00FC71BE" w:rsidRDefault="00416180">
            <w:pPr>
              <w:pStyle w:val="Figure"/>
              <w:rPr>
                <w:noProof w:val="0"/>
              </w:rPr>
            </w:pPr>
            <w:r w:rsidRPr="00FC71BE">
              <w:rPr>
                <w:noProof w:val="0"/>
              </w:rPr>
              <w:t>(a) Entail machine</w:t>
            </w:r>
          </w:p>
        </w:tc>
        <w:tc>
          <w:tcPr>
            <w:tcW w:w="4508" w:type="dxa"/>
          </w:tcPr>
          <w:p w14:paraId="3A059F09" w14:textId="77777777" w:rsidR="00416180" w:rsidRPr="00FC71BE" w:rsidRDefault="00416180">
            <w:pPr>
              <w:pStyle w:val="Figure"/>
              <w:rPr>
                <w:noProof w:val="0"/>
              </w:rPr>
            </w:pPr>
            <w:r w:rsidRPr="00FC71BE">
              <w:rPr>
                <w:noProof w:val="0"/>
              </w:rPr>
              <w:t>(b) Stator and thermal conductive bar</w:t>
            </w:r>
          </w:p>
        </w:tc>
      </w:tr>
    </w:tbl>
    <w:p w14:paraId="5E7E7E04" w14:textId="42A8083B" w:rsidR="00416180" w:rsidRPr="00FC71BE" w:rsidRDefault="00416180" w:rsidP="00416180">
      <w:pPr>
        <w:pStyle w:val="FigureTitle"/>
      </w:pPr>
      <w:bookmarkStart w:id="35" w:name="_Ref147413183"/>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16</w:t>
      </w:r>
      <w:r w:rsidRPr="00FC71BE">
        <w:rPr>
          <w:rStyle w:val="FigureTitleChar"/>
          <w:color w:val="auto"/>
        </w:rPr>
        <w:fldChar w:fldCharType="end"/>
      </w:r>
      <w:bookmarkEnd w:id="35"/>
      <w:r w:rsidRPr="00FC71BE">
        <w:rPr>
          <w:rStyle w:val="FigureTitleChar"/>
          <w:color w:val="auto"/>
        </w:rPr>
        <w:t xml:space="preserve">. </w:t>
      </w:r>
      <w:r w:rsidRPr="00FC71BE">
        <w:t xml:space="preserve">Machine topology with highlighted thermal conductive bars </w:t>
      </w:r>
      <w:r w:rsidRPr="00FC71BE">
        <w:fldChar w:fldCharType="begin"/>
      </w:r>
      <w:r w:rsidR="00334780" w:rsidRPr="00FC71BE">
        <w:instrText xml:space="preserve"> ADDIN EN.CITE &lt;EndNote&gt;&lt;Cite&gt;&lt;Author&gt;Polikarpova&lt;/Author&gt;&lt;Year&gt;2015&lt;/Year&gt;&lt;RecNum&gt;47&lt;/RecNum&gt;&lt;DisplayText&gt;[74]&lt;/DisplayText&gt;&lt;record&gt;&lt;rec-number&gt;47&lt;/rec-number&gt;&lt;foreign-keys&gt;&lt;key app="EN" db-id="rf2p5e05jx0x9jep00uvx0s1fvaww2dfa0r9" timestamp="1690835972"&gt;47&lt;/key&gt;&lt;/foreign-keys&gt;&lt;ref-type name="Journal Article"&gt;17&lt;/ref-type&gt;&lt;contributors&gt;&lt;authors&gt;&lt;author&gt;Polikarpova, Maria&lt;/author&gt;&lt;author&gt;Ponomarev, Pavel&lt;/author&gt;&lt;author&gt;Lindh, Pia&lt;/author&gt;&lt;author&gt;Petrov, Ilya&lt;/author&gt;&lt;author&gt;Jara, Werner&lt;/author&gt;&lt;author&gt;Naumanen, V&lt;/author&gt;&lt;author&gt;Tapia, Juan A&lt;/author&gt;&lt;author&gt;Pyrhönen, J&lt;/author&gt;&lt;/authors&gt;&lt;/contributors&gt;&lt;titles&gt;&lt;title&gt;Hybrid cooling method of axial-flux permanent-magnet machines for vehicle applications&lt;/title&gt;&lt;secondary-title&gt;IEEE Transactions on Industrial Electronics&lt;/secondary-title&gt;&lt;/titles&gt;&lt;periodical&gt;&lt;full-title&gt;IEEE Transactions on Industrial Electronics&lt;/full-title&gt;&lt;/periodical&gt;&lt;pages&gt;7382-7390&lt;/pages&gt;&lt;volume&gt;62&lt;/volume&gt;&lt;number&gt;12&lt;/number&gt;&lt;dates&gt;&lt;year&gt;2015&lt;/year&gt;&lt;/dates&gt;&lt;isbn&gt;0278-0046&lt;/isbn&gt;&lt;urls&gt;&lt;/urls&gt;&lt;/record&gt;&lt;/Cite&gt;&lt;/EndNote&gt;</w:instrText>
      </w:r>
      <w:r w:rsidRPr="00FC71BE">
        <w:fldChar w:fldCharType="separate"/>
      </w:r>
      <w:r w:rsidRPr="00FC71BE">
        <w:t>[74]</w:t>
      </w:r>
      <w:r w:rsidRPr="00FC71BE">
        <w:fldChar w:fldCharType="end"/>
      </w:r>
      <w:r w:rsidRPr="00FC71BE">
        <w:t>.</w:t>
      </w:r>
    </w:p>
    <w:p w14:paraId="35B53A1E" w14:textId="77777777" w:rsidR="00416180" w:rsidRPr="00FC71BE" w:rsidRDefault="00416180" w:rsidP="00B86C68">
      <w:pPr>
        <w:pStyle w:val="Heading3"/>
        <w:numPr>
          <w:ilvl w:val="2"/>
          <w:numId w:val="49"/>
        </w:numPr>
      </w:pPr>
      <w:bookmarkStart w:id="36" w:name="_Toc157695330"/>
      <w:r w:rsidRPr="00FC71BE">
        <w:t>Active Cooling Technology</w:t>
      </w:r>
      <w:bookmarkEnd w:id="36"/>
    </w:p>
    <w:p w14:paraId="04836280" w14:textId="7BAB0BEE" w:rsidR="00416180" w:rsidRPr="00FC71BE" w:rsidRDefault="00416180" w:rsidP="00416180">
      <w:r w:rsidRPr="00FC71BE">
        <w:t xml:space="preserve">Passive cooling technologies improve machine thermal performance without the need for an external power supply. However, in comparison to active cooling technologies, passive </w:t>
      </w:r>
      <w:r w:rsidRPr="00FC71BE">
        <w:lastRenderedPageBreak/>
        <w:t xml:space="preserve">methods generally exhibit lower cooling efficiency as outlined in </w:t>
      </w:r>
      <w:r w:rsidRPr="00FC71BE">
        <w:fldChar w:fldCharType="begin"/>
      </w:r>
      <w:r w:rsidRPr="00FC71BE">
        <w:instrText xml:space="preserve"> REF _Ref147415176 \h  \* MERGEFORMAT </w:instrText>
      </w:r>
      <w:r w:rsidRPr="00FC71BE">
        <w:fldChar w:fldCharType="separate"/>
      </w:r>
      <w:r w:rsidR="007E62C1" w:rsidRPr="00FC71BE">
        <w:t>Table 1.4</w:t>
      </w:r>
      <w:r w:rsidRPr="00FC71BE">
        <w:fldChar w:fldCharType="end"/>
      </w:r>
      <w:r w:rsidRPr="00FC71BE">
        <w:t xml:space="preserve">. Moreover, it is essential to take into account the physical properties of coolants when designing a cooling system. This involves the balancing factors like system volume and mass, cooling efficiency, maximum pressure that can be provided by external pump or device. The physical properties of some commonly used coolants in active cooling systems for electrical machines are detailed in </w:t>
      </w:r>
      <w:r w:rsidRPr="00FC71BE">
        <w:fldChar w:fldCharType="begin"/>
      </w:r>
      <w:r w:rsidRPr="00FC71BE">
        <w:instrText xml:space="preserve"> REF _Ref147502836 \h </w:instrText>
      </w:r>
      <w:r w:rsidRPr="00FC71BE">
        <w:fldChar w:fldCharType="separate"/>
      </w:r>
      <w:r w:rsidR="007E62C1" w:rsidRPr="00FC71BE">
        <w:t xml:space="preserve">Table </w:t>
      </w:r>
      <w:r w:rsidR="007E62C1" w:rsidRPr="00FC71BE">
        <w:rPr>
          <w:noProof/>
        </w:rPr>
        <w:t>1</w:t>
      </w:r>
      <w:r w:rsidR="007E62C1" w:rsidRPr="00FC71BE">
        <w:t>.</w:t>
      </w:r>
      <w:r w:rsidR="007E62C1" w:rsidRPr="00FC71BE">
        <w:rPr>
          <w:noProof/>
        </w:rPr>
        <w:t>5</w:t>
      </w:r>
      <w:r w:rsidRPr="00FC71BE">
        <w:fldChar w:fldCharType="end"/>
      </w:r>
      <w:r w:rsidRPr="00FC71BE">
        <w:t>.</w:t>
      </w:r>
    </w:p>
    <w:p w14:paraId="3F66748F" w14:textId="2E8BE82B" w:rsidR="00416180" w:rsidRPr="00FC71BE" w:rsidRDefault="00416180" w:rsidP="00416180">
      <w:pPr>
        <w:pStyle w:val="Tabletitle"/>
        <w:rPr>
          <w:color w:val="auto"/>
        </w:rPr>
      </w:pPr>
      <w:bookmarkStart w:id="37" w:name="_Ref147415176"/>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4</w:t>
      </w:r>
      <w:r w:rsidR="002839C4" w:rsidRPr="00FC71BE">
        <w:rPr>
          <w:color w:val="auto"/>
        </w:rPr>
        <w:fldChar w:fldCharType="end"/>
      </w:r>
      <w:bookmarkEnd w:id="37"/>
      <w:r w:rsidRPr="00FC71BE">
        <w:rPr>
          <w:color w:val="auto"/>
        </w:rPr>
        <w:t xml:space="preserve"> Typical Performance for Different Cooling Technologies </w:t>
      </w:r>
      <w:r w:rsidRPr="00FC71BE">
        <w:rPr>
          <w:color w:val="auto"/>
        </w:rPr>
        <w:fldChar w:fldCharType="begin">
          <w:fldData xml:space="preserve">PEVuZE5vdGU+PENpdGU+PEF1dGhvcj5HYWk8L0F1dGhvcj48WWVhcj4yMDE4PC9ZZWFyPjxSZWNO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</w:fldData>
        </w:fldChar>
      </w:r>
      <w:r w:rsidR="00103B0D" w:rsidRPr="00FC71BE">
        <w:rPr>
          <w:color w:val="auto"/>
        </w:rPr>
        <w:instrText xml:space="preserve"> ADDIN EN.CITE </w:instrText>
      </w:r>
      <w:r w:rsidR="00103B0D" w:rsidRPr="00FC71BE">
        <w:rPr>
          <w:color w:val="auto"/>
        </w:rPr>
        <w:fldChar w:fldCharType="begin">
          <w:fldData xml:space="preserve">PEVuZE5vdGU+PENpdGU+PEF1dGhvcj5HYWk8L0F1dGhvcj48WWVhcj4yMDE4PC9ZZWFyPjxSZWNO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</w:fldData>
        </w:fldChar>
      </w:r>
      <w:r w:rsidR="00103B0D" w:rsidRPr="00FC71BE">
        <w:rPr>
          <w:color w:val="auto"/>
        </w:rPr>
        <w:instrText xml:space="preserve"> ADDIN EN.CITE.DATA </w:instrText>
      </w:r>
      <w:r w:rsidR="00103B0D" w:rsidRPr="00FC71BE">
        <w:rPr>
          <w:color w:val="auto"/>
        </w:rPr>
      </w:r>
      <w:r w:rsidR="00103B0D" w:rsidRPr="00FC71BE">
        <w:rPr>
          <w:color w:val="auto"/>
        </w:rPr>
        <w:fldChar w:fldCharType="end"/>
      </w:r>
      <w:r w:rsidRPr="00FC71BE">
        <w:rPr>
          <w:color w:val="auto"/>
        </w:rPr>
      </w:r>
      <w:r w:rsidRPr="00FC71BE">
        <w:rPr>
          <w:color w:val="auto"/>
        </w:rPr>
        <w:fldChar w:fldCharType="separate"/>
      </w:r>
      <w:r w:rsidRPr="00FC71BE">
        <w:rPr>
          <w:color w:val="auto"/>
        </w:rPr>
        <w:t>[56, 75, 76]</w:t>
      </w:r>
      <w:r w:rsidRPr="00FC71BE">
        <w:rPr>
          <w:color w:val="auto"/>
        </w:rPr>
        <w:fldChar w:fldCharType="end"/>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1560"/>
        <w:gridCol w:w="1426"/>
        <w:gridCol w:w="1932"/>
        <w:gridCol w:w="1785"/>
        <w:gridCol w:w="2323"/>
      </w:tblGrid>
      <w:tr w:rsidR="00FC71BE" w:rsidRPr="00FC71BE" w14:paraId="10A88AB8" w14:textId="77777777">
        <w:tc>
          <w:tcPr>
            <w:tcW w:w="1654" w:type="pct"/>
            <w:gridSpan w:val="2"/>
            <w:vAlign w:val="center"/>
          </w:tcPr>
          <w:p w14:paraId="5892644B" w14:textId="77777777" w:rsidR="00416180" w:rsidRPr="00FC71BE" w:rsidRDefault="00416180" w:rsidP="00257003">
            <w:pPr>
              <w:pStyle w:val="Table"/>
              <w:rPr>
                <w:color w:val="auto"/>
              </w:rPr>
            </w:pPr>
            <w:r w:rsidRPr="00FC71BE">
              <w:rPr>
                <w:color w:val="auto"/>
              </w:rPr>
              <w:t>Cooling method</w:t>
            </w:r>
          </w:p>
        </w:tc>
        <w:tc>
          <w:tcPr>
            <w:tcW w:w="1070" w:type="pct"/>
            <w:vAlign w:val="center"/>
          </w:tcPr>
          <w:p w14:paraId="031E82FE" w14:textId="77777777" w:rsidR="00416180" w:rsidRPr="00FC71BE" w:rsidRDefault="00416180" w:rsidP="00257003">
            <w:pPr>
              <w:pStyle w:val="Table"/>
              <w:rPr>
                <w:color w:val="auto"/>
              </w:rPr>
            </w:pPr>
            <w:r w:rsidRPr="00FC71BE">
              <w:rPr>
                <w:color w:val="auto"/>
              </w:rPr>
              <w:t>Linear current density (kA/m)</w:t>
            </w:r>
          </w:p>
        </w:tc>
        <w:tc>
          <w:tcPr>
            <w:tcW w:w="989" w:type="pct"/>
            <w:vAlign w:val="center"/>
          </w:tcPr>
          <w:p w14:paraId="4493F369" w14:textId="77777777" w:rsidR="00416180" w:rsidRPr="00FC71BE" w:rsidRDefault="00416180" w:rsidP="00257003">
            <w:pPr>
              <w:pStyle w:val="Table"/>
              <w:rPr>
                <w:color w:val="auto"/>
              </w:rPr>
            </w:pPr>
            <w:r w:rsidRPr="00FC71BE">
              <w:rPr>
                <w:color w:val="auto"/>
              </w:rPr>
              <w:t>Current density (A/mm</w:t>
            </w:r>
            <w:r w:rsidRPr="00FC71BE">
              <w:rPr>
                <w:color w:val="auto"/>
                <w:vertAlign w:val="superscript"/>
              </w:rPr>
              <w:t>2</w:t>
            </w:r>
            <w:r w:rsidRPr="00FC71BE">
              <w:rPr>
                <w:color w:val="auto"/>
              </w:rPr>
              <w:t>)</w:t>
            </w:r>
          </w:p>
        </w:tc>
        <w:tc>
          <w:tcPr>
            <w:tcW w:w="1287" w:type="pct"/>
            <w:vAlign w:val="center"/>
          </w:tcPr>
          <w:p w14:paraId="7AEDD245" w14:textId="77777777" w:rsidR="00416180" w:rsidRPr="00FC71BE" w:rsidRDefault="00416180" w:rsidP="00257003">
            <w:pPr>
              <w:pStyle w:val="Table"/>
              <w:rPr>
                <w:color w:val="auto"/>
                <w:lang w:val="fr-FR"/>
              </w:rPr>
            </w:pPr>
            <w:r w:rsidRPr="00FC71BE">
              <w:rPr>
                <w:color w:val="auto"/>
                <w:lang w:val="fr-FR"/>
              </w:rPr>
              <w:t>Convection Coefficient (W/m</w:t>
            </w:r>
            <w:r w:rsidRPr="00FC71BE">
              <w:rPr>
                <w:color w:val="auto"/>
                <w:vertAlign w:val="superscript"/>
                <w:lang w:val="fr-FR"/>
              </w:rPr>
              <w:t>2</w:t>
            </w:r>
            <w:r w:rsidRPr="00FC71BE">
              <w:rPr>
                <w:color w:val="auto"/>
                <w:lang w:val="fr-FR"/>
              </w:rPr>
              <w:t>/K)</w:t>
            </w:r>
          </w:p>
        </w:tc>
      </w:tr>
      <w:tr w:rsidR="00FC71BE" w:rsidRPr="00FC71BE" w14:paraId="2ED5D1A8" w14:textId="77777777">
        <w:tc>
          <w:tcPr>
            <w:tcW w:w="1654" w:type="pct"/>
            <w:gridSpan w:val="2"/>
            <w:vAlign w:val="center"/>
          </w:tcPr>
          <w:p w14:paraId="2CDE6CD1" w14:textId="77777777" w:rsidR="00416180" w:rsidRPr="00FC71BE" w:rsidRDefault="00416180" w:rsidP="00257003">
            <w:pPr>
              <w:pStyle w:val="Table"/>
              <w:rPr>
                <w:color w:val="auto"/>
              </w:rPr>
            </w:pPr>
            <w:r w:rsidRPr="00FC71BE">
              <w:rPr>
                <w:color w:val="auto"/>
              </w:rPr>
              <w:t>Natural Convection</w:t>
            </w:r>
          </w:p>
        </w:tc>
        <w:tc>
          <w:tcPr>
            <w:tcW w:w="1070" w:type="pct"/>
            <w:vAlign w:val="center"/>
          </w:tcPr>
          <w:p w14:paraId="6C015BB3" w14:textId="77777777" w:rsidR="00416180" w:rsidRPr="00FC71BE" w:rsidRDefault="00416180" w:rsidP="00257003">
            <w:pPr>
              <w:pStyle w:val="Table"/>
              <w:rPr>
                <w:color w:val="auto"/>
              </w:rPr>
            </w:pPr>
            <w:r w:rsidRPr="00FC71BE">
              <w:rPr>
                <w:color w:val="auto"/>
              </w:rPr>
              <w:t>-</w:t>
            </w:r>
          </w:p>
        </w:tc>
        <w:tc>
          <w:tcPr>
            <w:tcW w:w="989" w:type="pct"/>
            <w:vAlign w:val="center"/>
          </w:tcPr>
          <w:p w14:paraId="0B27D0B3" w14:textId="77777777" w:rsidR="00416180" w:rsidRPr="00FC71BE" w:rsidRDefault="00416180" w:rsidP="00257003">
            <w:pPr>
              <w:pStyle w:val="Table"/>
              <w:rPr>
                <w:color w:val="auto"/>
              </w:rPr>
            </w:pPr>
            <w:r w:rsidRPr="00FC71BE">
              <w:rPr>
                <w:color w:val="auto"/>
              </w:rPr>
              <w:t>1.5 to 5</w:t>
            </w:r>
          </w:p>
        </w:tc>
        <w:tc>
          <w:tcPr>
            <w:tcW w:w="1287" w:type="pct"/>
            <w:vAlign w:val="center"/>
          </w:tcPr>
          <w:p w14:paraId="117E2172" w14:textId="77777777" w:rsidR="00416180" w:rsidRPr="00FC71BE" w:rsidRDefault="00416180" w:rsidP="00257003">
            <w:pPr>
              <w:pStyle w:val="Table"/>
              <w:rPr>
                <w:color w:val="auto"/>
              </w:rPr>
            </w:pPr>
            <w:r w:rsidRPr="00FC71BE">
              <w:rPr>
                <w:color w:val="auto"/>
              </w:rPr>
              <w:t>5 to 30</w:t>
            </w:r>
          </w:p>
        </w:tc>
      </w:tr>
      <w:tr w:rsidR="00FC71BE" w:rsidRPr="00FC71BE" w14:paraId="6AAA73D5" w14:textId="77777777">
        <w:tc>
          <w:tcPr>
            <w:tcW w:w="864" w:type="pct"/>
            <w:vMerge w:val="restart"/>
            <w:vAlign w:val="center"/>
          </w:tcPr>
          <w:p w14:paraId="5BD8D932" w14:textId="77777777" w:rsidR="00416180" w:rsidRPr="00FC71BE" w:rsidRDefault="00416180" w:rsidP="00257003">
            <w:pPr>
              <w:pStyle w:val="Table"/>
              <w:rPr>
                <w:color w:val="auto"/>
              </w:rPr>
            </w:pPr>
            <w:r w:rsidRPr="00FC71BE">
              <w:rPr>
                <w:color w:val="auto"/>
              </w:rPr>
              <w:t>Forced gas cooling</w:t>
            </w:r>
          </w:p>
        </w:tc>
        <w:tc>
          <w:tcPr>
            <w:tcW w:w="790" w:type="pct"/>
            <w:vAlign w:val="center"/>
          </w:tcPr>
          <w:p w14:paraId="291131BA" w14:textId="77777777" w:rsidR="00416180" w:rsidRPr="00FC71BE" w:rsidRDefault="00416180" w:rsidP="00257003">
            <w:pPr>
              <w:pStyle w:val="Table"/>
              <w:rPr>
                <w:color w:val="auto"/>
              </w:rPr>
            </w:pPr>
            <w:r w:rsidRPr="00FC71BE">
              <w:rPr>
                <w:color w:val="auto"/>
              </w:rPr>
              <w:t>Air</w:t>
            </w:r>
          </w:p>
        </w:tc>
        <w:tc>
          <w:tcPr>
            <w:tcW w:w="1070" w:type="pct"/>
            <w:vAlign w:val="center"/>
          </w:tcPr>
          <w:p w14:paraId="13AD68E4" w14:textId="77777777" w:rsidR="00416180" w:rsidRPr="00FC71BE" w:rsidRDefault="00416180" w:rsidP="00257003">
            <w:pPr>
              <w:pStyle w:val="Table"/>
              <w:rPr>
                <w:color w:val="auto"/>
              </w:rPr>
            </w:pPr>
            <w:r w:rsidRPr="00FC71BE">
              <w:rPr>
                <w:color w:val="auto"/>
              </w:rPr>
              <w:t>&lt;80</w:t>
            </w:r>
          </w:p>
        </w:tc>
        <w:tc>
          <w:tcPr>
            <w:tcW w:w="989" w:type="pct"/>
            <w:vAlign w:val="center"/>
          </w:tcPr>
          <w:p w14:paraId="7E9DAEC4" w14:textId="77777777" w:rsidR="00416180" w:rsidRPr="00FC71BE" w:rsidRDefault="00416180" w:rsidP="00257003">
            <w:pPr>
              <w:pStyle w:val="Table"/>
              <w:rPr>
                <w:color w:val="auto"/>
              </w:rPr>
            </w:pPr>
            <w:r w:rsidRPr="00FC71BE">
              <w:rPr>
                <w:color w:val="auto"/>
              </w:rPr>
              <w:t>5 to 10</w:t>
            </w:r>
          </w:p>
        </w:tc>
        <w:tc>
          <w:tcPr>
            <w:tcW w:w="1287" w:type="pct"/>
            <w:vAlign w:val="center"/>
          </w:tcPr>
          <w:p w14:paraId="0246A166" w14:textId="77777777" w:rsidR="00416180" w:rsidRPr="00FC71BE" w:rsidRDefault="00416180" w:rsidP="00257003">
            <w:pPr>
              <w:pStyle w:val="Table"/>
              <w:rPr>
                <w:color w:val="auto"/>
              </w:rPr>
            </w:pPr>
            <w:r w:rsidRPr="00FC71BE">
              <w:rPr>
                <w:color w:val="auto"/>
              </w:rPr>
              <w:t>20 to 300</w:t>
            </w:r>
          </w:p>
        </w:tc>
      </w:tr>
      <w:tr w:rsidR="00FC71BE" w:rsidRPr="00FC71BE" w14:paraId="0598A113" w14:textId="77777777">
        <w:tc>
          <w:tcPr>
            <w:tcW w:w="864" w:type="pct"/>
            <w:vMerge/>
            <w:vAlign w:val="center"/>
          </w:tcPr>
          <w:p w14:paraId="282AB1E9" w14:textId="77777777" w:rsidR="00416180" w:rsidRPr="00FC71BE" w:rsidRDefault="00416180" w:rsidP="00257003">
            <w:pPr>
              <w:pStyle w:val="Table"/>
              <w:rPr>
                <w:color w:val="auto"/>
              </w:rPr>
            </w:pPr>
          </w:p>
        </w:tc>
        <w:tc>
          <w:tcPr>
            <w:tcW w:w="790" w:type="pct"/>
            <w:vAlign w:val="center"/>
          </w:tcPr>
          <w:p w14:paraId="08F807F9" w14:textId="77777777" w:rsidR="00416180" w:rsidRPr="00FC71BE" w:rsidRDefault="00416180" w:rsidP="00257003">
            <w:pPr>
              <w:pStyle w:val="Table"/>
              <w:rPr>
                <w:color w:val="auto"/>
              </w:rPr>
            </w:pPr>
            <w:r w:rsidRPr="00FC71BE">
              <w:rPr>
                <w:color w:val="auto"/>
              </w:rPr>
              <w:t>Hydrogen</w:t>
            </w:r>
          </w:p>
        </w:tc>
        <w:tc>
          <w:tcPr>
            <w:tcW w:w="1070" w:type="pct"/>
            <w:vAlign w:val="center"/>
          </w:tcPr>
          <w:p w14:paraId="2E568425" w14:textId="77777777" w:rsidR="00416180" w:rsidRPr="00FC71BE" w:rsidRDefault="00416180" w:rsidP="00257003">
            <w:pPr>
              <w:pStyle w:val="Table"/>
              <w:rPr>
                <w:color w:val="auto"/>
              </w:rPr>
            </w:pPr>
            <w:r w:rsidRPr="00FC71BE">
              <w:rPr>
                <w:color w:val="auto"/>
              </w:rPr>
              <w:t>70-110</w:t>
            </w:r>
          </w:p>
        </w:tc>
        <w:tc>
          <w:tcPr>
            <w:tcW w:w="989" w:type="pct"/>
            <w:vAlign w:val="center"/>
          </w:tcPr>
          <w:p w14:paraId="48184B1E" w14:textId="77777777" w:rsidR="00416180" w:rsidRPr="00FC71BE" w:rsidRDefault="00416180" w:rsidP="00257003">
            <w:pPr>
              <w:pStyle w:val="Table"/>
              <w:rPr>
                <w:color w:val="auto"/>
              </w:rPr>
            </w:pPr>
            <w:r w:rsidRPr="00FC71BE">
              <w:rPr>
                <w:color w:val="auto"/>
              </w:rPr>
              <w:t>7 to 12</w:t>
            </w:r>
          </w:p>
        </w:tc>
        <w:tc>
          <w:tcPr>
            <w:tcW w:w="1287" w:type="pct"/>
            <w:vAlign w:val="center"/>
          </w:tcPr>
          <w:p w14:paraId="6706A945" w14:textId="77777777" w:rsidR="00416180" w:rsidRPr="00FC71BE" w:rsidRDefault="00416180" w:rsidP="00257003">
            <w:pPr>
              <w:pStyle w:val="Table"/>
              <w:rPr>
                <w:color w:val="auto"/>
              </w:rPr>
            </w:pPr>
            <w:r w:rsidRPr="00FC71BE">
              <w:rPr>
                <w:color w:val="auto"/>
              </w:rPr>
              <w:t>100 to 1000</w:t>
            </w:r>
          </w:p>
        </w:tc>
      </w:tr>
      <w:tr w:rsidR="00FC71BE" w:rsidRPr="00FC71BE" w14:paraId="04687846" w14:textId="77777777">
        <w:tc>
          <w:tcPr>
            <w:tcW w:w="864" w:type="pct"/>
            <w:vMerge w:val="restart"/>
            <w:vAlign w:val="center"/>
          </w:tcPr>
          <w:p w14:paraId="4B6803AF" w14:textId="77777777" w:rsidR="00416180" w:rsidRPr="00FC71BE" w:rsidRDefault="00416180" w:rsidP="00257003">
            <w:pPr>
              <w:pStyle w:val="Table"/>
              <w:rPr>
                <w:color w:val="auto"/>
              </w:rPr>
            </w:pPr>
            <w:r w:rsidRPr="00FC71BE">
              <w:rPr>
                <w:color w:val="auto"/>
              </w:rPr>
              <w:t>Forced liquid cooling</w:t>
            </w:r>
          </w:p>
        </w:tc>
        <w:tc>
          <w:tcPr>
            <w:tcW w:w="790" w:type="pct"/>
            <w:tcBorders>
              <w:bottom w:val="single" w:sz="4" w:space="0" w:color="auto"/>
            </w:tcBorders>
            <w:vAlign w:val="center"/>
          </w:tcPr>
          <w:p w14:paraId="706229BC" w14:textId="77777777" w:rsidR="00416180" w:rsidRPr="00FC71BE" w:rsidRDefault="00416180" w:rsidP="00257003">
            <w:pPr>
              <w:pStyle w:val="Table"/>
              <w:rPr>
                <w:color w:val="auto"/>
              </w:rPr>
            </w:pPr>
            <w:r w:rsidRPr="00FC71BE">
              <w:rPr>
                <w:color w:val="auto"/>
              </w:rPr>
              <w:t>Indirect contact</w:t>
            </w:r>
          </w:p>
        </w:tc>
        <w:tc>
          <w:tcPr>
            <w:tcW w:w="1070" w:type="pct"/>
            <w:tcBorders>
              <w:bottom w:val="single" w:sz="4" w:space="0" w:color="auto"/>
            </w:tcBorders>
            <w:vAlign w:val="center"/>
          </w:tcPr>
          <w:p w14:paraId="00E81759" w14:textId="77777777" w:rsidR="00416180" w:rsidRPr="00FC71BE" w:rsidRDefault="00416180" w:rsidP="00257003">
            <w:pPr>
              <w:pStyle w:val="Table"/>
              <w:rPr>
                <w:color w:val="auto"/>
              </w:rPr>
            </w:pPr>
            <w:r w:rsidRPr="00FC71BE">
              <w:rPr>
                <w:color w:val="auto"/>
              </w:rPr>
              <w:t>90 to 130</w:t>
            </w:r>
          </w:p>
        </w:tc>
        <w:tc>
          <w:tcPr>
            <w:tcW w:w="989" w:type="pct"/>
            <w:tcBorders>
              <w:bottom w:val="single" w:sz="4" w:space="0" w:color="auto"/>
            </w:tcBorders>
            <w:vAlign w:val="center"/>
          </w:tcPr>
          <w:p w14:paraId="62D46328" w14:textId="77777777" w:rsidR="00416180" w:rsidRPr="00FC71BE" w:rsidRDefault="00416180" w:rsidP="00257003">
            <w:pPr>
              <w:pStyle w:val="Table"/>
              <w:rPr>
                <w:color w:val="auto"/>
              </w:rPr>
            </w:pPr>
            <w:r w:rsidRPr="00FC71BE">
              <w:rPr>
                <w:color w:val="auto"/>
              </w:rPr>
              <w:t>7 to 20</w:t>
            </w:r>
          </w:p>
        </w:tc>
        <w:tc>
          <w:tcPr>
            <w:tcW w:w="1287" w:type="pct"/>
            <w:tcBorders>
              <w:bottom w:val="single" w:sz="4" w:space="0" w:color="auto"/>
            </w:tcBorders>
            <w:vAlign w:val="center"/>
          </w:tcPr>
          <w:p w14:paraId="08ECEDB9" w14:textId="77777777" w:rsidR="00416180" w:rsidRPr="00FC71BE" w:rsidRDefault="00416180" w:rsidP="00257003">
            <w:pPr>
              <w:pStyle w:val="Table"/>
              <w:rPr>
                <w:color w:val="auto"/>
              </w:rPr>
            </w:pPr>
            <w:r w:rsidRPr="00FC71BE">
              <w:rPr>
                <w:color w:val="auto"/>
              </w:rPr>
              <w:t>100 to 10,000</w:t>
            </w:r>
          </w:p>
        </w:tc>
      </w:tr>
      <w:tr w:rsidR="00FC71BE" w:rsidRPr="00FC71BE" w14:paraId="5F0EEAB0" w14:textId="77777777">
        <w:tc>
          <w:tcPr>
            <w:tcW w:w="864" w:type="pct"/>
            <w:vMerge/>
            <w:vAlign w:val="center"/>
          </w:tcPr>
          <w:p w14:paraId="36DAD365" w14:textId="77777777" w:rsidR="00416180" w:rsidRPr="00FC71BE" w:rsidRDefault="00416180" w:rsidP="00257003">
            <w:pPr>
              <w:pStyle w:val="Table"/>
              <w:rPr>
                <w:color w:val="auto"/>
              </w:rPr>
            </w:pPr>
          </w:p>
        </w:tc>
        <w:tc>
          <w:tcPr>
            <w:tcW w:w="790" w:type="pct"/>
            <w:tcBorders>
              <w:top w:val="single" w:sz="4" w:space="0" w:color="auto"/>
              <w:bottom w:val="double" w:sz="4" w:space="0" w:color="auto"/>
            </w:tcBorders>
            <w:vAlign w:val="center"/>
          </w:tcPr>
          <w:p w14:paraId="03ECABDA" w14:textId="77777777" w:rsidR="00416180" w:rsidRPr="00FC71BE" w:rsidRDefault="00416180" w:rsidP="00257003">
            <w:pPr>
              <w:pStyle w:val="Table"/>
              <w:rPr>
                <w:color w:val="auto"/>
              </w:rPr>
            </w:pPr>
            <w:r w:rsidRPr="00FC71BE">
              <w:rPr>
                <w:color w:val="auto"/>
              </w:rPr>
              <w:t>Direct contact</w:t>
            </w:r>
          </w:p>
        </w:tc>
        <w:tc>
          <w:tcPr>
            <w:tcW w:w="1070" w:type="pct"/>
            <w:tcBorders>
              <w:top w:val="single" w:sz="4" w:space="0" w:color="auto"/>
              <w:bottom w:val="double" w:sz="4" w:space="0" w:color="auto"/>
            </w:tcBorders>
            <w:vAlign w:val="center"/>
          </w:tcPr>
          <w:p w14:paraId="29897BBA" w14:textId="77777777" w:rsidR="00416180" w:rsidRPr="00FC71BE" w:rsidRDefault="00416180" w:rsidP="00257003">
            <w:pPr>
              <w:pStyle w:val="Table"/>
              <w:rPr>
                <w:color w:val="auto"/>
              </w:rPr>
            </w:pPr>
            <w:r w:rsidRPr="00FC71BE">
              <w:rPr>
                <w:color w:val="auto"/>
              </w:rPr>
              <w:t>100 to 200</w:t>
            </w:r>
          </w:p>
        </w:tc>
        <w:tc>
          <w:tcPr>
            <w:tcW w:w="989" w:type="pct"/>
            <w:tcBorders>
              <w:top w:val="single" w:sz="4" w:space="0" w:color="auto"/>
              <w:bottom w:val="double" w:sz="4" w:space="0" w:color="auto"/>
            </w:tcBorders>
            <w:vAlign w:val="center"/>
          </w:tcPr>
          <w:p w14:paraId="1A5C4485" w14:textId="77777777" w:rsidR="00416180" w:rsidRPr="00FC71BE" w:rsidRDefault="00416180" w:rsidP="00257003">
            <w:pPr>
              <w:pStyle w:val="Table"/>
              <w:rPr>
                <w:color w:val="auto"/>
              </w:rPr>
            </w:pPr>
            <w:r w:rsidRPr="00FC71BE">
              <w:rPr>
                <w:color w:val="auto"/>
              </w:rPr>
              <w:t>10 to 30</w:t>
            </w:r>
          </w:p>
        </w:tc>
        <w:tc>
          <w:tcPr>
            <w:tcW w:w="1287" w:type="pct"/>
            <w:tcBorders>
              <w:top w:val="single" w:sz="4" w:space="0" w:color="auto"/>
              <w:bottom w:val="double" w:sz="4" w:space="0" w:color="auto"/>
            </w:tcBorders>
            <w:vAlign w:val="center"/>
          </w:tcPr>
          <w:p w14:paraId="60BD73C3" w14:textId="77777777" w:rsidR="00416180" w:rsidRPr="00FC71BE" w:rsidRDefault="00416180" w:rsidP="00257003">
            <w:pPr>
              <w:pStyle w:val="Table"/>
              <w:rPr>
                <w:color w:val="auto"/>
              </w:rPr>
            </w:pPr>
            <w:r w:rsidRPr="00FC71BE">
              <w:rPr>
                <w:color w:val="auto"/>
              </w:rPr>
              <w:t>200 to 25,000</w:t>
            </w:r>
          </w:p>
        </w:tc>
      </w:tr>
    </w:tbl>
    <w:p w14:paraId="0674D1AD" w14:textId="4C882C7B" w:rsidR="00416180" w:rsidRPr="00FC71BE" w:rsidRDefault="00416180" w:rsidP="00416180">
      <w:pPr>
        <w:pStyle w:val="Tabletitle"/>
        <w:rPr>
          <w:color w:val="auto"/>
        </w:rPr>
      </w:pPr>
      <w:bookmarkStart w:id="38" w:name="_Ref147475682"/>
      <w:bookmarkStart w:id="39" w:name="_Ref147502836"/>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5</w:t>
      </w:r>
      <w:r w:rsidR="002839C4" w:rsidRPr="00FC71BE">
        <w:rPr>
          <w:color w:val="auto"/>
        </w:rPr>
        <w:fldChar w:fldCharType="end"/>
      </w:r>
      <w:bookmarkEnd w:id="38"/>
      <w:bookmarkEnd w:id="39"/>
      <w:r w:rsidRPr="00FC71BE">
        <w:rPr>
          <w:color w:val="auto"/>
        </w:rPr>
        <w:t xml:space="preserve"> Physical Properties of Coolants </w:t>
      </w:r>
      <w:r w:rsidRPr="00FC71BE">
        <w:rPr>
          <w:color w:val="auto"/>
        </w:rPr>
        <w:fldChar w:fldCharType="begin"/>
      </w:r>
      <w:r w:rsidR="00103B0D" w:rsidRPr="00FC71BE">
        <w:rPr>
          <w:color w:val="auto"/>
        </w:rPr>
        <w:instrText xml:space="preserve"> ADDIN EN.CITE &lt;EndNote&gt;&lt;Cite ExcludeYear="1"&gt;&lt;Author&gt;ANSYS CFX&lt;/Author&gt;&lt;RecNum&gt;144&lt;/RecNum&gt;&lt;DisplayText&gt;[60, 77, 78]&lt;/DisplayText&gt;&lt;record&gt;&lt;rec-number&gt;144&lt;/rec-number&gt;&lt;foreign-keys&gt;&lt;key app="EN" db-id="rf2p5e05jx0x9jep00uvx0s1fvaww2dfa0r9" timestamp="1696515038"&gt;144&lt;/key&gt;&lt;/foreign-keys&gt;&lt;ref-type name="Online Database"&gt;45&lt;/ref-type&gt;&lt;contributors&gt;&lt;authors&gt;&lt;author&gt;ANSYS CFX, &lt;/author&gt;&lt;/authors&gt;&lt;/contributors&gt;&lt;titles&gt;&lt;title&gt;ANSYS CFX material database&lt;/title&gt;&lt;/titles&gt;&lt;dates&gt;&lt;/dates&gt;&lt;urls&gt;&lt;related-urls&gt;&lt;url&gt;https://www.ansys.com&lt;/url&gt;&lt;/related-urls&gt;&lt;/urls&gt;&lt;/record&gt;&lt;/Cite&gt;&lt;Cite ExcludeYear="1"&gt;&lt;Author&gt;ANSYS Motor design Ltd.&lt;/Author&gt;&lt;RecNum&gt;162&lt;/RecNum&gt;&lt;record&gt;&lt;rec-number&gt;162&lt;/rec-number&gt;&lt;foreign-keys&gt;&lt;key app="EN" db-id="rf2p5e05jx0x9jep00uvx0s1fvaww2dfa0r9" timestamp="1696592331"&gt;162&lt;/key&gt;&lt;/foreign-keys&gt;&lt;ref-type name="Journal Article"&gt;17&lt;/ref-type&gt;&lt;contributors&gt;&lt;authors&gt;&lt;author&gt;ANSYS Motor design Ltd.,&lt;/author&gt;&lt;/authors&gt;&lt;/contributors&gt;&lt;titles&gt;&lt;title&gt;ANSYS MotorCAD database&lt;/title&gt;&lt;/titles&gt;&lt;dates&gt;&lt;/dates&gt;&lt;urls&gt;&lt;related-urls&gt;&lt;url&gt;https://www.motor-design.com&lt;/url&gt;&lt;/related-urls&gt;&lt;/urls&gt;&lt;/record&gt;&lt;/Cite&gt;&lt;Cite&gt;&lt;Author&gt;Lahne&lt;/Author&gt;&lt;Year&gt;2016&lt;/Year&gt;&lt;RecNum&gt;164&lt;/RecNum&gt;&lt;record&gt;&lt;rec-number&gt;164&lt;/rec-number&gt;&lt;foreign-keys&gt;&lt;key app="EN" db-id="rf2p5e05jx0x9jep00uvx0s1fvaww2dfa0r9" timestamp="1696598040"&gt;164&lt;/key&gt;&lt;/foreign-keys&gt;&lt;ref-type name="Conference Proceedings"&gt;10&lt;/ref-type&gt;&lt;contributors&gt;&lt;authors&gt;&lt;author&gt;Lahne, Hans Christian&lt;/author&gt;&lt;author&gt;Gerling, Dieter&lt;/author&gt;&lt;author&gt;Staton, Dave&lt;/author&gt;&lt;author&gt;Chong, Yew Chuan&lt;/author&gt;&lt;/authors&gt;&lt;/contributors&gt;&lt;titles&gt;&lt;title&gt;Design of a 50000 rpm high-speed high-power six-phase PMSM for use in aircraft applications&lt;/title&gt;&lt;secondary-title&gt;2016 Eleventh International Conference on Ecological Vehicles and Renewable Energies (EVER)&lt;/secondary-title&gt;&lt;/titles&gt;&lt;pages&gt;1-11&lt;/pages&gt;&lt;dates&gt;&lt;year&gt;2016&lt;/year&gt;&lt;/dates&gt;&lt;publisher&gt;IEEE&lt;/publisher&gt;&lt;isbn&gt;1509024646&lt;/isbn&gt;&lt;urls&gt;&lt;/urls&gt;&lt;/record&gt;&lt;/Cite&gt;&lt;/EndNote&gt;</w:instrText>
      </w:r>
      <w:r w:rsidRPr="00FC71BE">
        <w:rPr>
          <w:color w:val="auto"/>
        </w:rPr>
        <w:fldChar w:fldCharType="separate"/>
      </w:r>
      <w:r w:rsidRPr="00FC71BE">
        <w:rPr>
          <w:color w:val="auto"/>
        </w:rPr>
        <w:t>[60, 77, 78]</w:t>
      </w:r>
      <w:r w:rsidRPr="00FC71BE">
        <w:rPr>
          <w:color w:val="auto"/>
        </w:rPr>
        <w:fldChar w:fldCharType="end"/>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857"/>
        <w:gridCol w:w="2013"/>
        <w:gridCol w:w="1883"/>
        <w:gridCol w:w="1684"/>
        <w:gridCol w:w="1062"/>
        <w:gridCol w:w="1527"/>
      </w:tblGrid>
      <w:tr w:rsidR="00FC71BE" w:rsidRPr="00FC71BE" w14:paraId="642442E6" w14:textId="77777777">
        <w:tc>
          <w:tcPr>
            <w:tcW w:w="474" w:type="pct"/>
            <w:vAlign w:val="center"/>
          </w:tcPr>
          <w:p w14:paraId="4A9C8A07" w14:textId="77777777" w:rsidR="00416180" w:rsidRPr="00FC71BE" w:rsidRDefault="00416180" w:rsidP="00257003">
            <w:pPr>
              <w:pStyle w:val="Table"/>
              <w:rPr>
                <w:color w:val="auto"/>
              </w:rPr>
            </w:pPr>
          </w:p>
        </w:tc>
        <w:tc>
          <w:tcPr>
            <w:tcW w:w="1115" w:type="pct"/>
            <w:vAlign w:val="center"/>
          </w:tcPr>
          <w:p w14:paraId="72680083" w14:textId="77777777" w:rsidR="00416180" w:rsidRPr="00FC71BE" w:rsidRDefault="00416180" w:rsidP="00257003">
            <w:pPr>
              <w:pStyle w:val="Table"/>
              <w:rPr>
                <w:color w:val="auto"/>
              </w:rPr>
            </w:pPr>
            <w:r w:rsidRPr="00FC71BE">
              <w:rPr>
                <w:color w:val="auto"/>
              </w:rPr>
              <w:t>Coolant</w:t>
            </w:r>
          </w:p>
        </w:tc>
        <w:tc>
          <w:tcPr>
            <w:tcW w:w="1043" w:type="pct"/>
            <w:vAlign w:val="center"/>
          </w:tcPr>
          <w:p w14:paraId="1AE896DB" w14:textId="77777777" w:rsidR="00416180" w:rsidRPr="00FC71BE" w:rsidRDefault="00416180" w:rsidP="00257003">
            <w:pPr>
              <w:pStyle w:val="Table"/>
              <w:rPr>
                <w:color w:val="auto"/>
              </w:rPr>
            </w:pPr>
            <w:r w:rsidRPr="00FC71BE">
              <w:rPr>
                <w:color w:val="auto"/>
              </w:rPr>
              <w:t>Thermal Conductivity</w:t>
            </w:r>
          </w:p>
          <w:p w14:paraId="67F00D5F" w14:textId="77777777" w:rsidR="00416180" w:rsidRPr="00FC71BE" w:rsidRDefault="00416180" w:rsidP="00257003">
            <w:pPr>
              <w:pStyle w:val="Table"/>
              <w:rPr>
                <w:color w:val="auto"/>
              </w:rPr>
            </w:pPr>
            <w:r w:rsidRPr="00FC71BE">
              <w:rPr>
                <w:color w:val="auto"/>
              </w:rPr>
              <w:t>(</w:t>
            </w:r>
            <m:oMath>
              <m:f>
                <m:fPr>
                  <m:type m:val="lin"/>
                  <m:ctrlPr>
                    <w:rPr>
                      <w:rFonts w:ascii="Cambria Math" w:eastAsiaTheme="minorEastAsia" w:hAnsi="Cambria Math"/>
                      <w:iCs/>
                      <w:color w:val="auto"/>
                      <w:lang w:eastAsia="zh-CN"/>
                    </w:rPr>
                  </m:ctrlPr>
                </m:fPr>
                <m:num>
                  <m:r>
                    <m:rPr>
                      <m:sty m:val="p"/>
                    </m:rPr>
                    <w:rPr>
                      <w:rFonts w:ascii="Cambria Math" w:hAnsi="Cambria Math"/>
                      <w:color w:val="auto"/>
                    </w:rPr>
                    <m:t>W</m:t>
                  </m:r>
                </m:num>
                <m:den>
                  <m:f>
                    <m:fPr>
                      <m:type m:val="lin"/>
                      <m:ctrlPr>
                        <w:rPr>
                          <w:rFonts w:ascii="Cambria Math" w:eastAsiaTheme="minorEastAsia" w:hAnsi="Cambria Math"/>
                          <w:iCs/>
                          <w:color w:val="auto"/>
                          <w:lang w:eastAsia="zh-CN"/>
                        </w:rPr>
                      </m:ctrlPr>
                    </m:fPr>
                    <m:num>
                      <m:r>
                        <m:rPr>
                          <m:sty m:val="p"/>
                        </m:rPr>
                        <w:rPr>
                          <w:rFonts w:ascii="Cambria Math" w:hAnsi="Cambria Math"/>
                          <w:color w:val="auto"/>
                        </w:rPr>
                        <m:t>m</m:t>
                      </m:r>
                    </m:num>
                    <m:den>
                      <m:r>
                        <m:rPr>
                          <m:sty m:val="p"/>
                        </m:rPr>
                        <w:rPr>
                          <w:rFonts w:ascii="Cambria Math" w:hAnsi="Cambria Math"/>
                          <w:color w:val="auto"/>
                        </w:rPr>
                        <m:t>K</m:t>
                      </m:r>
                    </m:den>
                  </m:f>
                </m:den>
              </m:f>
            </m:oMath>
            <w:r w:rsidRPr="00FC71BE">
              <w:rPr>
                <w:iCs/>
                <w:color w:val="auto"/>
              </w:rPr>
              <w:t>)</w:t>
            </w:r>
          </w:p>
        </w:tc>
        <w:tc>
          <w:tcPr>
            <w:tcW w:w="933" w:type="pct"/>
            <w:vAlign w:val="center"/>
          </w:tcPr>
          <w:p w14:paraId="7F3DF017" w14:textId="77777777" w:rsidR="00416180" w:rsidRPr="00FC71BE" w:rsidRDefault="00416180" w:rsidP="00257003">
            <w:pPr>
              <w:pStyle w:val="Table"/>
              <w:rPr>
                <w:color w:val="auto"/>
              </w:rPr>
            </w:pPr>
            <w:r w:rsidRPr="00FC71BE">
              <w:rPr>
                <w:color w:val="auto"/>
              </w:rPr>
              <w:t>Specific heat capacity</w:t>
            </w:r>
          </w:p>
          <w:p w14:paraId="0630A8DB" w14:textId="77777777" w:rsidR="00416180" w:rsidRPr="00FC71BE" w:rsidRDefault="00416180" w:rsidP="00257003">
            <w:pPr>
              <w:pStyle w:val="Table"/>
              <w:rPr>
                <w:color w:val="auto"/>
              </w:rPr>
            </w:pPr>
            <w:r w:rsidRPr="00FC71BE">
              <w:rPr>
                <w:color w:val="auto"/>
              </w:rPr>
              <w:t>(</w:t>
            </w:r>
            <m:oMath>
              <m:f>
                <m:fPr>
                  <m:type m:val="lin"/>
                  <m:ctrlPr>
                    <w:rPr>
                      <w:rFonts w:ascii="Cambria Math" w:eastAsiaTheme="minorEastAsia" w:hAnsi="Cambria Math"/>
                      <w:color w:val="auto"/>
                      <w:lang w:eastAsia="zh-CN"/>
                    </w:rPr>
                  </m:ctrlPr>
                </m:fPr>
                <m:num>
                  <m:r>
                    <m:rPr>
                      <m:sty m:val="p"/>
                    </m:rPr>
                    <w:rPr>
                      <w:rFonts w:ascii="Cambria Math" w:hAnsi="Cambria Math"/>
                      <w:color w:val="auto"/>
                    </w:rPr>
                    <m:t>J</m:t>
                  </m:r>
                </m:num>
                <m:den>
                  <m:f>
                    <m:fPr>
                      <m:type m:val="lin"/>
                      <m:ctrlPr>
                        <w:rPr>
                          <w:rFonts w:ascii="Cambria Math" w:eastAsiaTheme="minorEastAsia" w:hAnsi="Cambria Math"/>
                          <w:color w:val="auto"/>
                          <w:lang w:eastAsia="zh-CN"/>
                        </w:rPr>
                      </m:ctrlPr>
                    </m:fPr>
                    <m:num>
                      <m:r>
                        <m:rPr>
                          <m:sty m:val="p"/>
                        </m:rPr>
                        <w:rPr>
                          <w:rFonts w:ascii="Cambria Math" w:hAnsi="Cambria Math"/>
                          <w:color w:val="auto"/>
                        </w:rPr>
                        <m:t>kg</m:t>
                      </m:r>
                    </m:num>
                    <m:den>
                      <m:r>
                        <m:rPr>
                          <m:sty m:val="p"/>
                        </m:rPr>
                        <w:rPr>
                          <w:rFonts w:ascii="Cambria Math" w:hAnsi="Cambria Math"/>
                          <w:color w:val="auto"/>
                        </w:rPr>
                        <m:t>K</m:t>
                      </m:r>
                    </m:den>
                  </m:f>
                </m:den>
              </m:f>
            </m:oMath>
            <w:r w:rsidRPr="00FC71BE">
              <w:rPr>
                <w:color w:val="auto"/>
              </w:rPr>
              <w:t>)</w:t>
            </w:r>
          </w:p>
        </w:tc>
        <w:tc>
          <w:tcPr>
            <w:tcW w:w="588" w:type="pct"/>
            <w:vAlign w:val="center"/>
          </w:tcPr>
          <w:p w14:paraId="13CA8ED6" w14:textId="77777777" w:rsidR="00416180" w:rsidRPr="00FC71BE" w:rsidRDefault="00416180" w:rsidP="00257003">
            <w:pPr>
              <w:pStyle w:val="Table"/>
              <w:rPr>
                <w:color w:val="auto"/>
              </w:rPr>
            </w:pPr>
            <w:r w:rsidRPr="00FC71BE">
              <w:rPr>
                <w:color w:val="auto"/>
              </w:rPr>
              <w:t>Density</w:t>
            </w:r>
          </w:p>
          <w:p w14:paraId="5CD660D6" w14:textId="77777777" w:rsidR="00416180" w:rsidRPr="00FC71BE" w:rsidRDefault="00416180" w:rsidP="00257003">
            <w:pPr>
              <w:pStyle w:val="Table"/>
              <w:rPr>
                <w:color w:val="auto"/>
              </w:rPr>
            </w:pPr>
            <w:r w:rsidRPr="00FC71BE">
              <w:rPr>
                <w:color w:val="auto"/>
              </w:rPr>
              <w:t>(</w:t>
            </w:r>
            <m:oMath>
              <m:f>
                <m:fPr>
                  <m:type m:val="lin"/>
                  <m:ctrlPr>
                    <w:rPr>
                      <w:rFonts w:ascii="Cambria Math" w:eastAsiaTheme="minorEastAsia" w:hAnsi="Cambria Math"/>
                      <w:iCs/>
                      <w:color w:val="auto"/>
                      <w:lang w:eastAsia="zh-CN"/>
                    </w:rPr>
                  </m:ctrlPr>
                </m:fPr>
                <m:num>
                  <m:r>
                    <m:rPr>
                      <m:sty m:val="p"/>
                    </m:rPr>
                    <w:rPr>
                      <w:rFonts w:ascii="Cambria Math" w:hAnsi="Cambria Math"/>
                      <w:color w:val="auto"/>
                    </w:rPr>
                    <m:t>kg</m:t>
                  </m:r>
                </m:num>
                <m:den>
                  <m:sSup>
                    <m:sSupPr>
                      <m:ctrlPr>
                        <w:rPr>
                          <w:rFonts w:ascii="Cambria Math" w:eastAsiaTheme="minorEastAsia" w:hAnsi="Cambria Math"/>
                          <w:iCs/>
                          <w:color w:val="auto"/>
                          <w:lang w:eastAsia="zh-CN"/>
                        </w:rPr>
                      </m:ctrlPr>
                    </m:sSupPr>
                    <m:e>
                      <m:r>
                        <m:rPr>
                          <m:sty m:val="p"/>
                        </m:rPr>
                        <w:rPr>
                          <w:rFonts w:ascii="Cambria Math" w:hAnsi="Cambria Math"/>
                          <w:color w:val="auto"/>
                        </w:rPr>
                        <m:t>m</m:t>
                      </m:r>
                    </m:e>
                    <m:sup>
                      <m:r>
                        <m:rPr>
                          <m:sty m:val="p"/>
                        </m:rPr>
                        <w:rPr>
                          <w:rFonts w:ascii="Cambria Math" w:hAnsi="Cambria Math"/>
                          <w:color w:val="auto"/>
                        </w:rPr>
                        <m:t>3</m:t>
                      </m:r>
                    </m:sup>
                  </m:sSup>
                </m:den>
              </m:f>
            </m:oMath>
            <w:r w:rsidRPr="00FC71BE">
              <w:rPr>
                <w:iCs/>
                <w:color w:val="auto"/>
              </w:rPr>
              <w:t>)</w:t>
            </w:r>
          </w:p>
        </w:tc>
        <w:tc>
          <w:tcPr>
            <w:tcW w:w="846" w:type="pct"/>
            <w:vAlign w:val="center"/>
          </w:tcPr>
          <w:p w14:paraId="274DDB51" w14:textId="77777777" w:rsidR="00416180" w:rsidRPr="00FC71BE" w:rsidRDefault="00416180" w:rsidP="00257003">
            <w:pPr>
              <w:pStyle w:val="Table"/>
              <w:rPr>
                <w:color w:val="auto"/>
              </w:rPr>
            </w:pPr>
            <w:r w:rsidRPr="00FC71BE">
              <w:rPr>
                <w:color w:val="auto"/>
              </w:rPr>
              <w:t>Dynamic viscosity</w:t>
            </w:r>
          </w:p>
          <w:p w14:paraId="70E389A4" w14:textId="77777777" w:rsidR="00416180" w:rsidRPr="00FC71BE" w:rsidRDefault="00416180" w:rsidP="00257003">
            <w:pPr>
              <w:pStyle w:val="Table"/>
              <w:rPr>
                <w:color w:val="auto"/>
              </w:rPr>
            </w:pPr>
            <w:r w:rsidRPr="00FC71BE">
              <w:rPr>
                <w:color w:val="auto"/>
              </w:rPr>
              <w:t>(</w:t>
            </w:r>
            <m:oMath>
              <m:r>
                <m:rPr>
                  <m:sty m:val="p"/>
                </m:rPr>
                <w:rPr>
                  <w:rFonts w:ascii="Cambria Math" w:hAnsi="Cambria Math"/>
                  <w:color w:val="auto"/>
                </w:rPr>
                <m:t>Pa∙s</m:t>
              </m:r>
            </m:oMath>
            <w:r w:rsidRPr="00FC71BE">
              <w:rPr>
                <w:color w:val="auto"/>
              </w:rPr>
              <w:t>)</w:t>
            </w:r>
          </w:p>
        </w:tc>
      </w:tr>
      <w:tr w:rsidR="00FC71BE" w:rsidRPr="00FC71BE" w14:paraId="1184B06C" w14:textId="77777777">
        <w:tc>
          <w:tcPr>
            <w:tcW w:w="474" w:type="pct"/>
            <w:vMerge w:val="restart"/>
            <w:vAlign w:val="center"/>
          </w:tcPr>
          <w:p w14:paraId="5E27682A" w14:textId="77777777" w:rsidR="00416180" w:rsidRPr="00FC71BE" w:rsidRDefault="00416180" w:rsidP="00257003">
            <w:pPr>
              <w:pStyle w:val="Table"/>
              <w:rPr>
                <w:color w:val="auto"/>
              </w:rPr>
            </w:pPr>
            <w:r w:rsidRPr="00FC71BE">
              <w:rPr>
                <w:color w:val="auto"/>
              </w:rPr>
              <w:t>Gases</w:t>
            </w:r>
          </w:p>
        </w:tc>
        <w:tc>
          <w:tcPr>
            <w:tcW w:w="1115" w:type="pct"/>
            <w:vAlign w:val="center"/>
          </w:tcPr>
          <w:p w14:paraId="28D401B4" w14:textId="77777777" w:rsidR="00416180" w:rsidRPr="00FC71BE" w:rsidRDefault="00416180" w:rsidP="00257003">
            <w:pPr>
              <w:pStyle w:val="Table"/>
              <w:rPr>
                <w:color w:val="auto"/>
              </w:rPr>
            </w:pPr>
            <w:r w:rsidRPr="00FC71BE">
              <w:rPr>
                <w:color w:val="auto"/>
              </w:rPr>
              <w:t>Air</w:t>
            </w:r>
          </w:p>
        </w:tc>
        <w:tc>
          <w:tcPr>
            <w:tcW w:w="1043" w:type="pct"/>
            <w:vAlign w:val="center"/>
          </w:tcPr>
          <w:p w14:paraId="68522630" w14:textId="77777777" w:rsidR="00416180" w:rsidRPr="00FC71BE" w:rsidRDefault="00416180" w:rsidP="00257003">
            <w:pPr>
              <w:pStyle w:val="Table"/>
              <w:rPr>
                <w:color w:val="auto"/>
              </w:rPr>
            </w:pPr>
            <w:r w:rsidRPr="00FC71BE">
              <w:rPr>
                <w:color w:val="auto"/>
              </w:rPr>
              <w:t>0.026</w:t>
            </w:r>
          </w:p>
        </w:tc>
        <w:tc>
          <w:tcPr>
            <w:tcW w:w="933" w:type="pct"/>
            <w:vAlign w:val="center"/>
          </w:tcPr>
          <w:p w14:paraId="328FEA70" w14:textId="77777777" w:rsidR="00416180" w:rsidRPr="00FC71BE" w:rsidRDefault="00416180" w:rsidP="00257003">
            <w:pPr>
              <w:pStyle w:val="Table"/>
              <w:rPr>
                <w:color w:val="auto"/>
              </w:rPr>
            </w:pPr>
            <w:r w:rsidRPr="00FC71BE">
              <w:rPr>
                <w:color w:val="auto"/>
              </w:rPr>
              <w:t>1004</w:t>
            </w:r>
          </w:p>
        </w:tc>
        <w:tc>
          <w:tcPr>
            <w:tcW w:w="588" w:type="pct"/>
            <w:vAlign w:val="center"/>
          </w:tcPr>
          <w:p w14:paraId="56218CD9" w14:textId="77777777" w:rsidR="00416180" w:rsidRPr="00FC71BE" w:rsidRDefault="00416180" w:rsidP="00257003">
            <w:pPr>
              <w:pStyle w:val="Table"/>
              <w:rPr>
                <w:color w:val="auto"/>
              </w:rPr>
            </w:pPr>
            <w:r w:rsidRPr="00FC71BE">
              <w:rPr>
                <w:color w:val="auto"/>
              </w:rPr>
              <w:t>1.185</w:t>
            </w:r>
          </w:p>
        </w:tc>
        <w:tc>
          <w:tcPr>
            <w:tcW w:w="846" w:type="pct"/>
            <w:vAlign w:val="center"/>
          </w:tcPr>
          <w:p w14:paraId="60254995" w14:textId="77777777" w:rsidR="00416180" w:rsidRPr="00FC71BE" w:rsidRDefault="00416180" w:rsidP="00257003">
            <w:pPr>
              <w:pStyle w:val="Table"/>
              <w:rPr>
                <w:color w:val="auto"/>
              </w:rPr>
            </w:pPr>
            <w:r w:rsidRPr="00FC71BE">
              <w:rPr>
                <w:color w:val="auto"/>
              </w:rPr>
              <w:t>1.83</w:t>
            </w:r>
            <m:oMath>
              <m:r>
                <w:rPr>
                  <w:rFonts w:ascii="Cambria Math" w:hAnsi="Cambria Math"/>
                  <w:color w:val="auto"/>
                </w:rPr>
                <m:t>×</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-5</m:t>
                  </m:r>
                </m:sup>
              </m:sSup>
            </m:oMath>
          </w:p>
        </w:tc>
      </w:tr>
      <w:tr w:rsidR="00FC71BE" w:rsidRPr="00FC71BE" w14:paraId="78F86C5C" w14:textId="77777777">
        <w:tc>
          <w:tcPr>
            <w:tcW w:w="474" w:type="pct"/>
            <w:vMerge/>
            <w:vAlign w:val="center"/>
          </w:tcPr>
          <w:p w14:paraId="2A70EA2A" w14:textId="77777777" w:rsidR="00416180" w:rsidRPr="00FC71BE" w:rsidRDefault="00416180" w:rsidP="00257003">
            <w:pPr>
              <w:pStyle w:val="Table"/>
              <w:rPr>
                <w:color w:val="auto"/>
              </w:rPr>
            </w:pPr>
          </w:p>
        </w:tc>
        <w:tc>
          <w:tcPr>
            <w:tcW w:w="1115" w:type="pct"/>
            <w:vAlign w:val="center"/>
          </w:tcPr>
          <w:p w14:paraId="48D4194F" w14:textId="77777777" w:rsidR="00416180" w:rsidRPr="00FC71BE" w:rsidRDefault="00416180" w:rsidP="00257003">
            <w:pPr>
              <w:pStyle w:val="Table"/>
              <w:rPr>
                <w:color w:val="auto"/>
              </w:rPr>
            </w:pPr>
            <w:r w:rsidRPr="00FC71BE">
              <w:rPr>
                <w:color w:val="auto"/>
              </w:rPr>
              <w:t>Helium (20</w:t>
            </w:r>
            <m:oMath>
              <m:r>
                <w:rPr>
                  <w:rFonts w:ascii="Cambria Math" w:hAnsi="Cambria Math"/>
                  <w:color w:val="auto"/>
                </w:rPr>
                <m:t>℃</m:t>
              </m:r>
            </m:oMath>
            <w:r w:rsidRPr="00FC71BE">
              <w:rPr>
                <w:color w:val="auto"/>
              </w:rPr>
              <w:t>))</w:t>
            </w:r>
          </w:p>
        </w:tc>
        <w:tc>
          <w:tcPr>
            <w:tcW w:w="1043" w:type="pct"/>
            <w:vAlign w:val="center"/>
          </w:tcPr>
          <w:p w14:paraId="0BDBD38E" w14:textId="77777777" w:rsidR="00416180" w:rsidRPr="00FC71BE" w:rsidRDefault="00416180" w:rsidP="00257003">
            <w:pPr>
              <w:pStyle w:val="Table"/>
              <w:rPr>
                <w:color w:val="auto"/>
              </w:rPr>
            </w:pPr>
            <w:r w:rsidRPr="00FC71BE">
              <w:rPr>
                <w:color w:val="auto"/>
              </w:rPr>
              <w:t>0.154</w:t>
            </w:r>
          </w:p>
        </w:tc>
        <w:tc>
          <w:tcPr>
            <w:tcW w:w="933" w:type="pct"/>
            <w:vAlign w:val="center"/>
          </w:tcPr>
          <w:p w14:paraId="0B4F98A0" w14:textId="77777777" w:rsidR="00416180" w:rsidRPr="00FC71BE" w:rsidRDefault="00416180" w:rsidP="00257003">
            <w:pPr>
              <w:pStyle w:val="Table"/>
              <w:rPr>
                <w:color w:val="auto"/>
              </w:rPr>
            </w:pPr>
            <w:r w:rsidRPr="00FC71BE">
              <w:rPr>
                <w:color w:val="auto"/>
              </w:rPr>
              <w:t>5193</w:t>
            </w:r>
          </w:p>
        </w:tc>
        <w:tc>
          <w:tcPr>
            <w:tcW w:w="588" w:type="pct"/>
            <w:vAlign w:val="center"/>
          </w:tcPr>
          <w:p w14:paraId="079EE1C8" w14:textId="77777777" w:rsidR="00416180" w:rsidRPr="00FC71BE" w:rsidRDefault="00416180" w:rsidP="00257003">
            <w:pPr>
              <w:pStyle w:val="Table"/>
              <w:rPr>
                <w:color w:val="auto"/>
              </w:rPr>
            </w:pPr>
            <w:r w:rsidRPr="00FC71BE">
              <w:rPr>
                <w:color w:val="auto"/>
              </w:rPr>
              <w:t>0.16</w:t>
            </w:r>
          </w:p>
        </w:tc>
        <w:tc>
          <w:tcPr>
            <w:tcW w:w="846" w:type="pct"/>
            <w:vAlign w:val="center"/>
          </w:tcPr>
          <w:p w14:paraId="75487D36" w14:textId="77777777" w:rsidR="00416180" w:rsidRPr="00FC71BE" w:rsidRDefault="00416180" w:rsidP="00257003">
            <w:pPr>
              <w:pStyle w:val="Table"/>
              <w:rPr>
                <w:color w:val="auto"/>
              </w:rPr>
            </w:pPr>
            <w:r w:rsidRPr="00FC71BE">
              <w:rPr>
                <w:color w:val="auto"/>
              </w:rPr>
              <w:t>1.98</w:t>
            </w:r>
            <m:oMath>
              <m:r>
                <w:rPr>
                  <w:rFonts w:ascii="Cambria Math" w:hAnsi="Cambria Math"/>
                  <w:color w:val="auto"/>
                </w:rPr>
                <m:t>×</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-5</m:t>
                  </m:r>
                </m:sup>
              </m:sSup>
            </m:oMath>
          </w:p>
        </w:tc>
      </w:tr>
      <w:tr w:rsidR="00FC71BE" w:rsidRPr="00FC71BE" w14:paraId="3A8F9F15" w14:textId="77777777">
        <w:tc>
          <w:tcPr>
            <w:tcW w:w="474" w:type="pct"/>
            <w:vMerge/>
            <w:vAlign w:val="center"/>
          </w:tcPr>
          <w:p w14:paraId="6D620D6A" w14:textId="77777777" w:rsidR="00416180" w:rsidRPr="00FC71BE" w:rsidRDefault="00416180" w:rsidP="00257003">
            <w:pPr>
              <w:pStyle w:val="Table"/>
              <w:rPr>
                <w:color w:val="auto"/>
              </w:rPr>
            </w:pPr>
          </w:p>
        </w:tc>
        <w:tc>
          <w:tcPr>
            <w:tcW w:w="1115" w:type="pct"/>
            <w:vAlign w:val="center"/>
          </w:tcPr>
          <w:p w14:paraId="65A98F6B" w14:textId="77777777" w:rsidR="00416180" w:rsidRPr="00FC71BE" w:rsidRDefault="00416180" w:rsidP="00257003">
            <w:pPr>
              <w:pStyle w:val="Table"/>
              <w:rPr>
                <w:color w:val="auto"/>
              </w:rPr>
            </w:pPr>
            <w:r w:rsidRPr="00FC71BE">
              <w:rPr>
                <w:color w:val="auto"/>
              </w:rPr>
              <w:t>Hydrogen (20</w:t>
            </w:r>
            <m:oMath>
              <m:r>
                <w:rPr>
                  <w:rFonts w:ascii="Cambria Math" w:hAnsi="Cambria Math"/>
                  <w:color w:val="auto"/>
                </w:rPr>
                <m:t>℃</m:t>
              </m:r>
            </m:oMath>
            <w:r w:rsidRPr="00FC71BE">
              <w:rPr>
                <w:color w:val="auto"/>
              </w:rPr>
              <w:t>)</w:t>
            </w:r>
          </w:p>
        </w:tc>
        <w:tc>
          <w:tcPr>
            <w:tcW w:w="1043" w:type="pct"/>
            <w:vAlign w:val="center"/>
          </w:tcPr>
          <w:p w14:paraId="34EFFC13" w14:textId="77777777" w:rsidR="00416180" w:rsidRPr="00FC71BE" w:rsidRDefault="00416180" w:rsidP="00257003">
            <w:pPr>
              <w:pStyle w:val="Table"/>
              <w:rPr>
                <w:color w:val="auto"/>
              </w:rPr>
            </w:pPr>
            <w:r w:rsidRPr="00FC71BE">
              <w:rPr>
                <w:color w:val="auto"/>
              </w:rPr>
              <w:t>0.181</w:t>
            </w:r>
          </w:p>
        </w:tc>
        <w:tc>
          <w:tcPr>
            <w:tcW w:w="933" w:type="pct"/>
            <w:vAlign w:val="center"/>
          </w:tcPr>
          <w:p w14:paraId="75A63692" w14:textId="77777777" w:rsidR="00416180" w:rsidRPr="00FC71BE" w:rsidRDefault="00416180" w:rsidP="00257003">
            <w:pPr>
              <w:pStyle w:val="Table"/>
              <w:rPr>
                <w:color w:val="auto"/>
              </w:rPr>
            </w:pPr>
            <w:r w:rsidRPr="00FC71BE">
              <w:rPr>
                <w:color w:val="auto"/>
              </w:rPr>
              <w:t>14360</w:t>
            </w:r>
          </w:p>
        </w:tc>
        <w:tc>
          <w:tcPr>
            <w:tcW w:w="588" w:type="pct"/>
            <w:vAlign w:val="center"/>
          </w:tcPr>
          <w:p w14:paraId="04887ECC" w14:textId="77777777" w:rsidR="00416180" w:rsidRPr="00FC71BE" w:rsidRDefault="00416180" w:rsidP="00257003">
            <w:pPr>
              <w:pStyle w:val="Table"/>
              <w:rPr>
                <w:color w:val="auto"/>
              </w:rPr>
            </w:pPr>
            <w:r w:rsidRPr="00FC71BE">
              <w:rPr>
                <w:color w:val="auto"/>
              </w:rPr>
              <w:t>0.083</w:t>
            </w:r>
          </w:p>
        </w:tc>
        <w:tc>
          <w:tcPr>
            <w:tcW w:w="846" w:type="pct"/>
            <w:vAlign w:val="center"/>
          </w:tcPr>
          <w:p w14:paraId="0375000D" w14:textId="77777777" w:rsidR="00416180" w:rsidRPr="00FC71BE" w:rsidRDefault="00416180" w:rsidP="00257003">
            <w:pPr>
              <w:pStyle w:val="Table"/>
              <w:rPr>
                <w:color w:val="auto"/>
              </w:rPr>
            </w:pPr>
            <w:r w:rsidRPr="00FC71BE">
              <w:rPr>
                <w:color w:val="auto"/>
              </w:rPr>
              <w:t>8.9</w:t>
            </w:r>
            <m:oMath>
              <m:r>
                <w:rPr>
                  <w:rFonts w:ascii="Cambria Math" w:hAnsi="Cambria Math"/>
                  <w:color w:val="auto"/>
                </w:rPr>
                <m:t>×</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-6</m:t>
                  </m:r>
                </m:sup>
              </m:sSup>
            </m:oMath>
          </w:p>
        </w:tc>
      </w:tr>
      <w:tr w:rsidR="00FC71BE" w:rsidRPr="00FC71BE" w14:paraId="68FDB118" w14:textId="77777777">
        <w:tc>
          <w:tcPr>
            <w:tcW w:w="474" w:type="pct"/>
            <w:vMerge w:val="restart"/>
            <w:vAlign w:val="center"/>
          </w:tcPr>
          <w:p w14:paraId="32D6B07C" w14:textId="77777777" w:rsidR="00416180" w:rsidRPr="00FC71BE" w:rsidRDefault="00416180" w:rsidP="00257003">
            <w:pPr>
              <w:pStyle w:val="Table"/>
              <w:rPr>
                <w:color w:val="auto"/>
              </w:rPr>
            </w:pPr>
            <w:r w:rsidRPr="00FC71BE">
              <w:rPr>
                <w:color w:val="auto"/>
              </w:rPr>
              <w:t>Liquid</w:t>
            </w:r>
          </w:p>
        </w:tc>
        <w:tc>
          <w:tcPr>
            <w:tcW w:w="1115" w:type="pct"/>
            <w:vAlign w:val="center"/>
          </w:tcPr>
          <w:p w14:paraId="713D664D" w14:textId="77777777" w:rsidR="00416180" w:rsidRPr="00FC71BE" w:rsidRDefault="00416180" w:rsidP="00257003">
            <w:pPr>
              <w:pStyle w:val="Table"/>
              <w:rPr>
                <w:color w:val="auto"/>
              </w:rPr>
            </w:pPr>
            <w:r w:rsidRPr="00FC71BE">
              <w:rPr>
                <w:color w:val="auto"/>
              </w:rPr>
              <w:t>Water</w:t>
            </w:r>
          </w:p>
        </w:tc>
        <w:tc>
          <w:tcPr>
            <w:tcW w:w="1043" w:type="pct"/>
            <w:vAlign w:val="center"/>
          </w:tcPr>
          <w:p w14:paraId="5B8A8F55" w14:textId="77777777" w:rsidR="00416180" w:rsidRPr="00FC71BE" w:rsidRDefault="00416180" w:rsidP="00257003">
            <w:pPr>
              <w:pStyle w:val="Table"/>
              <w:rPr>
                <w:color w:val="auto"/>
              </w:rPr>
            </w:pPr>
            <w:r w:rsidRPr="00FC71BE">
              <w:rPr>
                <w:color w:val="auto"/>
              </w:rPr>
              <w:t>0.607</w:t>
            </w:r>
          </w:p>
        </w:tc>
        <w:tc>
          <w:tcPr>
            <w:tcW w:w="933" w:type="pct"/>
            <w:vAlign w:val="center"/>
          </w:tcPr>
          <w:p w14:paraId="6DA9975A" w14:textId="77777777" w:rsidR="00416180" w:rsidRPr="00FC71BE" w:rsidRDefault="00416180" w:rsidP="00257003">
            <w:pPr>
              <w:pStyle w:val="Table"/>
              <w:rPr>
                <w:color w:val="auto"/>
              </w:rPr>
            </w:pPr>
            <w:r w:rsidRPr="00FC71BE">
              <w:rPr>
                <w:color w:val="auto"/>
              </w:rPr>
              <w:t>4182</w:t>
            </w:r>
          </w:p>
        </w:tc>
        <w:tc>
          <w:tcPr>
            <w:tcW w:w="588" w:type="pct"/>
            <w:vAlign w:val="center"/>
          </w:tcPr>
          <w:p w14:paraId="1E2051FB" w14:textId="77777777" w:rsidR="00416180" w:rsidRPr="00FC71BE" w:rsidRDefault="00416180" w:rsidP="00257003">
            <w:pPr>
              <w:pStyle w:val="Table"/>
              <w:rPr>
                <w:color w:val="auto"/>
              </w:rPr>
            </w:pPr>
            <w:r w:rsidRPr="00FC71BE">
              <w:rPr>
                <w:color w:val="auto"/>
              </w:rPr>
              <w:t>997</w:t>
            </w:r>
          </w:p>
        </w:tc>
        <w:tc>
          <w:tcPr>
            <w:tcW w:w="846" w:type="pct"/>
            <w:vAlign w:val="center"/>
          </w:tcPr>
          <w:p w14:paraId="58F5CE71" w14:textId="77777777" w:rsidR="00416180" w:rsidRPr="00FC71BE" w:rsidRDefault="00416180" w:rsidP="00257003">
            <w:pPr>
              <w:pStyle w:val="Table"/>
              <w:rPr>
                <w:color w:val="auto"/>
              </w:rPr>
            </w:pPr>
            <w:r w:rsidRPr="00FC71BE">
              <w:rPr>
                <w:color w:val="auto"/>
              </w:rPr>
              <w:t>8.90</w:t>
            </w:r>
            <m:oMath>
              <m:r>
                <w:rPr>
                  <w:rFonts w:ascii="Cambria Math" w:hAnsi="Cambria Math"/>
                  <w:color w:val="auto"/>
                </w:rPr>
                <m:t>×</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-4</m:t>
                  </m:r>
                </m:sup>
              </m:sSup>
            </m:oMath>
          </w:p>
        </w:tc>
      </w:tr>
      <w:tr w:rsidR="00FC71BE" w:rsidRPr="00FC71BE" w14:paraId="70A7B66C" w14:textId="77777777">
        <w:tc>
          <w:tcPr>
            <w:tcW w:w="474" w:type="pct"/>
            <w:vMerge/>
            <w:vAlign w:val="center"/>
          </w:tcPr>
          <w:p w14:paraId="677FE312" w14:textId="77777777" w:rsidR="00416180" w:rsidRPr="00FC71BE" w:rsidRDefault="00416180" w:rsidP="00257003">
            <w:pPr>
              <w:pStyle w:val="Table"/>
              <w:rPr>
                <w:color w:val="auto"/>
              </w:rPr>
            </w:pPr>
          </w:p>
        </w:tc>
        <w:tc>
          <w:tcPr>
            <w:tcW w:w="1115" w:type="pct"/>
            <w:vAlign w:val="center"/>
          </w:tcPr>
          <w:p w14:paraId="30372552" w14:textId="77777777" w:rsidR="00416180" w:rsidRPr="00FC71BE" w:rsidRDefault="00416180" w:rsidP="00257003">
            <w:pPr>
              <w:pStyle w:val="Table"/>
              <w:rPr>
                <w:color w:val="auto"/>
              </w:rPr>
            </w:pPr>
            <w:r w:rsidRPr="00FC71BE">
              <w:rPr>
                <w:color w:val="auto"/>
              </w:rPr>
              <w:t>Engine oil (50</w:t>
            </w:r>
            <m:oMath>
              <m:r>
                <w:rPr>
                  <w:rFonts w:ascii="Cambria Math" w:hAnsi="Cambria Math"/>
                  <w:color w:val="auto"/>
                </w:rPr>
                <m:t>℃</m:t>
              </m:r>
            </m:oMath>
            <w:r w:rsidRPr="00FC71BE">
              <w:rPr>
                <w:color w:val="auto"/>
              </w:rPr>
              <w:t>)</w:t>
            </w:r>
          </w:p>
        </w:tc>
        <w:tc>
          <w:tcPr>
            <w:tcW w:w="1043" w:type="pct"/>
            <w:vAlign w:val="center"/>
          </w:tcPr>
          <w:p w14:paraId="4E9F9753" w14:textId="77777777" w:rsidR="00416180" w:rsidRPr="00FC71BE" w:rsidRDefault="00416180" w:rsidP="00257003">
            <w:pPr>
              <w:pStyle w:val="Table"/>
              <w:rPr>
                <w:color w:val="auto"/>
              </w:rPr>
            </w:pPr>
            <w:r w:rsidRPr="00FC71BE">
              <w:rPr>
                <w:color w:val="auto"/>
              </w:rPr>
              <w:t>0.142</w:t>
            </w:r>
          </w:p>
        </w:tc>
        <w:tc>
          <w:tcPr>
            <w:tcW w:w="933" w:type="pct"/>
            <w:vAlign w:val="center"/>
          </w:tcPr>
          <w:p w14:paraId="5B7D3181" w14:textId="77777777" w:rsidR="00416180" w:rsidRPr="00FC71BE" w:rsidRDefault="00416180" w:rsidP="00257003">
            <w:pPr>
              <w:pStyle w:val="Table"/>
              <w:rPr>
                <w:color w:val="auto"/>
              </w:rPr>
            </w:pPr>
            <w:r w:rsidRPr="00FC71BE">
              <w:rPr>
                <w:color w:val="auto"/>
              </w:rPr>
              <w:t>2006</w:t>
            </w:r>
          </w:p>
        </w:tc>
        <w:tc>
          <w:tcPr>
            <w:tcW w:w="588" w:type="pct"/>
            <w:vAlign w:val="center"/>
          </w:tcPr>
          <w:p w14:paraId="6CE10058" w14:textId="77777777" w:rsidR="00416180" w:rsidRPr="00FC71BE" w:rsidRDefault="00416180" w:rsidP="00257003">
            <w:pPr>
              <w:pStyle w:val="Table"/>
              <w:rPr>
                <w:color w:val="auto"/>
              </w:rPr>
            </w:pPr>
            <w:r w:rsidRPr="00FC71BE">
              <w:rPr>
                <w:color w:val="auto"/>
              </w:rPr>
              <w:t>870.6</w:t>
            </w:r>
          </w:p>
        </w:tc>
        <w:tc>
          <w:tcPr>
            <w:tcW w:w="846" w:type="pct"/>
            <w:vAlign w:val="center"/>
          </w:tcPr>
          <w:p w14:paraId="0ED7320C" w14:textId="77777777" w:rsidR="00416180" w:rsidRPr="00FC71BE" w:rsidRDefault="00416180" w:rsidP="00257003">
            <w:pPr>
              <w:pStyle w:val="Table"/>
              <w:rPr>
                <w:color w:val="auto"/>
              </w:rPr>
            </w:pPr>
            <w:r w:rsidRPr="00FC71BE">
              <w:rPr>
                <w:color w:val="auto"/>
              </w:rPr>
              <w:t>0.143</w:t>
            </w:r>
          </w:p>
        </w:tc>
      </w:tr>
      <w:tr w:rsidR="00FC71BE" w:rsidRPr="00FC71BE" w14:paraId="5FD3DE18" w14:textId="77777777">
        <w:tc>
          <w:tcPr>
            <w:tcW w:w="474" w:type="pct"/>
            <w:vMerge/>
            <w:vAlign w:val="center"/>
          </w:tcPr>
          <w:p w14:paraId="6D0E32AF" w14:textId="77777777" w:rsidR="00416180" w:rsidRPr="00FC71BE" w:rsidRDefault="00416180" w:rsidP="00257003">
            <w:pPr>
              <w:pStyle w:val="Table"/>
              <w:rPr>
                <w:color w:val="auto"/>
              </w:rPr>
            </w:pPr>
          </w:p>
        </w:tc>
        <w:tc>
          <w:tcPr>
            <w:tcW w:w="1115" w:type="pct"/>
            <w:vAlign w:val="center"/>
          </w:tcPr>
          <w:p w14:paraId="54BB61AD" w14:textId="77777777" w:rsidR="00416180" w:rsidRPr="00FC71BE" w:rsidRDefault="00416180" w:rsidP="00257003">
            <w:pPr>
              <w:pStyle w:val="Table"/>
              <w:rPr>
                <w:color w:val="auto"/>
              </w:rPr>
            </w:pPr>
            <w:r w:rsidRPr="00FC71BE">
              <w:rPr>
                <w:color w:val="auto"/>
              </w:rPr>
              <w:t>ATL 134 fluid (50</w:t>
            </w:r>
            <m:oMath>
              <m:r>
                <w:rPr>
                  <w:rFonts w:ascii="Cambria Math" w:hAnsi="Cambria Math"/>
                  <w:color w:val="auto"/>
                </w:rPr>
                <m:t>℃</m:t>
              </m:r>
            </m:oMath>
            <w:r w:rsidRPr="00FC71BE">
              <w:rPr>
                <w:color w:val="auto"/>
              </w:rPr>
              <w:t>)</w:t>
            </w:r>
          </w:p>
        </w:tc>
        <w:tc>
          <w:tcPr>
            <w:tcW w:w="1043" w:type="pct"/>
            <w:vAlign w:val="center"/>
          </w:tcPr>
          <w:p w14:paraId="339F1EA9" w14:textId="77777777" w:rsidR="00416180" w:rsidRPr="00FC71BE" w:rsidRDefault="00416180" w:rsidP="00257003">
            <w:pPr>
              <w:pStyle w:val="Table"/>
              <w:rPr>
                <w:color w:val="auto"/>
              </w:rPr>
            </w:pPr>
            <w:r w:rsidRPr="00FC71BE">
              <w:rPr>
                <w:color w:val="auto"/>
              </w:rPr>
              <w:t>0.135</w:t>
            </w:r>
          </w:p>
        </w:tc>
        <w:tc>
          <w:tcPr>
            <w:tcW w:w="933" w:type="pct"/>
            <w:vAlign w:val="center"/>
          </w:tcPr>
          <w:p w14:paraId="7A681A0C" w14:textId="77777777" w:rsidR="00416180" w:rsidRPr="00FC71BE" w:rsidRDefault="00416180" w:rsidP="00257003">
            <w:pPr>
              <w:pStyle w:val="Table"/>
              <w:rPr>
                <w:color w:val="auto"/>
              </w:rPr>
            </w:pPr>
            <w:r w:rsidRPr="00FC71BE">
              <w:rPr>
                <w:color w:val="auto"/>
              </w:rPr>
              <w:t>2200</w:t>
            </w:r>
          </w:p>
        </w:tc>
        <w:tc>
          <w:tcPr>
            <w:tcW w:w="588" w:type="pct"/>
            <w:vAlign w:val="center"/>
          </w:tcPr>
          <w:p w14:paraId="06BC4AB4" w14:textId="77777777" w:rsidR="00416180" w:rsidRPr="00FC71BE" w:rsidRDefault="00416180" w:rsidP="00257003">
            <w:pPr>
              <w:pStyle w:val="Table"/>
              <w:rPr>
                <w:color w:val="auto"/>
              </w:rPr>
            </w:pPr>
            <w:r w:rsidRPr="00FC71BE">
              <w:rPr>
                <w:color w:val="auto"/>
              </w:rPr>
              <w:t>822</w:t>
            </w:r>
          </w:p>
        </w:tc>
        <w:tc>
          <w:tcPr>
            <w:tcW w:w="846" w:type="pct"/>
            <w:vAlign w:val="center"/>
          </w:tcPr>
          <w:p w14:paraId="008A971D" w14:textId="77777777" w:rsidR="00416180" w:rsidRPr="00FC71BE" w:rsidRDefault="00416180" w:rsidP="00257003">
            <w:pPr>
              <w:pStyle w:val="Table"/>
              <w:rPr>
                <w:color w:val="auto"/>
              </w:rPr>
            </w:pPr>
            <w:r w:rsidRPr="00FC71BE">
              <w:rPr>
                <w:color w:val="auto"/>
              </w:rPr>
              <w:t>0.017</w:t>
            </w:r>
          </w:p>
        </w:tc>
      </w:tr>
      <w:tr w:rsidR="00FC71BE" w:rsidRPr="00FC71BE" w14:paraId="77F0A87C" w14:textId="77777777">
        <w:tc>
          <w:tcPr>
            <w:tcW w:w="474" w:type="pct"/>
            <w:vMerge/>
            <w:vAlign w:val="center"/>
          </w:tcPr>
          <w:p w14:paraId="5DFC1F27" w14:textId="77777777" w:rsidR="00416180" w:rsidRPr="00FC71BE" w:rsidRDefault="00416180" w:rsidP="00257003">
            <w:pPr>
              <w:pStyle w:val="Table"/>
              <w:rPr>
                <w:color w:val="auto"/>
              </w:rPr>
            </w:pPr>
          </w:p>
        </w:tc>
        <w:tc>
          <w:tcPr>
            <w:tcW w:w="1115" w:type="pct"/>
            <w:vAlign w:val="center"/>
          </w:tcPr>
          <w:p w14:paraId="2C43F7B5" w14:textId="77777777" w:rsidR="00416180" w:rsidRPr="00FC71BE" w:rsidRDefault="00416180" w:rsidP="00257003">
            <w:pPr>
              <w:pStyle w:val="Table"/>
              <w:rPr>
                <w:color w:val="auto"/>
              </w:rPr>
            </w:pPr>
            <w:r w:rsidRPr="00FC71BE">
              <w:rPr>
                <w:color w:val="auto"/>
              </w:rPr>
              <w:t>Brayco Micronic 756 (50</w:t>
            </w:r>
            <m:oMath>
              <m:r>
                <w:rPr>
                  <w:rFonts w:ascii="Cambria Math" w:hAnsi="Cambria Math"/>
                  <w:color w:val="auto"/>
                </w:rPr>
                <m:t>℃</m:t>
              </m:r>
            </m:oMath>
            <w:r w:rsidRPr="00FC71BE">
              <w:rPr>
                <w:color w:val="auto"/>
              </w:rPr>
              <w:t>)</w:t>
            </w:r>
          </w:p>
        </w:tc>
        <w:tc>
          <w:tcPr>
            <w:tcW w:w="1043" w:type="pct"/>
            <w:vAlign w:val="center"/>
          </w:tcPr>
          <w:p w14:paraId="46829ABE" w14:textId="77777777" w:rsidR="00416180" w:rsidRPr="00FC71BE" w:rsidRDefault="00416180" w:rsidP="00257003">
            <w:pPr>
              <w:pStyle w:val="Table"/>
              <w:rPr>
                <w:color w:val="auto"/>
              </w:rPr>
            </w:pPr>
            <w:r w:rsidRPr="00FC71BE">
              <w:rPr>
                <w:color w:val="auto"/>
              </w:rPr>
              <w:t>0.134</w:t>
            </w:r>
          </w:p>
        </w:tc>
        <w:tc>
          <w:tcPr>
            <w:tcW w:w="933" w:type="pct"/>
            <w:vAlign w:val="center"/>
          </w:tcPr>
          <w:p w14:paraId="1B774983" w14:textId="77777777" w:rsidR="00416180" w:rsidRPr="00FC71BE" w:rsidRDefault="00416180" w:rsidP="00257003">
            <w:pPr>
              <w:pStyle w:val="Table"/>
              <w:rPr>
                <w:color w:val="auto"/>
              </w:rPr>
            </w:pPr>
            <w:r w:rsidRPr="00FC71BE">
              <w:rPr>
                <w:color w:val="auto"/>
              </w:rPr>
              <w:t>1997</w:t>
            </w:r>
          </w:p>
        </w:tc>
        <w:tc>
          <w:tcPr>
            <w:tcW w:w="588" w:type="pct"/>
            <w:vAlign w:val="center"/>
          </w:tcPr>
          <w:p w14:paraId="4A4BDBF0" w14:textId="77777777" w:rsidR="00416180" w:rsidRPr="00FC71BE" w:rsidRDefault="00416180" w:rsidP="00257003">
            <w:pPr>
              <w:pStyle w:val="Table"/>
              <w:rPr>
                <w:color w:val="auto"/>
              </w:rPr>
            </w:pPr>
            <w:r w:rsidRPr="00FC71BE">
              <w:rPr>
                <w:color w:val="auto"/>
              </w:rPr>
              <w:t>828.4</w:t>
            </w:r>
          </w:p>
        </w:tc>
        <w:tc>
          <w:tcPr>
            <w:tcW w:w="846" w:type="pct"/>
            <w:vAlign w:val="center"/>
          </w:tcPr>
          <w:p w14:paraId="5B416C9D" w14:textId="77777777" w:rsidR="00416180" w:rsidRPr="00FC71BE" w:rsidRDefault="00416180" w:rsidP="00257003">
            <w:pPr>
              <w:pStyle w:val="Table"/>
              <w:rPr>
                <w:color w:val="auto"/>
              </w:rPr>
            </w:pPr>
            <w:r w:rsidRPr="00FC71BE">
              <w:rPr>
                <w:color w:val="auto"/>
              </w:rPr>
              <w:t>0.012</w:t>
            </w:r>
          </w:p>
        </w:tc>
      </w:tr>
      <w:tr w:rsidR="00FC71BE" w:rsidRPr="00FC71BE" w14:paraId="6A408BCE" w14:textId="77777777">
        <w:tc>
          <w:tcPr>
            <w:tcW w:w="474" w:type="pct"/>
            <w:vMerge/>
            <w:vAlign w:val="center"/>
          </w:tcPr>
          <w:p w14:paraId="667C9B00" w14:textId="77777777" w:rsidR="00416180" w:rsidRPr="00FC71BE" w:rsidRDefault="00416180" w:rsidP="00257003">
            <w:pPr>
              <w:pStyle w:val="Table"/>
              <w:rPr>
                <w:color w:val="auto"/>
              </w:rPr>
            </w:pPr>
          </w:p>
        </w:tc>
        <w:tc>
          <w:tcPr>
            <w:tcW w:w="1115" w:type="pct"/>
            <w:vAlign w:val="center"/>
          </w:tcPr>
          <w:p w14:paraId="555335E0" w14:textId="77777777" w:rsidR="00416180" w:rsidRPr="00FC71BE" w:rsidRDefault="00416180" w:rsidP="00257003">
            <w:pPr>
              <w:pStyle w:val="Table"/>
              <w:rPr>
                <w:color w:val="auto"/>
              </w:rPr>
            </w:pPr>
            <w:r w:rsidRPr="00FC71BE">
              <w:rPr>
                <w:color w:val="auto"/>
              </w:rPr>
              <w:t>EGW 50/50 (50</w:t>
            </w:r>
            <m:oMath>
              <m:r>
                <w:rPr>
                  <w:rFonts w:ascii="Cambria Math" w:hAnsi="Cambria Math"/>
                  <w:color w:val="auto"/>
                </w:rPr>
                <m:t>℃</m:t>
              </m:r>
            </m:oMath>
            <w:r w:rsidRPr="00FC71BE">
              <w:rPr>
                <w:color w:val="auto"/>
              </w:rPr>
              <w:t>)</w:t>
            </w:r>
          </w:p>
        </w:tc>
        <w:tc>
          <w:tcPr>
            <w:tcW w:w="1043" w:type="pct"/>
            <w:vAlign w:val="center"/>
          </w:tcPr>
          <w:p w14:paraId="7446BB46" w14:textId="77777777" w:rsidR="00416180" w:rsidRPr="00FC71BE" w:rsidRDefault="00416180" w:rsidP="00257003">
            <w:pPr>
              <w:pStyle w:val="Table"/>
              <w:rPr>
                <w:color w:val="auto"/>
              </w:rPr>
            </w:pPr>
            <w:r w:rsidRPr="00FC71BE">
              <w:rPr>
                <w:color w:val="auto"/>
              </w:rPr>
              <w:t>0.405</w:t>
            </w:r>
          </w:p>
        </w:tc>
        <w:tc>
          <w:tcPr>
            <w:tcW w:w="933" w:type="pct"/>
            <w:vAlign w:val="center"/>
          </w:tcPr>
          <w:p w14:paraId="588B51A8" w14:textId="77777777" w:rsidR="00416180" w:rsidRPr="00FC71BE" w:rsidRDefault="00416180" w:rsidP="00257003">
            <w:pPr>
              <w:pStyle w:val="Table"/>
              <w:rPr>
                <w:color w:val="auto"/>
              </w:rPr>
            </w:pPr>
            <w:r w:rsidRPr="00FC71BE">
              <w:rPr>
                <w:color w:val="auto"/>
              </w:rPr>
              <w:t>3420</w:t>
            </w:r>
          </w:p>
        </w:tc>
        <w:tc>
          <w:tcPr>
            <w:tcW w:w="588" w:type="pct"/>
            <w:vAlign w:val="center"/>
          </w:tcPr>
          <w:p w14:paraId="73C88327" w14:textId="77777777" w:rsidR="00416180" w:rsidRPr="00FC71BE" w:rsidRDefault="00416180" w:rsidP="00257003">
            <w:pPr>
              <w:pStyle w:val="Table"/>
              <w:rPr>
                <w:color w:val="auto"/>
              </w:rPr>
            </w:pPr>
            <w:r w:rsidRPr="00FC71BE">
              <w:rPr>
                <w:color w:val="auto"/>
              </w:rPr>
              <w:t>1059</w:t>
            </w:r>
          </w:p>
        </w:tc>
        <w:tc>
          <w:tcPr>
            <w:tcW w:w="846" w:type="pct"/>
            <w:vAlign w:val="center"/>
          </w:tcPr>
          <w:p w14:paraId="6E5C694C" w14:textId="77777777" w:rsidR="00416180" w:rsidRPr="00FC71BE" w:rsidRDefault="00416180" w:rsidP="00257003">
            <w:pPr>
              <w:pStyle w:val="Table"/>
              <w:rPr>
                <w:color w:val="auto"/>
              </w:rPr>
            </w:pPr>
            <m:oMathPara>
              <m:oMath>
                <m:r>
                  <w:rPr>
                    <w:rFonts w:ascii="Cambria Math" w:hAnsi="Cambria Math"/>
                    <w:color w:val="auto"/>
                  </w:rPr>
                  <m:t>1.97×</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-3</m:t>
                    </m:r>
                  </m:sup>
                </m:sSup>
              </m:oMath>
            </m:oMathPara>
          </w:p>
        </w:tc>
      </w:tr>
      <w:tr w:rsidR="005E3DFE" w:rsidRPr="00FC71BE" w14:paraId="68FB5B8B" w14:textId="77777777">
        <w:tc>
          <w:tcPr>
            <w:tcW w:w="474" w:type="pct"/>
            <w:vMerge/>
            <w:vAlign w:val="center"/>
          </w:tcPr>
          <w:p w14:paraId="49406023" w14:textId="77777777" w:rsidR="00416180" w:rsidRPr="00FC71BE" w:rsidRDefault="00416180" w:rsidP="00257003">
            <w:pPr>
              <w:pStyle w:val="Table"/>
              <w:rPr>
                <w:color w:val="auto"/>
              </w:rPr>
            </w:pPr>
          </w:p>
        </w:tc>
        <w:tc>
          <w:tcPr>
            <w:tcW w:w="1115" w:type="pct"/>
            <w:vAlign w:val="center"/>
          </w:tcPr>
          <w:p w14:paraId="45B4F3AF" w14:textId="77777777" w:rsidR="00416180" w:rsidRPr="00FC71BE" w:rsidRDefault="00416180" w:rsidP="00257003">
            <w:pPr>
              <w:pStyle w:val="Table"/>
              <w:rPr>
                <w:color w:val="auto"/>
              </w:rPr>
            </w:pPr>
            <w:r w:rsidRPr="00FC71BE">
              <w:rPr>
                <w:color w:val="auto"/>
              </w:rPr>
              <w:t>PGW 50/50 (50</w:t>
            </w:r>
            <m:oMath>
              <m:r>
                <w:rPr>
                  <w:rFonts w:ascii="Cambria Math" w:hAnsi="Cambria Math"/>
                  <w:color w:val="auto"/>
                </w:rPr>
                <m:t>℃</m:t>
              </m:r>
            </m:oMath>
            <w:r w:rsidRPr="00FC71BE">
              <w:rPr>
                <w:color w:val="auto"/>
              </w:rPr>
              <w:t>)</w:t>
            </w:r>
          </w:p>
        </w:tc>
        <w:tc>
          <w:tcPr>
            <w:tcW w:w="1043" w:type="pct"/>
            <w:vAlign w:val="center"/>
          </w:tcPr>
          <w:p w14:paraId="49F559AA" w14:textId="77777777" w:rsidR="00416180" w:rsidRPr="00FC71BE" w:rsidRDefault="00416180" w:rsidP="00257003">
            <w:pPr>
              <w:pStyle w:val="Table"/>
              <w:rPr>
                <w:color w:val="auto"/>
              </w:rPr>
            </w:pPr>
            <w:r w:rsidRPr="00FC71BE">
              <w:rPr>
                <w:color w:val="auto"/>
              </w:rPr>
              <w:t>0.375</w:t>
            </w:r>
          </w:p>
        </w:tc>
        <w:tc>
          <w:tcPr>
            <w:tcW w:w="933" w:type="pct"/>
            <w:vAlign w:val="center"/>
          </w:tcPr>
          <w:p w14:paraId="647DA779" w14:textId="77777777" w:rsidR="00416180" w:rsidRPr="00FC71BE" w:rsidRDefault="00416180" w:rsidP="00257003">
            <w:pPr>
              <w:pStyle w:val="Table"/>
              <w:rPr>
                <w:color w:val="auto"/>
              </w:rPr>
            </w:pPr>
            <w:r w:rsidRPr="00FC71BE">
              <w:rPr>
                <w:color w:val="auto"/>
              </w:rPr>
              <w:t>3675</w:t>
            </w:r>
          </w:p>
        </w:tc>
        <w:tc>
          <w:tcPr>
            <w:tcW w:w="588" w:type="pct"/>
            <w:vAlign w:val="center"/>
          </w:tcPr>
          <w:p w14:paraId="438EA932" w14:textId="77777777" w:rsidR="00416180" w:rsidRPr="00FC71BE" w:rsidRDefault="00416180" w:rsidP="00257003">
            <w:pPr>
              <w:pStyle w:val="Table"/>
              <w:rPr>
                <w:color w:val="auto"/>
              </w:rPr>
            </w:pPr>
            <w:r w:rsidRPr="00FC71BE">
              <w:rPr>
                <w:color w:val="auto"/>
              </w:rPr>
              <w:t>1019</w:t>
            </w:r>
          </w:p>
        </w:tc>
        <w:tc>
          <w:tcPr>
            <w:tcW w:w="846" w:type="pct"/>
            <w:vAlign w:val="center"/>
          </w:tcPr>
          <w:p w14:paraId="52FDADA4" w14:textId="77777777" w:rsidR="00416180" w:rsidRPr="00FC71BE" w:rsidRDefault="00416180" w:rsidP="00257003">
            <w:pPr>
              <w:pStyle w:val="Table"/>
              <w:rPr>
                <w:color w:val="auto"/>
              </w:rPr>
            </w:pPr>
            <m:oMathPara>
              <m:oMath>
                <m:r>
                  <w:rPr>
                    <w:rFonts w:ascii="Cambria Math" w:hAnsi="Cambria Math"/>
                    <w:color w:val="auto"/>
                  </w:rPr>
                  <m:t>2.55×</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-3</m:t>
                    </m:r>
                  </m:sup>
                </m:sSup>
              </m:oMath>
            </m:oMathPara>
          </w:p>
        </w:tc>
      </w:tr>
    </w:tbl>
    <w:p w14:paraId="0DF3E414" w14:textId="77777777" w:rsidR="00416180" w:rsidRPr="00FC71BE" w:rsidRDefault="00416180" w:rsidP="00416180"/>
    <w:p w14:paraId="60817B0D" w14:textId="77777777" w:rsidR="00416180" w:rsidRPr="00FC71BE" w:rsidRDefault="00416180" w:rsidP="00AF4190">
      <w:pPr>
        <w:pStyle w:val="Heading4"/>
        <w:numPr>
          <w:ilvl w:val="0"/>
          <w:numId w:val="28"/>
        </w:numPr>
      </w:pPr>
      <w:r w:rsidRPr="00FC71BE">
        <w:t>Forced Air Cooling</w:t>
      </w:r>
    </w:p>
    <w:p w14:paraId="625A8CDE" w14:textId="3570D07E" w:rsidR="00416180" w:rsidRPr="00FC71BE" w:rsidRDefault="00416180" w:rsidP="00416180">
      <w:r w:rsidRPr="00FC71BE">
        <w:t xml:space="preserve">Force air cooling technology employs a fan or a blower to create airflow. The airflow can either pass through the machine outer frame, namely totally enclosed fan-cooled (TEFC) machine, or flow through the machine internal components, as observed in throughflow ventilation machine. The airflow patterns for these two machine configurations are shown in </w:t>
      </w:r>
      <w:r w:rsidRPr="00FC71BE">
        <w:fldChar w:fldCharType="begin"/>
      </w:r>
      <w:r w:rsidRPr="00FC71BE">
        <w:instrText xml:space="preserve"> REF _Ref147479938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17</w:t>
      </w:r>
      <w:r w:rsidRPr="00FC71BE">
        <w:fldChar w:fldCharType="end"/>
      </w:r>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04068441" w14:textId="77777777">
        <w:tc>
          <w:tcPr>
            <w:tcW w:w="4508" w:type="dxa"/>
          </w:tcPr>
          <w:p w14:paraId="46DB171C" w14:textId="77777777" w:rsidR="00416180" w:rsidRPr="00FC71BE" w:rsidRDefault="00416180">
            <w:pPr>
              <w:pStyle w:val="Figure"/>
              <w:rPr>
                <w:noProof w:val="0"/>
              </w:rPr>
            </w:pPr>
            <w:r w:rsidRPr="00FC71BE">
              <w:lastRenderedPageBreak/>
              <w:drawing>
                <wp:inline distT="0" distB="0" distL="0" distR="0" wp14:anchorId="675D307F" wp14:editId="5DF0F2A9">
                  <wp:extent cx="2251175" cy="2088000"/>
                  <wp:effectExtent l="0" t="0" r="0" b="7620"/>
                  <wp:docPr id="1672796860" name="Picture 1672796860"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96860" name="Picture 1672796860" descr="A diagram of a machin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51175" cy="2088000"/>
                          </a:xfrm>
                          <a:prstGeom prst="rect">
                            <a:avLst/>
                          </a:prstGeom>
                          <a:noFill/>
                        </pic:spPr>
                      </pic:pic>
                    </a:graphicData>
                  </a:graphic>
                </wp:inline>
              </w:drawing>
            </w:r>
          </w:p>
        </w:tc>
        <w:tc>
          <w:tcPr>
            <w:tcW w:w="4508" w:type="dxa"/>
          </w:tcPr>
          <w:p w14:paraId="5E126DAE" w14:textId="77777777" w:rsidR="00416180" w:rsidRPr="00FC71BE" w:rsidRDefault="00416180">
            <w:pPr>
              <w:pStyle w:val="Figure"/>
              <w:rPr>
                <w:noProof w:val="0"/>
              </w:rPr>
            </w:pPr>
            <w:r w:rsidRPr="00FC71BE">
              <w:drawing>
                <wp:inline distT="0" distB="0" distL="0" distR="0" wp14:anchorId="7746044A" wp14:editId="2F76B386">
                  <wp:extent cx="2527293" cy="2088000"/>
                  <wp:effectExtent l="0" t="0" r="6985" b="7620"/>
                  <wp:docPr id="15" name="Picture 15" descr="A diagram of a machine&#10;&#10;Description automatically generated">
                    <a:extLst xmlns:a="http://schemas.openxmlformats.org/drawingml/2006/main">
                      <a:ext uri="{FF2B5EF4-FFF2-40B4-BE49-F238E27FC236}">
                        <a16:creationId xmlns:a16="http://schemas.microsoft.com/office/drawing/2014/main" id="{D27E46C5-2433-0A76-53B2-CC3DCBD7F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diagram of a machine&#10;&#10;Description automatically generated">
                            <a:extLst>
                              <a:ext uri="{FF2B5EF4-FFF2-40B4-BE49-F238E27FC236}">
                                <a16:creationId xmlns:a16="http://schemas.microsoft.com/office/drawing/2014/main" id="{D27E46C5-2433-0A76-53B2-CC3DCBD7F729}"/>
                              </a:ext>
                            </a:extLst>
                          </pic:cNvPr>
                          <pic:cNvPicPr>
                            <a:picLocks noChangeAspect="1"/>
                          </pic:cNvPicPr>
                        </pic:nvPicPr>
                        <pic:blipFill>
                          <a:blip r:embed="rId38"/>
                          <a:stretch>
                            <a:fillRect/>
                          </a:stretch>
                        </pic:blipFill>
                        <pic:spPr>
                          <a:xfrm>
                            <a:off x="0" y="0"/>
                            <a:ext cx="2527293" cy="2088000"/>
                          </a:xfrm>
                          <a:prstGeom prst="rect">
                            <a:avLst/>
                          </a:prstGeom>
                        </pic:spPr>
                      </pic:pic>
                    </a:graphicData>
                  </a:graphic>
                </wp:inline>
              </w:drawing>
            </w:r>
          </w:p>
        </w:tc>
      </w:tr>
      <w:tr w:rsidR="00FC71BE" w:rsidRPr="00FC71BE" w14:paraId="4C977CFD" w14:textId="77777777">
        <w:tc>
          <w:tcPr>
            <w:tcW w:w="4508" w:type="dxa"/>
          </w:tcPr>
          <w:p w14:paraId="090C7581" w14:textId="77777777" w:rsidR="00416180" w:rsidRPr="00FC71BE" w:rsidRDefault="00416180">
            <w:pPr>
              <w:pStyle w:val="Figure"/>
              <w:rPr>
                <w:noProof w:val="0"/>
              </w:rPr>
            </w:pPr>
            <w:r w:rsidRPr="00FC71BE">
              <w:rPr>
                <w:noProof w:val="0"/>
              </w:rPr>
              <w:t>(a) TEFC</w:t>
            </w:r>
          </w:p>
        </w:tc>
        <w:tc>
          <w:tcPr>
            <w:tcW w:w="4508" w:type="dxa"/>
          </w:tcPr>
          <w:p w14:paraId="3E0478B5" w14:textId="77777777" w:rsidR="00416180" w:rsidRPr="00FC71BE" w:rsidRDefault="00416180">
            <w:pPr>
              <w:pStyle w:val="Figure"/>
              <w:rPr>
                <w:noProof w:val="0"/>
              </w:rPr>
            </w:pPr>
            <w:r w:rsidRPr="00FC71BE">
              <w:rPr>
                <w:noProof w:val="0"/>
              </w:rPr>
              <w:t>(b) Throughflow ventilation machine</w:t>
            </w:r>
          </w:p>
        </w:tc>
      </w:tr>
    </w:tbl>
    <w:p w14:paraId="6AA2C974" w14:textId="54885016" w:rsidR="00416180" w:rsidRPr="00FC71BE" w:rsidRDefault="00416180" w:rsidP="00416180">
      <w:pPr>
        <w:pStyle w:val="FigureTitle"/>
      </w:pPr>
      <w:bookmarkStart w:id="40" w:name="_Ref147479938"/>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17</w:t>
      </w:r>
      <w:r w:rsidRPr="00FC71BE">
        <w:rPr>
          <w:rStyle w:val="FigureTitleChar"/>
          <w:color w:val="auto"/>
        </w:rPr>
        <w:fldChar w:fldCharType="end"/>
      </w:r>
      <w:bookmarkEnd w:id="40"/>
      <w:r w:rsidRPr="00FC71BE">
        <w:rPr>
          <w:rStyle w:val="FigureTitleChar"/>
          <w:color w:val="auto"/>
        </w:rPr>
        <w:t xml:space="preserve">. </w:t>
      </w:r>
      <w:r w:rsidRPr="00FC71BE">
        <w:t>Airflows for an electrical machine with forced air cooling systems.</w:t>
      </w:r>
    </w:p>
    <w:p w14:paraId="0217554A" w14:textId="6196D9D2" w:rsidR="00416180" w:rsidRPr="00FC71BE" w:rsidRDefault="00416180" w:rsidP="00416180">
      <w:r w:rsidRPr="00FC71BE">
        <w:t xml:space="preserve">In comparison to passive cooling systems, forced air cooling systems significantly enhance heat convection. Various machine designs utilize fans in different locations to generate different airflow patterns. For example, the enclosed fan cooled (EFC) machine implements a fan outside the totally enclosed machine, as shown in </w:t>
      </w:r>
      <w:r w:rsidRPr="00FC71BE">
        <w:fldChar w:fldCharType="begin"/>
      </w:r>
      <w:r w:rsidRPr="00FC71BE">
        <w:instrText xml:space="preserve"> REF _Ref147479938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17</w:t>
      </w:r>
      <w:r w:rsidRPr="00FC71BE">
        <w:fldChar w:fldCharType="end"/>
      </w:r>
      <w:r w:rsidRPr="00FC71BE">
        <w:t xml:space="preserve"> (a) </w:t>
      </w:r>
      <w:r w:rsidRPr="00FC71BE">
        <w:fldChar w:fldCharType="begin">
          <w:fldData xml:space="preserve">PEVuZE5vdGU+PENpdGU+PEF1dGhvcj5Sb2ZmaTwvQXV0aG9yPjxZZWFyPjIwMTc8L1llYXI+PFJl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</w:fldData>
        </w:fldChar>
      </w:r>
      <w:r w:rsidR="00103B0D" w:rsidRPr="00FC71BE">
        <w:instrText xml:space="preserve"> ADDIN EN.CITE </w:instrText>
      </w:r>
      <w:r w:rsidR="00103B0D" w:rsidRPr="00FC71BE">
        <w:fldChar w:fldCharType="begin">
          <w:fldData xml:space="preserve">PEVuZE5vdGU+PENpdGU+PEF1dGhvcj5Sb2ZmaTwvQXV0aG9yPjxZZWFyPjIwMTc8L1llYXI+PFJl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</w:fldData>
        </w:fldChar>
      </w:r>
      <w:r w:rsidR="00103B0D" w:rsidRPr="00FC71BE">
        <w:instrText xml:space="preserve"> ADDIN EN.CITE.DATA </w:instrText>
      </w:r>
      <w:r w:rsidR="00103B0D" w:rsidRPr="00FC71BE">
        <w:fldChar w:fldCharType="end"/>
      </w:r>
      <w:r w:rsidRPr="00FC71BE">
        <w:fldChar w:fldCharType="separate"/>
      </w:r>
      <w:r w:rsidRPr="00FC71BE">
        <w:t>[59, 79-82]</w:t>
      </w:r>
      <w:r w:rsidRPr="00FC71BE">
        <w:fldChar w:fldCharType="end"/>
      </w:r>
      <w:r w:rsidRPr="00FC71BE">
        <w:t>. It achieves a significant enhancement of convection coefficient at the outer surface of the frame. However, the cooling efficiency of EFC machines is constrained by the heat transfer within the machines.</w:t>
      </w:r>
    </w:p>
    <w:p w14:paraId="542FABCF" w14:textId="18B81D69" w:rsidR="00416180" w:rsidRPr="00FC71BE" w:rsidRDefault="00416180" w:rsidP="00416180">
      <w:r w:rsidRPr="00FC71BE">
        <w:t xml:space="preserve">To maintain the isolation of the machines from surrounding pollutants while improving heat transfer rate within the machines, inner fan blades are employed and fixed to the shaft for EFC machines as shown in </w:t>
      </w:r>
      <w:r w:rsidRPr="00FC71BE">
        <w:fldChar w:fldCharType="begin"/>
      </w:r>
      <w:r w:rsidRPr="00FC71BE">
        <w:instrText xml:space="preserve"> REF _Ref147487241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18</w:t>
      </w:r>
      <w:r w:rsidRPr="00FC71BE">
        <w:fldChar w:fldCharType="end"/>
      </w:r>
      <w:r w:rsidRPr="00FC71BE">
        <w:t xml:space="preserve"> </w:t>
      </w:r>
      <w:r w:rsidRPr="00FC71BE">
        <w:fldChar w:fldCharType="begin"/>
      </w:r>
      <w:r w:rsidR="00103B0D" w:rsidRPr="00FC71BE">
        <w:instrText xml:space="preserve"> ADDIN EN.CITE &lt;EndNote&gt;&lt;Cite&gt;&lt;Author&gt;Gai&lt;/Author&gt;&lt;Year&gt;2018&lt;/Year&gt;&lt;RecNum&gt;124&lt;/RecNum&gt;&lt;DisplayText&gt;[56, 83]&lt;/DisplayText&gt;&lt;record&gt;&lt;rec-number&gt;124&lt;/rec-number&gt;&lt;foreign-keys&gt;&lt;key app="EN" db-id="rf2p5e05jx0x9jep00uvx0s1fvaww2dfa0r9" timestamp="1696430525"&gt;124&lt;/key&gt;&lt;/foreign-keys&gt;&lt;ref-type name="Journal Article"&gt;17&lt;/ref-type&gt;&lt;contributors&gt;&lt;authors&gt;&lt;author&gt;Gai, Yao Hui&lt;/author&gt;&lt;author&gt;Kimiabeigi, Mohammad&lt;/author&gt;&lt;author&gt;Chong, Yew Chuan&lt;/author&gt;&lt;author&gt;Widmer, James D&lt;/author&gt;&lt;author&gt;Deng, Xu&lt;/author&gt;&lt;author&gt;Popescu, Mircea&lt;/author&gt;&lt;author&gt;Goss, James&lt;/author&gt;&lt;author&gt;Staton, Dave A&lt;/author&gt;&lt;author&gt;Steven, Andrew&lt;/author&gt;&lt;/authors&gt;&lt;/contributors&gt;&lt;titles&gt;&lt;title&gt;Cooling of automotive traction motors: Schemes, examples, and computation methods&lt;/title&gt;&lt;secondary-title&gt;IEEE Transactions on Industrial Electronics&lt;/secondary-title&gt;&lt;/titles&gt;&lt;periodical&gt;&lt;full-title&gt;IEEE Transactions on Industrial Electronics&lt;/full-title&gt;&lt;/periodical&gt;&lt;pages&gt;1681-1692&lt;/pages&gt;&lt;volume&gt;66&lt;/volume&gt;&lt;number&gt;3&lt;/number&gt;&lt;dates&gt;&lt;year&gt;2018&lt;/year&gt;&lt;/dates&gt;&lt;isbn&gt;0278-0046&lt;/isbn&gt;&lt;urls&gt;&lt;/urls&gt;&lt;/record&gt;&lt;/Cite&gt;&lt;Cite&gt;&lt;Author&gt;Mizuno&lt;/Author&gt;&lt;Year&gt;2013&lt;/Year&gt;&lt;RecNum&gt;159&lt;/RecNum&gt;&lt;record&gt;&lt;rec-number&gt;159&lt;/rec-number&gt;&lt;foreign-keys&gt;&lt;key app="EN" db-id="rf2p5e05jx0x9jep00uvx0s1fvaww2dfa0r9" timestamp="1696590334"&gt;159&lt;/key&gt;&lt;/foreign-keys&gt;&lt;ref-type name="Journal Article"&gt;17&lt;/ref-type&gt;&lt;contributors&gt;&lt;authors&gt;&lt;author&gt;Mizuno, Sueyoshi&lt;/author&gt;&lt;author&gt;Noda, Shinichi&lt;/author&gt;&lt;author&gt;Matsushita, Makoto&lt;/author&gt;&lt;author&gt;Koyama, Taihei&lt;/author&gt;&lt;author&gt;Shiraishi, Shigetomo&lt;/author&gt;&lt;/authors&gt;&lt;/contributors&gt;&lt;titles&gt;&lt;title&gt;Development of a totally enclosed fan-cooled traction motor&lt;/title&gt;&lt;secondary-title&gt;IEEE Transactions on Industry Applications&lt;/secondary-title&gt;&lt;/titles&gt;&lt;periodical&gt;&lt;full-title&gt;IEEE Transactions on Industry Applications&lt;/full-title&gt;&lt;/periodical&gt;&lt;pages&gt;1508-1514&lt;/pages&gt;&lt;volume&gt;49&lt;/volume&gt;&lt;number&gt;4&lt;/number&gt;&lt;dates&gt;&lt;year&gt;2013&lt;/year&gt;&lt;/dates&gt;&lt;isbn&gt;0093-9994&lt;/isbn&gt;&lt;urls&gt;&lt;/urls&gt;&lt;/record&gt;&lt;/Cite&gt;&lt;/EndNote&gt;</w:instrText>
      </w:r>
      <w:r w:rsidRPr="00FC71BE">
        <w:fldChar w:fldCharType="separate"/>
      </w:r>
      <w:r w:rsidRPr="00FC71BE">
        <w:t>[56, 83]</w:t>
      </w:r>
      <w:r w:rsidRPr="00FC71BE">
        <w:fldChar w:fldCharType="end"/>
      </w:r>
      <w:r w:rsidRPr="00FC71BE">
        <w:t xml:space="preserve">. In addition, wafters can also be integrated into the rotor, as shown in </w:t>
      </w:r>
      <w:r w:rsidRPr="00FC71BE">
        <w:fldChar w:fldCharType="begin"/>
      </w:r>
      <w:r w:rsidRPr="00FC71BE">
        <w:instrText xml:space="preserve"> REF _Ref147488535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19</w:t>
      </w:r>
      <w:r w:rsidRPr="00FC71BE">
        <w:fldChar w:fldCharType="end"/>
      </w:r>
      <w:r w:rsidRPr="00FC71BE">
        <w:t xml:space="preserve"> </w:t>
      </w:r>
      <w:r w:rsidRPr="00FC71BE">
        <w:fldChar w:fldCharType="begin">
          <w:fldData xml:space="preserve">PEVuZE5vdGU+PENpdGU+PEF1dGhvcj5NaWNhbGxlZjwvQXV0aG9yPjxZZWFyPjIwMDg8L1llYXI+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</w:fldData>
        </w:fldChar>
      </w:r>
      <w:r w:rsidR="00103B0D" w:rsidRPr="00FC71BE">
        <w:instrText xml:space="preserve"> ADDIN EN.CITE </w:instrText>
      </w:r>
      <w:r w:rsidR="00103B0D" w:rsidRPr="00FC71BE">
        <w:fldChar w:fldCharType="begin">
          <w:fldData xml:space="preserve">PEVuZE5vdGU+PENpdGU+PEF1dGhvcj5NaWNhbGxlZjwvQXV0aG9yPjxZZWFyPjIwMDg8L1llYXI+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</w:fldData>
        </w:fldChar>
      </w:r>
      <w:r w:rsidR="00103B0D" w:rsidRPr="00FC71BE">
        <w:instrText xml:space="preserve"> ADDIN EN.CITE.DATA </w:instrText>
      </w:r>
      <w:r w:rsidR="00103B0D" w:rsidRPr="00FC71BE">
        <w:fldChar w:fldCharType="end"/>
      </w:r>
      <w:r w:rsidRPr="00FC71BE">
        <w:fldChar w:fldCharType="separate"/>
      </w:r>
      <w:r w:rsidRPr="00FC71BE">
        <w:t>[84-86]</w:t>
      </w:r>
      <w:r w:rsidRPr="00FC71BE">
        <w:fldChar w:fldCharType="end"/>
      </w:r>
      <w:r w:rsidRPr="00FC71BE">
        <w:t>. Both shaft mounted fan blades and rotor mounted wafters establish new air circulation within the machines, improving heat transfer from the inner components to the housing frame. However, it is worth noting that the cooling efficiencies of these designs are limited by the machine rotor speed.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5D0BCDE9" w14:textId="77777777">
        <w:tc>
          <w:tcPr>
            <w:tcW w:w="4508" w:type="dxa"/>
            <w:vAlign w:val="center"/>
          </w:tcPr>
          <w:p w14:paraId="43DEF952" w14:textId="77777777" w:rsidR="00416180" w:rsidRPr="00FC71BE" w:rsidRDefault="00416180">
            <w:pPr>
              <w:pStyle w:val="Figure"/>
              <w:rPr>
                <w:noProof w:val="0"/>
              </w:rPr>
            </w:pPr>
            <w:r w:rsidRPr="00FC71BE">
              <w:drawing>
                <wp:inline distT="0" distB="0" distL="0" distR="0" wp14:anchorId="5772B065" wp14:editId="5828121C">
                  <wp:extent cx="2313774" cy="2232000"/>
                  <wp:effectExtent l="0" t="0" r="0" b="0"/>
                  <wp:docPr id="1178229566" name="Picture 1178229566" descr="A blue and white drawing of a mo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29566" name="Picture 1" descr="A blue and white drawing of a motor&#10;&#10;Description automatically generated"/>
                          <pic:cNvPicPr/>
                        </pic:nvPicPr>
                        <pic:blipFill>
                          <a:blip r:embed="rId39"/>
                          <a:stretch>
                            <a:fillRect/>
                          </a:stretch>
                        </pic:blipFill>
                        <pic:spPr>
                          <a:xfrm>
                            <a:off x="0" y="0"/>
                            <a:ext cx="2313774" cy="2232000"/>
                          </a:xfrm>
                          <a:prstGeom prst="rect">
                            <a:avLst/>
                          </a:prstGeom>
                        </pic:spPr>
                      </pic:pic>
                    </a:graphicData>
                  </a:graphic>
                </wp:inline>
              </w:drawing>
            </w:r>
          </w:p>
        </w:tc>
        <w:tc>
          <w:tcPr>
            <w:tcW w:w="4508" w:type="dxa"/>
            <w:vAlign w:val="center"/>
          </w:tcPr>
          <w:p w14:paraId="5C0F9674" w14:textId="77777777" w:rsidR="00416180" w:rsidRPr="00FC71BE" w:rsidRDefault="00416180">
            <w:pPr>
              <w:pStyle w:val="Figure"/>
              <w:rPr>
                <w:noProof w:val="0"/>
              </w:rPr>
            </w:pPr>
            <w:r w:rsidRPr="00FC71BE">
              <w:drawing>
                <wp:inline distT="0" distB="0" distL="0" distR="0" wp14:anchorId="438CEE1A" wp14:editId="109725C7">
                  <wp:extent cx="2346054" cy="1963435"/>
                  <wp:effectExtent l="0" t="0" r="0" b="0"/>
                  <wp:docPr id="986825967" name="Picture 986825967" descr="A circular object with a metal r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25967" name="Picture 1" descr="A circular object with a metal rod&#10;&#10;Description automatically generated with medium confidence"/>
                          <pic:cNvPicPr/>
                        </pic:nvPicPr>
                        <pic:blipFill>
                          <a:blip r:embed="rId40"/>
                          <a:stretch>
                            <a:fillRect/>
                          </a:stretch>
                        </pic:blipFill>
                        <pic:spPr>
                          <a:xfrm>
                            <a:off x="0" y="0"/>
                            <a:ext cx="2362612" cy="1977292"/>
                          </a:xfrm>
                          <a:prstGeom prst="rect">
                            <a:avLst/>
                          </a:prstGeom>
                        </pic:spPr>
                      </pic:pic>
                    </a:graphicData>
                  </a:graphic>
                </wp:inline>
              </w:drawing>
            </w:r>
          </w:p>
        </w:tc>
      </w:tr>
      <w:tr w:rsidR="00FC71BE" w:rsidRPr="00FC71BE" w14:paraId="4BE04B70" w14:textId="77777777">
        <w:tc>
          <w:tcPr>
            <w:tcW w:w="4508" w:type="dxa"/>
            <w:vAlign w:val="center"/>
          </w:tcPr>
          <w:p w14:paraId="28E74175" w14:textId="77777777" w:rsidR="00416180" w:rsidRPr="00FC71BE" w:rsidRDefault="00416180">
            <w:pPr>
              <w:pStyle w:val="Figure"/>
              <w:rPr>
                <w:noProof w:val="0"/>
              </w:rPr>
            </w:pPr>
            <w:r w:rsidRPr="00FC71BE">
              <w:rPr>
                <w:noProof w:val="0"/>
              </w:rPr>
              <w:t>(a) EFC machine with inner fan blades</w:t>
            </w:r>
          </w:p>
        </w:tc>
        <w:tc>
          <w:tcPr>
            <w:tcW w:w="4508" w:type="dxa"/>
            <w:vAlign w:val="center"/>
          </w:tcPr>
          <w:p w14:paraId="4AC6E8DD" w14:textId="77777777" w:rsidR="00416180" w:rsidRPr="00FC71BE" w:rsidRDefault="00416180">
            <w:pPr>
              <w:pStyle w:val="Figure"/>
              <w:rPr>
                <w:noProof w:val="0"/>
              </w:rPr>
            </w:pPr>
            <w:r w:rsidRPr="00FC71BE">
              <w:rPr>
                <w:noProof w:val="0"/>
              </w:rPr>
              <w:t>(b) Shaft design</w:t>
            </w:r>
          </w:p>
        </w:tc>
      </w:tr>
    </w:tbl>
    <w:p w14:paraId="76BAE9C4" w14:textId="10F4504F" w:rsidR="00416180" w:rsidRPr="00FC71BE" w:rsidRDefault="00416180" w:rsidP="00416180">
      <w:pPr>
        <w:pStyle w:val="FigureTitle"/>
      </w:pPr>
      <w:bookmarkStart w:id="41" w:name="_Ref147487241"/>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18</w:t>
      </w:r>
      <w:r w:rsidRPr="00FC71BE">
        <w:rPr>
          <w:rStyle w:val="FigureTitleChar"/>
          <w:color w:val="auto"/>
        </w:rPr>
        <w:fldChar w:fldCharType="end"/>
      </w:r>
      <w:bookmarkEnd w:id="41"/>
      <w:r w:rsidRPr="00FC71BE">
        <w:rPr>
          <w:rStyle w:val="FigureTitleChar"/>
          <w:color w:val="auto"/>
        </w:rPr>
        <w:t xml:space="preserve">. </w:t>
      </w:r>
      <w:r w:rsidRPr="00FC71BE">
        <w:t>Topology of EFC machine with inner fan blades.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38"/>
      </w:tblGrid>
      <w:tr w:rsidR="00FC71BE" w:rsidRPr="00FC71BE" w14:paraId="4914919E" w14:textId="77777777">
        <w:tc>
          <w:tcPr>
            <w:tcW w:w="4678" w:type="dxa"/>
            <w:vAlign w:val="center"/>
          </w:tcPr>
          <w:p w14:paraId="7BA6FB7C" w14:textId="77777777" w:rsidR="00416180" w:rsidRPr="00FC71BE" w:rsidRDefault="00416180">
            <w:pPr>
              <w:pStyle w:val="Figure"/>
              <w:rPr>
                <w:noProof w:val="0"/>
              </w:rPr>
            </w:pPr>
            <w:r w:rsidRPr="00FC71BE">
              <w:lastRenderedPageBreak/>
              <w:drawing>
                <wp:inline distT="0" distB="0" distL="0" distR="0" wp14:anchorId="1190FDF7" wp14:editId="026BA8D4">
                  <wp:extent cx="2448000" cy="2353616"/>
                  <wp:effectExtent l="0" t="0" r="0" b="8890"/>
                  <wp:docPr id="1971481152" name="Picture 1971481152" descr="A blue and white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81152" name="Picture 1" descr="A blue and white machine&#10;&#10;Description automatically generated with medium confidence"/>
                          <pic:cNvPicPr/>
                        </pic:nvPicPr>
                        <pic:blipFill>
                          <a:blip r:embed="rId41"/>
                          <a:stretch>
                            <a:fillRect/>
                          </a:stretch>
                        </pic:blipFill>
                        <pic:spPr>
                          <a:xfrm>
                            <a:off x="0" y="0"/>
                            <a:ext cx="2448000" cy="2353616"/>
                          </a:xfrm>
                          <a:prstGeom prst="rect">
                            <a:avLst/>
                          </a:prstGeom>
                        </pic:spPr>
                      </pic:pic>
                    </a:graphicData>
                  </a:graphic>
                </wp:inline>
              </w:drawing>
            </w:r>
          </w:p>
        </w:tc>
        <w:tc>
          <w:tcPr>
            <w:tcW w:w="4338" w:type="dxa"/>
            <w:vAlign w:val="center"/>
          </w:tcPr>
          <w:p w14:paraId="500ACAD8" w14:textId="77777777" w:rsidR="00416180" w:rsidRPr="00FC71BE" w:rsidRDefault="00416180">
            <w:pPr>
              <w:pStyle w:val="Figure"/>
              <w:rPr>
                <w:noProof w:val="0"/>
              </w:rPr>
            </w:pPr>
            <w:r w:rsidRPr="00FC71BE">
              <w:drawing>
                <wp:inline distT="0" distB="0" distL="0" distR="0" wp14:anchorId="7738740D" wp14:editId="4BC908EA">
                  <wp:extent cx="2166025" cy="1778312"/>
                  <wp:effectExtent l="0" t="0" r="5715" b="0"/>
                  <wp:docPr id="730235474" name="Picture 730235474" descr="A close-up of a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235474" name="Picture 730235474" descr="A close-up of a cylinder&#10;&#10;Description automatically generated"/>
                          <pic:cNvPicPr/>
                        </pic:nvPicPr>
                        <pic:blipFill>
                          <a:blip r:embed="rId42"/>
                          <a:stretch>
                            <a:fillRect/>
                          </a:stretch>
                        </pic:blipFill>
                        <pic:spPr>
                          <a:xfrm>
                            <a:off x="0" y="0"/>
                            <a:ext cx="2178082" cy="1788211"/>
                          </a:xfrm>
                          <a:prstGeom prst="rect">
                            <a:avLst/>
                          </a:prstGeom>
                        </pic:spPr>
                      </pic:pic>
                    </a:graphicData>
                  </a:graphic>
                </wp:inline>
              </w:drawing>
            </w:r>
          </w:p>
        </w:tc>
      </w:tr>
      <w:tr w:rsidR="00FC71BE" w:rsidRPr="00FC71BE" w14:paraId="40AA9F9F" w14:textId="77777777">
        <w:tc>
          <w:tcPr>
            <w:tcW w:w="4678" w:type="dxa"/>
            <w:vAlign w:val="center"/>
          </w:tcPr>
          <w:p w14:paraId="35232960" w14:textId="77777777" w:rsidR="00416180" w:rsidRPr="00FC71BE" w:rsidRDefault="00416180">
            <w:pPr>
              <w:pStyle w:val="Figure"/>
              <w:rPr>
                <w:noProof w:val="0"/>
              </w:rPr>
            </w:pPr>
            <w:r w:rsidRPr="00FC71BE">
              <w:rPr>
                <w:noProof w:val="0"/>
              </w:rPr>
              <w:t>(a) EFC machine with rotor mounted wafters</w:t>
            </w:r>
          </w:p>
        </w:tc>
        <w:tc>
          <w:tcPr>
            <w:tcW w:w="4338" w:type="dxa"/>
            <w:vAlign w:val="center"/>
          </w:tcPr>
          <w:p w14:paraId="20F70C96" w14:textId="77777777" w:rsidR="00416180" w:rsidRPr="00FC71BE" w:rsidRDefault="00416180">
            <w:pPr>
              <w:pStyle w:val="Figure"/>
              <w:rPr>
                <w:noProof w:val="0"/>
              </w:rPr>
            </w:pPr>
            <w:r w:rsidRPr="00FC71BE">
              <w:rPr>
                <w:noProof w:val="0"/>
              </w:rPr>
              <w:t>(b) Shaft design</w:t>
            </w:r>
          </w:p>
        </w:tc>
      </w:tr>
    </w:tbl>
    <w:p w14:paraId="6CBA7B63" w14:textId="65051FB4" w:rsidR="00416180" w:rsidRPr="00FC71BE" w:rsidRDefault="00416180" w:rsidP="00416180">
      <w:pPr>
        <w:pStyle w:val="FigureTitle"/>
      </w:pPr>
      <w:bookmarkStart w:id="42" w:name="_Ref147488535"/>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19</w:t>
      </w:r>
      <w:r w:rsidRPr="00FC71BE">
        <w:rPr>
          <w:rStyle w:val="FigureTitleChar"/>
          <w:color w:val="auto"/>
        </w:rPr>
        <w:fldChar w:fldCharType="end"/>
      </w:r>
      <w:bookmarkEnd w:id="42"/>
      <w:r w:rsidRPr="00FC71BE">
        <w:rPr>
          <w:rStyle w:val="FigureTitleChar"/>
          <w:color w:val="auto"/>
        </w:rPr>
        <w:t xml:space="preserve">. </w:t>
      </w:r>
      <w:r w:rsidRPr="00FC71BE">
        <w:t>Topology of EFC machine with rotor mounted wafters.</w:t>
      </w:r>
    </w:p>
    <w:p w14:paraId="491C82FE" w14:textId="0A559689" w:rsidR="00416180" w:rsidRPr="00FC71BE" w:rsidRDefault="00416180" w:rsidP="00416180">
      <w:r w:rsidRPr="00FC71BE">
        <w:t xml:space="preserve">EFC machines offer advantages such as reduced acoustic noise and lower maintenance cost </w:t>
      </w:r>
      <w:r w:rsidRPr="00FC71BE">
        <w:fldChar w:fldCharType="begin"/>
      </w:r>
      <w:r w:rsidRPr="00FC71BE">
        <w:instrText xml:space="preserve"> ADDIN EN.CITE &lt;EndNote&gt;&lt;Cite&gt;&lt;Author&gt;Mizuno&lt;/Author&gt;&lt;Year&gt;2013&lt;/Year&gt;&lt;RecNum&gt;159&lt;/RecNum&gt;&lt;DisplayText&gt;[83]&lt;/DisplayText&gt;&lt;record&gt;&lt;rec-number&gt;159&lt;/rec-number&gt;&lt;foreign-keys&gt;&lt;key app="EN" db-id="rf2p5e05jx0x9jep00uvx0s1fvaww2dfa0r9" timestamp="1696590334"&gt;159&lt;/key&gt;&lt;/foreign-keys&gt;&lt;ref-type name="Journal Article"&gt;17&lt;/ref-type&gt;&lt;contributors&gt;&lt;authors&gt;&lt;author&gt;Mizuno, Sueyoshi&lt;/author&gt;&lt;author&gt;Noda, Shinichi&lt;/author&gt;&lt;author&gt;Matsushita, Makoto&lt;/author&gt;&lt;author&gt;Koyama, Taihei&lt;/author&gt;&lt;author&gt;Shiraishi, Shigetomo&lt;/author&gt;&lt;/authors&gt;&lt;/contributors&gt;&lt;titles&gt;&lt;title&gt;Development of a totally enclosed fan-cooled traction motor&lt;/title&gt;&lt;secondary-title&gt;IEEE Transactions on Industry Applications&lt;/secondary-title&gt;&lt;/titles&gt;&lt;periodical&gt;&lt;full-title&gt;IEEE Transactions on Industry Applications&lt;/full-title&gt;&lt;/periodical&gt;&lt;pages&gt;1508-1514&lt;/pages&gt;&lt;volume&gt;49&lt;/volume&gt;&lt;number&gt;4&lt;/number&gt;&lt;dates&gt;&lt;year&gt;2013&lt;/year&gt;&lt;/dates&gt;&lt;isbn&gt;0093-9994&lt;/isbn&gt;&lt;urls&gt;&lt;/urls&gt;&lt;/record&gt;&lt;/Cite&gt;&lt;/EndNote&gt;</w:instrText>
      </w:r>
      <w:r w:rsidRPr="00FC71BE">
        <w:fldChar w:fldCharType="separate"/>
      </w:r>
      <w:r w:rsidRPr="00FC71BE">
        <w:t>[83]</w:t>
      </w:r>
      <w:r w:rsidRPr="00FC71BE">
        <w:fldChar w:fldCharType="end"/>
      </w:r>
      <w:r w:rsidRPr="00FC71BE">
        <w:t xml:space="preserve">. However, the totally enclosed frame design limits the cooling efficiency of forced cooling systems. To address this limitation, a new machine configuration, known as throughflow ventilation machine has been introduced </w:t>
      </w:r>
      <w:r w:rsidRPr="00FC71BE">
        <w:fldChar w:fldCharType="begin"/>
      </w:r>
      <w:r w:rsidRPr="00FC71BE">
        <w:instrText xml:space="preserve"> ADDIN EN.CITE &lt;EndNote&gt;&lt;Cite&gt;&lt;Author&gt;Yung&lt;/Author&gt;&lt;Year&gt;2013&lt;/Year&gt;&lt;RecNum&gt;155&lt;/RecNum&gt;&lt;DisplayText&gt;[87, 88]&lt;/DisplayText&gt;&lt;record&gt;&lt;rec-number&gt;155&lt;/rec-number&gt;&lt;foreign-keys&gt;&lt;key app="EN" db-id="rf2p5e05jx0x9jep00uvx0s1fvaww2dfa0r9" timestamp="1696588133"&gt;155&lt;/key&gt;&lt;/foreign-keys&gt;&lt;ref-type name="Conference Proceedings"&gt;10&lt;/ref-type&gt;&lt;contributors&gt;&lt;authors&gt;&lt;author&gt;Yung, Chuck&lt;/author&gt;&lt;/authors&gt;&lt;/contributors&gt;&lt;titles&gt;&lt;title&gt;Cool facts about cooling electric motors&lt;/title&gt;&lt;secondary-title&gt;Industry Applications Society 60th Annual Petroleum and Chemical Industry Conference&lt;/secondary-title&gt;&lt;/titles&gt;&lt;pages&gt;1-10&lt;/pages&gt;&lt;dates&gt;&lt;year&gt;2013&lt;/year&gt;&lt;/dates&gt;&lt;publisher&gt;IEEE&lt;/publisher&gt;&lt;isbn&gt;1467351105&lt;/isbn&gt;&lt;urls&gt;&lt;/urls&gt;&lt;/record&gt;&lt;/Cite&gt;&lt;Cite&gt;&lt;Author&gt;Fawzal&lt;/Author&gt;&lt;Year&gt;2017&lt;/Year&gt;&lt;RecNum&gt;153&lt;/RecNum&gt;&lt;record&gt;&lt;rec-number&gt;153&lt;/rec-number&gt;&lt;foreign-keys&gt;&lt;key app="EN" db-id="rf2p5e05jx0x9jep00uvx0s1fvaww2dfa0r9" timestamp="1696586188"&gt;153&lt;/key&gt;&lt;/foreign-keys&gt;&lt;ref-type name="Journal Article"&gt;17&lt;/ref-type&gt;&lt;contributors&gt;&lt;authors&gt;&lt;author&gt;Fawzal, Ahmad Syahid&lt;/author&gt;&lt;author&gt;Cirstea, Remus M&lt;/author&gt;&lt;author&gt;Gyftakis, Konstantinos N&lt;/author&gt;&lt;author&gt;Woolmer, Tim J&lt;/author&gt;&lt;author&gt;Dickison, Mike&lt;/author&gt;&lt;author&gt;Blundell, Mike&lt;/author&gt;&lt;/authors&gt;&lt;/contributors&gt;&lt;titles&gt;&lt;title&gt;Fan performance analysis for rotor cooling of axial flux permanent magnet machines&lt;/title&gt;&lt;secondary-title&gt;IEEE Transactions on Industry Applications&lt;/secondary-title&gt;&lt;/titles&gt;&lt;periodical&gt;&lt;full-title&gt;IEEE Transactions on Industry Applications&lt;/full-title&gt;&lt;/periodical&gt;&lt;pages&gt;3295-3304&lt;/pages&gt;&lt;volume&gt;53&lt;/volume&gt;&lt;number&gt;4&lt;/number&gt;&lt;dates&gt;&lt;year&gt;2017&lt;/year&gt;&lt;/dates&gt;&lt;isbn&gt;0093-9994&lt;/isbn&gt;&lt;urls&gt;&lt;/urls&gt;&lt;/record&gt;&lt;/Cite&gt;&lt;/EndNote&gt;</w:instrText>
      </w:r>
      <w:r w:rsidRPr="00FC71BE">
        <w:fldChar w:fldCharType="separate"/>
      </w:r>
      <w:r w:rsidRPr="00FC71BE">
        <w:t>[87, 88]</w:t>
      </w:r>
      <w:r w:rsidRPr="00FC71BE">
        <w:fldChar w:fldCharType="end"/>
      </w:r>
      <w:r w:rsidRPr="00FC71BE">
        <w:t xml:space="preserve">, as shown in </w:t>
      </w:r>
      <w:r w:rsidRPr="00FC71BE">
        <w:fldChar w:fldCharType="begin"/>
      </w:r>
      <w:r w:rsidRPr="00FC71BE">
        <w:instrText xml:space="preserve"> REF _Ref147479938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17</w:t>
      </w:r>
      <w:r w:rsidRPr="00FC71BE">
        <w:fldChar w:fldCharType="end"/>
      </w:r>
      <w:r w:rsidRPr="00FC71BE">
        <w:t xml:space="preserve">. In throughflow ventilation machines, air is continuously drawn from the ambient environment into the machines without recirculation. However, this exposure to the surrounding environment means that ventilated machines are vulnerable to contaminants. </w:t>
      </w:r>
    </w:p>
    <w:p w14:paraId="65DA3831" w14:textId="68929E21" w:rsidR="00416180" w:rsidRPr="00FC71BE" w:rsidRDefault="00416180" w:rsidP="00416180">
      <w:r w:rsidRPr="00FC71BE">
        <w:t xml:space="preserve">To mitigate this issue, inlet and outlet grills and guards are commonly used to shield ventilated machines from direct exposure to surrounding particles and moisture </w:t>
      </w:r>
      <w:r w:rsidRPr="00FC71BE">
        <w:fldChar w:fldCharType="begin"/>
      </w:r>
      <w:r w:rsidR="00103B0D" w:rsidRPr="00FC71BE">
        <w:instrText xml:space="preserve"> ADDIN EN.CITE &lt;EndNote&gt;&lt;Cite&gt;&lt;Author&gt;Gai&lt;/Author&gt;&lt;Year&gt;2018&lt;/Year&gt;&lt;RecNum&gt;124&lt;/RecNum&gt;&lt;DisplayText&gt;[56]&lt;/DisplayText&gt;&lt;record&gt;&lt;rec-number&gt;124&lt;/rec-number&gt;&lt;foreign-keys&gt;&lt;key app="EN" db-id="rf2p5e05jx0x9jep00uvx0s1fvaww2dfa0r9" timestamp="1696430525"&gt;124&lt;/key&gt;&lt;/foreign-keys&gt;&lt;ref-type name="Journal Article"&gt;17&lt;/ref-type&gt;&lt;contributors&gt;&lt;authors&gt;&lt;author&gt;Gai, Yao Hui&lt;/author&gt;&lt;author&gt;Kimiabeigi, Mohammad&lt;/author&gt;&lt;author&gt;Chong, Yew Chuan&lt;/author&gt;&lt;author&gt;Widmer, James D&lt;/author&gt;&lt;author&gt;Deng, Xu&lt;/author&gt;&lt;author&gt;Popescu, Mircea&lt;/author&gt;&lt;author&gt;Goss, James&lt;/author&gt;&lt;author&gt;Staton, Dave A&lt;/author&gt;&lt;author&gt;Steven, Andrew&lt;/author&gt;&lt;/authors&gt;&lt;/contributors&gt;&lt;titles&gt;&lt;title&gt;Cooling of automotive traction motors: Schemes, examples, and computation methods&lt;/title&gt;&lt;secondary-title&gt;IEEE Transactions on Industrial Electronics&lt;/secondary-title&gt;&lt;/titles&gt;&lt;periodical&gt;&lt;full-title&gt;IEEE Transactions on Industrial Electronics&lt;/full-title&gt;&lt;/periodical&gt;&lt;pages&gt;1681-1692&lt;/pages&gt;&lt;volume&gt;66&lt;/volume&gt;&lt;number&gt;3&lt;/number&gt;&lt;dates&gt;&lt;year&gt;2018&lt;/year&gt;&lt;/dates&gt;&lt;isbn&gt;0278-0046&lt;/isbn&gt;&lt;urls&gt;&lt;/urls&gt;&lt;/record&gt;&lt;/Cite&gt;&lt;/EndNote&gt;</w:instrText>
      </w:r>
      <w:r w:rsidRPr="00FC71BE">
        <w:fldChar w:fldCharType="separate"/>
      </w:r>
      <w:r w:rsidRPr="00FC71BE">
        <w:t>[56]</w:t>
      </w:r>
      <w:r w:rsidRPr="00FC71BE">
        <w:fldChar w:fldCharType="end"/>
      </w:r>
      <w:r w:rsidRPr="00FC71BE">
        <w:t xml:space="preserve">. Nevertheless, grills and guards raises concerns regarding potential reductions in cooling efficiency, increased system flow resistance, and fan losses </w:t>
      </w:r>
      <w:r w:rsidRPr="00FC71BE">
        <w:fldChar w:fldCharType="begin"/>
      </w:r>
      <w:r w:rsidRPr="00FC71BE">
        <w:instrText xml:space="preserve"> ADDIN EN.CITE &lt;EndNote&gt;&lt;Cite&gt;&lt;Author&gt;Staton&lt;/Author&gt;&lt;Year&gt;2008&lt;/Year&gt;&lt;RecNum&gt;163&lt;/RecNum&gt;&lt;DisplayText&gt;[89]&lt;/DisplayText&gt;&lt;record&gt;&lt;rec-number&gt;163&lt;/rec-number&gt;&lt;foreign-keys&gt;&lt;key app="EN" db-id="rf2p5e05jx0x9jep00uvx0s1fvaww2dfa0r9" timestamp="1696596793"&gt;163&lt;/key&gt;&lt;/foreign-keys&gt;&lt;ref-type name="Journal Article"&gt;17&lt;/ref-type&gt;&lt;contributors&gt;&lt;authors&gt;&lt;author&gt;Staton, David A&lt;/author&gt;&lt;author&gt;Cavagnino, Andrea&lt;/author&gt;&lt;/authors&gt;&lt;/contributors&gt;&lt;titles&gt;&lt;title&gt;Convection heat transfer and flow calculations suitable for electric machines thermal models&lt;/title&gt;&lt;secondary-title&gt;IEEE transactions on industrial electronics&lt;/secondary-title&gt;&lt;/titles&gt;&lt;periodical&gt;&lt;full-title&gt;IEEE Transactions on Industrial Electronics&lt;/full-title&gt;&lt;/periodical&gt;&lt;pages&gt;3509-3516&lt;/pages&gt;&lt;volume&gt;55&lt;/volume&gt;&lt;number&gt;10&lt;/number&gt;&lt;dates&gt;&lt;year&gt;2008&lt;/year&gt;&lt;/dates&gt;&lt;isbn&gt;0278-0046&lt;/isbn&gt;&lt;urls&gt;&lt;/urls&gt;&lt;/record&gt;&lt;/Cite&gt;&lt;/EndNote&gt;</w:instrText>
      </w:r>
      <w:r w:rsidRPr="00FC71BE">
        <w:fldChar w:fldCharType="separate"/>
      </w:r>
      <w:r w:rsidRPr="00FC71BE">
        <w:t>[89]</w:t>
      </w:r>
      <w:r w:rsidRPr="00FC71BE">
        <w:fldChar w:fldCharType="end"/>
      </w:r>
      <w:r w:rsidRPr="00FC71BE">
        <w:t>.</w:t>
      </w:r>
    </w:p>
    <w:p w14:paraId="7FAA9B8B" w14:textId="44A4693D" w:rsidR="00416180" w:rsidRPr="00FC71BE" w:rsidRDefault="00416180" w:rsidP="00416180">
      <w:r w:rsidRPr="00FC71BE">
        <w:t xml:space="preserve">In addition to air, other gases, such as hydrogen and helium, can also be employed as coolants in forced cooling systems with machine configurations similar to those discussed in this section. These gases provide better cooling efficiency compared to air, primarily because of their lower density, reduced dynamic viscosity, and higher heat conductivity, as listed in </w:t>
      </w:r>
      <w:r w:rsidRPr="00FC71BE">
        <w:fldChar w:fldCharType="begin"/>
      </w:r>
      <w:r w:rsidRPr="00FC71BE">
        <w:instrText xml:space="preserve"> REF _Ref147502836 \h </w:instrText>
      </w:r>
      <w:r w:rsidRPr="00FC71BE">
        <w:fldChar w:fldCharType="separate"/>
      </w:r>
      <w:r w:rsidR="007E62C1" w:rsidRPr="00FC71BE">
        <w:t xml:space="preserve">Table </w:t>
      </w:r>
      <w:r w:rsidR="007E62C1" w:rsidRPr="00FC71BE">
        <w:rPr>
          <w:noProof/>
        </w:rPr>
        <w:t>1</w:t>
      </w:r>
      <w:r w:rsidR="007E62C1" w:rsidRPr="00FC71BE">
        <w:t>.</w:t>
      </w:r>
      <w:r w:rsidR="007E62C1" w:rsidRPr="00FC71BE">
        <w:rPr>
          <w:noProof/>
        </w:rPr>
        <w:t>5</w:t>
      </w:r>
      <w:r w:rsidRPr="00FC71BE">
        <w:fldChar w:fldCharType="end"/>
      </w:r>
      <w:r w:rsidRPr="00FC71BE">
        <w:t xml:space="preserve"> </w:t>
      </w:r>
      <w:r w:rsidRPr="00FC71BE">
        <w:fldChar w:fldCharType="begin"/>
      </w:r>
      <w:r w:rsidR="00103B0D" w:rsidRPr="00FC71BE">
        <w:instrText xml:space="preserve"> ADDIN EN.CITE &lt;EndNote&gt;&lt;Cite&gt;&lt;Author&gt;Lahne&lt;/Author&gt;&lt;Year&gt;2016&lt;/Year&gt;&lt;RecNum&gt;164&lt;/RecNum&gt;&lt;DisplayText&gt;[78]&lt;/DisplayText&gt;&lt;record&gt;&lt;rec-number&gt;164&lt;/rec-number&gt;&lt;foreign-keys&gt;&lt;key app="EN" db-id="rf2p5e05jx0x9jep00uvx0s1fvaww2dfa0r9" timestamp="1696598040"&gt;164&lt;/key&gt;&lt;/foreign-keys&gt;&lt;ref-type name="Conference Proceedings"&gt;10&lt;/ref-type&gt;&lt;contributors&gt;&lt;authors&gt;&lt;author&gt;Lahne, Hans Christian&lt;/author&gt;&lt;author&gt;Gerling, Dieter&lt;/author&gt;&lt;author&gt;Staton, Dave&lt;/author&gt;&lt;author&gt;Chong, Yew Chuan&lt;/author&gt;&lt;/authors&gt;&lt;/contributors&gt;&lt;titles&gt;&lt;title&gt;Design of a 50000 rpm high-speed high-power six-phase PMSM for use in aircraft applications&lt;/title&gt;&lt;secondary-title&gt;2016 Eleventh International Conference on Ecological Vehicles and Renewable Energies (EVER)&lt;/secondary-title&gt;&lt;/titles&gt;&lt;pages&gt;1-11&lt;/pages&gt;&lt;dates&gt;&lt;year&gt;2016&lt;/year&gt;&lt;/dates&gt;&lt;publisher&gt;IEEE&lt;/publisher&gt;&lt;isbn&gt;1509024646&lt;/isbn&gt;&lt;urls&gt;&lt;/urls&gt;&lt;/record&gt;&lt;/Cite&gt;&lt;/EndNote&gt;</w:instrText>
      </w:r>
      <w:r w:rsidRPr="00FC71BE">
        <w:fldChar w:fldCharType="separate"/>
      </w:r>
      <w:r w:rsidRPr="00FC71BE">
        <w:t>[78]</w:t>
      </w:r>
      <w:r w:rsidRPr="00FC71BE">
        <w:fldChar w:fldCharType="end"/>
      </w:r>
      <w:r w:rsidRPr="00FC71BE">
        <w:t>.</w:t>
      </w:r>
    </w:p>
    <w:p w14:paraId="4F1E2B57" w14:textId="77777777" w:rsidR="00416180" w:rsidRPr="00FC71BE" w:rsidRDefault="00416180" w:rsidP="009375B6">
      <w:pPr>
        <w:pStyle w:val="Heading4"/>
      </w:pPr>
      <w:r w:rsidRPr="00FC71BE">
        <w:t>Indirect Forced Liquid Cooling</w:t>
      </w:r>
    </w:p>
    <w:p w14:paraId="53718E95" w14:textId="7C1694D9" w:rsidR="00416180" w:rsidRPr="00FC71BE" w:rsidRDefault="00416180" w:rsidP="00416180">
      <w:r w:rsidRPr="00FC71BE">
        <w:t xml:space="preserve">Liquids are another category of fluid in machine cooling. Typically, liquid cooling systems tend to offer better cooling efficiency than gas cooling systems, as indicated in </w:t>
      </w:r>
      <w:r w:rsidRPr="00FC71BE">
        <w:fldChar w:fldCharType="begin"/>
      </w:r>
      <w:r w:rsidRPr="00FC71BE">
        <w:instrText xml:space="preserve"> REF _Ref147415176 \h </w:instrText>
      </w:r>
      <w:r w:rsidRPr="00FC71BE">
        <w:fldChar w:fldCharType="separate"/>
      </w:r>
      <w:r w:rsidR="007E62C1" w:rsidRPr="00FC71BE">
        <w:t xml:space="preserve">Table </w:t>
      </w:r>
      <w:r w:rsidR="007E62C1" w:rsidRPr="00FC71BE">
        <w:rPr>
          <w:noProof/>
        </w:rPr>
        <w:t>1</w:t>
      </w:r>
      <w:r w:rsidR="007E62C1" w:rsidRPr="00FC71BE">
        <w:t>.</w:t>
      </w:r>
      <w:r w:rsidR="007E62C1" w:rsidRPr="00FC71BE">
        <w:rPr>
          <w:noProof/>
        </w:rPr>
        <w:t>4</w:t>
      </w:r>
      <w:r w:rsidRPr="00FC71BE">
        <w:fldChar w:fldCharType="end"/>
      </w:r>
      <w:r w:rsidRPr="00FC71BE">
        <w:t xml:space="preserve">. This achievement is mainly attributed to the higher thermal conductivity of liquid. Indirect forced liquid cooling technology is widely used, not only for its </w:t>
      </w:r>
      <w:r w:rsidR="00B22008" w:rsidRPr="00FC71BE">
        <w:t>good</w:t>
      </w:r>
      <w:r w:rsidRPr="00FC71BE">
        <w:t xml:space="preserve"> cooling efficiency, but also </w:t>
      </w:r>
      <w:r w:rsidRPr="00FC71BE">
        <w:lastRenderedPageBreak/>
        <w:t>because it prevents direct contact between the coolant and machine components, thereby avoiding potential corrosion issues. In addition, the use if a totally enclosed enclosure enables the designed machine to meet high ingress protection (IP) ratings, e.g., IP67 or IP68, which are important for protection against environmental elements and contaminants.</w:t>
      </w:r>
    </w:p>
    <w:p w14:paraId="46035BC1" w14:textId="78ECFABA" w:rsidR="00B22008" w:rsidRPr="00FC71BE" w:rsidRDefault="00416180" w:rsidP="00B22008">
      <w:r w:rsidRPr="00FC71BE">
        <w:t xml:space="preserve">Housing water jackets are commonly employed in automotive traction motors </w:t>
      </w:r>
      <w:r w:rsidRPr="00FC71BE">
        <w:fldChar w:fldCharType="begin">
          <w:fldData xml:space="preserve">PEVuZE5vdGU+PENpdGU+PEF1dGhvcj5TYXRvPC9BdXRob3I+PFllYXI+MjAxMTwvWWVhcj48UmVj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</w:fldData>
        </w:fldChar>
      </w:r>
      <w:r w:rsidR="00103B0D" w:rsidRPr="00FC71BE">
        <w:instrText xml:space="preserve"> ADDIN EN.CITE </w:instrText>
      </w:r>
      <w:r w:rsidR="00103B0D" w:rsidRPr="00FC71BE">
        <w:fldChar w:fldCharType="begin">
          <w:fldData xml:space="preserve">PEVuZE5vdGU+PENpdGU+PEF1dGhvcj5TYXRvPC9BdXRob3I+PFllYXI+MjAxMTwvWWVhcj48UmVj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</w:fldData>
        </w:fldChar>
      </w:r>
      <w:r w:rsidR="00103B0D" w:rsidRPr="00FC71BE">
        <w:instrText xml:space="preserve"> ADDIN EN.CITE.DATA </w:instrText>
      </w:r>
      <w:r w:rsidR="00103B0D" w:rsidRPr="00FC71BE">
        <w:fldChar w:fldCharType="end"/>
      </w:r>
      <w:r w:rsidRPr="00FC71BE">
        <w:fldChar w:fldCharType="separate"/>
      </w:r>
      <w:r w:rsidRPr="00FC71BE">
        <w:t>[90-93]</w:t>
      </w:r>
      <w:r w:rsidRPr="00FC71BE">
        <w:fldChar w:fldCharType="end"/>
      </w:r>
      <w:r w:rsidRPr="00FC71BE">
        <w:t xml:space="preserve">. The heat generated in the windings and stator is conducted to the cooling housing and transferred to the surrounding environment via the coolant within the water jacket. This approach significantly improves convection coefficient at the housing surface, leading to a reduction in machine temperature. The cooling efficiency of a housing water jacket is related on the properties of the coolant employed. The ethylene Glycol based water (EGW) are typically implemented for traction motors </w:t>
      </w:r>
      <w:r w:rsidRPr="00FC71BE">
        <w:fldChar w:fldCharType="begin"/>
      </w:r>
      <w:r w:rsidRPr="00FC71BE">
        <w:instrText xml:space="preserve"> ADDIN EN.CITE &lt;EndNote&gt;&lt;Cite&gt;&lt;Author&gt;Chong&lt;/Author&gt;&lt;Year&gt;2021&lt;/Year&gt;&lt;RecNum&gt;170&lt;/RecNum&gt;&lt;DisplayText&gt;[94]&lt;/DisplayText&gt;&lt;record&gt;&lt;rec-number&gt;170&lt;/rec-number&gt;&lt;foreign-keys&gt;&lt;key app="EN" db-id="rf2p5e05jx0x9jep00uvx0s1fvaww2dfa0r9" timestamp="1696603815"&gt;170&lt;/key&gt;&lt;/foreign-keys&gt;&lt;ref-type name="Conference Proceedings"&gt;10&lt;/ref-type&gt;&lt;contributors&gt;&lt;authors&gt;&lt;author&gt;Chong, Yew Chuan&lt;/author&gt;&lt;author&gt;Staton, Dave&lt;/author&gt;&lt;author&gt;Gai, Yaohui&lt;/author&gt;&lt;author&gt;Adam, Husain&lt;/author&gt;&lt;author&gt;Popescu, Mircea&lt;/author&gt;&lt;/authors&gt;&lt;/contributors&gt;&lt;titles&gt;&lt;title&gt;Review of advanced cooling systems of modern electric machines for Emobility application&lt;/title&gt;&lt;secondary-title&gt;2021 IEEE Workshop on Electrical Machines Design, Control and Diagnosis (WEMDCD)&lt;/secondary-title&gt;&lt;/titles&gt;&lt;pages&gt;149-154&lt;/pages&gt;&lt;dates&gt;&lt;year&gt;2021&lt;/year&gt;&lt;/dates&gt;&lt;publisher&gt;IEEE&lt;/publisher&gt;&lt;isbn&gt;1728176158&lt;/isbn&gt;&lt;urls&gt;&lt;/urls&gt;&lt;/record&gt;&lt;/Cite&gt;&lt;/EndNote&gt;</w:instrText>
      </w:r>
      <w:r w:rsidRPr="00FC71BE">
        <w:fldChar w:fldCharType="separate"/>
      </w:r>
      <w:r w:rsidRPr="00FC71BE">
        <w:t>[94]</w:t>
      </w:r>
      <w:r w:rsidRPr="00FC71BE">
        <w:fldChar w:fldCharType="end"/>
      </w:r>
      <w:r w:rsidRPr="00FC71BE">
        <w:t xml:space="preserve">. In addition, for aerospace applications </w:t>
      </w:r>
      <w:r w:rsidRPr="00FC71BE">
        <w:fldChar w:fldCharType="begin"/>
      </w:r>
      <w:r w:rsidRPr="00FC71BE">
        <w:instrText xml:space="preserve"> ADDIN EN.CITE &lt;EndNote&gt;&lt;Cite&gt;&lt;Author&gt;Sayed&lt;/Author&gt;&lt;Year&gt;2021&lt;/Year&gt;&lt;RecNum&gt;171&lt;/RecNum&gt;&lt;DisplayText&gt;[95]&lt;/DisplayText&gt;&lt;record&gt;&lt;rec-number&gt;171&lt;/rec-number&gt;&lt;foreign-keys&gt;&lt;key app="EN" db-id="rf2p5e05jx0x9jep00uvx0s1fvaww2dfa0r9" timestamp="1696604481"&gt;171&lt;/key&gt;&lt;/foreign-keys&gt;&lt;ref-type name="Journal Article"&gt;17&lt;/ref-type&gt;&lt;contributors&gt;&lt;authors&gt;&lt;author&gt;Sayed, Ehab&lt;/author&gt;&lt;author&gt;Abdalmagid, Mohamed&lt;/author&gt;&lt;author&gt;Pietrini, Giorgio&lt;/author&gt;&lt;author&gt;Sa’adeh, Nicole-Marie&lt;/author&gt;&lt;author&gt;Callegaro, Alan Dorneles&lt;/author&gt;&lt;author&gt;Goldstein, Cyrille&lt;/author&gt;&lt;author&gt;Emadi, Ali&lt;/author&gt;&lt;/authors&gt;&lt;/contributors&gt;&lt;titles&gt;&lt;title&gt;Review of electric machines in more-/hybrid-/turbo-electric aircraft&lt;/title&gt;&lt;secondary-title&gt;IEEE Transactions on Transportation Electrification&lt;/secondary-title&gt;&lt;/titles&gt;&lt;periodical&gt;&lt;full-title&gt;IEEE Transactions on Transportation Electrification&lt;/full-title&gt;&lt;/periodical&gt;&lt;pages&gt;2976-3005&lt;/pages&gt;&lt;volume&gt;7&lt;/volume&gt;&lt;number&gt;4&lt;/number&gt;&lt;dates&gt;&lt;year&gt;2021&lt;/year&gt;&lt;/dates&gt;&lt;isbn&gt;2332-7782&lt;/isbn&gt;&lt;urls&gt;&lt;/urls&gt;&lt;/record&gt;&lt;/Cite&gt;&lt;/EndNote&gt;</w:instrText>
      </w:r>
      <w:r w:rsidRPr="00FC71BE">
        <w:fldChar w:fldCharType="separate"/>
      </w:r>
      <w:r w:rsidRPr="00FC71BE">
        <w:t>[95]</w:t>
      </w:r>
      <w:r w:rsidRPr="00FC71BE">
        <w:fldChar w:fldCharType="end"/>
      </w:r>
      <w:r w:rsidRPr="00FC71BE">
        <w:t>, aviation turbine fuel and lubricating oil may be implemented as coolants, considering the specific operating conditions off these applications.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65758720" w14:textId="77777777">
        <w:tc>
          <w:tcPr>
            <w:tcW w:w="4508" w:type="dxa"/>
          </w:tcPr>
          <w:p w14:paraId="178E98AD" w14:textId="77777777" w:rsidR="00416180" w:rsidRPr="00FC71BE" w:rsidRDefault="00416180">
            <w:pPr>
              <w:pStyle w:val="Figure"/>
              <w:rPr>
                <w:noProof w:val="0"/>
              </w:rPr>
            </w:pPr>
            <w:r w:rsidRPr="00FC71BE">
              <w:drawing>
                <wp:inline distT="0" distB="0" distL="0" distR="0" wp14:anchorId="7A67E307" wp14:editId="7E7D8491">
                  <wp:extent cx="2529840" cy="2277585"/>
                  <wp:effectExtent l="0" t="0" r="3810" b="8890"/>
                  <wp:docPr id="826863081" name="Picture 826863081" descr="A collage of different types of electrical compo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63081" name="Picture 826863081" descr="A collage of different types of electrical components&#10;&#10;Description automatically generated"/>
                          <pic:cNvPicPr/>
                        </pic:nvPicPr>
                        <pic:blipFill>
                          <a:blip r:embed="rId43"/>
                          <a:stretch>
                            <a:fillRect/>
                          </a:stretch>
                        </pic:blipFill>
                        <pic:spPr>
                          <a:xfrm>
                            <a:off x="0" y="0"/>
                            <a:ext cx="2534747" cy="2282003"/>
                          </a:xfrm>
                          <a:prstGeom prst="rect">
                            <a:avLst/>
                          </a:prstGeom>
                        </pic:spPr>
                      </pic:pic>
                    </a:graphicData>
                  </a:graphic>
                </wp:inline>
              </w:drawing>
            </w:r>
          </w:p>
        </w:tc>
        <w:tc>
          <w:tcPr>
            <w:tcW w:w="4508" w:type="dxa"/>
          </w:tcPr>
          <w:p w14:paraId="5483F5B2" w14:textId="77777777" w:rsidR="00416180" w:rsidRPr="00FC71BE" w:rsidRDefault="00416180">
            <w:pPr>
              <w:pStyle w:val="Figure"/>
              <w:rPr>
                <w:noProof w:val="0"/>
              </w:rPr>
            </w:pPr>
            <w:r w:rsidRPr="00FC71BE">
              <w:drawing>
                <wp:inline distT="0" distB="0" distL="0" distR="0" wp14:anchorId="3053A6CA" wp14:editId="14324D75">
                  <wp:extent cx="1890568" cy="2266950"/>
                  <wp:effectExtent l="0" t="0" r="0" b="0"/>
                  <wp:docPr id="2" name="Picture 2" descr="A green metal bracel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een metal bracelet with screws&#10;&#10;Description automatically generated"/>
                          <pic:cNvPicPr/>
                        </pic:nvPicPr>
                        <pic:blipFill>
                          <a:blip r:embed="rId44"/>
                          <a:stretch>
                            <a:fillRect/>
                          </a:stretch>
                        </pic:blipFill>
                        <pic:spPr>
                          <a:xfrm>
                            <a:off x="0" y="0"/>
                            <a:ext cx="1907132" cy="2286811"/>
                          </a:xfrm>
                          <a:prstGeom prst="rect">
                            <a:avLst/>
                          </a:prstGeom>
                        </pic:spPr>
                      </pic:pic>
                    </a:graphicData>
                  </a:graphic>
                </wp:inline>
              </w:drawing>
            </w:r>
          </w:p>
        </w:tc>
      </w:tr>
      <w:tr w:rsidR="00FC71BE" w:rsidRPr="00FC71BE" w14:paraId="4E2B181B" w14:textId="77777777">
        <w:tc>
          <w:tcPr>
            <w:tcW w:w="4508" w:type="dxa"/>
          </w:tcPr>
          <w:p w14:paraId="68CDD22E" w14:textId="77777777" w:rsidR="00416180" w:rsidRPr="00FC71BE" w:rsidRDefault="00416180">
            <w:pPr>
              <w:pStyle w:val="Figure"/>
              <w:rPr>
                <w:noProof w:val="0"/>
              </w:rPr>
            </w:pPr>
            <w:r w:rsidRPr="00FC71BE">
              <w:rPr>
                <w:noProof w:val="0"/>
              </w:rPr>
              <w:t>(a) Machine topology</w:t>
            </w:r>
          </w:p>
        </w:tc>
        <w:tc>
          <w:tcPr>
            <w:tcW w:w="4508" w:type="dxa"/>
          </w:tcPr>
          <w:p w14:paraId="3B051CB5" w14:textId="77777777" w:rsidR="00416180" w:rsidRPr="00FC71BE" w:rsidRDefault="00416180">
            <w:pPr>
              <w:pStyle w:val="Figure"/>
              <w:rPr>
                <w:noProof w:val="0"/>
              </w:rPr>
            </w:pPr>
            <w:r w:rsidRPr="00FC71BE">
              <w:rPr>
                <w:noProof w:val="0"/>
              </w:rPr>
              <w:t>(b) Flow channel design</w:t>
            </w:r>
          </w:p>
        </w:tc>
      </w:tr>
    </w:tbl>
    <w:p w14:paraId="6648A12B" w14:textId="24DF003F" w:rsidR="00416180" w:rsidRPr="00FC71BE" w:rsidRDefault="00416180" w:rsidP="00416180">
      <w:pPr>
        <w:pStyle w:val="FigureTitle"/>
      </w:pPr>
      <w:bookmarkStart w:id="43" w:name="_Ref147500856"/>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20</w:t>
      </w:r>
      <w:r w:rsidRPr="00FC71BE">
        <w:rPr>
          <w:rStyle w:val="FigureTitleChar"/>
          <w:color w:val="auto"/>
        </w:rPr>
        <w:fldChar w:fldCharType="end"/>
      </w:r>
      <w:bookmarkEnd w:id="43"/>
      <w:r w:rsidRPr="00FC71BE">
        <w:rPr>
          <w:rStyle w:val="FigureTitleChar"/>
          <w:color w:val="auto"/>
        </w:rPr>
        <w:t xml:space="preserve">. </w:t>
      </w:r>
      <w:r w:rsidRPr="00FC71BE">
        <w:t xml:space="preserve">Nissan-leaf electric motor and its circumferential flow channel design </w:t>
      </w:r>
      <w:r w:rsidRPr="00FC71BE">
        <w:fldChar w:fldCharType="begin"/>
      </w:r>
      <w:r w:rsidRPr="00FC71BE">
        <w:instrText xml:space="preserve"> ADDIN EN.CITE &lt;EndNote&gt;&lt;Cite&gt;&lt;Author&gt;Sato&lt;/Author&gt;&lt;Year&gt;2011&lt;/Year&gt;&lt;RecNum&gt;165&lt;/RecNum&gt;&lt;DisplayText&gt;[90, 96]&lt;/DisplayText&gt;&lt;record&gt;&lt;rec-number&gt;165&lt;/rec-number&gt;&lt;foreign-keys&gt;&lt;key app="EN" db-id="rf2p5e05jx0x9jep00uvx0s1fvaww2dfa0r9" timestamp="1696599841"&gt;165&lt;/key&gt;&lt;/foreign-keys&gt;&lt;ref-type name="Report"&gt;27&lt;/ref-type&gt;&lt;contributors&gt;&lt;authors&gt;&lt;author&gt;Sato, Yoshinori&lt;/author&gt;&lt;author&gt;Ishikawa, Shigeaki&lt;/author&gt;&lt;author&gt;Okubo, Takahito&lt;/author&gt;&lt;author&gt;Abe, Makoto&lt;/author&gt;&lt;author&gt;Tamai, Katsunori&lt;/author&gt;&lt;/authors&gt;&lt;/contributors&gt;&lt;titles&gt;&lt;title&gt;Development of high response motor and inverter system for the Nissan LEAF electric vehicle&lt;/title&gt;&lt;/titles&gt;&lt;dates&gt;&lt;year&gt;2011&lt;/year&gt;&lt;/dates&gt;&lt;publisher&gt;SAE Technical Paper&lt;/publisher&gt;&lt;isbn&gt;0148-7191&lt;/isbn&gt;&lt;urls&gt;&lt;/urls&gt;&lt;/record&gt;&lt;/Cite&gt;&lt;Cite&gt;&lt;Author&gt;Burress&lt;/Author&gt;&lt;Year&gt;2013&lt;/Year&gt;&lt;RecNum&gt;166&lt;/RecNum&gt;&lt;record&gt;&lt;rec-number&gt;166&lt;/rec-number&gt;&lt;foreign-keys&gt;&lt;key app="EN" db-id="rf2p5e05jx0x9jep00uvx0s1fvaww2dfa0r9" timestamp="1696601263"&gt;166&lt;/key&gt;&lt;/foreign-keys&gt;&lt;ref-type name="Conference Proceedings"&gt;10&lt;/ref-type&gt;&lt;contributors&gt;&lt;authors&gt;&lt;author&gt;Burress, Tim&lt;/author&gt;&lt;author&gt;Campbell, Steven&lt;/author&gt;&lt;/authors&gt;&lt;/contributors&gt;&lt;titles&gt;&lt;title&gt;Benchmarking EV and HEV power electronics and electric machines&lt;/title&gt;&lt;secondary-title&gt;2013 IEEE Transportation Electrification Conference and Expo (ITEC)&lt;/secondary-title&gt;&lt;/titles&gt;&lt;pages&gt;1-6&lt;/pages&gt;&lt;dates&gt;&lt;year&gt;2013&lt;/year&gt;&lt;/dates&gt;&lt;publisher&gt;IEEE&lt;/publisher&gt;&lt;isbn&gt;1479901482&lt;/isbn&gt;&lt;urls&gt;&lt;/urls&gt;&lt;/record&gt;&lt;/Cite&gt;&lt;/EndNote&gt;</w:instrText>
      </w:r>
      <w:r w:rsidRPr="00FC71BE">
        <w:fldChar w:fldCharType="separate"/>
      </w:r>
      <w:r w:rsidRPr="00FC71BE">
        <w:t>[90, 96]</w:t>
      </w:r>
      <w:r w:rsidRPr="00FC71BE">
        <w:fldChar w:fldCharType="end"/>
      </w:r>
      <w:r w:rsidRPr="00FC71BE">
        <w:t>.</w:t>
      </w:r>
    </w:p>
    <w:p w14:paraId="74C021B2" w14:textId="2F532228" w:rsidR="00B22008" w:rsidRPr="00FC71BE" w:rsidRDefault="00B22008" w:rsidP="00B22008">
      <w:r w:rsidRPr="00FC71BE">
        <w:t xml:space="preserve">The cooling efficiency of a housing water jacket is also influenced by the design of the flow channel. One of the flow channel designs is the circumferential flow design, which is employed in the Nissan-leaf electric motor, as shown in </w:t>
      </w:r>
      <w:r w:rsidRPr="00FC71BE">
        <w:fldChar w:fldCharType="begin"/>
      </w:r>
      <w:r w:rsidRPr="00FC71BE">
        <w:instrText xml:space="preserve"> REF _Ref147500856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20</w:t>
      </w:r>
      <w:r w:rsidRPr="00FC71BE">
        <w:fldChar w:fldCharType="end"/>
      </w:r>
      <w:r w:rsidRPr="00FC71BE">
        <w:t xml:space="preserve"> </w:t>
      </w:r>
      <w:r w:rsidRPr="00FC71BE">
        <w:fldChar w:fldCharType="begin"/>
      </w:r>
      <w:r w:rsidRPr="00FC71BE">
        <w:instrText xml:space="preserve"> ADDIN EN.CITE &lt;EndNote&gt;&lt;Cite&gt;&lt;Author&gt;Sato&lt;/Author&gt;&lt;Year&gt;2011&lt;/Year&gt;&lt;RecNum&gt;165&lt;/RecNum&gt;&lt;DisplayText&gt;[90]&lt;/DisplayText&gt;&lt;record&gt;&lt;rec-number&gt;165&lt;/rec-number&gt;&lt;foreign-keys&gt;&lt;key app="EN" db-id="rf2p5e05jx0x9jep00uvx0s1fvaww2dfa0r9" timestamp="1696599841"&gt;165&lt;/key&gt;&lt;/foreign-keys&gt;&lt;ref-type name="Report"&gt;27&lt;/ref-type&gt;&lt;contributors&gt;&lt;authors&gt;&lt;author&gt;Sato, Yoshinori&lt;/author&gt;&lt;author&gt;Ishikawa, Shigeaki&lt;/author&gt;&lt;author&gt;Okubo, Takahito&lt;/author&gt;&lt;author&gt;Abe, Makoto&lt;/author&gt;&lt;author&gt;Tamai, Katsunori&lt;/author&gt;&lt;/authors&gt;&lt;/contributors&gt;&lt;titles&gt;&lt;title&gt;Development of high response motor and inverter system for the Nissan LEAF electric vehicle&lt;/title&gt;&lt;/titles&gt;&lt;dates&gt;&lt;year&gt;2011&lt;/year&gt;&lt;/dates&gt;&lt;publisher&gt;SAE Technical Paper&lt;/publisher&gt;&lt;isbn&gt;0148-7191&lt;/isbn&gt;&lt;urls&gt;&lt;/urls&gt;&lt;/record&gt;&lt;/Cite&gt;&lt;/EndNote&gt;</w:instrText>
      </w:r>
      <w:r w:rsidRPr="00FC71BE">
        <w:fldChar w:fldCharType="separate"/>
      </w:r>
      <w:r w:rsidRPr="00FC71BE">
        <w:t>[90]</w:t>
      </w:r>
      <w:r w:rsidRPr="00FC71BE">
        <w:fldChar w:fldCharType="end"/>
      </w:r>
      <w:r w:rsidRPr="00FC71BE">
        <w:t xml:space="preserve">. In this design, circumferential flow channels are connected by axial channels, and when combined with external flow channels and heat exchanger, a closed-loop coolant circulation is established to effectively reduce machine temperature. It is worth noting that, in this system, the convection coefficient is non-uniform, and there is a non-uniform temperature distribution of coolant and housing as shown in </w:t>
      </w:r>
      <w:r w:rsidRPr="00FC71BE">
        <w:fldChar w:fldCharType="begin"/>
      </w:r>
      <w:r w:rsidRPr="00FC71BE">
        <w:instrText xml:space="preserve"> REF _Ref147501241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21</w:t>
      </w:r>
      <w:r w:rsidRPr="00FC71BE">
        <w:fldChar w:fldCharType="end"/>
      </w:r>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583"/>
      </w:tblGrid>
      <w:tr w:rsidR="00FC71BE" w:rsidRPr="00FC71BE" w14:paraId="6396B95F" w14:textId="77777777">
        <w:tc>
          <w:tcPr>
            <w:tcW w:w="4433" w:type="dxa"/>
          </w:tcPr>
          <w:p w14:paraId="0B5BD4E7" w14:textId="77777777" w:rsidR="00416180" w:rsidRPr="00FC71BE" w:rsidRDefault="00416180">
            <w:pPr>
              <w:pStyle w:val="Figure"/>
              <w:rPr>
                <w:noProof w:val="0"/>
              </w:rPr>
            </w:pPr>
            <w:r w:rsidRPr="00FC71BE">
              <w:lastRenderedPageBreak/>
              <w:drawing>
                <wp:inline distT="0" distB="0" distL="0" distR="0" wp14:anchorId="68D22C36" wp14:editId="2BB7F9A5">
                  <wp:extent cx="2226297" cy="2057400"/>
                  <wp:effectExtent l="0" t="0" r="3175" b="0"/>
                  <wp:docPr id="7" name="Picture 7" descr="A colorful cylindrical object with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olorful cylindrical object with a chart&#10;&#10;Description automatically generated"/>
                          <pic:cNvPicPr/>
                        </pic:nvPicPr>
                        <pic:blipFill>
                          <a:blip r:embed="rId45"/>
                          <a:stretch>
                            <a:fillRect/>
                          </a:stretch>
                        </pic:blipFill>
                        <pic:spPr>
                          <a:xfrm>
                            <a:off x="0" y="0"/>
                            <a:ext cx="2240695" cy="2070706"/>
                          </a:xfrm>
                          <a:prstGeom prst="rect">
                            <a:avLst/>
                          </a:prstGeom>
                        </pic:spPr>
                      </pic:pic>
                    </a:graphicData>
                  </a:graphic>
                </wp:inline>
              </w:drawing>
            </w:r>
          </w:p>
        </w:tc>
        <w:tc>
          <w:tcPr>
            <w:tcW w:w="4583" w:type="dxa"/>
          </w:tcPr>
          <w:p w14:paraId="5D035312" w14:textId="77777777" w:rsidR="00416180" w:rsidRPr="00FC71BE" w:rsidRDefault="00416180">
            <w:pPr>
              <w:pStyle w:val="Figure"/>
              <w:rPr>
                <w:noProof w:val="0"/>
              </w:rPr>
            </w:pPr>
            <w:r w:rsidRPr="00FC71BE">
              <w:drawing>
                <wp:inline distT="0" distB="0" distL="0" distR="0" wp14:anchorId="5C140FBD" wp14:editId="115F2B47">
                  <wp:extent cx="2311995" cy="2057400"/>
                  <wp:effectExtent l="0" t="0" r="0" b="0"/>
                  <wp:docPr id="9" name="Picture 9" descr="A colorful ring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olorful rings with numbers&#10;&#10;Description automatically generated with medium confidence"/>
                          <pic:cNvPicPr/>
                        </pic:nvPicPr>
                        <pic:blipFill>
                          <a:blip r:embed="rId46"/>
                          <a:stretch>
                            <a:fillRect/>
                          </a:stretch>
                        </pic:blipFill>
                        <pic:spPr>
                          <a:xfrm>
                            <a:off x="0" y="0"/>
                            <a:ext cx="2337234" cy="2079860"/>
                          </a:xfrm>
                          <a:prstGeom prst="rect">
                            <a:avLst/>
                          </a:prstGeom>
                        </pic:spPr>
                      </pic:pic>
                    </a:graphicData>
                  </a:graphic>
                </wp:inline>
              </w:drawing>
            </w:r>
          </w:p>
        </w:tc>
      </w:tr>
      <w:tr w:rsidR="00FC71BE" w:rsidRPr="00FC71BE" w14:paraId="710E94B7" w14:textId="77777777">
        <w:tc>
          <w:tcPr>
            <w:tcW w:w="4433" w:type="dxa"/>
          </w:tcPr>
          <w:p w14:paraId="28525791" w14:textId="77777777" w:rsidR="00416180" w:rsidRPr="00FC71BE" w:rsidRDefault="00416180">
            <w:pPr>
              <w:pStyle w:val="Figure"/>
              <w:rPr>
                <w:noProof w:val="0"/>
              </w:rPr>
            </w:pPr>
            <w:r w:rsidRPr="00FC71BE">
              <w:rPr>
                <w:noProof w:val="0"/>
              </w:rPr>
              <w:t>(a) Housing</w:t>
            </w:r>
          </w:p>
        </w:tc>
        <w:tc>
          <w:tcPr>
            <w:tcW w:w="4583" w:type="dxa"/>
          </w:tcPr>
          <w:p w14:paraId="79F61849" w14:textId="77777777" w:rsidR="00416180" w:rsidRPr="00FC71BE" w:rsidRDefault="00416180">
            <w:pPr>
              <w:pStyle w:val="Figure"/>
              <w:rPr>
                <w:noProof w:val="0"/>
              </w:rPr>
            </w:pPr>
            <w:r w:rsidRPr="00FC71BE">
              <w:rPr>
                <w:noProof w:val="0"/>
              </w:rPr>
              <w:t>(b) Coolant</w:t>
            </w:r>
          </w:p>
        </w:tc>
      </w:tr>
    </w:tbl>
    <w:p w14:paraId="576C1568" w14:textId="5F53EA8B" w:rsidR="00416180" w:rsidRPr="00FC71BE" w:rsidRDefault="00416180" w:rsidP="00416180">
      <w:pPr>
        <w:pStyle w:val="FigureTitle"/>
      </w:pPr>
      <w:bookmarkStart w:id="44" w:name="_Ref147501241"/>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21</w:t>
      </w:r>
      <w:r w:rsidRPr="00FC71BE">
        <w:rPr>
          <w:rStyle w:val="FigureTitleChar"/>
          <w:color w:val="auto"/>
        </w:rPr>
        <w:fldChar w:fldCharType="end"/>
      </w:r>
      <w:bookmarkEnd w:id="44"/>
      <w:r w:rsidRPr="00FC71BE">
        <w:rPr>
          <w:rStyle w:val="FigureTitleChar"/>
          <w:color w:val="auto"/>
        </w:rPr>
        <w:t xml:space="preserve">. </w:t>
      </w:r>
      <w:r w:rsidRPr="00FC71BE">
        <w:t>Temperature distributions for the water jacked cooled machine with a flow rate of 6.5 L/min.</w:t>
      </w:r>
    </w:p>
    <w:p w14:paraId="687E2A65" w14:textId="508CFE6B" w:rsidR="00416180" w:rsidRPr="00FC71BE" w:rsidRDefault="00416180" w:rsidP="00416180">
      <w:r w:rsidRPr="00FC71BE">
        <w:t xml:space="preserve">The concept of spiral flow channel was proposed in </w:t>
      </w:r>
      <w:r w:rsidRPr="00FC71BE">
        <w:fldChar w:fldCharType="begin"/>
      </w:r>
      <w:r w:rsidRPr="00FC71BE">
        <w:instrText xml:space="preserve"> ADDIN EN.CITE &lt;EndNote&gt;&lt;Cite&gt;&lt;Author&gt;Chong&lt;/Author&gt;&lt;Year&gt;2021&lt;/Year&gt;&lt;RecNum&gt;170&lt;/RecNum&gt;&lt;DisplayText&gt;[94]&lt;/DisplayText&gt;&lt;record&gt;&lt;rec-number&gt;170&lt;/rec-number&gt;&lt;foreign-keys&gt;&lt;key app="EN" db-id="rf2p5e05jx0x9jep00uvx0s1fvaww2dfa0r9" timestamp="1696603815"&gt;170&lt;/key&gt;&lt;/foreign-keys&gt;&lt;ref-type name="Conference Proceedings"&gt;10&lt;/ref-type&gt;&lt;contributors&gt;&lt;authors&gt;&lt;author&gt;Chong, Yew Chuan&lt;/author&gt;&lt;author&gt;Staton, Dave&lt;/author&gt;&lt;author&gt;Gai, Yaohui&lt;/author&gt;&lt;author&gt;Adam, Husain&lt;/author&gt;&lt;author&gt;Popescu, Mircea&lt;/author&gt;&lt;/authors&gt;&lt;/contributors&gt;&lt;titles&gt;&lt;title&gt;Review of advanced cooling systems of modern electric machines for Emobility application&lt;/title&gt;&lt;secondary-title&gt;2021 IEEE Workshop on Electrical Machines Design, Control and Diagnosis (WEMDCD)&lt;/secondary-title&gt;&lt;/titles&gt;&lt;pages&gt;149-154&lt;/pages&gt;&lt;dates&gt;&lt;year&gt;2021&lt;/year&gt;&lt;/dates&gt;&lt;publisher&gt;IEEE&lt;/publisher&gt;&lt;isbn&gt;1728176158&lt;/isbn&gt;&lt;urls&gt;&lt;/urls&gt;&lt;/record&gt;&lt;/Cite&gt;&lt;/EndNote&gt;</w:instrText>
      </w:r>
      <w:r w:rsidRPr="00FC71BE">
        <w:fldChar w:fldCharType="separate"/>
      </w:r>
      <w:r w:rsidRPr="00FC71BE">
        <w:t>[94]</w:t>
      </w:r>
      <w:r w:rsidRPr="00FC71BE">
        <w:fldChar w:fldCharType="end"/>
      </w:r>
      <w:r w:rsidRPr="00FC71BE">
        <w:t xml:space="preserve">. Compared with a circumferential flow channel, utilizing a spiral flow design leads to a noticeable reduction in flow resistance. For instance, when both designs are subjected to a water flow rate of 6.5 L/min, the pressure loss for circumferential flow channel amounts to 103Pa, while the pressure loss is reduced to 61Pa for the spiral flow channel. The bends in the circumferential flow channel result in higher coolant velocity in the bending area, as shown in </w:t>
      </w:r>
      <w:r w:rsidRPr="00FC71BE">
        <w:fldChar w:fldCharType="begin"/>
      </w:r>
      <w:r w:rsidRPr="00FC71BE">
        <w:instrText xml:space="preserve"> REF _Ref147502757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22</w:t>
      </w:r>
      <w:r w:rsidRPr="00FC71BE">
        <w:fldChar w:fldCharType="end"/>
      </w:r>
      <w:r w:rsidRPr="00FC71BE">
        <w:t xml:space="preserve">. Nevertheless, it is important to note that these bends can also introduce additional pressure losses </w:t>
      </w:r>
      <w:r w:rsidRPr="00FC71BE">
        <w:fldChar w:fldCharType="begin"/>
      </w:r>
      <w:r w:rsidRPr="00FC71BE">
        <w:instrText xml:space="preserve"> ADDIN EN.CITE &lt;EndNote&gt;&lt;Cite&gt;&lt;Author&gt;Staton&lt;/Author&gt;&lt;Year&gt;2008&lt;/Year&gt;&lt;RecNum&gt;163&lt;/RecNum&gt;&lt;DisplayText&gt;[89]&lt;/DisplayText&gt;&lt;record&gt;&lt;rec-number&gt;163&lt;/rec-number&gt;&lt;foreign-keys&gt;&lt;key app="EN" db-id="rf2p5e05jx0x9jep00uvx0s1fvaww2dfa0r9" timestamp="1696596793"&gt;163&lt;/key&gt;&lt;/foreign-keys&gt;&lt;ref-type name="Journal Article"&gt;17&lt;/ref-type&gt;&lt;contributors&gt;&lt;authors&gt;&lt;author&gt;Staton, David A&lt;/author&gt;&lt;author&gt;Cavagnino, Andrea&lt;/author&gt;&lt;/authors&gt;&lt;/contributors&gt;&lt;titles&gt;&lt;title&gt;Convection heat transfer and flow calculations suitable for electric machines thermal models&lt;/title&gt;&lt;secondary-title&gt;IEEE transactions on industrial electronics&lt;/secondary-title&gt;&lt;/titles&gt;&lt;periodical&gt;&lt;full-title&gt;IEEE Transactions on Industrial Electronics&lt;/full-title&gt;&lt;/periodical&gt;&lt;pages&gt;3509-3516&lt;/pages&gt;&lt;volume&gt;55&lt;/volume&gt;&lt;number&gt;10&lt;/number&gt;&lt;dates&gt;&lt;year&gt;2008&lt;/year&gt;&lt;/dates&gt;&lt;isbn&gt;0278-0046&lt;/isbn&gt;&lt;urls&gt;&lt;/urls&gt;&lt;/record&gt;&lt;/Cite&gt;&lt;/EndNote&gt;</w:instrText>
      </w:r>
      <w:r w:rsidRPr="00FC71BE">
        <w:fldChar w:fldCharType="separate"/>
      </w:r>
      <w:r w:rsidRPr="00FC71BE">
        <w:t>[89]</w:t>
      </w:r>
      <w:r w:rsidRPr="00FC71BE">
        <w:fldChar w:fldCharType="end"/>
      </w:r>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583"/>
      </w:tblGrid>
      <w:tr w:rsidR="00FC71BE" w:rsidRPr="00FC71BE" w14:paraId="73388C74" w14:textId="77777777">
        <w:tc>
          <w:tcPr>
            <w:tcW w:w="4433" w:type="dxa"/>
          </w:tcPr>
          <w:p w14:paraId="4B2D48F2" w14:textId="77777777" w:rsidR="00416180" w:rsidRPr="00FC71BE" w:rsidRDefault="00416180">
            <w:pPr>
              <w:pStyle w:val="Figure"/>
              <w:rPr>
                <w:noProof w:val="0"/>
              </w:rPr>
            </w:pPr>
            <w:r w:rsidRPr="00FC71BE">
              <w:drawing>
                <wp:inline distT="0" distB="0" distL="0" distR="0" wp14:anchorId="64A01E71" wp14:editId="6DBCC152">
                  <wp:extent cx="2193438" cy="1807047"/>
                  <wp:effectExtent l="0" t="0" r="0" b="3175"/>
                  <wp:docPr id="124680845" name="Picture 124680845" descr="A colorful spiral object with a graph&#10;&#10;Description automatically generated with medium confidence">
                    <a:extLst xmlns:a="http://schemas.openxmlformats.org/drawingml/2006/main">
                      <a:ext uri="{FF2B5EF4-FFF2-40B4-BE49-F238E27FC236}">
                        <a16:creationId xmlns:a16="http://schemas.microsoft.com/office/drawing/2014/main" id="{503ADBD3-0576-BD29-A9BA-D637BB2812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0845" name="Picture 124680845" descr="A colorful spiral object with a graph&#10;&#10;Description automatically generated with medium confidence">
                            <a:extLst>
                              <a:ext uri="{FF2B5EF4-FFF2-40B4-BE49-F238E27FC236}">
                                <a16:creationId xmlns:a16="http://schemas.microsoft.com/office/drawing/2014/main" id="{503ADBD3-0576-BD29-A9BA-D637BB2812B0}"/>
                              </a:ext>
                            </a:extLst>
                          </pic:cNvPr>
                          <pic:cNvPicPr>
                            <a:picLocks noChangeAspect="1"/>
                          </pic:cNvPicPr>
                        </pic:nvPicPr>
                        <pic:blipFill>
                          <a:blip r:embed="rId47"/>
                          <a:stretch>
                            <a:fillRect/>
                          </a:stretch>
                        </pic:blipFill>
                        <pic:spPr>
                          <a:xfrm>
                            <a:off x="0" y="0"/>
                            <a:ext cx="2200777" cy="1813094"/>
                          </a:xfrm>
                          <a:prstGeom prst="rect">
                            <a:avLst/>
                          </a:prstGeom>
                        </pic:spPr>
                      </pic:pic>
                    </a:graphicData>
                  </a:graphic>
                </wp:inline>
              </w:drawing>
            </w:r>
          </w:p>
        </w:tc>
        <w:tc>
          <w:tcPr>
            <w:tcW w:w="4583" w:type="dxa"/>
          </w:tcPr>
          <w:p w14:paraId="2354471B" w14:textId="77777777" w:rsidR="00416180" w:rsidRPr="00FC71BE" w:rsidRDefault="00416180">
            <w:pPr>
              <w:pStyle w:val="Figure"/>
              <w:rPr>
                <w:noProof w:val="0"/>
              </w:rPr>
            </w:pPr>
            <w:r w:rsidRPr="00FC71BE">
              <w:drawing>
                <wp:inline distT="0" distB="0" distL="0" distR="0" wp14:anchorId="7D5152AF" wp14:editId="33DDF2FE">
                  <wp:extent cx="2179932" cy="1800751"/>
                  <wp:effectExtent l="0" t="0" r="0" b="9525"/>
                  <wp:docPr id="1060955359" name="Picture 1060955359" descr="A colorful spiral with a graph&#10;&#10;Description automatically generated with medium confidence">
                    <a:extLst xmlns:a="http://schemas.openxmlformats.org/drawingml/2006/main">
                      <a:ext uri="{FF2B5EF4-FFF2-40B4-BE49-F238E27FC236}">
                        <a16:creationId xmlns:a16="http://schemas.microsoft.com/office/drawing/2014/main" id="{CA6DAEA8-95BD-446A-4D17-7668E434E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55359" name="Picture 1060955359" descr="A colorful spiral with a graph&#10;&#10;Description automatically generated with medium confidence">
                            <a:extLst>
                              <a:ext uri="{FF2B5EF4-FFF2-40B4-BE49-F238E27FC236}">
                                <a16:creationId xmlns:a16="http://schemas.microsoft.com/office/drawing/2014/main" id="{CA6DAEA8-95BD-446A-4D17-7668E434E1FD}"/>
                              </a:ext>
                            </a:extLst>
                          </pic:cNvPr>
                          <pic:cNvPicPr>
                            <a:picLocks noChangeAspect="1"/>
                          </pic:cNvPicPr>
                        </pic:nvPicPr>
                        <pic:blipFill>
                          <a:blip r:embed="rId48"/>
                          <a:stretch>
                            <a:fillRect/>
                          </a:stretch>
                        </pic:blipFill>
                        <pic:spPr>
                          <a:xfrm>
                            <a:off x="0" y="0"/>
                            <a:ext cx="2188095" cy="1807494"/>
                          </a:xfrm>
                          <a:prstGeom prst="rect">
                            <a:avLst/>
                          </a:prstGeom>
                        </pic:spPr>
                      </pic:pic>
                    </a:graphicData>
                  </a:graphic>
                </wp:inline>
              </w:drawing>
            </w:r>
          </w:p>
        </w:tc>
      </w:tr>
      <w:tr w:rsidR="00FC71BE" w:rsidRPr="00FC71BE" w14:paraId="0823ECC8" w14:textId="77777777">
        <w:tc>
          <w:tcPr>
            <w:tcW w:w="4433" w:type="dxa"/>
          </w:tcPr>
          <w:p w14:paraId="5B714071" w14:textId="77777777" w:rsidR="00416180" w:rsidRPr="00FC71BE" w:rsidRDefault="00416180">
            <w:pPr>
              <w:pStyle w:val="Figure"/>
              <w:rPr>
                <w:noProof w:val="0"/>
              </w:rPr>
            </w:pPr>
            <w:r w:rsidRPr="00FC71BE">
              <w:rPr>
                <w:noProof w:val="0"/>
              </w:rPr>
              <w:t>(a) Circumferential flow channel</w:t>
            </w:r>
          </w:p>
        </w:tc>
        <w:tc>
          <w:tcPr>
            <w:tcW w:w="4583" w:type="dxa"/>
          </w:tcPr>
          <w:p w14:paraId="22C20419" w14:textId="77777777" w:rsidR="00416180" w:rsidRPr="00FC71BE" w:rsidRDefault="00416180">
            <w:pPr>
              <w:pStyle w:val="Figure"/>
              <w:rPr>
                <w:noProof w:val="0"/>
              </w:rPr>
            </w:pPr>
            <w:r w:rsidRPr="00FC71BE">
              <w:rPr>
                <w:noProof w:val="0"/>
              </w:rPr>
              <w:t>(b) Spiral flow channel</w:t>
            </w:r>
          </w:p>
        </w:tc>
      </w:tr>
    </w:tbl>
    <w:p w14:paraId="653F62E3" w14:textId="4AA87E10" w:rsidR="00416180" w:rsidRPr="00FC71BE" w:rsidRDefault="00416180" w:rsidP="00416180">
      <w:pPr>
        <w:pStyle w:val="FigureTitle"/>
      </w:pPr>
      <w:bookmarkStart w:id="45" w:name="_Ref147502757"/>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22</w:t>
      </w:r>
      <w:r w:rsidRPr="00FC71BE">
        <w:rPr>
          <w:rStyle w:val="FigureTitleChar"/>
          <w:color w:val="auto"/>
        </w:rPr>
        <w:fldChar w:fldCharType="end"/>
      </w:r>
      <w:bookmarkEnd w:id="45"/>
      <w:r w:rsidRPr="00FC71BE">
        <w:rPr>
          <w:rStyle w:val="FigureTitleChar"/>
          <w:color w:val="auto"/>
        </w:rPr>
        <w:t xml:space="preserve">. </w:t>
      </w:r>
      <w:r w:rsidRPr="00FC71BE">
        <w:t>Coolant velocity distribution for different design of flow channel with a flow rate of 6.5 L/min.</w:t>
      </w:r>
    </w:p>
    <w:p w14:paraId="4BC17B13" w14:textId="3C76F245" w:rsidR="00416180" w:rsidRPr="00FC71BE" w:rsidRDefault="00416180" w:rsidP="00416180">
      <w:r w:rsidRPr="00FC71BE">
        <w:t xml:space="preserve">The housing water jacket has noticeable ability to improve the rate of heat dissipation from machines to ambient. However, the poor heat transfer rate from end-winding to the housing frame can limit the overall cooling efficiency. Particularly, the end-winding is typically the region where the hottest spots are encountered. Section </w:t>
      </w:r>
      <w:r w:rsidRPr="00FC71BE">
        <w:fldChar w:fldCharType="begin"/>
      </w:r>
      <w:r w:rsidRPr="00FC71BE">
        <w:instrText xml:space="preserve"> REF _Ref147503190 \r \h </w:instrText>
      </w:r>
      <w:r w:rsidRPr="00FC71BE">
        <w:fldChar w:fldCharType="separate"/>
      </w:r>
      <w:r w:rsidR="007E62C1" w:rsidRPr="00FC71BE">
        <w:t>1.4.1</w:t>
      </w:r>
      <w:r w:rsidRPr="00FC71BE">
        <w:fldChar w:fldCharType="end"/>
      </w:r>
      <w:r w:rsidRPr="00FC71BE">
        <w:t>-</w:t>
      </w:r>
      <w:r w:rsidRPr="00FC71BE">
        <w:fldChar w:fldCharType="begin"/>
      </w:r>
      <w:r w:rsidRPr="00FC71BE">
        <w:instrText xml:space="preserve"> REF _Ref147503197 \r \h </w:instrText>
      </w:r>
      <w:r w:rsidRPr="00FC71BE">
        <w:fldChar w:fldCharType="separate"/>
      </w:r>
      <w:r w:rsidR="007E62C1" w:rsidRPr="00FC71BE">
        <w:t>B</w:t>
      </w:r>
      <w:r w:rsidRPr="00FC71BE">
        <w:fldChar w:fldCharType="end"/>
      </w:r>
      <w:r w:rsidRPr="00FC71BE">
        <w:t xml:space="preserve"> has reviewed passive methods </w:t>
      </w:r>
      <w:r w:rsidRPr="00FC71BE">
        <w:lastRenderedPageBreak/>
        <w:t>for improving the heat transfer rate within the end space. Moreover, some active cooling technologies have been developed to achieve the same purpose.</w:t>
      </w:r>
    </w:p>
    <w:p w14:paraId="589B7539" w14:textId="77777777" w:rsidR="00416180" w:rsidRPr="00FC71BE" w:rsidRDefault="00416180" w:rsidP="00416180">
      <w:r w:rsidRPr="00FC71BE">
        <w:t xml:space="preserve">Inserting dedicated liquid cooling pipe into the end-windings offers a direct means to efficiently transfer the heat generated by the end-winding out of machines. Reference </w:t>
      </w:r>
      <w:r w:rsidRPr="00FC71BE">
        <w:fldChar w:fldCharType="begin"/>
      </w:r>
      <w:r w:rsidRPr="00FC71BE">
        <w:instrText xml:space="preserve"> ADDIN EN.CITE &lt;EndNote&gt;&lt;Cite&gt;&lt;Author&gt;Madonna&lt;/Author&gt;&lt;Year&gt;2018&lt;/Year&gt;&lt;RecNum&gt;172&lt;/RecNum&gt;&lt;DisplayText&gt;[97]&lt;/DisplayText&gt;&lt;record&gt;&lt;rec-number&gt;172&lt;/rec-number&gt;&lt;foreign-keys&gt;&lt;key app="EN" db-id="rf2p5e05jx0x9jep00uvx0s1fvaww2dfa0r9" timestamp="1696607551"&gt;172&lt;/key&gt;&lt;/foreign-keys&gt;&lt;ref-type name="Journal Article"&gt;17&lt;/ref-type&gt;&lt;contributors&gt;&lt;authors&gt;&lt;author&gt;Madonna, Vincenzo&lt;/author&gt;&lt;author&gt;Walker, Adam&lt;/author&gt;&lt;author&gt;Giangrande, Paolo&lt;/author&gt;&lt;author&gt;Serra, Giovanni&lt;/author&gt;&lt;author&gt;Gerada, Chris&lt;/author&gt;&lt;author&gt;Galea, Michael&lt;/author&gt;&lt;/authors&gt;&lt;/contributors&gt;&lt;titles&gt;&lt;title&gt;Improved thermal management and analysis for stator end-windings of electrical machines&lt;/title&gt;&lt;secondary-title&gt;IEEE Transactions on Industrial Electronics&lt;/secondary-title&gt;&lt;/titles&gt;&lt;periodical&gt;&lt;full-title&gt;IEEE Transactions on Industrial Electronics&lt;/full-title&gt;&lt;/periodical&gt;&lt;pages&gt;5057-5069&lt;/pages&gt;&lt;volume&gt;66&lt;/volume&gt;&lt;number&gt;7&lt;/number&gt;&lt;dates&gt;&lt;year&gt;2018&lt;/year&gt;&lt;/dates&gt;&lt;isbn&gt;0278-0046&lt;/isbn&gt;&lt;urls&gt;&lt;/urls&gt;&lt;/record&gt;&lt;/Cite&gt;&lt;/EndNote&gt;</w:instrText>
      </w:r>
      <w:r w:rsidRPr="00FC71BE">
        <w:fldChar w:fldCharType="separate"/>
      </w:r>
      <w:r w:rsidRPr="00FC71BE">
        <w:t>[97]</w:t>
      </w:r>
      <w:r w:rsidRPr="00FC71BE">
        <w:fldChar w:fldCharType="end"/>
      </w:r>
      <w:r w:rsidRPr="00FC71BE">
        <w:t xml:space="preserve"> proposed a new cooling technology that combines this direct end-winding cooling method with a housing water jacket. This combined system has been demonstrated to significantly reduce machine temperature, particularly in the end-winding regions. Different materials for the dedicated liquid cooling pipe, including metallic pipe, thermoformed polymer, and silicone rubber, have been investigated and compared. The comparisons reveal that silicone rubber exhibits the best cooling efficiency among these materials. This superiority can be attributed to the expansion of the silicone rubber pipe, when carrying pressurized fluid.</w:t>
      </w:r>
    </w:p>
    <w:p w14:paraId="5EECE612" w14:textId="77777777" w:rsidR="00416180" w:rsidRPr="00FC71BE" w:rsidRDefault="00416180" w:rsidP="00416180">
      <w:pPr>
        <w:pStyle w:val="Figure"/>
        <w:rPr>
          <w:noProof w:val="0"/>
        </w:rPr>
      </w:pPr>
      <w:r w:rsidRPr="00FC71BE">
        <w:drawing>
          <wp:inline distT="0" distB="0" distL="0" distR="0" wp14:anchorId="64BFD802" wp14:editId="2ECEA77C">
            <wp:extent cx="4631986" cy="1658093"/>
            <wp:effectExtent l="0" t="0" r="0" b="0"/>
            <wp:docPr id="1618017012" name="Picture 1618017012" descr="A diagram of a magn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017012" name="Picture 1" descr="A diagram of a magnet&#10;&#10;Description automatically generated with medium confidence"/>
                    <pic:cNvPicPr/>
                  </pic:nvPicPr>
                  <pic:blipFill>
                    <a:blip r:embed="rId49"/>
                    <a:stretch>
                      <a:fillRect/>
                    </a:stretch>
                  </pic:blipFill>
                  <pic:spPr>
                    <a:xfrm>
                      <a:off x="0" y="0"/>
                      <a:ext cx="4652475" cy="1665427"/>
                    </a:xfrm>
                    <a:prstGeom prst="rect">
                      <a:avLst/>
                    </a:prstGeom>
                  </pic:spPr>
                </pic:pic>
              </a:graphicData>
            </a:graphic>
          </wp:inline>
        </w:drawing>
      </w:r>
    </w:p>
    <w:p w14:paraId="41431CA0" w14:textId="1FA60094" w:rsidR="00416180" w:rsidRPr="00FC71BE" w:rsidRDefault="00416180" w:rsidP="00416180">
      <w:pPr>
        <w:pStyle w:val="FigureTitle"/>
      </w:pPr>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23</w:t>
      </w:r>
      <w:r w:rsidRPr="00FC71BE">
        <w:rPr>
          <w:rStyle w:val="FigureTitleChar"/>
          <w:color w:val="auto"/>
        </w:rPr>
        <w:fldChar w:fldCharType="end"/>
      </w:r>
      <w:r w:rsidRPr="00FC71BE">
        <w:rPr>
          <w:rStyle w:val="FigureTitleChar"/>
          <w:color w:val="auto"/>
        </w:rPr>
        <w:t xml:space="preserve">. </w:t>
      </w:r>
      <w:r w:rsidRPr="00FC71BE">
        <w:t xml:space="preserve">Dedicated liquid cooling pipe for different materials </w:t>
      </w:r>
      <w:r w:rsidRPr="00FC71BE">
        <w:fldChar w:fldCharType="begin"/>
      </w:r>
      <w:r w:rsidRPr="00FC71BE">
        <w:instrText xml:space="preserve"> ADDIN EN.CITE &lt;EndNote&gt;&lt;Cite&gt;&lt;Author&gt;Madonna&lt;/Author&gt;&lt;Year&gt;2018&lt;/Year&gt;&lt;RecNum&gt;172&lt;/RecNum&gt;&lt;DisplayText&gt;[97]&lt;/DisplayText&gt;&lt;record&gt;&lt;rec-number&gt;172&lt;/rec-number&gt;&lt;foreign-keys&gt;&lt;key app="EN" db-id="rf2p5e05jx0x9jep00uvx0s1fvaww2dfa0r9" timestamp="1696607551"&gt;172&lt;/key&gt;&lt;/foreign-keys&gt;&lt;ref-type name="Journal Article"&gt;17&lt;/ref-type&gt;&lt;contributors&gt;&lt;authors&gt;&lt;author&gt;Madonna, Vincenzo&lt;/author&gt;&lt;author&gt;Walker, Adam&lt;/author&gt;&lt;author&gt;Giangrande, Paolo&lt;/author&gt;&lt;author&gt;Serra, Giovanni&lt;/author&gt;&lt;author&gt;Gerada, Chris&lt;/author&gt;&lt;author&gt;Galea, Michael&lt;/author&gt;&lt;/authors&gt;&lt;/contributors&gt;&lt;titles&gt;&lt;title&gt;Improved thermal management and analysis for stator end-windings of electrical machines&lt;/title&gt;&lt;secondary-title&gt;IEEE Transactions on Industrial Electronics&lt;/secondary-title&gt;&lt;/titles&gt;&lt;periodical&gt;&lt;full-title&gt;IEEE Transactions on Industrial Electronics&lt;/full-title&gt;&lt;/periodical&gt;&lt;pages&gt;5057-5069&lt;/pages&gt;&lt;volume&gt;66&lt;/volume&gt;&lt;number&gt;7&lt;/number&gt;&lt;dates&gt;&lt;year&gt;2018&lt;/year&gt;&lt;/dates&gt;&lt;isbn&gt;0278-0046&lt;/isbn&gt;&lt;urls&gt;&lt;/urls&gt;&lt;/record&gt;&lt;/Cite&gt;&lt;/EndNote&gt;</w:instrText>
      </w:r>
      <w:r w:rsidRPr="00FC71BE">
        <w:fldChar w:fldCharType="separate"/>
      </w:r>
      <w:r w:rsidRPr="00FC71BE">
        <w:t>[97]</w:t>
      </w:r>
      <w:r w:rsidRPr="00FC71BE">
        <w:fldChar w:fldCharType="end"/>
      </w:r>
      <w:r w:rsidRPr="00FC71BE">
        <w:t>.</w:t>
      </w:r>
    </w:p>
    <w:p w14:paraId="46AE0908" w14:textId="4F95295A" w:rsidR="00416180" w:rsidRPr="00FC71BE" w:rsidRDefault="00416180" w:rsidP="00416180">
      <w:r w:rsidRPr="00FC71BE">
        <w:t xml:space="preserve">The additive manufactured (AM) heat guides discussed in section </w:t>
      </w:r>
      <w:r w:rsidRPr="00FC71BE">
        <w:fldChar w:fldCharType="begin"/>
      </w:r>
      <w:r w:rsidRPr="00FC71BE">
        <w:instrText xml:space="preserve"> REF _Ref147503190 \r \h </w:instrText>
      </w:r>
      <w:r w:rsidRPr="00FC71BE">
        <w:fldChar w:fldCharType="separate"/>
      </w:r>
      <w:r w:rsidR="007E62C1" w:rsidRPr="00FC71BE">
        <w:t>1.4.1</w:t>
      </w:r>
      <w:r w:rsidRPr="00FC71BE">
        <w:fldChar w:fldCharType="end"/>
      </w:r>
      <w:r w:rsidRPr="00FC71BE">
        <w:t>-</w:t>
      </w:r>
      <w:r w:rsidRPr="00FC71BE">
        <w:fldChar w:fldCharType="begin"/>
      </w:r>
      <w:r w:rsidRPr="00FC71BE">
        <w:instrText xml:space="preserve"> REF _Ref147505661 \r \h </w:instrText>
      </w:r>
      <w:r w:rsidRPr="00FC71BE">
        <w:fldChar w:fldCharType="separate"/>
      </w:r>
      <w:r w:rsidR="007E62C1" w:rsidRPr="00FC71BE">
        <w:t>C</w:t>
      </w:r>
      <w:r w:rsidRPr="00FC71BE">
        <w:fldChar w:fldCharType="end"/>
      </w:r>
      <w:r w:rsidRPr="00FC71BE">
        <w:t xml:space="preserve"> can be considered as heat pipes, connecting to an external pump or device to provide effective cooling efficiency. For instance, a polycarbonate aluminium flake (PC-AL) heat pipe, serving as a direct heat exchanger, can be placed within a slot to improve the heat dissipation of windings </w:t>
      </w:r>
      <w:r w:rsidRPr="00FC71BE">
        <w:fldChar w:fldCharType="begin"/>
      </w:r>
      <w:r w:rsidR="00334780" w:rsidRPr="00FC71BE">
        <w:instrText xml:space="preserve"> ADDIN EN.CITE &lt;EndNote&gt;&lt;Cite&gt;&lt;Author&gt;Sixel&lt;/Author&gt;&lt;Year&gt;2020&lt;/Year&gt;&lt;RecNum&gt;141&lt;/RecNum&gt;&lt;DisplayText&gt;[72]&lt;/DisplayText&gt;&lt;record&gt;&lt;rec-number&gt;141&lt;/rec-number&gt;&lt;foreign-keys&gt;&lt;key app="EN" db-id="rf2p5e05jx0x9jep00uvx0s1fvaww2dfa0r9" timestamp="1696513656"&gt;141&lt;/key&gt;&lt;/foreign-keys&gt;&lt;ref-type name="Journal Article"&gt;17&lt;/ref-type&gt;&lt;contributors&gt;&lt;authors&gt;&lt;author&gt;Sixel, William&lt;/author&gt;&lt;author&gt;Liu, Mingda&lt;/author&gt;&lt;author&gt;Nellis, Gregory&lt;/author&gt;&lt;author&gt;Sarlioglu, Bulent&lt;/author&gt;&lt;/authors&gt;&lt;/contributors&gt;&lt;titles&gt;&lt;title&gt;Cooling of windings in electric machines via 3-D printed heat exchanger&lt;/title&gt;&lt;secondary-title&gt;IEEE Transactions on Industry Applications&lt;/secondary-title&gt;&lt;/titles&gt;&lt;periodical&gt;&lt;full-title&gt;IEEE Transactions on Industry Applications&lt;/full-title&gt;&lt;/periodical&gt;&lt;pages&gt;4718-4726&lt;/pages&gt;&lt;volume&gt;56&lt;/volume&gt;&lt;number&gt;5&lt;/number&gt;&lt;dates&gt;&lt;year&gt;2020&lt;/year&gt;&lt;/dates&gt;&lt;isbn&gt;0093-9994&lt;/isbn&gt;&lt;urls&gt;&lt;/urls&gt;&lt;/record&gt;&lt;/Cite&gt;&lt;/EndNote&gt;</w:instrText>
      </w:r>
      <w:r w:rsidRPr="00FC71BE">
        <w:fldChar w:fldCharType="separate"/>
      </w:r>
      <w:r w:rsidRPr="00FC71BE">
        <w:t>[72]</w:t>
      </w:r>
      <w:r w:rsidRPr="00FC71BE">
        <w:fldChar w:fldCharType="end"/>
      </w:r>
      <w:r w:rsidRPr="00FC71BE">
        <w:t xml:space="preserve">. Moreover, the heat pipes are not only limited to slot placement, they can also be inserted in shaft, rotor, end-winding, end region cavity and bearing </w:t>
      </w:r>
      <w:r w:rsidRPr="00FC71BE">
        <w:fldChar w:fldCharType="begin"/>
      </w:r>
      <w:r w:rsidRPr="00FC71BE">
        <w:instrText xml:space="preserve"> ADDIN EN.CITE &lt;EndNote&gt;&lt;Cite&gt;&lt;Author&gt;Wrobel&lt;/Author&gt;&lt;Year&gt;2021&lt;/Year&gt;&lt;RecNum&gt;142&lt;/RecNum&gt;&lt;DisplayText&gt;[73]&lt;/DisplayText&gt;&lt;record&gt;&lt;rec-number&gt;142&lt;/rec-number&gt;&lt;foreign-keys&gt;&lt;key app="EN" db-id="rf2p5e05jx0x9jep00uvx0s1fvaww2dfa0r9" timestamp="1696514345"&gt;142&lt;/key&gt;&lt;/foreign-keys&gt;&lt;ref-type name="Journal Article"&gt;17&lt;/ref-type&gt;&lt;contributors&gt;&lt;authors&gt;&lt;author&gt;Wrobel, Rafal&lt;/author&gt;&lt;author&gt;McGlen, Ryan J&lt;/author&gt;&lt;/authors&gt;&lt;/contributors&gt;&lt;titles&gt;&lt;title&gt;Heat pipes in thermal management of electrical machines–A review&lt;/title&gt;&lt;secondary-title&gt;Thermal Science and Engineering Progress&lt;/secondary-title&gt;&lt;/titles&gt;&lt;periodical&gt;&lt;full-title&gt;Thermal Science and Engineering Progress&lt;/full-title&gt;&lt;/periodical&gt;&lt;pages&gt;101053&lt;/pages&gt;&lt;volume&gt;26&lt;/volume&gt;&lt;dates&gt;&lt;year&gt;2021&lt;/year&gt;&lt;/dates&gt;&lt;isbn&gt;2451-9049&lt;/isbn&gt;&lt;urls&gt;&lt;/urls&gt;&lt;/record&gt;&lt;/Cite&gt;&lt;/EndNote&gt;</w:instrText>
      </w:r>
      <w:r w:rsidRPr="00FC71BE">
        <w:fldChar w:fldCharType="separate"/>
      </w:r>
      <w:r w:rsidRPr="00FC71BE">
        <w:t>[73]</w:t>
      </w:r>
      <w:r w:rsidRPr="00FC71BE">
        <w:fldChar w:fldCharType="end"/>
      </w:r>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gridCol w:w="5234"/>
      </w:tblGrid>
      <w:tr w:rsidR="00FC71BE" w:rsidRPr="00FC71BE" w14:paraId="43331BF6" w14:textId="77777777">
        <w:tc>
          <w:tcPr>
            <w:tcW w:w="3792" w:type="dxa"/>
            <w:vAlign w:val="center"/>
          </w:tcPr>
          <w:p w14:paraId="1D9D48C2" w14:textId="77777777" w:rsidR="00416180" w:rsidRPr="00FC71BE" w:rsidRDefault="00416180">
            <w:pPr>
              <w:pStyle w:val="Figure"/>
              <w:rPr>
                <w:noProof w:val="0"/>
              </w:rPr>
            </w:pPr>
            <w:r w:rsidRPr="00FC71BE">
              <w:drawing>
                <wp:inline distT="0" distB="0" distL="0" distR="0" wp14:anchorId="48FC02F5" wp14:editId="08AB1038">
                  <wp:extent cx="1972182" cy="1656000"/>
                  <wp:effectExtent l="0" t="0" r="0" b="1905"/>
                  <wp:docPr id="475025200" name="Picture 475025200" descr="A close-up of a s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025200" name="Picture 1" descr="A close-up of a seal&#10;&#10;Description automatically generated"/>
                          <pic:cNvPicPr/>
                        </pic:nvPicPr>
                        <pic:blipFill rotWithShape="1">
                          <a:blip r:embed="rId50"/>
                          <a:srcRect t="4678" b="3930"/>
                          <a:stretch/>
                        </pic:blipFill>
                        <pic:spPr bwMode="auto">
                          <a:xfrm>
                            <a:off x="0" y="0"/>
                            <a:ext cx="1972182" cy="1656000"/>
                          </a:xfrm>
                          <a:prstGeom prst="rect">
                            <a:avLst/>
                          </a:prstGeom>
                          <a:ln>
                            <a:noFill/>
                          </a:ln>
                          <a:extLst>
                            <a:ext uri="{53640926-AAD7-44D8-BBD7-CCE9431645EC}">
                              <a14:shadowObscured xmlns:a14="http://schemas.microsoft.com/office/drawing/2010/main"/>
                            </a:ext>
                          </a:extLst>
                        </pic:spPr>
                      </pic:pic>
                    </a:graphicData>
                  </a:graphic>
                </wp:inline>
              </w:drawing>
            </w:r>
          </w:p>
        </w:tc>
        <w:tc>
          <w:tcPr>
            <w:tcW w:w="5234" w:type="dxa"/>
            <w:vAlign w:val="center"/>
          </w:tcPr>
          <w:p w14:paraId="35FCED94" w14:textId="77777777" w:rsidR="00416180" w:rsidRPr="00FC71BE" w:rsidRDefault="00416180">
            <w:pPr>
              <w:pStyle w:val="Figure"/>
              <w:rPr>
                <w:noProof w:val="0"/>
              </w:rPr>
            </w:pPr>
            <w:r w:rsidRPr="00FC71BE">
              <w:drawing>
                <wp:inline distT="0" distB="0" distL="0" distR="0" wp14:anchorId="3213E490" wp14:editId="403436FD">
                  <wp:extent cx="3186546" cy="1555594"/>
                  <wp:effectExtent l="0" t="0" r="0" b="6985"/>
                  <wp:docPr id="1156044151" name="Picture 1156044151" descr="A blue and black piece of metal with arrows pointing to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44151" name="Picture 1" descr="A blue and black piece of metal with arrows pointing to the side&#10;&#10;Description automatically generated with medium confidence"/>
                          <pic:cNvPicPr/>
                        </pic:nvPicPr>
                        <pic:blipFill>
                          <a:blip r:embed="rId51"/>
                          <a:stretch>
                            <a:fillRect/>
                          </a:stretch>
                        </pic:blipFill>
                        <pic:spPr>
                          <a:xfrm>
                            <a:off x="0" y="0"/>
                            <a:ext cx="3190859" cy="1557700"/>
                          </a:xfrm>
                          <a:prstGeom prst="rect">
                            <a:avLst/>
                          </a:prstGeom>
                        </pic:spPr>
                      </pic:pic>
                    </a:graphicData>
                  </a:graphic>
                </wp:inline>
              </w:drawing>
            </w:r>
          </w:p>
        </w:tc>
      </w:tr>
      <w:tr w:rsidR="00FC71BE" w:rsidRPr="00FC71BE" w14:paraId="6EEB8A0E" w14:textId="77777777">
        <w:tc>
          <w:tcPr>
            <w:tcW w:w="3792" w:type="dxa"/>
            <w:vAlign w:val="center"/>
          </w:tcPr>
          <w:p w14:paraId="1AC47400" w14:textId="77777777" w:rsidR="00416180" w:rsidRPr="00FC71BE" w:rsidRDefault="00416180">
            <w:pPr>
              <w:pStyle w:val="Figure"/>
              <w:rPr>
                <w:noProof w:val="0"/>
              </w:rPr>
            </w:pPr>
            <w:r w:rsidRPr="00FC71BE">
              <w:rPr>
                <w:noProof w:val="0"/>
              </w:rPr>
              <w:t>(a) Cross section</w:t>
            </w:r>
          </w:p>
        </w:tc>
        <w:tc>
          <w:tcPr>
            <w:tcW w:w="5234" w:type="dxa"/>
            <w:vAlign w:val="center"/>
          </w:tcPr>
          <w:p w14:paraId="7DA2F059" w14:textId="77777777" w:rsidR="00416180" w:rsidRPr="00FC71BE" w:rsidRDefault="00416180">
            <w:pPr>
              <w:pStyle w:val="Figure"/>
              <w:rPr>
                <w:noProof w:val="0"/>
              </w:rPr>
            </w:pPr>
            <w:r w:rsidRPr="00FC71BE">
              <w:rPr>
                <w:noProof w:val="0"/>
              </w:rPr>
              <w:t>(b) Flow profile within AM heat guide</w:t>
            </w:r>
          </w:p>
        </w:tc>
      </w:tr>
    </w:tbl>
    <w:p w14:paraId="5D1C2183" w14:textId="33F62390" w:rsidR="00416180" w:rsidRPr="00FC71BE" w:rsidRDefault="00416180" w:rsidP="00416180">
      <w:pPr>
        <w:pStyle w:val="FigureTitle"/>
      </w:pPr>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24</w:t>
      </w:r>
      <w:r w:rsidRPr="00FC71BE">
        <w:rPr>
          <w:rStyle w:val="FigureTitleChar"/>
          <w:color w:val="auto"/>
        </w:rPr>
        <w:fldChar w:fldCharType="end"/>
      </w:r>
      <w:r w:rsidRPr="00FC71BE">
        <w:rPr>
          <w:rStyle w:val="FigureTitleChar"/>
          <w:color w:val="auto"/>
        </w:rPr>
        <w:t xml:space="preserve">. </w:t>
      </w:r>
      <w:r w:rsidRPr="00FC71BE">
        <w:t xml:space="preserve">Cross section of AM heat guides and flow profile within AM heat guide </w:t>
      </w:r>
      <w:r w:rsidRPr="00FC71BE">
        <w:fldChar w:fldCharType="begin"/>
      </w:r>
      <w:r w:rsidR="00334780" w:rsidRPr="00FC71BE">
        <w:instrText xml:space="preserve"> ADDIN EN.CITE &lt;EndNote&gt;&lt;Cite&gt;&lt;Author&gt;Sixel&lt;/Author&gt;&lt;Year&gt;2020&lt;/Year&gt;&lt;RecNum&gt;141&lt;/RecNum&gt;&lt;DisplayText&gt;[72]&lt;/DisplayText&gt;&lt;record&gt;&lt;rec-number&gt;141&lt;/rec-number&gt;&lt;foreign-keys&gt;&lt;key app="EN" db-id="rf2p5e05jx0x9jep00uvx0s1fvaww2dfa0r9" timestamp="1696513656"&gt;141&lt;/key&gt;&lt;/foreign-keys&gt;&lt;ref-type name="Journal Article"&gt;17&lt;/ref-type&gt;&lt;contributors&gt;&lt;authors&gt;&lt;author&gt;Sixel, William&lt;/author&gt;&lt;author&gt;Liu, Mingda&lt;/author&gt;&lt;author&gt;Nellis, Gregory&lt;/author&gt;&lt;author&gt;Sarlioglu, Bulent&lt;/author&gt;&lt;/authors&gt;&lt;/contributors&gt;&lt;titles&gt;&lt;title&gt;Cooling of windings in electric machines via 3-D printed heat exchanger&lt;/title&gt;&lt;secondary-title&gt;IEEE Transactions on Industry Applications&lt;/secondary-title&gt;&lt;/titles&gt;&lt;periodical&gt;&lt;full-title&gt;IEEE Transactions on Industry Applications&lt;/full-title&gt;&lt;/periodical&gt;&lt;pages&gt;4718-4726&lt;/pages&gt;&lt;volume&gt;56&lt;/volume&gt;&lt;number&gt;5&lt;/number&gt;&lt;dates&gt;&lt;year&gt;2020&lt;/year&gt;&lt;/dates&gt;&lt;isbn&gt;0093-9994&lt;/isbn&gt;&lt;urls&gt;&lt;/urls&gt;&lt;/record&gt;&lt;/Cite&gt;&lt;/EndNote&gt;</w:instrText>
      </w:r>
      <w:r w:rsidRPr="00FC71BE">
        <w:fldChar w:fldCharType="separate"/>
      </w:r>
      <w:r w:rsidRPr="00FC71BE">
        <w:t>[72]</w:t>
      </w:r>
      <w:r w:rsidRPr="00FC71BE">
        <w:fldChar w:fldCharType="end"/>
      </w:r>
      <w:r w:rsidRPr="00FC71BE">
        <w:t>.</w:t>
      </w:r>
    </w:p>
    <w:p w14:paraId="1B3E841F" w14:textId="117E80FD" w:rsidR="00416180" w:rsidRPr="00FC71BE" w:rsidRDefault="00416180" w:rsidP="00416180">
      <w:r w:rsidRPr="00FC71BE">
        <w:lastRenderedPageBreak/>
        <w:t xml:space="preserve">Heat dissipation in machine’s rotating components is more critical than in stationary components, especially in the rotor-mounted PM machines. In these machines, PM eddy current losses can only be conducted through the shaft and convected via the airgap. To improve the heat dissipation from shaft, a hollow shaft topology is employed </w:t>
      </w:r>
      <w:r w:rsidRPr="00FC71BE">
        <w:fldChar w:fldCharType="begin">
          <w:fldData xml:space="preserve">PEVuZE5vdGU+PENpdGU+PEF1dGhvcj5HYWk8L0F1dGhvcj48WWVhcj4yMDE5PC9ZZWFyPjxSZWNO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</w:fldData>
        </w:fldChar>
      </w:r>
      <w:r w:rsidR="00103B0D" w:rsidRPr="00FC71BE">
        <w:instrText xml:space="preserve"> ADDIN EN.CITE </w:instrText>
      </w:r>
      <w:r w:rsidR="00103B0D" w:rsidRPr="00FC71BE">
        <w:fldChar w:fldCharType="begin">
          <w:fldData xml:space="preserve">PEVuZE5vdGU+PENpdGU+PEF1dGhvcj5HYWk8L0F1dGhvcj48WWVhcj4yMDE5PC9ZZWFyPjxSZWNO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</w:fldData>
        </w:fldChar>
      </w:r>
      <w:r w:rsidR="00103B0D" w:rsidRPr="00FC71BE">
        <w:instrText xml:space="preserve"> ADDIN EN.CITE.DATA </w:instrText>
      </w:r>
      <w:r w:rsidR="00103B0D" w:rsidRPr="00FC71BE">
        <w:fldChar w:fldCharType="end"/>
      </w:r>
      <w:r w:rsidRPr="00FC71BE">
        <w:fldChar w:fldCharType="separate"/>
      </w:r>
      <w:r w:rsidRPr="00FC71BE">
        <w:t>[98-100]</w:t>
      </w:r>
      <w:r w:rsidRPr="00FC71BE">
        <w:fldChar w:fldCharType="end"/>
      </w:r>
      <w:r w:rsidRPr="00FC71BE">
        <w:t xml:space="preserve">, resulting in a significant temperature reduction due to this shaft cooling method. In addition, the rotation of the shaft introduces additional coolant velocity in the tangential direction, caused by the rough wall and coolant viscosity. As the rotation speed increases, the convection coefficient at the shaft surface is enhanced </w:t>
      </w:r>
      <w:r w:rsidRPr="00FC71BE">
        <w:fldChar w:fldCharType="begin"/>
      </w:r>
      <w:r w:rsidRPr="00FC71BE">
        <w:instrText xml:space="preserve"> ADDIN EN.CITE &lt;EndNote&gt;&lt;Cite&gt;&lt;Author&gt;Gai&lt;/Author&gt;&lt;Year&gt;2017&lt;/Year&gt;&lt;RecNum&gt;177&lt;/RecNum&gt;&lt;DisplayText&gt;[100]&lt;/DisplayText&gt;&lt;record&gt;&lt;rec-number&gt;177&lt;/rec-number&gt;&lt;foreign-keys&gt;&lt;key app="EN" db-id="rf2p5e05jx0x9jep00uvx0s1fvaww2dfa0r9" timestamp="1696611650"&gt;177&lt;/key&gt;&lt;/foreign-keys&gt;&lt;ref-type name="Conference Proceedings"&gt;10&lt;/ref-type&gt;&lt;contributors&gt;&lt;authors&gt;&lt;author&gt;Gai, Yaohui&lt;/author&gt;&lt;author&gt;Kimiabeigi, M&lt;/author&gt;&lt;author&gt;Widmer, JD&lt;/author&gt;&lt;author&gt;Chong, YC&lt;/author&gt;&lt;author&gt;Goss, J&lt;/author&gt;&lt;author&gt;SanAndres, U&lt;/author&gt;&lt;author&gt;Staton, DA&lt;/author&gt;&lt;/authors&gt;&lt;/contributors&gt;&lt;titles&gt;&lt;title&gt;Shaft cooling and the influence on the electromagnetic performance of traction motors&lt;/title&gt;&lt;secondary-title&gt;2017 IEEE International Electric Machines and Drives Conference (IEMDC)&lt;/secondary-title&gt;&lt;/titles&gt;&lt;pages&gt;1-6&lt;/pages&gt;&lt;dates&gt;&lt;year&gt;2017&lt;/year&gt;&lt;/dates&gt;&lt;publisher&gt;IEEE&lt;/publisher&gt;&lt;isbn&gt;1509042814&lt;/isbn&gt;&lt;urls&gt;&lt;/urls&gt;&lt;/record&gt;&lt;/Cite&gt;&lt;/EndNote&gt;</w:instrText>
      </w:r>
      <w:r w:rsidRPr="00FC71BE">
        <w:fldChar w:fldCharType="separate"/>
      </w:r>
      <w:r w:rsidRPr="00FC71BE">
        <w:t>[100]</w:t>
      </w:r>
      <w:r w:rsidRPr="00FC71BE">
        <w:fldChar w:fldCharType="end"/>
      </w:r>
      <w:r w:rsidRPr="00FC71BE">
        <w:t>.</w:t>
      </w:r>
    </w:p>
    <w:p w14:paraId="485F5175" w14:textId="77777777" w:rsidR="00416180" w:rsidRPr="00FC71BE" w:rsidRDefault="00416180" w:rsidP="00416180">
      <w:r w:rsidRPr="00FC71BE">
        <w:t>Indirect forced liquid cooling results in lowering machine temperatures and avoiding corrosion issue. However, concerns regarding coolant leakage and the maintenance of machine and cooling systems should be addressed.</w:t>
      </w:r>
    </w:p>
    <w:p w14:paraId="0BC4D830" w14:textId="77777777" w:rsidR="00416180" w:rsidRPr="00FC71BE" w:rsidRDefault="00416180" w:rsidP="00416180">
      <w:pPr>
        <w:pStyle w:val="Figure"/>
        <w:rPr>
          <w:noProof w:val="0"/>
        </w:rPr>
      </w:pPr>
      <w:r w:rsidRPr="00FC71BE">
        <w:drawing>
          <wp:inline distT="0" distB="0" distL="0" distR="0" wp14:anchorId="2E2E571C" wp14:editId="42D0A6C9">
            <wp:extent cx="3838872" cy="2749550"/>
            <wp:effectExtent l="0" t="0" r="9525" b="0"/>
            <wp:docPr id="602528751" name="Picture 602528751" descr="Diagram of a machine with different compo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28751" name="Picture 1" descr="Diagram of a machine with different components&#10;&#10;Description automatically generated"/>
                    <pic:cNvPicPr/>
                  </pic:nvPicPr>
                  <pic:blipFill>
                    <a:blip r:embed="rId52"/>
                    <a:stretch>
                      <a:fillRect/>
                    </a:stretch>
                  </pic:blipFill>
                  <pic:spPr>
                    <a:xfrm>
                      <a:off x="0" y="0"/>
                      <a:ext cx="3854988" cy="2761093"/>
                    </a:xfrm>
                    <a:prstGeom prst="rect">
                      <a:avLst/>
                    </a:prstGeom>
                  </pic:spPr>
                </pic:pic>
              </a:graphicData>
            </a:graphic>
          </wp:inline>
        </w:drawing>
      </w:r>
    </w:p>
    <w:p w14:paraId="19A66562" w14:textId="1BA2D601" w:rsidR="00416180" w:rsidRPr="00FC71BE" w:rsidRDefault="00416180" w:rsidP="00416180">
      <w:pPr>
        <w:pStyle w:val="FigureTitle"/>
      </w:pPr>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25</w:t>
      </w:r>
      <w:r w:rsidRPr="00FC71BE">
        <w:rPr>
          <w:rStyle w:val="FigureTitleChar"/>
          <w:color w:val="auto"/>
        </w:rPr>
        <w:fldChar w:fldCharType="end"/>
      </w:r>
      <w:r w:rsidRPr="00FC71BE">
        <w:rPr>
          <w:rStyle w:val="FigureTitleChar"/>
          <w:color w:val="auto"/>
        </w:rPr>
        <w:t xml:space="preserve">. </w:t>
      </w:r>
      <w:r w:rsidRPr="00FC71BE">
        <w:t xml:space="preserve">Shaft cooled machine </w:t>
      </w:r>
      <w:r w:rsidRPr="00FC71BE">
        <w:fldChar w:fldCharType="begin"/>
      </w:r>
      <w:r w:rsidR="00103B0D" w:rsidRPr="00FC71BE">
        <w:instrText xml:space="preserve"> ADDIN EN.CITE &lt;EndNote&gt;&lt;Cite&gt;&lt;Author&gt;Gai&lt;/Author&gt;&lt;Year&gt;2019&lt;/Year&gt;&lt;RecNum&gt;175&lt;/RecNum&gt;&lt;DisplayText&gt;[98]&lt;/DisplayText&gt;&lt;record&gt;&lt;rec-number&gt;175&lt;/rec-number&gt;&lt;foreign-keys&gt;&lt;key app="EN" db-id="rf2p5e05jx0x9jep00uvx0s1fvaww2dfa0r9" timestamp="1696611601"&gt;175&lt;/key&gt;&lt;/foreign-keys&gt;&lt;ref-type name="Journal Article"&gt;17&lt;/ref-type&gt;&lt;contributors&gt;&lt;authors&gt;&lt;author&gt;Gai, Yao Hui&lt;/author&gt;&lt;author&gt;Widmer, James D&lt;/author&gt;&lt;author&gt;Steven, Andrew&lt;/author&gt;&lt;author&gt;Chong, Yew Chuan&lt;/author&gt;&lt;author&gt;Kimiabeigi, Mohammad&lt;/author&gt;&lt;author&gt;Goss, James&lt;/author&gt;&lt;author&gt;Popescu, Mircea&lt;/author&gt;&lt;/authors&gt;&lt;/contributors&gt;&lt;titles&gt;&lt;title&gt;Numerical and experimental calculation of CHTC in an oil-based shaft cooling system for a high-speed high-power PMSM&lt;/title&gt;&lt;secondary-title&gt;IEEE Transactions on Industrial Electronics&lt;/secondary-title&gt;&lt;/titles&gt;&lt;periodical&gt;&lt;full-title&gt;IEEE Transactions on Industrial Electronics&lt;/full-title&gt;&lt;/periodical&gt;&lt;pages&gt;4371-4380&lt;/pages&gt;&lt;volume&gt;67&lt;/volume&gt;&lt;number&gt;6&lt;/number&gt;&lt;dates&gt;&lt;year&gt;2019&lt;/year&gt;&lt;/dates&gt;&lt;isbn&gt;0278-0046&lt;/isbn&gt;&lt;urls&gt;&lt;/urls&gt;&lt;/record&gt;&lt;/Cite&gt;&lt;/EndNote&gt;</w:instrText>
      </w:r>
      <w:r w:rsidRPr="00FC71BE">
        <w:fldChar w:fldCharType="separate"/>
      </w:r>
      <w:r w:rsidRPr="00FC71BE">
        <w:t>[98]</w:t>
      </w:r>
      <w:r w:rsidRPr="00FC71BE">
        <w:fldChar w:fldCharType="end"/>
      </w:r>
      <w:r w:rsidRPr="00FC71BE">
        <w:t>.</w:t>
      </w:r>
    </w:p>
    <w:p w14:paraId="1F8C2011" w14:textId="77777777" w:rsidR="00416180" w:rsidRPr="00FC71BE" w:rsidRDefault="00416180" w:rsidP="009375B6">
      <w:pPr>
        <w:pStyle w:val="Heading4"/>
      </w:pPr>
      <w:r w:rsidRPr="00FC71BE">
        <w:t>Direct Forced Liquid Cooling</w:t>
      </w:r>
    </w:p>
    <w:p w14:paraId="5DB7003E" w14:textId="77777777" w:rsidR="00416180" w:rsidRPr="00FC71BE" w:rsidRDefault="00416180" w:rsidP="00416180">
      <w:r w:rsidRPr="00FC71BE">
        <w:t>In contrast to indirect forced liquid cooling systems, direct forced liquid cooling technologies bring the coolant closer to the heat sources, typically the stator iron losses and winding copper losses. Thus, more effective cooling efficiency for direct forced liquid cooling is expected.</w:t>
      </w:r>
    </w:p>
    <w:p w14:paraId="50914315" w14:textId="6C61B83B" w:rsidR="00416180" w:rsidRPr="00FC71BE" w:rsidRDefault="00416180" w:rsidP="00416180">
      <w:r w:rsidRPr="00FC71BE">
        <w:t xml:space="preserve">Semi-flooded cooling is one of the direct forced liquid cooling, where the coolant is forcibly directed through the components, typically the stationary components such as the stator and windings. This approach involves several flow pathways, as shown in </w:t>
      </w:r>
      <w:r w:rsidRPr="00FC71BE">
        <w:fldChar w:fldCharType="begin"/>
      </w:r>
      <w:r w:rsidRPr="00FC71BE">
        <w:instrText xml:space="preserve"> REF _Ref147760371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26</w:t>
      </w:r>
      <w:r w:rsidRPr="00FC71BE">
        <w:fldChar w:fldCharType="end"/>
      </w:r>
      <w:r w:rsidRPr="00FC71BE">
        <w:t xml:space="preserve">. These flow paths include annular gaps between stator and housing </w:t>
      </w:r>
      <w:r w:rsidRPr="00FC71BE">
        <w:fldChar w:fldCharType="begin"/>
      </w:r>
      <w:r w:rsidRPr="00FC71BE">
        <w:instrText xml:space="preserve"> ADDIN EN.CITE &lt;EndNote&gt;&lt;Cite&gt;&lt;Author&gt;Huang&lt;/Author&gt;&lt;Year&gt;2012&lt;/Year&gt;&lt;RecNum&gt;179&lt;/RecNum&gt;&lt;DisplayText&gt;[101]&lt;/DisplayText&gt;&lt;record&gt;&lt;rec-number&gt;179&lt;/rec-number&gt;&lt;foreign-keys&gt;&lt;key app="EN" db-id="rf2p5e05jx0x9jep00uvx0s1fvaww2dfa0r9" timestamp="1696845053"&gt;179&lt;/key&gt;&lt;/foreign-keys&gt;&lt;ref-type name="Conference Proceedings"&gt;10&lt;/ref-type&gt;&lt;contributors&gt;&lt;authors&gt;&lt;author&gt;Huang, Zhe&lt;/author&gt;&lt;author&gt;Nategh, Shafigh&lt;/author&gt;&lt;author&gt;Lassila, Viktor&lt;/author&gt;&lt;author&gt;Alaküla, Mats&lt;/author&gt;&lt;author&gt;Yuan, Jinliang&lt;/author&gt;&lt;/authors&gt;&lt;/contributors&gt;&lt;titles&gt;&lt;title&gt;Direct oil cooling of traction motors in hybrid drives&lt;/title&gt;&lt;secondary-title&gt;2012 IEEE International Electric Vehicle Conference&lt;/secondary-title&gt;&lt;/titles&gt;&lt;pages&gt;1-8&lt;/pages&gt;&lt;dates&gt;&lt;year&gt;2012&lt;/year&gt;&lt;/dates&gt;&lt;publisher&gt;IEEE&lt;/publisher&gt;&lt;isbn&gt;1467315613&lt;/isbn&gt;&lt;urls&gt;&lt;/urls&gt;&lt;/record&gt;&lt;/Cite&gt;&lt;/EndNote&gt;</w:instrText>
      </w:r>
      <w:r w:rsidRPr="00FC71BE">
        <w:fldChar w:fldCharType="separate"/>
      </w:r>
      <w:r w:rsidRPr="00FC71BE">
        <w:t>[101]</w:t>
      </w:r>
      <w:r w:rsidRPr="00FC71BE">
        <w:fldChar w:fldCharType="end"/>
      </w:r>
      <w:r w:rsidRPr="00FC71BE">
        <w:t xml:space="preserve">, stator axial ducts </w:t>
      </w:r>
      <w:r w:rsidRPr="00FC71BE">
        <w:fldChar w:fldCharType="begin"/>
      </w:r>
      <w:r w:rsidRPr="00FC71BE">
        <w:instrText xml:space="preserve"> ADDIN EN.CITE &lt;EndNote&gt;&lt;Cite&gt;&lt;Author&gt;La Rocca&lt;/Author&gt;&lt;Year&gt;2016&lt;/Year&gt;&lt;RecNum&gt;181&lt;/RecNum&gt;&lt;DisplayText&gt;[102]&lt;/DisplayText&gt;&lt;record&gt;&lt;rec-number&gt;181&lt;/rec-number&gt;&lt;foreign-keys&gt;&lt;key app="EN" db-id="rf2p5e05jx0x9jep00uvx0s1fvaww2dfa0r9" timestamp="1696845211"&gt;181&lt;/key&gt;&lt;/foreign-keys&gt;&lt;ref-type name="Conference Proceedings"&gt;10&lt;/ref-type&gt;&lt;contributors&gt;&lt;authors&gt;&lt;author&gt;La Rocca, A&lt;/author&gt;&lt;author&gt;Xu, Z&lt;/author&gt;&lt;author&gt;Arumugam, P&lt;/author&gt;&lt;author&gt;Pickering, SJ&lt;/author&gt;&lt;author&gt;Eastwick, CN&lt;/author&gt;&lt;author&gt;Gerada, C&lt;/author&gt;&lt;author&gt;Bozhko, S&lt;/author&gt;&lt;/authors&gt;&lt;/contributors&gt;&lt;titles&gt;&lt;title&gt;Thermal management of a high speed permanent magnet machine for an aeroengine&lt;/title&gt;&lt;secondary-title&gt;2016 XXII International Conference on Electrical Machines (ICEM)&lt;/secondary-title&gt;&lt;/titles&gt;&lt;pages&gt;2732-2737&lt;/pages&gt;&lt;dates&gt;&lt;year&gt;2016&lt;/year&gt;&lt;/dates&gt;&lt;publisher&gt;IEEE&lt;/publisher&gt;&lt;isbn&gt;1509025383&lt;/isbn&gt;&lt;urls&gt;&lt;/urls&gt;&lt;/record&gt;&lt;/Cite&gt;&lt;/EndNote&gt;</w:instrText>
      </w:r>
      <w:r w:rsidRPr="00FC71BE">
        <w:fldChar w:fldCharType="separate"/>
      </w:r>
      <w:r w:rsidRPr="00FC71BE">
        <w:t>[102]</w:t>
      </w:r>
      <w:r w:rsidRPr="00FC71BE">
        <w:fldChar w:fldCharType="end"/>
      </w:r>
      <w:r w:rsidRPr="00FC71BE">
        <w:t xml:space="preserve">, gaps </w:t>
      </w:r>
      <w:r w:rsidRPr="00FC71BE">
        <w:lastRenderedPageBreak/>
        <w:t xml:space="preserve">between each conductor in slots </w:t>
      </w:r>
      <w:r w:rsidRPr="00FC71BE">
        <w:fldChar w:fldCharType="begin"/>
      </w:r>
      <w:r w:rsidRPr="00FC71BE">
        <w:instrText xml:space="preserve"> ADDIN EN.CITE &lt;EndNote&gt;&lt;Cite&gt;&lt;Author&gt;Schiefer&lt;/Author&gt;&lt;Year&gt;2015&lt;/Year&gt;&lt;RecNum&gt;180&lt;/RecNum&gt;&lt;DisplayText&gt;[103]&lt;/DisplayText&gt;&lt;record&gt;&lt;rec-number&gt;180&lt;/rec-number&gt;&lt;foreign-keys&gt;&lt;key app="EN" db-id="rf2p5e05jx0x9jep00uvx0s1fvaww2dfa0r9" timestamp="1696845086"&gt;180&lt;/key&gt;&lt;/foreign-keys&gt;&lt;ref-type name="Conference Proceedings"&gt;10&lt;/ref-type&gt;&lt;contributors&gt;&lt;authors&gt;&lt;author&gt;Schiefer, Markus&lt;/author&gt;&lt;author&gt;Doppelbauer, Martin&lt;/author&gt;&lt;/authors&gt;&lt;/contributors&gt;&lt;titles&gt;&lt;title&gt;Indirect slot cooling for high-power-density machines with concentrated winding&lt;/title&gt;&lt;secondary-title&gt;2015 IEEE International Electric Machines &amp;amp; Drives Conference (IEMDC)&lt;/secondary-title&gt;&lt;/titles&gt;&lt;pages&gt;1820-1825&lt;/pages&gt;&lt;dates&gt;&lt;year&gt;2015&lt;/year&gt;&lt;/dates&gt;&lt;publisher&gt;IEEE&lt;/publisher&gt;&lt;isbn&gt;1479979414&lt;/isbn&gt;&lt;urls&gt;&lt;/urls&gt;&lt;/record&gt;&lt;/Cite&gt;&lt;/EndNote&gt;</w:instrText>
      </w:r>
      <w:r w:rsidRPr="00FC71BE">
        <w:fldChar w:fldCharType="separate"/>
      </w:r>
      <w:r w:rsidRPr="00FC71BE">
        <w:t>[103]</w:t>
      </w:r>
      <w:r w:rsidRPr="00FC71BE">
        <w:fldChar w:fldCharType="end"/>
      </w:r>
      <w:r w:rsidRPr="00FC71BE">
        <w:t xml:space="preserve">, gaps in tooth tips for semi-closed slots </w:t>
      </w:r>
      <w:r w:rsidRPr="00FC71BE">
        <w:fldChar w:fldCharType="begin"/>
      </w:r>
      <w:r w:rsidRPr="00FC71BE">
        <w:instrText xml:space="preserve"> ADDIN EN.CITE &lt;EndNote&gt;&lt;Cite&gt;&lt;Author&gt;La Rocca&lt;/Author&gt;&lt;Year&gt;2016&lt;/Year&gt;&lt;RecNum&gt;181&lt;/RecNum&gt;&lt;DisplayText&gt;[102]&lt;/DisplayText&gt;&lt;record&gt;&lt;rec-number&gt;181&lt;/rec-number&gt;&lt;foreign-keys&gt;&lt;key app="EN" db-id="rf2p5e05jx0x9jep00uvx0s1fvaww2dfa0r9" timestamp="1696845211"&gt;181&lt;/key&gt;&lt;/foreign-keys&gt;&lt;ref-type name="Conference Proceedings"&gt;10&lt;/ref-type&gt;&lt;contributors&gt;&lt;authors&gt;&lt;author&gt;La Rocca, A&lt;/author&gt;&lt;author&gt;Xu, Z&lt;/author&gt;&lt;author&gt;Arumugam, P&lt;/author&gt;&lt;author&gt;Pickering, SJ&lt;/author&gt;&lt;author&gt;Eastwick, CN&lt;/author&gt;&lt;author&gt;Gerada, C&lt;/author&gt;&lt;author&gt;Bozhko, S&lt;/author&gt;&lt;/authors&gt;&lt;/contributors&gt;&lt;titles&gt;&lt;title&gt;Thermal management of a high speed permanent magnet machine for an aeroengine&lt;/title&gt;&lt;secondary-title&gt;2016 XXII International Conference on Electrical Machines (ICEM)&lt;/secondary-title&gt;&lt;/titles&gt;&lt;pages&gt;2732-2737&lt;/pages&gt;&lt;dates&gt;&lt;year&gt;2016&lt;/year&gt;&lt;/dates&gt;&lt;publisher&gt;IEEE&lt;/publisher&gt;&lt;isbn&gt;1509025383&lt;/isbn&gt;&lt;urls&gt;&lt;/urls&gt;&lt;/record&gt;&lt;/Cite&gt;&lt;/EndNote&gt;</w:instrText>
      </w:r>
      <w:r w:rsidRPr="00FC71BE">
        <w:fldChar w:fldCharType="separate"/>
      </w:r>
      <w:r w:rsidRPr="00FC71BE">
        <w:t>[102]</w:t>
      </w:r>
      <w:r w:rsidRPr="00FC71BE">
        <w:fldChar w:fldCharType="end"/>
      </w:r>
      <w:r w:rsidRPr="00FC71BE">
        <w:t xml:space="preserve">, and flux gaps for the machines with stator modularity </w:t>
      </w:r>
      <w:r w:rsidRPr="00FC71BE">
        <w:fldChar w:fldCharType="begin"/>
      </w:r>
      <w:r w:rsidR="00103B0D" w:rsidRPr="00FC71BE">
        <w:instrText xml:space="preserve"> ADDIN EN.CITE &lt;EndNote&gt;&lt;Cite&gt;&lt;Author&gt;Zhou&lt;/Author&gt;&lt;Year&gt;2021&lt;/Year&gt;&lt;RecNum&gt;183&lt;/RecNum&gt;&lt;DisplayText&gt;[104]&lt;/DisplayText&gt;&lt;record&gt;&lt;rec-number&gt;183&lt;/rec-number&gt;&lt;foreign-keys&gt;&lt;key app="EN" db-id="rf2p5e05jx0x9jep00uvx0s1fvaww2dfa0r9" timestamp="1696864756"&gt;183&lt;/key&gt;&lt;/foreign-keys&gt;&lt;ref-type name="Conference Proceedings"&gt;10&lt;/ref-type&gt;&lt;contributors&gt;&lt;authors&gt;&lt;author&gt;Zhou, Rui&lt;/author&gt;&lt;author&gt;Li, Guang Jin&lt;/author&gt;&lt;author&gt;Zhu, Zi Qiang&lt;/author&gt;&lt;author&gt;Foster, Martin&lt;/author&gt;&lt;author&gt;Stone, Dave&lt;/author&gt;&lt;author&gt;Jia, C J&lt;/author&gt;&lt;author&gt;McKeever, P&lt;/author&gt;&lt;/authors&gt;&lt;/contributors&gt;&lt;titles&gt;&lt;title&gt;Novel liquid cooling technology for modular consequent-pole PM machines&lt;/title&gt;&lt;secondary-title&gt;2021 IEEE International Electric Machines &amp;amp; Drives Conference (IEMDC)&lt;/secondary-title&gt;&lt;/titles&gt;&lt;pages&gt;1-7&lt;/pages&gt;&lt;dates&gt;&lt;year&gt;2021&lt;/year&gt;&lt;/dates&gt;&lt;publisher&gt;IEEE&lt;/publisher&gt;&lt;isbn&gt;1665405104&lt;/isbn&gt;&lt;urls&gt;&lt;/urls&gt;&lt;/record&gt;&lt;/Cite&gt;&lt;/EndNote&gt;</w:instrText>
      </w:r>
      <w:r w:rsidRPr="00FC71BE">
        <w:fldChar w:fldCharType="separate"/>
      </w:r>
      <w:r w:rsidRPr="00FC71BE">
        <w:t>[104]</w:t>
      </w:r>
      <w:r w:rsidRPr="00FC71BE">
        <w:fldChar w:fldCharType="end"/>
      </w:r>
      <w:r w:rsidRPr="00FC71BE">
        <w:t xml:space="preserve">. It is worth noting that, the viscosities of the coolants employed in semi-flooded cooling systems are typically higher than that of air. To prevent an increase in friction losses and coolant leakage, a sleeve is employed to separate the machine into oil-flooded stator part and oil-free rotor part, as shown in </w:t>
      </w:r>
      <w:r w:rsidRPr="00FC71BE">
        <w:fldChar w:fldCharType="begin"/>
      </w:r>
      <w:r w:rsidRPr="00FC71BE">
        <w:instrText xml:space="preserve"> REF _Ref147761449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27</w:t>
      </w:r>
      <w:r w:rsidRPr="00FC71BE">
        <w:fldChar w:fldCharType="end"/>
      </w:r>
      <w:r w:rsidRPr="00FC71BE">
        <w:t>.</w:t>
      </w:r>
    </w:p>
    <w:p w14:paraId="6FC7606E" w14:textId="77777777" w:rsidR="00416180" w:rsidRPr="00FC71BE" w:rsidRDefault="00416180" w:rsidP="00416180">
      <w:pPr>
        <w:pStyle w:val="Figure"/>
        <w:rPr>
          <w:noProof w:val="0"/>
        </w:rPr>
      </w:pPr>
      <w:r w:rsidRPr="00FC71BE">
        <w:drawing>
          <wp:inline distT="0" distB="0" distL="0" distR="0" wp14:anchorId="599B5026" wp14:editId="365EA78F">
            <wp:extent cx="2285121" cy="2895600"/>
            <wp:effectExtent l="0" t="0" r="1270" b="0"/>
            <wp:docPr id="66" name="Picture 66" descr="A diagram of a curved object&#10;&#10;Description automatically generated">
              <a:extLst xmlns:a="http://schemas.openxmlformats.org/drawingml/2006/main">
                <a:ext uri="{FF2B5EF4-FFF2-40B4-BE49-F238E27FC236}">
                  <a16:creationId xmlns:a16="http://schemas.microsoft.com/office/drawing/2014/main" id="{C00B5E19-B7C4-A54F-AEB6-86C7758E23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descr="A diagram of a curved object&#10;&#10;Description automatically generated">
                      <a:extLst>
                        <a:ext uri="{FF2B5EF4-FFF2-40B4-BE49-F238E27FC236}">
                          <a16:creationId xmlns:a16="http://schemas.microsoft.com/office/drawing/2014/main" id="{C00B5E19-B7C4-A54F-AEB6-86C7758E235C}"/>
                        </a:ext>
                      </a:extLst>
                    </pic:cNvPr>
                    <pic:cNvPicPr>
                      <a:picLocks noChangeAspect="1"/>
                    </pic:cNvPicPr>
                  </pic:nvPicPr>
                  <pic:blipFill>
                    <a:blip r:embed="rId53"/>
                    <a:stretch>
                      <a:fillRect/>
                    </a:stretch>
                  </pic:blipFill>
                  <pic:spPr>
                    <a:xfrm>
                      <a:off x="0" y="0"/>
                      <a:ext cx="2293919" cy="2906748"/>
                    </a:xfrm>
                    <a:prstGeom prst="rect">
                      <a:avLst/>
                    </a:prstGeom>
                  </pic:spPr>
                </pic:pic>
              </a:graphicData>
            </a:graphic>
          </wp:inline>
        </w:drawing>
      </w:r>
    </w:p>
    <w:p w14:paraId="4ECB5A11" w14:textId="57683CA3" w:rsidR="00416180" w:rsidRPr="00FC71BE" w:rsidRDefault="00416180" w:rsidP="00416180">
      <w:pPr>
        <w:pStyle w:val="FigureTitle"/>
      </w:pPr>
      <w:bookmarkStart w:id="46" w:name="_Ref147760371"/>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26</w:t>
      </w:r>
      <w:r w:rsidRPr="00FC71BE">
        <w:rPr>
          <w:rStyle w:val="FigureTitleChar"/>
          <w:color w:val="auto"/>
        </w:rPr>
        <w:fldChar w:fldCharType="end"/>
      </w:r>
      <w:bookmarkEnd w:id="46"/>
      <w:r w:rsidRPr="00FC71BE">
        <w:rPr>
          <w:rStyle w:val="FigureTitleChar"/>
          <w:color w:val="auto"/>
        </w:rPr>
        <w:t xml:space="preserve">. </w:t>
      </w:r>
      <w:r w:rsidRPr="00FC71BE">
        <w:t>The layout of the flow pathways in stator.</w:t>
      </w:r>
    </w:p>
    <w:p w14:paraId="6A4B0CA0" w14:textId="77777777" w:rsidR="00416180" w:rsidRPr="00FC71BE" w:rsidRDefault="00416180" w:rsidP="00416180">
      <w:pPr>
        <w:pStyle w:val="Figure"/>
        <w:rPr>
          <w:noProof w:val="0"/>
        </w:rPr>
      </w:pPr>
      <w:r w:rsidRPr="00FC71BE">
        <w:drawing>
          <wp:inline distT="0" distB="0" distL="0" distR="0" wp14:anchorId="684EE60C" wp14:editId="35DC570A">
            <wp:extent cx="3183792" cy="2952750"/>
            <wp:effectExtent l="0" t="0" r="0" b="0"/>
            <wp:docPr id="27" name="Picture 27" descr="Diagram of a ventilator with arrows&#10;&#10;Description automatically generated">
              <a:extLst xmlns:a="http://schemas.openxmlformats.org/drawingml/2006/main">
                <a:ext uri="{FF2B5EF4-FFF2-40B4-BE49-F238E27FC236}">
                  <a16:creationId xmlns:a16="http://schemas.microsoft.com/office/drawing/2014/main" id="{1E72F77F-59DB-A0A8-7036-FBEDE105F7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Diagram of a ventilator with arrows&#10;&#10;Description automatically generated">
                      <a:extLst>
                        <a:ext uri="{FF2B5EF4-FFF2-40B4-BE49-F238E27FC236}">
                          <a16:creationId xmlns:a16="http://schemas.microsoft.com/office/drawing/2014/main" id="{1E72F77F-59DB-A0A8-7036-FBEDE105F75A}"/>
                        </a:ext>
                      </a:extLst>
                    </pic:cNvPr>
                    <pic:cNvPicPr>
                      <a:picLocks noChangeAspect="1"/>
                    </pic:cNvPicPr>
                  </pic:nvPicPr>
                  <pic:blipFill>
                    <a:blip r:embed="rId54"/>
                    <a:stretch>
                      <a:fillRect/>
                    </a:stretch>
                  </pic:blipFill>
                  <pic:spPr>
                    <a:xfrm>
                      <a:off x="0" y="0"/>
                      <a:ext cx="3197131" cy="2965121"/>
                    </a:xfrm>
                    <a:prstGeom prst="rect">
                      <a:avLst/>
                    </a:prstGeom>
                  </pic:spPr>
                </pic:pic>
              </a:graphicData>
            </a:graphic>
          </wp:inline>
        </w:drawing>
      </w:r>
    </w:p>
    <w:p w14:paraId="5C3036C8" w14:textId="57D22662" w:rsidR="00416180" w:rsidRPr="00FC71BE" w:rsidRDefault="00416180" w:rsidP="00416180">
      <w:pPr>
        <w:pStyle w:val="FigureTitle"/>
      </w:pPr>
      <w:bookmarkStart w:id="47" w:name="_Ref147761449"/>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27</w:t>
      </w:r>
      <w:r w:rsidRPr="00FC71BE">
        <w:rPr>
          <w:rStyle w:val="FigureTitleChar"/>
          <w:color w:val="auto"/>
        </w:rPr>
        <w:fldChar w:fldCharType="end"/>
      </w:r>
      <w:bookmarkEnd w:id="47"/>
      <w:r w:rsidRPr="00FC71BE">
        <w:rPr>
          <w:rStyle w:val="FigureTitleChar"/>
          <w:color w:val="auto"/>
        </w:rPr>
        <w:t xml:space="preserve">. </w:t>
      </w:r>
      <w:r w:rsidRPr="00FC71BE">
        <w:t>Coolant flow for an electrical machine with direct forced liquid cooling.</w:t>
      </w:r>
    </w:p>
    <w:p w14:paraId="40B27CA2" w14:textId="77777777" w:rsidR="00416180" w:rsidRPr="00FC71BE" w:rsidRDefault="00416180" w:rsidP="00416180">
      <w:r w:rsidRPr="00FC71BE">
        <w:t xml:space="preserve">Semi-flooded cooling achieves significant temperature reductions in machine stationary components. However, it presents a challenge in cooling the rotational components, particularly the PMs in rotor-mounted PM machines, as they cannot be directly cooled by </w:t>
      </w:r>
      <w:r w:rsidRPr="00FC71BE">
        <w:lastRenderedPageBreak/>
        <w:t xml:space="preserve">flooded coolant. To address this issue, the concept of a totally immersed electrical machine has been investigated </w:t>
      </w:r>
      <w:r w:rsidRPr="00FC71BE">
        <w:fldChar w:fldCharType="begin"/>
      </w:r>
      <w:r w:rsidRPr="00FC71BE">
        <w:instrText xml:space="preserve"> ADDIN EN.CITE &lt;EndNote&gt;&lt;Cite&gt;&lt;Author&gt;Ponomarev&lt;/Author&gt;&lt;Year&gt;2012&lt;/Year&gt;&lt;RecNum&gt;185&lt;/RecNum&gt;&lt;DisplayText&gt;[105]&lt;/DisplayText&gt;&lt;record&gt;&lt;rec-number&gt;185&lt;/rec-number&gt;&lt;foreign-keys&gt;&lt;key app="EN" db-id="rf2p5e05jx0x9jep00uvx0s1fvaww2dfa0r9" timestamp="1696866436"&gt;185&lt;/key&gt;&lt;/foreign-keys&gt;&lt;ref-type name="Conference Proceedings"&gt;10&lt;/ref-type&gt;&lt;contributors&gt;&lt;authors&gt;&lt;author&gt;Ponomarev, Pavel&lt;/author&gt;&lt;author&gt;Polikarpova, M&lt;/author&gt;&lt;author&gt;Pyrhönen, J&lt;/author&gt;&lt;/authors&gt;&lt;/contributors&gt;&lt;titles&gt;&lt;title&gt;Thermal modeling of directly-oil-cooled permanent magnet synchronous machine&lt;/title&gt;&lt;secondary-title&gt;2012 XXth International Conference on Electrical Machines&lt;/secondary-title&gt;&lt;/titles&gt;&lt;pages&gt;1882-1887&lt;/pages&gt;&lt;dates&gt;&lt;year&gt;2012&lt;/year&gt;&lt;/dates&gt;&lt;publisher&gt;IEEE&lt;/publisher&gt;&lt;isbn&gt;1467301426&lt;/isbn&gt;&lt;urls&gt;&lt;/urls&gt;&lt;/record&gt;&lt;/Cite&gt;&lt;/EndNote&gt;</w:instrText>
      </w:r>
      <w:r w:rsidRPr="00FC71BE">
        <w:fldChar w:fldCharType="separate"/>
      </w:r>
      <w:r w:rsidRPr="00FC71BE">
        <w:t>[105]</w:t>
      </w:r>
      <w:r w:rsidRPr="00FC71BE">
        <w:fldChar w:fldCharType="end"/>
      </w:r>
      <w:r w:rsidRPr="00FC71BE">
        <w:t>. In this approach, both the rotational and stationary components are directly cooled by coolant. However, it is important to note that this introduces extra friction losses. To make this concept work effectively, the coolant must be electrically non-conductive and non-magnetic material with a high specific heat capacity and high thermal conductivity. In addition. to mitigate the influence of increased friction losses, the viscosity of coolant should be low.</w:t>
      </w:r>
    </w:p>
    <w:p w14:paraId="1A6434DC" w14:textId="613478D7" w:rsidR="00416180" w:rsidRPr="00FC71BE" w:rsidRDefault="00416180" w:rsidP="00416180">
      <w:r w:rsidRPr="00FC71BE">
        <w:t xml:space="preserve">Oil spray and oil jets represent another form of direct forced liquid cooling </w:t>
      </w:r>
      <w:r w:rsidRPr="00FC71BE">
        <w:fldChar w:fldCharType="begin">
          <w:fldData xml:space="preserve">PEVuZE5vdGU+PENpdGU+PEF1dGhvcj5aaGFuZzwvQXV0aG9yPjxZZWFyPjIwMjE8L1llYXI+PFJl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</w:fldData>
        </w:fldChar>
      </w:r>
      <w:r w:rsidR="00103B0D" w:rsidRPr="00FC71BE">
        <w:instrText xml:space="preserve"> ADDIN EN.CITE </w:instrText>
      </w:r>
      <w:r w:rsidR="00103B0D" w:rsidRPr="00FC71BE">
        <w:fldChar w:fldCharType="begin">
          <w:fldData xml:space="preserve">PEVuZE5vdGU+PENpdGU+PEF1dGhvcj5aaGFuZzwvQXV0aG9yPjxZZWFyPjIwMjE8L1llYXI+PFJl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</w:fldData>
        </w:fldChar>
      </w:r>
      <w:r w:rsidR="00103B0D" w:rsidRPr="00FC71BE">
        <w:instrText xml:space="preserve"> ADDIN EN.CITE.DATA </w:instrText>
      </w:r>
      <w:r w:rsidR="00103B0D" w:rsidRPr="00FC71BE">
        <w:fldChar w:fldCharType="end"/>
      </w:r>
      <w:r w:rsidRPr="00FC71BE">
        <w:fldChar w:fldCharType="separate"/>
      </w:r>
      <w:r w:rsidRPr="00FC71BE">
        <w:t>[106-108]</w:t>
      </w:r>
      <w:r w:rsidRPr="00FC71BE">
        <w:fldChar w:fldCharType="end"/>
      </w:r>
      <w:r w:rsidRPr="00FC71BE">
        <w:t xml:space="preserve">. For these cooling methods, oil is atomised and breaks into droplets, which are then impinge on the surface of the end-windings, as shown in </w:t>
      </w:r>
      <w:r w:rsidRPr="00FC71BE">
        <w:fldChar w:fldCharType="begin"/>
      </w:r>
      <w:r w:rsidRPr="00FC71BE">
        <w:instrText xml:space="preserve"> REF _Ref147767029 \h </w:instrText>
      </w:r>
      <w:r w:rsidRPr="00FC71BE">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28</w:t>
      </w:r>
      <w:r w:rsidRPr="00FC71BE">
        <w:fldChar w:fldCharType="end"/>
      </w:r>
      <w:r w:rsidRPr="00FC71BE">
        <w:t xml:space="preserve">. The impinged oil mitigates the thermal resistance and improves the heat transfer rate between the end-winding and housing. The impingement heat transfer contributes to the high convection coefficient observed in oil spray and oil jets cooling systems </w:t>
      </w:r>
      <w:r w:rsidRPr="00FC71BE">
        <w:fldChar w:fldCharType="begin"/>
      </w:r>
      <w:r w:rsidR="00103B0D" w:rsidRPr="00FC71BE">
        <w:instrText xml:space="preserve"> ADDIN EN.CITE &lt;EndNote&gt;&lt;Cite&gt;&lt;Author&gt;Ma&lt;/Author&gt;&lt;Year&gt;1997&lt;/Year&gt;&lt;RecNum&gt;189&lt;/RecNum&gt;&lt;DisplayText&gt;[109]&lt;/DisplayText&gt;&lt;record&gt;&lt;rec-number&gt;189&lt;/rec-number&gt;&lt;foreign-keys&gt;&lt;key app="EN" db-id="rf2p5e05jx0x9jep00uvx0s1fvaww2dfa0r9" timestamp="1696871765"&gt;189&lt;/key&gt;&lt;/foreign-keys&gt;&lt;ref-type name="Journal Article"&gt;17&lt;/ref-type&gt;&lt;contributors&gt;&lt;authors&gt;&lt;author&gt;Ma, C F&lt;/author&gt;&lt;author&gt;Zheng, Q&lt;/author&gt;&lt;author&gt;Lee, S C&lt;/author&gt;&lt;author&gt;Gomi, T&lt;/author&gt;&lt;/authors&gt;&lt;/contributors&gt;&lt;titles&gt;&lt;title&gt;Impingement heat transfer and recovery effect with submerged jets of large Prandtl number liquid—I. Unconfined circular jets&lt;/title&gt;&lt;secondary-title&gt;International journal of heat and mass transfer&lt;/secondary-title&gt;&lt;/titles&gt;&lt;periodical&gt;&lt;full-title&gt;International journal of heat and mass transfer&lt;/full-title&gt;&lt;/periodical&gt;&lt;pages&gt;1481-1490&lt;/pages&gt;&lt;volume&gt;40&lt;/volume&gt;&lt;number&gt;6&lt;/number&gt;&lt;dates&gt;&lt;year&gt;1997&lt;/year&gt;&lt;/dates&gt;&lt;isbn&gt;0017-9310&lt;/isbn&gt;&lt;urls&gt;&lt;/urls&gt;&lt;/record&gt;&lt;/Cite&gt;&lt;/EndNote&gt;</w:instrText>
      </w:r>
      <w:r w:rsidRPr="00FC71BE">
        <w:fldChar w:fldCharType="separate"/>
      </w:r>
      <w:r w:rsidRPr="00FC71BE">
        <w:t>[109]</w:t>
      </w:r>
      <w:r w:rsidRPr="00FC71BE">
        <w:fldChar w:fldCharType="end"/>
      </w:r>
      <w:r w:rsidRPr="00FC71BE">
        <w:t xml:space="preserve">. However, it is worth noting that, oil atomisation requires much higher pumping pressure compared to other active cooling technologies. This high-pressure atomised oil rises concern about the potential damage of winding insulation </w:t>
      </w:r>
      <w:r w:rsidRPr="00FC71BE">
        <w:fldChar w:fldCharType="begin"/>
      </w:r>
      <w:r w:rsidRPr="00FC71BE">
        <w:instrText xml:space="preserve"> ADDIN EN.CITE &lt;EndNote&gt;&lt;Cite&gt;&lt;Author&gt;Chong&lt;/Author&gt;&lt;Year&gt;2021&lt;/Year&gt;&lt;RecNum&gt;170&lt;/RecNum&gt;&lt;DisplayText&gt;[94]&lt;/DisplayText&gt;&lt;record&gt;&lt;rec-number&gt;170&lt;/rec-number&gt;&lt;foreign-keys&gt;&lt;key app="EN" db-id="rf2p5e05jx0x9jep00uvx0s1fvaww2dfa0r9" timestamp="1696603815"&gt;170&lt;/key&gt;&lt;/foreign-keys&gt;&lt;ref-type name="Conference Proceedings"&gt;10&lt;/ref-type&gt;&lt;contributors&gt;&lt;authors&gt;&lt;author&gt;Chong, Yew Chuan&lt;/author&gt;&lt;author&gt;Staton, Dave&lt;/author&gt;&lt;author&gt;Gai, Yaohui&lt;/author&gt;&lt;author&gt;Adam, Husain&lt;/author&gt;&lt;author&gt;Popescu, Mircea&lt;/author&gt;&lt;/authors&gt;&lt;/contributors&gt;&lt;titles&gt;&lt;title&gt;Review of advanced cooling systems of modern electric machines for Emobility application&lt;/title&gt;&lt;secondary-title&gt;2021 IEEE Workshop on Electrical Machines Design, Control and Diagnosis (WEMDCD)&lt;/secondary-title&gt;&lt;/titles&gt;&lt;pages&gt;149-154&lt;/pages&gt;&lt;dates&gt;&lt;year&gt;2021&lt;/year&gt;&lt;/dates&gt;&lt;publisher&gt;IEEE&lt;/publisher&gt;&lt;isbn&gt;1728176158&lt;/isbn&gt;&lt;urls&gt;&lt;/urls&gt;&lt;/record&gt;&lt;/Cite&gt;&lt;/EndNote&gt;</w:instrText>
      </w:r>
      <w:r w:rsidRPr="00FC71BE">
        <w:fldChar w:fldCharType="separate"/>
      </w:r>
      <w:r w:rsidRPr="00FC71BE">
        <w:t>[94]</w:t>
      </w:r>
      <w:r w:rsidRPr="00FC71BE">
        <w:fldChar w:fldCharType="end"/>
      </w:r>
      <w:r w:rsidRPr="00FC71BE">
        <w:t>. Careful consideration of the design and operational parameters are crucial to mitigate these concerns.</w:t>
      </w:r>
    </w:p>
    <w:p w14:paraId="114CA5E1" w14:textId="77777777" w:rsidR="00416180" w:rsidRPr="00FC71BE" w:rsidRDefault="00416180" w:rsidP="00416180">
      <w:pPr>
        <w:pStyle w:val="Figure"/>
        <w:rPr>
          <w:noProof w:val="0"/>
        </w:rPr>
      </w:pPr>
      <w:r w:rsidRPr="00FC71BE">
        <w:drawing>
          <wp:inline distT="0" distB="0" distL="0" distR="0" wp14:anchorId="6103FE10" wp14:editId="71368713">
            <wp:extent cx="3758171" cy="2801721"/>
            <wp:effectExtent l="0" t="0" r="0" b="0"/>
            <wp:docPr id="579618218" name="Picture 579618218"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18218" name="Picture 1" descr="A close-up of a machine&#10;&#10;Description automatically generated"/>
                    <pic:cNvPicPr/>
                  </pic:nvPicPr>
                  <pic:blipFill>
                    <a:blip r:embed="rId55"/>
                    <a:stretch>
                      <a:fillRect/>
                    </a:stretch>
                  </pic:blipFill>
                  <pic:spPr>
                    <a:xfrm>
                      <a:off x="0" y="0"/>
                      <a:ext cx="3776553" cy="2815425"/>
                    </a:xfrm>
                    <a:prstGeom prst="rect">
                      <a:avLst/>
                    </a:prstGeom>
                  </pic:spPr>
                </pic:pic>
              </a:graphicData>
            </a:graphic>
          </wp:inline>
        </w:drawing>
      </w:r>
    </w:p>
    <w:p w14:paraId="448466EE" w14:textId="23CB5F52" w:rsidR="00416180" w:rsidRPr="00FC71BE" w:rsidRDefault="00416180" w:rsidP="00416180">
      <w:pPr>
        <w:pStyle w:val="FigureTitle"/>
      </w:pPr>
      <w:bookmarkStart w:id="48" w:name="_Ref147767029"/>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28</w:t>
      </w:r>
      <w:r w:rsidRPr="00FC71BE">
        <w:rPr>
          <w:rStyle w:val="FigureTitleChar"/>
          <w:color w:val="auto"/>
        </w:rPr>
        <w:fldChar w:fldCharType="end"/>
      </w:r>
      <w:bookmarkEnd w:id="48"/>
      <w:r w:rsidRPr="00FC71BE">
        <w:rPr>
          <w:rStyle w:val="FigureTitleChar"/>
          <w:color w:val="auto"/>
        </w:rPr>
        <w:t xml:space="preserve">. </w:t>
      </w:r>
      <w:r w:rsidRPr="00FC71BE">
        <w:t xml:space="preserve">Oil spray for end-winding </w:t>
      </w:r>
      <w:r w:rsidRPr="00FC71BE">
        <w:fldChar w:fldCharType="begin"/>
      </w:r>
      <w:r w:rsidR="00103B0D" w:rsidRPr="00FC71BE">
        <w:instrText xml:space="preserve"> ADDIN EN.CITE &lt;EndNote&gt;&lt;Cite&gt;&lt;Author&gt;Zhang&lt;/Author&gt;&lt;Year&gt;2021&lt;/Year&gt;&lt;RecNum&gt;187&lt;/RecNum&gt;&lt;DisplayText&gt;[106]&lt;/DisplayText&gt;&lt;record&gt;&lt;rec-number&gt;187&lt;/rec-number&gt;&lt;foreign-keys&gt;&lt;key app="EN" db-id="rf2p5e05jx0x9jep00uvx0s1fvaww2dfa0r9" timestamp="1696870719"&gt;187&lt;/key&gt;&lt;/foreign-keys&gt;&lt;ref-type name="Journal Article"&gt;17&lt;/ref-type&gt;&lt;contributors&gt;&lt;authors&gt;&lt;author&gt;Zhang, Feng Yu&lt;/author&gt;&lt;author&gt;Gerada, David&lt;/author&gt;&lt;author&gt;Xu, Ze Yuan&lt;/author&gt;&lt;author&gt;Liu, Chuan&lt;/author&gt;&lt;author&gt;Zhang, He&lt;/author&gt;&lt;author&gt;Zou, Tian Jie&lt;/author&gt;&lt;author&gt;Chong, Yew Chuan&lt;/author&gt;&lt;author&gt;Gerada, Chris&lt;/author&gt;&lt;/authors&gt;&lt;/contributors&gt;&lt;titles&gt;&lt;title&gt;A thermal modeling approach and experimental validation for an oil spray-cooled hairpin winding machine&lt;/title&gt;&lt;secondary-title&gt;IEEE Transactions on Transportation Electrification&lt;/secondary-title&gt;&lt;/titles&gt;&lt;periodical&gt;&lt;full-title&gt;IEEE Transactions on Transportation Electrification&lt;/full-title&gt;&lt;/periodical&gt;&lt;pages&gt;2914-2926&lt;/pages&gt;&lt;volume&gt;7&lt;/volume&gt;&lt;number&gt;4&lt;/number&gt;&lt;dates&gt;&lt;year&gt;2021&lt;/year&gt;&lt;/dates&gt;&lt;isbn&gt;2332-7782&lt;/isbn&gt;&lt;urls&gt;&lt;/urls&gt;&lt;/record&gt;&lt;/Cite&gt;&lt;/EndNote&gt;</w:instrText>
      </w:r>
      <w:r w:rsidRPr="00FC71BE">
        <w:fldChar w:fldCharType="separate"/>
      </w:r>
      <w:r w:rsidRPr="00FC71BE">
        <w:t>[106]</w:t>
      </w:r>
      <w:r w:rsidRPr="00FC71BE">
        <w:fldChar w:fldCharType="end"/>
      </w:r>
      <w:r w:rsidRPr="00FC71BE">
        <w:t>.</w:t>
      </w:r>
    </w:p>
    <w:p w14:paraId="266D8929" w14:textId="77777777" w:rsidR="00416180" w:rsidRPr="00FC71BE" w:rsidRDefault="00416180" w:rsidP="00B86C68">
      <w:pPr>
        <w:pStyle w:val="Heading3"/>
        <w:numPr>
          <w:ilvl w:val="2"/>
          <w:numId w:val="49"/>
        </w:numPr>
      </w:pPr>
      <w:bookmarkStart w:id="49" w:name="_Toc157695331"/>
      <w:r w:rsidRPr="00FC71BE">
        <w:t>Cooling Technology for the Modular Machines</w:t>
      </w:r>
      <w:bookmarkEnd w:id="49"/>
    </w:p>
    <w:p w14:paraId="5333B56C" w14:textId="42C6703D" w:rsidR="00416180" w:rsidRPr="00FC71BE" w:rsidRDefault="00416180" w:rsidP="00416180">
      <w:r w:rsidRPr="00FC71BE">
        <w:t xml:space="preserve">Electrical machines that consider stator modularity have been developed and investigated due to their advantages in improving machine EM performance, as reviewed in section </w:t>
      </w:r>
      <w:r w:rsidRPr="00FC71BE">
        <w:fldChar w:fldCharType="begin"/>
      </w:r>
      <w:r w:rsidRPr="00FC71BE">
        <w:instrText xml:space="preserve"> REF _Ref147320938 \r \h </w:instrText>
      </w:r>
      <w:r w:rsidRPr="00FC71BE">
        <w:fldChar w:fldCharType="separate"/>
      </w:r>
      <w:r w:rsidR="007E62C1" w:rsidRPr="00FC71BE">
        <w:t>1.3</w:t>
      </w:r>
      <w:r w:rsidRPr="00FC71BE">
        <w:fldChar w:fldCharType="end"/>
      </w:r>
      <w:r w:rsidRPr="00FC71BE">
        <w:t xml:space="preserve">. </w:t>
      </w:r>
      <w:r w:rsidRPr="00FC71BE">
        <w:lastRenderedPageBreak/>
        <w:t>These modular machines introduced flux gaps, which not only influence the EM field but also provide an additional degree of freedom for cooling design.</w:t>
      </w:r>
    </w:p>
    <w:p w14:paraId="01C3CDAD" w14:textId="6F4BDFCA" w:rsidR="00416180" w:rsidRPr="00FC71BE" w:rsidRDefault="00416180" w:rsidP="00416180">
      <w:r w:rsidRPr="00FC71BE">
        <w:t xml:space="preserve">In a study by Zhou </w:t>
      </w:r>
      <w:r w:rsidRPr="00FC71BE">
        <w:rPr>
          <w:i/>
          <w:iCs/>
        </w:rPr>
        <w:t>et al</w:t>
      </w:r>
      <w:r w:rsidRPr="00FC71BE">
        <w:t xml:space="preserve">, a ventilation cooling system was implemented in a consequent PM machine with stator modularity </w:t>
      </w:r>
      <w:r w:rsidRPr="00FC71BE">
        <w:fldChar w:fldCharType="begin"/>
      </w:r>
      <w:r w:rsidR="00103B0D" w:rsidRPr="00FC71BE">
        <w:instrText xml:space="preserve"> ADDIN EN.CITE &lt;EndNote&gt;&lt;Cite&gt;&lt;Author&gt;Zhou&lt;/Author&gt;&lt;Year&gt;2020&lt;/Year&gt;&lt;RecNum&gt;191&lt;/RecNum&gt;&lt;DisplayText&gt;[110]&lt;/DisplayText&gt;&lt;record&gt;&lt;rec-number&gt;191&lt;/rec-number&gt;&lt;foreign-keys&gt;&lt;key app="EN" db-id="rf2p5e05jx0x9jep00uvx0s1fvaww2dfa0r9" timestamp="1696873377"&gt;191&lt;/key&gt;&lt;/foreign-keys&gt;&lt;ref-type name="Conference Proceedings"&gt;10&lt;/ref-type&gt;&lt;contributors&gt;&lt;authors&gt;&lt;author&gt;Zhou, R&lt;/author&gt;&lt;author&gt;Li, G J&lt;/author&gt;&lt;author&gt;Zhu, Z Q&lt;/author&gt;&lt;author&gt;Foster, M P&lt;/author&gt;&lt;author&gt;Stone, D A&lt;/author&gt;&lt;/authors&gt;&lt;/contributors&gt;&lt;titles&gt;&lt;title&gt;Improved cooling in modular consequent pole PM machine utilizing flux gaps&lt;/title&gt;&lt;secondary-title&gt;2020 IEEE Energy Conversion Congress and Exposition (ECCE)&lt;/secondary-title&gt;&lt;/titles&gt;&lt;pages&gt;4253-4260&lt;/pages&gt;&lt;dates&gt;&lt;year&gt;2020&lt;/year&gt;&lt;/dates&gt;&lt;publisher&gt;IEEE&lt;/publisher&gt;&lt;isbn&gt;1728158265&lt;/isbn&gt;&lt;urls&gt;&lt;/urls&gt;&lt;/record&gt;&lt;/Cite&gt;&lt;/EndNote&gt;</w:instrText>
      </w:r>
      <w:r w:rsidRPr="00FC71BE">
        <w:fldChar w:fldCharType="separate"/>
      </w:r>
      <w:r w:rsidRPr="00FC71BE">
        <w:t>[110]</w:t>
      </w:r>
      <w:r w:rsidRPr="00FC71BE">
        <w:fldChar w:fldCharType="end"/>
      </w:r>
      <w:r w:rsidRPr="00FC71BE">
        <w:t xml:space="preserve">. They investigated the heat transfer and flow profile, finding that extra heat convection occurs in flux gaps, resulting in a significant reduction in machine temperatures. In addition, the presence of flux gaps reduces flow resistance for the whole machine, leading to lower pressure losses. The reduction in pressure losses becomes more significant as increasing flux gap width. Moreover, the semi-flooded cooling system can also benefit from the introduced flux gaps for the same reason, resulting in much lower pressure losses and reduced machine temperature </w:t>
      </w:r>
      <w:r w:rsidRPr="00FC71BE">
        <w:fldChar w:fldCharType="begin"/>
      </w:r>
      <w:r w:rsidR="00103B0D" w:rsidRPr="00FC71BE">
        <w:instrText xml:space="preserve"> ADDIN EN.CITE &lt;EndNote&gt;&lt;Cite&gt;&lt;Author&gt;Zhou&lt;/Author&gt;&lt;Year&gt;2021&lt;/Year&gt;&lt;RecNum&gt;183&lt;/RecNum&gt;&lt;DisplayText&gt;[104]&lt;/DisplayText&gt;&lt;record&gt;&lt;rec-number&gt;183&lt;/rec-number&gt;&lt;foreign-keys&gt;&lt;key app="EN" db-id="rf2p5e05jx0x9jep00uvx0s1fvaww2dfa0r9" timestamp="1696864756"&gt;183&lt;/key&gt;&lt;/foreign-keys&gt;&lt;ref-type name="Conference Proceedings"&gt;10&lt;/ref-type&gt;&lt;contributors&gt;&lt;authors&gt;&lt;author&gt;Zhou, Rui&lt;/author&gt;&lt;author&gt;Li, Guang Jin&lt;/author&gt;&lt;author&gt;Zhu, Zi Qiang&lt;/author&gt;&lt;author&gt;Foster, Martin&lt;/author&gt;&lt;author&gt;Stone, Dave&lt;/author&gt;&lt;author&gt;Jia, C J&lt;/author&gt;&lt;author&gt;McKeever, P&lt;/author&gt;&lt;/authors&gt;&lt;/contributors&gt;&lt;titles&gt;&lt;title&gt;Novel liquid cooling technology for modular consequent-pole PM machines&lt;/title&gt;&lt;secondary-title&gt;2021 IEEE International Electric Machines &amp;amp; Drives Conference (IEMDC)&lt;/secondary-title&gt;&lt;/titles&gt;&lt;pages&gt;1-7&lt;/pages&gt;&lt;dates&gt;&lt;year&gt;2021&lt;/year&gt;&lt;/dates&gt;&lt;publisher&gt;IEEE&lt;/publisher&gt;&lt;isbn&gt;1665405104&lt;/isbn&gt;&lt;urls&gt;&lt;/urls&gt;&lt;/record&gt;&lt;/Cite&gt;&lt;/EndNote&gt;</w:instrText>
      </w:r>
      <w:r w:rsidRPr="00FC71BE">
        <w:fldChar w:fldCharType="separate"/>
      </w:r>
      <w:r w:rsidRPr="00FC71BE">
        <w:t>[104]</w:t>
      </w:r>
      <w:r w:rsidRPr="00FC71BE">
        <w:fldChar w:fldCharType="end"/>
      </w:r>
      <w:r w:rsidRPr="00FC71BE">
        <w:t>.</w:t>
      </w:r>
    </w:p>
    <w:p w14:paraId="4FB6065E" w14:textId="059CA428" w:rsidR="00416180" w:rsidRPr="00FC71BE" w:rsidRDefault="00416180" w:rsidP="00416180">
      <w:r w:rsidRPr="00FC71BE">
        <w:rPr>
          <w:rStyle w:val="FigureTitleChar"/>
          <w:color w:val="auto"/>
        </w:rPr>
        <w:t xml:space="preserve">Nollau </w:t>
      </w:r>
      <w:r w:rsidRPr="00FC71BE">
        <w:rPr>
          <w:rStyle w:val="FigureTitleChar"/>
          <w:i/>
          <w:color w:val="auto"/>
        </w:rPr>
        <w:t>et al</w:t>
      </w:r>
      <w:r w:rsidRPr="00FC71BE">
        <w:rPr>
          <w:rStyle w:val="FigureTitleChar"/>
          <w:color w:val="auto"/>
        </w:rPr>
        <w:t xml:space="preserve"> established a new water jacket for machines with stator modularity </w:t>
      </w:r>
      <w:r w:rsidRPr="00FC71BE">
        <w:rPr>
          <w:rStyle w:val="FigureTitleChar"/>
          <w:color w:val="auto"/>
        </w:rPr>
        <w:fldChar w:fldCharType="begin"/>
      </w:r>
      <w:r w:rsidRPr="00FC71BE">
        <w:rPr>
          <w:rStyle w:val="FigureTitleChar"/>
          <w:color w:val="auto"/>
        </w:rPr>
        <w:instrText xml:space="preserve"> ADDIN EN.CITE &lt;EndNote&gt;&lt;Cite&gt;&lt;Author&gt;Nollau&lt;/Author&gt;&lt;Year&gt;2015&lt;/Year&gt;&lt;RecNum&gt;190&lt;/RecNum&gt;&lt;DisplayText&gt;[111]&lt;/DisplayText&gt;&lt;record&gt;&lt;rec-number&gt;190&lt;/rec-number&gt;&lt;foreign-keys&gt;&lt;key app="EN" db-id="rf2p5e05jx0x9jep00uvx0s1fvaww2dfa0r9" timestamp="1696872882"&gt;190&lt;/key&gt;&lt;/foreign-keys&gt;&lt;ref-type name="Conference Proceedings"&gt;10&lt;/ref-type&gt;&lt;contributors&gt;&lt;authors&gt;&lt;author&gt;Nollau, Alexander&lt;/author&gt;&lt;author&gt;Gerling, Dieter&lt;/author&gt;&lt;/authors&gt;&lt;/contributors&gt;&lt;titles&gt;&lt;title&gt;A flux barrier cooling for traction motors in hybrid drives&lt;/title&gt;&lt;secondary-title&gt;2015 IEEE International Electric Machines &amp;amp; Drives Conference (IEMDC)&lt;/secondary-title&gt;&lt;/titles&gt;&lt;pages&gt;1103-1108&lt;/pages&gt;&lt;dates&gt;&lt;year&gt;2015&lt;/year&gt;&lt;/dates&gt;&lt;publisher&gt;IEEE&lt;/publisher&gt;&lt;isbn&gt;1479979414&lt;/isbn&gt;&lt;urls&gt;&lt;/urls&gt;&lt;/record&gt;&lt;/Cite&gt;&lt;/EndNote&gt;</w:instrText>
      </w:r>
      <w:r w:rsidRPr="00FC71BE">
        <w:rPr>
          <w:rStyle w:val="FigureTitleChar"/>
          <w:color w:val="auto"/>
        </w:rPr>
        <w:fldChar w:fldCharType="separate"/>
      </w:r>
      <w:r w:rsidRPr="00FC71BE">
        <w:rPr>
          <w:rStyle w:val="FigureTitleChar"/>
          <w:color w:val="auto"/>
        </w:rPr>
        <w:t>[111]</w:t>
      </w:r>
      <w:r w:rsidRPr="00FC71BE">
        <w:rPr>
          <w:rStyle w:val="FigureTitleChar"/>
          <w:color w:val="auto"/>
        </w:rPr>
        <w:fldChar w:fldCharType="end"/>
      </w:r>
      <w:r w:rsidRPr="00FC71BE">
        <w:rPr>
          <w:rStyle w:val="FigureTitleChar"/>
          <w:color w:val="auto"/>
        </w:rPr>
        <w:t xml:space="preserve">. The coolant channel is extended into flux gap region as shown in </w:t>
      </w:r>
      <w:r w:rsidRPr="00FC71BE">
        <w:rPr>
          <w:rStyle w:val="FigureTitleChar"/>
          <w:color w:val="auto"/>
        </w:rPr>
        <w:fldChar w:fldCharType="begin"/>
      </w:r>
      <w:r w:rsidRPr="00FC71BE">
        <w:rPr>
          <w:rStyle w:val="FigureTitleChar"/>
          <w:color w:val="auto"/>
        </w:rPr>
        <w:instrText xml:space="preserve"> REF _Ref147769006 \h </w:instrText>
      </w:r>
      <w:r w:rsidRPr="00FC71BE">
        <w:rPr>
          <w:rStyle w:val="FigureTitleChar"/>
          <w:color w:val="auto"/>
        </w:rPr>
      </w:r>
      <w:r w:rsidRPr="00FC71BE">
        <w:rPr>
          <w:rStyle w:val="FigureTitleChar"/>
          <w:color w:val="auto"/>
        </w:rPr>
        <w:fldChar w:fldCharType="separate"/>
      </w:r>
      <w:r w:rsidR="007E62C1" w:rsidRPr="00FC71BE">
        <w:rPr>
          <w:rStyle w:val="FigureTitleChar"/>
          <w:color w:val="auto"/>
        </w:rPr>
        <w:t xml:space="preserve">Fig. </w:t>
      </w:r>
      <w:r w:rsidR="007E62C1" w:rsidRPr="00FC71BE">
        <w:rPr>
          <w:rStyle w:val="FigureTitleChar"/>
          <w:noProof/>
          <w:color w:val="auto"/>
        </w:rPr>
        <w:t>1</w:t>
      </w:r>
      <w:r w:rsidR="007E62C1" w:rsidRPr="00FC71BE">
        <w:rPr>
          <w:rStyle w:val="FigureTitleChar"/>
          <w:color w:val="auto"/>
        </w:rPr>
        <w:t>.</w:t>
      </w:r>
      <w:r w:rsidR="007E62C1" w:rsidRPr="00FC71BE">
        <w:rPr>
          <w:rStyle w:val="FigureTitleChar"/>
          <w:noProof/>
          <w:color w:val="auto"/>
        </w:rPr>
        <w:t>29</w:t>
      </w:r>
      <w:r w:rsidRPr="00FC71BE">
        <w:rPr>
          <w:rStyle w:val="FigureTitleChar"/>
          <w:color w:val="auto"/>
        </w:rPr>
        <w:fldChar w:fldCharType="end"/>
      </w:r>
      <w:r w:rsidRPr="00FC71BE">
        <w:rPr>
          <w:rStyle w:val="FigureTitleChar"/>
          <w:color w:val="auto"/>
        </w:rPr>
        <w:t>. The bent channel design in the flux gaps not only improves the cooling area but also induces the turbulent flow, leading to 10% higher cooling efficiency than standard water jacket. These innovations demonstrate how flux gaps in stator-modular machines can significantly improve cooling and overall machine performance.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0"/>
        <w:gridCol w:w="4746"/>
      </w:tblGrid>
      <w:tr w:rsidR="00FC71BE" w:rsidRPr="00FC71BE" w14:paraId="2CF4C738" w14:textId="77777777">
        <w:tc>
          <w:tcPr>
            <w:tcW w:w="4508" w:type="dxa"/>
            <w:vAlign w:val="center"/>
          </w:tcPr>
          <w:p w14:paraId="151F178D" w14:textId="77777777" w:rsidR="00416180" w:rsidRPr="00FC71BE" w:rsidRDefault="00416180">
            <w:pPr>
              <w:pStyle w:val="Figure"/>
              <w:rPr>
                <w:noProof w:val="0"/>
              </w:rPr>
            </w:pPr>
            <w:r w:rsidRPr="00FC71BE">
              <w:drawing>
                <wp:inline distT="0" distB="0" distL="0" distR="0" wp14:anchorId="53E8C6E2" wp14:editId="2422A3FF">
                  <wp:extent cx="2480310" cy="2261572"/>
                  <wp:effectExtent l="0" t="0" r="0" b="5715"/>
                  <wp:docPr id="788904688" name="Picture 788904688" descr="A blue and white wireframe of a cylindric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04688" name="Picture 788904688" descr="A blue and white wireframe of a cylindrical object&#10;&#10;Description automatically generated"/>
                          <pic:cNvPicPr/>
                        </pic:nvPicPr>
                        <pic:blipFill>
                          <a:blip r:embed="rId56"/>
                          <a:stretch>
                            <a:fillRect/>
                          </a:stretch>
                        </pic:blipFill>
                        <pic:spPr>
                          <a:xfrm>
                            <a:off x="0" y="0"/>
                            <a:ext cx="2487604" cy="2268223"/>
                          </a:xfrm>
                          <a:prstGeom prst="rect">
                            <a:avLst/>
                          </a:prstGeom>
                        </pic:spPr>
                      </pic:pic>
                    </a:graphicData>
                  </a:graphic>
                </wp:inline>
              </w:drawing>
            </w:r>
          </w:p>
        </w:tc>
        <w:tc>
          <w:tcPr>
            <w:tcW w:w="4508" w:type="dxa"/>
            <w:vAlign w:val="center"/>
          </w:tcPr>
          <w:p w14:paraId="64D726B5" w14:textId="77777777" w:rsidR="00416180" w:rsidRPr="00FC71BE" w:rsidRDefault="00416180">
            <w:pPr>
              <w:pStyle w:val="Figure"/>
              <w:rPr>
                <w:noProof w:val="0"/>
              </w:rPr>
            </w:pPr>
            <w:r w:rsidRPr="00FC71BE">
              <w:drawing>
                <wp:inline distT="0" distB="0" distL="0" distR="0" wp14:anchorId="5FFA2395" wp14:editId="1A3402F1">
                  <wp:extent cx="2874010" cy="2454658"/>
                  <wp:effectExtent l="0" t="0" r="2540" b="3175"/>
                  <wp:docPr id="22" name="Picture 22" descr="A diagram of a circular object&#10;&#10;Description automatically generated">
                    <a:extLst xmlns:a="http://schemas.openxmlformats.org/drawingml/2006/main">
                      <a:ext uri="{FF2B5EF4-FFF2-40B4-BE49-F238E27FC236}">
                        <a16:creationId xmlns:a16="http://schemas.microsoft.com/office/drawing/2014/main" id="{CD8BD2D2-BACB-3497-CCED-8546B5068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diagram of a circular object&#10;&#10;Description automatically generated">
                            <a:extLst>
                              <a:ext uri="{FF2B5EF4-FFF2-40B4-BE49-F238E27FC236}">
                                <a16:creationId xmlns:a16="http://schemas.microsoft.com/office/drawing/2014/main" id="{CD8BD2D2-BACB-3497-CCED-8546B5068D19}"/>
                              </a:ext>
                            </a:extLst>
                          </pic:cNvPr>
                          <pic:cNvPicPr>
                            <a:picLocks noChangeAspect="1"/>
                          </pic:cNvPicPr>
                        </pic:nvPicPr>
                        <pic:blipFill>
                          <a:blip r:embed="rId57"/>
                          <a:stretch>
                            <a:fillRect/>
                          </a:stretch>
                        </pic:blipFill>
                        <pic:spPr>
                          <a:xfrm>
                            <a:off x="0" y="0"/>
                            <a:ext cx="2879728" cy="2459542"/>
                          </a:xfrm>
                          <a:prstGeom prst="rect">
                            <a:avLst/>
                          </a:prstGeom>
                        </pic:spPr>
                      </pic:pic>
                    </a:graphicData>
                  </a:graphic>
                </wp:inline>
              </w:drawing>
            </w:r>
          </w:p>
        </w:tc>
      </w:tr>
      <w:tr w:rsidR="00FC71BE" w:rsidRPr="00FC71BE" w14:paraId="04AE508F" w14:textId="77777777">
        <w:tc>
          <w:tcPr>
            <w:tcW w:w="4508" w:type="dxa"/>
            <w:vAlign w:val="center"/>
          </w:tcPr>
          <w:p w14:paraId="458B848A" w14:textId="77777777" w:rsidR="00416180" w:rsidRPr="00FC71BE" w:rsidRDefault="00416180">
            <w:pPr>
              <w:pStyle w:val="Figure"/>
              <w:rPr>
                <w:noProof w:val="0"/>
              </w:rPr>
            </w:pPr>
            <w:r w:rsidRPr="00FC71BE">
              <w:rPr>
                <w:noProof w:val="0"/>
              </w:rPr>
              <w:t>(a) Machine configuration</w:t>
            </w:r>
          </w:p>
        </w:tc>
        <w:tc>
          <w:tcPr>
            <w:tcW w:w="4508" w:type="dxa"/>
            <w:vAlign w:val="center"/>
          </w:tcPr>
          <w:p w14:paraId="146869C4" w14:textId="77777777" w:rsidR="00416180" w:rsidRPr="00FC71BE" w:rsidRDefault="00416180">
            <w:pPr>
              <w:pStyle w:val="Figure"/>
              <w:rPr>
                <w:noProof w:val="0"/>
              </w:rPr>
            </w:pPr>
            <w:r w:rsidRPr="00FC71BE">
              <w:rPr>
                <w:noProof w:val="0"/>
              </w:rPr>
              <w:t>(b) Coolant channel design</w:t>
            </w:r>
          </w:p>
        </w:tc>
      </w:tr>
    </w:tbl>
    <w:p w14:paraId="2E5534F3" w14:textId="4C51E192" w:rsidR="00416180" w:rsidRPr="00FC71BE" w:rsidRDefault="00416180" w:rsidP="00416180">
      <w:pPr>
        <w:pStyle w:val="FigureTitle"/>
        <w:rPr>
          <w:rStyle w:val="FigureTitleChar"/>
          <w:color w:val="auto"/>
        </w:rPr>
      </w:pPr>
      <w:bookmarkStart w:id="50" w:name="_Ref147769006"/>
      <w:r w:rsidRPr="00FC71BE">
        <w:rPr>
          <w:rStyle w:val="FigureTitleChar"/>
          <w:color w:val="auto"/>
        </w:rPr>
        <w:t xml:space="preserve">Fig. </w:t>
      </w:r>
      <w:r w:rsidRPr="00FC71BE">
        <w:rPr>
          <w:rStyle w:val="FigureTitleChar"/>
          <w:color w:val="auto"/>
        </w:rPr>
        <w:fldChar w:fldCharType="begin"/>
      </w:r>
      <w:r w:rsidRPr="00FC71BE">
        <w:rPr>
          <w:rStyle w:val="FigureTitleChar"/>
          <w:color w:val="auto"/>
        </w:rPr>
        <w:instrText xml:space="preserve"> STYLEREF 1 \s </w:instrText>
      </w:r>
      <w:r w:rsidRPr="00FC71BE">
        <w:rPr>
          <w:rStyle w:val="FigureTitleChar"/>
          <w:color w:val="auto"/>
        </w:rPr>
        <w:fldChar w:fldCharType="separate"/>
      </w:r>
      <w:r w:rsidR="007E62C1" w:rsidRPr="00FC71BE">
        <w:rPr>
          <w:rStyle w:val="FigureTitleChar"/>
          <w:noProof/>
          <w:color w:val="auto"/>
        </w:rPr>
        <w:t>1</w:t>
      </w:r>
      <w:r w:rsidRPr="00FC71BE">
        <w:rPr>
          <w:rStyle w:val="FigureTitleChar"/>
          <w:color w:val="auto"/>
        </w:rPr>
        <w:fldChar w:fldCharType="end"/>
      </w:r>
      <w:r w:rsidRPr="00FC71BE">
        <w:rPr>
          <w:rStyle w:val="FigureTitleChar"/>
          <w:color w:val="auto"/>
        </w:rPr>
        <w:t>.</w:t>
      </w:r>
      <w:r w:rsidRPr="00FC71BE">
        <w:rPr>
          <w:rStyle w:val="FigureTitleChar"/>
          <w:color w:val="auto"/>
        </w:rPr>
        <w:fldChar w:fldCharType="begin"/>
      </w:r>
      <w:r w:rsidRPr="00FC71BE">
        <w:rPr>
          <w:rStyle w:val="FigureTitleChar"/>
          <w:color w:val="auto"/>
        </w:rPr>
        <w:instrText xml:space="preserve"> SEQ Fig. \* ARABIC \s 1 </w:instrText>
      </w:r>
      <w:r w:rsidRPr="00FC71BE">
        <w:rPr>
          <w:rStyle w:val="FigureTitleChar"/>
          <w:color w:val="auto"/>
        </w:rPr>
        <w:fldChar w:fldCharType="separate"/>
      </w:r>
      <w:r w:rsidR="007E62C1" w:rsidRPr="00FC71BE">
        <w:rPr>
          <w:rStyle w:val="FigureTitleChar"/>
          <w:noProof/>
          <w:color w:val="auto"/>
        </w:rPr>
        <w:t>29</w:t>
      </w:r>
      <w:r w:rsidRPr="00FC71BE">
        <w:rPr>
          <w:rStyle w:val="FigureTitleChar"/>
          <w:color w:val="auto"/>
        </w:rPr>
        <w:fldChar w:fldCharType="end"/>
      </w:r>
      <w:bookmarkEnd w:id="50"/>
      <w:r w:rsidRPr="00FC71BE">
        <w:rPr>
          <w:rStyle w:val="FigureTitleChar"/>
          <w:color w:val="auto"/>
        </w:rPr>
        <w:t xml:space="preserve">. Water jacket design for the modular machine </w:t>
      </w:r>
      <w:r w:rsidRPr="00FC71BE">
        <w:rPr>
          <w:rStyle w:val="FigureTitleChar"/>
          <w:color w:val="auto"/>
        </w:rPr>
        <w:fldChar w:fldCharType="begin"/>
      </w:r>
      <w:r w:rsidRPr="00FC71BE">
        <w:rPr>
          <w:rStyle w:val="FigureTitleChar"/>
          <w:color w:val="auto"/>
        </w:rPr>
        <w:instrText xml:space="preserve"> ADDIN EN.CITE &lt;EndNote&gt;&lt;Cite&gt;&lt;Author&gt;Nollau&lt;/Author&gt;&lt;Year&gt;2015&lt;/Year&gt;&lt;RecNum&gt;190&lt;/RecNum&gt;&lt;DisplayText&gt;[111]&lt;/DisplayText&gt;&lt;record&gt;&lt;rec-number&gt;190&lt;/rec-number&gt;&lt;foreign-keys&gt;&lt;key app="EN" db-id="rf2p5e05jx0x9jep00uvx0s1fvaww2dfa0r9" timestamp="1696872882"&gt;190&lt;/key&gt;&lt;/foreign-keys&gt;&lt;ref-type name="Conference Proceedings"&gt;10&lt;/ref-type&gt;&lt;contributors&gt;&lt;authors&gt;&lt;author&gt;Nollau, Alexander&lt;/author&gt;&lt;author&gt;Gerling, Dieter&lt;/author&gt;&lt;/authors&gt;&lt;/contributors&gt;&lt;titles&gt;&lt;title&gt;A flux barrier cooling for traction motors in hybrid drives&lt;/title&gt;&lt;secondary-title&gt;2015 IEEE International Electric Machines &amp;amp; Drives Conference (IEMDC)&lt;/secondary-title&gt;&lt;/titles&gt;&lt;pages&gt;1103-1108&lt;/pages&gt;&lt;dates&gt;&lt;year&gt;2015&lt;/year&gt;&lt;/dates&gt;&lt;publisher&gt;IEEE&lt;/publisher&gt;&lt;isbn&gt;1479979414&lt;/isbn&gt;&lt;urls&gt;&lt;/urls&gt;&lt;/record&gt;&lt;/Cite&gt;&lt;/EndNote&gt;</w:instrText>
      </w:r>
      <w:r w:rsidRPr="00FC71BE">
        <w:rPr>
          <w:rStyle w:val="FigureTitleChar"/>
          <w:color w:val="auto"/>
        </w:rPr>
        <w:fldChar w:fldCharType="separate"/>
      </w:r>
      <w:r w:rsidRPr="00FC71BE">
        <w:rPr>
          <w:rStyle w:val="FigureTitleChar"/>
          <w:color w:val="auto"/>
        </w:rPr>
        <w:t>[111]</w:t>
      </w:r>
      <w:r w:rsidRPr="00FC71BE">
        <w:rPr>
          <w:rStyle w:val="FigureTitleChar"/>
          <w:color w:val="auto"/>
        </w:rPr>
        <w:fldChar w:fldCharType="end"/>
      </w:r>
      <w:r w:rsidRPr="00FC71BE">
        <w:rPr>
          <w:rStyle w:val="FigureTitleChar"/>
          <w:color w:val="auto"/>
        </w:rPr>
        <w:t>.</w:t>
      </w:r>
    </w:p>
    <w:p w14:paraId="15DD0E32" w14:textId="77777777" w:rsidR="00416180" w:rsidRPr="00FC71BE" w:rsidRDefault="00416180" w:rsidP="00E22A36">
      <w:pPr>
        <w:pStyle w:val="Heading2"/>
        <w:numPr>
          <w:ilvl w:val="1"/>
          <w:numId w:val="49"/>
        </w:numPr>
      </w:pPr>
      <w:bookmarkStart w:id="51" w:name="_Toc157695332"/>
      <w:r w:rsidRPr="00FC71BE">
        <w:t>Research Scope and Contributions</w:t>
      </w:r>
      <w:bookmarkEnd w:id="51"/>
    </w:p>
    <w:p w14:paraId="5C764551" w14:textId="77777777" w:rsidR="00416180" w:rsidRPr="00FC71BE" w:rsidRDefault="00416180" w:rsidP="00B86C68">
      <w:pPr>
        <w:pStyle w:val="Heading3"/>
        <w:numPr>
          <w:ilvl w:val="2"/>
          <w:numId w:val="49"/>
        </w:numPr>
      </w:pPr>
      <w:bookmarkStart w:id="52" w:name="_Toc157695333"/>
      <w:r w:rsidRPr="00FC71BE">
        <w:t>Research Scope</w:t>
      </w:r>
      <w:bookmarkEnd w:id="52"/>
    </w:p>
    <w:p w14:paraId="404E1442" w14:textId="77777777" w:rsidR="00416180" w:rsidRPr="00FC71BE" w:rsidRDefault="00416180" w:rsidP="00416180">
      <w:r w:rsidRPr="00FC71BE">
        <w:t xml:space="preserve">The main topic of this thesis is to investigate advanced thermal management for high torque density permanent magnet machines. The research includes investigating the electromagnetic </w:t>
      </w:r>
      <w:r w:rsidRPr="00FC71BE">
        <w:lastRenderedPageBreak/>
        <w:t>performances of machines, and the thermal behaviours of machines. Additionally, the interrelation between EM and thermal performances for machines has also been explored. Novel machine topologies, modular SPM machines with 24-slot/20-pole and 24-slot/28-pole configurations are investigated and optimized to fully reveal the influences of introducing flux gaps in alternative teeth for PM machines. Their influences on the static EM performances (e.g., torque, cogging torque, demagnetization characters, and losses) and dynamic performances (e.g., torque speed curve, losses speed curve, and efficiency) are proposed and analysed.</w:t>
      </w:r>
    </w:p>
    <w:p w14:paraId="0E6C0E08" w14:textId="77777777" w:rsidR="00416180" w:rsidRPr="00FC71BE" w:rsidRDefault="00416180" w:rsidP="00416180">
      <w:r w:rsidRPr="00FC71BE">
        <w:t>The thermal analyses of the modular SPM machines are also carried out in this thesis. Employing CFD modelling, the convection coefficients at each surface of component within the investigated modular machines are accurately predicted. Subsequently, LPTN models are established to accurately predict the temperatures of each machine components. This is achieved by evaluating the equivalent thermal resistances based on the CFD outcomes. This hybrid method, combining the accuracy of CFD models with computational efficiency of LPTN, has been employed to predict the temperature variations for the investigated modular SPM machine under different operating conditions, i.e., different loadings and different speeds.</w:t>
      </w:r>
    </w:p>
    <w:p w14:paraId="62630B84" w14:textId="77777777" w:rsidR="00416180" w:rsidRPr="00FC71BE" w:rsidRDefault="00416180" w:rsidP="00416180">
      <w:r w:rsidRPr="00FC71BE">
        <w:t>Three advanced thermal management technologies have been proposed for the modular SPM machines, with a particular focus on utilizing flux gaps. Among these technologies, two are forced cooling technologies, i.e., semi-flooded oil cooling system and ventilation cooling system. In these cooling systems, coolant is pumped through the throughflow machine, absorbing heat in heat-generating components (e.g., windings, stator, magnets, and rotor). This process results in significant reduction in temperature. Another more “passive” cooling technology, i.e., ferrofluid cooling, has been introduced for the SPM machines. It can also achieve notable temperature reductions without employing external pumps. Furthermore, for better understanding of the thermomagnetic convection of ferrofluid, the ferrofluid cooling is explored across different machine topologies, winding configurations, and loading conditions allowing for comparisons and analysis.</w:t>
      </w:r>
    </w:p>
    <w:p w14:paraId="289D8138" w14:textId="77777777" w:rsidR="00416180" w:rsidRPr="00FC71BE" w:rsidRDefault="00416180" w:rsidP="00B86C68">
      <w:pPr>
        <w:pStyle w:val="Heading3"/>
        <w:numPr>
          <w:ilvl w:val="2"/>
          <w:numId w:val="49"/>
        </w:numPr>
      </w:pPr>
      <w:bookmarkStart w:id="53" w:name="_Toc157695334"/>
      <w:r w:rsidRPr="00FC71BE">
        <w:t>Contributions</w:t>
      </w:r>
      <w:bookmarkEnd w:id="53"/>
    </w:p>
    <w:p w14:paraId="3D731890" w14:textId="77777777" w:rsidR="00416180" w:rsidRPr="00FC71BE" w:rsidRDefault="00416180" w:rsidP="00416180">
      <w:r w:rsidRPr="00FC71BE">
        <w:t>The main contributions of this thesis can be summarized as follows:</w:t>
      </w:r>
    </w:p>
    <w:p w14:paraId="03821047" w14:textId="52B44A3A" w:rsidR="00416180" w:rsidRPr="00FC71BE" w:rsidRDefault="00416180" w:rsidP="00AF4190">
      <w:pPr>
        <w:pStyle w:val="ListParagraph"/>
        <w:numPr>
          <w:ilvl w:val="0"/>
          <w:numId w:val="16"/>
        </w:numPr>
        <w:ind w:left="284" w:hanging="284"/>
      </w:pPr>
      <w:r w:rsidRPr="00FC71BE">
        <w:t xml:space="preserve">The genetic algorithm is utilized to optimize the modular SPM machines with different slot/pole number combinations, such as 24-slot/20-pole and 24-slot/28-pole. The EM performances of optimized modular SPM machine and its non-modular counterpart are analysed and compared. </w:t>
      </w:r>
      <w:r w:rsidR="00B22008" w:rsidRPr="00FC71BE">
        <w:t xml:space="preserve">It found that the machine average torque can be improved by 16.1% </w:t>
      </w:r>
      <w:r w:rsidR="00B22008" w:rsidRPr="00FC71BE">
        <w:lastRenderedPageBreak/>
        <w:t xml:space="preserve">for the modular machine. </w:t>
      </w:r>
      <w:r w:rsidRPr="00FC71BE">
        <w:t>Furthermore, an EM-thermal coupled model is developed, taking into consideration of both EM and thermal factors. This coupled model enables a comprehensive investigation of the EM performances of the investigated modular SPM machines. The findings reveal that modular SPM machines exhibit enhanced torque density and improved demagnetization withstand capability, facilitated by appropriately sized flux gaps.</w:t>
      </w:r>
    </w:p>
    <w:p w14:paraId="2FB71D9B" w14:textId="72173C62" w:rsidR="00416180" w:rsidRPr="00FC71BE" w:rsidRDefault="00B22008" w:rsidP="00AF4190">
      <w:pPr>
        <w:pStyle w:val="ListParagraph"/>
        <w:numPr>
          <w:ilvl w:val="0"/>
          <w:numId w:val="16"/>
        </w:numPr>
        <w:ind w:left="284" w:hanging="284"/>
      </w:pPr>
      <w:r w:rsidRPr="00FC71BE">
        <w:t>To further improve machine performances, t</w:t>
      </w:r>
      <w:r w:rsidR="00416180" w:rsidRPr="00FC71BE">
        <w:t>wo kinds of forced cooling technologies are incorporated into the modular machine with throughflow housing: semi-flooded cooling, and ventilation cooling.</w:t>
      </w:r>
      <w:r w:rsidRPr="00FC71BE">
        <w:t xml:space="preserve"> The machine temperature can be reduced by more than 100</w:t>
      </w:r>
      <m:oMath>
        <m:r>
          <w:rPr>
            <w:rFonts w:ascii="Cambria Math" w:hAnsi="Cambria Math"/>
          </w:rPr>
          <m:t>℃</m:t>
        </m:r>
      </m:oMath>
      <w:r w:rsidRPr="00FC71BE">
        <w:t xml:space="preserve"> after introducing forced cooling technologies.</w:t>
      </w:r>
      <w:r w:rsidR="00416180" w:rsidRPr="00FC71BE">
        <w:t xml:space="preserve"> The CFD modelling is employed to elucidate the influence of flux gaps on the efficiency of these cooling systems. Additionally, the impact of flow conditions and machine conditions on cooling systems efficiency is also presented.</w:t>
      </w:r>
    </w:p>
    <w:p w14:paraId="1EF7846C" w14:textId="092FBD70" w:rsidR="00416180" w:rsidRPr="00FC71BE" w:rsidRDefault="00B22008" w:rsidP="00AF4190">
      <w:pPr>
        <w:pStyle w:val="ListParagraph"/>
        <w:numPr>
          <w:ilvl w:val="0"/>
          <w:numId w:val="16"/>
        </w:numPr>
        <w:ind w:left="284" w:hanging="284"/>
      </w:pPr>
      <w:r w:rsidRPr="00FC71BE">
        <w:t>Beside the active cooling technologies, a</w:t>
      </w:r>
      <w:r w:rsidR="00416180" w:rsidRPr="00FC71BE">
        <w:t>n innovative “passive” cooling technology, specifically, ferrofluid cooling, is proposed.</w:t>
      </w:r>
      <w:r w:rsidRPr="00FC71BE">
        <w:t xml:space="preserve"> The machine temperature can be reduced by around 36</w:t>
      </w:r>
      <m:oMath>
        <m:r>
          <w:rPr>
            <w:rFonts w:ascii="Cambria Math" w:hAnsi="Cambria Math"/>
          </w:rPr>
          <m:t>℃</m:t>
        </m:r>
      </m:oMath>
      <w:r w:rsidRPr="00FC71BE">
        <w:t>.</w:t>
      </w:r>
      <w:r w:rsidR="00416180" w:rsidRPr="00FC71BE">
        <w:t xml:space="preserve"> Multi-physics models are developed to explore the thermomagnetic convection phenomenon within ferrofluid. These models intricately account for the interrelation between EM field, fluid dynamics and heat transfer, enabling an accurate simulation of the magnetic body forces that ferrofluid subjected under magnetic fields. A comprehensive analysis is conducted, encompassing various machine configurations, diverse loading conditions, and varying fluid properties to assess their respective impacts on the efficiency of ferrofluid cooling.</w:t>
      </w:r>
    </w:p>
    <w:p w14:paraId="189FF728" w14:textId="0D5EF36B" w:rsidR="00416180" w:rsidRPr="00FC71BE" w:rsidRDefault="00416180" w:rsidP="00416180">
      <w:r w:rsidRPr="00FC71BE">
        <w:t xml:space="preserve">During the PhD study, based on the above contributions, </w:t>
      </w:r>
      <w:r w:rsidR="00B34D51" w:rsidRPr="00FC71BE">
        <w:t>8</w:t>
      </w:r>
      <w:r w:rsidRPr="00FC71BE">
        <w:t xml:space="preserve"> papers in total have been published, which include </w:t>
      </w:r>
      <w:r w:rsidR="00B34D51" w:rsidRPr="00FC71BE">
        <w:t>6</w:t>
      </w:r>
      <w:r w:rsidRPr="00FC71BE">
        <w:t xml:space="preserve"> journal papers and 2 conference paper. Additionally, </w:t>
      </w:r>
      <w:r w:rsidR="00B34D51" w:rsidRPr="00FC71BE">
        <w:t>1</w:t>
      </w:r>
      <w:r w:rsidRPr="00FC71BE">
        <w:t xml:space="preserve"> journal paper is currently under review. The publication list is given as below:</w:t>
      </w:r>
    </w:p>
    <w:p w14:paraId="4BD97DCA" w14:textId="77777777" w:rsidR="00416180" w:rsidRPr="00FC71BE" w:rsidRDefault="00416180" w:rsidP="00AF4190">
      <w:pPr>
        <w:pStyle w:val="ListParagraph"/>
        <w:numPr>
          <w:ilvl w:val="0"/>
          <w:numId w:val="17"/>
        </w:numPr>
        <w:ind w:left="284" w:hanging="284"/>
      </w:pPr>
      <w:r w:rsidRPr="00FC71BE">
        <w:t xml:space="preserve">W. Zhang, G. J. Li, Z. Q. Zhu, B. Ren, and M. Michon, "Optimization of Modular SPM Machines Considering Stator Modularity," in </w:t>
      </w:r>
      <w:r w:rsidRPr="00FC71BE">
        <w:rPr>
          <w:i/>
        </w:rPr>
        <w:t>2021 IEEE International Electric Machines &amp; Drives Conference (IEMDC)</w:t>
      </w:r>
      <w:r w:rsidRPr="00FC71BE">
        <w:t>, 2021: IEEE, pp. 1-6. [Chapter 2]</w:t>
      </w:r>
    </w:p>
    <w:p w14:paraId="71BB9A6D" w14:textId="77777777" w:rsidR="00416180" w:rsidRPr="00FC71BE" w:rsidRDefault="00416180" w:rsidP="00AF4190">
      <w:pPr>
        <w:pStyle w:val="ListParagraph"/>
        <w:numPr>
          <w:ilvl w:val="0"/>
          <w:numId w:val="17"/>
        </w:numPr>
        <w:ind w:left="284" w:hanging="284"/>
      </w:pPr>
      <w:r w:rsidRPr="00FC71BE">
        <w:t xml:space="preserve">W. Zhang, G. J. Li, Z. Q. Zhu, B. Ren, and M. Michon, "Coupled Electromagnetic-Thermal Modelling of Dynamic Performance for Modular SPM Machines." </w:t>
      </w:r>
      <w:r w:rsidRPr="00FC71BE">
        <w:rPr>
          <w:i/>
          <w:iCs/>
        </w:rPr>
        <w:t>Energies,</w:t>
      </w:r>
      <w:r w:rsidRPr="00FC71BE">
        <w:t xml:space="preserve"> vol. 16, no. 6, p2516, 2023. [Chapter 3]</w:t>
      </w:r>
    </w:p>
    <w:p w14:paraId="452044F4" w14:textId="77777777" w:rsidR="00416180" w:rsidRPr="00FC71BE" w:rsidRDefault="00416180" w:rsidP="00AF4190">
      <w:pPr>
        <w:pStyle w:val="ListParagraph"/>
        <w:numPr>
          <w:ilvl w:val="0"/>
          <w:numId w:val="17"/>
        </w:numPr>
        <w:ind w:left="284" w:hanging="284"/>
      </w:pPr>
      <w:r w:rsidRPr="00FC71BE">
        <w:t xml:space="preserve">W. Zhang, G. J. Li, Z.Q. Zhu, B. Ren, Y. C. Chong, and M. Michon, "Demagnetization Analysis of Modular SPM Machine Based on Coupled Electromagnetic-Thermal Modelling," </w:t>
      </w:r>
      <w:r w:rsidRPr="00FC71BE">
        <w:rPr>
          <w:i/>
        </w:rPr>
        <w:t xml:space="preserve">Energies, </w:t>
      </w:r>
      <w:r w:rsidRPr="00FC71BE">
        <w:t>vol. 16, no. 1, p. 131, 2022. [Chapter 3]</w:t>
      </w:r>
    </w:p>
    <w:p w14:paraId="105BC0F4" w14:textId="3EFD7A67" w:rsidR="004F153F" w:rsidRPr="00FC71BE" w:rsidRDefault="004F153F" w:rsidP="004F153F">
      <w:pPr>
        <w:pStyle w:val="ListParagraph"/>
        <w:numPr>
          <w:ilvl w:val="0"/>
          <w:numId w:val="17"/>
        </w:numPr>
        <w:ind w:left="284" w:hanging="284"/>
      </w:pPr>
      <w:r w:rsidRPr="00FC71BE">
        <w:lastRenderedPageBreak/>
        <w:t xml:space="preserve">W. Zhang, G. J. Li, R. Zhou, Z. Q. Zhu, B. Ren Y. C. Chong, and M. Michon, “Forced-liquid cooling for high torque density modular PM machines” </w:t>
      </w:r>
      <w:r w:rsidR="00F40AAB" w:rsidRPr="00FC71BE">
        <w:rPr>
          <w:i/>
          <w:iCs/>
        </w:rPr>
        <w:t xml:space="preserve">IET </w:t>
      </w:r>
      <w:r w:rsidR="00300FB5" w:rsidRPr="00FC71BE">
        <w:rPr>
          <w:i/>
          <w:iCs/>
        </w:rPr>
        <w:t>Elect. Power Appl</w:t>
      </w:r>
      <w:r w:rsidR="00F40AAB" w:rsidRPr="00FC71BE">
        <w:rPr>
          <w:i/>
          <w:iCs/>
        </w:rPr>
        <w:t>.</w:t>
      </w:r>
      <w:r w:rsidRPr="00FC71BE">
        <w:t xml:space="preserve"> (</w:t>
      </w:r>
      <w:r w:rsidR="0095564D" w:rsidRPr="00FC71BE">
        <w:t>Accepted</w:t>
      </w:r>
      <w:r w:rsidRPr="00FC71BE">
        <w:t>). [Chapter 4]</w:t>
      </w:r>
    </w:p>
    <w:p w14:paraId="2B06034B" w14:textId="58097366" w:rsidR="004F153F" w:rsidRPr="00FC71BE" w:rsidRDefault="004F153F" w:rsidP="004F153F">
      <w:pPr>
        <w:pStyle w:val="ListParagraph"/>
        <w:numPr>
          <w:ilvl w:val="0"/>
          <w:numId w:val="17"/>
        </w:numPr>
        <w:ind w:left="284" w:hanging="284"/>
      </w:pPr>
      <w:r w:rsidRPr="00FC71BE">
        <w:t xml:space="preserve">W. Zhang, G. J. Li, R. Zhou, Z. Q. Zhu, B. Ren, Y. C. Chong, and M. Michon, “Forced-air cooling for modular PM machines utilizing flux gaps and rotor ducts,” </w:t>
      </w:r>
      <w:r w:rsidR="00F40AAB" w:rsidRPr="00FC71BE">
        <w:rPr>
          <w:i/>
          <w:iCs/>
        </w:rPr>
        <w:t>IEEE Trans. Energy Conver.</w:t>
      </w:r>
      <w:r w:rsidR="00F40AAB" w:rsidRPr="00FC71BE">
        <w:t xml:space="preserve"> </w:t>
      </w:r>
      <w:r w:rsidRPr="00FC71BE">
        <w:t>(</w:t>
      </w:r>
      <w:r w:rsidR="00984B9D" w:rsidRPr="00FC71BE">
        <w:t>1</w:t>
      </w:r>
      <w:r w:rsidR="00984B9D" w:rsidRPr="00FC71BE">
        <w:rPr>
          <w:vertAlign w:val="superscript"/>
        </w:rPr>
        <w:t>st</w:t>
      </w:r>
      <w:r w:rsidR="00984B9D" w:rsidRPr="00FC71BE">
        <w:t xml:space="preserve"> review</w:t>
      </w:r>
      <w:r w:rsidRPr="00FC71BE">
        <w:t>). [Chapter 4]</w:t>
      </w:r>
    </w:p>
    <w:p w14:paraId="02021A23" w14:textId="77777777" w:rsidR="00416180" w:rsidRPr="00FC71BE" w:rsidRDefault="00416180" w:rsidP="00AF4190">
      <w:pPr>
        <w:pStyle w:val="ListParagraph"/>
        <w:numPr>
          <w:ilvl w:val="0"/>
          <w:numId w:val="17"/>
        </w:numPr>
        <w:ind w:left="284" w:hanging="284"/>
      </w:pPr>
      <w:r w:rsidRPr="00FC71BE">
        <w:t xml:space="preserve">W. Zhang, G. J. Li, B. Ren, Y. C. Chong, M. Michon, "Investigation of Ferrofluid Cooling for High Power Density Permanent Magnet Machines.", </w:t>
      </w:r>
      <w:r w:rsidRPr="00FC71BE">
        <w:rPr>
          <w:i/>
          <w:iCs/>
        </w:rPr>
        <w:t>IEEE Trans. Magn.</w:t>
      </w:r>
      <w:r w:rsidRPr="00FC71BE">
        <w:t>, vol. 59, no. 1, pp. 1-11, 2022. [Chapter 5]</w:t>
      </w:r>
    </w:p>
    <w:p w14:paraId="25B16DDC" w14:textId="77777777" w:rsidR="00416180" w:rsidRPr="00FC71BE" w:rsidRDefault="00416180" w:rsidP="00AF4190">
      <w:pPr>
        <w:pStyle w:val="ListParagraph"/>
        <w:numPr>
          <w:ilvl w:val="0"/>
          <w:numId w:val="17"/>
        </w:numPr>
        <w:ind w:left="284" w:hanging="284"/>
      </w:pPr>
      <w:r w:rsidRPr="00FC71BE">
        <w:t xml:space="preserve">W. Zhang, G. J. Li, Z. Q. Zhu, B. Ren, Y. C. Chong, M. Michon, "Investigation of Ferrofluid Cooling in Modular Permanent Magnet Machines.", </w:t>
      </w:r>
      <w:r w:rsidRPr="00FC71BE">
        <w:rPr>
          <w:i/>
          <w:iCs/>
        </w:rPr>
        <w:t>IEEE Trans. Magn.</w:t>
      </w:r>
      <w:r w:rsidRPr="00FC71BE">
        <w:t>, 2023. [Chapter 5]</w:t>
      </w:r>
    </w:p>
    <w:p w14:paraId="22D04CCB" w14:textId="7DFDD901" w:rsidR="00416180" w:rsidRPr="00FC71BE" w:rsidRDefault="00416180" w:rsidP="00AF4190">
      <w:pPr>
        <w:pStyle w:val="ListParagraph"/>
        <w:numPr>
          <w:ilvl w:val="0"/>
          <w:numId w:val="17"/>
        </w:numPr>
        <w:ind w:left="284" w:hanging="284"/>
        <w:rPr>
          <w:iCs/>
          <w:szCs w:val="18"/>
        </w:rPr>
      </w:pPr>
      <w:r w:rsidRPr="00FC71BE">
        <w:t xml:space="preserve">W. Zhang, G. J. Li, B. Ren, Y. C. Chong, M. Michon, "Comparative Study of Ferrofluid Cooling for Permanent Magnet Machines with Different Winding Structures." </w:t>
      </w:r>
      <w:r w:rsidR="00F40AAB" w:rsidRPr="00FC71BE">
        <w:rPr>
          <w:i/>
          <w:iCs/>
        </w:rPr>
        <w:t>IEEE ACCESS</w:t>
      </w:r>
      <w:r w:rsidR="001D6026" w:rsidRPr="00FC71BE">
        <w:rPr>
          <w:i/>
          <w:iCs/>
        </w:rPr>
        <w:t>.</w:t>
      </w:r>
      <w:r w:rsidR="001D6026" w:rsidRPr="00FC71BE">
        <w:t xml:space="preserve"> </w:t>
      </w:r>
      <w:r w:rsidRPr="00FC71BE">
        <w:t>(</w:t>
      </w:r>
      <w:r w:rsidR="00FA3952" w:rsidRPr="00FC71BE">
        <w:t>Accepted</w:t>
      </w:r>
      <w:r w:rsidRPr="00FC71BE">
        <w:t>). [Chapter 5]</w:t>
      </w:r>
    </w:p>
    <w:p w14:paraId="2C1ED73F" w14:textId="77777777" w:rsidR="00416180" w:rsidRPr="00FC71BE" w:rsidRDefault="00416180" w:rsidP="00AF4190">
      <w:pPr>
        <w:pStyle w:val="ListParagraph"/>
        <w:numPr>
          <w:ilvl w:val="0"/>
          <w:numId w:val="17"/>
        </w:numPr>
        <w:ind w:left="284" w:hanging="284"/>
        <w:rPr>
          <w:rStyle w:val="FigureTitleChar"/>
          <w:iCs w:val="0"/>
          <w:color w:val="auto"/>
        </w:rPr>
      </w:pPr>
      <w:r w:rsidRPr="00FC71BE">
        <w:t xml:space="preserve">G. J. Li, Y.F. Zhang, W. Zhang, N. Morley, Z. Q. Zhu, "Thermomagnetic Cooling for High Power Density Electrical Machines.", in </w:t>
      </w:r>
      <w:r w:rsidRPr="00FC71BE">
        <w:rPr>
          <w:i/>
        </w:rPr>
        <w:t>2022 IEEE Energy Conversion Congress and Exposition</w:t>
      </w:r>
      <w:r w:rsidRPr="00FC71BE">
        <w:t xml:space="preserve"> (ECCE), 2022: IEEE, pp. 1-7. [Chapter 5]</w:t>
      </w:r>
      <w:r w:rsidRPr="00FC71BE">
        <w:rPr>
          <w:rStyle w:val="FigureTitleChar"/>
          <w:color w:val="auto"/>
        </w:rPr>
        <w:t xml:space="preserve"> </w:t>
      </w:r>
    </w:p>
    <w:p w14:paraId="669E5A89" w14:textId="77777777" w:rsidR="009375B6" w:rsidRPr="00FC71BE" w:rsidRDefault="009375B6" w:rsidP="00416180">
      <w:pPr>
        <w:spacing w:line="259" w:lineRule="auto"/>
        <w:ind w:firstLine="0"/>
        <w:jc w:val="left"/>
        <w:rPr>
          <w:rStyle w:val="FigureTitleChar"/>
          <w:iCs w:val="0"/>
          <w:color w:val="auto"/>
        </w:rPr>
      </w:pPr>
    </w:p>
    <w:p w14:paraId="191F24D9" w14:textId="77777777" w:rsidR="009375B6" w:rsidRPr="00FC71BE" w:rsidRDefault="009375B6" w:rsidP="00416180">
      <w:pPr>
        <w:spacing w:line="259" w:lineRule="auto"/>
        <w:ind w:firstLine="0"/>
        <w:jc w:val="left"/>
        <w:rPr>
          <w:rStyle w:val="FigureTitleChar"/>
          <w:iCs w:val="0"/>
          <w:color w:val="auto"/>
        </w:rPr>
        <w:sectPr w:rsidR="009375B6" w:rsidRPr="00FC71BE" w:rsidSect="00230564">
          <w:footerReference w:type="default" r:id="rId58"/>
          <w:pgSz w:w="11906" w:h="16838"/>
          <w:pgMar w:top="1440" w:right="1440" w:bottom="1440" w:left="1440" w:header="708" w:footer="708" w:gutter="0"/>
          <w:pgNumType w:start="1"/>
          <w:cols w:space="708"/>
          <w:docGrid w:linePitch="360"/>
        </w:sectPr>
      </w:pPr>
    </w:p>
    <w:p w14:paraId="673D1D1E" w14:textId="77777777" w:rsidR="00C56E32" w:rsidRPr="00FC71BE" w:rsidRDefault="00C56E32" w:rsidP="00B86C68">
      <w:pPr>
        <w:pStyle w:val="Heading1"/>
        <w:numPr>
          <w:ilvl w:val="0"/>
          <w:numId w:val="49"/>
        </w:numPr>
        <w:rPr>
          <w:color w:val="auto"/>
        </w:rPr>
      </w:pPr>
      <w:bookmarkStart w:id="54" w:name="_Ref148288049"/>
      <w:bookmarkStart w:id="55" w:name="_Toc157695335"/>
      <w:r w:rsidRPr="00FC71BE">
        <w:rPr>
          <w:color w:val="auto"/>
        </w:rPr>
        <w:lastRenderedPageBreak/>
        <w:t>Electromagnetic Analysis of Modular SPM machine</w:t>
      </w:r>
      <w:bookmarkEnd w:id="54"/>
      <w:bookmarkEnd w:id="55"/>
    </w:p>
    <w:p w14:paraId="2E93082D" w14:textId="54D4E307" w:rsidR="00C56E32" w:rsidRPr="00FC71BE" w:rsidRDefault="00C56E32" w:rsidP="008520AF">
      <w:r w:rsidRPr="00FC71BE">
        <w:t xml:space="preserve">This chapter presents the optimization of modular surface-mounted permanent magnet machines considering the effect of stator modularity on machine electromagnetic performances. </w:t>
      </w:r>
      <w:r w:rsidR="008520AF" w:rsidRPr="00FC71BE">
        <w:t>Different to</w:t>
      </w:r>
      <w:r w:rsidR="009C412B" w:rsidRPr="00FC71BE">
        <w:t xml:space="preserve"> the</w:t>
      </w:r>
      <w:r w:rsidR="008520AF" w:rsidRPr="00FC71BE">
        <w:t xml:space="preserve"> existing optimization method for the modular machine, which does not consider flux gap width as </w:t>
      </w:r>
      <w:r w:rsidR="00A65FE9" w:rsidRPr="00FC71BE">
        <w:t xml:space="preserve">a </w:t>
      </w:r>
      <w:r w:rsidR="008520AF" w:rsidRPr="00FC71BE">
        <w:t xml:space="preserve">variable, a global optimization for the modular machine is conducted. </w:t>
      </w:r>
      <w:r w:rsidRPr="00FC71BE">
        <w:t>In order to optimize the electromagnetic performance, the multi-objective genetic algorithm is adopted and 2D finite element method is used. Variables such as stator yoke height, tooth width, flux gap width, split ratio and rotor yoke thickness have been selected for the optimization. The objectives are to achieve maximized average torque, minimized torque ripple, copper loss and total machine mass. Amongst all the variables, the flux gap width is a key parameter which has significant impact on machine electromagnetic performance but has not been included in the optimization process in the literature. The results in this chapter have shown that considering the flux gap width in the optimization will lead to further improvement in machine electromagnetic performance. In addition, for machines with lower slot number than rotor pole number, the optimization process shows that an appropriate flux gap width is needed for optimal electromagnetic performance. However, for machines with higher slot number than pole number, the flux gap width tends to be zero, leading to non-modular machine having the optimal performance. A small prototype of one of optimized modular SPM machine has been built and the FE</w:t>
      </w:r>
      <w:r w:rsidR="004C5F20" w:rsidRPr="00FC71BE">
        <w:t>M</w:t>
      </w:r>
      <w:r w:rsidRPr="00FC71BE">
        <w:t xml:space="preserve"> predicted results are validated.</w:t>
      </w:r>
    </w:p>
    <w:p w14:paraId="59AD7EFD" w14:textId="77777777" w:rsidR="00C56E32" w:rsidRPr="00FC71BE" w:rsidRDefault="00C56E32" w:rsidP="00C56E32">
      <w:pPr>
        <w:ind w:firstLine="0"/>
      </w:pPr>
      <w:r w:rsidRPr="00FC71BE">
        <w:t>Publication related to this chapter is listed below:</w:t>
      </w:r>
    </w:p>
    <w:p w14:paraId="6FED852D" w14:textId="72AAE0BA" w:rsidR="00C56E32" w:rsidRPr="00FC71BE" w:rsidRDefault="00317E6B" w:rsidP="00C56E32">
      <w:pPr>
        <w:ind w:firstLine="0"/>
      </w:pPr>
      <w:r w:rsidRPr="00FC71BE">
        <w:t>1.</w:t>
      </w:r>
      <w:r w:rsidR="00C56E32" w:rsidRPr="00FC71BE">
        <w:t xml:space="preserve"> W. Zhang, G. J. Li, Z. Q. Zhu, B. Ren, and M. Michon, "Optimization of Modular SPM Machines Considering Stator Modularity," in </w:t>
      </w:r>
      <w:r w:rsidR="00C56E32" w:rsidRPr="00FC71BE">
        <w:rPr>
          <w:i/>
        </w:rPr>
        <w:t>2021 IEEE International Electric Machines &amp; Drives Conference (IEMDC)</w:t>
      </w:r>
      <w:r w:rsidR="00C56E32" w:rsidRPr="00FC71BE">
        <w:t>, 2021: IEEE, pp. 1-6.</w:t>
      </w:r>
    </w:p>
    <w:p w14:paraId="061B0451" w14:textId="77777777" w:rsidR="00C56E32" w:rsidRPr="00FC71BE" w:rsidRDefault="00C56E32" w:rsidP="00C56E32">
      <w:pPr>
        <w:spacing w:line="259" w:lineRule="auto"/>
        <w:ind w:firstLine="0"/>
        <w:jc w:val="left"/>
      </w:pPr>
      <w:r w:rsidRPr="00FC71BE">
        <w:br w:type="page"/>
      </w:r>
    </w:p>
    <w:p w14:paraId="5581395E" w14:textId="77777777" w:rsidR="00C56E32" w:rsidRPr="00FC71BE" w:rsidRDefault="00C56E32" w:rsidP="00B86C68">
      <w:pPr>
        <w:pStyle w:val="Heading2"/>
        <w:numPr>
          <w:ilvl w:val="1"/>
          <w:numId w:val="49"/>
        </w:numPr>
      </w:pPr>
      <w:bookmarkStart w:id="56" w:name="_Toc157695336"/>
      <w:r w:rsidRPr="00FC71BE">
        <w:lastRenderedPageBreak/>
        <w:t>Introduction</w:t>
      </w:r>
      <w:bookmarkEnd w:id="56"/>
    </w:p>
    <w:p w14:paraId="5982AFDA" w14:textId="2E462591" w:rsidR="00C56E32" w:rsidRPr="00FC71BE" w:rsidRDefault="00C56E32" w:rsidP="00C56E32">
      <w:bookmarkStart w:id="57" w:name="_Hlk54646430"/>
      <w:bookmarkStart w:id="58" w:name="_Ref125490701"/>
      <w:r w:rsidRPr="00FC71BE">
        <w:t xml:space="preserve">Permanent magnet (PM) machines have been attracting increasing interest in the applications such as electrical vehicles, wind power and aerospace due to their outstanding performances in terms of high efficiency, high torque, and power density. However, due to high price and volatile supply of rare-earth materials, the cost of PM could be a major part of that of the entire machine. Therefore, lots of research on PM machines are focused on how to improve their performances and to reduce PM consumption. Amongst the developed technologies, the surface mounted PM (SPM) machines with modular stators stand out because of their benefits such as high torque, low mass and much more degrees of freedom in cooling system design </w:t>
      </w:r>
      <w:r w:rsidRPr="00FC71BE">
        <w:fldChar w:fldCharType="begin"/>
      </w:r>
      <w:r w:rsidR="001A2D14" w:rsidRPr="00FC71BE">
        <w:instrText xml:space="preserve"> ADDIN EN.CITE &lt;EndNote&gt;&lt;Cite&gt;&lt;Author&gt;Li&lt;/Author&gt;&lt;Year&gt;2014&lt;/Year&gt;&lt;RecNum&gt;3&lt;/RecNum&gt;&lt;DisplayText&gt;[38, 42]&lt;/DisplayText&gt;&lt;record&gt;&lt;rec-number&gt;3&lt;/rec-number&gt;&lt;foreign-keys&gt;&lt;key app="EN" db-id="rf2p5e05jx0x9jep00uvx0s1fvaww2dfa0r9" timestamp="1688999520"&gt;3&lt;/key&gt;&lt;/foreign-keys&gt;&lt;ref-type name="Journal Article"&gt;17&lt;/ref-type&gt;&lt;contributors&gt;&lt;authors&gt;&lt;author&gt;Li, G J&lt;/author&gt;&lt;author&gt;Zhu, Z Q&lt;/author&gt;&lt;author&gt;Chu, W Q&lt;/author&gt;&lt;author&gt;Foster, M P&lt;/author&gt;&lt;author&gt;Stone, D A&lt;/author&gt;&lt;/authors&gt;&lt;/contributors&gt;&lt;titles&gt;&lt;title&gt;Influence of flux gaps on electromagnetic performance of novel modular PM machines&lt;/title&gt;&lt;secondary-title&gt;IEEE Transactions on Energy Conversion&lt;/secondary-title&gt;&lt;/titles&gt;&lt;periodical&gt;&lt;full-title&gt;IEEE Transactions on Energy Conversion&lt;/full-title&gt;&lt;/periodical&gt;&lt;pages&gt;716-726&lt;/pages&gt;&lt;volume&gt;29&lt;/volume&gt;&lt;number&gt;3&lt;/number&gt;&lt;dates&gt;&lt;year&gt;2014&lt;/year&gt;&lt;/dates&gt;&lt;isbn&gt;0885-8969&lt;/isbn&gt;&lt;urls&gt;&lt;/urls&gt;&lt;/record&gt;&lt;/Cite&gt;&lt;Cite&gt;&lt;Author&gt;Li&lt;/Author&gt;&lt;Year&gt;2014&lt;/Year&gt;&lt;RecNum&gt;4&lt;/RecNum&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fldChar w:fldCharType="separate"/>
      </w:r>
      <w:r w:rsidR="001A2D14" w:rsidRPr="00FC71BE">
        <w:t>[38, 42]</w:t>
      </w:r>
      <w:r w:rsidRPr="00FC71BE">
        <w:fldChar w:fldCharType="end"/>
      </w:r>
      <w:r w:rsidRPr="00FC71BE">
        <w:t>. It is found that in the 12-slot and 14-pole modular machine, when the flux gaps are introduced in stator core to improve the pitch factor to nearly 1, the 1</w:t>
      </w:r>
      <w:r w:rsidRPr="00FC71BE">
        <w:rPr>
          <w:vertAlign w:val="superscript"/>
        </w:rPr>
        <w:t>st</w:t>
      </w:r>
      <w:r w:rsidRPr="00FC71BE">
        <w:t xml:space="preserve"> and 5</w:t>
      </w:r>
      <w:r w:rsidRPr="00FC71BE">
        <w:rPr>
          <w:vertAlign w:val="superscript"/>
        </w:rPr>
        <w:t>th</w:t>
      </w:r>
      <w:r w:rsidRPr="00FC71BE">
        <w:t xml:space="preserve"> sub-harmonics of airgap flux density are reduced by 73% and 19%, respectively, while the 7</w:t>
      </w:r>
      <w:r w:rsidRPr="00FC71BE">
        <w:rPr>
          <w:vertAlign w:val="superscript"/>
        </w:rPr>
        <w:t>th</w:t>
      </w:r>
      <w:r w:rsidRPr="00FC71BE">
        <w:t xml:space="preserve"> working harmonic is increased by 16% </w:t>
      </w:r>
      <w:r w:rsidRPr="00FC71BE">
        <w:fldChar w:fldCharType="begin"/>
      </w:r>
      <w:r w:rsidR="001A2D14" w:rsidRPr="00FC71BE">
        <w:instrText xml:space="preserve"> ADDIN EN.CITE &lt;EndNote&gt;&lt;Cite&gt;&lt;Author&gt;Dajaku&lt;/Author&gt;&lt;Year&gt;2012&lt;/Year&gt;&lt;RecNum&gt;5&lt;/RecNum&gt;&lt;DisplayText&gt;[43, 112]&lt;/DisplayText&gt;&lt;record&gt;&lt;rec-number&gt;5&lt;/rec-number&gt;&lt;foreign-keys&gt;&lt;key app="EN" db-id="rf2p5e05jx0x9jep00uvx0s1fvaww2dfa0r9" timestamp="1688999524"&gt;5&lt;/key&gt;&lt;/foreign-keys&gt;&lt;ref-type name="Conference Proceedings"&gt;10&lt;/ref-type&gt;&lt;contributors&gt;&lt;authors&gt;&lt;author&gt;Dajaku, Gurakuq&lt;/author&gt;&lt;author&gt;Gerling, Dieter&lt;/author&gt;&lt;/authors&gt;&lt;/contributors&gt;&lt;titles&gt;&lt;title&gt;Low costs and high-efficiency electric machines&lt;/title&gt;&lt;secondary-title&gt;2012 2nd International Electric Drives Production Conference (EDPC)&lt;/secondary-title&gt;&lt;/titles&gt;&lt;pages&gt;1-7&lt;/pages&gt;&lt;dates&gt;&lt;year&gt;2012&lt;/year&gt;&lt;/dates&gt;&lt;publisher&gt;IEEE&lt;/publisher&gt;&lt;isbn&gt;1467330086&lt;/isbn&gt;&lt;urls&gt;&lt;/urls&gt;&lt;/record&gt;&lt;/Cite&gt;&lt;Cite&gt;&lt;Author&gt;Li&lt;/Author&gt;&lt;Year&gt;2015&lt;/Year&gt;&lt;RecNum&gt;6&lt;/RecNum&gt;&lt;record&gt;&lt;rec-number&gt;6&lt;/rec-number&gt;&lt;foreign-keys&gt;&lt;key app="EN" db-id="rf2p5e05jx0x9jep00uvx0s1fvaww2dfa0r9" timestamp="1688999526"&gt;6&lt;/key&gt;&lt;/foreign-keys&gt;&lt;ref-type name="Journal Article"&gt;17&lt;/ref-type&gt;&lt;contributors&gt;&lt;authors&gt;&lt;author&gt;Li, G J&lt;/author&gt;&lt;author&gt;Zhu, Z Q&lt;/author&gt;&lt;/authors&gt;&lt;/contributors&gt;&lt;titles&gt;&lt;title&gt;Analytical modeling of modular and unequal tooth width surface-mounted permanent magnet machines&lt;/title&gt;&lt;secondary-title&gt;IEEE transactions on magnetics&lt;/secondary-title&gt;&lt;/titles&gt;&lt;periodical&gt;&lt;full-title&gt;IEEE Transactions on Magnetics&lt;/full-title&gt;&lt;/periodical&gt;&lt;pages&gt;1-9&lt;/pages&gt;&lt;volume&gt;51&lt;/volume&gt;&lt;number&gt;9&lt;/number&gt;&lt;dates&gt;&lt;year&gt;2015&lt;/year&gt;&lt;/dates&gt;&lt;isbn&gt;0018-9464&lt;/isbn&gt;&lt;urls&gt;&lt;/urls&gt;&lt;/record&gt;&lt;/Cite&gt;&lt;/EndNote&gt;</w:instrText>
      </w:r>
      <w:r w:rsidRPr="00FC71BE">
        <w:fldChar w:fldCharType="separate"/>
      </w:r>
      <w:r w:rsidR="001A2D14" w:rsidRPr="00FC71BE">
        <w:t>[43, 112]</w:t>
      </w:r>
      <w:r w:rsidRPr="00FC71BE">
        <w:fldChar w:fldCharType="end"/>
      </w:r>
      <w:r w:rsidRPr="00FC71BE">
        <w:t xml:space="preserve">. Therefore, compared with the conventional non-modular SPM machines, the modular SPM machines could improve the magnet flux linkage, back-electromotive force (EMF) and electromagnetic torque </w:t>
      </w:r>
      <w:r w:rsidRPr="00FC71BE">
        <w:fldChar w:fldCharType="begin"/>
      </w:r>
      <w:r w:rsidR="00BA33ED" w:rsidRPr="00FC71BE">
        <w:instrText xml:space="preserve"> ADDIN EN.CITE &lt;EndNote&gt;&lt;Cite&gt;&lt;Author&gt;Dajaku&lt;/Author&gt;&lt;Year&gt;2013&lt;/Year&gt;&lt;RecNum&gt;7&lt;/RecNum&gt;&lt;DisplayText&gt;[113]&lt;/DisplayText&gt;&lt;record&gt;&lt;rec-number&gt;7&lt;/rec-number&gt;&lt;foreign-keys&gt;&lt;key app="EN" db-id="rf2p5e05jx0x9jep00uvx0s1fvaww2dfa0r9" timestamp="1688999528"&gt;7&lt;/key&gt;&lt;/foreign-keys&gt;&lt;ref-type name="Journal Article"&gt;17&lt;/ref-type&gt;&lt;contributors&gt;&lt;authors&gt;&lt;author&gt;Dajaku, Gurakuq&lt;/author&gt;&lt;author&gt;Xie, Wei&lt;/author&gt;&lt;author&gt;Gerling, Dieter&lt;/author&gt;&lt;/authors&gt;&lt;/contributors&gt;&lt;titles&gt;&lt;title&gt;Reduction of low space harmonics for the fractional slot concentrated windings using a novel stator design&lt;/title&gt;&lt;secondary-title&gt;IEEE Transactions on Magnetics&lt;/secondary-title&gt;&lt;/titles&gt;&lt;periodical&gt;&lt;full-title&gt;IEEE Transactions on Magnetics&lt;/full-title&gt;&lt;/periodical&gt;&lt;pages&gt;1-12&lt;/pages&gt;&lt;volume&gt;50&lt;/volume&gt;&lt;number&gt;5&lt;/number&gt;&lt;dates&gt;&lt;year&gt;2013&lt;/year&gt;&lt;/dates&gt;&lt;isbn&gt;0018-9464&lt;/isbn&gt;&lt;urls&gt;&lt;/urls&gt;&lt;/record&gt;&lt;/Cite&gt;&lt;/EndNote&gt;</w:instrText>
      </w:r>
      <w:r w:rsidRPr="00FC71BE">
        <w:fldChar w:fldCharType="separate"/>
      </w:r>
      <w:r w:rsidR="00BA33ED" w:rsidRPr="00FC71BE">
        <w:t>[113]</w:t>
      </w:r>
      <w:r w:rsidRPr="00FC71BE">
        <w:fldChar w:fldCharType="end"/>
      </w:r>
      <w:r w:rsidRPr="00FC71BE">
        <w:t>.</w:t>
      </w:r>
    </w:p>
    <w:p w14:paraId="05A11CD5" w14:textId="12410631" w:rsidR="00C56E32" w:rsidRPr="00FC71BE" w:rsidRDefault="00C56E32" w:rsidP="00C56E32">
      <w:r w:rsidRPr="00FC71BE">
        <w:t xml:space="preserve">During the design of electrical machines, their optimization is generally regarded as the basic and essential process. However, electrical machines often have multiple geometrical parameters to be optimized and objectives to be achieved, which make the optimization problems very complex. To address this challenge, many methods have been introduced including hill-climbing direct search </w:t>
      </w:r>
      <w:r w:rsidRPr="00FC71BE">
        <w:fldChar w:fldCharType="begin"/>
      </w:r>
      <w:r w:rsidR="00BA33ED" w:rsidRPr="00FC71BE">
        <w:instrText xml:space="preserve"> ADDIN EN.CITE &lt;EndNote&gt;&lt;Cite&gt;&lt;Author&gt;Hooke&lt;/Author&gt;&lt;Year&gt;1961&lt;/Year&gt;&lt;RecNum&gt;8&lt;/RecNum&gt;&lt;DisplayText&gt;[114]&lt;/DisplayText&gt;&lt;record&gt;&lt;rec-number&gt;8&lt;/rec-number&gt;&lt;foreign-keys&gt;&lt;key app="EN" db-id="rf2p5e05jx0x9jep00uvx0s1fvaww2dfa0r9" timestamp="1688999529"&gt;8&lt;/key&gt;&lt;/foreign-keys&gt;&lt;ref-type name="Journal Article"&gt;17&lt;/ref-type&gt;&lt;contributors&gt;&lt;authors&gt;&lt;author&gt;Hooke, Robert&lt;/author&gt;&lt;author&gt;Jeeves, Terry A&lt;/author&gt;&lt;/authors&gt;&lt;/contributors&gt;&lt;titles&gt;&lt;title&gt;``Direct Search&amp;apos;&amp;apos;Solution of Numerical and Statistical Problems&lt;/title&gt;&lt;secondary-title&gt;Journal of the ACM (JACM)&lt;/secondary-title&gt;&lt;/titles&gt;&lt;periodical&gt;&lt;full-title&gt;Journal of the ACM (JACM)&lt;/full-title&gt;&lt;/periodical&gt;&lt;pages&gt;212-229&lt;/pages&gt;&lt;volume&gt;8&lt;/volume&gt;&lt;number&gt;2&lt;/number&gt;&lt;dates&gt;&lt;year&gt;1961&lt;/year&gt;&lt;/dates&gt;&lt;isbn&gt;0004-5411&lt;/isbn&gt;&lt;urls&gt;&lt;/urls&gt;&lt;/record&gt;&lt;/Cite&gt;&lt;/EndNote&gt;</w:instrText>
      </w:r>
      <w:r w:rsidRPr="00FC71BE">
        <w:fldChar w:fldCharType="separate"/>
      </w:r>
      <w:r w:rsidR="00BA33ED" w:rsidRPr="00FC71BE">
        <w:t>[114]</w:t>
      </w:r>
      <w:r w:rsidRPr="00FC71BE">
        <w:fldChar w:fldCharType="end"/>
      </w:r>
      <w:r w:rsidRPr="00FC71BE">
        <w:t xml:space="preserve"> and fuzzy logic optimization </w:t>
      </w:r>
      <w:r w:rsidRPr="00FC71BE">
        <w:fldChar w:fldCharType="begin"/>
      </w:r>
      <w:r w:rsidR="00BA33ED" w:rsidRPr="00FC71BE">
        <w:instrText xml:space="preserve"> ADDIN EN.CITE &lt;EndNote&gt;&lt;Cite&gt;&lt;Author&gt;Sousa&lt;/Author&gt;&lt;Year&gt;1995&lt;/Year&gt;&lt;RecNum&gt;9&lt;/RecNum&gt;&lt;DisplayText&gt;[115]&lt;/DisplayText&gt;&lt;record&gt;&lt;rec-number&gt;9&lt;/rec-number&gt;&lt;foreign-keys&gt;&lt;key app="EN" db-id="rf2p5e05jx0x9jep00uvx0s1fvaww2dfa0r9" timestamp="1688999531"&gt;9&lt;/key&gt;&lt;/foreign-keys&gt;&lt;ref-type name="Journal Article"&gt;17&lt;/ref-type&gt;&lt;contributors&gt;&lt;authors&gt;&lt;author&gt;Sousa, Gilberto C D&lt;/author&gt;&lt;author&gt;Bose, Bimal K&lt;/author&gt;&lt;author&gt;Cleland, John G&lt;/author&gt;&lt;/authors&gt;&lt;/contributors&gt;&lt;titles&gt;&lt;title&gt;Fuzzy logic based on-line efficiency optimization control of an indirect vector-controlled induction motor drive&lt;/title&gt;&lt;secondary-title&gt;IEEE Transactions on Industrial Electronics&lt;/secondary-title&gt;&lt;/titles&gt;&lt;periodical&gt;&lt;full-title&gt;IEEE Transactions on Industrial Electronics&lt;/full-title&gt;&lt;/periodical&gt;&lt;pages&gt;192-198&lt;/pages&gt;&lt;volume&gt;42&lt;/volume&gt;&lt;number&gt;2&lt;/number&gt;&lt;dates&gt;&lt;year&gt;1995&lt;/year&gt;&lt;/dates&gt;&lt;isbn&gt;0278-0046&lt;/isbn&gt;&lt;urls&gt;&lt;/urls&gt;&lt;/record&gt;&lt;/Cite&gt;&lt;/EndNote&gt;</w:instrText>
      </w:r>
      <w:r w:rsidRPr="00FC71BE">
        <w:fldChar w:fldCharType="separate"/>
      </w:r>
      <w:r w:rsidR="00BA33ED" w:rsidRPr="00FC71BE">
        <w:t>[115]</w:t>
      </w:r>
      <w:r w:rsidRPr="00FC71BE">
        <w:fldChar w:fldCharType="end"/>
      </w:r>
      <w:r w:rsidRPr="00FC71BE">
        <w:t xml:space="preserve">, and genetic algorithm (GA) </w:t>
      </w:r>
      <w:r w:rsidRPr="00FC71BE">
        <w:fldChar w:fldCharType="begin"/>
      </w:r>
      <w:r w:rsidR="00BA33ED" w:rsidRPr="00FC71BE">
        <w:instrText xml:space="preserve"> ADDIN EN.CITE &lt;EndNote&gt;&lt;Cite&gt;&lt;Author&gt;Duan&lt;/Author&gt;&lt;Year&gt;2009&lt;/Year&gt;&lt;RecNum&gt;10&lt;/RecNum&gt;&lt;DisplayText&gt;[116]&lt;/DisplayText&gt;&lt;record&gt;&lt;rec-number&gt;10&lt;/rec-number&gt;&lt;foreign-keys&gt;&lt;key app="EN" db-id="rf2p5e05jx0x9jep00uvx0s1fvaww2dfa0r9" timestamp="1688999533"&gt;10&lt;/key&gt;&lt;/foreign-keys&gt;&lt;ref-type name="Conference Proceedings"&gt;10&lt;/ref-type&gt;&lt;contributors&gt;&lt;authors&gt;&lt;author&gt;Duan, Yao&lt;/author&gt;&lt;author&gt;Harley, RG&lt;/author&gt;&lt;author&gt;Habetler, TG&lt;/author&gt;&lt;/authors&gt;&lt;/contributors&gt;&lt;titles&gt;&lt;title&gt;Comparison of particle swarm optimization and genetic algorithm in the design of permanent magnet motors&lt;/title&gt;&lt;secondary-title&gt;2009 IEEE 6th international power electronics and motion control conference&lt;/secondary-title&gt;&lt;/titles&gt;&lt;pages&gt;822-825&lt;/pages&gt;&lt;dates&gt;&lt;year&gt;2009&lt;/year&gt;&lt;/dates&gt;&lt;publisher&gt;IEEE&lt;/publisher&gt;&lt;isbn&gt;1424435560&lt;/isbn&gt;&lt;urls&gt;&lt;/urls&gt;&lt;/record&gt;&lt;/Cite&gt;&lt;/EndNote&gt;</w:instrText>
      </w:r>
      <w:r w:rsidRPr="00FC71BE">
        <w:fldChar w:fldCharType="separate"/>
      </w:r>
      <w:r w:rsidR="00BA33ED" w:rsidRPr="00FC71BE">
        <w:t>[116]</w:t>
      </w:r>
      <w:r w:rsidRPr="00FC71BE">
        <w:fldChar w:fldCharType="end"/>
      </w:r>
      <w:r w:rsidRPr="00FC71BE">
        <w:t xml:space="preserve">. Amongst all the above optimization methods, the latter is the most widely for the design of electrical machines as it is able to find the global optimization and avoid the local ones, even though it is more computation intensive </w:t>
      </w:r>
      <w:r w:rsidRPr="00FC71BE">
        <w:fldChar w:fldCharType="begin"/>
      </w:r>
      <w:r w:rsidR="00BA33ED" w:rsidRPr="00FC71BE">
        <w:instrText xml:space="preserve"> ADDIN EN.CITE &lt;EndNote&gt;&lt;Cite&gt;&lt;Author&gt;Bianchi&lt;/Author&gt;&lt;Year&gt;1998&lt;/Year&gt;&lt;RecNum&gt;11&lt;/RecNum&gt;&lt;DisplayText&gt;[117]&lt;/DisplayText&gt;&lt;record&gt;&lt;rec-number&gt;11&lt;/rec-number&gt;&lt;foreign-keys&gt;&lt;key app="EN" db-id="rf2p5e05jx0x9jep00uvx0s1fvaww2dfa0r9" timestamp="1688999534"&gt;11&lt;/key&gt;&lt;/foreign-keys&gt;&lt;ref-type name="Journal Article"&gt;17&lt;/ref-type&gt;&lt;contributors&gt;&lt;authors&gt;&lt;author&gt;Bianchi, N&lt;/author&gt;&lt;author&gt;Bolognani, S&lt;/author&gt;&lt;/authors&gt;&lt;/contributors&gt;&lt;titles&gt;&lt;title&gt;Design optimisation of electric motors by genetic algorithms&lt;/title&gt;&lt;secondary-title&gt;IEE Proceedings-Electric Power Applications&lt;/secondary-title&gt;&lt;/titles&gt;&lt;periodical&gt;&lt;full-title&gt;IEE Proceedings-Electric Power Applications&lt;/full-title&gt;&lt;/periodical&gt;&lt;pages&gt;475-483&lt;/pages&gt;&lt;volume&gt;145&lt;/volume&gt;&lt;number&gt;5&lt;/number&gt;&lt;dates&gt;&lt;year&gt;1998&lt;/year&gt;&lt;/dates&gt;&lt;isbn&gt;1359-7043&lt;/isbn&gt;&lt;urls&gt;&lt;/urls&gt;&lt;/record&gt;&lt;/Cite&gt;&lt;/EndNote&gt;</w:instrText>
      </w:r>
      <w:r w:rsidRPr="00FC71BE">
        <w:fldChar w:fldCharType="separate"/>
      </w:r>
      <w:r w:rsidR="00BA33ED" w:rsidRPr="00FC71BE">
        <w:t>[117]</w:t>
      </w:r>
      <w:r w:rsidRPr="00FC71BE">
        <w:fldChar w:fldCharType="end"/>
      </w:r>
      <w:r w:rsidRPr="00FC71BE">
        <w:t xml:space="preserve">. Furthermore, GA could be combined with deterministic gradient search techniques in order to improve the computation efficiency </w:t>
      </w:r>
      <w:r w:rsidRPr="00FC71BE">
        <w:fldChar w:fldCharType="begin"/>
      </w:r>
      <w:r w:rsidR="00BA33ED" w:rsidRPr="00FC71BE">
        <w:instrText xml:space="preserve"> ADDIN EN.CITE &lt;EndNote&gt;&lt;Cite&gt;&lt;Author&gt;Mohammed&lt;/Author&gt;&lt;Year&gt;1997&lt;/Year&gt;&lt;RecNum&gt;12&lt;/RecNum&gt;&lt;DisplayText&gt;[118]&lt;/DisplayText&gt;&lt;record&gt;&lt;rec-number&gt;12&lt;/rec-number&gt;&lt;foreign-keys&gt;&lt;key app="EN" db-id="rf2p5e05jx0x9jep00uvx0s1fvaww2dfa0r9" timestamp="1688999536"&gt;12&lt;/key&gt;&lt;/foreign-keys&gt;&lt;ref-type name="Journal Article"&gt;17&lt;/ref-type&gt;&lt;contributors&gt;&lt;authors&gt;&lt;author&gt;Mohammed, Osama A&lt;/author&gt;&lt;author&gt;Uler, GF&lt;/author&gt;&lt;/authors&gt;&lt;/contributors&gt;&lt;titles&gt;&lt;title&gt;A hybrid technique for the optimal design of electromagnetic devices using direct search and genetic algorithms&lt;/title&gt;&lt;secondary-title&gt;IEEE Transactions on Magnetics&lt;/secondary-title&gt;&lt;/titles&gt;&lt;periodical&gt;&lt;full-title&gt;IEEE Transactions on Magnetics&lt;/full-title&gt;&lt;/periodical&gt;&lt;pages&gt;1931-1934&lt;/pages&gt;&lt;volume&gt;33&lt;/volume&gt;&lt;number&gt;2&lt;/number&gt;&lt;dates&gt;&lt;year&gt;1997&lt;/year&gt;&lt;/dates&gt;&lt;isbn&gt;0018-9464&lt;/isbn&gt;&lt;urls&gt;&lt;/urls&gt;&lt;/record&gt;&lt;/Cite&gt;&lt;/EndNote&gt;</w:instrText>
      </w:r>
      <w:r w:rsidRPr="00FC71BE">
        <w:fldChar w:fldCharType="separate"/>
      </w:r>
      <w:r w:rsidR="00BA33ED" w:rsidRPr="00FC71BE">
        <w:t>[118]</w:t>
      </w:r>
      <w:r w:rsidRPr="00FC71BE">
        <w:fldChar w:fldCharType="end"/>
      </w:r>
      <w:r w:rsidRPr="00FC71BE">
        <w:t xml:space="preserve">. Nowadays, GAs is often combined with the finite element modelling (FEMs) as machine optimization methods </w:t>
      </w:r>
      <w:r w:rsidRPr="00FC71BE">
        <w:fldChar w:fldCharType="begin">
          <w:fldData xml:space="preserve">PEVuZE5vdGU+PENpdGU+PEF1dGhvcj5XYW5nPC9BdXRob3I+PFllYXI+MjAwOTwvWWVhcj48UmVj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</w:fldData>
        </w:fldChar>
      </w:r>
      <w:r w:rsidR="00BA33ED" w:rsidRPr="00FC71BE">
        <w:instrText xml:space="preserve"> ADDIN EN.CITE </w:instrText>
      </w:r>
      <w:r w:rsidR="00BA33ED" w:rsidRPr="00FC71BE">
        <w:fldChar w:fldCharType="begin">
          <w:fldData xml:space="preserve">PEVuZE5vdGU+PENpdGU+PEF1dGhvcj5XYW5nPC9BdXRob3I+PFllYXI+MjAwOTwvWWVhcj48UmVj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</w:fldData>
        </w:fldChar>
      </w:r>
      <w:r w:rsidR="00BA33ED" w:rsidRPr="00FC71BE">
        <w:instrText xml:space="preserve"> ADDIN EN.CITE.DATA </w:instrText>
      </w:r>
      <w:r w:rsidR="00BA33ED" w:rsidRPr="00FC71BE">
        <w:fldChar w:fldCharType="end"/>
      </w:r>
      <w:r w:rsidRPr="00FC71BE">
        <w:fldChar w:fldCharType="separate"/>
      </w:r>
      <w:r w:rsidR="00BA33ED" w:rsidRPr="00FC71BE">
        <w:t>[119-123]</w:t>
      </w:r>
      <w:r w:rsidRPr="00FC71BE">
        <w:fldChar w:fldCharType="end"/>
      </w:r>
      <w:r w:rsidRPr="00FC71BE">
        <w:t xml:space="preserve">. </w:t>
      </w:r>
    </w:p>
    <w:p w14:paraId="10DBDAAB" w14:textId="15D30752" w:rsidR="00C56E32" w:rsidRPr="00FC71BE" w:rsidRDefault="00C56E32" w:rsidP="00C56E32">
      <w:r w:rsidRPr="00FC71BE">
        <w:t xml:space="preserve">However, in the existing literature about modular machines, their optimization did not consider the flux gap width as variable. Instead, the flux gaps are often introduced after the non-modular PM machines are optimized. This cannot fully reflect the significant impact of flux gaps on machine electromagnetic performance and on other machine parameters. To address this shortcoming in the literature, the flux gap width together with other parameters such as the stator yoke height, stator tooth width, split ratio (rotor outer diameter over stator </w:t>
      </w:r>
      <w:r w:rsidRPr="00FC71BE">
        <w:lastRenderedPageBreak/>
        <w:t xml:space="preserve">outer diameter), and rotor yoke thickness (as shown in </w:t>
      </w:r>
      <w:r w:rsidRPr="00FC71BE">
        <w:fldChar w:fldCharType="begin"/>
      </w:r>
      <w:r w:rsidRPr="00FC71BE">
        <w:instrText xml:space="preserve"> REF _Ref139891150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w:t>
      </w:r>
      <w:r w:rsidRPr="00FC71BE">
        <w:fldChar w:fldCharType="end"/>
      </w:r>
      <w:r w:rsidRPr="00FC71BE">
        <w:t xml:space="preserve">) will be used as variables in the global optimization process in this chapter. The average torque is the primary objective and the torque ripple, copper loss, and total machine mass are considered as secondary objectives. At last, to show the benefits of modular machines, the optimized modular machine will be compared with its optimized non-modular counterpart. This comparison is carried out for machines with different slot/pole number combinations to achieve more general conclusions. In addition, FE results have been compared against test results from an existing laboratory prototype in </w:t>
      </w:r>
      <w:r w:rsidRPr="00FC71BE">
        <w:fldChar w:fldCharType="begin"/>
      </w:r>
      <w:r w:rsidR="0000133B" w:rsidRPr="00FC71BE">
        <w:instrText xml:space="preserve"> ADDIN EN.CITE &lt;EndNote&gt;&lt;Cite&gt;&lt;Author&gt;Li&lt;/Author&gt;&lt;Year&gt;2014&lt;/Year&gt;&lt;RecNum&gt;4&lt;/RecNum&gt;&lt;DisplayText&gt;[38]&lt;/DisplayText&gt;&lt;record&gt;&lt;rec-number&gt;4&lt;/rec-number&gt;&lt;foreign-keys&gt;&lt;key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fldChar w:fldCharType="separate"/>
      </w:r>
      <w:r w:rsidR="0000133B" w:rsidRPr="00FC71BE">
        <w:t>[38]</w:t>
      </w:r>
      <w:r w:rsidRPr="00FC71BE">
        <w:fldChar w:fldCharType="end"/>
      </w:r>
      <w:r w:rsidRPr="00FC71BE">
        <w:t>, and good match has been observed.</w:t>
      </w:r>
    </w:p>
    <w:p w14:paraId="5157E194" w14:textId="77777777" w:rsidR="00A65FE9" w:rsidRPr="00FC71BE" w:rsidRDefault="00A65FE9" w:rsidP="00A65FE9">
      <w:pPr>
        <w:pStyle w:val="Tabletitle"/>
        <w:rPr>
          <w:color w:val="auto"/>
        </w:rPr>
      </w:pPr>
      <w:bookmarkStart w:id="59" w:name="_Ref139730735"/>
      <w:bookmarkStart w:id="60" w:name="_Ref139730731"/>
      <w:r w:rsidRPr="00FC71BE">
        <w:rPr>
          <w:color w:val="auto"/>
        </w:rPr>
        <w:t xml:space="preserve">Table </w:t>
      </w:r>
      <w:r w:rsidRPr="00FC71BE">
        <w:rPr>
          <w:color w:val="auto"/>
        </w:rPr>
        <w:fldChar w:fldCharType="begin"/>
      </w:r>
      <w:r w:rsidRPr="00FC71BE">
        <w:rPr>
          <w:color w:val="auto"/>
        </w:rPr>
        <w:instrText xml:space="preserve"> STYLEREF 1 \s </w:instrText>
      </w:r>
      <w:r w:rsidRPr="00FC71BE">
        <w:rPr>
          <w:color w:val="auto"/>
        </w:rPr>
        <w:fldChar w:fldCharType="separate"/>
      </w:r>
      <w:r w:rsidRPr="00FC71BE">
        <w:rPr>
          <w:noProof/>
          <w:color w:val="auto"/>
        </w:rPr>
        <w:t>2</w:t>
      </w:r>
      <w:r w:rsidRPr="00FC71BE">
        <w:rPr>
          <w:color w:val="auto"/>
        </w:rPr>
        <w:fldChar w:fldCharType="end"/>
      </w:r>
      <w:r w:rsidRPr="00FC71BE">
        <w:rPr>
          <w:color w:val="auto"/>
        </w:rPr>
        <w:t>.</w:t>
      </w:r>
      <w:r w:rsidRPr="00FC71BE">
        <w:rPr>
          <w:color w:val="auto"/>
        </w:rPr>
        <w:fldChar w:fldCharType="begin"/>
      </w:r>
      <w:r w:rsidRPr="00FC71BE">
        <w:rPr>
          <w:color w:val="auto"/>
        </w:rPr>
        <w:instrText xml:space="preserve"> SEQ Table \* ARABIC \s 1 </w:instrText>
      </w:r>
      <w:r w:rsidRPr="00FC71BE">
        <w:rPr>
          <w:color w:val="auto"/>
        </w:rPr>
        <w:fldChar w:fldCharType="separate"/>
      </w:r>
      <w:r w:rsidRPr="00FC71BE">
        <w:rPr>
          <w:noProof/>
          <w:color w:val="auto"/>
        </w:rPr>
        <w:t>1</w:t>
      </w:r>
      <w:r w:rsidRPr="00FC71BE">
        <w:rPr>
          <w:color w:val="auto"/>
        </w:rPr>
        <w:fldChar w:fldCharType="end"/>
      </w:r>
      <w:bookmarkEnd w:id="59"/>
      <w:r w:rsidRPr="00FC71BE">
        <w:rPr>
          <w:color w:val="auto"/>
        </w:rPr>
        <w:t xml:space="preserve"> Parameters of Modular SPM Machine</w:t>
      </w:r>
      <w:bookmarkEnd w:id="60"/>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1"/>
        <w:gridCol w:w="1065"/>
        <w:gridCol w:w="3686"/>
        <w:gridCol w:w="984"/>
      </w:tblGrid>
      <w:tr w:rsidR="00FC71BE" w:rsidRPr="00FC71BE" w14:paraId="7E5AA163" w14:textId="77777777" w:rsidTr="009D602E">
        <w:tc>
          <w:tcPr>
            <w:tcW w:w="1823" w:type="pct"/>
            <w:tcBorders>
              <w:top w:val="single" w:sz="4" w:space="0" w:color="auto"/>
            </w:tcBorders>
            <w:vAlign w:val="center"/>
          </w:tcPr>
          <w:p w14:paraId="3375DED5" w14:textId="77777777" w:rsidR="00A65FE9" w:rsidRPr="00FC71BE" w:rsidRDefault="00A65FE9" w:rsidP="009D602E">
            <w:pPr>
              <w:pStyle w:val="Table"/>
              <w:rPr>
                <w:color w:val="auto"/>
              </w:rPr>
            </w:pPr>
            <w:r w:rsidRPr="00FC71BE">
              <w:rPr>
                <w:color w:val="auto"/>
              </w:rPr>
              <w:t>Slot number</w:t>
            </w:r>
          </w:p>
        </w:tc>
        <w:tc>
          <w:tcPr>
            <w:tcW w:w="590" w:type="pct"/>
            <w:tcBorders>
              <w:top w:val="single" w:sz="4" w:space="0" w:color="auto"/>
            </w:tcBorders>
            <w:vAlign w:val="center"/>
          </w:tcPr>
          <w:p w14:paraId="4BF252B7" w14:textId="77777777" w:rsidR="00A65FE9" w:rsidRPr="00FC71BE" w:rsidRDefault="00A65FE9" w:rsidP="009D602E">
            <w:pPr>
              <w:pStyle w:val="Table"/>
              <w:rPr>
                <w:color w:val="auto"/>
              </w:rPr>
            </w:pPr>
            <w:r w:rsidRPr="00FC71BE">
              <w:rPr>
                <w:color w:val="auto"/>
              </w:rPr>
              <w:t>24</w:t>
            </w:r>
          </w:p>
        </w:tc>
        <w:tc>
          <w:tcPr>
            <w:tcW w:w="2042" w:type="pct"/>
            <w:tcBorders>
              <w:top w:val="single" w:sz="4" w:space="0" w:color="auto"/>
            </w:tcBorders>
            <w:vAlign w:val="center"/>
          </w:tcPr>
          <w:p w14:paraId="2A5C1F4F" w14:textId="77777777" w:rsidR="00A65FE9" w:rsidRPr="00FC71BE" w:rsidRDefault="00A65FE9" w:rsidP="009D602E">
            <w:pPr>
              <w:pStyle w:val="Table"/>
              <w:rPr>
                <w:color w:val="auto"/>
              </w:rPr>
            </w:pPr>
            <w:r w:rsidRPr="00FC71BE">
              <w:rPr>
                <w:color w:val="auto"/>
              </w:rPr>
              <w:t>Rotor outer radius (mm)</w:t>
            </w:r>
          </w:p>
        </w:tc>
        <w:tc>
          <w:tcPr>
            <w:tcW w:w="545" w:type="pct"/>
            <w:tcBorders>
              <w:top w:val="single" w:sz="4" w:space="0" w:color="auto"/>
            </w:tcBorders>
            <w:vAlign w:val="center"/>
          </w:tcPr>
          <w:p w14:paraId="2B29D199" w14:textId="77777777" w:rsidR="00A65FE9" w:rsidRPr="00FC71BE" w:rsidRDefault="00A65FE9" w:rsidP="009D602E">
            <w:pPr>
              <w:pStyle w:val="Table"/>
              <w:rPr>
                <w:color w:val="auto"/>
              </w:rPr>
            </w:pPr>
            <w:r w:rsidRPr="00FC71BE">
              <w:rPr>
                <w:color w:val="auto"/>
              </w:rPr>
              <w:t>123</w:t>
            </w:r>
          </w:p>
        </w:tc>
      </w:tr>
      <w:tr w:rsidR="00FC71BE" w:rsidRPr="00FC71BE" w14:paraId="1A0C54A5" w14:textId="77777777" w:rsidTr="009D602E">
        <w:tc>
          <w:tcPr>
            <w:tcW w:w="1823" w:type="pct"/>
            <w:vAlign w:val="center"/>
          </w:tcPr>
          <w:p w14:paraId="75EE45C1" w14:textId="77777777" w:rsidR="00A65FE9" w:rsidRPr="00FC71BE" w:rsidRDefault="00A65FE9" w:rsidP="009D602E">
            <w:pPr>
              <w:pStyle w:val="Table"/>
              <w:rPr>
                <w:color w:val="auto"/>
              </w:rPr>
            </w:pPr>
            <w:r w:rsidRPr="00FC71BE">
              <w:rPr>
                <w:color w:val="auto"/>
              </w:rPr>
              <w:t>Pole number</w:t>
            </w:r>
          </w:p>
        </w:tc>
        <w:tc>
          <w:tcPr>
            <w:tcW w:w="590" w:type="pct"/>
            <w:vAlign w:val="center"/>
          </w:tcPr>
          <w:p w14:paraId="50F6E171" w14:textId="77777777" w:rsidR="00A65FE9" w:rsidRPr="00FC71BE" w:rsidRDefault="00A65FE9" w:rsidP="009D602E">
            <w:pPr>
              <w:pStyle w:val="Table"/>
              <w:rPr>
                <w:color w:val="auto"/>
              </w:rPr>
            </w:pPr>
            <w:r w:rsidRPr="00FC71BE">
              <w:rPr>
                <w:color w:val="auto"/>
              </w:rPr>
              <w:t>28/20</w:t>
            </w:r>
          </w:p>
        </w:tc>
        <w:tc>
          <w:tcPr>
            <w:tcW w:w="2042" w:type="pct"/>
            <w:vAlign w:val="center"/>
          </w:tcPr>
          <w:p w14:paraId="2A338E49" w14:textId="77777777" w:rsidR="00A65FE9" w:rsidRPr="00FC71BE" w:rsidRDefault="00A65FE9" w:rsidP="009D602E">
            <w:pPr>
              <w:pStyle w:val="Table"/>
              <w:rPr>
                <w:color w:val="auto"/>
              </w:rPr>
            </w:pPr>
            <w:r w:rsidRPr="00FC71BE">
              <w:rPr>
                <w:color w:val="auto"/>
              </w:rPr>
              <w:t>Magnet thickness (mm)</w:t>
            </w:r>
          </w:p>
        </w:tc>
        <w:tc>
          <w:tcPr>
            <w:tcW w:w="545" w:type="pct"/>
            <w:vAlign w:val="center"/>
          </w:tcPr>
          <w:p w14:paraId="16E63F05" w14:textId="77777777" w:rsidR="00A65FE9" w:rsidRPr="00FC71BE" w:rsidRDefault="00A65FE9" w:rsidP="009D602E">
            <w:pPr>
              <w:pStyle w:val="Table"/>
              <w:rPr>
                <w:color w:val="auto"/>
              </w:rPr>
            </w:pPr>
            <w:r w:rsidRPr="00FC71BE">
              <w:rPr>
                <w:color w:val="auto"/>
              </w:rPr>
              <w:t>7</w:t>
            </w:r>
          </w:p>
        </w:tc>
      </w:tr>
      <w:tr w:rsidR="00FC71BE" w:rsidRPr="00FC71BE" w14:paraId="03572C80" w14:textId="77777777" w:rsidTr="009D602E">
        <w:tc>
          <w:tcPr>
            <w:tcW w:w="1823" w:type="pct"/>
            <w:vAlign w:val="center"/>
          </w:tcPr>
          <w:p w14:paraId="66180FC3" w14:textId="77777777" w:rsidR="00A65FE9" w:rsidRPr="00FC71BE" w:rsidRDefault="00A65FE9" w:rsidP="009D602E">
            <w:pPr>
              <w:pStyle w:val="Table"/>
              <w:rPr>
                <w:color w:val="auto"/>
              </w:rPr>
            </w:pPr>
            <w:r w:rsidRPr="00FC71BE">
              <w:rPr>
                <w:color w:val="auto"/>
              </w:rPr>
              <w:t>Stator outer radius (mm)</w:t>
            </w:r>
          </w:p>
        </w:tc>
        <w:tc>
          <w:tcPr>
            <w:tcW w:w="590" w:type="pct"/>
            <w:vAlign w:val="center"/>
          </w:tcPr>
          <w:p w14:paraId="4421932B" w14:textId="77777777" w:rsidR="00A65FE9" w:rsidRPr="00FC71BE" w:rsidRDefault="00A65FE9" w:rsidP="009D602E">
            <w:pPr>
              <w:pStyle w:val="Table"/>
              <w:rPr>
                <w:color w:val="auto"/>
              </w:rPr>
            </w:pPr>
            <w:r w:rsidRPr="00FC71BE">
              <w:rPr>
                <w:color w:val="auto"/>
              </w:rPr>
              <w:t>154</w:t>
            </w:r>
          </w:p>
        </w:tc>
        <w:tc>
          <w:tcPr>
            <w:tcW w:w="2042" w:type="pct"/>
            <w:vAlign w:val="center"/>
          </w:tcPr>
          <w:p w14:paraId="57179E9A" w14:textId="77777777" w:rsidR="00A65FE9" w:rsidRPr="00FC71BE" w:rsidRDefault="00A65FE9" w:rsidP="009D602E">
            <w:pPr>
              <w:pStyle w:val="Table"/>
              <w:rPr>
                <w:color w:val="auto"/>
              </w:rPr>
            </w:pPr>
            <w:r w:rsidRPr="00FC71BE">
              <w:rPr>
                <w:color w:val="auto"/>
              </w:rPr>
              <w:t>Rotor yoke thickness (mm)</w:t>
            </w:r>
          </w:p>
        </w:tc>
        <w:tc>
          <w:tcPr>
            <w:tcW w:w="545" w:type="pct"/>
            <w:vAlign w:val="center"/>
          </w:tcPr>
          <w:p w14:paraId="402C6CD0" w14:textId="77777777" w:rsidR="00A65FE9" w:rsidRPr="00FC71BE" w:rsidRDefault="00A65FE9" w:rsidP="009D602E">
            <w:pPr>
              <w:pStyle w:val="Table"/>
              <w:rPr>
                <w:color w:val="auto"/>
              </w:rPr>
            </w:pPr>
            <w:r w:rsidRPr="00FC71BE">
              <w:rPr>
                <w:color w:val="auto"/>
              </w:rPr>
              <w:t>10</w:t>
            </w:r>
          </w:p>
        </w:tc>
      </w:tr>
      <w:tr w:rsidR="00FC71BE" w:rsidRPr="00FC71BE" w14:paraId="3CBA45ED" w14:textId="77777777" w:rsidTr="009D602E">
        <w:tc>
          <w:tcPr>
            <w:tcW w:w="1823" w:type="pct"/>
            <w:vAlign w:val="center"/>
          </w:tcPr>
          <w:p w14:paraId="4252E22C" w14:textId="77777777" w:rsidR="00A65FE9" w:rsidRPr="00FC71BE" w:rsidRDefault="00A65FE9" w:rsidP="009D602E">
            <w:pPr>
              <w:pStyle w:val="Table"/>
              <w:rPr>
                <w:color w:val="auto"/>
              </w:rPr>
            </w:pPr>
            <w:r w:rsidRPr="00FC71BE">
              <w:rPr>
                <w:color w:val="auto"/>
              </w:rPr>
              <w:t>Stator inner radius (mm)</w:t>
            </w:r>
          </w:p>
        </w:tc>
        <w:tc>
          <w:tcPr>
            <w:tcW w:w="590" w:type="pct"/>
            <w:vAlign w:val="center"/>
          </w:tcPr>
          <w:p w14:paraId="00BB8A41" w14:textId="77777777" w:rsidR="00A65FE9" w:rsidRPr="00FC71BE" w:rsidRDefault="00A65FE9" w:rsidP="009D602E">
            <w:pPr>
              <w:pStyle w:val="Table"/>
              <w:rPr>
                <w:color w:val="auto"/>
              </w:rPr>
            </w:pPr>
            <w:r w:rsidRPr="00FC71BE">
              <w:rPr>
                <w:color w:val="auto"/>
              </w:rPr>
              <w:t>125</w:t>
            </w:r>
          </w:p>
        </w:tc>
        <w:tc>
          <w:tcPr>
            <w:tcW w:w="2042" w:type="pct"/>
            <w:vAlign w:val="center"/>
          </w:tcPr>
          <w:p w14:paraId="35B3920A" w14:textId="77777777" w:rsidR="00A65FE9" w:rsidRPr="00FC71BE" w:rsidRDefault="00A65FE9" w:rsidP="009D602E">
            <w:pPr>
              <w:pStyle w:val="Table"/>
              <w:rPr>
                <w:color w:val="auto"/>
              </w:rPr>
            </w:pPr>
            <w:r w:rsidRPr="00FC71BE">
              <w:rPr>
                <w:color w:val="auto"/>
              </w:rPr>
              <w:t>Stack length (mm)</w:t>
            </w:r>
          </w:p>
        </w:tc>
        <w:tc>
          <w:tcPr>
            <w:tcW w:w="545" w:type="pct"/>
            <w:vAlign w:val="center"/>
          </w:tcPr>
          <w:p w14:paraId="44F66CD7" w14:textId="77777777" w:rsidR="00A65FE9" w:rsidRPr="00FC71BE" w:rsidRDefault="00A65FE9" w:rsidP="009D602E">
            <w:pPr>
              <w:pStyle w:val="Table"/>
              <w:rPr>
                <w:color w:val="auto"/>
              </w:rPr>
            </w:pPr>
            <w:r w:rsidRPr="00FC71BE">
              <w:rPr>
                <w:color w:val="auto"/>
              </w:rPr>
              <w:t>210</w:t>
            </w:r>
          </w:p>
        </w:tc>
      </w:tr>
      <w:tr w:rsidR="00FC71BE" w:rsidRPr="00FC71BE" w14:paraId="10D1DF0F" w14:textId="77777777" w:rsidTr="009D602E">
        <w:tc>
          <w:tcPr>
            <w:tcW w:w="1823" w:type="pct"/>
            <w:vAlign w:val="center"/>
          </w:tcPr>
          <w:p w14:paraId="51197C6C" w14:textId="77777777" w:rsidR="00A65FE9" w:rsidRPr="00FC71BE" w:rsidRDefault="00A65FE9" w:rsidP="009D602E">
            <w:pPr>
              <w:pStyle w:val="Table"/>
              <w:rPr>
                <w:color w:val="auto"/>
              </w:rPr>
            </w:pPr>
            <w:r w:rsidRPr="00FC71BE">
              <w:rPr>
                <w:color w:val="auto"/>
              </w:rPr>
              <w:t>Stator yoke height (mm)</w:t>
            </w:r>
          </w:p>
        </w:tc>
        <w:tc>
          <w:tcPr>
            <w:tcW w:w="590" w:type="pct"/>
            <w:vAlign w:val="center"/>
          </w:tcPr>
          <w:p w14:paraId="59C72794" w14:textId="77777777" w:rsidR="00A65FE9" w:rsidRPr="00FC71BE" w:rsidRDefault="00A65FE9" w:rsidP="009D602E">
            <w:pPr>
              <w:pStyle w:val="Table"/>
              <w:rPr>
                <w:color w:val="auto"/>
              </w:rPr>
            </w:pPr>
            <w:r w:rsidRPr="00FC71BE">
              <w:rPr>
                <w:color w:val="auto"/>
              </w:rPr>
              <w:t>9</w:t>
            </w:r>
          </w:p>
        </w:tc>
        <w:tc>
          <w:tcPr>
            <w:tcW w:w="2042" w:type="pct"/>
            <w:vAlign w:val="center"/>
          </w:tcPr>
          <w:p w14:paraId="48464BA1" w14:textId="77777777" w:rsidR="00A65FE9" w:rsidRPr="00FC71BE" w:rsidRDefault="00A65FE9" w:rsidP="009D602E">
            <w:pPr>
              <w:pStyle w:val="Table"/>
              <w:rPr>
                <w:color w:val="auto"/>
              </w:rPr>
            </w:pPr>
            <w:r w:rsidRPr="00FC71BE">
              <w:rPr>
                <w:color w:val="auto"/>
              </w:rPr>
              <w:t>Rated phase current (</w:t>
            </w:r>
            <m:oMath>
              <m:sSub>
                <m:sSubPr>
                  <m:ctrlPr>
                    <w:rPr>
                      <w:rFonts w:ascii="Cambria Math" w:hAnsi="Cambria Math"/>
                      <w:color w:val="auto"/>
                    </w:rPr>
                  </m:ctrlPr>
                </m:sSubPr>
                <m:e>
                  <m:r>
                    <w:rPr>
                      <w:rFonts w:ascii="Cambria Math" w:hAnsi="Cambria Math"/>
                      <w:color w:val="auto"/>
                    </w:rPr>
                    <m:t>A</m:t>
                  </m:r>
                </m:e>
                <m:sub>
                  <m:r>
                    <w:rPr>
                      <w:rFonts w:ascii="Cambria Math" w:hAnsi="Cambria Math"/>
                      <w:color w:val="auto"/>
                    </w:rPr>
                    <m:t>peak</m:t>
                  </m:r>
                </m:sub>
              </m:sSub>
            </m:oMath>
            <w:r w:rsidRPr="00FC71BE">
              <w:rPr>
                <w:color w:val="auto"/>
              </w:rPr>
              <w:t>)</w:t>
            </w:r>
          </w:p>
        </w:tc>
        <w:tc>
          <w:tcPr>
            <w:tcW w:w="545" w:type="pct"/>
            <w:vAlign w:val="center"/>
          </w:tcPr>
          <w:p w14:paraId="4BD04AC9" w14:textId="77777777" w:rsidR="00A65FE9" w:rsidRPr="00FC71BE" w:rsidRDefault="00A65FE9" w:rsidP="009D602E">
            <w:pPr>
              <w:pStyle w:val="Table"/>
              <w:rPr>
                <w:color w:val="auto"/>
              </w:rPr>
            </w:pPr>
            <w:r w:rsidRPr="00FC71BE">
              <w:rPr>
                <w:color w:val="auto"/>
              </w:rPr>
              <w:t>100</w:t>
            </w:r>
          </w:p>
        </w:tc>
      </w:tr>
      <w:tr w:rsidR="00FC71BE" w:rsidRPr="00FC71BE" w14:paraId="0043C571" w14:textId="77777777" w:rsidTr="009D602E">
        <w:tc>
          <w:tcPr>
            <w:tcW w:w="1823" w:type="pct"/>
            <w:vAlign w:val="center"/>
          </w:tcPr>
          <w:p w14:paraId="5E66F45A" w14:textId="77777777" w:rsidR="00A65FE9" w:rsidRPr="00FC71BE" w:rsidRDefault="00A65FE9" w:rsidP="009D602E">
            <w:pPr>
              <w:pStyle w:val="Table"/>
              <w:rPr>
                <w:color w:val="auto"/>
              </w:rPr>
            </w:pPr>
            <w:r w:rsidRPr="00FC71BE">
              <w:rPr>
                <w:color w:val="auto"/>
              </w:rPr>
              <w:t>Tooth width (mm)</w:t>
            </w:r>
          </w:p>
        </w:tc>
        <w:tc>
          <w:tcPr>
            <w:tcW w:w="590" w:type="pct"/>
            <w:vAlign w:val="center"/>
          </w:tcPr>
          <w:p w14:paraId="2EB8F97D" w14:textId="77777777" w:rsidR="00A65FE9" w:rsidRPr="00FC71BE" w:rsidRDefault="00A65FE9" w:rsidP="009D602E">
            <w:pPr>
              <w:pStyle w:val="Table"/>
              <w:rPr>
                <w:color w:val="auto"/>
              </w:rPr>
            </w:pPr>
            <w:r w:rsidRPr="00FC71BE">
              <w:rPr>
                <w:color w:val="auto"/>
              </w:rPr>
              <w:t>10</w:t>
            </w:r>
          </w:p>
        </w:tc>
        <w:tc>
          <w:tcPr>
            <w:tcW w:w="2042" w:type="pct"/>
            <w:vAlign w:val="center"/>
          </w:tcPr>
          <w:p w14:paraId="0947ED41" w14:textId="77777777" w:rsidR="00A65FE9" w:rsidRPr="00FC71BE" w:rsidRDefault="00A65FE9" w:rsidP="009D602E">
            <w:pPr>
              <w:pStyle w:val="Table"/>
              <w:rPr>
                <w:color w:val="auto"/>
              </w:rPr>
            </w:pPr>
            <w:r w:rsidRPr="00FC71BE">
              <w:rPr>
                <w:color w:val="auto"/>
              </w:rPr>
              <w:t xml:space="preserve">Number of turns per coil </w:t>
            </w:r>
          </w:p>
        </w:tc>
        <w:tc>
          <w:tcPr>
            <w:tcW w:w="545" w:type="pct"/>
            <w:vAlign w:val="center"/>
          </w:tcPr>
          <w:p w14:paraId="27659CF9" w14:textId="77777777" w:rsidR="00A65FE9" w:rsidRPr="00FC71BE" w:rsidRDefault="00A65FE9" w:rsidP="009D602E">
            <w:pPr>
              <w:pStyle w:val="Table"/>
              <w:rPr>
                <w:color w:val="auto"/>
              </w:rPr>
            </w:pPr>
            <w:r w:rsidRPr="00FC71BE">
              <w:rPr>
                <w:color w:val="auto"/>
              </w:rPr>
              <w:t>10</w:t>
            </w:r>
          </w:p>
        </w:tc>
      </w:tr>
      <w:tr w:rsidR="00FC71BE" w:rsidRPr="00FC71BE" w14:paraId="741FC66B" w14:textId="77777777" w:rsidTr="009D602E">
        <w:tc>
          <w:tcPr>
            <w:tcW w:w="1823" w:type="pct"/>
            <w:vAlign w:val="center"/>
          </w:tcPr>
          <w:p w14:paraId="42FA3061" w14:textId="77777777" w:rsidR="00A65FE9" w:rsidRPr="00FC71BE" w:rsidRDefault="00A65FE9" w:rsidP="009D602E">
            <w:pPr>
              <w:pStyle w:val="Table"/>
              <w:rPr>
                <w:color w:val="auto"/>
              </w:rPr>
            </w:pPr>
            <w:r w:rsidRPr="00FC71BE">
              <w:rPr>
                <w:color w:val="auto"/>
              </w:rPr>
              <w:t>Flux gap width (mm)</w:t>
            </w:r>
          </w:p>
        </w:tc>
        <w:tc>
          <w:tcPr>
            <w:tcW w:w="590" w:type="pct"/>
            <w:vAlign w:val="center"/>
          </w:tcPr>
          <w:p w14:paraId="131ED927" w14:textId="77777777" w:rsidR="00A65FE9" w:rsidRPr="00FC71BE" w:rsidRDefault="00A65FE9" w:rsidP="009D602E">
            <w:pPr>
              <w:pStyle w:val="Table"/>
              <w:rPr>
                <w:color w:val="auto"/>
              </w:rPr>
            </w:pPr>
            <w:r w:rsidRPr="00FC71BE">
              <w:rPr>
                <w:color w:val="auto"/>
              </w:rPr>
              <w:t>6.2</w:t>
            </w:r>
          </w:p>
        </w:tc>
        <w:tc>
          <w:tcPr>
            <w:tcW w:w="2042" w:type="pct"/>
            <w:vAlign w:val="center"/>
          </w:tcPr>
          <w:p w14:paraId="217D5BDA" w14:textId="77777777" w:rsidR="00A65FE9" w:rsidRPr="00FC71BE" w:rsidRDefault="00A65FE9" w:rsidP="009D602E">
            <w:pPr>
              <w:pStyle w:val="Table"/>
              <w:rPr>
                <w:color w:val="auto"/>
              </w:rPr>
            </w:pPr>
            <w:r w:rsidRPr="00FC71BE">
              <w:rPr>
                <w:color w:val="auto"/>
              </w:rPr>
              <w:t>Rate speed (rpm)</w:t>
            </w:r>
          </w:p>
        </w:tc>
        <w:tc>
          <w:tcPr>
            <w:tcW w:w="545" w:type="pct"/>
            <w:vAlign w:val="center"/>
          </w:tcPr>
          <w:p w14:paraId="613973E3" w14:textId="77777777" w:rsidR="00A65FE9" w:rsidRPr="00FC71BE" w:rsidRDefault="00A65FE9" w:rsidP="009D602E">
            <w:pPr>
              <w:pStyle w:val="Table"/>
              <w:rPr>
                <w:color w:val="auto"/>
              </w:rPr>
            </w:pPr>
            <w:r w:rsidRPr="00FC71BE">
              <w:rPr>
                <w:color w:val="auto"/>
              </w:rPr>
              <w:t>1500</w:t>
            </w:r>
          </w:p>
        </w:tc>
      </w:tr>
      <w:tr w:rsidR="00A65FE9" w:rsidRPr="00FC71BE" w14:paraId="49134329" w14:textId="77777777" w:rsidTr="009D602E">
        <w:tc>
          <w:tcPr>
            <w:tcW w:w="1823" w:type="pct"/>
            <w:tcBorders>
              <w:bottom w:val="double" w:sz="4" w:space="0" w:color="auto"/>
            </w:tcBorders>
            <w:vAlign w:val="center"/>
          </w:tcPr>
          <w:p w14:paraId="020BF9DA" w14:textId="77777777" w:rsidR="00A65FE9" w:rsidRPr="00FC71BE" w:rsidRDefault="00A65FE9" w:rsidP="009D602E">
            <w:pPr>
              <w:pStyle w:val="Table"/>
              <w:rPr>
                <w:color w:val="auto"/>
              </w:rPr>
            </w:pPr>
            <w:r w:rsidRPr="00FC71BE">
              <w:rPr>
                <w:color w:val="auto"/>
              </w:rPr>
              <w:t>Airgap length (mm)</w:t>
            </w:r>
          </w:p>
        </w:tc>
        <w:tc>
          <w:tcPr>
            <w:tcW w:w="590" w:type="pct"/>
            <w:tcBorders>
              <w:bottom w:val="double" w:sz="4" w:space="0" w:color="auto"/>
            </w:tcBorders>
            <w:vAlign w:val="center"/>
          </w:tcPr>
          <w:p w14:paraId="207CC0CB" w14:textId="77777777" w:rsidR="00A65FE9" w:rsidRPr="00FC71BE" w:rsidRDefault="00A65FE9" w:rsidP="009D602E">
            <w:pPr>
              <w:pStyle w:val="Table"/>
              <w:rPr>
                <w:color w:val="auto"/>
              </w:rPr>
            </w:pPr>
            <w:r w:rsidRPr="00FC71BE">
              <w:rPr>
                <w:color w:val="auto"/>
              </w:rPr>
              <w:t>2</w:t>
            </w:r>
          </w:p>
        </w:tc>
        <w:tc>
          <w:tcPr>
            <w:tcW w:w="2042" w:type="pct"/>
            <w:tcBorders>
              <w:bottom w:val="double" w:sz="4" w:space="0" w:color="auto"/>
            </w:tcBorders>
            <w:vAlign w:val="center"/>
          </w:tcPr>
          <w:p w14:paraId="6CFCDFBF" w14:textId="77777777" w:rsidR="00A65FE9" w:rsidRPr="00FC71BE" w:rsidRDefault="00A65FE9" w:rsidP="009D602E">
            <w:pPr>
              <w:pStyle w:val="Table"/>
              <w:rPr>
                <w:color w:val="auto"/>
              </w:rPr>
            </w:pPr>
            <w:r w:rsidRPr="00FC71BE">
              <w:rPr>
                <w:color w:val="auto"/>
              </w:rPr>
              <w:t>Power (kW)</w:t>
            </w:r>
          </w:p>
        </w:tc>
        <w:tc>
          <w:tcPr>
            <w:tcW w:w="545" w:type="pct"/>
            <w:tcBorders>
              <w:bottom w:val="double" w:sz="4" w:space="0" w:color="auto"/>
            </w:tcBorders>
            <w:vAlign w:val="center"/>
          </w:tcPr>
          <w:p w14:paraId="3C20957A" w14:textId="77777777" w:rsidR="00A65FE9" w:rsidRPr="00FC71BE" w:rsidRDefault="00A65FE9" w:rsidP="009D602E">
            <w:pPr>
              <w:pStyle w:val="Table"/>
              <w:rPr>
                <w:color w:val="auto"/>
              </w:rPr>
            </w:pPr>
            <w:r w:rsidRPr="00FC71BE">
              <w:rPr>
                <w:color w:val="auto"/>
              </w:rPr>
              <w:t>51</w:t>
            </w:r>
          </w:p>
        </w:tc>
      </w:tr>
    </w:tbl>
    <w:p w14:paraId="5BCC8D5C" w14:textId="77777777" w:rsidR="00A65FE9" w:rsidRPr="00FC71BE" w:rsidRDefault="00A65FE9" w:rsidP="00C56E32"/>
    <w:p w14:paraId="5D6089F1" w14:textId="77777777" w:rsidR="00C56E32" w:rsidRPr="00FC71BE" w:rsidRDefault="00C56E32" w:rsidP="00B86C68">
      <w:pPr>
        <w:pStyle w:val="Heading2"/>
        <w:numPr>
          <w:ilvl w:val="1"/>
          <w:numId w:val="49"/>
        </w:numPr>
      </w:pPr>
      <w:bookmarkStart w:id="61" w:name="_Toc157695337"/>
      <w:r w:rsidRPr="00FC71BE">
        <w:t>Initial Specification of SPM machines.</w:t>
      </w:r>
      <w:bookmarkEnd w:id="61"/>
    </w:p>
    <w:p w14:paraId="1B56483F" w14:textId="24495DAD" w:rsidR="00C56E32" w:rsidRPr="00FC71BE" w:rsidRDefault="00C56E32" w:rsidP="005A758B">
      <w:pPr>
        <w:ind w:firstLine="0"/>
      </w:pPr>
      <w:bookmarkStart w:id="62" w:name="_Hlk54646587"/>
      <w:r w:rsidRPr="00FC71BE">
        <w:t xml:space="preserve">The initial specifications of the modular and non-modular machines used in aerospace application are given in </w:t>
      </w:r>
      <w:r w:rsidRPr="00FC71BE">
        <w:fldChar w:fldCharType="begin"/>
      </w:r>
      <w:r w:rsidRPr="00FC71BE">
        <w:instrText xml:space="preserve"> REF _Ref139730735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1</w:t>
      </w:r>
      <w:r w:rsidRPr="00FC71BE">
        <w:fldChar w:fldCharType="end"/>
      </w:r>
      <w:r w:rsidRPr="00FC71BE">
        <w:t xml:space="preserve"> and the cross-sections are shown in </w:t>
      </w:r>
      <w:r w:rsidRPr="00FC71BE">
        <w:fldChar w:fldCharType="begin"/>
      </w:r>
      <w:r w:rsidRPr="00FC71BE">
        <w:instrText xml:space="preserve"> REF _Ref139891150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w:t>
      </w:r>
      <w:r w:rsidRPr="00FC71BE">
        <w:fldChar w:fldCharType="end"/>
      </w:r>
      <w:r w:rsidRPr="00FC71BE">
        <w:t xml:space="preserve">. By introducing the flux gaps into the stator iron core, the effective airgap length is significantly increased due to the high reluctance of the flux gaps, which will in turn affect the airgap flux density </w:t>
      </w:r>
      <w:r w:rsidRPr="00FC71BE">
        <w:fldChar w:fldCharType="begin"/>
      </w:r>
      <w:r w:rsidR="0000133B" w:rsidRPr="00FC71BE">
        <w:instrText xml:space="preserve"> ADDIN EN.CITE &lt;EndNote&gt;&lt;Cite&gt;&lt;Author&gt;Li&lt;/Author&gt;&lt;Year&gt;2014&lt;/Year&gt;&lt;RecNum&gt;4&lt;/RecNum&gt;&lt;DisplayText&gt;[38]&lt;/DisplayText&gt;&lt;record&gt;&lt;rec-number&gt;4&lt;/rec-number&gt;&lt;foreign-keys&gt;&lt;key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fldChar w:fldCharType="separate"/>
      </w:r>
      <w:r w:rsidR="0000133B" w:rsidRPr="00FC71BE">
        <w:t>[38]</w:t>
      </w:r>
      <w:r w:rsidRPr="00FC71BE">
        <w:fldChar w:fldCharType="end"/>
      </w:r>
      <w:r w:rsidRPr="00FC71BE">
        <w:t xml:space="preserve">. According to </w:t>
      </w:r>
      <w:r w:rsidRPr="00FC71BE">
        <w:fldChar w:fldCharType="begin"/>
      </w:r>
      <w:r w:rsidR="00103B0D" w:rsidRPr="00FC71BE">
        <w:instrText xml:space="preserve"> ADDIN EN.CITE &lt;EndNote&gt;&lt;Cite&gt;&lt;Author&gt;Li&lt;/Author&gt;&lt;Year&gt;2015&lt;/Year&gt;&lt;RecNum&gt;6&lt;/RecNum&gt;&lt;DisplayText&gt;[43]&lt;/DisplayText&gt;&lt;record&gt;&lt;rec-number&gt;6&lt;/rec-number&gt;&lt;foreign-keys&gt;&lt;key app="EN" db-id="rf2p5e05jx0x9jep00uvx0s1fvaww2dfa0r9" timestamp="1688999526"&gt;6&lt;/key&gt;&lt;/foreign-keys&gt;&lt;ref-type name="Journal Article"&gt;17&lt;/ref-type&gt;&lt;contributors&gt;&lt;authors&gt;&lt;author&gt;Li, G J&lt;/author&gt;&lt;author&gt;Zhu, Z Q&lt;/author&gt;&lt;/authors&gt;&lt;/contributors&gt;&lt;titles&gt;&lt;title&gt;Analytical modeling of modular and unequal tooth width surface-mounted permanent magnet machines&lt;/title&gt;&lt;secondary-title&gt;IEEE transactions on magnetics&lt;/secondary-title&gt;&lt;/titles&gt;&lt;periodical&gt;&lt;full-title&gt;IEEE Transactions on Magnetics&lt;/full-title&gt;&lt;/periodical&gt;&lt;pages&gt;1-9&lt;/pages&gt;&lt;volume&gt;51&lt;/volume&gt;&lt;number&gt;9&lt;/number&gt;&lt;dates&gt;&lt;year&gt;2015&lt;/year&gt;&lt;/dates&gt;&lt;isbn&gt;0018-9464&lt;/isbn&gt;&lt;urls&gt;&lt;/urls&gt;&lt;/record&gt;&lt;/Cite&gt;&lt;/EndNote&gt;</w:instrText>
      </w:r>
      <w:r w:rsidRPr="00FC71BE">
        <w:fldChar w:fldCharType="separate"/>
      </w:r>
      <w:r w:rsidR="0000133B" w:rsidRPr="00FC71BE">
        <w:t>[43]</w:t>
      </w:r>
      <w:r w:rsidRPr="00FC71BE">
        <w:fldChar w:fldCharType="end"/>
      </w:r>
      <w:r w:rsidRPr="00FC71BE">
        <w:t xml:space="preserve">, a flux focusing/defocusing factor, which relates to the slot/pole number combination, is introduced to take the flux focusing or defocusing effect into account. </w:t>
      </w:r>
      <w:bookmarkStart w:id="63" w:name="_Hlk54872221"/>
      <w:r w:rsidRPr="00FC71BE">
        <w:t>For example, for machines with slot number lower than pole number, e.g., 24-slot/28-pole, the flux gaps will help to increase the open-circuit airgap flux density. However, this is opposite for machines with slot number higher than pole number, e.g., 24-slot/20-pole. In addition, for SPM machines with slot number lower than pole number, the pitch factor (same for winding factor as the distribution factor is 1 for all the investigated modular machines) will increase with the increased flux gap width. This is the opposite for machines with slot number higher than pole number. The effect of flux gaps on flux focusing/defocusing and winding factor will reflect on the average torque</w:t>
      </w:r>
      <w:bookmarkEnd w:id="63"/>
      <w:r w:rsidRPr="00FC71BE">
        <w:t xml:space="preserve">, as can be seen in </w:t>
      </w:r>
      <w:r w:rsidRPr="00FC71BE">
        <w:fldChar w:fldCharType="begin"/>
      </w:r>
      <w:r w:rsidRPr="00FC71BE">
        <w:instrText xml:space="preserve"> REF _Ref139891794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2</w:t>
      </w:r>
      <w:r w:rsidRPr="00FC71BE">
        <w:fldChar w:fldCharType="end"/>
      </w:r>
      <w:r w:rsidRPr="00FC71BE">
        <w:t xml:space="preserve">. For 24-slot/28-pole modular SPM, its average torque increases with the increased flux gap width. When the flux gap width is around 12 mm, </w:t>
      </w:r>
      <w:r w:rsidRPr="00FC71BE">
        <w:lastRenderedPageBreak/>
        <w:t>the average torque is the maximum. This is where the impact of flux gaps on flux focusing and winding factor reach its peak.</w:t>
      </w:r>
      <w:bookmarkEnd w:id="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12A9AC0A" w14:textId="77777777">
        <w:tc>
          <w:tcPr>
            <w:tcW w:w="4508" w:type="dxa"/>
          </w:tcPr>
          <w:p w14:paraId="581E526E" w14:textId="77777777" w:rsidR="00C56E32" w:rsidRPr="00FC71BE" w:rsidRDefault="00C56E32">
            <w:pPr>
              <w:pStyle w:val="Figure"/>
              <w:rPr>
                <w:noProof w:val="0"/>
              </w:rPr>
            </w:pPr>
            <w:r w:rsidRPr="00FC71BE">
              <w:drawing>
                <wp:inline distT="0" distB="0" distL="0" distR="0" wp14:anchorId="23F9EFA0" wp14:editId="466A94E8">
                  <wp:extent cx="2296514" cy="2265528"/>
                  <wp:effectExtent l="0" t="0" r="8890" b="1905"/>
                  <wp:docPr id="138326625" name="Picture 138326625" descr="Diagram&#10;&#10;Description automatically generated">
                    <a:extLst xmlns:a="http://schemas.openxmlformats.org/drawingml/2006/main">
                      <a:ext uri="{FF2B5EF4-FFF2-40B4-BE49-F238E27FC236}">
                        <a16:creationId xmlns:a16="http://schemas.microsoft.com/office/drawing/2014/main" id="{494ADEAE-7EF2-482D-847A-9359BEDC94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descr="Diagram&#10;&#10;Description automatically generated">
                            <a:extLst>
                              <a:ext uri="{FF2B5EF4-FFF2-40B4-BE49-F238E27FC236}">
                                <a16:creationId xmlns:a16="http://schemas.microsoft.com/office/drawing/2014/main" id="{494ADEAE-7EF2-482D-847A-9359BEDC941A}"/>
                              </a:ext>
                            </a:extLst>
                          </pic:cNvPr>
                          <pic:cNvPicPr>
                            <a:picLocks noChangeAspect="1"/>
                          </pic:cNvPicPr>
                        </pic:nvPicPr>
                        <pic:blipFill>
                          <a:blip r:embed="rId59"/>
                          <a:stretch>
                            <a:fillRect/>
                          </a:stretch>
                        </pic:blipFill>
                        <pic:spPr>
                          <a:xfrm>
                            <a:off x="0" y="0"/>
                            <a:ext cx="2313076" cy="2281866"/>
                          </a:xfrm>
                          <a:prstGeom prst="rect">
                            <a:avLst/>
                          </a:prstGeom>
                        </pic:spPr>
                      </pic:pic>
                    </a:graphicData>
                  </a:graphic>
                </wp:inline>
              </w:drawing>
            </w:r>
          </w:p>
        </w:tc>
        <w:tc>
          <w:tcPr>
            <w:tcW w:w="4508" w:type="dxa"/>
          </w:tcPr>
          <w:p w14:paraId="1E4D32FC" w14:textId="77777777" w:rsidR="00C56E32" w:rsidRPr="00FC71BE" w:rsidRDefault="00C56E32">
            <w:pPr>
              <w:pStyle w:val="Figure"/>
              <w:rPr>
                <w:noProof w:val="0"/>
              </w:rPr>
            </w:pPr>
            <w:r w:rsidRPr="00FC71BE">
              <w:drawing>
                <wp:inline distT="0" distB="0" distL="0" distR="0" wp14:anchorId="01DF6293" wp14:editId="71D55028">
                  <wp:extent cx="2281859" cy="2273349"/>
                  <wp:effectExtent l="0" t="0" r="4445" b="0"/>
                  <wp:docPr id="726514316" name="Picture 726514316"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sunburst chart&#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4093" cy="2295500"/>
                          </a:xfrm>
                          <a:prstGeom prst="rect">
                            <a:avLst/>
                          </a:prstGeom>
                          <a:noFill/>
                        </pic:spPr>
                      </pic:pic>
                    </a:graphicData>
                  </a:graphic>
                </wp:inline>
              </w:drawing>
            </w:r>
          </w:p>
        </w:tc>
      </w:tr>
      <w:tr w:rsidR="00FC71BE" w:rsidRPr="00FC71BE" w14:paraId="1E0E1E87" w14:textId="77777777">
        <w:tc>
          <w:tcPr>
            <w:tcW w:w="4508" w:type="dxa"/>
          </w:tcPr>
          <w:p w14:paraId="1239C1D8" w14:textId="77777777" w:rsidR="00C56E32" w:rsidRPr="00FC71BE" w:rsidRDefault="00C56E32">
            <w:pPr>
              <w:pStyle w:val="Figure"/>
              <w:rPr>
                <w:noProof w:val="0"/>
              </w:rPr>
            </w:pPr>
            <w:r w:rsidRPr="00FC71BE">
              <w:rPr>
                <w:noProof w:val="0"/>
              </w:rPr>
              <w:t>(a) Modular machine</w:t>
            </w:r>
          </w:p>
        </w:tc>
        <w:tc>
          <w:tcPr>
            <w:tcW w:w="4508" w:type="dxa"/>
          </w:tcPr>
          <w:p w14:paraId="4CCE3683" w14:textId="77777777" w:rsidR="00C56E32" w:rsidRPr="00FC71BE" w:rsidRDefault="00C56E32">
            <w:pPr>
              <w:pStyle w:val="Figure"/>
              <w:rPr>
                <w:noProof w:val="0"/>
              </w:rPr>
            </w:pPr>
            <w:r w:rsidRPr="00FC71BE">
              <w:rPr>
                <w:noProof w:val="0"/>
              </w:rPr>
              <w:t>(b) Non-modular machine</w:t>
            </w:r>
          </w:p>
        </w:tc>
      </w:tr>
    </w:tbl>
    <w:p w14:paraId="1EB5D9D7" w14:textId="7C8ACE86" w:rsidR="00C56E32" w:rsidRPr="00FC71BE" w:rsidRDefault="00C56E32" w:rsidP="00C56E32">
      <w:pPr>
        <w:pStyle w:val="FigureTitle"/>
      </w:pPr>
      <w:bookmarkStart w:id="64" w:name="_Ref139891150"/>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w:t>
        </w:r>
      </w:fldSimple>
      <w:bookmarkEnd w:id="64"/>
      <w:r w:rsidRPr="00FC71BE">
        <w:t xml:space="preserve">. Cross-sections of SPM machines. </w:t>
      </w:r>
    </w:p>
    <w:p w14:paraId="4172DACE" w14:textId="77777777" w:rsidR="00C56E32" w:rsidRPr="00FC71BE" w:rsidRDefault="00C56E32" w:rsidP="00C56E32">
      <w:bookmarkStart w:id="65" w:name="_Hlk54646657"/>
      <w:bookmarkStart w:id="66" w:name="_Hlk54719891"/>
      <w:r w:rsidRPr="00FC71BE">
        <w:t>It is worth noting that the initial specification has not been optimized. It only validates the effect of flux gaps on the electromagnetic performance of modular SPM machines as investigated in the literature. However, once the flux gap width is considered as a variable in the optimization process, the optimized dimensions of the modular machines will be very much different, as will be investigated in the following sections. In order to simplify the analyses in this chapter, the proposed optimization with flux gap width considered as variable is called method 1. However, the approach in existing literature that introduces the flux gaps after the non-modular machine is optimized will be called method 2.</w:t>
      </w:r>
    </w:p>
    <w:bookmarkEnd w:id="65"/>
    <w:p w14:paraId="6E40F889" w14:textId="2D9B72EA" w:rsidR="00C56E32" w:rsidRPr="00FC71BE" w:rsidRDefault="00C56E32" w:rsidP="00C56E32">
      <w:pPr>
        <w:pStyle w:val="Figure"/>
        <w:rPr>
          <w:noProof w:val="0"/>
        </w:rPr>
      </w:pPr>
      <w:r w:rsidRPr="00FC71BE">
        <w:rPr>
          <w:noProof w:val="0"/>
        </w:rPr>
        <w:t xml:space="preserve"> </w:t>
      </w:r>
      <w:bookmarkEnd w:id="66"/>
      <w:r w:rsidRPr="00FC71BE">
        <w:drawing>
          <wp:inline distT="0" distB="0" distL="0" distR="0" wp14:anchorId="1F70F590" wp14:editId="4B89566D">
            <wp:extent cx="4363200" cy="2618785"/>
            <wp:effectExtent l="0" t="0" r="0" b="0"/>
            <wp:docPr id="5" name="Picture 5" descr="A graph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a curve&#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63200" cy="2618785"/>
                    </a:xfrm>
                    <a:prstGeom prst="rect">
                      <a:avLst/>
                    </a:prstGeom>
                    <a:noFill/>
                    <a:ln>
                      <a:noFill/>
                    </a:ln>
                  </pic:spPr>
                </pic:pic>
              </a:graphicData>
            </a:graphic>
          </wp:inline>
        </w:drawing>
      </w:r>
    </w:p>
    <w:p w14:paraId="4D8B8898" w14:textId="4E519F51" w:rsidR="00C56E32" w:rsidRPr="00FC71BE" w:rsidRDefault="00C56E32" w:rsidP="00C56E32">
      <w:pPr>
        <w:pStyle w:val="FigureTitle"/>
      </w:pPr>
      <w:bookmarkStart w:id="67" w:name="_Ref139891794"/>
      <w:bookmarkStart w:id="68" w:name="_Hlk54644728"/>
      <w:bookmarkStart w:id="69" w:name="_Hlk54643032"/>
      <w:r w:rsidRPr="00FC71BE">
        <w:t xml:space="preserve">Fig. </w:t>
      </w:r>
      <w:fldSimple w:instr=" STYLEREF 1 \s ">
        <w:r w:rsidR="007E62C1" w:rsidRPr="00FC71BE">
          <w:rPr>
            <w:noProof/>
          </w:rPr>
          <w:t>2</w:t>
        </w:r>
      </w:fldSimple>
      <w:r w:rsidRPr="00FC71BE">
        <w:t>.</w:t>
      </w:r>
      <w:fldSimple w:instr=" SEQ Fig. \* ARABIC \s 1 ">
        <w:r w:rsidR="007E62C1" w:rsidRPr="00FC71BE">
          <w:rPr>
            <w:noProof/>
          </w:rPr>
          <w:t>2</w:t>
        </w:r>
      </w:fldSimple>
      <w:bookmarkEnd w:id="67"/>
      <w:r w:rsidRPr="00FC71BE">
        <w:t xml:space="preserve">. Average torque </w:t>
      </w:r>
      <w:r w:rsidRPr="00FC71BE">
        <w:rPr>
          <w:i/>
        </w:rPr>
        <w:t>vs</w:t>
      </w:r>
      <w:r w:rsidRPr="00FC71BE">
        <w:t xml:space="preserve"> flux gap width for 24-slot/20-pole and 24-slot/28-pole modular machines</w:t>
      </w:r>
      <w:bookmarkEnd w:id="68"/>
      <w:r w:rsidRPr="00FC71BE">
        <w:t>.</w:t>
      </w:r>
      <w:bookmarkEnd w:id="69"/>
    </w:p>
    <w:p w14:paraId="1F88CE5D" w14:textId="77777777" w:rsidR="00C56E32" w:rsidRPr="00FC71BE" w:rsidRDefault="00C56E32" w:rsidP="00B86C68">
      <w:pPr>
        <w:pStyle w:val="Heading2"/>
        <w:numPr>
          <w:ilvl w:val="1"/>
          <w:numId w:val="49"/>
        </w:numPr>
      </w:pPr>
      <w:bookmarkStart w:id="70" w:name="_Toc157695338"/>
      <w:bookmarkEnd w:id="57"/>
      <w:r w:rsidRPr="00FC71BE">
        <w:lastRenderedPageBreak/>
        <w:t>Optimization of the Modular Machine</w:t>
      </w:r>
      <w:bookmarkEnd w:id="58"/>
      <w:bookmarkEnd w:id="70"/>
    </w:p>
    <w:p w14:paraId="5E618E3D" w14:textId="77777777" w:rsidR="00C56E32" w:rsidRPr="00FC71BE" w:rsidRDefault="00C56E32" w:rsidP="00B86C68">
      <w:pPr>
        <w:pStyle w:val="Heading3"/>
        <w:numPr>
          <w:ilvl w:val="2"/>
          <w:numId w:val="49"/>
        </w:numPr>
      </w:pPr>
      <w:bookmarkStart w:id="71" w:name="_Toc157695339"/>
      <w:r w:rsidRPr="00FC71BE">
        <w:t>Optimization Methods</w:t>
      </w:r>
      <w:bookmarkEnd w:id="71"/>
    </w:p>
    <w:p w14:paraId="5F9AACCD" w14:textId="14DED8B4" w:rsidR="00C56E32" w:rsidRPr="00FC71BE" w:rsidRDefault="00C56E32" w:rsidP="00C56E32">
      <w:bookmarkStart w:id="72" w:name="_Hlk54646684"/>
      <w:r w:rsidRPr="00FC71BE">
        <w:t xml:space="preserve">For complex functions that are not differentiable, searching the optimal value is often quite difficult. Therefore, enlightened by genetics of living organisms and natural selection, GAs have been proposed. GAs consist of three main steps: reproduction, crossover and mutation </w:t>
      </w:r>
      <w:r w:rsidRPr="00FC71BE">
        <w:fldChar w:fldCharType="begin"/>
      </w:r>
      <w:r w:rsidR="00BA33ED" w:rsidRPr="00FC71BE">
        <w:instrText xml:space="preserve"> ADDIN EN.CITE &lt;EndNote&gt;&lt;Cite&gt;&lt;Author&gt;Lukaniszyn&lt;/Author&gt;&lt;Year&gt;2004&lt;/Year&gt;&lt;RecNum&gt;18&lt;/RecNum&gt;&lt;DisplayText&gt;[124]&lt;/DisplayText&gt;&lt;record&gt;&lt;rec-number&gt;18&lt;/rec-number&gt;&lt;foreign-keys&gt;&lt;key app="EN" db-id="rf2p5e05jx0x9jep00uvx0s1fvaww2dfa0r9" timestamp="1688999547"&gt;18&lt;/key&gt;&lt;/foreign-keys&gt;&lt;ref-type name="Journal Article"&gt;17&lt;/ref-type&gt;&lt;contributors&gt;&lt;authors&gt;&lt;author&gt;Lukaniszyn, M&lt;/author&gt;&lt;author&gt;Jagiela, M&lt;/author&gt;&lt;author&gt;Wrobel, R&lt;/author&gt;&lt;/authors&gt;&lt;/contributors&gt;&lt;titles&gt;&lt;title&gt;Optimization of permanent magnet shape for minimum cogging torque using a genetic algorithm&lt;/title&gt;&lt;secondary-title&gt;IEEE Transactions on Magnetics&lt;/secondary-title&gt;&lt;/titles&gt;&lt;periodical&gt;&lt;full-title&gt;IEEE Transactions on Magnetics&lt;/full-title&gt;&lt;/periodical&gt;&lt;pages&gt;1228-1231&lt;/pages&gt;&lt;volume&gt;40&lt;/volume&gt;&lt;number&gt;2&lt;/number&gt;&lt;dates&gt;&lt;year&gt;2004&lt;/year&gt;&lt;/dates&gt;&lt;isbn&gt;0018-9464&lt;/isbn&gt;&lt;urls&gt;&lt;/urls&gt;&lt;/record&gt;&lt;/Cite&gt;&lt;/EndNote&gt;</w:instrText>
      </w:r>
      <w:r w:rsidRPr="00FC71BE">
        <w:fldChar w:fldCharType="separate"/>
      </w:r>
      <w:r w:rsidR="00BA33ED" w:rsidRPr="00FC71BE">
        <w:t>[124]</w:t>
      </w:r>
      <w:r w:rsidRPr="00FC71BE">
        <w:fldChar w:fldCharType="end"/>
      </w:r>
      <w:r w:rsidRPr="00FC71BE">
        <w:t>. The multiple iterations of these three steps to create diverse generations and populations can find the global optimal solution and avoid the local optimal solutions that are the limitations of some of other optimization methods.</w:t>
      </w:r>
    </w:p>
    <w:p w14:paraId="4BE40ADD" w14:textId="3D425E31" w:rsidR="00C56E32" w:rsidRPr="00FC71BE" w:rsidRDefault="00C56E32" w:rsidP="00C56E32">
      <w:r w:rsidRPr="00FC71BE">
        <w:t>In order to evaluate the performance of the candidate machines, a fitness function (</w:t>
      </w:r>
      <w:r w:rsidRPr="00FC71BE">
        <w:rPr>
          <w:i/>
          <w:iCs/>
        </w:rPr>
        <w:t>F</w:t>
      </w:r>
      <w:r w:rsidRPr="00FC71BE">
        <w:t xml:space="preserve">) should be introduced </w:t>
      </w:r>
      <w:r w:rsidRPr="00FC71BE">
        <w:fldChar w:fldCharType="begin"/>
      </w:r>
      <w:r w:rsidR="00BA33ED" w:rsidRPr="00FC71BE">
        <w:instrText xml:space="preserve"> ADDIN EN.CITE &lt;EndNote&gt;&lt;Cite&gt;&lt;Author&gt;Ruba&lt;/Author&gt;&lt;Year&gt;2018&lt;/Year&gt;&lt;RecNum&gt;19&lt;/RecNum&gt;&lt;DisplayText&gt;[125]&lt;/DisplayText&gt;&lt;record&gt;&lt;rec-number&gt;19&lt;/rec-number&gt;&lt;foreign-keys&gt;&lt;key app="EN" db-id="rf2p5e05jx0x9jep00uvx0s1fvaww2dfa0r9" timestamp="1688999549"&gt;19&lt;/key&gt;&lt;/foreign-keys&gt;&lt;ref-type name="Journal Article"&gt;17&lt;/ref-type&gt;&lt;contributors&gt;&lt;authors&gt;&lt;author&gt;Ruba, Mircea&lt;/author&gt;&lt;author&gt;Jurca, Florin&lt;/author&gt;&lt;author&gt;Czumbil, Levente&lt;/author&gt;&lt;author&gt;Micu, Dan D&lt;/author&gt;&lt;author&gt;Martis, Claudia&lt;/author&gt;&lt;author&gt;Polycarpou, Alexis&lt;/author&gt;&lt;author&gt;Rizzo, Renato&lt;/author&gt;&lt;/authors&gt;&lt;/contributors&gt;&lt;titles&gt;&lt;title&gt;Synchronous reluctance machine geometry optimisation through a genetic algorithm based technique&lt;/title&gt;&lt;secondary-title&gt;IET Electric Power Applications&lt;/secondary-title&gt;&lt;/titles&gt;&lt;periodical&gt;&lt;full-title&gt;IET Electric Power Applications&lt;/full-title&gt;&lt;/periodical&gt;&lt;pages&gt;431-438&lt;/pages&gt;&lt;volume&gt;12&lt;/volume&gt;&lt;number&gt;3&lt;/number&gt;&lt;dates&gt;&lt;year&gt;2018&lt;/year&gt;&lt;/dates&gt;&lt;isbn&gt;1751-8660&lt;/isbn&gt;&lt;urls&gt;&lt;/urls&gt;&lt;/record&gt;&lt;/Cite&gt;&lt;/EndNote&gt;</w:instrText>
      </w:r>
      <w:r w:rsidRPr="00FC71BE">
        <w:fldChar w:fldCharType="separate"/>
      </w:r>
      <w:r w:rsidR="00BA33ED" w:rsidRPr="00FC71BE">
        <w:t>[125]</w:t>
      </w:r>
      <w:r w:rsidRPr="00FC71BE">
        <w:fldChar w:fldCharType="end"/>
      </w:r>
      <w:r w:rsidRPr="00FC71BE">
        <w:t>. The fitness function for multiple objectives is derived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710999D5" w14:textId="77777777">
        <w:tc>
          <w:tcPr>
            <w:tcW w:w="4493" w:type="pct"/>
            <w:vAlign w:val="center"/>
          </w:tcPr>
          <w:p w14:paraId="0681AAB0" w14:textId="77777777" w:rsidR="00C56E32" w:rsidRPr="00FC71BE" w:rsidRDefault="00C56E32">
            <w:pPr>
              <w:pStyle w:val="equation"/>
              <w:rPr>
                <w:color w:val="auto"/>
              </w:rPr>
            </w:pPr>
            <w:bookmarkStart w:id="73" w:name="_Hlk54720199"/>
            <w:bookmarkEnd w:id="72"/>
            <m:oMathPara>
              <m:oMath>
                <m:r>
                  <w:rPr>
                    <w:rFonts w:ascii="Cambria Math" w:hAnsi="Cambria Math"/>
                    <w:color w:val="auto"/>
                  </w:rPr>
                  <m:t>F</m:t>
                </m:r>
                <m:r>
                  <m:rPr>
                    <m:sty m:val="p"/>
                  </m:rPr>
                  <w:rPr>
                    <w:rFonts w:ascii="Cambria Math" w:hAnsi="Cambria Math"/>
                    <w:color w:val="auto"/>
                  </w:rPr>
                  <m:t xml:space="preserve">=1+ </m:t>
                </m:r>
                <m:nary>
                  <m:naryPr>
                    <m:chr m:val="∑"/>
                    <m:limLoc m:val="undOvr"/>
                    <m:ctrlPr>
                      <w:rPr>
                        <w:rFonts w:ascii="Cambria Math" w:hAnsi="Cambria Math"/>
                        <w:color w:val="auto"/>
                      </w:rPr>
                    </m:ctrlPr>
                  </m:naryPr>
                  <m:sub>
                    <m:r>
                      <w:rPr>
                        <w:rFonts w:ascii="Cambria Math" w:hAnsi="Cambria Math"/>
                        <w:color w:val="auto"/>
                      </w:rPr>
                      <m:t>i</m:t>
                    </m:r>
                    <m:r>
                      <m:rPr>
                        <m:sty m:val="p"/>
                      </m:rPr>
                      <w:rPr>
                        <w:rFonts w:ascii="Cambria Math" w:hAnsi="Cambria Math"/>
                        <w:color w:val="auto"/>
                      </w:rPr>
                      <m:t>=1</m:t>
                    </m:r>
                  </m:sub>
                  <m:sup>
                    <m:r>
                      <w:rPr>
                        <w:rFonts w:ascii="Cambria Math" w:hAnsi="Cambria Math"/>
                        <w:color w:val="auto"/>
                      </w:rPr>
                      <m:t>n</m:t>
                    </m:r>
                  </m:sup>
                  <m:e>
                    <m:sSub>
                      <m:sSubPr>
                        <m:ctrlPr>
                          <w:rPr>
                            <w:rFonts w:ascii="Cambria Math" w:hAnsi="Cambria Math"/>
                            <w:color w:val="auto"/>
                          </w:rPr>
                        </m:ctrlPr>
                      </m:sSubPr>
                      <m:e>
                        <m:r>
                          <w:rPr>
                            <w:rFonts w:ascii="Cambria Math" w:hAnsi="Cambria Math"/>
                            <w:color w:val="auto"/>
                          </w:rPr>
                          <m:t>α</m:t>
                        </m:r>
                      </m:e>
                      <m:sub>
                        <m:r>
                          <w:rPr>
                            <w:rFonts w:ascii="Cambria Math" w:hAnsi="Cambria Math"/>
                            <w:color w:val="auto"/>
                          </w:rPr>
                          <m:t>i</m:t>
                        </m:r>
                      </m:sub>
                    </m:sSub>
                    <m:sSub>
                      <m:sSubPr>
                        <m:ctrlPr>
                          <w:rPr>
                            <w:rFonts w:ascii="Cambria Math" w:hAnsi="Cambria Math"/>
                            <w:color w:val="auto"/>
                          </w:rPr>
                        </m:ctrlPr>
                      </m:sSubPr>
                      <m:e>
                        <m:r>
                          <w:rPr>
                            <w:rFonts w:ascii="Cambria Math" w:hAnsi="Cambria Math"/>
                            <w:color w:val="auto"/>
                          </w:rPr>
                          <m:t>f</m:t>
                        </m:r>
                      </m:e>
                      <m:sub>
                        <m:r>
                          <w:rPr>
                            <w:rFonts w:ascii="Cambria Math" w:hAnsi="Cambria Math"/>
                            <w:color w:val="auto"/>
                          </w:rPr>
                          <m:t>i</m:t>
                        </m:r>
                      </m:sub>
                    </m:sSub>
                  </m:e>
                </m:nary>
              </m:oMath>
            </m:oMathPara>
            <w:bookmarkEnd w:id="73"/>
          </w:p>
        </w:tc>
        <w:tc>
          <w:tcPr>
            <w:tcW w:w="507" w:type="pct"/>
            <w:vAlign w:val="center"/>
          </w:tcPr>
          <w:p w14:paraId="377DD2B7" w14:textId="16F00C8C" w:rsidR="00C56E32" w:rsidRPr="00FC71BE" w:rsidRDefault="00C56E32">
            <w:pPr>
              <w:pStyle w:val="equation"/>
              <w:rPr>
                <w:color w:val="auto"/>
              </w:rPr>
            </w:pPr>
            <w:bookmarkStart w:id="74" w:name="_Ref125486843"/>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bookmarkEnd w:id="74"/>
          </w:p>
        </w:tc>
      </w:tr>
    </w:tbl>
    <w:p w14:paraId="185F7B0A" w14:textId="77777777" w:rsidR="00C56E32" w:rsidRPr="00FC71BE" w:rsidRDefault="00C56E32" w:rsidP="00C56E32">
      <w:pPr>
        <w:ind w:firstLine="0"/>
      </w:pPr>
      <w:bookmarkStart w:id="75" w:name="_Hlk54714162"/>
      <w:r w:rsidRPr="00FC71BE">
        <w:t xml:space="preserve">where </w:t>
      </w:r>
      <m:oMath>
        <m:r>
          <w:rPr>
            <w:rFonts w:ascii="Cambria Math" w:hAnsi="Cambria Math"/>
          </w:rPr>
          <m:t>α</m:t>
        </m:r>
      </m:oMath>
      <w:r w:rsidRPr="00FC71BE">
        <w:t xml:space="preserve"> and </w:t>
      </w:r>
      <m:oMath>
        <m:r>
          <w:rPr>
            <w:rFonts w:ascii="Cambria Math" w:hAnsi="Cambria Math"/>
          </w:rPr>
          <m:t>f</m:t>
        </m:r>
      </m:oMath>
      <w:r w:rsidRPr="00FC71BE">
        <w:t xml:space="preserve"> are the weight and fitness function for different objectives, respectively. </w:t>
      </w:r>
      <m:oMath>
        <m:r>
          <w:rPr>
            <w:rFonts w:ascii="Cambria Math" w:hAnsi="Cambria Math"/>
          </w:rPr>
          <m:t>n</m:t>
        </m:r>
      </m:oMath>
      <w:r w:rsidRPr="00FC71BE">
        <w:t xml:space="preserve"> is the total number of objectives. The fitness function for each objective is derived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D856165" w14:textId="77777777">
        <w:tc>
          <w:tcPr>
            <w:tcW w:w="4493" w:type="pct"/>
            <w:vAlign w:val="center"/>
          </w:tcPr>
          <w:bookmarkStart w:id="76" w:name="_Hlk54714172"/>
          <w:bookmarkEnd w:id="75"/>
          <w:p w14:paraId="21FFEF73" w14:textId="77777777" w:rsidR="00C56E32"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f</m:t>
                    </m:r>
                  </m:e>
                  <m:sub>
                    <m:r>
                      <w:rPr>
                        <w:rFonts w:ascii="Cambria Math" w:hAnsi="Cambria Math"/>
                        <w:color w:val="auto"/>
                      </w:rPr>
                      <m:t>i</m:t>
                    </m: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χ</m:t>
                        </m:r>
                      </m:e>
                      <m:sub>
                        <m:r>
                          <w:rPr>
                            <w:rFonts w:ascii="Cambria Math" w:hAnsi="Cambria Math"/>
                            <w:color w:val="auto"/>
                          </w:rPr>
                          <m:t>i</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χ</m:t>
                        </m:r>
                      </m:e>
                      <m:sub>
                        <m:r>
                          <w:rPr>
                            <w:rFonts w:ascii="Cambria Math" w:hAnsi="Cambria Math"/>
                            <w:color w:val="auto"/>
                          </w:rPr>
                          <m:t>f</m:t>
                        </m:r>
                      </m:sub>
                    </m:sSub>
                  </m:num>
                  <m:den>
                    <m:sSub>
                      <m:sSubPr>
                        <m:ctrlPr>
                          <w:rPr>
                            <w:rFonts w:ascii="Cambria Math" w:hAnsi="Cambria Math"/>
                            <w:color w:val="auto"/>
                          </w:rPr>
                        </m:ctrlPr>
                      </m:sSubPr>
                      <m:e>
                        <m:r>
                          <w:rPr>
                            <w:rFonts w:ascii="Cambria Math" w:hAnsi="Cambria Math"/>
                            <w:color w:val="auto"/>
                          </w:rPr>
                          <m:t>χ</m:t>
                        </m:r>
                      </m:e>
                      <m:sub>
                        <m:r>
                          <w:rPr>
                            <w:rFonts w:ascii="Cambria Math" w:hAnsi="Cambria Math"/>
                            <w:color w:val="auto"/>
                          </w:rPr>
                          <m:t>f</m:t>
                        </m:r>
                      </m:sub>
                    </m:sSub>
                  </m:den>
                </m:f>
              </m:oMath>
            </m:oMathPara>
            <w:bookmarkEnd w:id="76"/>
          </w:p>
        </w:tc>
        <w:tc>
          <w:tcPr>
            <w:tcW w:w="507" w:type="pct"/>
            <w:vAlign w:val="center"/>
          </w:tcPr>
          <w:p w14:paraId="7291C6D2" w14:textId="7D3A25F5" w:rsidR="00C56E32" w:rsidRPr="00FC71BE" w:rsidRDefault="00C56E32">
            <w:pPr>
              <w:pStyle w:val="equation"/>
              <w:rPr>
                <w:color w:val="auto"/>
              </w:rPr>
            </w:pPr>
            <w:bookmarkStart w:id="77" w:name="_Ref52221876"/>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bookmarkEnd w:id="77"/>
          </w:p>
        </w:tc>
      </w:tr>
    </w:tbl>
    <w:p w14:paraId="60F64A50" w14:textId="77777777" w:rsidR="00C56E32" w:rsidRPr="00FC71BE" w:rsidRDefault="00C56E32" w:rsidP="00C56E32">
      <w:pPr>
        <w:ind w:firstLine="0"/>
      </w:pPr>
      <w:bookmarkStart w:id="78" w:name="_Hlk54714366"/>
      <w:bookmarkStart w:id="79" w:name="_Hlk54721576"/>
      <w:r w:rsidRPr="00FC71BE">
        <w:t xml:space="preserve">where the </w:t>
      </w:r>
      <m:oMath>
        <m:sSub>
          <m:sSubPr>
            <m:ctrlPr>
              <w:rPr>
                <w:rFonts w:ascii="Cambria Math" w:hAnsi="Cambria Math"/>
                <w:i/>
              </w:rPr>
            </m:ctrlPr>
          </m:sSubPr>
          <m:e>
            <m:r>
              <w:rPr>
                <w:rFonts w:ascii="Cambria Math" w:hAnsi="Cambria Math"/>
              </w:rPr>
              <m:t>χ</m:t>
            </m:r>
          </m:e>
          <m:sub>
            <m:r>
              <w:rPr>
                <w:rFonts w:ascii="Cambria Math" w:hAnsi="Cambria Math"/>
              </w:rPr>
              <m:t>i</m:t>
            </m:r>
          </m:sub>
        </m:sSub>
      </m:oMath>
      <w:r w:rsidRPr="00FC71BE">
        <w:t xml:space="preserve"> is the objective of the evaluated candidate case, </w:t>
      </w:r>
      <m:oMath>
        <m:sSub>
          <m:sSubPr>
            <m:ctrlPr>
              <w:rPr>
                <w:rFonts w:ascii="Cambria Math" w:hAnsi="Cambria Math"/>
                <w:i/>
              </w:rPr>
            </m:ctrlPr>
          </m:sSubPr>
          <m:e>
            <m:r>
              <w:rPr>
                <w:rFonts w:ascii="Cambria Math" w:hAnsi="Cambria Math"/>
              </w:rPr>
              <m:t>χ</m:t>
            </m:r>
          </m:e>
          <m:sub>
            <m:r>
              <w:rPr>
                <w:rFonts w:ascii="Cambria Math" w:hAnsi="Cambria Math"/>
              </w:rPr>
              <m:t>f</m:t>
            </m:r>
          </m:sub>
        </m:sSub>
      </m:oMath>
      <w:r w:rsidRPr="00FC71BE">
        <w:t xml:space="preserve"> is the objective of the reference case.</w:t>
      </w:r>
    </w:p>
    <w:p w14:paraId="638DCB1B" w14:textId="002F3852" w:rsidR="00C56E32" w:rsidRPr="00FC71BE" w:rsidRDefault="00C56E32" w:rsidP="00C56E32">
      <w:r w:rsidRPr="00FC71BE">
        <w:t xml:space="preserve">It is worth noting that the weight of the primary objective should be larger than the sum of the weights of secondary objectives </w:t>
      </w:r>
      <w:r w:rsidRPr="00FC71BE">
        <w:fldChar w:fldCharType="begin"/>
      </w:r>
      <w:r w:rsidR="00BA33ED" w:rsidRPr="00FC71BE">
        <w:instrText xml:space="preserve"> ADDIN EN.CITE &lt;EndNote&gt;&lt;Cite&gt;&lt;Author&gt;Lai&lt;/Author&gt;&lt;Year&gt;2017&lt;/Year&gt;&lt;RecNum&gt;20&lt;/RecNum&gt;&lt;DisplayText&gt;[126]&lt;/DisplayText&gt;&lt;record&gt;&lt;rec-number&gt;20&lt;/rec-number&gt;&lt;foreign-keys&gt;&lt;key app="EN" db-id="rf2p5e05jx0x9jep00uvx0s1fvaww2dfa0r9" timestamp="1688999551"&gt;20&lt;/key&gt;&lt;/foreign-keys&gt;&lt;ref-type name="Journal Article"&gt;17&lt;/ref-type&gt;&lt;contributors&gt;&lt;authors&gt;&lt;author&gt;Lai, Chunyan&lt;/author&gt;&lt;author&gt;Feng, Guodong&lt;/author&gt;&lt;author&gt;Iyer, K Lakshmi Varaha&lt;/author&gt;&lt;author&gt;Mukherjee, Kaushik&lt;/author&gt;&lt;author&gt;Kar, Narayan C&lt;/author&gt;&lt;/authors&gt;&lt;/contributors&gt;&lt;titles&gt;&lt;title&gt;Genetic algorithm-based current optimization for torque ripple reduction of interior PMSMs&lt;/title&gt;&lt;secondary-title&gt;IEEE Transactions on Industry Applications&lt;/secondary-title&gt;&lt;/titles&gt;&lt;periodical&gt;&lt;full-title&gt;IEEE Transactions on Industry Applications&lt;/full-title&gt;&lt;/periodical&gt;&lt;pages&gt;4493-4503&lt;/pages&gt;&lt;volume&gt;53&lt;/volume&gt;&lt;number&gt;5&lt;/number&gt;&lt;dates&gt;&lt;year&gt;2017&lt;/year&gt;&lt;/dates&gt;&lt;isbn&gt;0093-9994&lt;/isbn&gt;&lt;urls&gt;&lt;/urls&gt;&lt;/record&gt;&lt;/Cite&gt;&lt;/EndNote&gt;</w:instrText>
      </w:r>
      <w:r w:rsidRPr="00FC71BE">
        <w:fldChar w:fldCharType="separate"/>
      </w:r>
      <w:r w:rsidR="00BA33ED" w:rsidRPr="00FC71BE">
        <w:t>[126]</w:t>
      </w:r>
      <w:r w:rsidRPr="00FC71BE">
        <w:fldChar w:fldCharType="end"/>
      </w:r>
      <w:r w:rsidRPr="00FC71BE">
        <w:t>. For the aerospace application considered in this research, the torque per mass is assumed to be the most important performance of the designed modular machine as higher torque/mass will reduce the fuel consumption</w:t>
      </w:r>
      <w:r w:rsidRPr="00FC71BE">
        <w:rPr>
          <w:szCs w:val="20"/>
        </w:rPr>
        <w:t>. In addition, higher losses lead to higher temperature rise, which may cause overheating and unsafe operation condition. Therefore, minimizing losses particularly copper losses should also be regarded as important objectives for safety-critical applications. However, compared to torque/mass and losses, the cogging torque or torque ripple are relatively less important.</w:t>
      </w:r>
      <w:r w:rsidRPr="00FC71BE">
        <w:t xml:space="preserve"> Therefore, maximizing the average torque is regarded as the primary objective, which has a weight of 1. The weights for other secondary objectives such as minimum total machine mass, direct current (DC) copper loss and torque ripple are -0.4, -0.2, and -0.1, respectively. Therefore, it is worth noting that the optimal candidate will have the largest fitness function.</w:t>
      </w:r>
    </w:p>
    <w:p w14:paraId="51B5C82A" w14:textId="45949818" w:rsidR="00C56E32" w:rsidRPr="00FC71BE" w:rsidRDefault="00C56E32" w:rsidP="00C56E32">
      <w:bookmarkStart w:id="80" w:name="_Hlk54714384"/>
      <w:bookmarkEnd w:id="78"/>
      <w:r w:rsidRPr="00FC71BE">
        <w:lastRenderedPageBreak/>
        <w:t xml:space="preserve">The ranges of variables chosen for the global optimization of the modular machines by GAs are shown in </w:t>
      </w:r>
      <w:r w:rsidRPr="00FC71BE">
        <w:fldChar w:fldCharType="begin"/>
      </w:r>
      <w:r w:rsidRPr="00FC71BE">
        <w:instrText xml:space="preserve"> REF _Ref51503040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2</w:t>
      </w:r>
      <w:r w:rsidRPr="00FC71BE">
        <w:fldChar w:fldCharType="end"/>
      </w:r>
      <w:r w:rsidRPr="00FC71BE">
        <w:t>. In order to simplify the optimization, the slot fill factor and number of turns per slot are assumed to be constant while the slot area can be changed. In addition, due to the high price of rare earth materials, the volume of permanent magnets is also kept constant during the optimization process. This is the same for the stator outer diameter and the active length. Once the populations are generated by GA, the electromagnetic performance of the modular machine is simulated by FE models. As mentioned previously, the objectives of the global optimization are to search for the maximum average torque while the total machine mass, the copper loss and the torque ripple should be minimized.</w:t>
      </w:r>
    </w:p>
    <w:p w14:paraId="45CCC8AD" w14:textId="5A1A22D9" w:rsidR="00C56E32" w:rsidRPr="00FC71BE" w:rsidRDefault="00C56E32" w:rsidP="00C56E32">
      <w:pPr>
        <w:pStyle w:val="Tabletitle"/>
        <w:rPr>
          <w:color w:val="auto"/>
        </w:rPr>
      </w:pPr>
      <w:bookmarkStart w:id="81" w:name="_Ref51503040"/>
      <w:bookmarkEnd w:id="79"/>
      <w:bookmarkEnd w:id="80"/>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bookmarkEnd w:id="81"/>
      <w:r w:rsidRPr="00FC71BE">
        <w:rPr>
          <w:color w:val="auto"/>
        </w:rPr>
        <w:t xml:space="preserve"> </w:t>
      </w:r>
      <w:bookmarkStart w:id="82" w:name="_Hlk54643704"/>
      <w:r w:rsidRPr="00FC71BE">
        <w:rPr>
          <w:color w:val="auto"/>
        </w:rPr>
        <w:t>Initial values and Ranges of variables</w:t>
      </w:r>
    </w:p>
    <w:bookmarkEnd w:id="82"/>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0"/>
        <w:gridCol w:w="1998"/>
        <w:gridCol w:w="1998"/>
      </w:tblGrid>
      <w:tr w:rsidR="00FC71BE" w:rsidRPr="00FC71BE" w14:paraId="039B2C6B" w14:textId="77777777">
        <w:tc>
          <w:tcPr>
            <w:tcW w:w="2785" w:type="pct"/>
            <w:tcBorders>
              <w:top w:val="single" w:sz="4" w:space="0" w:color="auto"/>
            </w:tcBorders>
          </w:tcPr>
          <w:p w14:paraId="5C3B7162" w14:textId="77777777" w:rsidR="00C56E32" w:rsidRPr="00FC71BE" w:rsidRDefault="00C56E32">
            <w:pPr>
              <w:pStyle w:val="Table"/>
              <w:rPr>
                <w:color w:val="auto"/>
              </w:rPr>
            </w:pPr>
          </w:p>
        </w:tc>
        <w:tc>
          <w:tcPr>
            <w:tcW w:w="1107" w:type="pct"/>
            <w:tcBorders>
              <w:top w:val="single" w:sz="4" w:space="0" w:color="auto"/>
            </w:tcBorders>
          </w:tcPr>
          <w:p w14:paraId="6F79A2F3" w14:textId="77777777" w:rsidR="00C56E32" w:rsidRPr="00FC71BE" w:rsidRDefault="00C56E32">
            <w:pPr>
              <w:pStyle w:val="Table"/>
              <w:rPr>
                <w:color w:val="auto"/>
              </w:rPr>
            </w:pPr>
            <w:r w:rsidRPr="00FC71BE">
              <w:rPr>
                <w:color w:val="auto"/>
              </w:rPr>
              <w:t>Initial value</w:t>
            </w:r>
          </w:p>
        </w:tc>
        <w:tc>
          <w:tcPr>
            <w:tcW w:w="1107" w:type="pct"/>
            <w:tcBorders>
              <w:top w:val="single" w:sz="4" w:space="0" w:color="auto"/>
            </w:tcBorders>
          </w:tcPr>
          <w:p w14:paraId="286D4921" w14:textId="77777777" w:rsidR="00C56E32" w:rsidRPr="00FC71BE" w:rsidRDefault="00C56E32">
            <w:pPr>
              <w:pStyle w:val="Table"/>
              <w:rPr>
                <w:color w:val="auto"/>
              </w:rPr>
            </w:pPr>
            <w:r w:rsidRPr="00FC71BE">
              <w:rPr>
                <w:color w:val="auto"/>
              </w:rPr>
              <w:t>Range</w:t>
            </w:r>
          </w:p>
        </w:tc>
      </w:tr>
      <w:tr w:rsidR="00FC71BE" w:rsidRPr="00FC71BE" w14:paraId="5ED09A63" w14:textId="77777777">
        <w:tc>
          <w:tcPr>
            <w:tcW w:w="2785" w:type="pct"/>
          </w:tcPr>
          <w:p w14:paraId="7303A589" w14:textId="77777777" w:rsidR="00C56E32" w:rsidRPr="00FC71BE" w:rsidRDefault="00C56E32">
            <w:pPr>
              <w:pStyle w:val="Table"/>
              <w:rPr>
                <w:color w:val="auto"/>
                <w:lang w:eastAsia="zh-CN"/>
              </w:rPr>
            </w:pPr>
            <w:r w:rsidRPr="00FC71BE">
              <w:rPr>
                <w:color w:val="auto"/>
                <w:lang w:eastAsia="zh-CN"/>
              </w:rPr>
              <w:t>Split ratio</w:t>
            </w:r>
          </w:p>
        </w:tc>
        <w:tc>
          <w:tcPr>
            <w:tcW w:w="1107" w:type="pct"/>
          </w:tcPr>
          <w:p w14:paraId="6DF28076" w14:textId="77777777" w:rsidR="00C56E32" w:rsidRPr="00FC71BE" w:rsidRDefault="00C56E32">
            <w:pPr>
              <w:pStyle w:val="Table"/>
              <w:rPr>
                <w:color w:val="auto"/>
                <w:lang w:eastAsia="zh-CN"/>
              </w:rPr>
            </w:pPr>
            <w:r w:rsidRPr="00FC71BE">
              <w:rPr>
                <w:color w:val="auto"/>
                <w:lang w:eastAsia="zh-CN"/>
              </w:rPr>
              <w:t>0.80</w:t>
            </w:r>
          </w:p>
        </w:tc>
        <w:tc>
          <w:tcPr>
            <w:tcW w:w="1107" w:type="pct"/>
          </w:tcPr>
          <w:p w14:paraId="0B372D46" w14:textId="77777777" w:rsidR="00C56E32" w:rsidRPr="00FC71BE" w:rsidRDefault="00C56E32">
            <w:pPr>
              <w:pStyle w:val="Table"/>
              <w:rPr>
                <w:color w:val="auto"/>
                <w:lang w:eastAsia="zh-CN"/>
              </w:rPr>
            </w:pPr>
            <w:r w:rsidRPr="00FC71BE">
              <w:rPr>
                <w:color w:val="auto"/>
                <w:lang w:eastAsia="zh-CN"/>
              </w:rPr>
              <w:t>[0.65, 0.85]</w:t>
            </w:r>
          </w:p>
        </w:tc>
      </w:tr>
      <w:tr w:rsidR="00FC71BE" w:rsidRPr="00FC71BE" w14:paraId="134A5249" w14:textId="77777777">
        <w:tc>
          <w:tcPr>
            <w:tcW w:w="2785" w:type="pct"/>
          </w:tcPr>
          <w:p w14:paraId="03BFBE81" w14:textId="77777777" w:rsidR="00C56E32" w:rsidRPr="00FC71BE" w:rsidRDefault="00C56E32">
            <w:pPr>
              <w:pStyle w:val="Table"/>
              <w:rPr>
                <w:color w:val="auto"/>
                <w:lang w:eastAsia="zh-CN"/>
              </w:rPr>
            </w:pPr>
            <w:r w:rsidRPr="00FC71BE">
              <w:rPr>
                <w:color w:val="auto"/>
                <w:lang w:eastAsia="zh-CN"/>
              </w:rPr>
              <w:t>Stator tooth width (</w:t>
            </w:r>
            <w:r w:rsidRPr="00FC71BE">
              <w:rPr>
                <w:iCs/>
                <w:color w:val="auto"/>
                <w:lang w:eastAsia="zh-CN"/>
              </w:rPr>
              <w:t>mm)</w:t>
            </w:r>
          </w:p>
        </w:tc>
        <w:tc>
          <w:tcPr>
            <w:tcW w:w="1107" w:type="pct"/>
          </w:tcPr>
          <w:p w14:paraId="6DFC1BF9" w14:textId="77777777" w:rsidR="00C56E32" w:rsidRPr="00FC71BE" w:rsidRDefault="00C56E32">
            <w:pPr>
              <w:pStyle w:val="Table"/>
              <w:rPr>
                <w:color w:val="auto"/>
                <w:lang w:eastAsia="zh-CN"/>
              </w:rPr>
            </w:pPr>
            <w:r w:rsidRPr="00FC71BE">
              <w:rPr>
                <w:color w:val="auto"/>
                <w:lang w:eastAsia="zh-CN"/>
              </w:rPr>
              <w:t>10</w:t>
            </w:r>
          </w:p>
        </w:tc>
        <w:tc>
          <w:tcPr>
            <w:tcW w:w="1107" w:type="pct"/>
          </w:tcPr>
          <w:p w14:paraId="7BCA19BD" w14:textId="77777777" w:rsidR="00C56E32" w:rsidRPr="00FC71BE" w:rsidRDefault="00C56E32">
            <w:pPr>
              <w:pStyle w:val="Table"/>
              <w:rPr>
                <w:color w:val="auto"/>
                <w:lang w:eastAsia="zh-CN"/>
              </w:rPr>
            </w:pPr>
            <w:r w:rsidRPr="00FC71BE">
              <w:rPr>
                <w:color w:val="auto"/>
                <w:lang w:eastAsia="zh-CN"/>
              </w:rPr>
              <w:t>[5, 20]</w:t>
            </w:r>
          </w:p>
        </w:tc>
      </w:tr>
      <w:tr w:rsidR="00FC71BE" w:rsidRPr="00FC71BE" w14:paraId="00570B0F" w14:textId="77777777">
        <w:tc>
          <w:tcPr>
            <w:tcW w:w="2785" w:type="pct"/>
          </w:tcPr>
          <w:p w14:paraId="25438048" w14:textId="77777777" w:rsidR="00C56E32" w:rsidRPr="00FC71BE" w:rsidRDefault="00C56E32">
            <w:pPr>
              <w:pStyle w:val="Table"/>
              <w:rPr>
                <w:color w:val="auto"/>
                <w:lang w:eastAsia="zh-CN"/>
              </w:rPr>
            </w:pPr>
            <w:r w:rsidRPr="00FC71BE">
              <w:rPr>
                <w:color w:val="auto"/>
                <w:lang w:eastAsia="zh-CN"/>
              </w:rPr>
              <w:t>Stator yoke thickness (</w:t>
            </w:r>
            <w:r w:rsidRPr="00FC71BE">
              <w:rPr>
                <w:iCs/>
                <w:color w:val="auto"/>
                <w:lang w:eastAsia="zh-CN"/>
              </w:rPr>
              <w:t>mm)</w:t>
            </w:r>
          </w:p>
        </w:tc>
        <w:tc>
          <w:tcPr>
            <w:tcW w:w="1107" w:type="pct"/>
          </w:tcPr>
          <w:p w14:paraId="299D01C1" w14:textId="77777777" w:rsidR="00C56E32" w:rsidRPr="00FC71BE" w:rsidRDefault="00C56E32">
            <w:pPr>
              <w:pStyle w:val="Table"/>
              <w:rPr>
                <w:color w:val="auto"/>
                <w:lang w:eastAsia="zh-CN"/>
              </w:rPr>
            </w:pPr>
            <w:r w:rsidRPr="00FC71BE">
              <w:rPr>
                <w:color w:val="auto"/>
                <w:lang w:eastAsia="zh-CN"/>
              </w:rPr>
              <w:t>10</w:t>
            </w:r>
          </w:p>
        </w:tc>
        <w:tc>
          <w:tcPr>
            <w:tcW w:w="1107" w:type="pct"/>
          </w:tcPr>
          <w:p w14:paraId="07591A6A" w14:textId="77777777" w:rsidR="00C56E32" w:rsidRPr="00FC71BE" w:rsidRDefault="00C56E32">
            <w:pPr>
              <w:pStyle w:val="Table"/>
              <w:rPr>
                <w:color w:val="auto"/>
                <w:lang w:eastAsia="zh-CN"/>
              </w:rPr>
            </w:pPr>
            <w:r w:rsidRPr="00FC71BE">
              <w:rPr>
                <w:color w:val="auto"/>
                <w:lang w:eastAsia="zh-CN"/>
              </w:rPr>
              <w:t>[5, 20]</w:t>
            </w:r>
          </w:p>
        </w:tc>
      </w:tr>
      <w:tr w:rsidR="00FC71BE" w:rsidRPr="00FC71BE" w14:paraId="1B029CBC" w14:textId="77777777">
        <w:tc>
          <w:tcPr>
            <w:tcW w:w="2785" w:type="pct"/>
          </w:tcPr>
          <w:p w14:paraId="264FFAEB" w14:textId="77777777" w:rsidR="00C56E32" w:rsidRPr="00FC71BE" w:rsidRDefault="00C56E32">
            <w:pPr>
              <w:pStyle w:val="Table"/>
              <w:rPr>
                <w:color w:val="auto"/>
                <w:lang w:eastAsia="zh-CN"/>
              </w:rPr>
            </w:pPr>
            <w:r w:rsidRPr="00FC71BE">
              <w:rPr>
                <w:color w:val="auto"/>
                <w:lang w:eastAsia="zh-CN"/>
              </w:rPr>
              <w:t>Rotor yoke thickness (</w:t>
            </w:r>
            <w:r w:rsidRPr="00FC71BE">
              <w:rPr>
                <w:iCs/>
                <w:color w:val="auto"/>
                <w:lang w:eastAsia="zh-CN"/>
              </w:rPr>
              <w:t>mm)</w:t>
            </w:r>
          </w:p>
        </w:tc>
        <w:tc>
          <w:tcPr>
            <w:tcW w:w="1107" w:type="pct"/>
          </w:tcPr>
          <w:p w14:paraId="6559D340" w14:textId="77777777" w:rsidR="00C56E32" w:rsidRPr="00FC71BE" w:rsidRDefault="00C56E32">
            <w:pPr>
              <w:pStyle w:val="Table"/>
              <w:rPr>
                <w:color w:val="auto"/>
                <w:lang w:eastAsia="zh-CN"/>
              </w:rPr>
            </w:pPr>
            <w:r w:rsidRPr="00FC71BE">
              <w:rPr>
                <w:color w:val="auto"/>
                <w:lang w:eastAsia="zh-CN"/>
              </w:rPr>
              <w:t>10</w:t>
            </w:r>
          </w:p>
        </w:tc>
        <w:tc>
          <w:tcPr>
            <w:tcW w:w="1107" w:type="pct"/>
          </w:tcPr>
          <w:p w14:paraId="420A2A39" w14:textId="77777777" w:rsidR="00C56E32" w:rsidRPr="00FC71BE" w:rsidRDefault="00C56E32">
            <w:pPr>
              <w:pStyle w:val="Table"/>
              <w:rPr>
                <w:color w:val="auto"/>
                <w:lang w:eastAsia="zh-CN"/>
              </w:rPr>
            </w:pPr>
            <w:r w:rsidRPr="00FC71BE">
              <w:rPr>
                <w:color w:val="auto"/>
                <w:lang w:eastAsia="zh-CN"/>
              </w:rPr>
              <w:t>[5, 20]</w:t>
            </w:r>
          </w:p>
        </w:tc>
      </w:tr>
      <w:tr w:rsidR="00FC71BE" w:rsidRPr="00FC71BE" w14:paraId="11B265A9" w14:textId="77777777">
        <w:tc>
          <w:tcPr>
            <w:tcW w:w="2785" w:type="pct"/>
          </w:tcPr>
          <w:p w14:paraId="4E438B79" w14:textId="77777777" w:rsidR="00C56E32" w:rsidRPr="00FC71BE" w:rsidRDefault="00C56E32">
            <w:pPr>
              <w:pStyle w:val="Table"/>
              <w:rPr>
                <w:color w:val="auto"/>
                <w:lang w:eastAsia="zh-CN"/>
              </w:rPr>
            </w:pPr>
            <w:r w:rsidRPr="00FC71BE">
              <w:rPr>
                <w:color w:val="auto"/>
                <w:lang w:eastAsia="zh-CN"/>
              </w:rPr>
              <w:t>Flux gap width (</w:t>
            </w:r>
            <w:r w:rsidRPr="00FC71BE">
              <w:rPr>
                <w:iCs/>
                <w:color w:val="auto"/>
                <w:lang w:eastAsia="zh-CN"/>
              </w:rPr>
              <w:t>mm)</w:t>
            </w:r>
          </w:p>
        </w:tc>
        <w:tc>
          <w:tcPr>
            <w:tcW w:w="1107" w:type="pct"/>
          </w:tcPr>
          <w:p w14:paraId="104A7D1F" w14:textId="77777777" w:rsidR="00C56E32" w:rsidRPr="00FC71BE" w:rsidRDefault="00C56E32">
            <w:pPr>
              <w:pStyle w:val="Table"/>
              <w:rPr>
                <w:color w:val="auto"/>
                <w:lang w:eastAsia="zh-CN"/>
              </w:rPr>
            </w:pPr>
            <w:r w:rsidRPr="00FC71BE">
              <w:rPr>
                <w:color w:val="auto"/>
                <w:lang w:eastAsia="zh-CN"/>
              </w:rPr>
              <w:t>6.2</w:t>
            </w:r>
          </w:p>
        </w:tc>
        <w:tc>
          <w:tcPr>
            <w:tcW w:w="1107" w:type="pct"/>
          </w:tcPr>
          <w:p w14:paraId="14AED1C6" w14:textId="77777777" w:rsidR="00C56E32" w:rsidRPr="00FC71BE" w:rsidRDefault="00C56E32">
            <w:pPr>
              <w:pStyle w:val="Table"/>
              <w:rPr>
                <w:color w:val="auto"/>
                <w:lang w:eastAsia="zh-CN"/>
              </w:rPr>
            </w:pPr>
            <w:r w:rsidRPr="00FC71BE">
              <w:rPr>
                <w:color w:val="auto"/>
                <w:lang w:eastAsia="zh-CN"/>
              </w:rPr>
              <w:t>[0.5, 12]</w:t>
            </w:r>
          </w:p>
        </w:tc>
      </w:tr>
      <w:tr w:rsidR="005E3DFE" w:rsidRPr="00FC71BE" w14:paraId="0A5E0AF6" w14:textId="77777777">
        <w:tc>
          <w:tcPr>
            <w:tcW w:w="2785" w:type="pct"/>
            <w:tcBorders>
              <w:bottom w:val="double" w:sz="4" w:space="0" w:color="auto"/>
            </w:tcBorders>
          </w:tcPr>
          <w:p w14:paraId="03F2B7E0" w14:textId="77777777" w:rsidR="00C56E32" w:rsidRPr="00FC71BE" w:rsidRDefault="00C56E32">
            <w:pPr>
              <w:pStyle w:val="Table"/>
              <w:rPr>
                <w:color w:val="auto"/>
                <w:lang w:eastAsia="zh-CN"/>
              </w:rPr>
            </w:pPr>
            <w:r w:rsidRPr="00FC71BE">
              <w:rPr>
                <w:color w:val="auto"/>
                <w:lang w:eastAsia="zh-CN"/>
              </w:rPr>
              <w:t>Magnet thickness (mm)</w:t>
            </w:r>
          </w:p>
        </w:tc>
        <w:tc>
          <w:tcPr>
            <w:tcW w:w="1107" w:type="pct"/>
            <w:tcBorders>
              <w:bottom w:val="double" w:sz="4" w:space="0" w:color="auto"/>
            </w:tcBorders>
          </w:tcPr>
          <w:p w14:paraId="1184B7B0" w14:textId="77777777" w:rsidR="00C56E32" w:rsidRPr="00FC71BE" w:rsidRDefault="00C56E32">
            <w:pPr>
              <w:pStyle w:val="Table"/>
              <w:rPr>
                <w:color w:val="auto"/>
                <w:lang w:eastAsia="zh-CN"/>
              </w:rPr>
            </w:pPr>
            <w:r w:rsidRPr="00FC71BE">
              <w:rPr>
                <w:color w:val="auto"/>
                <w:lang w:eastAsia="zh-CN"/>
              </w:rPr>
              <w:t>7</w:t>
            </w:r>
          </w:p>
        </w:tc>
        <w:tc>
          <w:tcPr>
            <w:tcW w:w="1107" w:type="pct"/>
            <w:tcBorders>
              <w:bottom w:val="double" w:sz="4" w:space="0" w:color="auto"/>
            </w:tcBorders>
          </w:tcPr>
          <w:p w14:paraId="2B878DF7" w14:textId="77777777" w:rsidR="00C56E32" w:rsidRPr="00FC71BE" w:rsidRDefault="00C56E32">
            <w:pPr>
              <w:pStyle w:val="Table"/>
              <w:rPr>
                <w:color w:val="auto"/>
                <w:lang w:eastAsia="zh-CN"/>
              </w:rPr>
            </w:pPr>
            <w:r w:rsidRPr="00FC71BE">
              <w:rPr>
                <w:color w:val="auto"/>
                <w:lang w:eastAsia="zh-CN"/>
              </w:rPr>
              <w:t>[8.75, 6.2]</w:t>
            </w:r>
          </w:p>
        </w:tc>
      </w:tr>
    </w:tbl>
    <w:p w14:paraId="54D724C1" w14:textId="77777777" w:rsidR="00C56E32" w:rsidRPr="00FC71BE" w:rsidRDefault="00C56E32" w:rsidP="00C56E32">
      <w:pPr>
        <w:pStyle w:val="Table"/>
        <w:rPr>
          <w:color w:val="auto"/>
        </w:rPr>
      </w:pPr>
    </w:p>
    <w:p w14:paraId="5CA9F274" w14:textId="77777777" w:rsidR="00C56E32" w:rsidRPr="00FC71BE" w:rsidRDefault="00C56E32" w:rsidP="00B86C68">
      <w:pPr>
        <w:pStyle w:val="Heading3"/>
        <w:numPr>
          <w:ilvl w:val="2"/>
          <w:numId w:val="49"/>
        </w:numPr>
      </w:pPr>
      <w:bookmarkStart w:id="83" w:name="_Toc157695340"/>
      <w:r w:rsidRPr="00FC71BE">
        <w:t>Optimization for the 24-slot/28-pole SPM Machine.</w:t>
      </w:r>
      <w:bookmarkEnd w:id="83"/>
    </w:p>
    <w:p w14:paraId="7EC72D05" w14:textId="10C93113" w:rsidR="00C56E32" w:rsidRPr="00FC71BE" w:rsidRDefault="00C56E32" w:rsidP="00C56E32">
      <w:r w:rsidRPr="00FC71BE">
        <w:t xml:space="preserve">In order to optimize the 6 variables shown in </w:t>
      </w:r>
      <w:r w:rsidRPr="00FC71BE">
        <w:fldChar w:fldCharType="begin"/>
      </w:r>
      <w:r w:rsidRPr="00FC71BE">
        <w:instrText xml:space="preserve"> REF _Ref51503040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2</w:t>
      </w:r>
      <w:r w:rsidRPr="00FC71BE">
        <w:fldChar w:fldCharType="end"/>
      </w:r>
      <w:r w:rsidRPr="00FC71BE">
        <w:t xml:space="preserve">, 1397 cases are generated to find the global optimum. As the primary objective, the average torque is used as y-axis to derive the correlation curve with other three secondary objectives and the optimal case is calculated by the fitness function in </w:t>
      </w:r>
      <w:r w:rsidRPr="00FC71BE">
        <w:fldChar w:fldCharType="begin"/>
      </w:r>
      <w:r w:rsidRPr="00FC71BE">
        <w:instrText xml:space="preserve"> REF _Ref125486843 \h </w:instrText>
      </w:r>
      <w:r w:rsidRPr="00FC71BE">
        <w:fldChar w:fldCharType="separate"/>
      </w:r>
      <w:r w:rsidR="007E62C1" w:rsidRPr="00FC71BE">
        <w:t>(</w:t>
      </w:r>
      <w:r w:rsidR="007E62C1" w:rsidRPr="00FC71BE">
        <w:rPr>
          <w:noProof/>
        </w:rPr>
        <w:t>2</w:t>
      </w:r>
      <w:r w:rsidR="007E62C1" w:rsidRPr="00FC71BE">
        <w:t>.</w:t>
      </w:r>
      <w:r w:rsidR="007E62C1" w:rsidRPr="00FC71BE">
        <w:rPr>
          <w:noProof/>
        </w:rPr>
        <w:t>1</w:t>
      </w:r>
      <w:r w:rsidR="007E62C1" w:rsidRPr="00FC71BE">
        <w:t>)</w:t>
      </w:r>
      <w:r w:rsidRPr="00FC71BE">
        <w:fldChar w:fldCharType="end"/>
      </w:r>
      <w:r w:rsidRPr="00FC71BE">
        <w:t xml:space="preserve"> and </w:t>
      </w:r>
      <w:r w:rsidRPr="00FC71BE">
        <w:fldChar w:fldCharType="begin"/>
      </w:r>
      <w:r w:rsidRPr="00FC71BE">
        <w:instrText xml:space="preserve"> REF _Ref52221876 \h  \* MERGEFORMAT </w:instrText>
      </w:r>
      <w:r w:rsidRPr="00FC71BE">
        <w:fldChar w:fldCharType="separate"/>
      </w:r>
      <w:r w:rsidR="007E62C1" w:rsidRPr="00FC71BE">
        <w:rPr>
          <w:rFonts w:cs="Times New Roman"/>
        </w:rPr>
        <w:t>(2.2)</w:t>
      </w:r>
      <w:r w:rsidRPr="00FC71BE">
        <w:fldChar w:fldCharType="end"/>
      </w:r>
      <w:r w:rsidRPr="00FC71BE">
        <w:t xml:space="preserve">, as shown in </w:t>
      </w:r>
      <w:r w:rsidRPr="00FC71BE">
        <w:fldChar w:fldCharType="begin"/>
      </w:r>
      <w:r w:rsidRPr="00FC71BE">
        <w:instrText xml:space="preserve"> REF _Ref125486593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3</w:t>
      </w:r>
      <w:r w:rsidRPr="00FC71BE">
        <w:fldChar w:fldCharType="end"/>
      </w:r>
      <w:r w:rsidRPr="00FC71BE">
        <w:t xml:space="preserve">, where the optimal cases are highlighted. The comparison of variables between the initial design and the optimal design is shown in </w:t>
      </w:r>
      <w:r w:rsidRPr="00FC71BE">
        <w:fldChar w:fldCharType="begin"/>
      </w:r>
      <w:r w:rsidRPr="00FC71BE">
        <w:instrText xml:space="preserve"> REF _Ref51530224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3</w:t>
      </w:r>
      <w:r w:rsidRPr="00FC71BE">
        <w:fldChar w:fldCharType="end"/>
      </w:r>
      <w:r w:rsidRPr="00FC71BE">
        <w:t>.</w:t>
      </w:r>
    </w:p>
    <w:p w14:paraId="3A1713B3" w14:textId="77777777" w:rsidR="00C56E32" w:rsidRPr="00FC71BE" w:rsidRDefault="00C56E32" w:rsidP="00C56E32">
      <w:r w:rsidRPr="00FC71BE">
        <w:t xml:space="preserve">After the GA optimization, the average torque is increased by 16.1%. In addition, the total machine mass and torque ripple are reduced by 16.4% and 87.3%, respectively. Even though the copper loss is increased by 25.5%, the efficiency of the optimized modular machine is slightly increased from 95.3% to 95.4%, which benefits from the significant increase in output power. Therefore, significant improvement in electromagnetic performance can be achieved by the optimization. It has been found that the flux gap width needs to be increased for optimized electromagnetic performance. Furthermore, increasing stator yoke height and rotor thickness can also increase the average torque, but their impact diminishes when the value is large enough. It is worth noting that increasing the split ratio can increase the average torque and significantly reduce the total machine mass, while the disadvantage of doing so is the </w:t>
      </w:r>
      <w:r w:rsidRPr="00FC71BE">
        <w:lastRenderedPageBreak/>
        <w:t>increased copper loss. However, the weight of copper loss (0.2) in the fitness function is much smaller than the sum of that of average torque (1) and total machine mass (0.4) due to specific requirements of aerospace application. Hence, the negative influence of increasing split ratio is little and its value can reach about 0.84 which is close to the top end of the split ratio range, i.e., [0.65, 0.85].</w:t>
      </w:r>
    </w:p>
    <w:p w14:paraId="225B8FAC" w14:textId="49DCC98F" w:rsidR="00C56E32" w:rsidRPr="00FC71BE" w:rsidRDefault="00C56E32" w:rsidP="00C56E32">
      <w:pPr>
        <w:pStyle w:val="Tabletitle"/>
        <w:rPr>
          <w:color w:val="auto"/>
        </w:rPr>
      </w:pPr>
      <w:bookmarkStart w:id="84" w:name="_Ref51530224"/>
      <w:bookmarkStart w:id="85" w:name="_Hlk54721984"/>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bookmarkEnd w:id="84"/>
      <w:r w:rsidRPr="00FC71BE">
        <w:rPr>
          <w:color w:val="auto"/>
        </w:rPr>
        <w:t xml:space="preserve"> </w:t>
      </w:r>
      <w:bookmarkStart w:id="86" w:name="_Hlk54643922"/>
      <w:r w:rsidRPr="00FC71BE">
        <w:rPr>
          <w:color w:val="auto"/>
        </w:rPr>
        <w:t xml:space="preserve">Comparison between Original and Optimal Cases of </w:t>
      </w:r>
      <w:bookmarkStart w:id="87" w:name="_Hlk54644054"/>
      <w:r w:rsidRPr="00FC71BE">
        <w:rPr>
          <w:color w:val="auto"/>
        </w:rPr>
        <w:t xml:space="preserve">24-slot/28-pole </w:t>
      </w:r>
      <w:bookmarkEnd w:id="87"/>
      <w:r w:rsidRPr="00FC71BE">
        <w:rPr>
          <w:color w:val="auto"/>
        </w:rPr>
        <w:t>Modular Machines</w:t>
      </w:r>
    </w:p>
    <w:bookmarkEnd w:id="86"/>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3"/>
        <w:gridCol w:w="1419"/>
        <w:gridCol w:w="1403"/>
        <w:gridCol w:w="2231"/>
      </w:tblGrid>
      <w:tr w:rsidR="00FC71BE" w:rsidRPr="00FC71BE" w14:paraId="75403EC4" w14:textId="77777777">
        <w:tc>
          <w:tcPr>
            <w:tcW w:w="2201" w:type="pct"/>
            <w:tcBorders>
              <w:top w:val="single" w:sz="4" w:space="0" w:color="auto"/>
              <w:bottom w:val="single" w:sz="4" w:space="0" w:color="auto"/>
            </w:tcBorders>
          </w:tcPr>
          <w:p w14:paraId="2DA38490" w14:textId="77777777" w:rsidR="00C56E32" w:rsidRPr="00FC71BE" w:rsidRDefault="00C56E32">
            <w:pPr>
              <w:pStyle w:val="Table"/>
              <w:rPr>
                <w:color w:val="auto"/>
                <w:lang w:eastAsia="zh-CN"/>
              </w:rPr>
            </w:pPr>
          </w:p>
        </w:tc>
        <w:tc>
          <w:tcPr>
            <w:tcW w:w="786" w:type="pct"/>
            <w:tcBorders>
              <w:top w:val="single" w:sz="4" w:space="0" w:color="auto"/>
              <w:bottom w:val="single" w:sz="4" w:space="0" w:color="auto"/>
            </w:tcBorders>
          </w:tcPr>
          <w:p w14:paraId="7521624C" w14:textId="77777777" w:rsidR="00C56E32" w:rsidRPr="00FC71BE" w:rsidRDefault="00C56E32">
            <w:pPr>
              <w:pStyle w:val="Table"/>
              <w:rPr>
                <w:color w:val="auto"/>
                <w:lang w:eastAsia="zh-CN"/>
              </w:rPr>
            </w:pPr>
            <w:r w:rsidRPr="00FC71BE">
              <w:rPr>
                <w:color w:val="auto"/>
                <w:lang w:eastAsia="zh-CN"/>
              </w:rPr>
              <w:t>Original</w:t>
            </w:r>
          </w:p>
        </w:tc>
        <w:tc>
          <w:tcPr>
            <w:tcW w:w="777" w:type="pct"/>
            <w:tcBorders>
              <w:top w:val="single" w:sz="4" w:space="0" w:color="auto"/>
              <w:bottom w:val="single" w:sz="4" w:space="0" w:color="auto"/>
            </w:tcBorders>
          </w:tcPr>
          <w:p w14:paraId="1CC50395" w14:textId="77777777" w:rsidR="00C56E32" w:rsidRPr="00FC71BE" w:rsidRDefault="00C56E32">
            <w:pPr>
              <w:pStyle w:val="Table"/>
              <w:rPr>
                <w:color w:val="auto"/>
                <w:lang w:eastAsia="zh-CN"/>
              </w:rPr>
            </w:pPr>
            <w:r w:rsidRPr="00FC71BE">
              <w:rPr>
                <w:color w:val="auto"/>
                <w:lang w:eastAsia="zh-CN"/>
              </w:rPr>
              <w:t>Optimal</w:t>
            </w:r>
          </w:p>
        </w:tc>
        <w:tc>
          <w:tcPr>
            <w:tcW w:w="1236" w:type="pct"/>
            <w:tcBorders>
              <w:top w:val="single" w:sz="4" w:space="0" w:color="auto"/>
              <w:bottom w:val="single" w:sz="4" w:space="0" w:color="auto"/>
            </w:tcBorders>
          </w:tcPr>
          <w:p w14:paraId="4D273C47" w14:textId="77777777" w:rsidR="00C56E32" w:rsidRPr="00FC71BE" w:rsidRDefault="00C56E32">
            <w:pPr>
              <w:pStyle w:val="Table"/>
              <w:rPr>
                <w:color w:val="auto"/>
                <w:lang w:eastAsia="zh-CN"/>
              </w:rPr>
            </w:pPr>
            <w:r w:rsidRPr="00FC71BE">
              <w:rPr>
                <w:color w:val="auto"/>
                <w:lang w:eastAsia="zh-CN"/>
              </w:rPr>
              <w:t>Difference (</w:t>
            </w:r>
            <w:r w:rsidRPr="00FC71BE">
              <w:rPr>
                <w:i/>
                <w:iCs/>
                <w:color w:val="auto"/>
                <w:lang w:eastAsia="zh-CN"/>
              </w:rPr>
              <w:t>%</w:t>
            </w:r>
            <w:r w:rsidRPr="00FC71BE">
              <w:rPr>
                <w:color w:val="auto"/>
                <w:lang w:eastAsia="zh-CN"/>
              </w:rPr>
              <w:t>)</w:t>
            </w:r>
          </w:p>
        </w:tc>
      </w:tr>
      <w:tr w:rsidR="00FC71BE" w:rsidRPr="00FC71BE" w14:paraId="4F6F82C0" w14:textId="77777777">
        <w:tc>
          <w:tcPr>
            <w:tcW w:w="2201" w:type="pct"/>
            <w:tcBorders>
              <w:top w:val="single" w:sz="4" w:space="0" w:color="auto"/>
            </w:tcBorders>
          </w:tcPr>
          <w:p w14:paraId="3CB4D047" w14:textId="77777777" w:rsidR="00C56E32" w:rsidRPr="00FC71BE" w:rsidRDefault="00C56E32">
            <w:pPr>
              <w:pStyle w:val="Table"/>
              <w:rPr>
                <w:color w:val="auto"/>
                <w:lang w:eastAsia="zh-CN"/>
              </w:rPr>
            </w:pPr>
            <w:r w:rsidRPr="00FC71BE">
              <w:rPr>
                <w:color w:val="auto"/>
                <w:lang w:eastAsia="zh-CN"/>
              </w:rPr>
              <w:t>Split ratio</w:t>
            </w:r>
          </w:p>
        </w:tc>
        <w:tc>
          <w:tcPr>
            <w:tcW w:w="786" w:type="pct"/>
            <w:tcBorders>
              <w:top w:val="single" w:sz="4" w:space="0" w:color="auto"/>
            </w:tcBorders>
          </w:tcPr>
          <w:p w14:paraId="7FA6FCFF" w14:textId="77777777" w:rsidR="00C56E32" w:rsidRPr="00FC71BE" w:rsidRDefault="00C56E32">
            <w:pPr>
              <w:pStyle w:val="Table"/>
              <w:rPr>
                <w:color w:val="auto"/>
                <w:lang w:eastAsia="zh-CN"/>
              </w:rPr>
            </w:pPr>
            <w:r w:rsidRPr="00FC71BE">
              <w:rPr>
                <w:color w:val="auto"/>
                <w:lang w:eastAsia="zh-CN"/>
              </w:rPr>
              <w:t>0.80</w:t>
            </w:r>
          </w:p>
        </w:tc>
        <w:tc>
          <w:tcPr>
            <w:tcW w:w="777" w:type="pct"/>
            <w:tcBorders>
              <w:top w:val="single" w:sz="4" w:space="0" w:color="auto"/>
            </w:tcBorders>
          </w:tcPr>
          <w:p w14:paraId="4444AE3C" w14:textId="77777777" w:rsidR="00C56E32" w:rsidRPr="00FC71BE" w:rsidRDefault="00C56E32">
            <w:pPr>
              <w:pStyle w:val="Table"/>
              <w:rPr>
                <w:color w:val="auto"/>
                <w:lang w:eastAsia="zh-CN"/>
              </w:rPr>
            </w:pPr>
            <w:r w:rsidRPr="00FC71BE">
              <w:rPr>
                <w:color w:val="auto"/>
                <w:lang w:eastAsia="zh-CN"/>
              </w:rPr>
              <w:t>0.84</w:t>
            </w:r>
          </w:p>
        </w:tc>
        <w:tc>
          <w:tcPr>
            <w:tcW w:w="1236" w:type="pct"/>
            <w:tcBorders>
              <w:top w:val="single" w:sz="4" w:space="0" w:color="auto"/>
            </w:tcBorders>
          </w:tcPr>
          <w:p w14:paraId="19DD0758" w14:textId="77777777" w:rsidR="00C56E32" w:rsidRPr="00FC71BE" w:rsidRDefault="00C56E32">
            <w:pPr>
              <w:pStyle w:val="Table"/>
              <w:rPr>
                <w:color w:val="auto"/>
                <w:lang w:eastAsia="zh-CN"/>
              </w:rPr>
            </w:pPr>
            <w:r w:rsidRPr="00FC71BE">
              <w:rPr>
                <w:color w:val="auto"/>
                <w:lang w:eastAsia="zh-CN"/>
              </w:rPr>
              <w:t>5.0</w:t>
            </w:r>
          </w:p>
        </w:tc>
      </w:tr>
      <w:tr w:rsidR="00FC71BE" w:rsidRPr="00FC71BE" w14:paraId="645DC030" w14:textId="77777777">
        <w:tc>
          <w:tcPr>
            <w:tcW w:w="2201" w:type="pct"/>
          </w:tcPr>
          <w:p w14:paraId="03F7DA0B" w14:textId="77777777" w:rsidR="00C56E32" w:rsidRPr="00FC71BE" w:rsidRDefault="00C56E32">
            <w:pPr>
              <w:pStyle w:val="Table"/>
              <w:rPr>
                <w:color w:val="auto"/>
                <w:lang w:eastAsia="zh-CN"/>
              </w:rPr>
            </w:pPr>
            <w:r w:rsidRPr="00FC71BE">
              <w:rPr>
                <w:color w:val="auto"/>
                <w:lang w:eastAsia="zh-CN"/>
              </w:rPr>
              <w:t>Stator tooth width (</w:t>
            </w:r>
            <w:r w:rsidRPr="00FC71BE">
              <w:rPr>
                <w:iCs/>
                <w:color w:val="auto"/>
                <w:lang w:eastAsia="zh-CN"/>
              </w:rPr>
              <w:t>mm</w:t>
            </w:r>
            <w:r w:rsidRPr="00FC71BE">
              <w:rPr>
                <w:color w:val="auto"/>
                <w:lang w:eastAsia="zh-CN"/>
              </w:rPr>
              <w:t>)</w:t>
            </w:r>
          </w:p>
        </w:tc>
        <w:tc>
          <w:tcPr>
            <w:tcW w:w="786" w:type="pct"/>
          </w:tcPr>
          <w:p w14:paraId="567486C0" w14:textId="77777777" w:rsidR="00C56E32" w:rsidRPr="00FC71BE" w:rsidRDefault="00C56E32">
            <w:pPr>
              <w:pStyle w:val="Table"/>
              <w:rPr>
                <w:color w:val="auto"/>
                <w:lang w:eastAsia="zh-CN"/>
              </w:rPr>
            </w:pPr>
            <w:r w:rsidRPr="00FC71BE">
              <w:rPr>
                <w:color w:val="auto"/>
                <w:lang w:eastAsia="zh-CN"/>
              </w:rPr>
              <w:t>10.0</w:t>
            </w:r>
          </w:p>
        </w:tc>
        <w:tc>
          <w:tcPr>
            <w:tcW w:w="777" w:type="pct"/>
          </w:tcPr>
          <w:p w14:paraId="4F625AC7" w14:textId="77777777" w:rsidR="00C56E32" w:rsidRPr="00FC71BE" w:rsidRDefault="00C56E32">
            <w:pPr>
              <w:pStyle w:val="Table"/>
              <w:rPr>
                <w:color w:val="auto"/>
                <w:lang w:eastAsia="zh-CN"/>
              </w:rPr>
            </w:pPr>
            <w:r w:rsidRPr="00FC71BE">
              <w:rPr>
                <w:color w:val="auto"/>
                <w:lang w:eastAsia="zh-CN"/>
              </w:rPr>
              <w:t>13.2</w:t>
            </w:r>
          </w:p>
        </w:tc>
        <w:tc>
          <w:tcPr>
            <w:tcW w:w="1236" w:type="pct"/>
          </w:tcPr>
          <w:p w14:paraId="0B4154C5" w14:textId="77777777" w:rsidR="00C56E32" w:rsidRPr="00FC71BE" w:rsidRDefault="00C56E32">
            <w:pPr>
              <w:pStyle w:val="Table"/>
              <w:rPr>
                <w:color w:val="auto"/>
                <w:lang w:eastAsia="zh-CN"/>
              </w:rPr>
            </w:pPr>
            <w:r w:rsidRPr="00FC71BE">
              <w:rPr>
                <w:color w:val="auto"/>
                <w:lang w:eastAsia="zh-CN"/>
              </w:rPr>
              <w:t>32.0</w:t>
            </w:r>
          </w:p>
        </w:tc>
      </w:tr>
      <w:tr w:rsidR="00FC71BE" w:rsidRPr="00FC71BE" w14:paraId="367F7026" w14:textId="77777777">
        <w:tc>
          <w:tcPr>
            <w:tcW w:w="2201" w:type="pct"/>
          </w:tcPr>
          <w:p w14:paraId="7BA2DB3C" w14:textId="77777777" w:rsidR="00C56E32" w:rsidRPr="00FC71BE" w:rsidRDefault="00C56E32">
            <w:pPr>
              <w:pStyle w:val="Table"/>
              <w:rPr>
                <w:color w:val="auto"/>
                <w:lang w:eastAsia="zh-CN"/>
              </w:rPr>
            </w:pPr>
            <w:r w:rsidRPr="00FC71BE">
              <w:rPr>
                <w:color w:val="auto"/>
                <w:lang w:eastAsia="zh-CN"/>
              </w:rPr>
              <w:t>Stator yoke thickness (</w:t>
            </w:r>
            <w:r w:rsidRPr="00FC71BE">
              <w:rPr>
                <w:iCs/>
                <w:color w:val="auto"/>
                <w:lang w:eastAsia="zh-CN"/>
              </w:rPr>
              <w:t>mm</w:t>
            </w:r>
            <w:r w:rsidRPr="00FC71BE">
              <w:rPr>
                <w:color w:val="auto"/>
                <w:lang w:eastAsia="zh-CN"/>
              </w:rPr>
              <w:t>)</w:t>
            </w:r>
          </w:p>
        </w:tc>
        <w:tc>
          <w:tcPr>
            <w:tcW w:w="786" w:type="pct"/>
          </w:tcPr>
          <w:p w14:paraId="31C178EB" w14:textId="77777777" w:rsidR="00C56E32" w:rsidRPr="00FC71BE" w:rsidRDefault="00C56E32">
            <w:pPr>
              <w:pStyle w:val="Table"/>
              <w:rPr>
                <w:color w:val="auto"/>
                <w:lang w:eastAsia="zh-CN"/>
              </w:rPr>
            </w:pPr>
            <w:r w:rsidRPr="00FC71BE">
              <w:rPr>
                <w:color w:val="auto"/>
                <w:lang w:eastAsia="zh-CN"/>
              </w:rPr>
              <w:t>10.0</w:t>
            </w:r>
          </w:p>
        </w:tc>
        <w:tc>
          <w:tcPr>
            <w:tcW w:w="777" w:type="pct"/>
          </w:tcPr>
          <w:p w14:paraId="6648AD67" w14:textId="77777777" w:rsidR="00C56E32" w:rsidRPr="00FC71BE" w:rsidRDefault="00C56E32">
            <w:pPr>
              <w:pStyle w:val="Table"/>
              <w:rPr>
                <w:color w:val="auto"/>
                <w:lang w:eastAsia="zh-CN"/>
              </w:rPr>
            </w:pPr>
            <w:r w:rsidRPr="00FC71BE">
              <w:rPr>
                <w:color w:val="auto"/>
                <w:lang w:eastAsia="zh-CN"/>
              </w:rPr>
              <w:t>5.6</w:t>
            </w:r>
          </w:p>
        </w:tc>
        <w:tc>
          <w:tcPr>
            <w:tcW w:w="1236" w:type="pct"/>
          </w:tcPr>
          <w:p w14:paraId="0D31470D" w14:textId="77777777" w:rsidR="00C56E32" w:rsidRPr="00FC71BE" w:rsidRDefault="00C56E32">
            <w:pPr>
              <w:pStyle w:val="Table"/>
              <w:rPr>
                <w:color w:val="auto"/>
                <w:lang w:eastAsia="zh-CN"/>
              </w:rPr>
            </w:pPr>
            <w:r w:rsidRPr="00FC71BE">
              <w:rPr>
                <w:color w:val="auto"/>
                <w:lang w:eastAsia="zh-CN"/>
              </w:rPr>
              <w:t>-44.0</w:t>
            </w:r>
          </w:p>
        </w:tc>
      </w:tr>
      <w:tr w:rsidR="00FC71BE" w:rsidRPr="00FC71BE" w14:paraId="568B8C9A" w14:textId="77777777">
        <w:tc>
          <w:tcPr>
            <w:tcW w:w="2201" w:type="pct"/>
          </w:tcPr>
          <w:p w14:paraId="51FE4502" w14:textId="77777777" w:rsidR="00C56E32" w:rsidRPr="00FC71BE" w:rsidRDefault="00C56E32">
            <w:pPr>
              <w:pStyle w:val="Table"/>
              <w:rPr>
                <w:color w:val="auto"/>
                <w:lang w:eastAsia="zh-CN"/>
              </w:rPr>
            </w:pPr>
            <w:r w:rsidRPr="00FC71BE">
              <w:rPr>
                <w:color w:val="auto"/>
                <w:lang w:eastAsia="zh-CN"/>
              </w:rPr>
              <w:t>Rotor yoke thickness (</w:t>
            </w:r>
            <w:r w:rsidRPr="00FC71BE">
              <w:rPr>
                <w:iCs/>
                <w:color w:val="auto"/>
                <w:lang w:eastAsia="zh-CN"/>
              </w:rPr>
              <w:t>mm</w:t>
            </w:r>
            <w:r w:rsidRPr="00FC71BE">
              <w:rPr>
                <w:color w:val="auto"/>
                <w:lang w:eastAsia="zh-CN"/>
              </w:rPr>
              <w:t>)</w:t>
            </w:r>
          </w:p>
        </w:tc>
        <w:tc>
          <w:tcPr>
            <w:tcW w:w="786" w:type="pct"/>
          </w:tcPr>
          <w:p w14:paraId="22AA4A73" w14:textId="77777777" w:rsidR="00C56E32" w:rsidRPr="00FC71BE" w:rsidRDefault="00C56E32">
            <w:pPr>
              <w:pStyle w:val="Table"/>
              <w:rPr>
                <w:color w:val="auto"/>
                <w:lang w:eastAsia="zh-CN"/>
              </w:rPr>
            </w:pPr>
            <w:r w:rsidRPr="00FC71BE">
              <w:rPr>
                <w:color w:val="auto"/>
                <w:lang w:eastAsia="zh-CN"/>
              </w:rPr>
              <w:t>10.0</w:t>
            </w:r>
          </w:p>
        </w:tc>
        <w:tc>
          <w:tcPr>
            <w:tcW w:w="777" w:type="pct"/>
          </w:tcPr>
          <w:p w14:paraId="79F6E6C1" w14:textId="77777777" w:rsidR="00C56E32" w:rsidRPr="00FC71BE" w:rsidRDefault="00C56E32">
            <w:pPr>
              <w:pStyle w:val="Table"/>
              <w:rPr>
                <w:color w:val="auto"/>
                <w:lang w:eastAsia="zh-CN"/>
              </w:rPr>
            </w:pPr>
            <w:r w:rsidRPr="00FC71BE">
              <w:rPr>
                <w:color w:val="auto"/>
                <w:lang w:eastAsia="zh-CN"/>
              </w:rPr>
              <w:t>8.6</w:t>
            </w:r>
          </w:p>
        </w:tc>
        <w:tc>
          <w:tcPr>
            <w:tcW w:w="1236" w:type="pct"/>
          </w:tcPr>
          <w:p w14:paraId="0FFF772C" w14:textId="77777777" w:rsidR="00C56E32" w:rsidRPr="00FC71BE" w:rsidRDefault="00C56E32">
            <w:pPr>
              <w:pStyle w:val="Table"/>
              <w:rPr>
                <w:color w:val="auto"/>
                <w:lang w:eastAsia="zh-CN"/>
              </w:rPr>
            </w:pPr>
            <w:r w:rsidRPr="00FC71BE">
              <w:rPr>
                <w:color w:val="auto"/>
                <w:lang w:eastAsia="zh-CN"/>
              </w:rPr>
              <w:t>-14.0</w:t>
            </w:r>
          </w:p>
        </w:tc>
      </w:tr>
      <w:tr w:rsidR="00FC71BE" w:rsidRPr="00FC71BE" w14:paraId="7E3B86A5" w14:textId="77777777">
        <w:tc>
          <w:tcPr>
            <w:tcW w:w="2201" w:type="pct"/>
          </w:tcPr>
          <w:p w14:paraId="429DE3EF" w14:textId="77777777" w:rsidR="00C56E32" w:rsidRPr="00FC71BE" w:rsidRDefault="00C56E32">
            <w:pPr>
              <w:pStyle w:val="Table"/>
              <w:rPr>
                <w:color w:val="auto"/>
                <w:lang w:eastAsia="zh-CN"/>
              </w:rPr>
            </w:pPr>
            <w:r w:rsidRPr="00FC71BE">
              <w:rPr>
                <w:color w:val="auto"/>
                <w:lang w:eastAsia="zh-CN"/>
              </w:rPr>
              <w:t>Flux gap width (</w:t>
            </w:r>
            <w:r w:rsidRPr="00FC71BE">
              <w:rPr>
                <w:iCs/>
                <w:color w:val="auto"/>
                <w:lang w:eastAsia="zh-CN"/>
              </w:rPr>
              <w:t>mm</w:t>
            </w:r>
            <w:r w:rsidRPr="00FC71BE">
              <w:rPr>
                <w:color w:val="auto"/>
                <w:lang w:eastAsia="zh-CN"/>
              </w:rPr>
              <w:t>)</w:t>
            </w:r>
          </w:p>
        </w:tc>
        <w:tc>
          <w:tcPr>
            <w:tcW w:w="786" w:type="pct"/>
          </w:tcPr>
          <w:p w14:paraId="3E3E288F" w14:textId="77777777" w:rsidR="00C56E32" w:rsidRPr="00FC71BE" w:rsidRDefault="00C56E32">
            <w:pPr>
              <w:pStyle w:val="Table"/>
              <w:rPr>
                <w:color w:val="auto"/>
                <w:lang w:eastAsia="zh-CN"/>
              </w:rPr>
            </w:pPr>
            <w:r w:rsidRPr="00FC71BE">
              <w:rPr>
                <w:color w:val="auto"/>
                <w:lang w:eastAsia="zh-CN"/>
              </w:rPr>
              <w:t>6.2</w:t>
            </w:r>
          </w:p>
        </w:tc>
        <w:tc>
          <w:tcPr>
            <w:tcW w:w="777" w:type="pct"/>
          </w:tcPr>
          <w:p w14:paraId="71A6BC87" w14:textId="77777777" w:rsidR="00C56E32" w:rsidRPr="00FC71BE" w:rsidRDefault="00C56E32">
            <w:pPr>
              <w:pStyle w:val="Table"/>
              <w:rPr>
                <w:color w:val="auto"/>
                <w:lang w:eastAsia="zh-CN"/>
              </w:rPr>
            </w:pPr>
            <w:r w:rsidRPr="00FC71BE">
              <w:rPr>
                <w:color w:val="auto"/>
                <w:lang w:eastAsia="zh-CN"/>
              </w:rPr>
              <w:t>10.2</w:t>
            </w:r>
          </w:p>
        </w:tc>
        <w:tc>
          <w:tcPr>
            <w:tcW w:w="1236" w:type="pct"/>
          </w:tcPr>
          <w:p w14:paraId="249B8B4B" w14:textId="77777777" w:rsidR="00C56E32" w:rsidRPr="00FC71BE" w:rsidRDefault="00C56E32">
            <w:pPr>
              <w:pStyle w:val="Table"/>
              <w:rPr>
                <w:color w:val="auto"/>
                <w:lang w:eastAsia="zh-CN"/>
              </w:rPr>
            </w:pPr>
            <w:r w:rsidRPr="00FC71BE">
              <w:rPr>
                <w:color w:val="auto"/>
                <w:lang w:eastAsia="zh-CN"/>
              </w:rPr>
              <w:t>64.5</w:t>
            </w:r>
          </w:p>
        </w:tc>
      </w:tr>
      <w:tr w:rsidR="00FC71BE" w:rsidRPr="00FC71BE" w14:paraId="536838B8" w14:textId="77777777">
        <w:tc>
          <w:tcPr>
            <w:tcW w:w="2201" w:type="pct"/>
          </w:tcPr>
          <w:p w14:paraId="4CA9764E" w14:textId="77777777" w:rsidR="00C56E32" w:rsidRPr="00FC71BE" w:rsidRDefault="00C56E32">
            <w:pPr>
              <w:pStyle w:val="Table"/>
              <w:rPr>
                <w:color w:val="auto"/>
                <w:lang w:eastAsia="zh-CN"/>
              </w:rPr>
            </w:pPr>
            <w:r w:rsidRPr="00FC71BE">
              <w:rPr>
                <w:color w:val="auto"/>
                <w:lang w:eastAsia="zh-CN"/>
              </w:rPr>
              <w:t>Magnet thickness (mm)</w:t>
            </w:r>
          </w:p>
        </w:tc>
        <w:tc>
          <w:tcPr>
            <w:tcW w:w="786" w:type="pct"/>
          </w:tcPr>
          <w:p w14:paraId="1C2C6CAC" w14:textId="77777777" w:rsidR="00C56E32" w:rsidRPr="00FC71BE" w:rsidRDefault="00C56E32">
            <w:pPr>
              <w:pStyle w:val="Table"/>
              <w:rPr>
                <w:color w:val="auto"/>
                <w:lang w:eastAsia="zh-CN"/>
              </w:rPr>
            </w:pPr>
            <w:r w:rsidRPr="00FC71BE">
              <w:rPr>
                <w:color w:val="auto"/>
                <w:lang w:eastAsia="zh-CN"/>
              </w:rPr>
              <w:t>7</w:t>
            </w:r>
          </w:p>
        </w:tc>
        <w:tc>
          <w:tcPr>
            <w:tcW w:w="777" w:type="pct"/>
          </w:tcPr>
          <w:p w14:paraId="6F51D042" w14:textId="77777777" w:rsidR="00C56E32" w:rsidRPr="00FC71BE" w:rsidRDefault="00C56E32">
            <w:pPr>
              <w:pStyle w:val="Table"/>
              <w:rPr>
                <w:color w:val="auto"/>
                <w:lang w:eastAsia="zh-CN"/>
              </w:rPr>
            </w:pPr>
            <w:r w:rsidRPr="00FC71BE">
              <w:rPr>
                <w:color w:val="auto"/>
                <w:lang w:eastAsia="zh-CN"/>
              </w:rPr>
              <w:t>6.6</w:t>
            </w:r>
          </w:p>
        </w:tc>
        <w:tc>
          <w:tcPr>
            <w:tcW w:w="1236" w:type="pct"/>
          </w:tcPr>
          <w:p w14:paraId="30AF62A6" w14:textId="77777777" w:rsidR="00C56E32" w:rsidRPr="00FC71BE" w:rsidRDefault="00C56E32">
            <w:pPr>
              <w:pStyle w:val="Table"/>
              <w:rPr>
                <w:color w:val="auto"/>
                <w:lang w:eastAsia="zh-CN"/>
              </w:rPr>
            </w:pPr>
            <w:r w:rsidRPr="00FC71BE">
              <w:rPr>
                <w:color w:val="auto"/>
                <w:lang w:eastAsia="zh-CN"/>
              </w:rPr>
              <w:t>5.1</w:t>
            </w:r>
          </w:p>
        </w:tc>
      </w:tr>
      <w:tr w:rsidR="00FC71BE" w:rsidRPr="00FC71BE" w14:paraId="46AF5F80" w14:textId="77777777">
        <w:tc>
          <w:tcPr>
            <w:tcW w:w="2201" w:type="pct"/>
          </w:tcPr>
          <w:p w14:paraId="6054D072" w14:textId="77777777" w:rsidR="00C56E32" w:rsidRPr="00FC71BE" w:rsidRDefault="00C56E32">
            <w:pPr>
              <w:pStyle w:val="Table"/>
              <w:rPr>
                <w:color w:val="auto"/>
                <w:lang w:eastAsia="zh-CN"/>
              </w:rPr>
            </w:pPr>
            <w:r w:rsidRPr="00FC71BE">
              <w:rPr>
                <w:color w:val="auto"/>
                <w:lang w:eastAsia="zh-CN"/>
              </w:rPr>
              <w:t>Average torque (</w:t>
            </w:r>
            <w:r w:rsidRPr="00FC71BE">
              <w:rPr>
                <w:iCs/>
                <w:color w:val="auto"/>
                <w:lang w:eastAsia="zh-CN"/>
              </w:rPr>
              <w:t>Nm</w:t>
            </w:r>
            <w:r w:rsidRPr="00FC71BE">
              <w:rPr>
                <w:color w:val="auto"/>
                <w:lang w:eastAsia="zh-CN"/>
              </w:rPr>
              <w:t>)</w:t>
            </w:r>
          </w:p>
        </w:tc>
        <w:tc>
          <w:tcPr>
            <w:tcW w:w="786" w:type="pct"/>
          </w:tcPr>
          <w:p w14:paraId="30CD8AF1" w14:textId="77777777" w:rsidR="00C56E32" w:rsidRPr="00FC71BE" w:rsidRDefault="00C56E32">
            <w:pPr>
              <w:pStyle w:val="Table"/>
              <w:rPr>
                <w:color w:val="auto"/>
                <w:lang w:eastAsia="zh-CN"/>
              </w:rPr>
            </w:pPr>
            <w:r w:rsidRPr="00FC71BE">
              <w:rPr>
                <w:color w:val="auto"/>
                <w:lang w:eastAsia="zh-CN"/>
              </w:rPr>
              <w:t>285.3</w:t>
            </w:r>
          </w:p>
        </w:tc>
        <w:tc>
          <w:tcPr>
            <w:tcW w:w="777" w:type="pct"/>
          </w:tcPr>
          <w:p w14:paraId="58581E1C" w14:textId="77777777" w:rsidR="00C56E32" w:rsidRPr="00FC71BE" w:rsidRDefault="00C56E32">
            <w:pPr>
              <w:pStyle w:val="Table"/>
              <w:rPr>
                <w:color w:val="auto"/>
                <w:lang w:eastAsia="zh-CN"/>
              </w:rPr>
            </w:pPr>
            <w:r w:rsidRPr="00FC71BE">
              <w:rPr>
                <w:color w:val="auto"/>
                <w:lang w:eastAsia="zh-CN"/>
              </w:rPr>
              <w:t>331.2</w:t>
            </w:r>
          </w:p>
        </w:tc>
        <w:tc>
          <w:tcPr>
            <w:tcW w:w="1236" w:type="pct"/>
          </w:tcPr>
          <w:p w14:paraId="4787FADA" w14:textId="77777777" w:rsidR="00C56E32" w:rsidRPr="00FC71BE" w:rsidRDefault="00C56E32">
            <w:pPr>
              <w:pStyle w:val="Table"/>
              <w:rPr>
                <w:color w:val="auto"/>
                <w:lang w:eastAsia="zh-CN"/>
              </w:rPr>
            </w:pPr>
            <w:r w:rsidRPr="00FC71BE">
              <w:rPr>
                <w:color w:val="auto"/>
                <w:lang w:eastAsia="zh-CN"/>
              </w:rPr>
              <w:t>16.1</w:t>
            </w:r>
          </w:p>
        </w:tc>
      </w:tr>
      <w:tr w:rsidR="00FC71BE" w:rsidRPr="00FC71BE" w14:paraId="77DBACC3" w14:textId="77777777">
        <w:tc>
          <w:tcPr>
            <w:tcW w:w="2201" w:type="pct"/>
          </w:tcPr>
          <w:p w14:paraId="50EF9754" w14:textId="77777777" w:rsidR="00C56E32" w:rsidRPr="00FC71BE" w:rsidRDefault="00C56E32">
            <w:pPr>
              <w:pStyle w:val="Table"/>
              <w:rPr>
                <w:color w:val="auto"/>
                <w:lang w:eastAsia="zh-CN"/>
              </w:rPr>
            </w:pPr>
            <w:r w:rsidRPr="00FC71BE">
              <w:rPr>
                <w:color w:val="auto"/>
                <w:lang w:eastAsia="zh-CN"/>
              </w:rPr>
              <w:t>Torque ripple (</w:t>
            </w:r>
            <w:r w:rsidRPr="00FC71BE">
              <w:rPr>
                <w:i/>
                <w:iCs/>
                <w:color w:val="auto"/>
                <w:lang w:eastAsia="zh-CN"/>
              </w:rPr>
              <w:t>%</w:t>
            </w:r>
            <w:r w:rsidRPr="00FC71BE">
              <w:rPr>
                <w:color w:val="auto"/>
                <w:lang w:eastAsia="zh-CN"/>
              </w:rPr>
              <w:t>)</w:t>
            </w:r>
          </w:p>
        </w:tc>
        <w:tc>
          <w:tcPr>
            <w:tcW w:w="786" w:type="pct"/>
          </w:tcPr>
          <w:p w14:paraId="128D4597" w14:textId="77777777" w:rsidR="00C56E32" w:rsidRPr="00FC71BE" w:rsidRDefault="00C56E32">
            <w:pPr>
              <w:pStyle w:val="Table"/>
              <w:rPr>
                <w:color w:val="auto"/>
                <w:lang w:eastAsia="zh-CN"/>
              </w:rPr>
            </w:pPr>
            <w:r w:rsidRPr="00FC71BE">
              <w:rPr>
                <w:color w:val="auto"/>
                <w:lang w:eastAsia="zh-CN"/>
              </w:rPr>
              <w:t>31.4</w:t>
            </w:r>
          </w:p>
        </w:tc>
        <w:tc>
          <w:tcPr>
            <w:tcW w:w="777" w:type="pct"/>
          </w:tcPr>
          <w:p w14:paraId="50B35DB0" w14:textId="77777777" w:rsidR="00C56E32" w:rsidRPr="00FC71BE" w:rsidRDefault="00C56E32">
            <w:pPr>
              <w:pStyle w:val="Table"/>
              <w:rPr>
                <w:color w:val="auto"/>
                <w:lang w:eastAsia="zh-CN"/>
              </w:rPr>
            </w:pPr>
            <w:r w:rsidRPr="00FC71BE">
              <w:rPr>
                <w:color w:val="auto"/>
                <w:lang w:eastAsia="zh-CN"/>
              </w:rPr>
              <w:t>4.0</w:t>
            </w:r>
          </w:p>
        </w:tc>
        <w:tc>
          <w:tcPr>
            <w:tcW w:w="1236" w:type="pct"/>
          </w:tcPr>
          <w:p w14:paraId="0C1E0CBF" w14:textId="77777777" w:rsidR="00C56E32" w:rsidRPr="00FC71BE" w:rsidRDefault="00C56E32">
            <w:pPr>
              <w:pStyle w:val="Table"/>
              <w:rPr>
                <w:color w:val="auto"/>
                <w:lang w:eastAsia="zh-CN"/>
              </w:rPr>
            </w:pPr>
            <w:r w:rsidRPr="00FC71BE">
              <w:rPr>
                <w:color w:val="auto"/>
                <w:lang w:eastAsia="zh-CN"/>
              </w:rPr>
              <w:t>-87.3</w:t>
            </w:r>
          </w:p>
        </w:tc>
      </w:tr>
      <w:tr w:rsidR="00FC71BE" w:rsidRPr="00FC71BE" w14:paraId="3AC672B4" w14:textId="77777777">
        <w:tc>
          <w:tcPr>
            <w:tcW w:w="2201" w:type="pct"/>
          </w:tcPr>
          <w:p w14:paraId="417FA994" w14:textId="77777777" w:rsidR="00C56E32" w:rsidRPr="00FC71BE" w:rsidRDefault="00C56E32">
            <w:pPr>
              <w:pStyle w:val="Table"/>
              <w:rPr>
                <w:color w:val="auto"/>
                <w:lang w:eastAsia="zh-CN"/>
              </w:rPr>
            </w:pPr>
            <w:r w:rsidRPr="00FC71BE">
              <w:rPr>
                <w:color w:val="auto"/>
                <w:lang w:eastAsia="zh-CN"/>
              </w:rPr>
              <w:t>Copper loss (</w:t>
            </w:r>
            <w:r w:rsidRPr="00FC71BE">
              <w:rPr>
                <w:iCs/>
                <w:color w:val="auto"/>
                <w:lang w:eastAsia="zh-CN"/>
              </w:rPr>
              <w:t>W</w:t>
            </w:r>
            <w:r w:rsidRPr="00FC71BE">
              <w:rPr>
                <w:color w:val="auto"/>
                <w:lang w:eastAsia="zh-CN"/>
              </w:rPr>
              <w:t>)</w:t>
            </w:r>
          </w:p>
        </w:tc>
        <w:tc>
          <w:tcPr>
            <w:tcW w:w="786" w:type="pct"/>
          </w:tcPr>
          <w:p w14:paraId="59996C9A" w14:textId="77777777" w:rsidR="00C56E32" w:rsidRPr="00FC71BE" w:rsidRDefault="00C56E32">
            <w:pPr>
              <w:pStyle w:val="Table"/>
              <w:rPr>
                <w:color w:val="auto"/>
                <w:lang w:eastAsia="zh-CN"/>
              </w:rPr>
            </w:pPr>
            <w:r w:rsidRPr="00FC71BE">
              <w:rPr>
                <w:color w:val="auto"/>
                <w:lang w:eastAsia="zh-CN"/>
              </w:rPr>
              <w:t>761</w:t>
            </w:r>
          </w:p>
        </w:tc>
        <w:tc>
          <w:tcPr>
            <w:tcW w:w="777" w:type="pct"/>
          </w:tcPr>
          <w:p w14:paraId="6DE847FA" w14:textId="77777777" w:rsidR="00C56E32" w:rsidRPr="00FC71BE" w:rsidRDefault="00C56E32">
            <w:pPr>
              <w:pStyle w:val="Table"/>
              <w:rPr>
                <w:color w:val="auto"/>
                <w:lang w:eastAsia="zh-CN"/>
              </w:rPr>
            </w:pPr>
            <w:r w:rsidRPr="00FC71BE">
              <w:rPr>
                <w:color w:val="auto"/>
                <w:lang w:eastAsia="zh-CN"/>
              </w:rPr>
              <w:t>956</w:t>
            </w:r>
          </w:p>
        </w:tc>
        <w:tc>
          <w:tcPr>
            <w:tcW w:w="1236" w:type="pct"/>
          </w:tcPr>
          <w:p w14:paraId="031E4194" w14:textId="77777777" w:rsidR="00C56E32" w:rsidRPr="00FC71BE" w:rsidRDefault="00C56E32">
            <w:pPr>
              <w:pStyle w:val="Table"/>
              <w:rPr>
                <w:color w:val="auto"/>
                <w:lang w:eastAsia="zh-CN"/>
              </w:rPr>
            </w:pPr>
            <w:r w:rsidRPr="00FC71BE">
              <w:rPr>
                <w:color w:val="auto"/>
                <w:lang w:eastAsia="zh-CN"/>
              </w:rPr>
              <w:t>25.5</w:t>
            </w:r>
          </w:p>
        </w:tc>
      </w:tr>
      <w:tr w:rsidR="00FC71BE" w:rsidRPr="00FC71BE" w14:paraId="7EF84B0F" w14:textId="77777777">
        <w:tc>
          <w:tcPr>
            <w:tcW w:w="2201" w:type="pct"/>
          </w:tcPr>
          <w:p w14:paraId="6A2B361D" w14:textId="77777777" w:rsidR="00C56E32" w:rsidRPr="00FC71BE" w:rsidRDefault="00C56E32">
            <w:pPr>
              <w:pStyle w:val="Table"/>
              <w:rPr>
                <w:color w:val="auto"/>
                <w:lang w:eastAsia="zh-CN"/>
              </w:rPr>
            </w:pPr>
            <w:r w:rsidRPr="00FC71BE">
              <w:rPr>
                <w:color w:val="auto"/>
                <w:lang w:eastAsia="zh-CN"/>
              </w:rPr>
              <w:t>Total machine mass (</w:t>
            </w:r>
            <w:r w:rsidRPr="00FC71BE">
              <w:rPr>
                <w:iCs/>
                <w:color w:val="auto"/>
                <w:lang w:eastAsia="zh-CN"/>
              </w:rPr>
              <w:t>kg</w:t>
            </w:r>
            <w:r w:rsidRPr="00FC71BE">
              <w:rPr>
                <w:color w:val="auto"/>
                <w:lang w:eastAsia="zh-CN"/>
              </w:rPr>
              <w:t>)</w:t>
            </w:r>
          </w:p>
        </w:tc>
        <w:tc>
          <w:tcPr>
            <w:tcW w:w="786" w:type="pct"/>
          </w:tcPr>
          <w:p w14:paraId="16C7D566" w14:textId="77777777" w:rsidR="00C56E32" w:rsidRPr="00FC71BE" w:rsidRDefault="00C56E32">
            <w:pPr>
              <w:pStyle w:val="Table"/>
              <w:rPr>
                <w:color w:val="auto"/>
                <w:lang w:eastAsia="zh-CN"/>
              </w:rPr>
            </w:pPr>
            <w:r w:rsidRPr="00FC71BE">
              <w:rPr>
                <w:color w:val="auto"/>
                <w:lang w:eastAsia="zh-CN"/>
              </w:rPr>
              <w:t>37.3</w:t>
            </w:r>
          </w:p>
        </w:tc>
        <w:tc>
          <w:tcPr>
            <w:tcW w:w="777" w:type="pct"/>
          </w:tcPr>
          <w:p w14:paraId="0B525BE3" w14:textId="77777777" w:rsidR="00C56E32" w:rsidRPr="00FC71BE" w:rsidRDefault="00C56E32">
            <w:pPr>
              <w:pStyle w:val="Table"/>
              <w:rPr>
                <w:color w:val="auto"/>
                <w:lang w:eastAsia="zh-CN"/>
              </w:rPr>
            </w:pPr>
            <w:r w:rsidRPr="00FC71BE">
              <w:rPr>
                <w:color w:val="auto"/>
                <w:lang w:eastAsia="zh-CN"/>
              </w:rPr>
              <w:t>31.2</w:t>
            </w:r>
          </w:p>
        </w:tc>
        <w:tc>
          <w:tcPr>
            <w:tcW w:w="1236" w:type="pct"/>
          </w:tcPr>
          <w:p w14:paraId="719BBEEC" w14:textId="77777777" w:rsidR="00C56E32" w:rsidRPr="00FC71BE" w:rsidRDefault="00C56E32">
            <w:pPr>
              <w:pStyle w:val="Table"/>
              <w:rPr>
                <w:color w:val="auto"/>
                <w:lang w:eastAsia="zh-CN"/>
              </w:rPr>
            </w:pPr>
            <w:r w:rsidRPr="00FC71BE">
              <w:rPr>
                <w:color w:val="auto"/>
                <w:lang w:eastAsia="zh-CN"/>
              </w:rPr>
              <w:t>-16.4</w:t>
            </w:r>
          </w:p>
        </w:tc>
      </w:tr>
      <w:tr w:rsidR="00FC71BE" w:rsidRPr="00FC71BE" w14:paraId="55231CD3" w14:textId="77777777">
        <w:tc>
          <w:tcPr>
            <w:tcW w:w="2201" w:type="pct"/>
          </w:tcPr>
          <w:p w14:paraId="16646AE0" w14:textId="77777777" w:rsidR="00C56E32" w:rsidRPr="00FC71BE" w:rsidRDefault="00C56E32">
            <w:pPr>
              <w:pStyle w:val="Table"/>
              <w:rPr>
                <w:color w:val="auto"/>
                <w:lang w:eastAsia="zh-CN"/>
              </w:rPr>
            </w:pPr>
            <w:r w:rsidRPr="00FC71BE">
              <w:rPr>
                <w:color w:val="auto"/>
                <w:lang w:eastAsia="zh-CN"/>
              </w:rPr>
              <w:t>Efficiency (%)</w:t>
            </w:r>
          </w:p>
        </w:tc>
        <w:tc>
          <w:tcPr>
            <w:tcW w:w="786" w:type="pct"/>
          </w:tcPr>
          <w:p w14:paraId="2564C08F" w14:textId="77777777" w:rsidR="00C56E32" w:rsidRPr="00FC71BE" w:rsidRDefault="00C56E32">
            <w:pPr>
              <w:pStyle w:val="Table"/>
              <w:rPr>
                <w:color w:val="auto"/>
                <w:lang w:eastAsia="zh-CN"/>
              </w:rPr>
            </w:pPr>
            <w:r w:rsidRPr="00FC71BE">
              <w:rPr>
                <w:color w:val="auto"/>
                <w:lang w:eastAsia="zh-CN"/>
              </w:rPr>
              <w:t>95.3</w:t>
            </w:r>
          </w:p>
        </w:tc>
        <w:tc>
          <w:tcPr>
            <w:tcW w:w="777" w:type="pct"/>
          </w:tcPr>
          <w:p w14:paraId="253BF5BC" w14:textId="77777777" w:rsidR="00C56E32" w:rsidRPr="00FC71BE" w:rsidRDefault="00C56E32">
            <w:pPr>
              <w:pStyle w:val="Table"/>
              <w:rPr>
                <w:color w:val="auto"/>
                <w:lang w:eastAsia="zh-CN"/>
              </w:rPr>
            </w:pPr>
            <w:r w:rsidRPr="00FC71BE">
              <w:rPr>
                <w:color w:val="auto"/>
                <w:lang w:eastAsia="zh-CN"/>
              </w:rPr>
              <w:t>95.4</w:t>
            </w:r>
          </w:p>
        </w:tc>
        <w:tc>
          <w:tcPr>
            <w:tcW w:w="1236" w:type="pct"/>
          </w:tcPr>
          <w:p w14:paraId="084EE13A" w14:textId="77777777" w:rsidR="00C56E32" w:rsidRPr="00FC71BE" w:rsidRDefault="00C56E32">
            <w:pPr>
              <w:pStyle w:val="Table"/>
              <w:rPr>
                <w:color w:val="auto"/>
                <w:lang w:eastAsia="zh-CN"/>
              </w:rPr>
            </w:pPr>
            <w:r w:rsidRPr="00FC71BE">
              <w:rPr>
                <w:color w:val="auto"/>
                <w:lang w:eastAsia="zh-CN"/>
              </w:rPr>
              <w:t>0.1</w:t>
            </w:r>
          </w:p>
        </w:tc>
      </w:tr>
      <w:tr w:rsidR="005E3DFE" w:rsidRPr="00FC71BE" w14:paraId="03825C83" w14:textId="77777777">
        <w:tc>
          <w:tcPr>
            <w:tcW w:w="2201" w:type="pct"/>
            <w:tcBorders>
              <w:bottom w:val="double" w:sz="4" w:space="0" w:color="auto"/>
            </w:tcBorders>
          </w:tcPr>
          <w:p w14:paraId="3F15B1AE" w14:textId="77777777" w:rsidR="00C56E32" w:rsidRPr="00FC71BE" w:rsidRDefault="00C56E32">
            <w:pPr>
              <w:pStyle w:val="Table"/>
              <w:rPr>
                <w:color w:val="auto"/>
                <w:lang w:eastAsia="zh-CN"/>
              </w:rPr>
            </w:pPr>
            <w:r w:rsidRPr="00FC71BE">
              <w:rPr>
                <w:color w:val="auto"/>
                <w:lang w:eastAsia="zh-CN"/>
              </w:rPr>
              <w:t>Fitness function</w:t>
            </w:r>
          </w:p>
        </w:tc>
        <w:tc>
          <w:tcPr>
            <w:tcW w:w="786" w:type="pct"/>
            <w:tcBorders>
              <w:bottom w:val="double" w:sz="4" w:space="0" w:color="auto"/>
            </w:tcBorders>
          </w:tcPr>
          <w:p w14:paraId="3E4E30AF" w14:textId="77777777" w:rsidR="00C56E32" w:rsidRPr="00FC71BE" w:rsidRDefault="00C56E32">
            <w:pPr>
              <w:pStyle w:val="Table"/>
              <w:rPr>
                <w:color w:val="auto"/>
                <w:lang w:eastAsia="zh-CN"/>
              </w:rPr>
            </w:pPr>
            <w:r w:rsidRPr="00FC71BE">
              <w:rPr>
                <w:color w:val="auto"/>
                <w:lang w:eastAsia="zh-CN"/>
              </w:rPr>
              <w:t>1</w:t>
            </w:r>
          </w:p>
        </w:tc>
        <w:tc>
          <w:tcPr>
            <w:tcW w:w="777" w:type="pct"/>
            <w:tcBorders>
              <w:bottom w:val="double" w:sz="4" w:space="0" w:color="auto"/>
            </w:tcBorders>
          </w:tcPr>
          <w:p w14:paraId="58AE868F" w14:textId="77777777" w:rsidR="00C56E32" w:rsidRPr="00FC71BE" w:rsidRDefault="00C56E32">
            <w:pPr>
              <w:pStyle w:val="Table"/>
              <w:rPr>
                <w:color w:val="auto"/>
                <w:lang w:eastAsia="zh-CN"/>
              </w:rPr>
            </w:pPr>
            <w:r w:rsidRPr="00FC71BE">
              <w:rPr>
                <w:color w:val="auto"/>
                <w:lang w:eastAsia="zh-CN"/>
              </w:rPr>
              <w:t>1.25</w:t>
            </w:r>
          </w:p>
        </w:tc>
        <w:tc>
          <w:tcPr>
            <w:tcW w:w="1236" w:type="pct"/>
            <w:tcBorders>
              <w:bottom w:val="double" w:sz="4" w:space="0" w:color="auto"/>
            </w:tcBorders>
          </w:tcPr>
          <w:p w14:paraId="3A6D05C0" w14:textId="77777777" w:rsidR="00C56E32" w:rsidRPr="00FC71BE" w:rsidRDefault="00C56E32">
            <w:pPr>
              <w:pStyle w:val="Table"/>
              <w:rPr>
                <w:color w:val="auto"/>
                <w:lang w:eastAsia="zh-CN"/>
              </w:rPr>
            </w:pPr>
            <w:r w:rsidRPr="00FC71BE">
              <w:rPr>
                <w:color w:val="auto"/>
                <w:lang w:eastAsia="zh-CN"/>
              </w:rPr>
              <w:t>25</w:t>
            </w:r>
          </w:p>
        </w:tc>
      </w:tr>
    </w:tbl>
    <w:p w14:paraId="3B23C530" w14:textId="77777777" w:rsidR="00C56E32" w:rsidRPr="00FC71BE" w:rsidRDefault="00C56E32" w:rsidP="00C56E32">
      <w:pPr>
        <w:pStyle w:val="Table"/>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3C407035" w14:textId="77777777">
        <w:tc>
          <w:tcPr>
            <w:tcW w:w="9016" w:type="dxa"/>
          </w:tcPr>
          <w:bookmarkEnd w:id="85"/>
          <w:p w14:paraId="665093BC" w14:textId="77777777" w:rsidR="00C56E32" w:rsidRPr="00FC71BE" w:rsidRDefault="00C56E32">
            <w:pPr>
              <w:pStyle w:val="Figure"/>
              <w:rPr>
                <w:noProof w:val="0"/>
              </w:rPr>
            </w:pPr>
            <w:r w:rsidRPr="00FC71BE">
              <w:drawing>
                <wp:inline distT="0" distB="0" distL="0" distR="0" wp14:anchorId="6EC56784" wp14:editId="14FE86BC">
                  <wp:extent cx="4363200" cy="2618587"/>
                  <wp:effectExtent l="0" t="0" r="0" b="0"/>
                  <wp:docPr id="1436977303" name="Picture 1436977303"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77303" name="Picture 1" descr="A diagram of a graph&#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63200" cy="2618587"/>
                          </a:xfrm>
                          <a:prstGeom prst="rect">
                            <a:avLst/>
                          </a:prstGeom>
                          <a:noFill/>
                        </pic:spPr>
                      </pic:pic>
                    </a:graphicData>
                  </a:graphic>
                </wp:inline>
              </w:drawing>
            </w:r>
          </w:p>
        </w:tc>
      </w:tr>
      <w:tr w:rsidR="00FC71BE" w:rsidRPr="00FC71BE" w14:paraId="7A6109DE" w14:textId="77777777">
        <w:tc>
          <w:tcPr>
            <w:tcW w:w="9016" w:type="dxa"/>
          </w:tcPr>
          <w:p w14:paraId="0F1D8416" w14:textId="77777777" w:rsidR="00C56E32" w:rsidRPr="00FC71BE" w:rsidRDefault="00C56E32">
            <w:pPr>
              <w:pStyle w:val="Figure"/>
              <w:rPr>
                <w:noProof w:val="0"/>
              </w:rPr>
            </w:pPr>
            <w:r w:rsidRPr="00FC71BE">
              <w:rPr>
                <w:noProof w:val="0"/>
              </w:rPr>
              <w:t xml:space="preserve">(a) Average torque </w:t>
            </w:r>
            <w:r w:rsidRPr="00FC71BE">
              <w:rPr>
                <w:i/>
                <w:iCs/>
                <w:noProof w:val="0"/>
              </w:rPr>
              <w:t>vs</w:t>
            </w:r>
            <w:r w:rsidRPr="00FC71BE">
              <w:rPr>
                <w:noProof w:val="0"/>
              </w:rPr>
              <w:t xml:space="preserve"> total machine mass</w:t>
            </w:r>
          </w:p>
        </w:tc>
      </w:tr>
      <w:tr w:rsidR="00FC71BE" w:rsidRPr="00FC71BE" w14:paraId="4A78FB7A" w14:textId="77777777">
        <w:tc>
          <w:tcPr>
            <w:tcW w:w="9016" w:type="dxa"/>
          </w:tcPr>
          <w:p w14:paraId="77C48D98" w14:textId="77777777" w:rsidR="00C56E32" w:rsidRPr="00FC71BE" w:rsidRDefault="00C56E32">
            <w:pPr>
              <w:pStyle w:val="Figure"/>
              <w:rPr>
                <w:noProof w:val="0"/>
              </w:rPr>
            </w:pPr>
            <w:r w:rsidRPr="00FC71BE">
              <w:lastRenderedPageBreak/>
              <w:drawing>
                <wp:inline distT="0" distB="0" distL="0" distR="0" wp14:anchorId="5F787C86" wp14:editId="37F64B77">
                  <wp:extent cx="4363200" cy="2616177"/>
                  <wp:effectExtent l="0" t="0" r="0" b="0"/>
                  <wp:docPr id="1163019555" name="Picture 1163019555" descr="A diagram of a graph&#10;&#10;Description automatically generated">
                    <a:extLst xmlns:a="http://schemas.openxmlformats.org/drawingml/2006/main">
                      <a:ext uri="{FF2B5EF4-FFF2-40B4-BE49-F238E27FC236}">
                        <a16:creationId xmlns:a16="http://schemas.microsoft.com/office/drawing/2014/main" id="{C51A26D6-CB58-217B-1AA4-5C32B54325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19555" name="Picture 1163019555" descr="A diagram of a graph&#10;&#10;Description automatically generated">
                            <a:extLst>
                              <a:ext uri="{FF2B5EF4-FFF2-40B4-BE49-F238E27FC236}">
                                <a16:creationId xmlns:a16="http://schemas.microsoft.com/office/drawing/2014/main" id="{C51A26D6-CB58-217B-1AA4-5C32B5432560}"/>
                              </a:ext>
                            </a:extLst>
                          </pic:cNvPr>
                          <pic:cNvPicPr>
                            <a:picLocks noChangeAspect="1"/>
                          </pic:cNvPicPr>
                        </pic:nvPicPr>
                        <pic:blipFill>
                          <a:blip r:embed="rId63"/>
                          <a:stretch>
                            <a:fillRect/>
                          </a:stretch>
                        </pic:blipFill>
                        <pic:spPr>
                          <a:xfrm>
                            <a:off x="0" y="0"/>
                            <a:ext cx="4363200" cy="2616177"/>
                          </a:xfrm>
                          <a:prstGeom prst="rect">
                            <a:avLst/>
                          </a:prstGeom>
                        </pic:spPr>
                      </pic:pic>
                    </a:graphicData>
                  </a:graphic>
                </wp:inline>
              </w:drawing>
            </w:r>
          </w:p>
        </w:tc>
      </w:tr>
      <w:tr w:rsidR="00FC71BE" w:rsidRPr="00FC71BE" w14:paraId="229530C2" w14:textId="77777777">
        <w:tc>
          <w:tcPr>
            <w:tcW w:w="9016" w:type="dxa"/>
          </w:tcPr>
          <w:p w14:paraId="1E544985" w14:textId="77777777" w:rsidR="00C56E32" w:rsidRPr="00FC71BE" w:rsidRDefault="00C56E32">
            <w:pPr>
              <w:pStyle w:val="Figure"/>
              <w:rPr>
                <w:noProof w:val="0"/>
              </w:rPr>
            </w:pPr>
            <w:r w:rsidRPr="00FC71BE">
              <w:rPr>
                <w:noProof w:val="0"/>
              </w:rPr>
              <w:t xml:space="preserve">(b) Average torque </w:t>
            </w:r>
            <w:r w:rsidRPr="00FC71BE">
              <w:rPr>
                <w:i/>
                <w:iCs/>
                <w:noProof w:val="0"/>
              </w:rPr>
              <w:t>vs</w:t>
            </w:r>
            <w:r w:rsidRPr="00FC71BE">
              <w:rPr>
                <w:noProof w:val="0"/>
              </w:rPr>
              <w:t xml:space="preserve"> copper loss</w:t>
            </w:r>
          </w:p>
        </w:tc>
      </w:tr>
      <w:tr w:rsidR="00FC71BE" w:rsidRPr="00FC71BE" w14:paraId="4D9DE4B8" w14:textId="77777777">
        <w:tc>
          <w:tcPr>
            <w:tcW w:w="9016" w:type="dxa"/>
          </w:tcPr>
          <w:p w14:paraId="507C5A38" w14:textId="77777777" w:rsidR="00C56E32" w:rsidRPr="00FC71BE" w:rsidRDefault="00C56E32">
            <w:pPr>
              <w:pStyle w:val="Figure"/>
              <w:rPr>
                <w:noProof w:val="0"/>
              </w:rPr>
            </w:pPr>
            <w:r w:rsidRPr="00FC71BE">
              <w:drawing>
                <wp:inline distT="0" distB="0" distL="0" distR="0" wp14:anchorId="472EAAE0" wp14:editId="1D394328">
                  <wp:extent cx="4363200" cy="2616179"/>
                  <wp:effectExtent l="0" t="0" r="0" b="0"/>
                  <wp:docPr id="243043593" name="Picture 243043593" descr="A graph showing a graph of a graph&#10;&#10;Description automatically generated with medium confidence">
                    <a:extLst xmlns:a="http://schemas.openxmlformats.org/drawingml/2006/main">
                      <a:ext uri="{FF2B5EF4-FFF2-40B4-BE49-F238E27FC236}">
                        <a16:creationId xmlns:a16="http://schemas.microsoft.com/office/drawing/2014/main" id="{A0A50A22-DD48-712C-09B9-4EEB3254CE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43593" name="Picture 243043593" descr="A graph showing a graph of a graph&#10;&#10;Description automatically generated with medium confidence">
                            <a:extLst>
                              <a:ext uri="{FF2B5EF4-FFF2-40B4-BE49-F238E27FC236}">
                                <a16:creationId xmlns:a16="http://schemas.microsoft.com/office/drawing/2014/main" id="{A0A50A22-DD48-712C-09B9-4EEB3254CED0}"/>
                              </a:ext>
                            </a:extLst>
                          </pic:cNvPr>
                          <pic:cNvPicPr>
                            <a:picLocks noChangeAspect="1"/>
                          </pic:cNvPicPr>
                        </pic:nvPicPr>
                        <pic:blipFill>
                          <a:blip r:embed="rId64"/>
                          <a:stretch>
                            <a:fillRect/>
                          </a:stretch>
                        </pic:blipFill>
                        <pic:spPr>
                          <a:xfrm>
                            <a:off x="0" y="0"/>
                            <a:ext cx="4363200" cy="2616179"/>
                          </a:xfrm>
                          <a:prstGeom prst="rect">
                            <a:avLst/>
                          </a:prstGeom>
                        </pic:spPr>
                      </pic:pic>
                    </a:graphicData>
                  </a:graphic>
                </wp:inline>
              </w:drawing>
            </w:r>
          </w:p>
        </w:tc>
      </w:tr>
      <w:tr w:rsidR="00FC71BE" w:rsidRPr="00FC71BE" w14:paraId="17248B82" w14:textId="77777777">
        <w:tc>
          <w:tcPr>
            <w:tcW w:w="9016" w:type="dxa"/>
          </w:tcPr>
          <w:p w14:paraId="3D5C4089" w14:textId="77777777" w:rsidR="00C56E32" w:rsidRPr="00FC71BE" w:rsidRDefault="00C56E32">
            <w:pPr>
              <w:pStyle w:val="Figure"/>
              <w:rPr>
                <w:noProof w:val="0"/>
              </w:rPr>
            </w:pPr>
            <w:r w:rsidRPr="00FC71BE">
              <w:rPr>
                <w:noProof w:val="0"/>
              </w:rPr>
              <w:t xml:space="preserve">(c) Average torque </w:t>
            </w:r>
            <w:r w:rsidRPr="00FC71BE">
              <w:rPr>
                <w:i/>
                <w:iCs/>
                <w:noProof w:val="0"/>
              </w:rPr>
              <w:t>vs</w:t>
            </w:r>
            <w:r w:rsidRPr="00FC71BE">
              <w:rPr>
                <w:noProof w:val="0"/>
              </w:rPr>
              <w:t xml:space="preserve"> torque ripple</w:t>
            </w:r>
          </w:p>
        </w:tc>
      </w:tr>
    </w:tbl>
    <w:p w14:paraId="7008B57E" w14:textId="33D1AD07" w:rsidR="00C56E32" w:rsidRPr="00FC71BE" w:rsidRDefault="00C56E32" w:rsidP="00C56E32">
      <w:pPr>
        <w:pStyle w:val="FigureTitle"/>
      </w:pPr>
      <w:bookmarkStart w:id="88" w:name="_Ref125486593"/>
      <w:r w:rsidRPr="00FC71BE">
        <w:t xml:space="preserve">Fig. </w:t>
      </w:r>
      <w:fldSimple w:instr=" STYLEREF 1 \s ">
        <w:r w:rsidR="007E62C1" w:rsidRPr="00FC71BE">
          <w:rPr>
            <w:noProof/>
          </w:rPr>
          <w:t>2</w:t>
        </w:r>
      </w:fldSimple>
      <w:r w:rsidRPr="00FC71BE">
        <w:t>.</w:t>
      </w:r>
      <w:fldSimple w:instr=" SEQ Fig. \* ARABIC \s 1 ">
        <w:r w:rsidR="007E62C1" w:rsidRPr="00FC71BE">
          <w:rPr>
            <w:noProof/>
          </w:rPr>
          <w:t>3</w:t>
        </w:r>
      </w:fldSimple>
      <w:bookmarkEnd w:id="88"/>
      <w:r w:rsidRPr="00FC71BE">
        <w:t xml:space="preserve">. </w:t>
      </w:r>
      <w:bookmarkStart w:id="89" w:name="_Hlk54645177"/>
      <w:r w:rsidRPr="00FC71BE">
        <w:t xml:space="preserve">Average torque </w:t>
      </w:r>
      <w:r w:rsidRPr="00FC71BE">
        <w:rPr>
          <w:i/>
        </w:rPr>
        <w:t xml:space="preserve">vs </w:t>
      </w:r>
      <w:r w:rsidRPr="00FC71BE">
        <w:t>(a) total machine mass, (b) copper loss, and (c) torque ripple of 24-slot/28-pole modular machines</w:t>
      </w:r>
      <w:bookmarkEnd w:id="89"/>
      <w:r w:rsidRPr="00FC71BE">
        <w:t>.</w:t>
      </w:r>
    </w:p>
    <w:p w14:paraId="1927969E" w14:textId="20A7282D" w:rsidR="00C56E32" w:rsidRPr="00FC71BE" w:rsidRDefault="00C56E32" w:rsidP="00C56E32">
      <w:r w:rsidRPr="00FC71BE">
        <w:t xml:space="preserve">In order to demonstrate the influence of flux gaps in the optimization process of SPM machines, the conventional non-modular SPM machine is also optimized by GA with the same objectives and constraints as the modular machines. There are 1320 cases generated by GA and the correlation curves are shown in </w:t>
      </w:r>
      <w:r w:rsidRPr="00FC71BE">
        <w:fldChar w:fldCharType="begin"/>
      </w:r>
      <w:r w:rsidRPr="00FC71BE">
        <w:instrText xml:space="preserve"> REF _Ref125487389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4</w:t>
      </w:r>
      <w:r w:rsidRPr="00FC71BE">
        <w:fldChar w:fldCharType="end"/>
      </w:r>
      <w:r w:rsidRPr="00FC71BE">
        <w:t xml:space="preserve">, while the specifications of the optimized non-modular machine are listed in </w:t>
      </w:r>
      <w:r w:rsidRPr="00FC71BE">
        <w:fldChar w:fldCharType="begin"/>
      </w:r>
      <w:r w:rsidRPr="00FC71BE">
        <w:instrText xml:space="preserve"> REF _Ref51532185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4</w:t>
      </w:r>
      <w:r w:rsidRPr="00FC71BE">
        <w:fldChar w:fldCharType="end"/>
      </w:r>
      <w:r w:rsidRPr="00FC71BE">
        <w:t>. It is worth noting that the optimal design chosen is far away from the Pareto front of the torque and torque ripple correlations because the weight (0.1) of the minimized torque ripple is smaller than the weights for other objectives. After the GA optimization, the average torque is increased by 19.7%, and the total machine mass and torque ripple are reduced by 15.8% and 56.3%, respectively. In addition, the efficiency of the optimized non-modular machine is increased by 0.9%.</w:t>
      </w:r>
    </w:p>
    <w:p w14:paraId="1EC9D7FC" w14:textId="18C6A1BA" w:rsidR="00C56E32" w:rsidRPr="00FC71BE" w:rsidRDefault="00C56E32" w:rsidP="00C56E32">
      <w:pPr>
        <w:pStyle w:val="Tabletitle"/>
        <w:rPr>
          <w:color w:val="auto"/>
        </w:rPr>
      </w:pPr>
      <w:bookmarkStart w:id="90" w:name="_Ref51532185"/>
      <w:r w:rsidRPr="00FC71BE">
        <w:rPr>
          <w:color w:val="auto"/>
        </w:rPr>
        <w:lastRenderedPageBreak/>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4</w:t>
      </w:r>
      <w:r w:rsidR="002839C4" w:rsidRPr="00FC71BE">
        <w:rPr>
          <w:color w:val="auto"/>
        </w:rPr>
        <w:fldChar w:fldCharType="end"/>
      </w:r>
      <w:bookmarkEnd w:id="90"/>
      <w:r w:rsidRPr="00FC71BE">
        <w:rPr>
          <w:color w:val="auto"/>
        </w:rPr>
        <w:t xml:space="preserve"> </w:t>
      </w:r>
      <w:bookmarkStart w:id="91" w:name="_Hlk54644024"/>
      <w:r w:rsidRPr="00FC71BE">
        <w:rPr>
          <w:color w:val="auto"/>
        </w:rPr>
        <w:t>Comparison between Original and Optimal Cases of 24-slot/28-pole Non-modular Machines</w:t>
      </w:r>
      <w:bookmarkEnd w:id="91"/>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4"/>
        <w:gridCol w:w="1424"/>
        <w:gridCol w:w="1408"/>
        <w:gridCol w:w="2240"/>
      </w:tblGrid>
      <w:tr w:rsidR="00FC71BE" w:rsidRPr="00FC71BE" w14:paraId="756BBEFC" w14:textId="77777777">
        <w:tc>
          <w:tcPr>
            <w:tcW w:w="2190" w:type="pct"/>
            <w:tcBorders>
              <w:top w:val="single" w:sz="4" w:space="0" w:color="auto"/>
              <w:bottom w:val="single" w:sz="4" w:space="0" w:color="auto"/>
            </w:tcBorders>
          </w:tcPr>
          <w:p w14:paraId="406F94F2" w14:textId="77777777" w:rsidR="00C56E32" w:rsidRPr="00FC71BE" w:rsidRDefault="00C56E32">
            <w:pPr>
              <w:pStyle w:val="Table"/>
              <w:rPr>
                <w:color w:val="auto"/>
                <w:lang w:eastAsia="zh-CN"/>
              </w:rPr>
            </w:pPr>
          </w:p>
        </w:tc>
        <w:tc>
          <w:tcPr>
            <w:tcW w:w="789" w:type="pct"/>
            <w:tcBorders>
              <w:top w:val="single" w:sz="4" w:space="0" w:color="auto"/>
              <w:bottom w:val="single" w:sz="4" w:space="0" w:color="auto"/>
            </w:tcBorders>
          </w:tcPr>
          <w:p w14:paraId="13B1DCD0" w14:textId="77777777" w:rsidR="00C56E32" w:rsidRPr="00FC71BE" w:rsidRDefault="00C56E32">
            <w:pPr>
              <w:pStyle w:val="Table"/>
              <w:rPr>
                <w:color w:val="auto"/>
                <w:lang w:eastAsia="zh-CN"/>
              </w:rPr>
            </w:pPr>
            <w:r w:rsidRPr="00FC71BE">
              <w:rPr>
                <w:color w:val="auto"/>
                <w:lang w:eastAsia="zh-CN"/>
              </w:rPr>
              <w:t>Original</w:t>
            </w:r>
          </w:p>
        </w:tc>
        <w:tc>
          <w:tcPr>
            <w:tcW w:w="780" w:type="pct"/>
            <w:tcBorders>
              <w:top w:val="single" w:sz="4" w:space="0" w:color="auto"/>
              <w:bottom w:val="single" w:sz="4" w:space="0" w:color="auto"/>
            </w:tcBorders>
          </w:tcPr>
          <w:p w14:paraId="2970C353" w14:textId="77777777" w:rsidR="00C56E32" w:rsidRPr="00FC71BE" w:rsidRDefault="00C56E32">
            <w:pPr>
              <w:pStyle w:val="Table"/>
              <w:rPr>
                <w:color w:val="auto"/>
                <w:lang w:eastAsia="zh-CN"/>
              </w:rPr>
            </w:pPr>
            <w:r w:rsidRPr="00FC71BE">
              <w:rPr>
                <w:color w:val="auto"/>
                <w:lang w:eastAsia="zh-CN"/>
              </w:rPr>
              <w:t>Optimal</w:t>
            </w:r>
          </w:p>
        </w:tc>
        <w:tc>
          <w:tcPr>
            <w:tcW w:w="1241" w:type="pct"/>
            <w:tcBorders>
              <w:top w:val="single" w:sz="4" w:space="0" w:color="auto"/>
              <w:bottom w:val="single" w:sz="4" w:space="0" w:color="auto"/>
            </w:tcBorders>
          </w:tcPr>
          <w:p w14:paraId="6601FDA0" w14:textId="77777777" w:rsidR="00C56E32" w:rsidRPr="00FC71BE" w:rsidRDefault="00C56E32">
            <w:pPr>
              <w:pStyle w:val="Table"/>
              <w:rPr>
                <w:color w:val="auto"/>
                <w:lang w:eastAsia="zh-CN"/>
              </w:rPr>
            </w:pPr>
            <w:r w:rsidRPr="00FC71BE">
              <w:rPr>
                <w:color w:val="auto"/>
                <w:lang w:eastAsia="zh-CN"/>
              </w:rPr>
              <w:t>Difference (%)</w:t>
            </w:r>
          </w:p>
        </w:tc>
      </w:tr>
      <w:tr w:rsidR="00FC71BE" w:rsidRPr="00FC71BE" w14:paraId="7DD6BF59" w14:textId="77777777">
        <w:tc>
          <w:tcPr>
            <w:tcW w:w="2190" w:type="pct"/>
            <w:tcBorders>
              <w:top w:val="single" w:sz="4" w:space="0" w:color="auto"/>
            </w:tcBorders>
          </w:tcPr>
          <w:p w14:paraId="418ABDE9" w14:textId="77777777" w:rsidR="00C56E32" w:rsidRPr="00FC71BE" w:rsidRDefault="00C56E32">
            <w:pPr>
              <w:pStyle w:val="Table"/>
              <w:rPr>
                <w:color w:val="auto"/>
                <w:lang w:eastAsia="zh-CN"/>
              </w:rPr>
            </w:pPr>
            <w:r w:rsidRPr="00FC71BE">
              <w:rPr>
                <w:color w:val="auto"/>
                <w:lang w:eastAsia="zh-CN"/>
              </w:rPr>
              <w:t>Split ratio</w:t>
            </w:r>
          </w:p>
        </w:tc>
        <w:tc>
          <w:tcPr>
            <w:tcW w:w="789" w:type="pct"/>
            <w:tcBorders>
              <w:top w:val="single" w:sz="4" w:space="0" w:color="auto"/>
            </w:tcBorders>
          </w:tcPr>
          <w:p w14:paraId="02A470EF" w14:textId="77777777" w:rsidR="00C56E32" w:rsidRPr="00FC71BE" w:rsidRDefault="00C56E32">
            <w:pPr>
              <w:pStyle w:val="Table"/>
              <w:rPr>
                <w:color w:val="auto"/>
                <w:lang w:eastAsia="zh-CN"/>
              </w:rPr>
            </w:pPr>
            <w:r w:rsidRPr="00FC71BE">
              <w:rPr>
                <w:color w:val="auto"/>
                <w:lang w:eastAsia="zh-CN"/>
              </w:rPr>
              <w:t>0.80</w:t>
            </w:r>
          </w:p>
        </w:tc>
        <w:tc>
          <w:tcPr>
            <w:tcW w:w="780" w:type="pct"/>
            <w:tcBorders>
              <w:top w:val="single" w:sz="4" w:space="0" w:color="auto"/>
            </w:tcBorders>
          </w:tcPr>
          <w:p w14:paraId="798D39C4" w14:textId="77777777" w:rsidR="00C56E32" w:rsidRPr="00FC71BE" w:rsidRDefault="00C56E32">
            <w:pPr>
              <w:pStyle w:val="Table"/>
              <w:rPr>
                <w:color w:val="auto"/>
                <w:lang w:eastAsia="zh-CN"/>
              </w:rPr>
            </w:pPr>
            <w:r w:rsidRPr="00FC71BE">
              <w:rPr>
                <w:color w:val="auto"/>
                <w:lang w:eastAsia="zh-CN"/>
              </w:rPr>
              <w:t>0.83</w:t>
            </w:r>
          </w:p>
        </w:tc>
        <w:tc>
          <w:tcPr>
            <w:tcW w:w="1241" w:type="pct"/>
            <w:tcBorders>
              <w:top w:val="single" w:sz="4" w:space="0" w:color="auto"/>
            </w:tcBorders>
          </w:tcPr>
          <w:p w14:paraId="39EE1635" w14:textId="77777777" w:rsidR="00C56E32" w:rsidRPr="00FC71BE" w:rsidRDefault="00C56E32">
            <w:pPr>
              <w:pStyle w:val="Table"/>
              <w:rPr>
                <w:color w:val="auto"/>
                <w:lang w:eastAsia="zh-CN"/>
              </w:rPr>
            </w:pPr>
            <w:r w:rsidRPr="00FC71BE">
              <w:rPr>
                <w:color w:val="auto"/>
                <w:lang w:eastAsia="zh-CN"/>
              </w:rPr>
              <w:t>3.8</w:t>
            </w:r>
          </w:p>
        </w:tc>
      </w:tr>
      <w:tr w:rsidR="00FC71BE" w:rsidRPr="00FC71BE" w14:paraId="1B43C663" w14:textId="77777777">
        <w:tc>
          <w:tcPr>
            <w:tcW w:w="2190" w:type="pct"/>
          </w:tcPr>
          <w:p w14:paraId="3277C034" w14:textId="77777777" w:rsidR="00C56E32" w:rsidRPr="00FC71BE" w:rsidRDefault="00C56E32">
            <w:pPr>
              <w:pStyle w:val="Table"/>
              <w:rPr>
                <w:color w:val="auto"/>
                <w:lang w:eastAsia="zh-CN"/>
              </w:rPr>
            </w:pPr>
            <w:r w:rsidRPr="00FC71BE">
              <w:rPr>
                <w:color w:val="auto"/>
                <w:lang w:eastAsia="zh-CN"/>
              </w:rPr>
              <w:t>Stator tooth width (mm)</w:t>
            </w:r>
          </w:p>
        </w:tc>
        <w:tc>
          <w:tcPr>
            <w:tcW w:w="789" w:type="pct"/>
          </w:tcPr>
          <w:p w14:paraId="371562EF" w14:textId="77777777" w:rsidR="00C56E32" w:rsidRPr="00FC71BE" w:rsidRDefault="00C56E32">
            <w:pPr>
              <w:pStyle w:val="Table"/>
              <w:rPr>
                <w:color w:val="auto"/>
                <w:lang w:eastAsia="zh-CN"/>
              </w:rPr>
            </w:pPr>
            <w:r w:rsidRPr="00FC71BE">
              <w:rPr>
                <w:color w:val="auto"/>
                <w:lang w:eastAsia="zh-CN"/>
              </w:rPr>
              <w:t>10.0</w:t>
            </w:r>
          </w:p>
        </w:tc>
        <w:tc>
          <w:tcPr>
            <w:tcW w:w="780" w:type="pct"/>
          </w:tcPr>
          <w:p w14:paraId="4A812EB5" w14:textId="77777777" w:rsidR="00C56E32" w:rsidRPr="00FC71BE" w:rsidRDefault="00C56E32">
            <w:pPr>
              <w:pStyle w:val="Table"/>
              <w:rPr>
                <w:color w:val="auto"/>
                <w:lang w:eastAsia="zh-CN"/>
              </w:rPr>
            </w:pPr>
            <w:r w:rsidRPr="00FC71BE">
              <w:rPr>
                <w:color w:val="auto"/>
                <w:lang w:eastAsia="zh-CN"/>
              </w:rPr>
              <w:t>17.0</w:t>
            </w:r>
          </w:p>
        </w:tc>
        <w:tc>
          <w:tcPr>
            <w:tcW w:w="1241" w:type="pct"/>
          </w:tcPr>
          <w:p w14:paraId="58E9C552" w14:textId="77777777" w:rsidR="00C56E32" w:rsidRPr="00FC71BE" w:rsidRDefault="00C56E32">
            <w:pPr>
              <w:pStyle w:val="Table"/>
              <w:rPr>
                <w:color w:val="auto"/>
                <w:lang w:eastAsia="zh-CN"/>
              </w:rPr>
            </w:pPr>
            <w:r w:rsidRPr="00FC71BE">
              <w:rPr>
                <w:color w:val="auto"/>
                <w:lang w:eastAsia="zh-CN"/>
              </w:rPr>
              <w:t>70.0</w:t>
            </w:r>
          </w:p>
        </w:tc>
      </w:tr>
      <w:tr w:rsidR="00FC71BE" w:rsidRPr="00FC71BE" w14:paraId="00CA5AE3" w14:textId="77777777">
        <w:tc>
          <w:tcPr>
            <w:tcW w:w="2190" w:type="pct"/>
          </w:tcPr>
          <w:p w14:paraId="121E9783" w14:textId="77777777" w:rsidR="00C56E32" w:rsidRPr="00FC71BE" w:rsidRDefault="00C56E32">
            <w:pPr>
              <w:pStyle w:val="Table"/>
              <w:rPr>
                <w:color w:val="auto"/>
                <w:lang w:eastAsia="zh-CN"/>
              </w:rPr>
            </w:pPr>
            <w:r w:rsidRPr="00FC71BE">
              <w:rPr>
                <w:color w:val="auto"/>
                <w:lang w:eastAsia="zh-CN"/>
              </w:rPr>
              <w:t>Stator yoke thickness (mm)</w:t>
            </w:r>
          </w:p>
        </w:tc>
        <w:tc>
          <w:tcPr>
            <w:tcW w:w="789" w:type="pct"/>
          </w:tcPr>
          <w:p w14:paraId="3AA7445F" w14:textId="77777777" w:rsidR="00C56E32" w:rsidRPr="00FC71BE" w:rsidRDefault="00C56E32">
            <w:pPr>
              <w:pStyle w:val="Table"/>
              <w:rPr>
                <w:color w:val="auto"/>
                <w:lang w:eastAsia="zh-CN"/>
              </w:rPr>
            </w:pPr>
            <w:r w:rsidRPr="00FC71BE">
              <w:rPr>
                <w:color w:val="auto"/>
                <w:lang w:eastAsia="zh-CN"/>
              </w:rPr>
              <w:t>10.0</w:t>
            </w:r>
          </w:p>
        </w:tc>
        <w:tc>
          <w:tcPr>
            <w:tcW w:w="780" w:type="pct"/>
          </w:tcPr>
          <w:p w14:paraId="3DF6CACD" w14:textId="77777777" w:rsidR="00C56E32" w:rsidRPr="00FC71BE" w:rsidRDefault="00C56E32">
            <w:pPr>
              <w:pStyle w:val="Table"/>
              <w:rPr>
                <w:color w:val="auto"/>
                <w:lang w:eastAsia="zh-CN"/>
              </w:rPr>
            </w:pPr>
            <w:r w:rsidRPr="00FC71BE">
              <w:rPr>
                <w:color w:val="auto"/>
                <w:lang w:eastAsia="zh-CN"/>
              </w:rPr>
              <w:t>5.1</w:t>
            </w:r>
          </w:p>
        </w:tc>
        <w:tc>
          <w:tcPr>
            <w:tcW w:w="1241" w:type="pct"/>
          </w:tcPr>
          <w:p w14:paraId="3FCEEF97" w14:textId="77777777" w:rsidR="00C56E32" w:rsidRPr="00FC71BE" w:rsidRDefault="00C56E32">
            <w:pPr>
              <w:pStyle w:val="Table"/>
              <w:rPr>
                <w:color w:val="auto"/>
                <w:lang w:eastAsia="zh-CN"/>
              </w:rPr>
            </w:pPr>
            <w:r w:rsidRPr="00FC71BE">
              <w:rPr>
                <w:color w:val="auto"/>
                <w:lang w:eastAsia="zh-CN"/>
              </w:rPr>
              <w:t>-49.0</w:t>
            </w:r>
          </w:p>
        </w:tc>
      </w:tr>
      <w:tr w:rsidR="00FC71BE" w:rsidRPr="00FC71BE" w14:paraId="35A0B762" w14:textId="77777777">
        <w:tc>
          <w:tcPr>
            <w:tcW w:w="2190" w:type="pct"/>
          </w:tcPr>
          <w:p w14:paraId="6E0D6092" w14:textId="77777777" w:rsidR="00C56E32" w:rsidRPr="00FC71BE" w:rsidRDefault="00C56E32">
            <w:pPr>
              <w:pStyle w:val="Table"/>
              <w:rPr>
                <w:color w:val="auto"/>
                <w:lang w:eastAsia="zh-CN"/>
              </w:rPr>
            </w:pPr>
            <w:r w:rsidRPr="00FC71BE">
              <w:rPr>
                <w:color w:val="auto"/>
                <w:lang w:eastAsia="zh-CN"/>
              </w:rPr>
              <w:t>Rotor yoke thickness (mm)</w:t>
            </w:r>
          </w:p>
        </w:tc>
        <w:tc>
          <w:tcPr>
            <w:tcW w:w="789" w:type="pct"/>
          </w:tcPr>
          <w:p w14:paraId="123EC465" w14:textId="77777777" w:rsidR="00C56E32" w:rsidRPr="00FC71BE" w:rsidRDefault="00C56E32">
            <w:pPr>
              <w:pStyle w:val="Table"/>
              <w:rPr>
                <w:color w:val="auto"/>
                <w:lang w:eastAsia="zh-CN"/>
              </w:rPr>
            </w:pPr>
            <w:r w:rsidRPr="00FC71BE">
              <w:rPr>
                <w:color w:val="auto"/>
                <w:lang w:eastAsia="zh-CN"/>
              </w:rPr>
              <w:t>10.0</w:t>
            </w:r>
          </w:p>
        </w:tc>
        <w:tc>
          <w:tcPr>
            <w:tcW w:w="780" w:type="pct"/>
          </w:tcPr>
          <w:p w14:paraId="0D00FF62" w14:textId="77777777" w:rsidR="00C56E32" w:rsidRPr="00FC71BE" w:rsidRDefault="00C56E32">
            <w:pPr>
              <w:pStyle w:val="Table"/>
              <w:rPr>
                <w:color w:val="auto"/>
                <w:lang w:eastAsia="zh-CN"/>
              </w:rPr>
            </w:pPr>
            <w:r w:rsidRPr="00FC71BE">
              <w:rPr>
                <w:color w:val="auto"/>
                <w:lang w:eastAsia="zh-CN"/>
              </w:rPr>
              <w:t>7.0</w:t>
            </w:r>
          </w:p>
        </w:tc>
        <w:tc>
          <w:tcPr>
            <w:tcW w:w="1241" w:type="pct"/>
          </w:tcPr>
          <w:p w14:paraId="7A51F7EA" w14:textId="77777777" w:rsidR="00C56E32" w:rsidRPr="00FC71BE" w:rsidRDefault="00C56E32">
            <w:pPr>
              <w:pStyle w:val="Table"/>
              <w:rPr>
                <w:color w:val="auto"/>
                <w:lang w:eastAsia="zh-CN"/>
              </w:rPr>
            </w:pPr>
            <w:r w:rsidRPr="00FC71BE">
              <w:rPr>
                <w:color w:val="auto"/>
                <w:lang w:eastAsia="zh-CN"/>
              </w:rPr>
              <w:t>-30.0</w:t>
            </w:r>
          </w:p>
        </w:tc>
      </w:tr>
      <w:tr w:rsidR="00FC71BE" w:rsidRPr="00FC71BE" w14:paraId="0378DA61" w14:textId="77777777">
        <w:tc>
          <w:tcPr>
            <w:tcW w:w="2190" w:type="pct"/>
          </w:tcPr>
          <w:p w14:paraId="71A7E950" w14:textId="77777777" w:rsidR="00C56E32" w:rsidRPr="00FC71BE" w:rsidRDefault="00C56E32">
            <w:pPr>
              <w:pStyle w:val="Table"/>
              <w:rPr>
                <w:color w:val="auto"/>
                <w:lang w:eastAsia="zh-CN"/>
              </w:rPr>
            </w:pPr>
            <w:r w:rsidRPr="00FC71BE">
              <w:rPr>
                <w:color w:val="auto"/>
                <w:lang w:eastAsia="zh-CN"/>
              </w:rPr>
              <w:t>Magnet thickness (mm)</w:t>
            </w:r>
          </w:p>
        </w:tc>
        <w:tc>
          <w:tcPr>
            <w:tcW w:w="789" w:type="pct"/>
          </w:tcPr>
          <w:p w14:paraId="51AEA38A" w14:textId="77777777" w:rsidR="00C56E32" w:rsidRPr="00FC71BE" w:rsidRDefault="00C56E32">
            <w:pPr>
              <w:pStyle w:val="Table"/>
              <w:rPr>
                <w:color w:val="auto"/>
                <w:lang w:eastAsia="zh-CN"/>
              </w:rPr>
            </w:pPr>
            <w:r w:rsidRPr="00FC71BE">
              <w:rPr>
                <w:color w:val="auto"/>
                <w:lang w:eastAsia="zh-CN"/>
              </w:rPr>
              <w:t>7</w:t>
            </w:r>
          </w:p>
        </w:tc>
        <w:tc>
          <w:tcPr>
            <w:tcW w:w="780" w:type="pct"/>
          </w:tcPr>
          <w:p w14:paraId="33C4BA2D" w14:textId="77777777" w:rsidR="00C56E32" w:rsidRPr="00FC71BE" w:rsidRDefault="00C56E32">
            <w:pPr>
              <w:pStyle w:val="Table"/>
              <w:rPr>
                <w:color w:val="auto"/>
                <w:lang w:eastAsia="zh-CN"/>
              </w:rPr>
            </w:pPr>
            <w:r w:rsidRPr="00FC71BE">
              <w:rPr>
                <w:color w:val="auto"/>
                <w:lang w:eastAsia="zh-CN"/>
              </w:rPr>
              <w:t>6.7</w:t>
            </w:r>
          </w:p>
        </w:tc>
        <w:tc>
          <w:tcPr>
            <w:tcW w:w="1241" w:type="pct"/>
          </w:tcPr>
          <w:p w14:paraId="1D273068" w14:textId="77777777" w:rsidR="00C56E32" w:rsidRPr="00FC71BE" w:rsidRDefault="00C56E32">
            <w:pPr>
              <w:pStyle w:val="Table"/>
              <w:rPr>
                <w:color w:val="auto"/>
                <w:lang w:eastAsia="zh-CN"/>
              </w:rPr>
            </w:pPr>
            <w:r w:rsidRPr="00FC71BE">
              <w:rPr>
                <w:color w:val="auto"/>
                <w:lang w:eastAsia="zh-CN"/>
              </w:rPr>
              <w:t>4.3</w:t>
            </w:r>
          </w:p>
        </w:tc>
      </w:tr>
      <w:tr w:rsidR="00FC71BE" w:rsidRPr="00FC71BE" w14:paraId="699773C0" w14:textId="77777777">
        <w:tc>
          <w:tcPr>
            <w:tcW w:w="2190" w:type="pct"/>
          </w:tcPr>
          <w:p w14:paraId="4E5E717C" w14:textId="77777777" w:rsidR="00C56E32" w:rsidRPr="00FC71BE" w:rsidRDefault="00C56E32">
            <w:pPr>
              <w:pStyle w:val="Table"/>
              <w:rPr>
                <w:color w:val="auto"/>
                <w:lang w:eastAsia="zh-CN"/>
              </w:rPr>
            </w:pPr>
            <w:r w:rsidRPr="00FC71BE">
              <w:rPr>
                <w:color w:val="auto"/>
                <w:lang w:eastAsia="zh-CN"/>
              </w:rPr>
              <w:t>Average torque (Nm)</w:t>
            </w:r>
          </w:p>
        </w:tc>
        <w:tc>
          <w:tcPr>
            <w:tcW w:w="789" w:type="pct"/>
          </w:tcPr>
          <w:p w14:paraId="18348F5F" w14:textId="77777777" w:rsidR="00C56E32" w:rsidRPr="00FC71BE" w:rsidRDefault="00C56E32">
            <w:pPr>
              <w:pStyle w:val="Table"/>
              <w:rPr>
                <w:color w:val="auto"/>
                <w:lang w:eastAsia="zh-CN"/>
              </w:rPr>
            </w:pPr>
            <w:r w:rsidRPr="00FC71BE">
              <w:rPr>
                <w:color w:val="auto"/>
                <w:lang w:eastAsia="zh-CN"/>
              </w:rPr>
              <w:t>244.4</w:t>
            </w:r>
          </w:p>
        </w:tc>
        <w:tc>
          <w:tcPr>
            <w:tcW w:w="780" w:type="pct"/>
          </w:tcPr>
          <w:p w14:paraId="336CE383" w14:textId="77777777" w:rsidR="00C56E32" w:rsidRPr="00FC71BE" w:rsidRDefault="00C56E32">
            <w:pPr>
              <w:pStyle w:val="Table"/>
              <w:rPr>
                <w:color w:val="auto"/>
                <w:lang w:eastAsia="zh-CN"/>
              </w:rPr>
            </w:pPr>
            <w:r w:rsidRPr="00FC71BE">
              <w:rPr>
                <w:color w:val="auto"/>
                <w:lang w:eastAsia="zh-CN"/>
              </w:rPr>
              <w:t>292.6</w:t>
            </w:r>
          </w:p>
        </w:tc>
        <w:tc>
          <w:tcPr>
            <w:tcW w:w="1241" w:type="pct"/>
          </w:tcPr>
          <w:p w14:paraId="7360F4AD" w14:textId="77777777" w:rsidR="00C56E32" w:rsidRPr="00FC71BE" w:rsidRDefault="00C56E32">
            <w:pPr>
              <w:pStyle w:val="Table"/>
              <w:rPr>
                <w:color w:val="auto"/>
                <w:lang w:eastAsia="zh-CN"/>
              </w:rPr>
            </w:pPr>
            <w:r w:rsidRPr="00FC71BE">
              <w:rPr>
                <w:color w:val="auto"/>
                <w:lang w:eastAsia="zh-CN"/>
              </w:rPr>
              <w:t>19.7</w:t>
            </w:r>
          </w:p>
        </w:tc>
      </w:tr>
      <w:tr w:rsidR="00FC71BE" w:rsidRPr="00FC71BE" w14:paraId="19656D8E" w14:textId="77777777">
        <w:tc>
          <w:tcPr>
            <w:tcW w:w="2190" w:type="pct"/>
          </w:tcPr>
          <w:p w14:paraId="724083F5" w14:textId="77777777" w:rsidR="00C56E32" w:rsidRPr="00FC71BE" w:rsidRDefault="00C56E32">
            <w:pPr>
              <w:pStyle w:val="Table"/>
              <w:rPr>
                <w:color w:val="auto"/>
                <w:lang w:eastAsia="zh-CN"/>
              </w:rPr>
            </w:pPr>
            <w:r w:rsidRPr="00FC71BE">
              <w:rPr>
                <w:color w:val="auto"/>
                <w:lang w:eastAsia="zh-CN"/>
              </w:rPr>
              <w:t>Torque ripple (%)</w:t>
            </w:r>
          </w:p>
        </w:tc>
        <w:tc>
          <w:tcPr>
            <w:tcW w:w="789" w:type="pct"/>
          </w:tcPr>
          <w:p w14:paraId="30134DD5" w14:textId="77777777" w:rsidR="00C56E32" w:rsidRPr="00FC71BE" w:rsidRDefault="00C56E32">
            <w:pPr>
              <w:pStyle w:val="Table"/>
              <w:rPr>
                <w:color w:val="auto"/>
                <w:lang w:eastAsia="zh-CN"/>
              </w:rPr>
            </w:pPr>
            <w:r w:rsidRPr="00FC71BE">
              <w:rPr>
                <w:color w:val="auto"/>
                <w:lang w:eastAsia="zh-CN"/>
              </w:rPr>
              <w:t>8.7</w:t>
            </w:r>
          </w:p>
        </w:tc>
        <w:tc>
          <w:tcPr>
            <w:tcW w:w="780" w:type="pct"/>
          </w:tcPr>
          <w:p w14:paraId="6F9DB9B8" w14:textId="77777777" w:rsidR="00C56E32" w:rsidRPr="00FC71BE" w:rsidRDefault="00C56E32">
            <w:pPr>
              <w:pStyle w:val="Table"/>
              <w:rPr>
                <w:color w:val="auto"/>
                <w:lang w:eastAsia="zh-CN"/>
              </w:rPr>
            </w:pPr>
            <w:r w:rsidRPr="00FC71BE">
              <w:rPr>
                <w:color w:val="auto"/>
                <w:lang w:eastAsia="zh-CN"/>
              </w:rPr>
              <w:t>3.8</w:t>
            </w:r>
          </w:p>
        </w:tc>
        <w:tc>
          <w:tcPr>
            <w:tcW w:w="1241" w:type="pct"/>
          </w:tcPr>
          <w:p w14:paraId="10EAC3C7" w14:textId="77777777" w:rsidR="00C56E32" w:rsidRPr="00FC71BE" w:rsidRDefault="00C56E32">
            <w:pPr>
              <w:pStyle w:val="Table"/>
              <w:rPr>
                <w:color w:val="auto"/>
                <w:lang w:eastAsia="zh-CN"/>
              </w:rPr>
            </w:pPr>
            <w:r w:rsidRPr="00FC71BE">
              <w:rPr>
                <w:color w:val="auto"/>
                <w:lang w:eastAsia="zh-CN"/>
              </w:rPr>
              <w:t>-56.3</w:t>
            </w:r>
          </w:p>
        </w:tc>
      </w:tr>
      <w:tr w:rsidR="00FC71BE" w:rsidRPr="00FC71BE" w14:paraId="3CB40E6D" w14:textId="77777777">
        <w:tc>
          <w:tcPr>
            <w:tcW w:w="2190" w:type="pct"/>
          </w:tcPr>
          <w:p w14:paraId="6328A644" w14:textId="77777777" w:rsidR="00C56E32" w:rsidRPr="00FC71BE" w:rsidRDefault="00C56E32">
            <w:pPr>
              <w:pStyle w:val="Table"/>
              <w:rPr>
                <w:color w:val="auto"/>
                <w:lang w:eastAsia="zh-CN"/>
              </w:rPr>
            </w:pPr>
            <w:r w:rsidRPr="00FC71BE">
              <w:rPr>
                <w:color w:val="auto"/>
                <w:lang w:eastAsia="zh-CN"/>
              </w:rPr>
              <w:t>Copper loss (W)</w:t>
            </w:r>
          </w:p>
        </w:tc>
        <w:tc>
          <w:tcPr>
            <w:tcW w:w="789" w:type="pct"/>
          </w:tcPr>
          <w:p w14:paraId="297F7C0F" w14:textId="77777777" w:rsidR="00C56E32" w:rsidRPr="00FC71BE" w:rsidRDefault="00C56E32">
            <w:pPr>
              <w:pStyle w:val="Table"/>
              <w:rPr>
                <w:color w:val="auto"/>
                <w:lang w:eastAsia="zh-CN"/>
              </w:rPr>
            </w:pPr>
            <w:r w:rsidRPr="00FC71BE">
              <w:rPr>
                <w:color w:val="auto"/>
                <w:lang w:eastAsia="zh-CN"/>
              </w:rPr>
              <w:t>585</w:t>
            </w:r>
          </w:p>
        </w:tc>
        <w:tc>
          <w:tcPr>
            <w:tcW w:w="780" w:type="pct"/>
          </w:tcPr>
          <w:p w14:paraId="1AC720DF" w14:textId="77777777" w:rsidR="00C56E32" w:rsidRPr="00FC71BE" w:rsidRDefault="00C56E32">
            <w:pPr>
              <w:pStyle w:val="Table"/>
              <w:rPr>
                <w:color w:val="auto"/>
                <w:lang w:eastAsia="zh-CN"/>
              </w:rPr>
            </w:pPr>
            <w:r w:rsidRPr="00FC71BE">
              <w:rPr>
                <w:color w:val="auto"/>
                <w:lang w:eastAsia="zh-CN"/>
              </w:rPr>
              <w:t>803</w:t>
            </w:r>
          </w:p>
        </w:tc>
        <w:tc>
          <w:tcPr>
            <w:tcW w:w="1241" w:type="pct"/>
          </w:tcPr>
          <w:p w14:paraId="6444C12F" w14:textId="77777777" w:rsidR="00C56E32" w:rsidRPr="00FC71BE" w:rsidRDefault="00C56E32">
            <w:pPr>
              <w:pStyle w:val="Table"/>
              <w:rPr>
                <w:color w:val="auto"/>
                <w:lang w:eastAsia="zh-CN"/>
              </w:rPr>
            </w:pPr>
            <w:r w:rsidRPr="00FC71BE">
              <w:rPr>
                <w:color w:val="auto"/>
                <w:lang w:eastAsia="zh-CN"/>
              </w:rPr>
              <w:t>37.3</w:t>
            </w:r>
          </w:p>
        </w:tc>
      </w:tr>
      <w:tr w:rsidR="00FC71BE" w:rsidRPr="00FC71BE" w14:paraId="332B3804" w14:textId="77777777">
        <w:tc>
          <w:tcPr>
            <w:tcW w:w="2190" w:type="pct"/>
          </w:tcPr>
          <w:p w14:paraId="629A4A15" w14:textId="77777777" w:rsidR="00C56E32" w:rsidRPr="00FC71BE" w:rsidRDefault="00C56E32">
            <w:pPr>
              <w:pStyle w:val="Table"/>
              <w:rPr>
                <w:color w:val="auto"/>
                <w:lang w:eastAsia="zh-CN"/>
              </w:rPr>
            </w:pPr>
            <w:r w:rsidRPr="00FC71BE">
              <w:rPr>
                <w:color w:val="auto"/>
                <w:lang w:eastAsia="zh-CN"/>
              </w:rPr>
              <w:t>Total machine mass (kg)</w:t>
            </w:r>
          </w:p>
        </w:tc>
        <w:tc>
          <w:tcPr>
            <w:tcW w:w="789" w:type="pct"/>
          </w:tcPr>
          <w:p w14:paraId="5418E357" w14:textId="77777777" w:rsidR="00C56E32" w:rsidRPr="00FC71BE" w:rsidRDefault="00C56E32">
            <w:pPr>
              <w:pStyle w:val="Table"/>
              <w:rPr>
                <w:color w:val="auto"/>
                <w:lang w:eastAsia="zh-CN"/>
              </w:rPr>
            </w:pPr>
            <w:r w:rsidRPr="00FC71BE">
              <w:rPr>
                <w:color w:val="auto"/>
                <w:lang w:eastAsia="zh-CN"/>
              </w:rPr>
              <w:t>40.0</w:t>
            </w:r>
          </w:p>
        </w:tc>
        <w:tc>
          <w:tcPr>
            <w:tcW w:w="780" w:type="pct"/>
          </w:tcPr>
          <w:p w14:paraId="59D66708" w14:textId="77777777" w:rsidR="00C56E32" w:rsidRPr="00FC71BE" w:rsidRDefault="00C56E32">
            <w:pPr>
              <w:pStyle w:val="Table"/>
              <w:rPr>
                <w:color w:val="auto"/>
                <w:lang w:eastAsia="zh-CN"/>
              </w:rPr>
            </w:pPr>
            <w:r w:rsidRPr="00FC71BE">
              <w:rPr>
                <w:color w:val="auto"/>
                <w:lang w:eastAsia="zh-CN"/>
              </w:rPr>
              <w:t>33.7</w:t>
            </w:r>
          </w:p>
        </w:tc>
        <w:tc>
          <w:tcPr>
            <w:tcW w:w="1241" w:type="pct"/>
          </w:tcPr>
          <w:p w14:paraId="113B835D" w14:textId="77777777" w:rsidR="00C56E32" w:rsidRPr="00FC71BE" w:rsidRDefault="00C56E32">
            <w:pPr>
              <w:pStyle w:val="Table"/>
              <w:rPr>
                <w:color w:val="auto"/>
                <w:lang w:eastAsia="zh-CN"/>
              </w:rPr>
            </w:pPr>
            <w:r w:rsidRPr="00FC71BE">
              <w:rPr>
                <w:color w:val="auto"/>
                <w:lang w:eastAsia="zh-CN"/>
              </w:rPr>
              <w:t>-15.8</w:t>
            </w:r>
          </w:p>
        </w:tc>
      </w:tr>
      <w:tr w:rsidR="00FC71BE" w:rsidRPr="00FC71BE" w14:paraId="1BB841D7" w14:textId="77777777">
        <w:tc>
          <w:tcPr>
            <w:tcW w:w="2190" w:type="pct"/>
          </w:tcPr>
          <w:p w14:paraId="1C10B1E5" w14:textId="77777777" w:rsidR="00C56E32" w:rsidRPr="00FC71BE" w:rsidRDefault="00C56E32">
            <w:pPr>
              <w:pStyle w:val="Table"/>
              <w:rPr>
                <w:color w:val="auto"/>
                <w:lang w:eastAsia="zh-CN"/>
              </w:rPr>
            </w:pPr>
            <w:r w:rsidRPr="00FC71BE">
              <w:rPr>
                <w:color w:val="auto"/>
                <w:lang w:eastAsia="zh-CN"/>
              </w:rPr>
              <w:t>Efficiency (%)</w:t>
            </w:r>
          </w:p>
        </w:tc>
        <w:tc>
          <w:tcPr>
            <w:tcW w:w="789" w:type="pct"/>
          </w:tcPr>
          <w:p w14:paraId="478559C2" w14:textId="77777777" w:rsidR="00C56E32" w:rsidRPr="00FC71BE" w:rsidRDefault="00C56E32">
            <w:pPr>
              <w:pStyle w:val="Table"/>
              <w:rPr>
                <w:color w:val="auto"/>
                <w:lang w:eastAsia="zh-CN"/>
              </w:rPr>
            </w:pPr>
            <w:r w:rsidRPr="00FC71BE">
              <w:rPr>
                <w:color w:val="auto"/>
                <w:lang w:eastAsia="zh-CN"/>
              </w:rPr>
              <w:t>94.7</w:t>
            </w:r>
          </w:p>
        </w:tc>
        <w:tc>
          <w:tcPr>
            <w:tcW w:w="780" w:type="pct"/>
          </w:tcPr>
          <w:p w14:paraId="61D150D3" w14:textId="77777777" w:rsidR="00C56E32" w:rsidRPr="00FC71BE" w:rsidRDefault="00C56E32">
            <w:pPr>
              <w:pStyle w:val="Table"/>
              <w:rPr>
                <w:color w:val="auto"/>
                <w:lang w:eastAsia="zh-CN"/>
              </w:rPr>
            </w:pPr>
            <w:r w:rsidRPr="00FC71BE">
              <w:rPr>
                <w:color w:val="auto"/>
                <w:lang w:eastAsia="zh-CN"/>
              </w:rPr>
              <w:t>95.6</w:t>
            </w:r>
          </w:p>
        </w:tc>
        <w:tc>
          <w:tcPr>
            <w:tcW w:w="1241" w:type="pct"/>
          </w:tcPr>
          <w:p w14:paraId="36169754" w14:textId="77777777" w:rsidR="00C56E32" w:rsidRPr="00FC71BE" w:rsidRDefault="00C56E32">
            <w:pPr>
              <w:pStyle w:val="Table"/>
              <w:rPr>
                <w:color w:val="auto"/>
                <w:lang w:eastAsia="zh-CN"/>
              </w:rPr>
            </w:pPr>
            <w:r w:rsidRPr="00FC71BE">
              <w:rPr>
                <w:color w:val="auto"/>
                <w:lang w:eastAsia="zh-CN"/>
              </w:rPr>
              <w:t>0.95</w:t>
            </w:r>
          </w:p>
        </w:tc>
      </w:tr>
      <w:tr w:rsidR="005E3DFE" w:rsidRPr="00FC71BE" w14:paraId="46723B01" w14:textId="77777777">
        <w:tc>
          <w:tcPr>
            <w:tcW w:w="2190" w:type="pct"/>
            <w:tcBorders>
              <w:bottom w:val="double" w:sz="4" w:space="0" w:color="auto"/>
            </w:tcBorders>
          </w:tcPr>
          <w:p w14:paraId="06C2A429" w14:textId="77777777" w:rsidR="00C56E32" w:rsidRPr="00FC71BE" w:rsidRDefault="00C56E32">
            <w:pPr>
              <w:pStyle w:val="Table"/>
              <w:rPr>
                <w:color w:val="auto"/>
                <w:lang w:eastAsia="zh-CN"/>
              </w:rPr>
            </w:pPr>
            <w:r w:rsidRPr="00FC71BE">
              <w:rPr>
                <w:color w:val="auto"/>
                <w:lang w:eastAsia="zh-CN"/>
              </w:rPr>
              <w:t>Fitness function</w:t>
            </w:r>
          </w:p>
        </w:tc>
        <w:tc>
          <w:tcPr>
            <w:tcW w:w="789" w:type="pct"/>
            <w:tcBorders>
              <w:bottom w:val="double" w:sz="4" w:space="0" w:color="auto"/>
            </w:tcBorders>
          </w:tcPr>
          <w:p w14:paraId="74205E35" w14:textId="77777777" w:rsidR="00C56E32" w:rsidRPr="00FC71BE" w:rsidRDefault="00C56E32">
            <w:pPr>
              <w:pStyle w:val="Table"/>
              <w:rPr>
                <w:color w:val="auto"/>
                <w:lang w:eastAsia="zh-CN"/>
              </w:rPr>
            </w:pPr>
            <w:r w:rsidRPr="00FC71BE">
              <w:rPr>
                <w:color w:val="auto"/>
                <w:lang w:eastAsia="zh-CN"/>
              </w:rPr>
              <w:t>0.95</w:t>
            </w:r>
          </w:p>
        </w:tc>
        <w:tc>
          <w:tcPr>
            <w:tcW w:w="780" w:type="pct"/>
            <w:tcBorders>
              <w:bottom w:val="double" w:sz="4" w:space="0" w:color="auto"/>
            </w:tcBorders>
          </w:tcPr>
          <w:p w14:paraId="18CB02A1" w14:textId="77777777" w:rsidR="00C56E32" w:rsidRPr="00FC71BE" w:rsidRDefault="00C56E32">
            <w:pPr>
              <w:pStyle w:val="Table"/>
              <w:rPr>
                <w:color w:val="auto"/>
                <w:lang w:eastAsia="zh-CN"/>
              </w:rPr>
            </w:pPr>
            <w:r w:rsidRPr="00FC71BE">
              <w:rPr>
                <w:color w:val="auto"/>
                <w:lang w:eastAsia="zh-CN"/>
              </w:rPr>
              <w:t>1.13</w:t>
            </w:r>
          </w:p>
        </w:tc>
        <w:tc>
          <w:tcPr>
            <w:tcW w:w="1241" w:type="pct"/>
            <w:tcBorders>
              <w:bottom w:val="double" w:sz="4" w:space="0" w:color="auto"/>
            </w:tcBorders>
          </w:tcPr>
          <w:p w14:paraId="3F309934" w14:textId="77777777" w:rsidR="00C56E32" w:rsidRPr="00FC71BE" w:rsidRDefault="00C56E32">
            <w:pPr>
              <w:pStyle w:val="Table"/>
              <w:rPr>
                <w:color w:val="auto"/>
                <w:lang w:eastAsia="zh-CN"/>
              </w:rPr>
            </w:pPr>
            <w:r w:rsidRPr="00FC71BE">
              <w:rPr>
                <w:color w:val="auto"/>
                <w:lang w:eastAsia="zh-CN"/>
              </w:rPr>
              <w:t>18.9</w:t>
            </w:r>
          </w:p>
        </w:tc>
      </w:tr>
    </w:tbl>
    <w:p w14:paraId="274E6A69" w14:textId="77777777" w:rsidR="00C56E32" w:rsidRPr="00FC71BE" w:rsidRDefault="00C56E32" w:rsidP="00C56E32">
      <w:pPr>
        <w:pStyle w:val="Table"/>
        <w:rPr>
          <w:color w:val="auto"/>
        </w:rPr>
      </w:pPr>
    </w:p>
    <w:tbl>
      <w:tblPr>
        <w:tblStyle w:val="TableGrid"/>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5"/>
      </w:tblGrid>
      <w:tr w:rsidR="00FC71BE" w:rsidRPr="00FC71BE" w14:paraId="04B4C7B4" w14:textId="77777777">
        <w:tc>
          <w:tcPr>
            <w:tcW w:w="5000" w:type="pct"/>
          </w:tcPr>
          <w:p w14:paraId="0654F7D8" w14:textId="77777777" w:rsidR="00C56E32" w:rsidRPr="00FC71BE" w:rsidRDefault="00C56E32">
            <w:pPr>
              <w:pStyle w:val="Figure"/>
              <w:rPr>
                <w:noProof w:val="0"/>
              </w:rPr>
            </w:pPr>
            <w:r w:rsidRPr="00FC71BE">
              <w:drawing>
                <wp:inline distT="0" distB="0" distL="0" distR="0" wp14:anchorId="0C6F435A" wp14:editId="4D2E6BEB">
                  <wp:extent cx="4068000" cy="2439178"/>
                  <wp:effectExtent l="0" t="0" r="8890" b="0"/>
                  <wp:docPr id="1137350843" name="Picture 1137350843" descr="A diagram of a graph&#10;&#10;Description automatically generated">
                    <a:extLst xmlns:a="http://schemas.openxmlformats.org/drawingml/2006/main">
                      <a:ext uri="{FF2B5EF4-FFF2-40B4-BE49-F238E27FC236}">
                        <a16:creationId xmlns:a16="http://schemas.microsoft.com/office/drawing/2014/main" id="{1AD6CA7D-B82D-5F25-9C7E-FD3658E9DD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50843" name="Picture 1137350843" descr="A diagram of a graph&#10;&#10;Description automatically generated">
                            <a:extLst>
                              <a:ext uri="{FF2B5EF4-FFF2-40B4-BE49-F238E27FC236}">
                                <a16:creationId xmlns:a16="http://schemas.microsoft.com/office/drawing/2014/main" id="{1AD6CA7D-B82D-5F25-9C7E-FD3658E9DD37}"/>
                              </a:ext>
                            </a:extLst>
                          </pic:cNvPr>
                          <pic:cNvPicPr>
                            <a:picLocks noChangeAspect="1"/>
                          </pic:cNvPicPr>
                        </pic:nvPicPr>
                        <pic:blipFill>
                          <a:blip r:embed="rId65"/>
                          <a:stretch>
                            <a:fillRect/>
                          </a:stretch>
                        </pic:blipFill>
                        <pic:spPr>
                          <a:xfrm>
                            <a:off x="0" y="0"/>
                            <a:ext cx="4068000" cy="2439178"/>
                          </a:xfrm>
                          <a:prstGeom prst="rect">
                            <a:avLst/>
                          </a:prstGeom>
                        </pic:spPr>
                      </pic:pic>
                    </a:graphicData>
                  </a:graphic>
                </wp:inline>
              </w:drawing>
            </w:r>
          </w:p>
        </w:tc>
      </w:tr>
      <w:tr w:rsidR="00FC71BE" w:rsidRPr="00FC71BE" w14:paraId="7E652C88" w14:textId="77777777">
        <w:tc>
          <w:tcPr>
            <w:tcW w:w="5000" w:type="pct"/>
          </w:tcPr>
          <w:p w14:paraId="265DFAA4" w14:textId="77777777" w:rsidR="00C56E32" w:rsidRPr="00FC71BE" w:rsidRDefault="00C56E32">
            <w:pPr>
              <w:pStyle w:val="Figure"/>
              <w:rPr>
                <w:noProof w:val="0"/>
              </w:rPr>
            </w:pPr>
            <w:r w:rsidRPr="00FC71BE">
              <w:rPr>
                <w:noProof w:val="0"/>
              </w:rPr>
              <w:t xml:space="preserve">(a) Average torque </w:t>
            </w:r>
            <w:r w:rsidRPr="00FC71BE">
              <w:rPr>
                <w:i/>
                <w:iCs/>
                <w:noProof w:val="0"/>
              </w:rPr>
              <w:t>vs</w:t>
            </w:r>
            <w:r w:rsidRPr="00FC71BE">
              <w:rPr>
                <w:noProof w:val="0"/>
              </w:rPr>
              <w:t xml:space="preserve"> total machine mass</w:t>
            </w:r>
          </w:p>
        </w:tc>
      </w:tr>
      <w:tr w:rsidR="00FC71BE" w:rsidRPr="00FC71BE" w14:paraId="2DAA1A97" w14:textId="77777777">
        <w:tc>
          <w:tcPr>
            <w:tcW w:w="5000" w:type="pct"/>
          </w:tcPr>
          <w:p w14:paraId="0A6A5E23" w14:textId="77777777" w:rsidR="00C56E32" w:rsidRPr="00FC71BE" w:rsidRDefault="00C56E32">
            <w:pPr>
              <w:pStyle w:val="Figure"/>
              <w:rPr>
                <w:noProof w:val="0"/>
              </w:rPr>
            </w:pPr>
            <w:r w:rsidRPr="00FC71BE">
              <w:drawing>
                <wp:inline distT="0" distB="0" distL="0" distR="0" wp14:anchorId="3EE4EDFD" wp14:editId="639DD90D">
                  <wp:extent cx="4068000" cy="2441431"/>
                  <wp:effectExtent l="0" t="0" r="8890" b="0"/>
                  <wp:docPr id="820021024" name="Picture 820021024" descr="A diagram of a graph&#10;&#10;Description automatically generated">
                    <a:extLst xmlns:a="http://schemas.openxmlformats.org/drawingml/2006/main">
                      <a:ext uri="{FF2B5EF4-FFF2-40B4-BE49-F238E27FC236}">
                        <a16:creationId xmlns:a16="http://schemas.microsoft.com/office/drawing/2014/main" id="{28A6C6C3-42C4-CB6D-24DC-4C54919B8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21024" name="Picture 820021024" descr="A diagram of a graph&#10;&#10;Description automatically generated">
                            <a:extLst>
                              <a:ext uri="{FF2B5EF4-FFF2-40B4-BE49-F238E27FC236}">
                                <a16:creationId xmlns:a16="http://schemas.microsoft.com/office/drawing/2014/main" id="{28A6C6C3-42C4-CB6D-24DC-4C54919B8826}"/>
                              </a:ext>
                            </a:extLst>
                          </pic:cNvPr>
                          <pic:cNvPicPr>
                            <a:picLocks noChangeAspect="1"/>
                          </pic:cNvPicPr>
                        </pic:nvPicPr>
                        <pic:blipFill>
                          <a:blip r:embed="rId66"/>
                          <a:stretch>
                            <a:fillRect/>
                          </a:stretch>
                        </pic:blipFill>
                        <pic:spPr>
                          <a:xfrm>
                            <a:off x="0" y="0"/>
                            <a:ext cx="4068000" cy="2441431"/>
                          </a:xfrm>
                          <a:prstGeom prst="rect">
                            <a:avLst/>
                          </a:prstGeom>
                        </pic:spPr>
                      </pic:pic>
                    </a:graphicData>
                  </a:graphic>
                </wp:inline>
              </w:drawing>
            </w:r>
          </w:p>
        </w:tc>
      </w:tr>
      <w:tr w:rsidR="00FC71BE" w:rsidRPr="00FC71BE" w14:paraId="0E99F4DA" w14:textId="77777777">
        <w:tc>
          <w:tcPr>
            <w:tcW w:w="5000" w:type="pct"/>
          </w:tcPr>
          <w:p w14:paraId="71CADD55" w14:textId="77777777" w:rsidR="00C56E32" w:rsidRPr="00FC71BE" w:rsidRDefault="00C56E32">
            <w:pPr>
              <w:pStyle w:val="Figure"/>
              <w:rPr>
                <w:noProof w:val="0"/>
              </w:rPr>
            </w:pPr>
            <w:r w:rsidRPr="00FC71BE">
              <w:rPr>
                <w:noProof w:val="0"/>
              </w:rPr>
              <w:t xml:space="preserve">(b) Average torque </w:t>
            </w:r>
            <w:r w:rsidRPr="00FC71BE">
              <w:rPr>
                <w:i/>
                <w:iCs/>
                <w:noProof w:val="0"/>
              </w:rPr>
              <w:t>vs</w:t>
            </w:r>
            <w:r w:rsidRPr="00FC71BE">
              <w:rPr>
                <w:noProof w:val="0"/>
              </w:rPr>
              <w:t xml:space="preserve"> copper loss</w:t>
            </w:r>
          </w:p>
        </w:tc>
      </w:tr>
      <w:tr w:rsidR="00FC71BE" w:rsidRPr="00FC71BE" w14:paraId="62AB9161" w14:textId="77777777">
        <w:tc>
          <w:tcPr>
            <w:tcW w:w="5000" w:type="pct"/>
          </w:tcPr>
          <w:p w14:paraId="4353031F" w14:textId="77777777" w:rsidR="00C56E32" w:rsidRPr="00FC71BE" w:rsidRDefault="00C56E32">
            <w:pPr>
              <w:pStyle w:val="Figure"/>
              <w:rPr>
                <w:noProof w:val="0"/>
              </w:rPr>
            </w:pPr>
            <w:r w:rsidRPr="00FC71BE">
              <w:lastRenderedPageBreak/>
              <w:drawing>
                <wp:inline distT="0" distB="0" distL="0" distR="0" wp14:anchorId="3C82EC16" wp14:editId="76EFB10E">
                  <wp:extent cx="4068000" cy="2442783"/>
                  <wp:effectExtent l="0" t="0" r="0" b="0"/>
                  <wp:docPr id="1114958109" name="Picture 1114958109" descr="A graph showing a graph of a graph&#10;&#10;Description automatically generated with medium confidence">
                    <a:extLst xmlns:a="http://schemas.openxmlformats.org/drawingml/2006/main">
                      <a:ext uri="{FF2B5EF4-FFF2-40B4-BE49-F238E27FC236}">
                        <a16:creationId xmlns:a16="http://schemas.microsoft.com/office/drawing/2014/main" id="{30FE4C15-EB8C-FBB4-E1A8-B6D33D0BC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58109" name="Picture 1114958109" descr="A graph showing a graph of a graph&#10;&#10;Description automatically generated with medium confidence">
                            <a:extLst>
                              <a:ext uri="{FF2B5EF4-FFF2-40B4-BE49-F238E27FC236}">
                                <a16:creationId xmlns:a16="http://schemas.microsoft.com/office/drawing/2014/main" id="{30FE4C15-EB8C-FBB4-E1A8-B6D33D0BC899}"/>
                              </a:ext>
                            </a:extLst>
                          </pic:cNvPr>
                          <pic:cNvPicPr>
                            <a:picLocks noChangeAspect="1"/>
                          </pic:cNvPicPr>
                        </pic:nvPicPr>
                        <pic:blipFill>
                          <a:blip r:embed="rId67"/>
                          <a:stretch>
                            <a:fillRect/>
                          </a:stretch>
                        </pic:blipFill>
                        <pic:spPr>
                          <a:xfrm>
                            <a:off x="0" y="0"/>
                            <a:ext cx="4068000" cy="2442783"/>
                          </a:xfrm>
                          <a:prstGeom prst="rect">
                            <a:avLst/>
                          </a:prstGeom>
                        </pic:spPr>
                      </pic:pic>
                    </a:graphicData>
                  </a:graphic>
                </wp:inline>
              </w:drawing>
            </w:r>
          </w:p>
        </w:tc>
      </w:tr>
      <w:tr w:rsidR="00FC71BE" w:rsidRPr="00FC71BE" w14:paraId="58708A2D" w14:textId="77777777">
        <w:tc>
          <w:tcPr>
            <w:tcW w:w="5000" w:type="pct"/>
          </w:tcPr>
          <w:p w14:paraId="6AF51D43" w14:textId="77777777" w:rsidR="00C56E32" w:rsidRPr="00FC71BE" w:rsidRDefault="00C56E32">
            <w:pPr>
              <w:pStyle w:val="Figure"/>
              <w:rPr>
                <w:noProof w:val="0"/>
              </w:rPr>
            </w:pPr>
            <w:r w:rsidRPr="00FC71BE">
              <w:rPr>
                <w:noProof w:val="0"/>
              </w:rPr>
              <w:t xml:space="preserve">(c) Average torque </w:t>
            </w:r>
            <w:r w:rsidRPr="00FC71BE">
              <w:rPr>
                <w:i/>
                <w:iCs/>
                <w:noProof w:val="0"/>
              </w:rPr>
              <w:t>vs</w:t>
            </w:r>
            <w:r w:rsidRPr="00FC71BE">
              <w:rPr>
                <w:noProof w:val="0"/>
              </w:rPr>
              <w:t xml:space="preserve"> torque ripple</w:t>
            </w:r>
          </w:p>
        </w:tc>
      </w:tr>
    </w:tbl>
    <w:p w14:paraId="7071BD7B" w14:textId="3B19F7E2" w:rsidR="00C56E32" w:rsidRPr="00FC71BE" w:rsidRDefault="00C56E32" w:rsidP="00C56E32">
      <w:pPr>
        <w:pStyle w:val="FigureTitle"/>
      </w:pPr>
      <w:bookmarkStart w:id="92" w:name="_Ref125487389"/>
      <w:r w:rsidRPr="00FC71BE">
        <w:t xml:space="preserve">Fig. </w:t>
      </w:r>
      <w:fldSimple w:instr=" STYLEREF 1 \s ">
        <w:r w:rsidR="007E62C1" w:rsidRPr="00FC71BE">
          <w:rPr>
            <w:noProof/>
          </w:rPr>
          <w:t>2</w:t>
        </w:r>
      </w:fldSimple>
      <w:r w:rsidRPr="00FC71BE">
        <w:t>.</w:t>
      </w:r>
      <w:fldSimple w:instr=" SEQ Fig. \* ARABIC \s 1 ">
        <w:r w:rsidR="007E62C1" w:rsidRPr="00FC71BE">
          <w:rPr>
            <w:noProof/>
          </w:rPr>
          <w:t>4</w:t>
        </w:r>
      </w:fldSimple>
      <w:bookmarkEnd w:id="92"/>
      <w:r w:rsidRPr="00FC71BE">
        <w:t xml:space="preserve">. Average torque </w:t>
      </w:r>
      <w:r w:rsidRPr="00FC71BE">
        <w:rPr>
          <w:i/>
        </w:rPr>
        <w:t xml:space="preserve">vs </w:t>
      </w:r>
      <w:r w:rsidRPr="00FC71BE">
        <w:t>(a) total machine mass, (b) copper loss, and (c) torque ripple of 24-slot/28-pole non-modular machines.</w:t>
      </w:r>
    </w:p>
    <w:p w14:paraId="567F0F6B" w14:textId="77777777" w:rsidR="00C56E32" w:rsidRPr="00FC71BE" w:rsidRDefault="00C56E32" w:rsidP="00B86C68">
      <w:pPr>
        <w:pStyle w:val="Heading3"/>
        <w:numPr>
          <w:ilvl w:val="2"/>
          <w:numId w:val="49"/>
        </w:numPr>
      </w:pPr>
      <w:bookmarkStart w:id="93" w:name="_Toc157695341"/>
      <w:r w:rsidRPr="00FC71BE">
        <w:t>Evaluation of Optimized 24-slot/28-pole SPM Machines</w:t>
      </w:r>
      <w:bookmarkEnd w:id="93"/>
    </w:p>
    <w:p w14:paraId="288EE734" w14:textId="64FA11A1" w:rsidR="00C56E32" w:rsidRPr="00FC71BE" w:rsidRDefault="00C56E32" w:rsidP="00B54F1D">
      <w:r w:rsidRPr="00FC71BE">
        <w:t>To demonstrate that it is necessary to consider the flux gap width as a variable during the optimization of modular machines (method 1), an optimization method in existing literatures (method 2) about modular machines will be used for comparison in this chapter. For method 2, the non-modular PM machines are optimized first, then a direct search method is used to find the optimal flux gap width.</w:t>
      </w:r>
    </w:p>
    <w:p w14:paraId="0D4877E8" w14:textId="437690BB" w:rsidR="00C56E32" w:rsidRPr="00FC71BE" w:rsidRDefault="00C56E32" w:rsidP="00C56E32">
      <w:pPr>
        <w:pStyle w:val="Tabletitle"/>
        <w:rPr>
          <w:color w:val="auto"/>
        </w:rPr>
      </w:pPr>
      <w:bookmarkStart w:id="94" w:name="_Ref125489502"/>
      <w:bookmarkStart w:id="95" w:name="_Ref135992218"/>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5</w:t>
      </w:r>
      <w:r w:rsidR="002839C4" w:rsidRPr="00FC71BE">
        <w:rPr>
          <w:color w:val="auto"/>
        </w:rPr>
        <w:fldChar w:fldCharType="end"/>
      </w:r>
      <w:bookmarkEnd w:id="94"/>
      <w:r w:rsidRPr="00FC71BE">
        <w:rPr>
          <w:color w:val="auto"/>
        </w:rPr>
        <w:t xml:space="preserve"> Comparison between Optimized Modular Machine Using Method 1 and Method 2</w:t>
      </w:r>
      <w:bookmarkEnd w:id="9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2"/>
        <w:gridCol w:w="1528"/>
        <w:gridCol w:w="1527"/>
        <w:gridCol w:w="2159"/>
      </w:tblGrid>
      <w:tr w:rsidR="00FC71BE" w:rsidRPr="00FC71BE" w14:paraId="30293CF4" w14:textId="77777777">
        <w:tc>
          <w:tcPr>
            <w:tcW w:w="2111" w:type="pct"/>
            <w:tcBorders>
              <w:top w:val="single" w:sz="4" w:space="0" w:color="auto"/>
              <w:bottom w:val="single" w:sz="4" w:space="0" w:color="auto"/>
            </w:tcBorders>
          </w:tcPr>
          <w:p w14:paraId="302CB3BB" w14:textId="77777777" w:rsidR="00C56E32" w:rsidRPr="00FC71BE" w:rsidRDefault="00C56E32">
            <w:pPr>
              <w:pStyle w:val="Table"/>
              <w:rPr>
                <w:color w:val="auto"/>
                <w:lang w:eastAsia="zh-CN"/>
              </w:rPr>
            </w:pPr>
          </w:p>
        </w:tc>
        <w:tc>
          <w:tcPr>
            <w:tcW w:w="846" w:type="pct"/>
            <w:tcBorders>
              <w:top w:val="single" w:sz="4" w:space="0" w:color="auto"/>
              <w:bottom w:val="single" w:sz="4" w:space="0" w:color="auto"/>
            </w:tcBorders>
          </w:tcPr>
          <w:p w14:paraId="3DF7EC78" w14:textId="77777777" w:rsidR="00C56E32" w:rsidRPr="00FC71BE" w:rsidRDefault="00C56E32">
            <w:pPr>
              <w:pStyle w:val="Table"/>
              <w:rPr>
                <w:color w:val="auto"/>
                <w:lang w:eastAsia="zh-CN"/>
              </w:rPr>
            </w:pPr>
            <w:r w:rsidRPr="00FC71BE">
              <w:rPr>
                <w:color w:val="auto"/>
                <w:lang w:eastAsia="zh-CN"/>
              </w:rPr>
              <w:t>Method 1</w:t>
            </w:r>
          </w:p>
        </w:tc>
        <w:tc>
          <w:tcPr>
            <w:tcW w:w="846" w:type="pct"/>
            <w:tcBorders>
              <w:top w:val="single" w:sz="4" w:space="0" w:color="auto"/>
              <w:bottom w:val="single" w:sz="4" w:space="0" w:color="auto"/>
            </w:tcBorders>
          </w:tcPr>
          <w:p w14:paraId="6B3781C5" w14:textId="77777777" w:rsidR="00C56E32" w:rsidRPr="00FC71BE" w:rsidRDefault="00C56E32">
            <w:pPr>
              <w:pStyle w:val="Table"/>
              <w:rPr>
                <w:color w:val="auto"/>
                <w:lang w:eastAsia="zh-CN"/>
              </w:rPr>
            </w:pPr>
            <w:r w:rsidRPr="00FC71BE">
              <w:rPr>
                <w:color w:val="auto"/>
                <w:lang w:eastAsia="zh-CN"/>
              </w:rPr>
              <w:t>Method 2</w:t>
            </w:r>
          </w:p>
        </w:tc>
        <w:tc>
          <w:tcPr>
            <w:tcW w:w="1196" w:type="pct"/>
            <w:tcBorders>
              <w:top w:val="single" w:sz="4" w:space="0" w:color="auto"/>
              <w:bottom w:val="single" w:sz="4" w:space="0" w:color="auto"/>
            </w:tcBorders>
          </w:tcPr>
          <w:p w14:paraId="4B7A5C06" w14:textId="77777777" w:rsidR="00C56E32" w:rsidRPr="00FC71BE" w:rsidRDefault="00C56E32">
            <w:pPr>
              <w:pStyle w:val="Table"/>
              <w:rPr>
                <w:color w:val="auto"/>
                <w:lang w:eastAsia="zh-CN"/>
              </w:rPr>
            </w:pPr>
            <w:r w:rsidRPr="00FC71BE">
              <w:rPr>
                <w:color w:val="auto"/>
                <w:lang w:eastAsia="zh-CN"/>
              </w:rPr>
              <w:t>Difference (</w:t>
            </w:r>
            <w:r w:rsidRPr="00FC71BE">
              <w:rPr>
                <w:i/>
                <w:iCs/>
                <w:color w:val="auto"/>
                <w:lang w:eastAsia="zh-CN"/>
              </w:rPr>
              <w:t>%</w:t>
            </w:r>
            <w:r w:rsidRPr="00FC71BE">
              <w:rPr>
                <w:color w:val="auto"/>
                <w:lang w:eastAsia="zh-CN"/>
              </w:rPr>
              <w:t>)</w:t>
            </w:r>
          </w:p>
        </w:tc>
      </w:tr>
      <w:tr w:rsidR="00FC71BE" w:rsidRPr="00FC71BE" w14:paraId="4A7A727D" w14:textId="77777777">
        <w:tc>
          <w:tcPr>
            <w:tcW w:w="2111" w:type="pct"/>
            <w:tcBorders>
              <w:top w:val="single" w:sz="4" w:space="0" w:color="auto"/>
            </w:tcBorders>
          </w:tcPr>
          <w:p w14:paraId="39143043" w14:textId="77777777" w:rsidR="00C56E32" w:rsidRPr="00FC71BE" w:rsidRDefault="00C56E32">
            <w:pPr>
              <w:pStyle w:val="Table"/>
              <w:rPr>
                <w:color w:val="auto"/>
                <w:lang w:eastAsia="zh-CN"/>
              </w:rPr>
            </w:pPr>
            <w:r w:rsidRPr="00FC71BE">
              <w:rPr>
                <w:color w:val="auto"/>
                <w:lang w:eastAsia="zh-CN"/>
              </w:rPr>
              <w:t>Split ratio</w:t>
            </w:r>
          </w:p>
        </w:tc>
        <w:tc>
          <w:tcPr>
            <w:tcW w:w="846" w:type="pct"/>
            <w:tcBorders>
              <w:top w:val="single" w:sz="4" w:space="0" w:color="auto"/>
            </w:tcBorders>
          </w:tcPr>
          <w:p w14:paraId="568C4917" w14:textId="77777777" w:rsidR="00C56E32" w:rsidRPr="00FC71BE" w:rsidRDefault="00C56E32">
            <w:pPr>
              <w:pStyle w:val="Table"/>
              <w:rPr>
                <w:color w:val="auto"/>
                <w:lang w:eastAsia="zh-CN"/>
              </w:rPr>
            </w:pPr>
            <w:r w:rsidRPr="00FC71BE">
              <w:rPr>
                <w:color w:val="auto"/>
                <w:lang w:eastAsia="zh-CN"/>
              </w:rPr>
              <w:t>0.84</w:t>
            </w:r>
          </w:p>
        </w:tc>
        <w:tc>
          <w:tcPr>
            <w:tcW w:w="846" w:type="pct"/>
            <w:tcBorders>
              <w:top w:val="single" w:sz="4" w:space="0" w:color="auto"/>
            </w:tcBorders>
          </w:tcPr>
          <w:p w14:paraId="5EDCCD85" w14:textId="77777777" w:rsidR="00C56E32" w:rsidRPr="00FC71BE" w:rsidRDefault="00C56E32">
            <w:pPr>
              <w:pStyle w:val="Table"/>
              <w:rPr>
                <w:color w:val="auto"/>
                <w:lang w:eastAsia="zh-CN"/>
              </w:rPr>
            </w:pPr>
            <w:r w:rsidRPr="00FC71BE">
              <w:rPr>
                <w:color w:val="auto"/>
                <w:lang w:eastAsia="zh-CN"/>
              </w:rPr>
              <w:t>0.83</w:t>
            </w:r>
          </w:p>
        </w:tc>
        <w:tc>
          <w:tcPr>
            <w:tcW w:w="1196" w:type="pct"/>
            <w:tcBorders>
              <w:top w:val="single" w:sz="4" w:space="0" w:color="auto"/>
            </w:tcBorders>
          </w:tcPr>
          <w:p w14:paraId="57C5632C" w14:textId="77777777" w:rsidR="00C56E32" w:rsidRPr="00FC71BE" w:rsidRDefault="00C56E32">
            <w:pPr>
              <w:pStyle w:val="Table"/>
              <w:rPr>
                <w:color w:val="auto"/>
                <w:lang w:eastAsia="zh-CN"/>
              </w:rPr>
            </w:pPr>
            <w:r w:rsidRPr="00FC71BE">
              <w:rPr>
                <w:color w:val="auto"/>
                <w:lang w:eastAsia="zh-CN"/>
              </w:rPr>
              <w:t>1.2</w:t>
            </w:r>
          </w:p>
        </w:tc>
      </w:tr>
      <w:tr w:rsidR="00FC71BE" w:rsidRPr="00FC71BE" w14:paraId="039BAB48" w14:textId="77777777">
        <w:tc>
          <w:tcPr>
            <w:tcW w:w="2111" w:type="pct"/>
          </w:tcPr>
          <w:p w14:paraId="568707A4" w14:textId="77777777" w:rsidR="00C56E32" w:rsidRPr="00FC71BE" w:rsidRDefault="00C56E32">
            <w:pPr>
              <w:pStyle w:val="Table"/>
              <w:rPr>
                <w:color w:val="auto"/>
                <w:lang w:eastAsia="zh-CN"/>
              </w:rPr>
            </w:pPr>
            <w:r w:rsidRPr="00FC71BE">
              <w:rPr>
                <w:color w:val="auto"/>
                <w:lang w:eastAsia="zh-CN"/>
              </w:rPr>
              <w:t>Stator tooth width (mm)</w:t>
            </w:r>
          </w:p>
        </w:tc>
        <w:tc>
          <w:tcPr>
            <w:tcW w:w="846" w:type="pct"/>
          </w:tcPr>
          <w:p w14:paraId="153CFD71" w14:textId="77777777" w:rsidR="00C56E32" w:rsidRPr="00FC71BE" w:rsidRDefault="00C56E32">
            <w:pPr>
              <w:pStyle w:val="Table"/>
              <w:rPr>
                <w:color w:val="auto"/>
                <w:lang w:eastAsia="zh-CN"/>
              </w:rPr>
            </w:pPr>
            <w:r w:rsidRPr="00FC71BE">
              <w:rPr>
                <w:color w:val="auto"/>
                <w:lang w:eastAsia="zh-CN"/>
              </w:rPr>
              <w:t>13.2</w:t>
            </w:r>
          </w:p>
        </w:tc>
        <w:tc>
          <w:tcPr>
            <w:tcW w:w="846" w:type="pct"/>
          </w:tcPr>
          <w:p w14:paraId="5FD389E0" w14:textId="77777777" w:rsidR="00C56E32" w:rsidRPr="00FC71BE" w:rsidRDefault="00C56E32">
            <w:pPr>
              <w:pStyle w:val="Table"/>
              <w:rPr>
                <w:color w:val="auto"/>
                <w:lang w:eastAsia="zh-CN"/>
              </w:rPr>
            </w:pPr>
            <w:r w:rsidRPr="00FC71BE">
              <w:rPr>
                <w:color w:val="auto"/>
                <w:lang w:eastAsia="zh-CN"/>
              </w:rPr>
              <w:t>17</w:t>
            </w:r>
          </w:p>
        </w:tc>
        <w:tc>
          <w:tcPr>
            <w:tcW w:w="1196" w:type="pct"/>
          </w:tcPr>
          <w:p w14:paraId="515D4E8F" w14:textId="77777777" w:rsidR="00C56E32" w:rsidRPr="00FC71BE" w:rsidRDefault="00C56E32">
            <w:pPr>
              <w:pStyle w:val="Table"/>
              <w:rPr>
                <w:color w:val="auto"/>
                <w:lang w:eastAsia="zh-CN"/>
              </w:rPr>
            </w:pPr>
            <w:r w:rsidRPr="00FC71BE">
              <w:rPr>
                <w:color w:val="auto"/>
                <w:lang w:eastAsia="zh-CN"/>
              </w:rPr>
              <w:t>-22.4</w:t>
            </w:r>
          </w:p>
        </w:tc>
      </w:tr>
      <w:tr w:rsidR="00FC71BE" w:rsidRPr="00FC71BE" w14:paraId="6D806C2B" w14:textId="77777777">
        <w:tc>
          <w:tcPr>
            <w:tcW w:w="2111" w:type="pct"/>
          </w:tcPr>
          <w:p w14:paraId="060688C8" w14:textId="77777777" w:rsidR="00C56E32" w:rsidRPr="00FC71BE" w:rsidRDefault="00C56E32">
            <w:pPr>
              <w:pStyle w:val="Table"/>
              <w:rPr>
                <w:color w:val="auto"/>
                <w:lang w:eastAsia="zh-CN"/>
              </w:rPr>
            </w:pPr>
            <w:r w:rsidRPr="00FC71BE">
              <w:rPr>
                <w:color w:val="auto"/>
                <w:lang w:eastAsia="zh-CN"/>
              </w:rPr>
              <w:t>Stator yoke thickness (mm)</w:t>
            </w:r>
          </w:p>
        </w:tc>
        <w:tc>
          <w:tcPr>
            <w:tcW w:w="846" w:type="pct"/>
          </w:tcPr>
          <w:p w14:paraId="43BA06CB" w14:textId="77777777" w:rsidR="00C56E32" w:rsidRPr="00FC71BE" w:rsidRDefault="00C56E32">
            <w:pPr>
              <w:pStyle w:val="Table"/>
              <w:rPr>
                <w:color w:val="auto"/>
                <w:lang w:eastAsia="zh-CN"/>
              </w:rPr>
            </w:pPr>
            <w:r w:rsidRPr="00FC71BE">
              <w:rPr>
                <w:color w:val="auto"/>
                <w:lang w:eastAsia="zh-CN"/>
              </w:rPr>
              <w:t>5.6</w:t>
            </w:r>
          </w:p>
        </w:tc>
        <w:tc>
          <w:tcPr>
            <w:tcW w:w="846" w:type="pct"/>
          </w:tcPr>
          <w:p w14:paraId="52A3850B" w14:textId="77777777" w:rsidR="00C56E32" w:rsidRPr="00FC71BE" w:rsidRDefault="00C56E32">
            <w:pPr>
              <w:pStyle w:val="Table"/>
              <w:rPr>
                <w:color w:val="auto"/>
                <w:lang w:eastAsia="zh-CN"/>
              </w:rPr>
            </w:pPr>
            <w:r w:rsidRPr="00FC71BE">
              <w:rPr>
                <w:color w:val="auto"/>
                <w:lang w:eastAsia="zh-CN"/>
              </w:rPr>
              <w:t>5.1</w:t>
            </w:r>
          </w:p>
        </w:tc>
        <w:tc>
          <w:tcPr>
            <w:tcW w:w="1196" w:type="pct"/>
          </w:tcPr>
          <w:p w14:paraId="6633D507" w14:textId="77777777" w:rsidR="00C56E32" w:rsidRPr="00FC71BE" w:rsidRDefault="00C56E32">
            <w:pPr>
              <w:pStyle w:val="Table"/>
              <w:rPr>
                <w:color w:val="auto"/>
                <w:lang w:eastAsia="zh-CN"/>
              </w:rPr>
            </w:pPr>
            <w:r w:rsidRPr="00FC71BE">
              <w:rPr>
                <w:color w:val="auto"/>
                <w:lang w:eastAsia="zh-CN"/>
              </w:rPr>
              <w:t>9.8</w:t>
            </w:r>
          </w:p>
        </w:tc>
      </w:tr>
      <w:tr w:rsidR="00FC71BE" w:rsidRPr="00FC71BE" w14:paraId="25DB0FE4" w14:textId="77777777">
        <w:tc>
          <w:tcPr>
            <w:tcW w:w="2111" w:type="pct"/>
          </w:tcPr>
          <w:p w14:paraId="72C2ACC6" w14:textId="77777777" w:rsidR="00C56E32" w:rsidRPr="00FC71BE" w:rsidRDefault="00C56E32">
            <w:pPr>
              <w:pStyle w:val="Table"/>
              <w:rPr>
                <w:color w:val="auto"/>
                <w:lang w:eastAsia="zh-CN"/>
              </w:rPr>
            </w:pPr>
            <w:r w:rsidRPr="00FC71BE">
              <w:rPr>
                <w:color w:val="auto"/>
                <w:lang w:eastAsia="zh-CN"/>
              </w:rPr>
              <w:t>Rotor yoke thickness (mm)</w:t>
            </w:r>
          </w:p>
        </w:tc>
        <w:tc>
          <w:tcPr>
            <w:tcW w:w="846" w:type="pct"/>
          </w:tcPr>
          <w:p w14:paraId="316B0B36" w14:textId="77777777" w:rsidR="00C56E32" w:rsidRPr="00FC71BE" w:rsidRDefault="00C56E32">
            <w:pPr>
              <w:pStyle w:val="Table"/>
              <w:rPr>
                <w:color w:val="auto"/>
                <w:lang w:eastAsia="zh-CN"/>
              </w:rPr>
            </w:pPr>
            <w:r w:rsidRPr="00FC71BE">
              <w:rPr>
                <w:color w:val="auto"/>
                <w:lang w:eastAsia="zh-CN"/>
              </w:rPr>
              <w:t>8.6</w:t>
            </w:r>
          </w:p>
        </w:tc>
        <w:tc>
          <w:tcPr>
            <w:tcW w:w="846" w:type="pct"/>
          </w:tcPr>
          <w:p w14:paraId="7299E404" w14:textId="77777777" w:rsidR="00C56E32" w:rsidRPr="00FC71BE" w:rsidRDefault="00C56E32">
            <w:pPr>
              <w:pStyle w:val="Table"/>
              <w:rPr>
                <w:color w:val="auto"/>
                <w:lang w:eastAsia="zh-CN"/>
              </w:rPr>
            </w:pPr>
            <w:r w:rsidRPr="00FC71BE">
              <w:rPr>
                <w:color w:val="auto"/>
                <w:lang w:eastAsia="zh-CN"/>
              </w:rPr>
              <w:t>7.0</w:t>
            </w:r>
          </w:p>
        </w:tc>
        <w:tc>
          <w:tcPr>
            <w:tcW w:w="1196" w:type="pct"/>
          </w:tcPr>
          <w:p w14:paraId="14CD5FA6" w14:textId="77777777" w:rsidR="00C56E32" w:rsidRPr="00FC71BE" w:rsidRDefault="00C56E32">
            <w:pPr>
              <w:pStyle w:val="Table"/>
              <w:rPr>
                <w:color w:val="auto"/>
                <w:lang w:eastAsia="zh-CN"/>
              </w:rPr>
            </w:pPr>
            <w:r w:rsidRPr="00FC71BE">
              <w:rPr>
                <w:color w:val="auto"/>
                <w:lang w:eastAsia="zh-CN"/>
              </w:rPr>
              <w:t>22.9</w:t>
            </w:r>
          </w:p>
        </w:tc>
      </w:tr>
      <w:tr w:rsidR="00FC71BE" w:rsidRPr="00FC71BE" w14:paraId="0D1AE0C6" w14:textId="77777777">
        <w:tc>
          <w:tcPr>
            <w:tcW w:w="2111" w:type="pct"/>
          </w:tcPr>
          <w:p w14:paraId="5FFD5439" w14:textId="77777777" w:rsidR="00C56E32" w:rsidRPr="00FC71BE" w:rsidRDefault="00C56E32">
            <w:pPr>
              <w:pStyle w:val="Table"/>
              <w:rPr>
                <w:color w:val="auto"/>
                <w:lang w:eastAsia="zh-CN"/>
              </w:rPr>
            </w:pPr>
            <w:r w:rsidRPr="00FC71BE">
              <w:rPr>
                <w:color w:val="auto"/>
                <w:lang w:eastAsia="zh-CN"/>
              </w:rPr>
              <w:t>Flux gap width (mm)</w:t>
            </w:r>
          </w:p>
        </w:tc>
        <w:tc>
          <w:tcPr>
            <w:tcW w:w="846" w:type="pct"/>
          </w:tcPr>
          <w:p w14:paraId="149509F8" w14:textId="77777777" w:rsidR="00C56E32" w:rsidRPr="00FC71BE" w:rsidRDefault="00C56E32">
            <w:pPr>
              <w:pStyle w:val="Table"/>
              <w:rPr>
                <w:color w:val="auto"/>
                <w:lang w:eastAsia="zh-CN"/>
              </w:rPr>
            </w:pPr>
            <w:r w:rsidRPr="00FC71BE">
              <w:rPr>
                <w:color w:val="auto"/>
                <w:lang w:eastAsia="zh-CN"/>
              </w:rPr>
              <w:t>10.2</w:t>
            </w:r>
          </w:p>
        </w:tc>
        <w:tc>
          <w:tcPr>
            <w:tcW w:w="846" w:type="pct"/>
          </w:tcPr>
          <w:p w14:paraId="34AC1ADA" w14:textId="77777777" w:rsidR="00C56E32" w:rsidRPr="00FC71BE" w:rsidRDefault="00C56E32">
            <w:pPr>
              <w:pStyle w:val="Table"/>
              <w:rPr>
                <w:color w:val="auto"/>
                <w:lang w:eastAsia="zh-CN"/>
              </w:rPr>
            </w:pPr>
            <w:r w:rsidRPr="00FC71BE">
              <w:rPr>
                <w:color w:val="auto"/>
                <w:lang w:eastAsia="zh-CN"/>
              </w:rPr>
              <w:t>5.2</w:t>
            </w:r>
          </w:p>
        </w:tc>
        <w:tc>
          <w:tcPr>
            <w:tcW w:w="1196" w:type="pct"/>
          </w:tcPr>
          <w:p w14:paraId="498EFA08" w14:textId="77777777" w:rsidR="00C56E32" w:rsidRPr="00FC71BE" w:rsidRDefault="00C56E32">
            <w:pPr>
              <w:pStyle w:val="Table"/>
              <w:rPr>
                <w:color w:val="auto"/>
                <w:lang w:eastAsia="zh-CN"/>
              </w:rPr>
            </w:pPr>
            <w:r w:rsidRPr="00FC71BE">
              <w:rPr>
                <w:color w:val="auto"/>
                <w:lang w:eastAsia="zh-CN"/>
              </w:rPr>
              <w:t>96.2</w:t>
            </w:r>
          </w:p>
        </w:tc>
      </w:tr>
      <w:tr w:rsidR="00FC71BE" w:rsidRPr="00FC71BE" w14:paraId="426B9561" w14:textId="77777777">
        <w:tc>
          <w:tcPr>
            <w:tcW w:w="2111" w:type="pct"/>
          </w:tcPr>
          <w:p w14:paraId="5B2DB391" w14:textId="77777777" w:rsidR="00C56E32" w:rsidRPr="00FC71BE" w:rsidRDefault="00C56E32">
            <w:pPr>
              <w:pStyle w:val="Table"/>
              <w:rPr>
                <w:color w:val="auto"/>
                <w:lang w:eastAsia="zh-CN"/>
              </w:rPr>
            </w:pPr>
            <w:r w:rsidRPr="00FC71BE">
              <w:rPr>
                <w:color w:val="auto"/>
                <w:lang w:eastAsia="zh-CN"/>
              </w:rPr>
              <w:t>Magnet thickness (mm)</w:t>
            </w:r>
          </w:p>
        </w:tc>
        <w:tc>
          <w:tcPr>
            <w:tcW w:w="846" w:type="pct"/>
          </w:tcPr>
          <w:p w14:paraId="034E9EE4" w14:textId="77777777" w:rsidR="00C56E32" w:rsidRPr="00FC71BE" w:rsidRDefault="00C56E32">
            <w:pPr>
              <w:pStyle w:val="Table"/>
              <w:rPr>
                <w:color w:val="auto"/>
                <w:lang w:eastAsia="zh-CN"/>
              </w:rPr>
            </w:pPr>
            <w:r w:rsidRPr="00FC71BE">
              <w:rPr>
                <w:color w:val="auto"/>
                <w:lang w:eastAsia="zh-CN"/>
              </w:rPr>
              <w:t>6.6</w:t>
            </w:r>
          </w:p>
        </w:tc>
        <w:tc>
          <w:tcPr>
            <w:tcW w:w="846" w:type="pct"/>
          </w:tcPr>
          <w:p w14:paraId="7A3242CD" w14:textId="77777777" w:rsidR="00C56E32" w:rsidRPr="00FC71BE" w:rsidRDefault="00C56E32">
            <w:pPr>
              <w:pStyle w:val="Table"/>
              <w:rPr>
                <w:color w:val="auto"/>
                <w:lang w:eastAsia="zh-CN"/>
              </w:rPr>
            </w:pPr>
            <w:r w:rsidRPr="00FC71BE">
              <w:rPr>
                <w:color w:val="auto"/>
                <w:lang w:eastAsia="zh-CN"/>
              </w:rPr>
              <w:t>6.7</w:t>
            </w:r>
          </w:p>
        </w:tc>
        <w:tc>
          <w:tcPr>
            <w:tcW w:w="1196" w:type="pct"/>
          </w:tcPr>
          <w:p w14:paraId="7539B898" w14:textId="77777777" w:rsidR="00C56E32" w:rsidRPr="00FC71BE" w:rsidRDefault="00C56E32">
            <w:pPr>
              <w:pStyle w:val="Table"/>
              <w:rPr>
                <w:color w:val="auto"/>
                <w:lang w:eastAsia="zh-CN"/>
              </w:rPr>
            </w:pPr>
            <w:r w:rsidRPr="00FC71BE">
              <w:rPr>
                <w:color w:val="auto"/>
                <w:lang w:eastAsia="zh-CN"/>
              </w:rPr>
              <w:t>1.6</w:t>
            </w:r>
          </w:p>
        </w:tc>
      </w:tr>
      <w:tr w:rsidR="00FC71BE" w:rsidRPr="00FC71BE" w14:paraId="4C93ADE5" w14:textId="77777777">
        <w:tc>
          <w:tcPr>
            <w:tcW w:w="2111" w:type="pct"/>
          </w:tcPr>
          <w:p w14:paraId="344E9550" w14:textId="77777777" w:rsidR="00C56E32" w:rsidRPr="00FC71BE" w:rsidRDefault="00C56E32">
            <w:pPr>
              <w:pStyle w:val="Table"/>
              <w:rPr>
                <w:color w:val="auto"/>
                <w:lang w:eastAsia="zh-CN"/>
              </w:rPr>
            </w:pPr>
            <w:r w:rsidRPr="00FC71BE">
              <w:rPr>
                <w:color w:val="auto"/>
                <w:lang w:eastAsia="zh-CN"/>
              </w:rPr>
              <w:t>Average torque (Nm)</w:t>
            </w:r>
          </w:p>
        </w:tc>
        <w:tc>
          <w:tcPr>
            <w:tcW w:w="846" w:type="pct"/>
          </w:tcPr>
          <w:p w14:paraId="45C2E731" w14:textId="77777777" w:rsidR="00C56E32" w:rsidRPr="00FC71BE" w:rsidRDefault="00C56E32">
            <w:pPr>
              <w:pStyle w:val="Table"/>
              <w:rPr>
                <w:color w:val="auto"/>
                <w:lang w:eastAsia="zh-CN"/>
              </w:rPr>
            </w:pPr>
            <w:r w:rsidRPr="00FC71BE">
              <w:rPr>
                <w:color w:val="auto"/>
                <w:lang w:eastAsia="zh-CN"/>
              </w:rPr>
              <w:t>331.2</w:t>
            </w:r>
          </w:p>
        </w:tc>
        <w:tc>
          <w:tcPr>
            <w:tcW w:w="846" w:type="pct"/>
          </w:tcPr>
          <w:p w14:paraId="612C276E" w14:textId="77777777" w:rsidR="00C56E32" w:rsidRPr="00FC71BE" w:rsidRDefault="00C56E32">
            <w:pPr>
              <w:pStyle w:val="Table"/>
              <w:rPr>
                <w:color w:val="auto"/>
                <w:lang w:eastAsia="zh-CN"/>
              </w:rPr>
            </w:pPr>
            <w:r w:rsidRPr="00FC71BE">
              <w:rPr>
                <w:color w:val="auto"/>
                <w:lang w:eastAsia="zh-CN"/>
              </w:rPr>
              <w:t>326.6</w:t>
            </w:r>
          </w:p>
        </w:tc>
        <w:tc>
          <w:tcPr>
            <w:tcW w:w="1196" w:type="pct"/>
          </w:tcPr>
          <w:p w14:paraId="75F17EA0" w14:textId="77777777" w:rsidR="00C56E32" w:rsidRPr="00FC71BE" w:rsidRDefault="00C56E32">
            <w:pPr>
              <w:pStyle w:val="Table"/>
              <w:rPr>
                <w:color w:val="auto"/>
                <w:lang w:eastAsia="zh-CN"/>
              </w:rPr>
            </w:pPr>
            <w:r w:rsidRPr="00FC71BE">
              <w:rPr>
                <w:color w:val="auto"/>
                <w:lang w:eastAsia="zh-CN"/>
              </w:rPr>
              <w:t>1.4</w:t>
            </w:r>
          </w:p>
        </w:tc>
      </w:tr>
      <w:tr w:rsidR="00FC71BE" w:rsidRPr="00FC71BE" w14:paraId="44D73F4E" w14:textId="77777777">
        <w:tc>
          <w:tcPr>
            <w:tcW w:w="2111" w:type="pct"/>
          </w:tcPr>
          <w:p w14:paraId="58830813" w14:textId="77777777" w:rsidR="00C56E32" w:rsidRPr="00FC71BE" w:rsidRDefault="00C56E32">
            <w:pPr>
              <w:pStyle w:val="Table"/>
              <w:rPr>
                <w:color w:val="auto"/>
                <w:lang w:eastAsia="zh-CN"/>
              </w:rPr>
            </w:pPr>
            <w:r w:rsidRPr="00FC71BE">
              <w:rPr>
                <w:color w:val="auto"/>
                <w:lang w:eastAsia="zh-CN"/>
              </w:rPr>
              <w:t>Torque ripple (%)</w:t>
            </w:r>
          </w:p>
        </w:tc>
        <w:tc>
          <w:tcPr>
            <w:tcW w:w="846" w:type="pct"/>
          </w:tcPr>
          <w:p w14:paraId="35D9B198" w14:textId="77777777" w:rsidR="00C56E32" w:rsidRPr="00FC71BE" w:rsidRDefault="00C56E32">
            <w:pPr>
              <w:pStyle w:val="Table"/>
              <w:rPr>
                <w:color w:val="auto"/>
                <w:lang w:eastAsia="zh-CN"/>
              </w:rPr>
            </w:pPr>
            <w:r w:rsidRPr="00FC71BE">
              <w:rPr>
                <w:color w:val="auto"/>
                <w:lang w:eastAsia="zh-CN"/>
              </w:rPr>
              <w:t>4.0</w:t>
            </w:r>
          </w:p>
        </w:tc>
        <w:tc>
          <w:tcPr>
            <w:tcW w:w="846" w:type="pct"/>
          </w:tcPr>
          <w:p w14:paraId="7B7EF53F" w14:textId="77777777" w:rsidR="00C56E32" w:rsidRPr="00FC71BE" w:rsidRDefault="00C56E32">
            <w:pPr>
              <w:pStyle w:val="Table"/>
              <w:rPr>
                <w:color w:val="auto"/>
                <w:lang w:eastAsia="zh-CN"/>
              </w:rPr>
            </w:pPr>
            <w:r w:rsidRPr="00FC71BE">
              <w:rPr>
                <w:color w:val="auto"/>
                <w:lang w:eastAsia="zh-CN"/>
              </w:rPr>
              <w:t>9.0</w:t>
            </w:r>
          </w:p>
        </w:tc>
        <w:tc>
          <w:tcPr>
            <w:tcW w:w="1196" w:type="pct"/>
          </w:tcPr>
          <w:p w14:paraId="50937AB5" w14:textId="77777777" w:rsidR="00C56E32" w:rsidRPr="00FC71BE" w:rsidRDefault="00C56E32">
            <w:pPr>
              <w:pStyle w:val="Table"/>
              <w:rPr>
                <w:color w:val="auto"/>
                <w:lang w:eastAsia="zh-CN"/>
              </w:rPr>
            </w:pPr>
            <w:r w:rsidRPr="00FC71BE">
              <w:rPr>
                <w:color w:val="auto"/>
                <w:lang w:eastAsia="zh-CN"/>
              </w:rPr>
              <w:t>-55.6</w:t>
            </w:r>
          </w:p>
        </w:tc>
      </w:tr>
      <w:tr w:rsidR="00FC71BE" w:rsidRPr="00FC71BE" w14:paraId="4BFDB411" w14:textId="77777777">
        <w:tc>
          <w:tcPr>
            <w:tcW w:w="2111" w:type="pct"/>
          </w:tcPr>
          <w:p w14:paraId="10A46D1A" w14:textId="77777777" w:rsidR="00C56E32" w:rsidRPr="00FC71BE" w:rsidRDefault="00C56E32">
            <w:pPr>
              <w:pStyle w:val="Table"/>
              <w:rPr>
                <w:color w:val="auto"/>
                <w:lang w:eastAsia="zh-CN"/>
              </w:rPr>
            </w:pPr>
            <w:r w:rsidRPr="00FC71BE">
              <w:rPr>
                <w:color w:val="auto"/>
                <w:lang w:eastAsia="zh-CN"/>
              </w:rPr>
              <w:t>Copper loss (W)</w:t>
            </w:r>
          </w:p>
        </w:tc>
        <w:tc>
          <w:tcPr>
            <w:tcW w:w="846" w:type="pct"/>
          </w:tcPr>
          <w:p w14:paraId="0EFA4927" w14:textId="77777777" w:rsidR="00C56E32" w:rsidRPr="00FC71BE" w:rsidRDefault="00C56E32">
            <w:pPr>
              <w:pStyle w:val="Table"/>
              <w:rPr>
                <w:color w:val="auto"/>
                <w:lang w:eastAsia="zh-CN"/>
              </w:rPr>
            </w:pPr>
            <w:r w:rsidRPr="00FC71BE">
              <w:rPr>
                <w:color w:val="auto"/>
                <w:lang w:eastAsia="zh-CN"/>
              </w:rPr>
              <w:t>955</w:t>
            </w:r>
          </w:p>
        </w:tc>
        <w:tc>
          <w:tcPr>
            <w:tcW w:w="846" w:type="pct"/>
          </w:tcPr>
          <w:p w14:paraId="32D51451" w14:textId="77777777" w:rsidR="00C56E32" w:rsidRPr="00FC71BE" w:rsidRDefault="00C56E32">
            <w:pPr>
              <w:pStyle w:val="Table"/>
              <w:rPr>
                <w:color w:val="auto"/>
                <w:lang w:eastAsia="zh-CN"/>
              </w:rPr>
            </w:pPr>
            <w:r w:rsidRPr="00FC71BE">
              <w:rPr>
                <w:color w:val="auto"/>
                <w:lang w:eastAsia="zh-CN"/>
              </w:rPr>
              <w:t>931</w:t>
            </w:r>
          </w:p>
        </w:tc>
        <w:tc>
          <w:tcPr>
            <w:tcW w:w="1196" w:type="pct"/>
          </w:tcPr>
          <w:p w14:paraId="33793547" w14:textId="77777777" w:rsidR="00C56E32" w:rsidRPr="00FC71BE" w:rsidRDefault="00C56E32">
            <w:pPr>
              <w:pStyle w:val="Table"/>
              <w:rPr>
                <w:color w:val="auto"/>
                <w:lang w:eastAsia="zh-CN"/>
              </w:rPr>
            </w:pPr>
            <w:r w:rsidRPr="00FC71BE">
              <w:rPr>
                <w:color w:val="auto"/>
                <w:lang w:eastAsia="zh-CN"/>
              </w:rPr>
              <w:t>2.6</w:t>
            </w:r>
          </w:p>
        </w:tc>
      </w:tr>
      <w:tr w:rsidR="00FC71BE" w:rsidRPr="00FC71BE" w14:paraId="63106F1E" w14:textId="77777777">
        <w:tc>
          <w:tcPr>
            <w:tcW w:w="2111" w:type="pct"/>
          </w:tcPr>
          <w:p w14:paraId="5EF1D0C2" w14:textId="77777777" w:rsidR="00C56E32" w:rsidRPr="00FC71BE" w:rsidRDefault="00C56E32">
            <w:pPr>
              <w:pStyle w:val="Table"/>
              <w:rPr>
                <w:color w:val="auto"/>
                <w:lang w:eastAsia="zh-CN"/>
              </w:rPr>
            </w:pPr>
            <w:r w:rsidRPr="00FC71BE">
              <w:rPr>
                <w:color w:val="auto"/>
                <w:lang w:eastAsia="zh-CN"/>
              </w:rPr>
              <w:t>Total machine mass (kg)</w:t>
            </w:r>
          </w:p>
        </w:tc>
        <w:tc>
          <w:tcPr>
            <w:tcW w:w="846" w:type="pct"/>
          </w:tcPr>
          <w:p w14:paraId="7DE2817B" w14:textId="77777777" w:rsidR="00C56E32" w:rsidRPr="00FC71BE" w:rsidRDefault="00C56E32">
            <w:pPr>
              <w:pStyle w:val="Table"/>
              <w:rPr>
                <w:color w:val="auto"/>
                <w:lang w:eastAsia="zh-CN"/>
              </w:rPr>
            </w:pPr>
            <w:r w:rsidRPr="00FC71BE">
              <w:rPr>
                <w:color w:val="auto"/>
                <w:lang w:eastAsia="zh-CN"/>
              </w:rPr>
              <w:t>31.2</w:t>
            </w:r>
          </w:p>
        </w:tc>
        <w:tc>
          <w:tcPr>
            <w:tcW w:w="846" w:type="pct"/>
          </w:tcPr>
          <w:p w14:paraId="758E582C" w14:textId="77777777" w:rsidR="00C56E32" w:rsidRPr="00FC71BE" w:rsidRDefault="00C56E32">
            <w:pPr>
              <w:pStyle w:val="Table"/>
              <w:rPr>
                <w:color w:val="auto"/>
                <w:lang w:eastAsia="zh-CN"/>
              </w:rPr>
            </w:pPr>
            <w:r w:rsidRPr="00FC71BE">
              <w:rPr>
                <w:color w:val="auto"/>
                <w:lang w:eastAsia="zh-CN"/>
              </w:rPr>
              <w:t>32.5</w:t>
            </w:r>
          </w:p>
        </w:tc>
        <w:tc>
          <w:tcPr>
            <w:tcW w:w="1196" w:type="pct"/>
          </w:tcPr>
          <w:p w14:paraId="70D98000" w14:textId="77777777" w:rsidR="00C56E32" w:rsidRPr="00FC71BE" w:rsidRDefault="00C56E32">
            <w:pPr>
              <w:pStyle w:val="Table"/>
              <w:rPr>
                <w:color w:val="auto"/>
                <w:lang w:eastAsia="zh-CN"/>
              </w:rPr>
            </w:pPr>
            <w:r w:rsidRPr="00FC71BE">
              <w:rPr>
                <w:color w:val="auto"/>
                <w:lang w:eastAsia="zh-CN"/>
              </w:rPr>
              <w:t>-4.0</w:t>
            </w:r>
          </w:p>
        </w:tc>
      </w:tr>
      <w:tr w:rsidR="00FC71BE" w:rsidRPr="00FC71BE" w14:paraId="14AE15D9" w14:textId="77777777">
        <w:tc>
          <w:tcPr>
            <w:tcW w:w="2111" w:type="pct"/>
          </w:tcPr>
          <w:p w14:paraId="0883BA21" w14:textId="77777777" w:rsidR="00C56E32" w:rsidRPr="00FC71BE" w:rsidRDefault="00C56E32">
            <w:pPr>
              <w:pStyle w:val="Table"/>
              <w:rPr>
                <w:color w:val="auto"/>
                <w:lang w:eastAsia="zh-CN"/>
              </w:rPr>
            </w:pPr>
            <w:r w:rsidRPr="00FC71BE">
              <w:rPr>
                <w:color w:val="auto"/>
                <w:lang w:eastAsia="zh-CN"/>
              </w:rPr>
              <w:t>Efficiency</w:t>
            </w:r>
          </w:p>
        </w:tc>
        <w:tc>
          <w:tcPr>
            <w:tcW w:w="846" w:type="pct"/>
          </w:tcPr>
          <w:p w14:paraId="40882A80" w14:textId="77777777" w:rsidR="00C56E32" w:rsidRPr="00FC71BE" w:rsidRDefault="00C56E32">
            <w:pPr>
              <w:pStyle w:val="Table"/>
              <w:rPr>
                <w:color w:val="auto"/>
                <w:lang w:eastAsia="zh-CN"/>
              </w:rPr>
            </w:pPr>
            <w:r w:rsidRPr="00FC71BE">
              <w:rPr>
                <w:color w:val="auto"/>
                <w:lang w:eastAsia="zh-CN"/>
              </w:rPr>
              <w:t>95.4</w:t>
            </w:r>
          </w:p>
        </w:tc>
        <w:tc>
          <w:tcPr>
            <w:tcW w:w="846" w:type="pct"/>
          </w:tcPr>
          <w:p w14:paraId="42D35847" w14:textId="77777777" w:rsidR="00C56E32" w:rsidRPr="00FC71BE" w:rsidRDefault="00C56E32">
            <w:pPr>
              <w:pStyle w:val="Table"/>
              <w:rPr>
                <w:color w:val="auto"/>
                <w:lang w:eastAsia="zh-CN"/>
              </w:rPr>
            </w:pPr>
            <w:r w:rsidRPr="00FC71BE">
              <w:rPr>
                <w:color w:val="auto"/>
                <w:lang w:eastAsia="zh-CN"/>
              </w:rPr>
              <w:t>96</w:t>
            </w:r>
          </w:p>
        </w:tc>
        <w:tc>
          <w:tcPr>
            <w:tcW w:w="1196" w:type="pct"/>
          </w:tcPr>
          <w:p w14:paraId="40EE6539" w14:textId="77777777" w:rsidR="00C56E32" w:rsidRPr="00FC71BE" w:rsidRDefault="00C56E32">
            <w:pPr>
              <w:pStyle w:val="Table"/>
              <w:rPr>
                <w:color w:val="auto"/>
                <w:lang w:eastAsia="zh-CN"/>
              </w:rPr>
            </w:pPr>
            <w:r w:rsidRPr="00FC71BE">
              <w:rPr>
                <w:color w:val="auto"/>
                <w:lang w:eastAsia="zh-CN"/>
              </w:rPr>
              <w:t>0.6</w:t>
            </w:r>
          </w:p>
        </w:tc>
      </w:tr>
      <w:tr w:rsidR="005E3DFE" w:rsidRPr="00FC71BE" w14:paraId="1B602D22" w14:textId="77777777">
        <w:tc>
          <w:tcPr>
            <w:tcW w:w="2111" w:type="pct"/>
            <w:tcBorders>
              <w:bottom w:val="double" w:sz="4" w:space="0" w:color="auto"/>
            </w:tcBorders>
          </w:tcPr>
          <w:p w14:paraId="7588ED03" w14:textId="77777777" w:rsidR="00C56E32" w:rsidRPr="00FC71BE" w:rsidRDefault="00C56E32">
            <w:pPr>
              <w:pStyle w:val="Table"/>
              <w:rPr>
                <w:color w:val="auto"/>
                <w:lang w:eastAsia="zh-CN"/>
              </w:rPr>
            </w:pPr>
            <w:r w:rsidRPr="00FC71BE">
              <w:rPr>
                <w:color w:val="auto"/>
                <w:lang w:eastAsia="zh-CN"/>
              </w:rPr>
              <w:t>Fitness function</w:t>
            </w:r>
          </w:p>
        </w:tc>
        <w:tc>
          <w:tcPr>
            <w:tcW w:w="846" w:type="pct"/>
            <w:tcBorders>
              <w:bottom w:val="double" w:sz="4" w:space="0" w:color="auto"/>
            </w:tcBorders>
          </w:tcPr>
          <w:p w14:paraId="20F97B5C" w14:textId="77777777" w:rsidR="00C56E32" w:rsidRPr="00FC71BE" w:rsidRDefault="00C56E32">
            <w:pPr>
              <w:pStyle w:val="Table"/>
              <w:rPr>
                <w:color w:val="auto"/>
                <w:lang w:eastAsia="zh-CN"/>
              </w:rPr>
            </w:pPr>
            <w:r w:rsidRPr="00FC71BE">
              <w:rPr>
                <w:color w:val="auto"/>
                <w:lang w:eastAsia="zh-CN"/>
              </w:rPr>
              <w:t>1.25</w:t>
            </w:r>
          </w:p>
        </w:tc>
        <w:tc>
          <w:tcPr>
            <w:tcW w:w="846" w:type="pct"/>
            <w:tcBorders>
              <w:bottom w:val="double" w:sz="4" w:space="0" w:color="auto"/>
            </w:tcBorders>
          </w:tcPr>
          <w:p w14:paraId="1DFE4839" w14:textId="77777777" w:rsidR="00C56E32" w:rsidRPr="00FC71BE" w:rsidRDefault="00C56E32">
            <w:pPr>
              <w:pStyle w:val="Table"/>
              <w:rPr>
                <w:color w:val="auto"/>
                <w:lang w:eastAsia="zh-CN"/>
              </w:rPr>
            </w:pPr>
            <w:r w:rsidRPr="00FC71BE">
              <w:rPr>
                <w:color w:val="auto"/>
                <w:lang w:eastAsia="zh-CN"/>
              </w:rPr>
              <w:t>1.22</w:t>
            </w:r>
          </w:p>
        </w:tc>
        <w:tc>
          <w:tcPr>
            <w:tcW w:w="1196" w:type="pct"/>
            <w:tcBorders>
              <w:bottom w:val="double" w:sz="4" w:space="0" w:color="auto"/>
            </w:tcBorders>
          </w:tcPr>
          <w:p w14:paraId="3F257757" w14:textId="77777777" w:rsidR="00C56E32" w:rsidRPr="00FC71BE" w:rsidRDefault="00C56E32">
            <w:pPr>
              <w:pStyle w:val="Table"/>
              <w:rPr>
                <w:color w:val="auto"/>
                <w:lang w:eastAsia="zh-CN"/>
              </w:rPr>
            </w:pPr>
            <w:r w:rsidRPr="00FC71BE">
              <w:rPr>
                <w:color w:val="auto"/>
                <w:lang w:eastAsia="zh-CN"/>
              </w:rPr>
              <w:t>2.5</w:t>
            </w:r>
          </w:p>
        </w:tc>
      </w:tr>
    </w:tbl>
    <w:p w14:paraId="53B033BD" w14:textId="419437E5" w:rsidR="00C56E32" w:rsidRPr="00FC71BE" w:rsidRDefault="00C56E32" w:rsidP="00B54F1D">
      <w:pPr>
        <w:pStyle w:val="Table"/>
        <w:jc w:val="both"/>
        <w:rPr>
          <w:color w:val="auto"/>
        </w:rPr>
      </w:pPr>
    </w:p>
    <w:p w14:paraId="00DA251D" w14:textId="4AD2C548" w:rsidR="00B54F1D" w:rsidRPr="00FC71BE" w:rsidRDefault="00B54F1D" w:rsidP="00B54F1D">
      <w:r w:rsidRPr="00FC71BE">
        <w:t xml:space="preserve">The specifications of the optimized modular machine by different methods are listed in </w:t>
      </w:r>
      <w:r w:rsidRPr="00FC71BE">
        <w:fldChar w:fldCharType="begin"/>
      </w:r>
      <w:r w:rsidRPr="00FC71BE">
        <w:instrText xml:space="preserve"> REF _Ref125489502 \h </w:instrText>
      </w:r>
      <w:r w:rsidRPr="00FC71BE">
        <w:fldChar w:fldCharType="separate"/>
      </w:r>
      <w:r w:rsidRPr="00FC71BE">
        <w:t xml:space="preserve">Table </w:t>
      </w:r>
      <w:r w:rsidRPr="00FC71BE">
        <w:rPr>
          <w:noProof/>
        </w:rPr>
        <w:t>2</w:t>
      </w:r>
      <w:r w:rsidRPr="00FC71BE">
        <w:t>.</w:t>
      </w:r>
      <w:r w:rsidRPr="00FC71BE">
        <w:rPr>
          <w:noProof/>
        </w:rPr>
        <w:t>5</w:t>
      </w:r>
      <w:r w:rsidRPr="00FC71BE">
        <w:fldChar w:fldCharType="end"/>
      </w:r>
      <w:r w:rsidRPr="00FC71BE">
        <w:t xml:space="preserve">. It is found that although both optimization methods can improve the phase back-EMF, compared with the conventional optimization method (Method 2), the optimization that regards the flux gap width as variable (Method 1) is able to optimize further the machine </w:t>
      </w:r>
      <w:r w:rsidRPr="00FC71BE">
        <w:lastRenderedPageBreak/>
        <w:t xml:space="preserve">electromagnetic performance. For example, the back-EMF (as shown in </w:t>
      </w:r>
      <w:r w:rsidRPr="00FC71BE">
        <w:fldChar w:fldCharType="begin"/>
      </w:r>
      <w:r w:rsidRPr="00FC71BE">
        <w:instrText xml:space="preserve"> REF _Ref135991118 \h </w:instrText>
      </w:r>
      <w:r w:rsidRPr="00FC71BE">
        <w:fldChar w:fldCharType="separate"/>
      </w:r>
      <w:r w:rsidRPr="00FC71BE">
        <w:t xml:space="preserve">Fig. </w:t>
      </w:r>
      <w:r w:rsidRPr="00FC71BE">
        <w:rPr>
          <w:noProof/>
        </w:rPr>
        <w:t>2</w:t>
      </w:r>
      <w:r w:rsidRPr="00FC71BE">
        <w:t>.</w:t>
      </w:r>
      <w:r w:rsidRPr="00FC71BE">
        <w:rPr>
          <w:noProof/>
        </w:rPr>
        <w:t>5</w:t>
      </w:r>
      <w:r w:rsidRPr="00FC71BE">
        <w:fldChar w:fldCharType="end"/>
      </w:r>
      <w:r w:rsidRPr="00FC71BE">
        <w:t>) and average torque are increased by 1.4%. In addition, the total machine mass and torque ripple are also reduced by 4% and 55.6%, respectively.</w:t>
      </w:r>
    </w:p>
    <w:tbl>
      <w:tblPr>
        <w:tblStyle w:val="TableGrid"/>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5"/>
      </w:tblGrid>
      <w:tr w:rsidR="00FC71BE" w:rsidRPr="00FC71BE" w14:paraId="6D3A4B91" w14:textId="77777777">
        <w:tc>
          <w:tcPr>
            <w:tcW w:w="5000" w:type="pct"/>
          </w:tcPr>
          <w:p w14:paraId="29BDB0F4" w14:textId="77777777" w:rsidR="00C56E32" w:rsidRPr="00FC71BE" w:rsidRDefault="00C56E32">
            <w:pPr>
              <w:pStyle w:val="Figure"/>
              <w:rPr>
                <w:noProof w:val="0"/>
              </w:rPr>
            </w:pPr>
            <w:r w:rsidRPr="00FC71BE">
              <w:drawing>
                <wp:inline distT="0" distB="0" distL="0" distR="0" wp14:anchorId="15A36DA3" wp14:editId="39B1D39E">
                  <wp:extent cx="4363200" cy="2616189"/>
                  <wp:effectExtent l="0" t="0" r="0" b="0"/>
                  <wp:docPr id="1378620077" name="Picture 1378620077" descr="A picture containing text, screenshot, pl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creenshot, plot, line&#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63200" cy="2616189"/>
                          </a:xfrm>
                          <a:prstGeom prst="rect">
                            <a:avLst/>
                          </a:prstGeom>
                          <a:noFill/>
                          <a:ln>
                            <a:noFill/>
                          </a:ln>
                        </pic:spPr>
                      </pic:pic>
                    </a:graphicData>
                  </a:graphic>
                </wp:inline>
              </w:drawing>
            </w:r>
          </w:p>
        </w:tc>
      </w:tr>
      <w:tr w:rsidR="00FC71BE" w:rsidRPr="00FC71BE" w14:paraId="5D7B1648" w14:textId="77777777">
        <w:tc>
          <w:tcPr>
            <w:tcW w:w="5000" w:type="pct"/>
          </w:tcPr>
          <w:p w14:paraId="7071EC17" w14:textId="77777777" w:rsidR="00C56E32" w:rsidRPr="00FC71BE" w:rsidRDefault="00C56E32">
            <w:pPr>
              <w:pStyle w:val="Figure"/>
              <w:rPr>
                <w:noProof w:val="0"/>
              </w:rPr>
            </w:pPr>
            <w:r w:rsidRPr="00FC71BE">
              <w:rPr>
                <w:noProof w:val="0"/>
              </w:rPr>
              <w:t>(a) Waveforms</w:t>
            </w:r>
          </w:p>
        </w:tc>
      </w:tr>
      <w:tr w:rsidR="00FC71BE" w:rsidRPr="00FC71BE" w14:paraId="23818973" w14:textId="77777777">
        <w:tc>
          <w:tcPr>
            <w:tcW w:w="5000" w:type="pct"/>
          </w:tcPr>
          <w:p w14:paraId="56129F99" w14:textId="77777777" w:rsidR="00C56E32" w:rsidRPr="00FC71BE" w:rsidRDefault="00C56E32">
            <w:pPr>
              <w:pStyle w:val="Figure"/>
              <w:rPr>
                <w:noProof w:val="0"/>
              </w:rPr>
            </w:pPr>
            <w:r w:rsidRPr="00FC71BE">
              <w:drawing>
                <wp:inline distT="0" distB="0" distL="0" distR="0" wp14:anchorId="76102039" wp14:editId="63B12404">
                  <wp:extent cx="4363200" cy="2616193"/>
                  <wp:effectExtent l="0" t="0" r="0" b="0"/>
                  <wp:docPr id="6" name="Picture 6"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screenshot, number, fon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63200" cy="2616193"/>
                          </a:xfrm>
                          <a:prstGeom prst="rect">
                            <a:avLst/>
                          </a:prstGeom>
                          <a:noFill/>
                          <a:ln>
                            <a:noFill/>
                          </a:ln>
                        </pic:spPr>
                      </pic:pic>
                    </a:graphicData>
                  </a:graphic>
                </wp:inline>
              </w:drawing>
            </w:r>
          </w:p>
        </w:tc>
      </w:tr>
      <w:tr w:rsidR="00FC71BE" w:rsidRPr="00FC71BE" w14:paraId="22BC9718" w14:textId="77777777">
        <w:tc>
          <w:tcPr>
            <w:tcW w:w="5000" w:type="pct"/>
          </w:tcPr>
          <w:p w14:paraId="3B82C497" w14:textId="77777777" w:rsidR="00C56E32" w:rsidRPr="00FC71BE" w:rsidRDefault="00C56E32">
            <w:pPr>
              <w:pStyle w:val="Figure"/>
              <w:rPr>
                <w:noProof w:val="0"/>
              </w:rPr>
            </w:pPr>
            <w:r w:rsidRPr="00FC71BE">
              <w:rPr>
                <w:noProof w:val="0"/>
              </w:rPr>
              <w:t>(b) Spectra</w:t>
            </w:r>
          </w:p>
        </w:tc>
      </w:tr>
    </w:tbl>
    <w:p w14:paraId="37FD3D13" w14:textId="70B0CDD3" w:rsidR="00C56E32" w:rsidRPr="00FC71BE" w:rsidRDefault="00C56E32" w:rsidP="00C56E32">
      <w:pPr>
        <w:pStyle w:val="FigureTitle"/>
      </w:pPr>
      <w:bookmarkStart w:id="96" w:name="_Ref135991118"/>
      <w:bookmarkStart w:id="97" w:name="_Ref135991111"/>
      <w:r w:rsidRPr="00FC71BE">
        <w:t xml:space="preserve">Fig. </w:t>
      </w:r>
      <w:fldSimple w:instr=" STYLEREF 1 \s ">
        <w:r w:rsidR="007E62C1" w:rsidRPr="00FC71BE">
          <w:rPr>
            <w:noProof/>
          </w:rPr>
          <w:t>2</w:t>
        </w:r>
      </w:fldSimple>
      <w:r w:rsidRPr="00FC71BE">
        <w:t>.</w:t>
      </w:r>
      <w:fldSimple w:instr=" SEQ Fig. \* ARABIC \s 1 ">
        <w:r w:rsidR="007E62C1" w:rsidRPr="00FC71BE">
          <w:rPr>
            <w:noProof/>
          </w:rPr>
          <w:t>5</w:t>
        </w:r>
      </w:fldSimple>
      <w:bookmarkEnd w:id="96"/>
      <w:r w:rsidRPr="00FC71BE">
        <w:t xml:space="preserve">. </w:t>
      </w:r>
      <w:bookmarkStart w:id="98" w:name="_Hlk54645823"/>
      <w:r w:rsidRPr="00FC71BE">
        <w:t>Phase back-EMF comparison between method 1 and method 2.</w:t>
      </w:r>
      <w:bookmarkEnd w:id="97"/>
      <w:bookmarkEnd w:id="98"/>
    </w:p>
    <w:p w14:paraId="091CD514" w14:textId="20608B03" w:rsidR="00C56E32" w:rsidRPr="00FC71BE" w:rsidRDefault="00C56E32" w:rsidP="00C56E32">
      <w:pPr>
        <w:rPr>
          <w:szCs w:val="20"/>
        </w:rPr>
      </w:pPr>
      <w:r w:rsidRPr="00FC71BE">
        <w:rPr>
          <w:szCs w:val="20"/>
        </w:rPr>
        <w:t xml:space="preserve">Other performances such as cogging torque and open-circuit airgap flux density have also been compared, as shown in </w:t>
      </w:r>
      <w:r w:rsidRPr="00FC71BE">
        <w:rPr>
          <w:szCs w:val="20"/>
        </w:rPr>
        <w:fldChar w:fldCharType="begin"/>
      </w:r>
      <w:r w:rsidRPr="00FC71BE">
        <w:rPr>
          <w:szCs w:val="20"/>
        </w:rPr>
        <w:instrText xml:space="preserve"> REF _Ref135991380 \h </w:instrText>
      </w:r>
      <w:r w:rsidRPr="00FC71BE">
        <w:rPr>
          <w:szCs w:val="20"/>
        </w:rPr>
      </w:r>
      <w:r w:rsidRPr="00FC71BE">
        <w:rPr>
          <w:szCs w:val="20"/>
        </w:rPr>
        <w:fldChar w:fldCharType="separate"/>
      </w:r>
      <w:r w:rsidR="007E62C1" w:rsidRPr="00FC71BE">
        <w:t xml:space="preserve">Fig. </w:t>
      </w:r>
      <w:r w:rsidR="007E62C1" w:rsidRPr="00FC71BE">
        <w:rPr>
          <w:noProof/>
        </w:rPr>
        <w:t>2</w:t>
      </w:r>
      <w:r w:rsidR="007E62C1" w:rsidRPr="00FC71BE">
        <w:t>.</w:t>
      </w:r>
      <w:r w:rsidR="007E62C1" w:rsidRPr="00FC71BE">
        <w:rPr>
          <w:noProof/>
        </w:rPr>
        <w:t>6</w:t>
      </w:r>
      <w:r w:rsidRPr="00FC71BE">
        <w:rPr>
          <w:szCs w:val="20"/>
        </w:rPr>
        <w:fldChar w:fldCharType="end"/>
      </w:r>
      <w:r w:rsidRPr="00FC71BE">
        <w:rPr>
          <w:szCs w:val="20"/>
        </w:rPr>
        <w:t xml:space="preserve"> and </w:t>
      </w:r>
      <w:r w:rsidRPr="00FC71BE">
        <w:rPr>
          <w:szCs w:val="20"/>
        </w:rPr>
        <w:fldChar w:fldCharType="begin"/>
      </w:r>
      <w:r w:rsidRPr="00FC71BE">
        <w:rPr>
          <w:szCs w:val="20"/>
        </w:rPr>
        <w:instrText xml:space="preserve"> REF _Ref135991388 \h </w:instrText>
      </w:r>
      <w:r w:rsidRPr="00FC71BE">
        <w:rPr>
          <w:szCs w:val="20"/>
        </w:rPr>
      </w:r>
      <w:r w:rsidRPr="00FC71BE">
        <w:rPr>
          <w:szCs w:val="20"/>
        </w:rPr>
        <w:fldChar w:fldCharType="separate"/>
      </w:r>
      <w:r w:rsidR="007E62C1" w:rsidRPr="00FC71BE">
        <w:t xml:space="preserve">Fig. </w:t>
      </w:r>
      <w:r w:rsidR="007E62C1" w:rsidRPr="00FC71BE">
        <w:rPr>
          <w:noProof/>
        </w:rPr>
        <w:t>2</w:t>
      </w:r>
      <w:r w:rsidR="007E62C1" w:rsidRPr="00FC71BE">
        <w:t>.</w:t>
      </w:r>
      <w:r w:rsidR="007E62C1" w:rsidRPr="00FC71BE">
        <w:rPr>
          <w:noProof/>
        </w:rPr>
        <w:t>7</w:t>
      </w:r>
      <w:r w:rsidRPr="00FC71BE">
        <w:rPr>
          <w:szCs w:val="20"/>
        </w:rPr>
        <w:fldChar w:fldCharType="end"/>
      </w:r>
      <w:r w:rsidRPr="00FC71BE">
        <w:rPr>
          <w:szCs w:val="20"/>
        </w:rPr>
        <w:t xml:space="preserve">. It is found that by introducing the flux gaps, the cogging torque is increased even though the modular machines have been optimized using method 1 or method 2. This is mainly because minimizing cogging torque or torque ripple has not been chosen as the primary objective. The weight of cogging torque or torque ripple is insignificant for the aerospace application considered in this chapter. Therefore, the influence of torque ripple is less concerned than other objectives. However, for other applications where </w:t>
      </w:r>
      <w:r w:rsidRPr="00FC71BE">
        <w:rPr>
          <w:szCs w:val="20"/>
        </w:rPr>
        <w:lastRenderedPageBreak/>
        <w:t>low torque ripple is a key requirement, the flux gap width should be paid more attention during the optimization process.</w:t>
      </w:r>
    </w:p>
    <w:p w14:paraId="32270535" w14:textId="6D36C775" w:rsidR="00C56E32" w:rsidRPr="00FC71BE" w:rsidRDefault="00C56E32" w:rsidP="00C56E32">
      <w:pPr>
        <w:rPr>
          <w:sz w:val="20"/>
        </w:rPr>
      </w:pPr>
      <w:r w:rsidRPr="00FC71BE">
        <w:rPr>
          <w:szCs w:val="20"/>
        </w:rPr>
        <w:t>Regarding the open-circuit aigap flux density, the optimized modular machines are able to improve its working harmonic (14</w:t>
      </w:r>
      <w:r w:rsidRPr="00FC71BE">
        <w:rPr>
          <w:szCs w:val="20"/>
          <w:vertAlign w:val="superscript"/>
        </w:rPr>
        <w:t>th</w:t>
      </w:r>
      <w:r w:rsidRPr="00FC71BE">
        <w:rPr>
          <w:szCs w:val="20"/>
        </w:rPr>
        <w:t>, which is also the fu</w:t>
      </w:r>
      <w:r w:rsidR="00B22008" w:rsidRPr="00FC71BE">
        <w:rPr>
          <w:szCs w:val="20"/>
        </w:rPr>
        <w:t>n</w:t>
      </w:r>
      <w:r w:rsidRPr="00FC71BE">
        <w:rPr>
          <w:szCs w:val="20"/>
        </w:rPr>
        <w:t xml:space="preserve">damental harmonic), as shown in </w:t>
      </w:r>
      <w:r w:rsidRPr="00FC71BE">
        <w:rPr>
          <w:szCs w:val="20"/>
        </w:rPr>
        <w:fldChar w:fldCharType="begin"/>
      </w:r>
      <w:r w:rsidRPr="00FC71BE">
        <w:rPr>
          <w:szCs w:val="20"/>
        </w:rPr>
        <w:instrText xml:space="preserve"> REF _Ref135991388 \h </w:instrText>
      </w:r>
      <w:r w:rsidRPr="00FC71BE">
        <w:rPr>
          <w:szCs w:val="20"/>
        </w:rPr>
      </w:r>
      <w:r w:rsidRPr="00FC71BE">
        <w:rPr>
          <w:szCs w:val="20"/>
        </w:rPr>
        <w:fldChar w:fldCharType="separate"/>
      </w:r>
      <w:r w:rsidR="007E62C1" w:rsidRPr="00FC71BE">
        <w:t xml:space="preserve">Fig. </w:t>
      </w:r>
      <w:r w:rsidR="007E62C1" w:rsidRPr="00FC71BE">
        <w:rPr>
          <w:noProof/>
        </w:rPr>
        <w:t>2</w:t>
      </w:r>
      <w:r w:rsidR="007E62C1" w:rsidRPr="00FC71BE">
        <w:t>.</w:t>
      </w:r>
      <w:r w:rsidR="007E62C1" w:rsidRPr="00FC71BE">
        <w:rPr>
          <w:noProof/>
        </w:rPr>
        <w:t>7</w:t>
      </w:r>
      <w:r w:rsidRPr="00FC71BE">
        <w:rPr>
          <w:szCs w:val="20"/>
        </w:rPr>
        <w:fldChar w:fldCharType="end"/>
      </w:r>
      <w:r w:rsidRPr="00FC71BE">
        <w:rPr>
          <w:szCs w:val="20"/>
        </w:rPr>
        <w:t xml:space="preserve"> (b). This is consistent with the conclusion in previous research [2], [5]. Comparing the modular machines with different optimization methods, it is found that, when the optimization method proposed in this chapter (method 1) is implemented, the working harmonic is sligthly lower than the conventional optimization method (method 2). This is because the stator tooth widths with different optimization methods are quite different. However, since the flux gaps can increase even more the winding factor and also have flux focusing effect, the phase back-EMF of the modular machine, which is optimized by method 1, can still be higher than that of the modular machine optimized by method 2.</w:t>
      </w:r>
    </w:p>
    <w:p w14:paraId="1DFF8AC9" w14:textId="77777777" w:rsidR="00C56E32" w:rsidRPr="00FC71BE" w:rsidRDefault="00C56E32" w:rsidP="00C56E32">
      <w:pPr>
        <w:pStyle w:val="Table"/>
        <w:rPr>
          <w:color w:val="auto"/>
        </w:rPr>
      </w:pPr>
      <w:r w:rsidRPr="00FC71BE">
        <w:rPr>
          <w:noProof/>
          <w:color w:val="auto"/>
          <w:lang w:eastAsia="zh-CN"/>
        </w:rPr>
        <w:drawing>
          <wp:inline distT="0" distB="0" distL="0" distR="0" wp14:anchorId="1DBF8A4B" wp14:editId="582914BE">
            <wp:extent cx="4083685" cy="2304288"/>
            <wp:effectExtent l="0" t="0" r="0" b="1270"/>
            <wp:docPr id="3" name="Picture 3" descr="A picture containing text, line,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line, plot, diagram&#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86461" cy="2305854"/>
                    </a:xfrm>
                    <a:prstGeom prst="rect">
                      <a:avLst/>
                    </a:prstGeom>
                    <a:noFill/>
                    <a:ln>
                      <a:noFill/>
                    </a:ln>
                  </pic:spPr>
                </pic:pic>
              </a:graphicData>
            </a:graphic>
          </wp:inline>
        </w:drawing>
      </w:r>
    </w:p>
    <w:p w14:paraId="6F7C1443" w14:textId="08B2E870" w:rsidR="00C56E32" w:rsidRPr="00FC71BE" w:rsidRDefault="00C56E32" w:rsidP="00C56E32">
      <w:pPr>
        <w:pStyle w:val="FigureTitle"/>
      </w:pPr>
      <w:bookmarkStart w:id="99" w:name="_Ref135991380"/>
      <w:r w:rsidRPr="00FC71BE">
        <w:t xml:space="preserve">Fig. </w:t>
      </w:r>
      <w:fldSimple w:instr=" STYLEREF 1 \s ">
        <w:r w:rsidR="007E62C1" w:rsidRPr="00FC71BE">
          <w:rPr>
            <w:noProof/>
          </w:rPr>
          <w:t>2</w:t>
        </w:r>
      </w:fldSimple>
      <w:r w:rsidRPr="00FC71BE">
        <w:t>.</w:t>
      </w:r>
      <w:fldSimple w:instr=" SEQ Fig. \* ARABIC \s 1 ">
        <w:r w:rsidR="007E62C1" w:rsidRPr="00FC71BE">
          <w:rPr>
            <w:noProof/>
          </w:rPr>
          <w:t>6</w:t>
        </w:r>
      </w:fldSimple>
      <w:bookmarkEnd w:id="99"/>
      <w:r w:rsidRPr="00FC71BE">
        <w:t xml:space="preserve">. </w:t>
      </w:r>
      <w:bookmarkStart w:id="100" w:name="_Hlk54645920"/>
      <w:r w:rsidRPr="00FC71BE">
        <w:t>Comparison of cogging torque of the 24-slot/28-pole SPM machines between different optimization methods</w:t>
      </w:r>
      <w:bookmarkEnd w:id="100"/>
      <w:r w:rsidRPr="00FC71BE">
        <w:t>.</w:t>
      </w:r>
    </w:p>
    <w:tbl>
      <w:tblPr>
        <w:tblStyle w:val="TableGrid"/>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5"/>
      </w:tblGrid>
      <w:tr w:rsidR="00FC71BE" w:rsidRPr="00FC71BE" w14:paraId="6C09A961" w14:textId="77777777">
        <w:tc>
          <w:tcPr>
            <w:tcW w:w="5000" w:type="pct"/>
          </w:tcPr>
          <w:p w14:paraId="062246FA" w14:textId="77777777" w:rsidR="00C56E32" w:rsidRPr="00FC71BE" w:rsidRDefault="00C56E32">
            <w:pPr>
              <w:pStyle w:val="Figure"/>
              <w:rPr>
                <w:noProof w:val="0"/>
              </w:rPr>
            </w:pPr>
            <w:r w:rsidRPr="00FC71BE">
              <w:drawing>
                <wp:inline distT="0" distB="0" distL="0" distR="0" wp14:anchorId="3B0DB163" wp14:editId="175B002E">
                  <wp:extent cx="4082415" cy="2267712"/>
                  <wp:effectExtent l="0" t="0" r="0" b="0"/>
                  <wp:docPr id="62" name="Picture 62" descr="A graph of a graph showing different angles&#10;&#10;Description automatically generated">
                    <a:extLst xmlns:a="http://schemas.openxmlformats.org/drawingml/2006/main">
                      <a:ext uri="{FF2B5EF4-FFF2-40B4-BE49-F238E27FC236}">
                        <a16:creationId xmlns:a16="http://schemas.microsoft.com/office/drawing/2014/main" id="{D5876834-03E6-4254-AECF-4D71E20741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aph of a graph showing different angles&#10;&#10;Description automatically generated">
                            <a:extLst>
                              <a:ext uri="{FF2B5EF4-FFF2-40B4-BE49-F238E27FC236}">
                                <a16:creationId xmlns:a16="http://schemas.microsoft.com/office/drawing/2014/main" id="{D5876834-03E6-4254-AECF-4D71E2074183}"/>
                              </a:ext>
                            </a:extLst>
                          </pic:cNvPr>
                          <pic:cNvPicPr>
                            <a:picLocks noChangeAspect="1"/>
                          </pic:cNvPicPr>
                        </pic:nvPicPr>
                        <pic:blipFill>
                          <a:blip r:embed="rId71"/>
                          <a:stretch>
                            <a:fillRect/>
                          </a:stretch>
                        </pic:blipFill>
                        <pic:spPr>
                          <a:xfrm>
                            <a:off x="0" y="0"/>
                            <a:ext cx="4086223" cy="2269827"/>
                          </a:xfrm>
                          <a:prstGeom prst="rect">
                            <a:avLst/>
                          </a:prstGeom>
                        </pic:spPr>
                      </pic:pic>
                    </a:graphicData>
                  </a:graphic>
                </wp:inline>
              </w:drawing>
            </w:r>
          </w:p>
        </w:tc>
      </w:tr>
      <w:tr w:rsidR="00FC71BE" w:rsidRPr="00FC71BE" w14:paraId="12378BC5" w14:textId="77777777">
        <w:tc>
          <w:tcPr>
            <w:tcW w:w="5000" w:type="pct"/>
          </w:tcPr>
          <w:p w14:paraId="49B3CFCB" w14:textId="77777777" w:rsidR="00C56E32" w:rsidRPr="00FC71BE" w:rsidRDefault="00C56E32">
            <w:pPr>
              <w:pStyle w:val="Figure"/>
              <w:rPr>
                <w:noProof w:val="0"/>
              </w:rPr>
            </w:pPr>
            <w:r w:rsidRPr="00FC71BE">
              <w:rPr>
                <w:noProof w:val="0"/>
              </w:rPr>
              <w:t>(a) Waveforms</w:t>
            </w:r>
          </w:p>
        </w:tc>
      </w:tr>
      <w:tr w:rsidR="00FC71BE" w:rsidRPr="00FC71BE" w14:paraId="43BCDCA8" w14:textId="77777777">
        <w:tc>
          <w:tcPr>
            <w:tcW w:w="5000" w:type="pct"/>
          </w:tcPr>
          <w:p w14:paraId="77F9C30E" w14:textId="77777777" w:rsidR="00C56E32" w:rsidRPr="00FC71BE" w:rsidRDefault="00C56E32">
            <w:pPr>
              <w:pStyle w:val="Figure"/>
              <w:rPr>
                <w:noProof w:val="0"/>
              </w:rPr>
            </w:pPr>
            <w:r w:rsidRPr="00FC71BE">
              <w:lastRenderedPageBreak/>
              <w:drawing>
                <wp:inline distT="0" distB="0" distL="0" distR="0" wp14:anchorId="192296B1" wp14:editId="5EFBBDB2">
                  <wp:extent cx="4082415" cy="2238451"/>
                  <wp:effectExtent l="0" t="0" r="0" b="9525"/>
                  <wp:docPr id="50" name="Picture 50" descr="A graph of numbers and a number of cases&#10;&#10;Description automatically generated">
                    <a:extLst xmlns:a="http://schemas.openxmlformats.org/drawingml/2006/main">
                      <a:ext uri="{FF2B5EF4-FFF2-40B4-BE49-F238E27FC236}">
                        <a16:creationId xmlns:a16="http://schemas.microsoft.com/office/drawing/2014/main" id="{4696FBA4-AB68-46CD-85FF-ED9C894492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aph of numbers and a number of cases&#10;&#10;Description automatically generated">
                            <a:extLst>
                              <a:ext uri="{FF2B5EF4-FFF2-40B4-BE49-F238E27FC236}">
                                <a16:creationId xmlns:a16="http://schemas.microsoft.com/office/drawing/2014/main" id="{4696FBA4-AB68-46CD-85FF-ED9C8944920E}"/>
                              </a:ext>
                            </a:extLst>
                          </pic:cNvPr>
                          <pic:cNvPicPr>
                            <a:picLocks noChangeAspect="1"/>
                          </pic:cNvPicPr>
                        </pic:nvPicPr>
                        <pic:blipFill>
                          <a:blip r:embed="rId72"/>
                          <a:stretch>
                            <a:fillRect/>
                          </a:stretch>
                        </pic:blipFill>
                        <pic:spPr>
                          <a:xfrm>
                            <a:off x="0" y="0"/>
                            <a:ext cx="4086728" cy="2240816"/>
                          </a:xfrm>
                          <a:prstGeom prst="rect">
                            <a:avLst/>
                          </a:prstGeom>
                        </pic:spPr>
                      </pic:pic>
                    </a:graphicData>
                  </a:graphic>
                </wp:inline>
              </w:drawing>
            </w:r>
          </w:p>
        </w:tc>
      </w:tr>
      <w:tr w:rsidR="00FC71BE" w:rsidRPr="00FC71BE" w14:paraId="5FBC597E" w14:textId="77777777">
        <w:tc>
          <w:tcPr>
            <w:tcW w:w="5000" w:type="pct"/>
          </w:tcPr>
          <w:p w14:paraId="3F69FA83" w14:textId="77777777" w:rsidR="00C56E32" w:rsidRPr="00FC71BE" w:rsidRDefault="00C56E32">
            <w:pPr>
              <w:pStyle w:val="Figure"/>
              <w:rPr>
                <w:noProof w:val="0"/>
              </w:rPr>
            </w:pPr>
            <w:r w:rsidRPr="00FC71BE">
              <w:rPr>
                <w:noProof w:val="0"/>
              </w:rPr>
              <w:t>(b) Spectra</w:t>
            </w:r>
          </w:p>
        </w:tc>
      </w:tr>
    </w:tbl>
    <w:p w14:paraId="57C211CF" w14:textId="3A6C4169" w:rsidR="00C56E32" w:rsidRPr="00FC71BE" w:rsidRDefault="00C56E32" w:rsidP="00C56E32">
      <w:pPr>
        <w:pStyle w:val="FigureTitle"/>
      </w:pPr>
      <w:bookmarkStart w:id="101" w:name="_Ref135991388"/>
      <w:r w:rsidRPr="00FC71BE">
        <w:t xml:space="preserve">Fig. </w:t>
      </w:r>
      <w:fldSimple w:instr=" STYLEREF 1 \s ">
        <w:r w:rsidR="007E62C1" w:rsidRPr="00FC71BE">
          <w:rPr>
            <w:noProof/>
          </w:rPr>
          <w:t>2</w:t>
        </w:r>
      </w:fldSimple>
      <w:r w:rsidRPr="00FC71BE">
        <w:t>.</w:t>
      </w:r>
      <w:fldSimple w:instr=" SEQ Fig. \* ARABIC \s 1 ">
        <w:r w:rsidR="007E62C1" w:rsidRPr="00FC71BE">
          <w:rPr>
            <w:noProof/>
          </w:rPr>
          <w:t>7</w:t>
        </w:r>
      </w:fldSimple>
      <w:bookmarkEnd w:id="101"/>
      <w:r w:rsidRPr="00FC71BE">
        <w:t xml:space="preserve">. </w:t>
      </w:r>
      <w:bookmarkStart w:id="102" w:name="_Hlk54645981"/>
      <w:r w:rsidRPr="00FC71BE">
        <w:t>Comparison of open-circuit radial airgap flux density between different optimization methods.</w:t>
      </w:r>
      <w:bookmarkEnd w:id="102"/>
    </w:p>
    <w:p w14:paraId="4B3226A3" w14:textId="106A6B05" w:rsidR="00C56E32" w:rsidRPr="00FC71BE" w:rsidRDefault="00C56E32" w:rsidP="00C56E32">
      <w:r w:rsidRPr="00FC71BE">
        <w:t xml:space="preserve">Different optimization processes will lead to change not only in torque and copper loss, but also in core iron losses and PM eddy current </w:t>
      </w:r>
      <w:r w:rsidR="006524E7" w:rsidRPr="00FC71BE">
        <w:t>losses</w:t>
      </w:r>
      <w:r w:rsidRPr="00FC71BE">
        <w:t xml:space="preserve">, as shown in </w:t>
      </w:r>
      <w:r w:rsidRPr="00FC71BE">
        <w:fldChar w:fldCharType="begin"/>
      </w:r>
      <w:r w:rsidRPr="00FC71BE">
        <w:instrText xml:space="preserve"> REF _Ref135992173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8</w:t>
      </w:r>
      <w:r w:rsidRPr="00FC71BE">
        <w:fldChar w:fldCharType="end"/>
      </w:r>
      <w:r w:rsidRPr="00FC71BE">
        <w:t xml:space="preserve">. Compared with the optimized non-modular machine, the modular machine optimized by method 2, although having the same stator/rotor yoke thickness, stator tooth width and split ratio, can achieve reduced PM eddy current loss. This is because the introduced flux gaps can reduce the flux density variation in PMs. However, the high airgap flux density and hence high stator core flux density of the modular machine leads to higher core iron losses. Together with higher copper loss, the total losses of the modular machine optimized by method 2 can be higher than the non-modular machine. Similarly, the modular machine optimized by method 1 has higher torque and output power than the modular machine optimized by method 2, but it also has higher PM eddy current loss and core iron losses. Therefore, the modular machine optimized by method 1 slightly reduces the efficiency from 96% to 95.4%, as shown in </w:t>
      </w:r>
      <w:r w:rsidRPr="00FC71BE">
        <w:fldChar w:fldCharType="begin"/>
      </w:r>
      <w:r w:rsidRPr="00FC71BE">
        <w:instrText xml:space="preserve"> REF _Ref125489502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5</w:t>
      </w:r>
      <w:r w:rsidRPr="00FC71BE">
        <w:fldChar w:fldCharType="end"/>
      </w:r>
      <w:r w:rsidRPr="00FC71BE">
        <w:t>.</w:t>
      </w:r>
    </w:p>
    <w:p w14:paraId="5E011F64" w14:textId="77777777" w:rsidR="00C56E32" w:rsidRPr="00FC71BE" w:rsidRDefault="00C56E32" w:rsidP="00C56E32">
      <w:pPr>
        <w:pStyle w:val="Table"/>
        <w:rPr>
          <w:color w:val="auto"/>
        </w:rPr>
      </w:pPr>
      <w:r w:rsidRPr="00FC71BE">
        <w:rPr>
          <w:noProof/>
          <w:color w:val="auto"/>
        </w:rPr>
        <w:lastRenderedPageBreak/>
        <w:drawing>
          <wp:inline distT="0" distB="0" distL="0" distR="0" wp14:anchorId="7AA934BF" wp14:editId="4859707B">
            <wp:extent cx="4363750" cy="2736000"/>
            <wp:effectExtent l="0" t="0" r="0" b="7620"/>
            <wp:docPr id="14" name="Picture 14" descr="A picture containing text, screenshot, diagram, rectangle&#10;&#10;Description automatically generated">
              <a:extLst xmlns:a="http://schemas.openxmlformats.org/drawingml/2006/main">
                <a:ext uri="{FF2B5EF4-FFF2-40B4-BE49-F238E27FC236}">
                  <a16:creationId xmlns:a16="http://schemas.microsoft.com/office/drawing/2014/main" id="{24A6659D-1540-4F14-9ADD-1A598E3F70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A picture containing text, screenshot, diagram, rectangle&#10;&#10;Description automatically generated">
                      <a:extLst>
                        <a:ext uri="{FF2B5EF4-FFF2-40B4-BE49-F238E27FC236}">
                          <a16:creationId xmlns:a16="http://schemas.microsoft.com/office/drawing/2014/main" id="{24A6659D-1540-4F14-9ADD-1A598E3F70F3}"/>
                        </a:ext>
                      </a:extLst>
                    </pic:cNvPr>
                    <pic:cNvPicPr>
                      <a:picLocks noChangeAspect="1"/>
                    </pic:cNvPicPr>
                  </pic:nvPicPr>
                  <pic:blipFill>
                    <a:blip r:embed="rId73"/>
                    <a:stretch>
                      <a:fillRect/>
                    </a:stretch>
                  </pic:blipFill>
                  <pic:spPr>
                    <a:xfrm>
                      <a:off x="0" y="0"/>
                      <a:ext cx="4363750" cy="2736000"/>
                    </a:xfrm>
                    <a:prstGeom prst="rect">
                      <a:avLst/>
                    </a:prstGeom>
                  </pic:spPr>
                </pic:pic>
              </a:graphicData>
            </a:graphic>
          </wp:inline>
        </w:drawing>
      </w:r>
    </w:p>
    <w:p w14:paraId="6C1E39E9" w14:textId="2EB733E0" w:rsidR="00C56E32" w:rsidRPr="00FC71BE" w:rsidRDefault="00C56E32" w:rsidP="00C56E32">
      <w:pPr>
        <w:pStyle w:val="FigureTitle"/>
      </w:pPr>
      <w:bookmarkStart w:id="103" w:name="_Ref135992173"/>
      <w:r w:rsidRPr="00FC71BE">
        <w:t xml:space="preserve">Fig. </w:t>
      </w:r>
      <w:fldSimple w:instr=" STYLEREF 1 \s ">
        <w:r w:rsidR="007E62C1" w:rsidRPr="00FC71BE">
          <w:rPr>
            <w:noProof/>
          </w:rPr>
          <w:t>2</w:t>
        </w:r>
      </w:fldSimple>
      <w:r w:rsidRPr="00FC71BE">
        <w:t>.</w:t>
      </w:r>
      <w:fldSimple w:instr=" SEQ Fig. \* ARABIC \s 1 ">
        <w:r w:rsidR="007E62C1" w:rsidRPr="00FC71BE">
          <w:rPr>
            <w:noProof/>
          </w:rPr>
          <w:t>8</w:t>
        </w:r>
      </w:fldSimple>
      <w:bookmarkEnd w:id="103"/>
      <w:r w:rsidRPr="00FC71BE">
        <w:t>. Comparison of losses between optimized non-modular machine and modular machines with different optimization methods.</w:t>
      </w:r>
    </w:p>
    <w:p w14:paraId="5EA07FC7" w14:textId="77777777" w:rsidR="00C56E32" w:rsidRPr="00FC71BE" w:rsidRDefault="00C56E32" w:rsidP="00C56E32">
      <w:r w:rsidRPr="00FC71BE">
        <w:t>In addition to previously investigated static performances, the dynamic performances including the torque speed curve and efficiency map have also been compared between non-modular and modular machines optimized by different optimization methods.</w:t>
      </w:r>
    </w:p>
    <w:p w14:paraId="4E52D0EE" w14:textId="77777777" w:rsidR="00C56E32" w:rsidRPr="00FC71BE" w:rsidRDefault="00C56E32" w:rsidP="00C56E32">
      <w:r w:rsidRPr="00FC71BE">
        <w:t>The EM behaviour of PM machines is governed by the stator voltage equations. In synchronous reference frame, they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FCB5C22" w14:textId="77777777">
        <w:tc>
          <w:tcPr>
            <w:tcW w:w="4493" w:type="pct"/>
            <w:vAlign w:val="center"/>
          </w:tcPr>
          <w:p w14:paraId="5A2619EB" w14:textId="77777777" w:rsidR="00C56E32"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V</m:t>
                    </m:r>
                  </m:e>
                  <m:sub>
                    <m:r>
                      <w:rPr>
                        <w:rFonts w:ascii="Cambria Math" w:hAnsi="Cambria Math"/>
                        <w:color w:val="auto"/>
                      </w:rPr>
                      <m:t>d</m:t>
                    </m:r>
                  </m:sub>
                </m:sSub>
                <m:r>
                  <m:rPr>
                    <m:sty m:val="p"/>
                  </m:rPr>
                  <w:rPr>
                    <w:rFonts w:ascii="Cambria Math" w:hAnsi="Cambria Math"/>
                    <w:color w:val="auto"/>
                  </w:rPr>
                  <m:t>=</m:t>
                </m:r>
                <m:r>
                  <w:rPr>
                    <w:rFonts w:ascii="Cambria Math" w:hAnsi="Cambria Math"/>
                    <w:color w:val="auto"/>
                  </w:rPr>
                  <m:t>R</m:t>
                </m:r>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d</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d</m:t>
                    </m:r>
                  </m:sub>
                </m:sSub>
                <m:f>
                  <m:fPr>
                    <m:ctrlPr>
                      <w:rPr>
                        <w:rFonts w:ascii="Cambria Math" w:hAnsi="Cambria Math"/>
                        <w:color w:val="auto"/>
                      </w:rPr>
                    </m:ctrlPr>
                  </m:fPr>
                  <m:num>
                    <m:r>
                      <w:rPr>
                        <w:rFonts w:ascii="Cambria Math" w:hAnsi="Cambria Math"/>
                        <w:color w:val="auto"/>
                      </w:rPr>
                      <m:t>d</m:t>
                    </m:r>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d</m:t>
                        </m:r>
                      </m:sub>
                    </m:sSub>
                  </m:num>
                  <m:den>
                    <m:r>
                      <w:rPr>
                        <w:rFonts w:ascii="Cambria Math" w:hAnsi="Cambria Math"/>
                        <w:color w:val="auto"/>
                      </w:rPr>
                      <m:t>dt</m:t>
                    </m:r>
                  </m:den>
                </m:f>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e</m:t>
                    </m:r>
                  </m:sub>
                </m:sSub>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q</m:t>
                    </m:r>
                  </m:sub>
                </m:sSub>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q</m:t>
                    </m:r>
                  </m:sub>
                </m:sSub>
              </m:oMath>
            </m:oMathPara>
          </w:p>
        </w:tc>
        <w:tc>
          <w:tcPr>
            <w:tcW w:w="507" w:type="pct"/>
            <w:vAlign w:val="center"/>
          </w:tcPr>
          <w:p w14:paraId="02BD35F3" w14:textId="22773DAC" w:rsidR="00C56E32" w:rsidRPr="00FC71BE" w:rsidRDefault="00C56E32">
            <w:pPr>
              <w:pStyle w:val="equation"/>
              <w:rPr>
                <w:color w:val="auto"/>
              </w:rPr>
            </w:pPr>
            <w:bookmarkStart w:id="104" w:name="_Ref136294370"/>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bookmarkEnd w:id="104"/>
          </w:p>
        </w:tc>
      </w:tr>
      <w:tr w:rsidR="00FC71BE" w:rsidRPr="00FC71BE" w14:paraId="5C435E92" w14:textId="77777777">
        <w:tc>
          <w:tcPr>
            <w:tcW w:w="4493" w:type="pct"/>
          </w:tcPr>
          <w:p w14:paraId="279A4851" w14:textId="77777777" w:rsidR="00C56E32"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V</m:t>
                    </m:r>
                  </m:e>
                  <m:sub>
                    <m:r>
                      <w:rPr>
                        <w:rFonts w:ascii="Cambria Math" w:hAnsi="Cambria Math"/>
                        <w:color w:val="auto"/>
                      </w:rPr>
                      <m:t>q</m:t>
                    </m:r>
                  </m:sub>
                </m:sSub>
                <m:r>
                  <m:rPr>
                    <m:sty m:val="p"/>
                  </m:rPr>
                  <w:rPr>
                    <w:rFonts w:ascii="Cambria Math" w:hAnsi="Cambria Math"/>
                    <w:color w:val="auto"/>
                  </w:rPr>
                  <m:t>=</m:t>
                </m:r>
                <m:r>
                  <w:rPr>
                    <w:rFonts w:ascii="Cambria Math" w:hAnsi="Cambria Math"/>
                    <w:color w:val="auto"/>
                  </w:rPr>
                  <m:t>R</m:t>
                </m:r>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q</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q</m:t>
                    </m:r>
                  </m:sub>
                </m:sSub>
                <m:f>
                  <m:fPr>
                    <m:ctrlPr>
                      <w:rPr>
                        <w:rFonts w:ascii="Cambria Math" w:hAnsi="Cambria Math"/>
                        <w:color w:val="auto"/>
                      </w:rPr>
                    </m:ctrlPr>
                  </m:fPr>
                  <m:num>
                    <m:r>
                      <w:rPr>
                        <w:rFonts w:ascii="Cambria Math" w:hAnsi="Cambria Math"/>
                        <w:color w:val="auto"/>
                      </w:rPr>
                      <m:t>d</m:t>
                    </m:r>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q</m:t>
                        </m:r>
                      </m:sub>
                    </m:sSub>
                  </m:num>
                  <m:den>
                    <m:r>
                      <w:rPr>
                        <w:rFonts w:ascii="Cambria Math" w:hAnsi="Cambria Math"/>
                        <w:color w:val="auto"/>
                      </w:rPr>
                      <m:t>dt</m:t>
                    </m:r>
                  </m:den>
                </m:f>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e</m:t>
                    </m:r>
                  </m:sub>
                </m:sSub>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d</m:t>
                    </m:r>
                  </m:sub>
                </m:sSub>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d</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e</m:t>
                    </m:r>
                  </m:sub>
                </m:sSub>
              </m:oMath>
            </m:oMathPara>
          </w:p>
        </w:tc>
        <w:tc>
          <w:tcPr>
            <w:tcW w:w="507" w:type="pct"/>
          </w:tcPr>
          <w:p w14:paraId="64D50C3D" w14:textId="71BF9D9F" w:rsidR="00C56E32" w:rsidRPr="00FC71BE" w:rsidRDefault="00C56E32">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p>
        </w:tc>
      </w:tr>
    </w:tbl>
    <w:p w14:paraId="1F8FDBC9" w14:textId="24F29794" w:rsidR="00C56E32" w:rsidRPr="00FC71BE" w:rsidRDefault="00C56E32" w:rsidP="00C56E32">
      <w:pPr>
        <w:ind w:firstLine="0"/>
      </w:pPr>
      <w:r w:rsidRPr="00FC71BE">
        <w:t xml:space="preserve">where </w:t>
      </w:r>
      <m:oMath>
        <m:r>
          <w:rPr>
            <w:rFonts w:ascii="Cambria Math" w:hAnsi="Cambria Math"/>
          </w:rPr>
          <m:t>V</m:t>
        </m:r>
      </m:oMath>
      <w:r w:rsidRPr="00FC71BE">
        <w:t xml:space="preserve">, </w:t>
      </w:r>
      <m:oMath>
        <m:r>
          <w:rPr>
            <w:rFonts w:ascii="Cambria Math" w:hAnsi="Cambria Math"/>
          </w:rPr>
          <m:t>i</m:t>
        </m:r>
      </m:oMath>
      <w:r w:rsidRPr="00FC71BE">
        <w:t xml:space="preserve">, </w:t>
      </w:r>
      <m:oMath>
        <m:sSub>
          <m:sSubPr>
            <m:ctrlPr>
              <w:rPr>
                <w:rFonts w:ascii="Cambria Math" w:hAnsi="Cambria Math"/>
                <w:i/>
              </w:rPr>
            </m:ctrlPr>
          </m:sSubPr>
          <m:e>
            <m:r>
              <w:rPr>
                <w:rFonts w:ascii="Cambria Math" w:hAnsi="Cambria Math"/>
              </w:rPr>
              <m:t>ω</m:t>
            </m:r>
          </m:e>
          <m:sub>
            <m:r>
              <w:rPr>
                <w:rFonts w:ascii="Cambria Math" w:hAnsi="Cambria Math"/>
              </w:rPr>
              <m:t>e</m:t>
            </m:r>
          </m:sub>
        </m:sSub>
      </m:oMath>
      <w:r w:rsidRPr="00FC71BE">
        <w:t xml:space="preserve">, </w:t>
      </w:r>
      <m:oMath>
        <m:r>
          <w:rPr>
            <w:rFonts w:ascii="Cambria Math" w:hAnsi="Cambria Math"/>
          </w:rPr>
          <m:t>L</m:t>
        </m:r>
      </m:oMath>
      <w:r w:rsidRPr="00FC71BE">
        <w:t xml:space="preserve">, </w:t>
      </w:r>
      <m:oMath>
        <m:r>
          <w:rPr>
            <w:rFonts w:ascii="Cambria Math" w:hAnsi="Cambria Math"/>
          </w:rPr>
          <m:t>R</m:t>
        </m:r>
      </m:oMath>
      <w:r w:rsidRPr="00FC71BE">
        <w:t xml:space="preserve">, </w:t>
      </w:r>
      <m:oMath>
        <m:sSub>
          <m:sSubPr>
            <m:ctrlPr>
              <w:rPr>
                <w:rFonts w:ascii="Cambria Math" w:hAnsi="Cambria Math"/>
                <w:i/>
              </w:rPr>
            </m:ctrlPr>
          </m:sSubPr>
          <m:e>
            <m:r>
              <w:rPr>
                <w:rFonts w:ascii="Cambria Math" w:hAnsi="Cambria Math"/>
              </w:rPr>
              <m:t>ψ</m:t>
            </m:r>
          </m:e>
          <m:sub>
            <m:r>
              <w:rPr>
                <w:rFonts w:ascii="Cambria Math" w:hAnsi="Cambria Math"/>
              </w:rPr>
              <m:t>m</m:t>
            </m:r>
          </m:sub>
        </m:sSub>
      </m:oMath>
      <w:r w:rsidRPr="00FC71BE">
        <w:t xml:space="preserve"> denote the voltage, current, rotor electrical speed, inductance, </w:t>
      </w:r>
      <w:r w:rsidR="00696535" w:rsidRPr="00FC71BE">
        <w:t xml:space="preserve">armature </w:t>
      </w:r>
      <w:r w:rsidRPr="00FC71BE">
        <w:t xml:space="preserve">resistance, and no-load flux linkage, respectively. The subscripts </w:t>
      </w:r>
      <w:r w:rsidRPr="00FC71BE">
        <w:rPr>
          <w:i/>
          <w:iCs/>
        </w:rPr>
        <w:t>d</w:t>
      </w:r>
      <w:r w:rsidRPr="00FC71BE">
        <w:t xml:space="preserve"> and </w:t>
      </w:r>
      <w:r w:rsidRPr="00FC71BE">
        <w:rPr>
          <w:i/>
          <w:iCs/>
        </w:rPr>
        <w:t>q</w:t>
      </w:r>
      <w:r w:rsidRPr="00FC71BE">
        <w:t xml:space="preserve"> represent the direct- and quadrature-axis components.</w:t>
      </w:r>
    </w:p>
    <w:p w14:paraId="6CEF7234" w14:textId="77777777" w:rsidR="00C56E32" w:rsidRPr="00FC71BE" w:rsidRDefault="00C56E32" w:rsidP="00C56E32">
      <w:r w:rsidRPr="00FC71BE">
        <w:t xml:space="preserve">For surface-mounted PM machines, it is assumed that </w:t>
      </w:r>
      <m:oMath>
        <m:sSub>
          <m:sSubPr>
            <m:ctrlPr>
              <w:rPr>
                <w:rFonts w:ascii="Cambria Math" w:hAnsi="Cambria Math"/>
              </w:rPr>
            </m:ctrlPr>
          </m:sSubPr>
          <m:e>
            <m:r>
              <w:rPr>
                <w:rFonts w:ascii="Cambria Math" w:hAnsi="Cambria Math"/>
              </w:rPr>
              <m:t>L</m:t>
            </m:r>
          </m:e>
          <m:sub>
            <m:r>
              <w:rPr>
                <w:rFonts w:ascii="Cambria Math" w:hAnsi="Cambria Math"/>
              </w:rPr>
              <m:t>d</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q</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s</m:t>
            </m:r>
          </m:sub>
        </m:sSub>
      </m:oMath>
      <w:r w:rsidRPr="00FC71BE">
        <w:t xml:space="preserve">, where </w:t>
      </w:r>
      <m:oMath>
        <m:sSub>
          <m:sSubPr>
            <m:ctrlPr>
              <w:rPr>
                <w:rFonts w:ascii="Cambria Math" w:hAnsi="Cambria Math"/>
              </w:rPr>
            </m:ctrlPr>
          </m:sSubPr>
          <m:e>
            <m:r>
              <w:rPr>
                <w:rFonts w:ascii="Cambria Math" w:hAnsi="Cambria Math"/>
              </w:rPr>
              <m:t>L</m:t>
            </m:r>
          </m:e>
          <m:sub>
            <m:r>
              <w:rPr>
                <w:rFonts w:ascii="Cambria Math" w:hAnsi="Cambria Math"/>
              </w:rPr>
              <m:t>s</m:t>
            </m:r>
          </m:sub>
        </m:sSub>
      </m:oMath>
      <w:r w:rsidRPr="00FC71BE">
        <w:t xml:space="preserve"> is the synchronous inductance. As a result, the EM torque (</w:t>
      </w:r>
      <m:oMath>
        <m:sSub>
          <m:sSubPr>
            <m:ctrlPr>
              <w:rPr>
                <w:rFonts w:ascii="Cambria Math" w:hAnsi="Cambria Math"/>
              </w:rPr>
            </m:ctrlPr>
          </m:sSubPr>
          <m:e>
            <m:r>
              <w:rPr>
                <w:rFonts w:ascii="Cambria Math" w:hAnsi="Cambria Math"/>
              </w:rPr>
              <m:t>T</m:t>
            </m:r>
          </m:e>
          <m:sub>
            <m:r>
              <w:rPr>
                <w:rFonts w:ascii="Cambria Math" w:hAnsi="Cambria Math"/>
              </w:rPr>
              <m:t>em</m:t>
            </m:r>
          </m:sub>
        </m:sSub>
      </m:oMath>
      <w:r w:rsidRPr="00FC71BE">
        <w:t>) and output power (</w:t>
      </w:r>
      <m:oMath>
        <m:sSub>
          <m:sSubPr>
            <m:ctrlPr>
              <w:rPr>
                <w:rFonts w:ascii="Cambria Math" w:hAnsi="Cambria Math"/>
              </w:rPr>
            </m:ctrlPr>
          </m:sSubPr>
          <m:e>
            <m:r>
              <w:rPr>
                <w:rFonts w:ascii="Cambria Math" w:hAnsi="Cambria Math"/>
              </w:rPr>
              <m:t>P</m:t>
            </m:r>
          </m:e>
          <m:sub>
            <m:r>
              <w:rPr>
                <w:rFonts w:ascii="Cambria Math" w:hAnsi="Cambria Math"/>
              </w:rPr>
              <m:t>out</m:t>
            </m:r>
          </m:sub>
        </m:sSub>
      </m:oMath>
      <w:r w:rsidRPr="00FC71BE">
        <w:t>) can be derived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A2F182B" w14:textId="77777777">
        <w:tc>
          <w:tcPr>
            <w:tcW w:w="4493" w:type="pct"/>
            <w:vAlign w:val="center"/>
          </w:tcPr>
          <w:p w14:paraId="38FD19F8" w14:textId="77777777" w:rsidR="00C56E32"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em</m:t>
                    </m:r>
                  </m:sub>
                </m:sSub>
                <m:r>
                  <m:rPr>
                    <m:sty m:val="p"/>
                  </m:rPr>
                  <w:rPr>
                    <w:rFonts w:ascii="Cambria Math" w:hAnsi="Cambria Math"/>
                    <w:color w:val="auto"/>
                  </w:rPr>
                  <m:t>=</m:t>
                </m:r>
                <m:f>
                  <m:fPr>
                    <m:ctrlPr>
                      <w:rPr>
                        <w:rFonts w:ascii="Cambria Math" w:hAnsi="Cambria Math"/>
                        <w:color w:val="auto"/>
                      </w:rPr>
                    </m:ctrlPr>
                  </m:fPr>
                  <m:num>
                    <m:r>
                      <m:rPr>
                        <m:sty m:val="p"/>
                      </m:rPr>
                      <w:rPr>
                        <w:rFonts w:ascii="Cambria Math" w:hAnsi="Cambria Math"/>
                        <w:color w:val="auto"/>
                      </w:rPr>
                      <m:t>3</m:t>
                    </m:r>
                  </m:num>
                  <m:den>
                    <m:r>
                      <m:rPr>
                        <m:sty m:val="p"/>
                      </m:rPr>
                      <w:rPr>
                        <w:rFonts w:ascii="Cambria Math" w:hAnsi="Cambria Math"/>
                        <w:color w:val="auto"/>
                      </w:rPr>
                      <m:t>2</m:t>
                    </m:r>
                  </m:den>
                </m:f>
                <m:r>
                  <w:rPr>
                    <w:rFonts w:ascii="Cambria Math" w:hAnsi="Cambria Math"/>
                    <w:color w:val="auto"/>
                  </w:rPr>
                  <m:t>p</m:t>
                </m:r>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q</m:t>
                    </m:r>
                  </m:sub>
                </m:sSub>
              </m:oMath>
            </m:oMathPara>
          </w:p>
        </w:tc>
        <w:tc>
          <w:tcPr>
            <w:tcW w:w="507" w:type="pct"/>
            <w:vAlign w:val="center"/>
          </w:tcPr>
          <w:p w14:paraId="60DA1A48" w14:textId="56C3EA3B" w:rsidR="00C56E32" w:rsidRPr="00FC71BE" w:rsidRDefault="00C56E32">
            <w:pPr>
              <w:pStyle w:val="equation"/>
              <w:rPr>
                <w:color w:val="auto"/>
              </w:rPr>
            </w:pPr>
            <w:bookmarkStart w:id="105" w:name="_Ref136294376"/>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bookmarkEnd w:id="105"/>
          </w:p>
        </w:tc>
      </w:tr>
      <w:tr w:rsidR="00FC71BE" w:rsidRPr="00FC71BE" w14:paraId="6719F79C" w14:textId="77777777">
        <w:tc>
          <w:tcPr>
            <w:tcW w:w="4493" w:type="pct"/>
          </w:tcPr>
          <w:p w14:paraId="6BBF058E" w14:textId="77777777" w:rsidR="00C56E32"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P</m:t>
                    </m:r>
                  </m:e>
                  <m:sub>
                    <m:r>
                      <w:rPr>
                        <w:rFonts w:ascii="Cambria Math" w:hAnsi="Cambria Math"/>
                        <w:color w:val="auto"/>
                      </w:rPr>
                      <m:t>out</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em</m:t>
                    </m:r>
                  </m:sub>
                </m:sSub>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m</m:t>
                    </m:r>
                  </m:sub>
                </m:sSub>
              </m:oMath>
            </m:oMathPara>
          </w:p>
        </w:tc>
        <w:tc>
          <w:tcPr>
            <w:tcW w:w="507" w:type="pct"/>
          </w:tcPr>
          <w:p w14:paraId="1A4513EC" w14:textId="0E97D44D" w:rsidR="00C56E32" w:rsidRPr="00FC71BE" w:rsidRDefault="00C56E32">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6</w:t>
            </w:r>
            <w:r w:rsidR="002839C4" w:rsidRPr="00FC71BE">
              <w:rPr>
                <w:color w:val="auto"/>
              </w:rPr>
              <w:fldChar w:fldCharType="end"/>
            </w:r>
            <w:r w:rsidRPr="00FC71BE">
              <w:rPr>
                <w:color w:val="auto"/>
              </w:rPr>
              <w:t>)</w:t>
            </w:r>
          </w:p>
        </w:tc>
      </w:tr>
    </w:tbl>
    <w:p w14:paraId="6A3D0252" w14:textId="77777777" w:rsidR="00C56E32" w:rsidRPr="00FC71BE" w:rsidRDefault="00C56E32" w:rsidP="00C56E32">
      <w:pPr>
        <w:ind w:firstLine="0"/>
      </w:pPr>
      <w:r w:rsidRPr="00FC71BE">
        <w:t xml:space="preserve">where </w:t>
      </w:r>
      <m:oMath>
        <m:sSub>
          <m:sSubPr>
            <m:ctrlPr>
              <w:rPr>
                <w:rFonts w:ascii="Cambria Math" w:hAnsi="Cambria Math"/>
              </w:rPr>
            </m:ctrlPr>
          </m:sSubPr>
          <m:e>
            <m:r>
              <w:rPr>
                <w:rFonts w:ascii="Cambria Math" w:hAnsi="Cambria Math"/>
              </w:rPr>
              <m:t>ω</m:t>
            </m:r>
          </m:e>
          <m:sub>
            <m:r>
              <w:rPr>
                <w:rFonts w:ascii="Cambria Math" w:hAnsi="Cambria Math"/>
              </w:rPr>
              <m:t>m</m:t>
            </m:r>
          </m:sub>
        </m:sSub>
      </m:oMath>
      <w:r w:rsidRPr="00FC71BE">
        <w:t>=</w:t>
      </w:r>
      <m:oMath>
        <m:sSub>
          <m:sSubPr>
            <m:ctrlPr>
              <w:rPr>
                <w:rFonts w:ascii="Cambria Math" w:hAnsi="Cambria Math"/>
              </w:rPr>
            </m:ctrlPr>
          </m:sSubPr>
          <m:e>
            <m:r>
              <w:rPr>
                <w:rFonts w:ascii="Cambria Math" w:hAnsi="Cambria Math"/>
              </w:rPr>
              <m:t>ω</m:t>
            </m:r>
          </m:e>
          <m:sub>
            <m:r>
              <w:rPr>
                <w:rFonts w:ascii="Cambria Math" w:hAnsi="Cambria Math"/>
              </w:rPr>
              <m:t>e</m:t>
            </m:r>
          </m:sub>
        </m:sSub>
      </m:oMath>
      <w:r w:rsidRPr="00FC71BE">
        <w:t>⁄</w:t>
      </w:r>
      <w:r w:rsidRPr="00FC71BE">
        <w:rPr>
          <w:i/>
          <w:iCs/>
        </w:rPr>
        <w:t>p</w:t>
      </w:r>
      <w:r w:rsidRPr="00FC71BE">
        <w:t xml:space="preserve"> is the rotor mechanical speed.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25B8C309" w14:textId="77777777">
        <w:tc>
          <w:tcPr>
            <w:tcW w:w="9016" w:type="dxa"/>
          </w:tcPr>
          <w:p w14:paraId="418EFE26" w14:textId="77777777" w:rsidR="00C56E32" w:rsidRPr="00FC71BE" w:rsidRDefault="00C56E32">
            <w:pPr>
              <w:pStyle w:val="Figure"/>
              <w:rPr>
                <w:noProof w:val="0"/>
              </w:rPr>
            </w:pPr>
            <w:r w:rsidRPr="00FC71BE">
              <w:lastRenderedPageBreak/>
              <w:drawing>
                <wp:inline distT="0" distB="0" distL="0" distR="0" wp14:anchorId="2A3D0A82" wp14:editId="02C8DF51">
                  <wp:extent cx="3974547" cy="2952750"/>
                  <wp:effectExtent l="0" t="0" r="0" b="0"/>
                  <wp:docPr id="57178569" name="Picture 57178569" descr="A black and white logo&#10;&#10;Description automatically generated">
                    <a:extLst xmlns:a="http://schemas.openxmlformats.org/drawingml/2006/main">
                      <a:ext uri="{FF2B5EF4-FFF2-40B4-BE49-F238E27FC236}">
                        <a16:creationId xmlns:a16="http://schemas.microsoft.com/office/drawing/2014/main" id="{AEF31715-EE31-FE2E-CC08-CD608BE41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logo&#10;&#10;Description automatically generated">
                            <a:extLst>
                              <a:ext uri="{FF2B5EF4-FFF2-40B4-BE49-F238E27FC236}">
                                <a16:creationId xmlns:a16="http://schemas.microsoft.com/office/drawing/2014/main" id="{AEF31715-EE31-FE2E-CC08-CD608BE41B14}"/>
                              </a:ext>
                            </a:extLst>
                          </pic:cNvPr>
                          <pic:cNvPicPr>
                            <a:picLocks noChangeAspect="1"/>
                          </pic:cNvPicPr>
                        </pic:nvPicPr>
                        <pic:blipFill rotWithShape="1">
                          <a:blip r:embed="rId74"/>
                          <a:srcRect l="32660" b="44253"/>
                          <a:stretch/>
                        </pic:blipFill>
                        <pic:spPr>
                          <a:xfrm>
                            <a:off x="0" y="0"/>
                            <a:ext cx="3988375" cy="2963023"/>
                          </a:xfrm>
                          <a:prstGeom prst="rect">
                            <a:avLst/>
                          </a:prstGeom>
                        </pic:spPr>
                      </pic:pic>
                    </a:graphicData>
                  </a:graphic>
                </wp:inline>
              </w:drawing>
            </w:r>
          </w:p>
        </w:tc>
      </w:tr>
      <w:tr w:rsidR="00FC71BE" w:rsidRPr="00FC71BE" w14:paraId="0A304FC0" w14:textId="77777777">
        <w:tc>
          <w:tcPr>
            <w:tcW w:w="9016" w:type="dxa"/>
          </w:tcPr>
          <w:p w14:paraId="3C1EF1D5" w14:textId="77777777" w:rsidR="00C56E32" w:rsidRPr="00FC71BE" w:rsidRDefault="00C56E32">
            <w:pPr>
              <w:pStyle w:val="Figure"/>
              <w:rPr>
                <w:noProof w:val="0"/>
              </w:rPr>
            </w:pPr>
            <w:r w:rsidRPr="00FC71BE">
              <w:rPr>
                <w:noProof w:val="0"/>
              </w:rPr>
              <w:t>(a) finite maximum speed</w:t>
            </w:r>
          </w:p>
        </w:tc>
      </w:tr>
      <w:tr w:rsidR="00FC71BE" w:rsidRPr="00FC71BE" w14:paraId="3B2CCC74" w14:textId="77777777">
        <w:tc>
          <w:tcPr>
            <w:tcW w:w="9016" w:type="dxa"/>
          </w:tcPr>
          <w:p w14:paraId="7A702448" w14:textId="77777777" w:rsidR="00C56E32" w:rsidRPr="00FC71BE" w:rsidRDefault="00C56E32">
            <w:pPr>
              <w:pStyle w:val="Figure"/>
              <w:rPr>
                <w:noProof w:val="0"/>
              </w:rPr>
            </w:pPr>
            <w:r w:rsidRPr="00FC71BE">
              <w:drawing>
                <wp:inline distT="0" distB="0" distL="0" distR="0" wp14:anchorId="6F2BE1D7" wp14:editId="0183F6E3">
                  <wp:extent cx="4071515" cy="3505200"/>
                  <wp:effectExtent l="0" t="0" r="0" b="0"/>
                  <wp:docPr id="2003382748" name="Picture 2003382748" descr="A black background with a black square&#10;&#10;Description automatically generated">
                    <a:extLst xmlns:a="http://schemas.openxmlformats.org/drawingml/2006/main">
                      <a:ext uri="{FF2B5EF4-FFF2-40B4-BE49-F238E27FC236}">
                        <a16:creationId xmlns:a16="http://schemas.microsoft.com/office/drawing/2014/main" id="{ACF6E3BF-B404-8566-C7AD-60F350A38B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82748" name="Picture 2003382748" descr="A black background with a black square&#10;&#10;Description automatically generated">
                            <a:extLst>
                              <a:ext uri="{FF2B5EF4-FFF2-40B4-BE49-F238E27FC236}">
                                <a16:creationId xmlns:a16="http://schemas.microsoft.com/office/drawing/2014/main" id="{ACF6E3BF-B404-8566-C7AD-60F350A38BF6}"/>
                              </a:ext>
                            </a:extLst>
                          </pic:cNvPr>
                          <pic:cNvPicPr>
                            <a:picLocks noChangeAspect="1"/>
                          </pic:cNvPicPr>
                        </pic:nvPicPr>
                        <pic:blipFill>
                          <a:blip r:embed="rId75"/>
                          <a:stretch>
                            <a:fillRect/>
                          </a:stretch>
                        </pic:blipFill>
                        <pic:spPr>
                          <a:xfrm>
                            <a:off x="0" y="0"/>
                            <a:ext cx="4093699" cy="3524298"/>
                          </a:xfrm>
                          <a:prstGeom prst="rect">
                            <a:avLst/>
                          </a:prstGeom>
                        </pic:spPr>
                      </pic:pic>
                    </a:graphicData>
                  </a:graphic>
                </wp:inline>
              </w:drawing>
            </w:r>
          </w:p>
        </w:tc>
      </w:tr>
      <w:tr w:rsidR="00FC71BE" w:rsidRPr="00FC71BE" w14:paraId="2B20333E" w14:textId="77777777">
        <w:tc>
          <w:tcPr>
            <w:tcW w:w="9016" w:type="dxa"/>
          </w:tcPr>
          <w:p w14:paraId="40AC4001" w14:textId="77777777" w:rsidR="00C56E32" w:rsidRPr="00FC71BE" w:rsidRDefault="00C56E32">
            <w:pPr>
              <w:pStyle w:val="Figure"/>
              <w:rPr>
                <w:noProof w:val="0"/>
              </w:rPr>
            </w:pPr>
            <w:r w:rsidRPr="00FC71BE">
              <w:rPr>
                <w:noProof w:val="0"/>
              </w:rPr>
              <w:t>(b) infinite maximum speed.</w:t>
            </w:r>
          </w:p>
        </w:tc>
      </w:tr>
    </w:tbl>
    <w:p w14:paraId="0D5A92F0" w14:textId="2D675EEA" w:rsidR="00C56E32" w:rsidRPr="00FC71BE" w:rsidRDefault="00C56E32" w:rsidP="00C56E32">
      <w:pPr>
        <w:pStyle w:val="FigureTitle"/>
      </w:pPr>
      <w:bookmarkStart w:id="106" w:name="_Ref138769722"/>
      <w:r w:rsidRPr="00FC71BE">
        <w:t xml:space="preserve">Fig. </w:t>
      </w:r>
      <w:fldSimple w:instr=" STYLEREF 1 \s ">
        <w:r w:rsidR="007E62C1" w:rsidRPr="00FC71BE">
          <w:rPr>
            <w:noProof/>
          </w:rPr>
          <w:t>2</w:t>
        </w:r>
      </w:fldSimple>
      <w:r w:rsidRPr="00FC71BE">
        <w:t>.</w:t>
      </w:r>
      <w:fldSimple w:instr=" SEQ Fig. \* ARABIC \s 1 ">
        <w:r w:rsidR="007E62C1" w:rsidRPr="00FC71BE">
          <w:rPr>
            <w:noProof/>
          </w:rPr>
          <w:t>9</w:t>
        </w:r>
      </w:fldSimple>
      <w:bookmarkEnd w:id="106"/>
      <w:r w:rsidRPr="00FC71BE">
        <w:t xml:space="preserve">. Optimal current trajectory for SPM machines. </w:t>
      </w:r>
    </w:p>
    <w:p w14:paraId="66C3CA9D" w14:textId="62B72BD2" w:rsidR="00C56E32" w:rsidRPr="00FC71BE" w:rsidRDefault="00C56E32" w:rsidP="00C56E32">
      <w:r w:rsidRPr="00FC71BE">
        <w:t>If the rated phase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Pr="00FC71BE">
        <w:t>) and the DC-link voltage (</w:t>
      </w:r>
      <m:oMath>
        <m:sSub>
          <m:sSubPr>
            <m:ctrlPr>
              <w:rPr>
                <w:rFonts w:ascii="Cambria Math" w:hAnsi="Cambria Math"/>
                <w:i/>
              </w:rPr>
            </m:ctrlPr>
          </m:sSubPr>
          <m:e>
            <m:rad>
              <m:radPr>
                <m:degHide m:val="1"/>
                <m:ctrlPr>
                  <w:rPr>
                    <w:rFonts w:ascii="Cambria Math" w:hAnsi="Cambria Math"/>
                    <w:i/>
                  </w:rPr>
                </m:ctrlPr>
              </m:radPr>
              <m:deg/>
              <m:e>
                <m:r>
                  <w:rPr>
                    <w:rFonts w:ascii="Cambria Math" w:hAnsi="Cambria Math"/>
                  </w:rPr>
                  <m:t>3</m:t>
                </m:r>
              </m:e>
            </m:rad>
            <m:r>
              <w:rPr>
                <w:rFonts w:ascii="Cambria Math" w:hAnsi="Cambria Math"/>
              </w:rPr>
              <m:t>V</m:t>
            </m:r>
          </m:e>
          <m:sub>
            <m:r>
              <w:rPr>
                <w:rFonts w:ascii="Cambria Math" w:hAnsi="Cambria Math"/>
              </w:rPr>
              <m:t>s</m:t>
            </m:r>
          </m:sub>
        </m:sSub>
      </m:oMath>
      <w:r w:rsidRPr="00FC71BE">
        <w:t xml:space="preserve">) for standard space vector pulse width modulation (SVPWM) control (i.e., circular track modulation) are given, the torque speed curve of PM machines can be calculated using equations from </w:t>
      </w:r>
      <w:r w:rsidRPr="00FC71BE">
        <w:fldChar w:fldCharType="begin"/>
      </w:r>
      <w:r w:rsidRPr="00FC71BE">
        <w:instrText xml:space="preserve"> REF _Ref136294370 \h </w:instrText>
      </w:r>
      <w:r w:rsidRPr="00FC71BE">
        <w:fldChar w:fldCharType="separate"/>
      </w:r>
      <w:r w:rsidR="007E62C1" w:rsidRPr="00FC71BE">
        <w:t>(</w:t>
      </w:r>
      <w:r w:rsidR="007E62C1" w:rsidRPr="00FC71BE">
        <w:rPr>
          <w:noProof/>
        </w:rPr>
        <w:t>2</w:t>
      </w:r>
      <w:r w:rsidR="007E62C1" w:rsidRPr="00FC71BE">
        <w:t>.</w:t>
      </w:r>
      <w:r w:rsidR="007E62C1" w:rsidRPr="00FC71BE">
        <w:rPr>
          <w:noProof/>
        </w:rPr>
        <w:t>3</w:t>
      </w:r>
      <w:r w:rsidR="007E62C1" w:rsidRPr="00FC71BE">
        <w:t>)</w:t>
      </w:r>
      <w:r w:rsidRPr="00FC71BE">
        <w:fldChar w:fldCharType="end"/>
      </w:r>
      <w:r w:rsidRPr="00FC71BE">
        <w:t xml:space="preserve"> to </w:t>
      </w:r>
      <w:r w:rsidRPr="00FC71BE">
        <w:fldChar w:fldCharType="begin"/>
      </w:r>
      <w:r w:rsidRPr="00FC71BE">
        <w:instrText xml:space="preserve"> REF _Ref136294376 \h </w:instrText>
      </w:r>
      <w:r w:rsidRPr="00FC71BE">
        <w:fldChar w:fldCharType="separate"/>
      </w:r>
      <w:r w:rsidR="007E62C1" w:rsidRPr="00FC71BE">
        <w:t>(</w:t>
      </w:r>
      <w:r w:rsidR="007E62C1" w:rsidRPr="00FC71BE">
        <w:rPr>
          <w:noProof/>
        </w:rPr>
        <w:t>2</w:t>
      </w:r>
      <w:r w:rsidR="007E62C1" w:rsidRPr="00FC71BE">
        <w:t>.</w:t>
      </w:r>
      <w:r w:rsidR="007E62C1" w:rsidRPr="00FC71BE">
        <w:rPr>
          <w:noProof/>
        </w:rPr>
        <w:t>5</w:t>
      </w:r>
      <w:r w:rsidR="007E62C1" w:rsidRPr="00FC71BE">
        <w:t>)</w:t>
      </w:r>
      <w:r w:rsidRPr="00FC71BE">
        <w:fldChar w:fldCharType="end"/>
      </w:r>
      <w:r w:rsidRPr="00FC71BE">
        <w:t>. It is worth noting that, valid operating points of SPM machines should meet the constraints of current and voltage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639A5E55" w14:textId="77777777">
        <w:tc>
          <w:tcPr>
            <w:tcW w:w="4493" w:type="pct"/>
            <w:vAlign w:val="center"/>
          </w:tcPr>
          <w:p w14:paraId="0040E98B" w14:textId="77777777" w:rsidR="00C56E32" w:rsidRPr="00FC71BE" w:rsidRDefault="002143AD">
            <w:pPr>
              <w:pStyle w:val="equation"/>
              <w:rPr>
                <w:color w:val="auto"/>
              </w:rPr>
            </w:pPr>
            <m:oMathPara>
              <m:oMath>
                <m:sSubSup>
                  <m:sSubSupPr>
                    <m:ctrlPr>
                      <w:rPr>
                        <w:rFonts w:ascii="Cambria Math" w:hAnsi="Cambria Math"/>
                        <w:color w:val="auto"/>
                      </w:rPr>
                    </m:ctrlPr>
                  </m:sSubSupPr>
                  <m:e>
                    <m:r>
                      <w:rPr>
                        <w:rFonts w:ascii="Cambria Math" w:hAnsi="Cambria Math"/>
                        <w:color w:val="auto"/>
                      </w:rPr>
                      <m:t>V</m:t>
                    </m:r>
                  </m:e>
                  <m:sub>
                    <m:r>
                      <w:rPr>
                        <w:rFonts w:ascii="Cambria Math" w:hAnsi="Cambria Math"/>
                        <w:color w:val="auto"/>
                      </w:rPr>
                      <m:t>d</m:t>
                    </m:r>
                  </m:sub>
                  <m:sup>
                    <m:r>
                      <m:rPr>
                        <m:sty m:val="p"/>
                      </m:rPr>
                      <w:rPr>
                        <w:rFonts w:ascii="Cambria Math" w:hAnsi="Cambria Math"/>
                        <w:color w:val="auto"/>
                      </w:rPr>
                      <m:t>2</m:t>
                    </m:r>
                  </m:sup>
                </m:sSubSup>
                <m:r>
                  <m:rPr>
                    <m:sty m:val="p"/>
                  </m:rP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V</m:t>
                    </m:r>
                  </m:e>
                  <m:sub>
                    <m:r>
                      <w:rPr>
                        <w:rFonts w:ascii="Cambria Math" w:hAnsi="Cambria Math"/>
                        <w:color w:val="auto"/>
                      </w:rPr>
                      <m:t>q</m:t>
                    </m:r>
                  </m:sub>
                  <m:sup>
                    <m:r>
                      <m:rPr>
                        <m:sty m:val="p"/>
                      </m:rPr>
                      <w:rPr>
                        <w:rFonts w:ascii="Cambria Math" w:hAnsi="Cambria Math"/>
                        <w:color w:val="auto"/>
                      </w:rPr>
                      <m:t>2</m:t>
                    </m:r>
                  </m:sup>
                </m:sSubSup>
                <m:r>
                  <m:rPr>
                    <m:sty m:val="p"/>
                  </m:rP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V</m:t>
                    </m:r>
                  </m:e>
                  <m:sub>
                    <m:r>
                      <w:rPr>
                        <w:rFonts w:ascii="Cambria Math" w:hAnsi="Cambria Math"/>
                        <w:color w:val="auto"/>
                      </w:rPr>
                      <m:t>s</m:t>
                    </m:r>
                  </m:sub>
                  <m:sup>
                    <m:r>
                      <m:rPr>
                        <m:sty m:val="p"/>
                      </m:rPr>
                      <w:rPr>
                        <w:rFonts w:ascii="Cambria Math" w:hAnsi="Cambria Math"/>
                        <w:color w:val="auto"/>
                      </w:rPr>
                      <m:t>2</m:t>
                    </m:r>
                  </m:sup>
                </m:sSubSup>
              </m:oMath>
            </m:oMathPara>
          </w:p>
        </w:tc>
        <w:tc>
          <w:tcPr>
            <w:tcW w:w="507" w:type="pct"/>
            <w:vAlign w:val="center"/>
          </w:tcPr>
          <w:p w14:paraId="554C1A50" w14:textId="1A601FD7" w:rsidR="00C56E32" w:rsidRPr="00FC71BE" w:rsidRDefault="00C56E32">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7</w:t>
            </w:r>
            <w:r w:rsidR="002839C4" w:rsidRPr="00FC71BE">
              <w:rPr>
                <w:color w:val="auto"/>
              </w:rPr>
              <w:fldChar w:fldCharType="end"/>
            </w:r>
            <w:r w:rsidRPr="00FC71BE">
              <w:rPr>
                <w:color w:val="auto"/>
              </w:rPr>
              <w:t>)</w:t>
            </w:r>
          </w:p>
        </w:tc>
      </w:tr>
      <w:tr w:rsidR="00FC71BE" w:rsidRPr="00FC71BE" w14:paraId="1F9B251D" w14:textId="77777777">
        <w:tc>
          <w:tcPr>
            <w:tcW w:w="4493" w:type="pct"/>
          </w:tcPr>
          <w:p w14:paraId="3421C0FD" w14:textId="77777777" w:rsidR="00C56E32" w:rsidRPr="00FC71BE" w:rsidRDefault="002143AD">
            <w:pPr>
              <w:pStyle w:val="equation"/>
              <w:rPr>
                <w:color w:val="auto"/>
              </w:rPr>
            </w:pPr>
            <m:oMathPara>
              <m:oMath>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d</m:t>
                    </m:r>
                  </m:sub>
                  <m:sup>
                    <m:r>
                      <m:rPr>
                        <m:sty m:val="p"/>
                      </m:rPr>
                      <w:rPr>
                        <w:rFonts w:ascii="Cambria Math" w:hAnsi="Cambria Math"/>
                        <w:color w:val="auto"/>
                      </w:rPr>
                      <m:t>2</m:t>
                    </m:r>
                  </m:sup>
                </m:sSubSup>
                <m:r>
                  <m:rPr>
                    <m:sty m:val="p"/>
                  </m:rP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q</m:t>
                    </m:r>
                  </m:sub>
                  <m:sup>
                    <m:r>
                      <m:rPr>
                        <m:sty m:val="p"/>
                      </m:rPr>
                      <w:rPr>
                        <w:rFonts w:ascii="Cambria Math" w:hAnsi="Cambria Math"/>
                        <w:color w:val="auto"/>
                      </w:rPr>
                      <m:t>2</m:t>
                    </m:r>
                  </m:sup>
                </m:sSubSup>
                <m:r>
                  <m:rPr>
                    <m:sty m:val="p"/>
                  </m:rP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s</m:t>
                    </m:r>
                  </m:sub>
                  <m:sup>
                    <m:r>
                      <m:rPr>
                        <m:sty m:val="p"/>
                      </m:rPr>
                      <w:rPr>
                        <w:rFonts w:ascii="Cambria Math" w:hAnsi="Cambria Math"/>
                        <w:color w:val="auto"/>
                      </w:rPr>
                      <m:t>2</m:t>
                    </m:r>
                  </m:sup>
                </m:sSubSup>
              </m:oMath>
            </m:oMathPara>
          </w:p>
        </w:tc>
        <w:tc>
          <w:tcPr>
            <w:tcW w:w="507" w:type="pct"/>
          </w:tcPr>
          <w:p w14:paraId="0DF58926" w14:textId="704D160D" w:rsidR="00C56E32" w:rsidRPr="00FC71BE" w:rsidRDefault="00C56E32">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8</w:t>
            </w:r>
            <w:r w:rsidR="002839C4" w:rsidRPr="00FC71BE">
              <w:rPr>
                <w:color w:val="auto"/>
              </w:rPr>
              <w:fldChar w:fldCharType="end"/>
            </w:r>
            <w:r w:rsidRPr="00FC71BE">
              <w:rPr>
                <w:color w:val="auto"/>
              </w:rPr>
              <w:t>)</w:t>
            </w:r>
          </w:p>
        </w:tc>
      </w:tr>
    </w:tbl>
    <w:p w14:paraId="1DEB86C1" w14:textId="77777777" w:rsidR="00C56E32" w:rsidRPr="00FC71BE" w:rsidRDefault="00C56E32" w:rsidP="00C56E32">
      <w:pPr>
        <w:ind w:firstLine="0"/>
      </w:pPr>
      <w:r w:rsidRPr="00FC71BE">
        <w:t>Furthermore, if the phase resistance is neglected,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3FAABF18" w14:textId="77777777">
        <w:tc>
          <w:tcPr>
            <w:tcW w:w="4493" w:type="pct"/>
            <w:vAlign w:val="center"/>
          </w:tcPr>
          <w:p w14:paraId="6F9D5CF2" w14:textId="77777777" w:rsidR="00C56E32" w:rsidRPr="00FC71BE" w:rsidRDefault="002143AD">
            <w:pPr>
              <w:pStyle w:val="equation"/>
              <w:rPr>
                <w:color w:val="auto"/>
              </w:rPr>
            </w:pPr>
            <m:oMathPara>
              <m:oMath>
                <m:sSup>
                  <m:sSupPr>
                    <m:ctrlPr>
                      <w:rPr>
                        <w:rFonts w:ascii="Cambria Math" w:hAnsi="Cambria Math"/>
                        <w:color w:val="auto"/>
                      </w:rPr>
                    </m:ctrlPr>
                  </m:sSupPr>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num>
                          <m:den>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den>
                        </m:f>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d</m:t>
                            </m:r>
                          </m:sub>
                        </m:sSub>
                      </m:e>
                    </m:d>
                  </m:e>
                  <m:sup>
                    <m:r>
                      <m:rPr>
                        <m:sty m:val="p"/>
                      </m:rPr>
                      <w:rPr>
                        <w:rFonts w:ascii="Cambria Math" w:hAnsi="Cambria Math"/>
                        <w:color w:val="auto"/>
                      </w:rPr>
                      <m:t>2</m:t>
                    </m:r>
                  </m:sup>
                </m:sSup>
                <m:r>
                  <m:rPr>
                    <m:sty m:val="p"/>
                  </m:rP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q</m:t>
                    </m:r>
                  </m:sub>
                  <m:sup>
                    <m:r>
                      <m:rPr>
                        <m:sty m:val="p"/>
                      </m:rPr>
                      <w:rPr>
                        <w:rFonts w:ascii="Cambria Math" w:hAnsi="Cambria Math"/>
                        <w:color w:val="auto"/>
                      </w:rPr>
                      <m:t>2</m:t>
                    </m:r>
                  </m:sup>
                </m:sSubSup>
                <m:r>
                  <m:rPr>
                    <m:sty m:val="p"/>
                  </m:rPr>
                  <w:rPr>
                    <w:rFonts w:ascii="Cambria Math" w:hAnsi="Cambria Math"/>
                    <w:color w:val="auto"/>
                  </w:rPr>
                  <m:t>≤</m:t>
                </m:r>
                <m:sSup>
                  <m:sSupPr>
                    <m:ctrlPr>
                      <w:rPr>
                        <w:rFonts w:ascii="Cambria Math" w:hAnsi="Cambria Math"/>
                        <w:color w:val="auto"/>
                      </w:rPr>
                    </m:ctrlPr>
                  </m:sSupPr>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V</m:t>
                                </m:r>
                              </m:e>
                              <m:sub>
                                <m:r>
                                  <w:rPr>
                                    <w:rFonts w:ascii="Cambria Math" w:hAnsi="Cambria Math"/>
                                    <w:color w:val="auto"/>
                                  </w:rPr>
                                  <m:t>s</m:t>
                                </m:r>
                              </m:sub>
                            </m:sSub>
                          </m:num>
                          <m:den>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e</m:t>
                                </m:r>
                              </m:sub>
                            </m:sSub>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den>
                        </m:f>
                      </m:e>
                    </m:d>
                  </m:e>
                  <m:sup>
                    <m:r>
                      <m:rPr>
                        <m:sty m:val="p"/>
                      </m:rPr>
                      <w:rPr>
                        <w:rFonts w:ascii="Cambria Math" w:hAnsi="Cambria Math"/>
                        <w:color w:val="auto"/>
                      </w:rPr>
                      <m:t>2</m:t>
                    </m:r>
                  </m:sup>
                </m:sSup>
              </m:oMath>
            </m:oMathPara>
          </w:p>
        </w:tc>
        <w:tc>
          <w:tcPr>
            <w:tcW w:w="507" w:type="pct"/>
            <w:vAlign w:val="center"/>
          </w:tcPr>
          <w:p w14:paraId="0303B105" w14:textId="437EE79F" w:rsidR="00C56E32" w:rsidRPr="00FC71BE" w:rsidRDefault="00C56E32">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9</w:t>
            </w:r>
            <w:r w:rsidR="002839C4" w:rsidRPr="00FC71BE">
              <w:rPr>
                <w:color w:val="auto"/>
              </w:rPr>
              <w:fldChar w:fldCharType="end"/>
            </w:r>
            <w:r w:rsidRPr="00FC71BE">
              <w:rPr>
                <w:color w:val="auto"/>
              </w:rPr>
              <w:t>)</w:t>
            </w:r>
          </w:p>
        </w:tc>
      </w:tr>
    </w:tbl>
    <w:p w14:paraId="1471D0FE" w14:textId="1D8FEE37" w:rsidR="00C56E32" w:rsidRPr="00FC71BE" w:rsidRDefault="00C56E32" w:rsidP="00C56E32">
      <w:pPr>
        <w:ind w:firstLine="0"/>
      </w:pPr>
      <w:r w:rsidRPr="00FC71BE">
        <w:t xml:space="preserve">If </w:t>
      </w:r>
      <m:oMath>
        <m:f>
          <m:fPr>
            <m:ctrlPr>
              <w:rPr>
                <w:rFonts w:ascii="Cambria Math" w:hAnsi="Cambria Math"/>
                <w:i/>
              </w:rPr>
            </m:ctrlPr>
          </m:fPr>
          <m:num>
            <m:sSub>
              <m:sSubPr>
                <m:ctrlPr>
                  <w:rPr>
                    <w:rFonts w:ascii="Cambria Math" w:hAnsi="Cambria Math"/>
                    <w:i/>
                  </w:rPr>
                </m:ctrlPr>
              </m:sSubPr>
              <m:e>
                <m:r>
                  <w:rPr>
                    <w:rFonts w:ascii="Cambria Math" w:hAnsi="Cambria Math"/>
                  </w:rPr>
                  <m:t>ψ</m:t>
                </m:r>
              </m:e>
              <m:sub>
                <m:r>
                  <w:rPr>
                    <w:rFonts w:ascii="Cambria Math" w:hAnsi="Cambria Math"/>
                  </w:rPr>
                  <m:t>m</m:t>
                </m:r>
              </m:sub>
            </m:sSub>
          </m:num>
          <m:den>
            <m:sSub>
              <m:sSubPr>
                <m:ctrlPr>
                  <w:rPr>
                    <w:rFonts w:ascii="Cambria Math" w:hAnsi="Cambria Math"/>
                    <w:i/>
                  </w:rPr>
                </m:ctrlPr>
              </m:sSubPr>
              <m:e>
                <m:r>
                  <w:rPr>
                    <w:rFonts w:ascii="Cambria Math" w:hAnsi="Cambria Math"/>
                  </w:rPr>
                  <m:t>L</m:t>
                </m:r>
              </m:e>
              <m:sub>
                <m:r>
                  <w:rPr>
                    <w:rFonts w:ascii="Cambria Math" w:hAnsi="Cambria Math"/>
                  </w:rPr>
                  <m:t>s</m:t>
                </m:r>
              </m:sub>
            </m:sSub>
          </m:den>
        </m:f>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oMath>
      <w:r w:rsidRPr="00FC71BE">
        <w:t xml:space="preserve">, the optimal current trajectory is shown in </w:t>
      </w:r>
      <w:r w:rsidRPr="00FC71BE">
        <w:fldChar w:fldCharType="begin"/>
      </w:r>
      <w:r w:rsidRPr="00FC71BE">
        <w:instrText xml:space="preserve"> REF _Ref138769722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9</w:t>
      </w:r>
      <w:r w:rsidRPr="00FC71BE">
        <w:fldChar w:fldCharType="end"/>
      </w:r>
      <w:r w:rsidRPr="00FC71BE">
        <w:t xml:space="preserve"> (a). The machines can reach a finite maximum speed.</w:t>
      </w:r>
    </w:p>
    <w:p w14:paraId="6D6B5F83" w14:textId="77777777" w:rsidR="00C56E32" w:rsidRPr="00FC71BE" w:rsidRDefault="00C56E32" w:rsidP="00C56E32">
      <w:r w:rsidRPr="00FC71BE">
        <w:t>At the first stage (from point O to point A), the machine operates under maximum torque per ampere (MTPA) control. Before the machine speed reaches the base speed (</w:t>
      </w:r>
      <m:oMath>
        <m:sSub>
          <m:sSubPr>
            <m:ctrlPr>
              <w:rPr>
                <w:rFonts w:ascii="Cambria Math" w:hAnsi="Cambria Math"/>
                <w:i/>
              </w:rPr>
            </m:ctrlPr>
          </m:sSubPr>
          <m:e>
            <m:r>
              <w:rPr>
                <w:rFonts w:ascii="Cambria Math" w:hAnsi="Cambria Math"/>
              </w:rPr>
              <m:t>ω</m:t>
            </m:r>
          </m:e>
          <m:sub>
            <m:r>
              <w:rPr>
                <w:rFonts w:ascii="Cambria Math" w:hAnsi="Cambria Math"/>
              </w:rPr>
              <m:t>b</m:t>
            </m:r>
          </m:sub>
        </m:sSub>
      </m:oMath>
      <w:r w:rsidRPr="00FC71BE">
        <w:t>), the load condition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FC3EE0E" w14:textId="77777777">
        <w:tc>
          <w:tcPr>
            <w:tcW w:w="4493" w:type="pct"/>
            <w:vAlign w:val="center"/>
          </w:tcPr>
          <w:p w14:paraId="4B3C0A1E" w14:textId="77777777" w:rsidR="00C56E32" w:rsidRPr="00FC71BE" w:rsidRDefault="002143AD">
            <w:pPr>
              <w:pStyle w:val="equation"/>
              <w:rPr>
                <w:color w:val="auto"/>
              </w:rPr>
            </w:pPr>
            <m:oMathPara>
              <m:oMathParaPr>
                <m:jc m:val="center"/>
              </m:oMathParaPr>
              <m:oMath>
                <m:d>
                  <m:dPr>
                    <m:begChr m:val="{"/>
                    <m:endChr m:val=""/>
                    <m:ctrlPr>
                      <w:rPr>
                        <w:rFonts w:ascii="Cambria Math" w:hAnsi="Cambria Math"/>
                        <w:color w:val="auto"/>
                      </w:rPr>
                    </m:ctrlPr>
                  </m:dPr>
                  <m:e>
                    <m:eqArr>
                      <m:eqArrPr>
                        <m:ctrlPr>
                          <w:rPr>
                            <w:rFonts w:ascii="Cambria Math" w:hAnsi="Cambria Math"/>
                            <w:color w:val="auto"/>
                          </w:rPr>
                        </m:ctrlPr>
                      </m:eqArrPr>
                      <m:e>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b</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V</m:t>
                            </m:r>
                          </m:e>
                          <m:sub>
                            <m:r>
                              <w:rPr>
                                <w:rFonts w:ascii="Cambria Math" w:hAnsi="Cambria Math"/>
                                <w:color w:val="auto"/>
                              </w:rPr>
                              <m:t>s</m:t>
                            </m:r>
                          </m:sub>
                        </m:sSub>
                        <m:r>
                          <m:rPr>
                            <m:sty m:val="p"/>
                          </m:rPr>
                          <w:rPr>
                            <w:rFonts w:ascii="Cambria Math" w:hAnsi="Cambria Math"/>
                            <w:color w:val="auto"/>
                          </w:rPr>
                          <m:t>/</m:t>
                        </m:r>
                        <m:d>
                          <m:dPr>
                            <m:ctrlPr>
                              <w:rPr>
                                <w:rFonts w:ascii="Cambria Math" w:hAnsi="Cambria Math"/>
                                <w:color w:val="auto"/>
                              </w:rPr>
                            </m:ctrlPr>
                          </m:dPr>
                          <m:e>
                            <m:r>
                              <w:rPr>
                                <w:rFonts w:ascii="Cambria Math" w:hAnsi="Cambria Math"/>
                                <w:color w:val="auto"/>
                              </w:rPr>
                              <m:t>p</m:t>
                            </m:r>
                            <m:rad>
                              <m:radPr>
                                <m:degHide m:val="1"/>
                                <m:ctrlPr>
                                  <w:rPr>
                                    <w:rFonts w:ascii="Cambria Math" w:hAnsi="Cambria Math"/>
                                    <w:color w:val="auto"/>
                                  </w:rPr>
                                </m:ctrlPr>
                              </m:radPr>
                              <m:deg/>
                              <m:e>
                                <m:sSubSup>
                                  <m:sSubSupPr>
                                    <m:ctrlPr>
                                      <w:rPr>
                                        <w:rFonts w:ascii="Cambria Math" w:hAnsi="Cambria Math"/>
                                        <w:color w:val="auto"/>
                                      </w:rPr>
                                    </m:ctrlPr>
                                  </m:sSubSupPr>
                                  <m:e>
                                    <m:r>
                                      <w:rPr>
                                        <w:rFonts w:ascii="Cambria Math" w:hAnsi="Cambria Math"/>
                                        <w:color w:val="auto"/>
                                      </w:rPr>
                                      <m:t>ψ</m:t>
                                    </m:r>
                                  </m:e>
                                  <m:sub>
                                    <m:r>
                                      <w:rPr>
                                        <w:rFonts w:ascii="Cambria Math" w:hAnsi="Cambria Math"/>
                                        <w:color w:val="auto"/>
                                      </w:rPr>
                                      <m:t>m</m:t>
                                    </m:r>
                                  </m:sub>
                                  <m:sup>
                                    <m:r>
                                      <m:rPr>
                                        <m:sty m:val="p"/>
                                      </m:rPr>
                                      <w:rPr>
                                        <w:rFonts w:ascii="Cambria Math" w:hAnsi="Cambria Math"/>
                                        <w:color w:val="auto"/>
                                      </w:rPr>
                                      <m:t>2</m:t>
                                    </m:r>
                                  </m:sup>
                                </m:sSubSup>
                                <m:r>
                                  <m:rPr>
                                    <m:sty m:val="p"/>
                                  </m:rPr>
                                  <w:rPr>
                                    <w:rFonts w:ascii="Cambria Math" w:hAnsi="Cambria Math"/>
                                    <w:color w:val="auto"/>
                                  </w:rPr>
                                  <m:t>+</m:t>
                                </m:r>
                                <m:sSup>
                                  <m:sSupPr>
                                    <m:ctrlPr>
                                      <w:rPr>
                                        <w:rFonts w:ascii="Cambria Math" w:hAnsi="Cambria Math"/>
                                        <w:color w:val="auto"/>
                                      </w:rPr>
                                    </m:ctrlPr>
                                  </m:sSupPr>
                                  <m:e>
                                    <m:d>
                                      <m:dPr>
                                        <m:ctrlPr>
                                          <w:rPr>
                                            <w:rFonts w:ascii="Cambria Math" w:hAnsi="Cambria Math"/>
                                            <w:color w:val="auto"/>
                                          </w:rPr>
                                        </m:ctrlPr>
                                      </m:dPr>
                                      <m:e>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s</m:t>
                                            </m:r>
                                          </m:sub>
                                        </m:sSub>
                                      </m:e>
                                    </m:d>
                                  </m:e>
                                  <m:sup>
                                    <m:r>
                                      <m:rPr>
                                        <m:sty m:val="p"/>
                                      </m:rPr>
                                      <w:rPr>
                                        <w:rFonts w:ascii="Cambria Math" w:hAnsi="Cambria Math"/>
                                        <w:color w:val="auto"/>
                                      </w:rPr>
                                      <m:t>2</m:t>
                                    </m:r>
                                  </m:sup>
                                </m:sSup>
                              </m:e>
                            </m:rad>
                          </m:e>
                        </m:d>
                      </m:e>
                      <m:e>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d</m:t>
                            </m:r>
                          </m:sub>
                        </m:sSub>
                        <m:r>
                          <m:rPr>
                            <m:sty m:val="p"/>
                          </m:rPr>
                          <w:rPr>
                            <w:rFonts w:ascii="Cambria Math" w:hAnsi="Cambria Math"/>
                            <w:color w:val="auto"/>
                          </w:rPr>
                          <m:t xml:space="preserve">=0                                      </m:t>
                        </m:r>
                      </m:e>
                      <m:e>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q</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s</m:t>
                            </m:r>
                          </m:sub>
                        </m:sSub>
                        <m:r>
                          <w:rPr>
                            <w:rFonts w:ascii="Cambria Math" w:hAnsi="Cambria Math"/>
                            <w:color w:val="auto"/>
                          </w:rPr>
                          <m:t xml:space="preserve">                                     </m:t>
                        </m:r>
                      </m:e>
                    </m:eqArr>
                  </m:e>
                </m:d>
              </m:oMath>
            </m:oMathPara>
          </w:p>
        </w:tc>
        <w:tc>
          <w:tcPr>
            <w:tcW w:w="507" w:type="pct"/>
            <w:vAlign w:val="center"/>
          </w:tcPr>
          <w:p w14:paraId="595CFF88" w14:textId="1B7944B0" w:rsidR="00C56E32" w:rsidRPr="00FC71BE" w:rsidRDefault="00C56E32">
            <w:pPr>
              <w:pStyle w:val="equation"/>
              <w:rPr>
                <w:color w:val="auto"/>
              </w:rPr>
            </w:pPr>
            <w:bookmarkStart w:id="107" w:name="_Ref138851927"/>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10</w:t>
            </w:r>
            <w:r w:rsidR="002839C4" w:rsidRPr="00FC71BE">
              <w:rPr>
                <w:color w:val="auto"/>
              </w:rPr>
              <w:fldChar w:fldCharType="end"/>
            </w:r>
            <w:r w:rsidRPr="00FC71BE">
              <w:rPr>
                <w:color w:val="auto"/>
              </w:rPr>
              <w:t>)</w:t>
            </w:r>
            <w:bookmarkEnd w:id="107"/>
          </w:p>
        </w:tc>
      </w:tr>
    </w:tbl>
    <w:p w14:paraId="7A906D44" w14:textId="77777777" w:rsidR="00C56E32" w:rsidRPr="00FC71BE" w:rsidRDefault="00C56E32" w:rsidP="00C56E32">
      <w:r w:rsidRPr="00FC71BE">
        <w:t>At the second stage (from point A to point B), the machine operates under flux-weakening control, the load condition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63999BFD" w14:textId="77777777">
        <w:tc>
          <w:tcPr>
            <w:tcW w:w="4493" w:type="pct"/>
            <w:vAlign w:val="center"/>
          </w:tcPr>
          <w:p w14:paraId="11BCD646" w14:textId="77777777" w:rsidR="00C56E32" w:rsidRPr="00FC71BE" w:rsidRDefault="002143AD">
            <w:pPr>
              <w:pStyle w:val="equation"/>
              <w:rPr>
                <w:color w:val="auto"/>
              </w:rPr>
            </w:pPr>
            <m:oMathPara>
              <m:oMath>
                <m:d>
                  <m:dPr>
                    <m:begChr m:val="{"/>
                    <m:endChr m:val=""/>
                    <m:ctrlPr>
                      <w:rPr>
                        <w:rFonts w:ascii="Cambria Math" w:hAnsi="Cambria Math"/>
                        <w:color w:val="auto"/>
                      </w:rPr>
                    </m:ctrlPr>
                  </m:dPr>
                  <m:e>
                    <m:eqArr>
                      <m:eqArrPr>
                        <m:ctrlPr>
                          <w:rPr>
                            <w:rFonts w:ascii="Cambria Math" w:hAnsi="Cambria Math"/>
                            <w:color w:val="auto"/>
                          </w:rPr>
                        </m:ctrlPr>
                      </m:eqArrPr>
                      <m:e>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b</m:t>
                            </m:r>
                          </m:sub>
                        </m:sSub>
                        <m:r>
                          <m:rPr>
                            <m:sty m:val="p"/>
                          </m:rPr>
                          <w:rPr>
                            <w:rFonts w:ascii="Cambria Math" w:hAnsi="Cambria Math"/>
                            <w:color w:val="auto"/>
                          </w:rPr>
                          <m:t>&lt;</m:t>
                        </m:r>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m</m:t>
                            </m:r>
                          </m:sub>
                        </m:sSub>
                        <m:r>
                          <m:rPr>
                            <m:sty m:val="p"/>
                          </m:rPr>
                          <w:rPr>
                            <w:rFonts w:ascii="Cambria Math" w:hAnsi="Cambria Math"/>
                            <w:color w:val="auto"/>
                          </w:rPr>
                          <m:t>&lt;</m:t>
                        </m:r>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max</m:t>
                            </m:r>
                          </m:sub>
                        </m:sSub>
                        <m:r>
                          <m:rPr>
                            <m:sty m:val="p"/>
                          </m:rPr>
                          <w:rPr>
                            <w:rFonts w:ascii="Cambria Math" w:hAnsi="Cambria Math"/>
                            <w:color w:val="auto"/>
                          </w:rPr>
                          <m:t xml:space="preserve">                                                 </m:t>
                        </m:r>
                      </m:e>
                      <m:e>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d</m:t>
                            </m:r>
                          </m:sub>
                        </m:sSub>
                        <m:r>
                          <m:rPr>
                            <m:sty m:val="p"/>
                          </m:rPr>
                          <w:rPr>
                            <w:rFonts w:ascii="Cambria Math" w:hAnsi="Cambria Math"/>
                            <w:color w:val="auto"/>
                          </w:rPr>
                          <m:t>=</m:t>
                        </m:r>
                        <m:f>
                          <m:fPr>
                            <m:ctrlPr>
                              <w:rPr>
                                <w:rFonts w:ascii="Cambria Math" w:hAnsi="Cambria Math"/>
                                <w:color w:val="auto"/>
                              </w:rPr>
                            </m:ctrlPr>
                          </m:fPr>
                          <m:num>
                            <m:r>
                              <m:rPr>
                                <m:sty m:val="p"/>
                              </m:rPr>
                              <w:rPr>
                                <w:rFonts w:ascii="Cambria Math" w:hAnsi="Cambria Math"/>
                                <w:color w:val="auto"/>
                              </w:rPr>
                              <m:t>1</m:t>
                            </m:r>
                          </m:num>
                          <m:den>
                            <m:r>
                              <m:rPr>
                                <m:sty m:val="p"/>
                              </m:rPr>
                              <w:rPr>
                                <w:rFonts w:ascii="Cambria Math" w:hAnsi="Cambria Math"/>
                                <w:color w:val="auto"/>
                              </w:rPr>
                              <m:t>2</m:t>
                            </m:r>
                          </m:den>
                        </m:f>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num>
                          <m:den>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den>
                        </m:f>
                        <m:d>
                          <m:dPr>
                            <m:ctrlPr>
                              <w:rPr>
                                <w:rFonts w:ascii="Cambria Math" w:hAnsi="Cambria Math"/>
                                <w:color w:val="auto"/>
                              </w:rPr>
                            </m:ctrlPr>
                          </m:dPr>
                          <m:e>
                            <m:sSup>
                              <m:sSupPr>
                                <m:ctrlPr>
                                  <w:rPr>
                                    <w:rFonts w:ascii="Cambria Math" w:hAnsi="Cambria Math"/>
                                    <w:color w:val="auto"/>
                                  </w:rPr>
                                </m:ctrlPr>
                              </m:sSupPr>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V</m:t>
                                            </m:r>
                                          </m:e>
                                          <m:sub>
                                            <m:r>
                                              <w:rPr>
                                                <w:rFonts w:ascii="Cambria Math" w:hAnsi="Cambria Math"/>
                                                <w:color w:val="auto"/>
                                              </w:rPr>
                                              <m:t>s</m:t>
                                            </m:r>
                                          </m:sub>
                                        </m:sSub>
                                      </m:num>
                                      <m:den>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e</m:t>
                                            </m:r>
                                          </m:sub>
                                        </m:sSub>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den>
                                    </m:f>
                                  </m:e>
                                </m:d>
                              </m:e>
                              <m:sup>
                                <m:r>
                                  <m:rPr>
                                    <m:sty m:val="p"/>
                                  </m:rPr>
                                  <w:rPr>
                                    <w:rFonts w:ascii="Cambria Math" w:hAnsi="Cambria Math"/>
                                    <w:color w:val="auto"/>
                                  </w:rPr>
                                  <m:t>2</m:t>
                                </m:r>
                              </m:sup>
                            </m:sSup>
                            <m:r>
                              <m:rPr>
                                <m:sty m:val="p"/>
                              </m:rPr>
                              <w:rPr>
                                <w:rFonts w:ascii="Cambria Math" w:hAnsi="Cambria Math"/>
                                <w:color w:val="auto"/>
                              </w:rPr>
                              <m:t>-</m:t>
                            </m:r>
                            <m:sSup>
                              <m:sSupPr>
                                <m:ctrlPr>
                                  <w:rPr>
                                    <w:rFonts w:ascii="Cambria Math" w:hAnsi="Cambria Math"/>
                                    <w:color w:val="auto"/>
                                  </w:rPr>
                                </m:ctrlPr>
                              </m:sSupPr>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num>
                                      <m:den>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den>
                                    </m:f>
                                  </m:e>
                                </m:d>
                              </m:e>
                              <m:sup>
                                <m:r>
                                  <m:rPr>
                                    <m:sty m:val="p"/>
                                  </m:rPr>
                                  <w:rPr>
                                    <w:rFonts w:ascii="Cambria Math" w:hAnsi="Cambria Math"/>
                                    <w:color w:val="auto"/>
                                  </w:rPr>
                                  <m:t>2</m:t>
                                </m:r>
                              </m:sup>
                            </m:sSup>
                            <m:r>
                              <m:rPr>
                                <m:sty m:val="p"/>
                              </m:rP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s</m:t>
                                </m:r>
                              </m:sub>
                              <m:sup>
                                <m:r>
                                  <m:rPr>
                                    <m:sty m:val="p"/>
                                  </m:rPr>
                                  <w:rPr>
                                    <w:rFonts w:ascii="Cambria Math" w:hAnsi="Cambria Math"/>
                                    <w:color w:val="auto"/>
                                  </w:rPr>
                                  <m:t>2</m:t>
                                </m:r>
                              </m:sup>
                            </m:sSubSup>
                          </m:e>
                        </m:d>
                        <m:r>
                          <w:rPr>
                            <w:rFonts w:ascii="Cambria Math" w:hAnsi="Cambria Math"/>
                            <w:color w:val="auto"/>
                          </w:rPr>
                          <m:t xml:space="preserve">              </m:t>
                        </m:r>
                      </m:e>
                      <m:e>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q</m:t>
                            </m:r>
                          </m:sub>
                        </m:sSub>
                        <m:r>
                          <m:rPr>
                            <m:sty m:val="p"/>
                          </m:rPr>
                          <w:rPr>
                            <w:rFonts w:ascii="Cambria Math" w:hAnsi="Cambria Math"/>
                            <w:color w:val="auto"/>
                          </w:rPr>
                          <m:t>=</m:t>
                        </m:r>
                        <m:rad>
                          <m:radPr>
                            <m:degHide m:val="1"/>
                            <m:ctrlPr>
                              <w:rPr>
                                <w:rFonts w:ascii="Cambria Math" w:hAnsi="Cambria Math"/>
                                <w:color w:val="auto"/>
                              </w:rPr>
                            </m:ctrlPr>
                          </m:radPr>
                          <m:deg/>
                          <m:e>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s</m:t>
                                </m:r>
                              </m:sub>
                              <m:sup>
                                <m:r>
                                  <m:rPr>
                                    <m:sty m:val="p"/>
                                  </m:rPr>
                                  <w:rPr>
                                    <w:rFonts w:ascii="Cambria Math" w:hAnsi="Cambria Math"/>
                                    <w:color w:val="auto"/>
                                  </w:rPr>
                                  <m:t>2</m:t>
                                </m:r>
                              </m:sup>
                            </m:sSubSup>
                            <m:r>
                              <m:rPr>
                                <m:sty m:val="p"/>
                              </m:rP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d</m:t>
                                </m:r>
                              </m:sub>
                              <m:sup>
                                <m:r>
                                  <m:rPr>
                                    <m:sty m:val="p"/>
                                  </m:rPr>
                                  <w:rPr>
                                    <w:rFonts w:ascii="Cambria Math" w:hAnsi="Cambria Math"/>
                                    <w:color w:val="auto"/>
                                  </w:rPr>
                                  <m:t>2</m:t>
                                </m:r>
                              </m:sup>
                            </m:sSubSup>
                          </m:e>
                        </m:rad>
                        <m:r>
                          <m:rPr>
                            <m:sty m:val="p"/>
                          </m:rPr>
                          <w:rPr>
                            <w:rFonts w:ascii="Cambria Math" w:hAnsi="Cambria Math"/>
                            <w:color w:val="auto"/>
                          </w:rPr>
                          <m:t xml:space="preserve">                                                        </m:t>
                        </m:r>
                      </m:e>
                    </m:eqArr>
                  </m:e>
                </m:d>
              </m:oMath>
            </m:oMathPara>
          </w:p>
        </w:tc>
        <w:tc>
          <w:tcPr>
            <w:tcW w:w="507" w:type="pct"/>
            <w:vAlign w:val="center"/>
          </w:tcPr>
          <w:p w14:paraId="1474E59E" w14:textId="4BF9AF31" w:rsidR="00C56E32" w:rsidRPr="00FC71BE" w:rsidRDefault="00C56E32">
            <w:pPr>
              <w:pStyle w:val="equation"/>
              <w:rPr>
                <w:color w:val="auto"/>
              </w:rPr>
            </w:pPr>
            <w:bookmarkStart w:id="108" w:name="_Ref138851485"/>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11</w:t>
            </w:r>
            <w:r w:rsidR="002839C4" w:rsidRPr="00FC71BE">
              <w:rPr>
                <w:color w:val="auto"/>
              </w:rPr>
              <w:fldChar w:fldCharType="end"/>
            </w:r>
            <w:r w:rsidRPr="00FC71BE">
              <w:rPr>
                <w:color w:val="auto"/>
              </w:rPr>
              <w:t>)</w:t>
            </w:r>
            <w:bookmarkEnd w:id="108"/>
          </w:p>
        </w:tc>
      </w:tr>
    </w:tbl>
    <w:p w14:paraId="17021E97" w14:textId="77777777" w:rsidR="00C56E32" w:rsidRPr="00FC71BE" w:rsidRDefault="00C56E32" w:rsidP="00C56E32">
      <w:pPr>
        <w:ind w:firstLine="0"/>
      </w:pPr>
      <w:r w:rsidRPr="00FC71BE">
        <w:t xml:space="preserve">The maximum speed at point B is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65371963" w14:textId="77777777">
        <w:tc>
          <w:tcPr>
            <w:tcW w:w="4493" w:type="pct"/>
            <w:vAlign w:val="center"/>
          </w:tcPr>
          <w:p w14:paraId="475C4CFD" w14:textId="77777777" w:rsidR="00C56E32"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max</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V</m:t>
                    </m:r>
                  </m:e>
                  <m:sub>
                    <m:r>
                      <w:rPr>
                        <w:rFonts w:ascii="Cambria Math" w:hAnsi="Cambria Math"/>
                        <w:color w:val="auto"/>
                      </w:rPr>
                      <m:t>s</m:t>
                    </m:r>
                  </m:sub>
                </m:sSub>
                <m:r>
                  <m:rPr>
                    <m:sty m:val="p"/>
                  </m:rPr>
                  <w:rPr>
                    <w:rFonts w:ascii="Cambria Math" w:hAnsi="Cambria Math"/>
                    <w:color w:val="auto"/>
                  </w:rPr>
                  <m:t>/</m:t>
                </m:r>
                <m:d>
                  <m:dPr>
                    <m:begChr m:val="["/>
                    <m:endChr m:val="]"/>
                    <m:ctrlPr>
                      <w:rPr>
                        <w:rFonts w:ascii="Cambria Math" w:hAnsi="Cambria Math"/>
                        <w:color w:val="auto"/>
                      </w:rPr>
                    </m:ctrlPr>
                  </m:dPr>
                  <m:e>
                    <m:r>
                      <w:rPr>
                        <w:rFonts w:ascii="Cambria Math" w:hAnsi="Cambria Math"/>
                        <w:color w:val="auto"/>
                      </w:rPr>
                      <m:t>p</m:t>
                    </m:r>
                    <m:d>
                      <m:dPr>
                        <m:ctrlPr>
                          <w:rPr>
                            <w:rFonts w:ascii="Cambria Math" w:hAnsi="Cambria Math"/>
                            <w:color w:val="auto"/>
                          </w:rPr>
                        </m:ctrlPr>
                      </m:dPr>
                      <m:e>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s</m:t>
                            </m:r>
                          </m:sub>
                        </m:sSub>
                      </m:e>
                    </m:d>
                  </m:e>
                </m:d>
              </m:oMath>
            </m:oMathPara>
          </w:p>
        </w:tc>
        <w:tc>
          <w:tcPr>
            <w:tcW w:w="507" w:type="pct"/>
            <w:vAlign w:val="center"/>
          </w:tcPr>
          <w:p w14:paraId="3B026059" w14:textId="7E094636" w:rsidR="00C56E32" w:rsidRPr="00FC71BE" w:rsidRDefault="00C56E32">
            <w:pPr>
              <w:pStyle w:val="equation"/>
              <w:rPr>
                <w:color w:val="auto"/>
              </w:rPr>
            </w:pPr>
            <w:bookmarkStart w:id="109" w:name="_Ref138851935"/>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12</w:t>
            </w:r>
            <w:r w:rsidR="002839C4" w:rsidRPr="00FC71BE">
              <w:rPr>
                <w:color w:val="auto"/>
              </w:rPr>
              <w:fldChar w:fldCharType="end"/>
            </w:r>
            <w:r w:rsidRPr="00FC71BE">
              <w:rPr>
                <w:color w:val="auto"/>
              </w:rPr>
              <w:t>)</w:t>
            </w:r>
            <w:bookmarkEnd w:id="109"/>
          </w:p>
        </w:tc>
      </w:tr>
    </w:tbl>
    <w:p w14:paraId="0DD5C9C1" w14:textId="00DF4AB6" w:rsidR="00C56E32" w:rsidRPr="00FC71BE" w:rsidRDefault="00C56E32" w:rsidP="00C56E32">
      <w:pPr>
        <w:ind w:firstLine="0"/>
      </w:pPr>
      <w:r w:rsidRPr="00FC71BE">
        <w:t xml:space="preserve">If </w:t>
      </w:r>
      <m:oMath>
        <m:f>
          <m:fPr>
            <m:ctrlPr>
              <w:rPr>
                <w:rFonts w:ascii="Cambria Math" w:hAnsi="Cambria Math"/>
                <w:i/>
              </w:rPr>
            </m:ctrlPr>
          </m:fPr>
          <m:num>
            <m:sSub>
              <m:sSubPr>
                <m:ctrlPr>
                  <w:rPr>
                    <w:rFonts w:ascii="Cambria Math" w:hAnsi="Cambria Math"/>
                    <w:i/>
                  </w:rPr>
                </m:ctrlPr>
              </m:sSubPr>
              <m:e>
                <m:r>
                  <w:rPr>
                    <w:rFonts w:ascii="Cambria Math" w:hAnsi="Cambria Math"/>
                  </w:rPr>
                  <m:t>ψ</m:t>
                </m:r>
              </m:e>
              <m:sub>
                <m:r>
                  <w:rPr>
                    <w:rFonts w:ascii="Cambria Math" w:hAnsi="Cambria Math"/>
                  </w:rPr>
                  <m:t>m</m:t>
                </m:r>
              </m:sub>
            </m:sSub>
          </m:num>
          <m:den>
            <m:sSub>
              <m:sSubPr>
                <m:ctrlPr>
                  <w:rPr>
                    <w:rFonts w:ascii="Cambria Math" w:hAnsi="Cambria Math"/>
                    <w:i/>
                  </w:rPr>
                </m:ctrlPr>
              </m:sSubPr>
              <m:e>
                <m:r>
                  <w:rPr>
                    <w:rFonts w:ascii="Cambria Math" w:hAnsi="Cambria Math"/>
                  </w:rPr>
                  <m:t>L</m:t>
                </m:r>
              </m:e>
              <m:sub>
                <m:r>
                  <w:rPr>
                    <w:rFonts w:ascii="Cambria Math" w:hAnsi="Cambria Math"/>
                  </w:rPr>
                  <m:t>s</m:t>
                </m:r>
              </m:sub>
            </m:sSub>
          </m:den>
        </m:f>
        <m:r>
          <w:rPr>
            <w:rFonts w:ascii="Cambria Math" w:hAnsi="Cambria Math"/>
          </w:rPr>
          <m:t>&lt;</m:t>
        </m:r>
        <m:sSub>
          <m:sSubPr>
            <m:ctrlPr>
              <w:rPr>
                <w:rFonts w:ascii="Cambria Math" w:hAnsi="Cambria Math"/>
                <w:i/>
              </w:rPr>
            </m:ctrlPr>
          </m:sSubPr>
          <m:e>
            <m:r>
              <w:rPr>
                <w:rFonts w:ascii="Cambria Math" w:hAnsi="Cambria Math"/>
              </w:rPr>
              <m:t>i</m:t>
            </m:r>
          </m:e>
          <m:sub>
            <m:r>
              <w:rPr>
                <w:rFonts w:ascii="Cambria Math" w:hAnsi="Cambria Math"/>
              </w:rPr>
              <m:t>s</m:t>
            </m:r>
          </m:sub>
        </m:sSub>
      </m:oMath>
      <w:r w:rsidRPr="00FC71BE">
        <w:t xml:space="preserve">, the optimal current trajectory is shown in </w:t>
      </w:r>
      <w:r w:rsidRPr="00FC71BE">
        <w:fldChar w:fldCharType="begin"/>
      </w:r>
      <w:r w:rsidRPr="00FC71BE">
        <w:instrText xml:space="preserve"> REF _Ref138769722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9</w:t>
      </w:r>
      <w:r w:rsidRPr="00FC71BE">
        <w:fldChar w:fldCharType="end"/>
      </w:r>
      <w:r w:rsidRPr="00FC71BE">
        <w:t xml:space="preserve"> (b). The machines can reach an infinite maximum speed. The condition at second stage is the same as </w:t>
      </w:r>
      <w:r w:rsidRPr="00FC71BE">
        <w:fldChar w:fldCharType="begin"/>
      </w:r>
      <w:r w:rsidRPr="00FC71BE">
        <w:instrText xml:space="preserve"> REF _Ref138851485 \h </w:instrText>
      </w:r>
      <w:r w:rsidRPr="00FC71BE">
        <w:fldChar w:fldCharType="separate"/>
      </w:r>
      <w:r w:rsidR="007E62C1" w:rsidRPr="00FC71BE">
        <w:t>(</w:t>
      </w:r>
      <w:r w:rsidR="007E62C1" w:rsidRPr="00FC71BE">
        <w:rPr>
          <w:noProof/>
        </w:rPr>
        <w:t>2</w:t>
      </w:r>
      <w:r w:rsidR="007E62C1" w:rsidRPr="00FC71BE">
        <w:t>.</w:t>
      </w:r>
      <w:r w:rsidR="007E62C1" w:rsidRPr="00FC71BE">
        <w:rPr>
          <w:noProof/>
        </w:rPr>
        <w:t>11</w:t>
      </w:r>
      <w:r w:rsidR="007E62C1" w:rsidRPr="00FC71BE">
        <w:t>)</w:t>
      </w:r>
      <w:r w:rsidRPr="00FC71BE">
        <w:fldChar w:fldCharType="end"/>
      </w:r>
      <w:r w:rsidRPr="00FC71BE">
        <w:t xml:space="preserve">. However, different from the machines that have </w:t>
      </w:r>
      <m:oMath>
        <m:f>
          <m:fPr>
            <m:ctrlPr>
              <w:rPr>
                <w:rFonts w:ascii="Cambria Math" w:hAnsi="Cambria Math"/>
                <w:i/>
              </w:rPr>
            </m:ctrlPr>
          </m:fPr>
          <m:num>
            <m:sSub>
              <m:sSubPr>
                <m:ctrlPr>
                  <w:rPr>
                    <w:rFonts w:ascii="Cambria Math" w:hAnsi="Cambria Math"/>
                    <w:i/>
                  </w:rPr>
                </m:ctrlPr>
              </m:sSubPr>
              <m:e>
                <m:r>
                  <w:rPr>
                    <w:rFonts w:ascii="Cambria Math" w:hAnsi="Cambria Math"/>
                  </w:rPr>
                  <m:t>ψ</m:t>
                </m:r>
              </m:e>
              <m:sub>
                <m:r>
                  <w:rPr>
                    <w:rFonts w:ascii="Cambria Math" w:hAnsi="Cambria Math"/>
                  </w:rPr>
                  <m:t>m</m:t>
                </m:r>
              </m:sub>
            </m:sSub>
          </m:num>
          <m:den>
            <m:sSub>
              <m:sSubPr>
                <m:ctrlPr>
                  <w:rPr>
                    <w:rFonts w:ascii="Cambria Math" w:hAnsi="Cambria Math"/>
                    <w:i/>
                  </w:rPr>
                </m:ctrlPr>
              </m:sSubPr>
              <m:e>
                <m:r>
                  <w:rPr>
                    <w:rFonts w:ascii="Cambria Math" w:hAnsi="Cambria Math"/>
                  </w:rPr>
                  <m:t>L</m:t>
                </m:r>
              </m:e>
              <m:sub>
                <m:r>
                  <w:rPr>
                    <w:rFonts w:ascii="Cambria Math" w:hAnsi="Cambria Math"/>
                  </w:rPr>
                  <m:t>s</m:t>
                </m:r>
              </m:sub>
            </m:sSub>
          </m:den>
        </m:f>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oMath>
      <w:r w:rsidRPr="00FC71BE">
        <w:t>, the condition at point B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491B101" w14:textId="77777777">
        <w:tc>
          <w:tcPr>
            <w:tcW w:w="4493" w:type="pct"/>
            <w:vAlign w:val="center"/>
          </w:tcPr>
          <w:p w14:paraId="5DA99BF9" w14:textId="77777777" w:rsidR="00C56E32" w:rsidRPr="00FC71BE" w:rsidRDefault="002143AD">
            <w:pPr>
              <w:pStyle w:val="equation"/>
              <w:rPr>
                <w:color w:val="auto"/>
              </w:rPr>
            </w:pPr>
            <m:oMathPara>
              <m:oMath>
                <m:d>
                  <m:dPr>
                    <m:begChr m:val="{"/>
                    <m:endChr m:val=""/>
                    <m:ctrlPr>
                      <w:rPr>
                        <w:rFonts w:ascii="Cambria Math" w:hAnsi="Cambria Math"/>
                        <w:color w:val="auto"/>
                      </w:rPr>
                    </m:ctrlPr>
                  </m:dPr>
                  <m:e>
                    <m:eqArr>
                      <m:eqArrPr>
                        <m:ctrlPr>
                          <w:rPr>
                            <w:rFonts w:ascii="Cambria Math" w:hAnsi="Cambria Math"/>
                            <w:color w:val="auto"/>
                          </w:rPr>
                        </m:ctrlPr>
                      </m:eqArrPr>
                      <m:e>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d</m:t>
                            </m: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num>
                          <m:den>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den>
                        </m:f>
                        <m:r>
                          <m:rPr>
                            <m:sty m:val="p"/>
                          </m:rPr>
                          <w:rPr>
                            <w:rFonts w:ascii="Cambria Math" w:hAnsi="Cambria Math"/>
                            <w:color w:val="auto"/>
                          </w:rPr>
                          <m:t xml:space="preserve">                          </m:t>
                        </m:r>
                      </m:e>
                      <m:e>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q</m:t>
                            </m:r>
                          </m:sub>
                        </m:sSub>
                        <m:r>
                          <m:rPr>
                            <m:sty m:val="p"/>
                          </m:rPr>
                          <w:rPr>
                            <w:rFonts w:ascii="Cambria Math" w:hAnsi="Cambria Math"/>
                            <w:color w:val="auto"/>
                          </w:rPr>
                          <m:t xml:space="preserve">=   </m:t>
                        </m:r>
                        <m:rad>
                          <m:radPr>
                            <m:degHide m:val="1"/>
                            <m:ctrlPr>
                              <w:rPr>
                                <w:rFonts w:ascii="Cambria Math" w:hAnsi="Cambria Math"/>
                                <w:color w:val="auto"/>
                              </w:rPr>
                            </m:ctrlPr>
                          </m:radPr>
                          <m:deg/>
                          <m:e>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s</m:t>
                                </m:r>
                              </m:sub>
                              <m:sup>
                                <m:r>
                                  <m:rPr>
                                    <m:sty m:val="p"/>
                                  </m:rPr>
                                  <w:rPr>
                                    <w:rFonts w:ascii="Cambria Math" w:hAnsi="Cambria Math"/>
                                    <w:color w:val="auto"/>
                                  </w:rPr>
                                  <m:t>2</m:t>
                                </m:r>
                              </m:sup>
                            </m:sSubSup>
                            <m:r>
                              <m:rPr>
                                <m:sty m:val="p"/>
                              </m:rPr>
                              <w:rPr>
                                <w:rFonts w:ascii="Cambria Math" w:hAnsi="Cambria Math"/>
                                <w:color w:val="auto"/>
                              </w:rPr>
                              <m:t>-</m:t>
                            </m:r>
                            <m:sSup>
                              <m:sSupPr>
                                <m:ctrlPr>
                                  <w:rPr>
                                    <w:rFonts w:ascii="Cambria Math" w:hAnsi="Cambria Math"/>
                                    <w:color w:val="auto"/>
                                  </w:rPr>
                                </m:ctrlPr>
                              </m:sSupPr>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num>
                                      <m:den>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den>
                                    </m:f>
                                  </m:e>
                                </m:d>
                              </m:e>
                              <m:sup>
                                <m:r>
                                  <m:rPr>
                                    <m:sty m:val="p"/>
                                  </m:rPr>
                                  <w:rPr>
                                    <w:rFonts w:ascii="Cambria Math" w:hAnsi="Cambria Math"/>
                                    <w:color w:val="auto"/>
                                  </w:rPr>
                                  <m:t>2</m:t>
                                </m:r>
                              </m:sup>
                            </m:sSup>
                          </m:e>
                        </m:rad>
                        <m:r>
                          <m:rPr>
                            <m:sty m:val="p"/>
                          </m:rPr>
                          <w:rPr>
                            <w:rFonts w:ascii="Cambria Math" w:hAnsi="Cambria Math"/>
                            <w:color w:val="auto"/>
                          </w:rPr>
                          <m:t xml:space="preserve"> </m:t>
                        </m:r>
                      </m:e>
                      <m:e>
                        <m:sSub>
                          <m:sSubPr>
                            <m:ctrlPr>
                              <w:rPr>
                                <w:rFonts w:ascii="Cambria Math" w:hAnsi="Cambria Math"/>
                                <w:color w:val="auto"/>
                              </w:rPr>
                            </m:ctrlPr>
                          </m:sSubPr>
                          <m:e>
                            <m:r>
                              <w:rPr>
                                <w:rFonts w:ascii="Cambria Math" w:hAnsi="Cambria Math"/>
                                <w:color w:val="auto"/>
                              </w:rPr>
                              <m:t>ω</m:t>
                            </m:r>
                          </m:e>
                          <m:sub>
                            <m:r>
                              <m:rPr>
                                <m:sty m:val="p"/>
                              </m:rPr>
                              <w:rPr>
                                <w:rFonts w:ascii="Cambria Math" w:hAnsi="Cambria Math"/>
                                <w:color w:val="auto"/>
                              </w:rPr>
                              <m:t>2</m:t>
                            </m: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V</m:t>
                                </m:r>
                              </m:e>
                              <m:sub>
                                <m:r>
                                  <w:rPr>
                                    <w:rFonts w:ascii="Cambria Math" w:hAnsi="Cambria Math"/>
                                    <w:color w:val="auto"/>
                                  </w:rPr>
                                  <m:t>s</m:t>
                                </m:r>
                              </m:sub>
                            </m:sSub>
                          </m:num>
                          <m:den>
                            <m:rad>
                              <m:radPr>
                                <m:degHide m:val="1"/>
                                <m:ctrlPr>
                                  <w:rPr>
                                    <w:rFonts w:ascii="Cambria Math" w:hAnsi="Cambria Math"/>
                                    <w:color w:val="auto"/>
                                  </w:rPr>
                                </m:ctrlPr>
                              </m:radPr>
                              <m:deg/>
                              <m:e>
                                <m:sSup>
                                  <m:sSupPr>
                                    <m:ctrlPr>
                                      <w:rPr>
                                        <w:rFonts w:ascii="Cambria Math" w:hAnsi="Cambria Math"/>
                                        <w:color w:val="auto"/>
                                      </w:rPr>
                                    </m:ctrlPr>
                                  </m:sSupPr>
                                  <m:e>
                                    <m:d>
                                      <m:dPr>
                                        <m:ctrlPr>
                                          <w:rPr>
                                            <w:rFonts w:ascii="Cambria Math" w:hAnsi="Cambria Math"/>
                                            <w:color w:val="auto"/>
                                          </w:rPr>
                                        </m:ctrlPr>
                                      </m:dPr>
                                      <m:e>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m</m:t>
                                            </m:r>
                                          </m:sub>
                                        </m:sSub>
                                      </m:e>
                                    </m:d>
                                  </m:e>
                                  <m:sup>
                                    <m:r>
                                      <m:rPr>
                                        <m:sty m:val="p"/>
                                      </m:rPr>
                                      <w:rPr>
                                        <w:rFonts w:ascii="Cambria Math" w:hAnsi="Cambria Math"/>
                                        <w:color w:val="auto"/>
                                      </w:rPr>
                                      <m:t>2</m:t>
                                    </m:r>
                                  </m:sup>
                                </m:sSup>
                                <m:r>
                                  <m:rPr>
                                    <m:sty m:val="p"/>
                                  </m:rP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ψ</m:t>
                                    </m:r>
                                  </m:e>
                                  <m:sub>
                                    <m:r>
                                      <w:rPr>
                                        <w:rFonts w:ascii="Cambria Math" w:hAnsi="Cambria Math"/>
                                        <w:color w:val="auto"/>
                                      </w:rPr>
                                      <m:t>m</m:t>
                                    </m:r>
                                  </m:sub>
                                  <m:sup>
                                    <m:r>
                                      <m:rPr>
                                        <m:sty m:val="p"/>
                                      </m:rPr>
                                      <w:rPr>
                                        <w:rFonts w:ascii="Cambria Math" w:hAnsi="Cambria Math"/>
                                        <w:color w:val="auto"/>
                                      </w:rPr>
                                      <m:t>2</m:t>
                                    </m:r>
                                  </m:sup>
                                </m:sSubSup>
                              </m:e>
                            </m:rad>
                          </m:den>
                        </m:f>
                        <m:r>
                          <m:rPr>
                            <m:sty m:val="p"/>
                          </m:rPr>
                          <w:rPr>
                            <w:rFonts w:ascii="Cambria Math" w:hAnsi="Cambria Math"/>
                            <w:color w:val="auto"/>
                          </w:rPr>
                          <m:t xml:space="preserve">      </m:t>
                        </m:r>
                      </m:e>
                    </m:eqArr>
                  </m:e>
                </m:d>
              </m:oMath>
            </m:oMathPara>
          </w:p>
        </w:tc>
        <w:tc>
          <w:tcPr>
            <w:tcW w:w="507" w:type="pct"/>
            <w:vAlign w:val="center"/>
          </w:tcPr>
          <w:p w14:paraId="4ED17566" w14:textId="314275CB" w:rsidR="00C56E32" w:rsidRPr="00FC71BE" w:rsidRDefault="00C56E32">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13</w:t>
            </w:r>
            <w:r w:rsidR="002839C4" w:rsidRPr="00FC71BE">
              <w:rPr>
                <w:color w:val="auto"/>
              </w:rPr>
              <w:fldChar w:fldCharType="end"/>
            </w:r>
            <w:r w:rsidRPr="00FC71BE">
              <w:rPr>
                <w:color w:val="auto"/>
              </w:rPr>
              <w:t>)</w:t>
            </w:r>
          </w:p>
        </w:tc>
      </w:tr>
    </w:tbl>
    <w:p w14:paraId="7440633A" w14:textId="77777777" w:rsidR="00C56E32" w:rsidRPr="00FC71BE" w:rsidRDefault="00C56E32" w:rsidP="00C56E32">
      <w:r w:rsidRPr="00FC71BE">
        <w:t>At the third stage (from point B to point O’), the machine also operates under flux-weakening control, but the load condition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333F793B" w14:textId="77777777">
        <w:tc>
          <w:tcPr>
            <w:tcW w:w="4493" w:type="pct"/>
            <w:vAlign w:val="center"/>
          </w:tcPr>
          <w:p w14:paraId="652BAF8A" w14:textId="77777777" w:rsidR="00C56E32" w:rsidRPr="00FC71BE" w:rsidRDefault="002143AD">
            <w:pPr>
              <w:pStyle w:val="equation"/>
              <w:rPr>
                <w:color w:val="auto"/>
              </w:rPr>
            </w:pPr>
            <m:oMathPara>
              <m:oMath>
                <m:d>
                  <m:dPr>
                    <m:begChr m:val="{"/>
                    <m:endChr m:val=""/>
                    <m:ctrlPr>
                      <w:rPr>
                        <w:rFonts w:ascii="Cambria Math" w:hAnsi="Cambria Math"/>
                        <w:color w:val="auto"/>
                      </w:rPr>
                    </m:ctrlPr>
                  </m:dPr>
                  <m:e>
                    <m:eqArr>
                      <m:eqArrPr>
                        <m:ctrlPr>
                          <w:rPr>
                            <w:rFonts w:ascii="Cambria Math" w:hAnsi="Cambria Math"/>
                            <w:color w:val="auto"/>
                          </w:rPr>
                        </m:ctrlPr>
                      </m:eqArrPr>
                      <m:e>
                        <m:sSub>
                          <m:sSubPr>
                            <m:ctrlPr>
                              <w:rPr>
                                <w:rFonts w:ascii="Cambria Math" w:hAnsi="Cambria Math"/>
                                <w:color w:val="auto"/>
                              </w:rPr>
                            </m:ctrlPr>
                          </m:sSubPr>
                          <m:e>
                            <m:r>
                              <w:rPr>
                                <w:rFonts w:ascii="Cambria Math" w:hAnsi="Cambria Math"/>
                                <w:color w:val="auto"/>
                              </w:rPr>
                              <m:t>ω</m:t>
                            </m:r>
                          </m:e>
                          <m:sub>
                            <m:r>
                              <m:rPr>
                                <m:sty m:val="p"/>
                              </m:rPr>
                              <w:rPr>
                                <w:rFonts w:ascii="Cambria Math" w:hAnsi="Cambria Math"/>
                                <w:color w:val="auto"/>
                              </w:rPr>
                              <m:t>2</m:t>
                            </m:r>
                          </m:sub>
                        </m:sSub>
                        <m:r>
                          <m:rPr>
                            <m:sty m:val="p"/>
                          </m:rPr>
                          <w:rPr>
                            <w:rFonts w:ascii="Cambria Math" w:hAnsi="Cambria Math"/>
                            <w:color w:val="auto"/>
                          </w:rPr>
                          <m:t>&lt;</m:t>
                        </m:r>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m</m:t>
                            </m:r>
                          </m:sub>
                        </m:sSub>
                        <m:r>
                          <m:rPr>
                            <m:sty m:val="p"/>
                          </m:rPr>
                          <w:rPr>
                            <w:rFonts w:ascii="Cambria Math" w:hAnsi="Cambria Math"/>
                            <w:color w:val="auto"/>
                          </w:rPr>
                          <m:t xml:space="preserve">    </m:t>
                        </m:r>
                      </m:e>
                      <m:e>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d</m:t>
                            </m: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ψ</m:t>
                                </m:r>
                              </m:e>
                              <m:sub>
                                <m:r>
                                  <w:rPr>
                                    <w:rFonts w:ascii="Cambria Math" w:hAnsi="Cambria Math"/>
                                    <w:color w:val="auto"/>
                                  </w:rPr>
                                  <m:t>m</m:t>
                                </m:r>
                              </m:sub>
                            </m:sSub>
                          </m:num>
                          <m:den>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den>
                        </m:f>
                      </m:e>
                      <m:e>
                        <m:sSub>
                          <m:sSubPr>
                            <m:ctrlPr>
                              <w:rPr>
                                <w:rFonts w:ascii="Cambria Math" w:hAnsi="Cambria Math"/>
                                <w:color w:val="auto"/>
                              </w:rPr>
                            </m:ctrlPr>
                          </m:sSubPr>
                          <m:e>
                            <m:r>
                              <w:rPr>
                                <w:rFonts w:ascii="Cambria Math" w:hAnsi="Cambria Math"/>
                                <w:color w:val="auto"/>
                              </w:rPr>
                              <m:t>i</m:t>
                            </m:r>
                          </m:e>
                          <m:sub>
                            <m:r>
                              <w:rPr>
                                <w:rFonts w:ascii="Cambria Math" w:hAnsi="Cambria Math"/>
                                <w:color w:val="auto"/>
                              </w:rPr>
                              <m:t>q</m:t>
                            </m: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V</m:t>
                                </m:r>
                              </m:e>
                              <m:sub>
                                <m:r>
                                  <w:rPr>
                                    <w:rFonts w:ascii="Cambria Math" w:hAnsi="Cambria Math"/>
                                    <w:color w:val="auto"/>
                                  </w:rPr>
                                  <m:t>s</m:t>
                                </m:r>
                              </m:sub>
                            </m:sSub>
                          </m:num>
                          <m:den>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e</m:t>
                                </m:r>
                              </m:sub>
                            </m:sSub>
                            <m:sSub>
                              <m:sSubPr>
                                <m:ctrlPr>
                                  <w:rPr>
                                    <w:rFonts w:ascii="Cambria Math" w:hAnsi="Cambria Math"/>
                                    <w:color w:val="auto"/>
                                  </w:rPr>
                                </m:ctrlPr>
                              </m:sSubPr>
                              <m:e>
                                <m:r>
                                  <w:rPr>
                                    <w:rFonts w:ascii="Cambria Math" w:hAnsi="Cambria Math"/>
                                    <w:color w:val="auto"/>
                                  </w:rPr>
                                  <m:t>L</m:t>
                                </m:r>
                              </m:e>
                              <m:sub>
                                <m:r>
                                  <w:rPr>
                                    <w:rFonts w:ascii="Cambria Math" w:hAnsi="Cambria Math"/>
                                    <w:color w:val="auto"/>
                                  </w:rPr>
                                  <m:t>s</m:t>
                                </m:r>
                              </m:sub>
                            </m:sSub>
                          </m:den>
                        </m:f>
                      </m:e>
                    </m:eqArr>
                  </m:e>
                </m:d>
              </m:oMath>
            </m:oMathPara>
          </w:p>
        </w:tc>
        <w:tc>
          <w:tcPr>
            <w:tcW w:w="507" w:type="pct"/>
            <w:vAlign w:val="center"/>
          </w:tcPr>
          <w:p w14:paraId="57FA2A8E" w14:textId="4CC78529" w:rsidR="00C56E32" w:rsidRPr="00FC71BE" w:rsidRDefault="00C56E32">
            <w:pPr>
              <w:pStyle w:val="equation"/>
              <w:rPr>
                <w:color w:val="auto"/>
              </w:rPr>
            </w:pPr>
            <w:bookmarkStart w:id="110" w:name="_Ref139994885"/>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14</w:t>
            </w:r>
            <w:r w:rsidR="002839C4" w:rsidRPr="00FC71BE">
              <w:rPr>
                <w:color w:val="auto"/>
              </w:rPr>
              <w:fldChar w:fldCharType="end"/>
            </w:r>
            <w:r w:rsidRPr="00FC71BE">
              <w:rPr>
                <w:color w:val="auto"/>
              </w:rPr>
              <w:t>)</w:t>
            </w:r>
            <w:bookmarkEnd w:id="110"/>
          </w:p>
        </w:tc>
      </w:tr>
    </w:tbl>
    <w:p w14:paraId="251A98A3" w14:textId="4E7057E2" w:rsidR="00C56E32" w:rsidRPr="00FC71BE" w:rsidRDefault="00C56E32" w:rsidP="00C56E32">
      <w:r w:rsidRPr="00FC71BE">
        <w:t xml:space="preserve">After the optimization, the stator modularity is also found to be able to improve the average torque during constant torque region as shown in </w:t>
      </w:r>
      <w:r w:rsidRPr="00FC71BE">
        <w:fldChar w:fldCharType="begin"/>
      </w:r>
      <w:r w:rsidRPr="00FC71BE">
        <w:instrText xml:space="preserve"> REF _Ref139893452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10</w:t>
      </w:r>
      <w:r w:rsidRPr="00FC71BE">
        <w:fldChar w:fldCharType="end"/>
      </w:r>
      <w:r w:rsidRPr="00FC71BE">
        <w:t>. However, due to the higher phase flux linkage, both investigated modular machines have worsened performance during flux weakening operation, i.e., lower average torque and lower maximum speed. In addition, compared with the conventional optimization method (method 2), the optimization method 1, which considers the flux gap width as variable, can achieve slightly higher average torque at constant torque region but lower maximum speed at flux weakening region.</w:t>
      </w:r>
    </w:p>
    <w:p w14:paraId="085E74A4" w14:textId="76E5461D" w:rsidR="00C56E32" w:rsidRPr="00FC71BE" w:rsidRDefault="00C56E32" w:rsidP="00C56E32">
      <w:r w:rsidRPr="00FC71BE">
        <w:t>The EM performance is simulated by 2D FEM. This is accurate enough for calculating performances such as flux linkage, phase back-EMF, on-load torque, and stator and rotor core iron losses. However, during the calculation of PM eddy current losses, the axial and circumferential eddy currents at PM end region are excluded for the calculation of 2D FEM. Therefore, in order to have precise PM eddy current loss results, a 3D/2D correction factor (</w:t>
      </w:r>
      <w:r w:rsidR="00C84E27" w:rsidRPr="00FC71BE">
        <w:rPr>
          <w:rFonts w:ascii="Cambria Math" w:hAnsi="Cambria Math"/>
          <w:i/>
        </w:rPr>
        <w:br/>
      </w:r>
      <m:oMath>
        <m:sSub>
          <m:sSubPr>
            <m:ctrlPr>
              <w:rPr>
                <w:rFonts w:ascii="Cambria Math" w:hAnsi="Cambria Math"/>
                <w:i/>
              </w:rPr>
            </m:ctrlPr>
          </m:sSubPr>
          <m:e>
            <m:r>
              <w:rPr>
                <w:rFonts w:ascii="Cambria Math" w:hAnsi="Cambria Math"/>
              </w:rPr>
              <m:t>F</m:t>
            </m:r>
          </m:e>
          <m:sub>
            <m:r>
              <w:rPr>
                <w:rFonts w:ascii="Cambria Math" w:hAnsi="Cambria Math"/>
              </w:rPr>
              <m:t>3d/2d</m:t>
            </m:r>
          </m:sub>
        </m:sSub>
      </m:oMath>
      <w:r w:rsidRPr="00FC71BE">
        <w:t xml:space="preserve">) has been introduced as </w:t>
      </w:r>
      <w:r w:rsidRPr="00FC71BE">
        <w:fldChar w:fldCharType="begin"/>
      </w:r>
      <w:r w:rsidR="00BA33ED" w:rsidRPr="00FC71BE">
        <w:instrText xml:space="preserve"> ADDIN EN.CITE &lt;EndNote&gt;&lt;Cite&gt;&lt;Author&gt;Ruoho&lt;/Author&gt;&lt;Year&gt;2009&lt;/Year&gt;&lt;RecNum&gt;22&lt;/RecNum&gt;&lt;DisplayText&gt;[127]&lt;/DisplayText&gt;&lt;record&gt;&lt;rec-number&gt;22&lt;/rec-number&gt;&lt;foreign-keys&gt;&lt;key app="EN" db-id="rf2p5e05jx0x9jep00uvx0s1fvaww2dfa0r9" timestamp="1689171756"&gt;22&lt;/key&gt;&lt;/foreign-keys&gt;&lt;ref-type name="Journal Article"&gt;17&lt;/ref-type&gt;&lt;contributors&gt;&lt;authors&gt;&lt;author&gt;Ruoho, Sami&lt;/author&gt;&lt;author&gt;Santa-Nokki, Timo&lt;/author&gt;&lt;author&gt;Kolehmainen, Jere&lt;/author&gt;&lt;author&gt;Arkkio, Antero&lt;/author&gt;&lt;/authors&gt;&lt;/contributors&gt;&lt;titles&gt;&lt;title&gt;Modeling magnet length in 2-D finite-element analysis of electric machines&lt;/title&gt;&lt;secondary-title&gt;IEEE Transactions on Magnetics&lt;/secondary-title&gt;&lt;/titles&gt;&lt;periodical&gt;&lt;full-title&gt;IEEE Transactions on Magnetics&lt;/full-title&gt;&lt;/periodical&gt;&lt;pages&gt;3114-3120&lt;/pages&gt;&lt;volume&gt;45&lt;/volume&gt;&lt;number&gt;8&lt;/number&gt;&lt;dates&gt;&lt;year&gt;2009&lt;/year&gt;&lt;/dates&gt;&lt;isbn&gt;0018-9464&lt;/isbn&gt;&lt;urls&gt;&lt;/urls&gt;&lt;/record&gt;&lt;/Cite&gt;&lt;/EndNote&gt;</w:instrText>
      </w:r>
      <w:r w:rsidRPr="00FC71BE">
        <w:fldChar w:fldCharType="separate"/>
      </w:r>
      <w:r w:rsidR="00BA33ED" w:rsidRPr="00FC71BE">
        <w:t>[127]</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69631AB0" w14:textId="77777777">
        <w:tc>
          <w:tcPr>
            <w:tcW w:w="4493" w:type="pct"/>
            <w:vAlign w:val="center"/>
          </w:tcPr>
          <w:p w14:paraId="2AAD7FBC" w14:textId="4AA8175A" w:rsidR="00C56E32" w:rsidRPr="00FC71BE" w:rsidRDefault="002143AD">
            <w:pPr>
              <w:pStyle w:val="equation"/>
              <w:rPr>
                <w:color w:val="auto"/>
              </w:rPr>
            </w:pPr>
            <m:oMathPara>
              <m:oMath>
                <m:sSub>
                  <m:sSubPr>
                    <m:ctrlPr>
                      <w:rPr>
                        <w:rFonts w:ascii="Cambria Math" w:eastAsiaTheme="minorEastAsia" w:hAnsi="Cambria Math" w:cstheme="minorBidi"/>
                        <w:i/>
                        <w:color w:val="auto"/>
                        <w:lang w:eastAsia="zh-CN"/>
                      </w:rPr>
                    </m:ctrlPr>
                  </m:sSubPr>
                  <m:e>
                    <m:r>
                      <w:rPr>
                        <w:rFonts w:ascii="Cambria Math" w:hAnsi="Cambria Math"/>
                        <w:color w:val="auto"/>
                      </w:rPr>
                      <m:t>F</m:t>
                    </m:r>
                  </m:e>
                  <m:sub>
                    <m:r>
                      <w:rPr>
                        <w:rFonts w:ascii="Cambria Math" w:hAnsi="Cambria Math"/>
                        <w:color w:val="auto"/>
                      </w:rPr>
                      <m:t>3</m:t>
                    </m:r>
                    <m:r>
                      <w:rPr>
                        <w:rFonts w:ascii="Cambria Math" w:hAnsi="Cambria Math"/>
                        <w:color w:val="auto"/>
                      </w:rPr>
                      <m:t>d</m:t>
                    </m:r>
                    <m:r>
                      <w:rPr>
                        <w:rFonts w:ascii="Cambria Math" w:hAnsi="Cambria Math"/>
                        <w:color w:val="auto"/>
                      </w:rPr>
                      <m:t>/2</m:t>
                    </m:r>
                    <m:r>
                      <w:rPr>
                        <w:rFonts w:ascii="Cambria Math" w:hAnsi="Cambria Math"/>
                        <w:color w:val="auto"/>
                      </w:rPr>
                      <m:t>d</m:t>
                    </m:r>
                  </m:sub>
                </m:sSub>
                <m:r>
                  <m:rPr>
                    <m:sty m:val="p"/>
                  </m:rPr>
                  <w:rPr>
                    <w:rFonts w:ascii="Cambria Math" w:hAnsi="Cambria Math"/>
                    <w:color w:val="auto"/>
                  </w:rPr>
                  <m:t>=</m:t>
                </m:r>
                <m:f>
                  <m:fPr>
                    <m:ctrlPr>
                      <w:rPr>
                        <w:rFonts w:ascii="Cambria Math" w:hAnsi="Cambria Math"/>
                        <w:color w:val="auto"/>
                      </w:rPr>
                    </m:ctrlPr>
                  </m:fPr>
                  <m:num>
                    <m:r>
                      <m:rPr>
                        <m:sty m:val="p"/>
                      </m:rPr>
                      <w:rPr>
                        <w:rFonts w:ascii="Cambria Math" w:hAnsi="Cambria Math"/>
                        <w:color w:val="auto"/>
                      </w:rPr>
                      <m:t>3</m:t>
                    </m:r>
                  </m:num>
                  <m:den>
                    <m:r>
                      <m:rPr>
                        <m:sty m:val="p"/>
                      </m:rPr>
                      <w:rPr>
                        <w:rFonts w:ascii="Cambria Math" w:hAnsi="Cambria Math"/>
                        <w:color w:val="auto"/>
                      </w:rPr>
                      <m:t>4</m:t>
                    </m:r>
                  </m:den>
                </m:f>
                <m:r>
                  <m:rPr>
                    <m:sty m:val="p"/>
                  </m:rPr>
                  <w:rPr>
                    <w:rFonts w:ascii="Cambria Math" w:hAnsi="Cambria Math"/>
                    <w:color w:val="auto"/>
                  </w:rPr>
                  <m:t>∙</m:t>
                </m:r>
                <m:f>
                  <m:fPr>
                    <m:ctrlPr>
                      <w:rPr>
                        <w:rFonts w:ascii="Cambria Math" w:hAnsi="Cambria Math"/>
                        <w:color w:val="auto"/>
                      </w:rPr>
                    </m:ctrlPr>
                  </m:fPr>
                  <m:num>
                    <m:sSup>
                      <m:sSupPr>
                        <m:ctrlPr>
                          <w:rPr>
                            <w:rFonts w:ascii="Cambria Math" w:hAnsi="Cambria Math"/>
                            <w:color w:val="auto"/>
                          </w:rPr>
                        </m:ctrlPr>
                      </m:sSupPr>
                      <m:e>
                        <m:r>
                          <w:rPr>
                            <w:rFonts w:ascii="Cambria Math" w:hAnsi="Cambria Math"/>
                            <w:color w:val="auto"/>
                          </w:rPr>
                          <m:t>L</m:t>
                        </m:r>
                      </m:e>
                      <m:sup>
                        <m:r>
                          <m:rPr>
                            <m:sty m:val="p"/>
                          </m:rPr>
                          <w:rPr>
                            <w:rFonts w:ascii="Cambria Math" w:hAnsi="Cambria Math"/>
                            <w:color w:val="auto"/>
                          </w:rPr>
                          <m:t>2</m:t>
                        </m:r>
                      </m:sup>
                    </m:sSup>
                  </m:num>
                  <m:den>
                    <m:sSup>
                      <m:sSupPr>
                        <m:ctrlPr>
                          <w:rPr>
                            <w:rFonts w:ascii="Cambria Math" w:hAnsi="Cambria Math"/>
                            <w:color w:val="auto"/>
                          </w:rPr>
                        </m:ctrlPr>
                      </m:sSupPr>
                      <m:e>
                        <m:r>
                          <w:rPr>
                            <w:rFonts w:ascii="Cambria Math" w:hAnsi="Cambria Math"/>
                            <w:color w:val="auto"/>
                          </w:rPr>
                          <m:t>w</m:t>
                        </m:r>
                      </m:e>
                      <m:sup>
                        <m:r>
                          <m:rPr>
                            <m:sty m:val="p"/>
                          </m:rPr>
                          <w:rPr>
                            <w:rFonts w:ascii="Cambria Math" w:hAnsi="Cambria Math"/>
                            <w:color w:val="auto"/>
                          </w:rPr>
                          <m:t>2</m:t>
                        </m:r>
                      </m:sup>
                    </m:sSup>
                    <m:r>
                      <m:rPr>
                        <m:sty m:val="p"/>
                      </m:rPr>
                      <w:rPr>
                        <w:rFonts w:ascii="Cambria Math" w:hAnsi="Cambria Math"/>
                        <w:color w:val="auto"/>
                      </w:rPr>
                      <m:t>+</m:t>
                    </m:r>
                    <m:sSup>
                      <m:sSupPr>
                        <m:ctrlPr>
                          <w:rPr>
                            <w:rFonts w:ascii="Cambria Math" w:hAnsi="Cambria Math"/>
                            <w:color w:val="auto"/>
                          </w:rPr>
                        </m:ctrlPr>
                      </m:sSupPr>
                      <m:e>
                        <m:r>
                          <w:rPr>
                            <w:rFonts w:ascii="Cambria Math" w:hAnsi="Cambria Math"/>
                            <w:color w:val="auto"/>
                          </w:rPr>
                          <m:t>L</m:t>
                        </m:r>
                      </m:e>
                      <m:sup>
                        <m:r>
                          <m:rPr>
                            <m:sty m:val="p"/>
                          </m:rPr>
                          <w:rPr>
                            <w:rFonts w:ascii="Cambria Math" w:hAnsi="Cambria Math"/>
                            <w:color w:val="auto"/>
                          </w:rPr>
                          <m:t>2</m:t>
                        </m:r>
                      </m:sup>
                    </m:sSup>
                  </m:den>
                </m:f>
              </m:oMath>
            </m:oMathPara>
          </w:p>
        </w:tc>
        <w:tc>
          <w:tcPr>
            <w:tcW w:w="507" w:type="pct"/>
            <w:vAlign w:val="center"/>
          </w:tcPr>
          <w:p w14:paraId="5D0A2610" w14:textId="0F5050D3" w:rsidR="00C56E32" w:rsidRPr="00FC71BE" w:rsidRDefault="00C56E32">
            <w:pPr>
              <w:pStyle w:val="equation"/>
              <w:rPr>
                <w:color w:val="auto"/>
              </w:rPr>
            </w:pPr>
            <w:bookmarkStart w:id="111" w:name="_Ref157615439"/>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15</w:t>
            </w:r>
            <w:r w:rsidR="002839C4" w:rsidRPr="00FC71BE">
              <w:rPr>
                <w:color w:val="auto"/>
              </w:rPr>
              <w:fldChar w:fldCharType="end"/>
            </w:r>
            <w:r w:rsidRPr="00FC71BE">
              <w:rPr>
                <w:color w:val="auto"/>
              </w:rPr>
              <w:t>)</w:t>
            </w:r>
            <w:bookmarkEnd w:id="111"/>
          </w:p>
        </w:tc>
      </w:tr>
    </w:tbl>
    <w:p w14:paraId="1A03BAD7" w14:textId="77777777" w:rsidR="00C56E32" w:rsidRPr="00FC71BE" w:rsidRDefault="00C56E32" w:rsidP="00C56E32">
      <w:pPr>
        <w:ind w:firstLine="0"/>
      </w:pPr>
      <w:r w:rsidRPr="00FC71BE">
        <w:t xml:space="preserve">where </w:t>
      </w:r>
      <m:oMath>
        <m:r>
          <w:rPr>
            <w:rFonts w:ascii="Cambria Math" w:hAnsi="Cambria Math"/>
          </w:rPr>
          <m:t>L</m:t>
        </m:r>
      </m:oMath>
      <w:r w:rsidRPr="00FC71BE">
        <w:t xml:space="preserve"> and </w:t>
      </w:r>
      <m:oMath>
        <m:r>
          <w:rPr>
            <w:rFonts w:ascii="Cambria Math" w:hAnsi="Cambria Math"/>
          </w:rPr>
          <m:t>w</m:t>
        </m:r>
      </m:oMath>
      <w:r w:rsidRPr="00FC71BE">
        <w:t xml:space="preserve"> denote the PM axial length and thickness, respectively.</w:t>
      </w:r>
    </w:p>
    <w:p w14:paraId="1C2388F9" w14:textId="77777777" w:rsidR="00C56E32" w:rsidRPr="00FC71BE" w:rsidRDefault="00C56E32" w:rsidP="00C56E32">
      <w:r w:rsidRPr="00FC71BE">
        <w:t>Using the previously calculated iron losses (</w:t>
      </w:r>
      <m:oMath>
        <m:sSub>
          <m:sSubPr>
            <m:ctrlPr>
              <w:rPr>
                <w:rFonts w:ascii="Cambria Math" w:hAnsi="Cambria Math"/>
              </w:rPr>
            </m:ctrlPr>
          </m:sSubPr>
          <m:e>
            <m:r>
              <w:rPr>
                <w:rFonts w:ascii="Cambria Math" w:hAnsi="Cambria Math"/>
              </w:rPr>
              <m:t>P</m:t>
            </m:r>
          </m:e>
          <m:sub>
            <m:r>
              <w:rPr>
                <w:rFonts w:ascii="Cambria Math" w:hAnsi="Cambria Math"/>
              </w:rPr>
              <m:t>i</m:t>
            </m:r>
          </m:sub>
        </m:sSub>
      </m:oMath>
      <w:r w:rsidRPr="00FC71BE">
        <w:t>) and PM eddy current loss (</w:t>
      </w:r>
      <m:oMath>
        <m:sSub>
          <m:sSubPr>
            <m:ctrlPr>
              <w:rPr>
                <w:rFonts w:ascii="Cambria Math" w:hAnsi="Cambria Math"/>
              </w:rPr>
            </m:ctrlPr>
          </m:sSubPr>
          <m:e>
            <m:r>
              <w:rPr>
                <w:rFonts w:ascii="Cambria Math" w:hAnsi="Cambria Math"/>
              </w:rPr>
              <m:t>P</m:t>
            </m:r>
          </m:e>
          <m:sub>
            <m:r>
              <w:rPr>
                <w:rFonts w:ascii="Cambria Math" w:hAnsi="Cambria Math"/>
              </w:rPr>
              <m:t>m</m:t>
            </m:r>
          </m:sub>
        </m:sSub>
      </m:oMath>
      <w:r w:rsidRPr="00FC71BE">
        <w:t>) together with the copper loss (</w:t>
      </w:r>
      <m:oMath>
        <m:sSub>
          <m:sSubPr>
            <m:ctrlPr>
              <w:rPr>
                <w:rFonts w:ascii="Cambria Math" w:hAnsi="Cambria Math"/>
              </w:rPr>
            </m:ctrlPr>
          </m:sSubPr>
          <m:e>
            <m:r>
              <w:rPr>
                <w:rFonts w:ascii="Cambria Math" w:hAnsi="Cambria Math"/>
              </w:rPr>
              <m:t>P</m:t>
            </m:r>
          </m:e>
          <m:sub>
            <m:r>
              <w:rPr>
                <w:rFonts w:ascii="Cambria Math" w:hAnsi="Cambria Math"/>
              </w:rPr>
              <m:t>c</m:t>
            </m:r>
          </m:sub>
        </m:sSub>
      </m:oMath>
      <w:r w:rsidRPr="00FC71BE">
        <w:t>), the efficiency (</w:t>
      </w:r>
      <m:oMath>
        <m:r>
          <w:rPr>
            <w:rFonts w:ascii="Cambria Math" w:hAnsi="Cambria Math"/>
          </w:rPr>
          <m:t>η</m:t>
        </m:r>
      </m:oMath>
      <w:r w:rsidRPr="00FC71BE">
        <w:t>) can be calculated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1019B656" w14:textId="77777777">
        <w:tc>
          <w:tcPr>
            <w:tcW w:w="4493" w:type="pct"/>
            <w:vAlign w:val="center"/>
          </w:tcPr>
          <w:p w14:paraId="1A4A7B25" w14:textId="77777777" w:rsidR="00C56E32" w:rsidRPr="00FC71BE" w:rsidRDefault="00C56E32">
            <w:pPr>
              <w:pStyle w:val="equation"/>
              <w:rPr>
                <w:color w:val="auto"/>
              </w:rPr>
            </w:pPr>
            <m:oMathPara>
              <m:oMath>
                <m:r>
                  <w:rPr>
                    <w:rFonts w:ascii="Cambria Math" w:hAnsi="Cambria Math"/>
                    <w:color w:val="auto"/>
                  </w:rPr>
                  <w:lastRenderedPageBreak/>
                  <m:t>η</m:t>
                </m:r>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P</m:t>
                        </m:r>
                      </m:e>
                      <m:sub>
                        <m:r>
                          <w:rPr>
                            <w:rFonts w:ascii="Cambria Math" w:hAnsi="Cambria Math"/>
                            <w:color w:val="auto"/>
                          </w:rPr>
                          <m:t>out</m:t>
                        </m:r>
                      </m:sub>
                    </m:sSub>
                  </m:num>
                  <m:den>
                    <m:sSub>
                      <m:sSubPr>
                        <m:ctrlPr>
                          <w:rPr>
                            <w:rFonts w:ascii="Cambria Math" w:hAnsi="Cambria Math"/>
                            <w:color w:val="auto"/>
                          </w:rPr>
                        </m:ctrlPr>
                      </m:sSubPr>
                      <m:e>
                        <m:r>
                          <w:rPr>
                            <w:rFonts w:ascii="Cambria Math" w:hAnsi="Cambria Math"/>
                            <w:color w:val="auto"/>
                          </w:rPr>
                          <m:t>P</m:t>
                        </m:r>
                      </m:e>
                      <m:sub>
                        <m:r>
                          <w:rPr>
                            <w:rFonts w:ascii="Cambria Math" w:hAnsi="Cambria Math"/>
                            <w:color w:val="auto"/>
                          </w:rPr>
                          <m:t>out</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P</m:t>
                        </m:r>
                      </m:e>
                      <m:sub>
                        <m:r>
                          <w:rPr>
                            <w:rFonts w:ascii="Cambria Math" w:hAnsi="Cambria Math"/>
                            <w:color w:val="auto"/>
                          </w:rPr>
                          <m:t>i</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P</m:t>
                        </m:r>
                      </m:e>
                      <m:sub>
                        <m:r>
                          <w:rPr>
                            <w:rFonts w:ascii="Cambria Math" w:hAnsi="Cambria Math"/>
                            <w:color w:val="auto"/>
                          </w:rPr>
                          <m:t>m</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P</m:t>
                        </m:r>
                      </m:e>
                      <m:sub>
                        <m:r>
                          <w:rPr>
                            <w:rFonts w:ascii="Cambria Math" w:hAnsi="Cambria Math"/>
                            <w:color w:val="auto"/>
                          </w:rPr>
                          <m:t>c</m:t>
                        </m:r>
                      </m:sub>
                    </m:sSub>
                  </m:den>
                </m:f>
              </m:oMath>
            </m:oMathPara>
          </w:p>
        </w:tc>
        <w:tc>
          <w:tcPr>
            <w:tcW w:w="507" w:type="pct"/>
            <w:vAlign w:val="center"/>
          </w:tcPr>
          <w:p w14:paraId="3663073E" w14:textId="1EA67E48" w:rsidR="00C56E32" w:rsidRPr="00FC71BE" w:rsidRDefault="00C56E32">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16</w:t>
            </w:r>
            <w:r w:rsidR="002839C4" w:rsidRPr="00FC71BE">
              <w:rPr>
                <w:color w:val="auto"/>
              </w:rPr>
              <w:fldChar w:fldCharType="end"/>
            </w:r>
            <w:r w:rsidRPr="00FC71BE">
              <w:rPr>
                <w:color w:val="auto"/>
              </w:rPr>
              <w:t>)</w:t>
            </w:r>
          </w:p>
        </w:tc>
      </w:tr>
    </w:tbl>
    <w:p w14:paraId="4574A86E" w14:textId="356E0F7C" w:rsidR="00C56E32" w:rsidRPr="00FC71BE" w:rsidRDefault="00C56E32" w:rsidP="00C56E32">
      <w:r w:rsidRPr="00FC71BE">
        <w:t xml:space="preserve">Due to slightly higher copper loss, iron losses and PM eddy current loss, as shown in </w:t>
      </w:r>
      <w:r w:rsidRPr="00FC71BE">
        <w:fldChar w:fldCharType="begin"/>
      </w:r>
      <w:r w:rsidRPr="00FC71BE">
        <w:instrText xml:space="preserve"> REF _Ref139893459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11</w:t>
      </w:r>
      <w:r w:rsidRPr="00FC71BE">
        <w:fldChar w:fldCharType="end"/>
      </w:r>
      <w:r w:rsidRPr="00FC71BE">
        <w:t xml:space="preserve">, the modular machine optimized by method 1 will have slightly reduced efficiency under most operation conditions as shown in </w:t>
      </w:r>
      <w:r w:rsidRPr="00FC71BE">
        <w:fldChar w:fldCharType="begin"/>
      </w:r>
      <w:r w:rsidRPr="00FC71BE">
        <w:instrText xml:space="preserve"> REF _Ref139893638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12</w:t>
      </w:r>
      <w:r w:rsidRPr="00FC71BE">
        <w:fldChar w:fldCharType="end"/>
      </w:r>
      <w:r w:rsidRPr="00FC71BE">
        <w:t>. This is due to the fact that the main objective of the global optimization is to improve the average torque (weight in the fitness function is 1) and to reduce machine total mass (weight in the fitness function is 0.4). However, reducing the loss (weight in the fitness function is only 0.2) has been considered as a secondary objective, just like the torque ripple (weight in the fitness function is only 0.1).</w:t>
      </w:r>
    </w:p>
    <w:p w14:paraId="32A22708" w14:textId="77CD4E42" w:rsidR="00B22008" w:rsidRPr="00FC71BE" w:rsidRDefault="00B22008" w:rsidP="00C56E32">
      <w:pPr>
        <w:rPr>
          <w:sz w:val="20"/>
        </w:rPr>
      </w:pPr>
      <w:r w:rsidRPr="00FC71BE">
        <w:t xml:space="preserve">According to </w:t>
      </w:r>
      <w:r w:rsidRPr="00FC71BE">
        <w:fldChar w:fldCharType="begin"/>
      </w:r>
      <w:r w:rsidRPr="00FC71BE">
        <w:instrText xml:space="preserve"> REF _Ref136294370 \h </w:instrText>
      </w:r>
      <w:r w:rsidRPr="00FC71BE">
        <w:fldChar w:fldCharType="separate"/>
      </w:r>
      <w:r w:rsidR="007E62C1" w:rsidRPr="00FC71BE">
        <w:t>(</w:t>
      </w:r>
      <w:r w:rsidR="007E62C1" w:rsidRPr="00FC71BE">
        <w:rPr>
          <w:noProof/>
        </w:rPr>
        <w:t>2</w:t>
      </w:r>
      <w:r w:rsidR="007E62C1" w:rsidRPr="00FC71BE">
        <w:t>.</w:t>
      </w:r>
      <w:r w:rsidR="007E62C1" w:rsidRPr="00FC71BE">
        <w:rPr>
          <w:noProof/>
        </w:rPr>
        <w:t>3</w:t>
      </w:r>
      <w:r w:rsidR="007E62C1" w:rsidRPr="00FC71BE">
        <w:t>)</w:t>
      </w:r>
      <w:r w:rsidRPr="00FC71BE">
        <w:fldChar w:fldCharType="end"/>
      </w:r>
      <w:r w:rsidRPr="00FC71BE">
        <w:t xml:space="preserve"> to </w:t>
      </w:r>
      <w:r w:rsidRPr="00FC71BE">
        <w:fldChar w:fldCharType="begin"/>
      </w:r>
      <w:r w:rsidRPr="00FC71BE">
        <w:instrText xml:space="preserve"> REF _Ref139994885 \h </w:instrText>
      </w:r>
      <w:r w:rsidRPr="00FC71BE">
        <w:fldChar w:fldCharType="separate"/>
      </w:r>
      <w:r w:rsidR="007E62C1" w:rsidRPr="00FC71BE">
        <w:t>(</w:t>
      </w:r>
      <w:r w:rsidR="007E62C1" w:rsidRPr="00FC71BE">
        <w:rPr>
          <w:noProof/>
        </w:rPr>
        <w:t>2</w:t>
      </w:r>
      <w:r w:rsidR="007E62C1" w:rsidRPr="00FC71BE">
        <w:t>.</w:t>
      </w:r>
      <w:r w:rsidR="007E62C1" w:rsidRPr="00FC71BE">
        <w:rPr>
          <w:noProof/>
        </w:rPr>
        <w:t>14</w:t>
      </w:r>
      <w:r w:rsidR="007E62C1" w:rsidRPr="00FC71BE">
        <w:t>)</w:t>
      </w:r>
      <w:r w:rsidRPr="00FC71BE">
        <w:fldChar w:fldCharType="end"/>
      </w:r>
      <w:r w:rsidRPr="00FC71BE">
        <w:t xml:space="preserve">, the torque speed curve can be calculated for all SPM machines if </w:t>
      </w:r>
      <w:r w:rsidR="00053DD2" w:rsidRPr="00FC71BE">
        <w:t>their</w:t>
      </w:r>
      <w:r w:rsidRPr="00FC71BE">
        <w:t xml:space="preserve"> PM linkage</w:t>
      </w:r>
      <w:r w:rsidR="00053DD2" w:rsidRPr="00FC71BE">
        <w:t>s</w:t>
      </w:r>
      <w:r w:rsidRPr="00FC71BE">
        <w:t xml:space="preserve"> and inductances are known. Moreover, the losses at each operation point are calculated according to the FE modelling and correction factor in </w:t>
      </w:r>
      <w:r w:rsidRPr="00FC71BE">
        <w:fldChar w:fldCharType="begin"/>
      </w:r>
      <w:r w:rsidRPr="00FC71BE">
        <w:instrText xml:space="preserve"> REF _Ref157615439 \h </w:instrText>
      </w:r>
      <w:r w:rsidRPr="00FC71BE">
        <w:fldChar w:fldCharType="separate"/>
      </w:r>
      <w:r w:rsidR="007E62C1" w:rsidRPr="00FC71BE">
        <w:t>(</w:t>
      </w:r>
      <w:r w:rsidR="007E62C1" w:rsidRPr="00FC71BE">
        <w:rPr>
          <w:noProof/>
        </w:rPr>
        <w:t>2</w:t>
      </w:r>
      <w:r w:rsidR="007E62C1" w:rsidRPr="00FC71BE">
        <w:t>.</w:t>
      </w:r>
      <w:r w:rsidR="007E62C1" w:rsidRPr="00FC71BE">
        <w:rPr>
          <w:noProof/>
        </w:rPr>
        <w:t>15</w:t>
      </w:r>
      <w:r w:rsidR="007E62C1" w:rsidRPr="00FC71BE">
        <w:t>)</w:t>
      </w:r>
      <w:r w:rsidRPr="00FC71BE">
        <w:fldChar w:fldCharType="end"/>
      </w:r>
      <w:r w:rsidRPr="00FC71BE">
        <w:t>. Therefore, the efficiency map</w:t>
      </w:r>
      <w:r w:rsidR="00284AD2" w:rsidRPr="00FC71BE">
        <w:t>s</w:t>
      </w:r>
      <w:r w:rsidRPr="00FC71BE">
        <w:t xml:space="preserve"> </w:t>
      </w:r>
      <w:r w:rsidR="00D908F8" w:rsidRPr="00FC71BE">
        <w:t>of the</w:t>
      </w:r>
      <w:r w:rsidRPr="00FC71BE">
        <w:t xml:space="preserve"> machines </w:t>
      </w:r>
      <w:r w:rsidR="00284AD2" w:rsidRPr="00FC71BE">
        <w:t xml:space="preserve">have </w:t>
      </w:r>
      <w:r w:rsidRPr="00FC71BE">
        <w:t xml:space="preserve">also </w:t>
      </w:r>
      <w:r w:rsidR="00284AD2" w:rsidRPr="00FC71BE">
        <w:t xml:space="preserve">been </w:t>
      </w:r>
      <w:r w:rsidRPr="00FC71BE">
        <w:t>calculated.</w:t>
      </w:r>
    </w:p>
    <w:p w14:paraId="276E5DBA" w14:textId="77777777" w:rsidR="00C56E32" w:rsidRPr="00FC71BE" w:rsidRDefault="00C56E32" w:rsidP="00C56E32">
      <w:pPr>
        <w:pStyle w:val="Figure"/>
        <w:rPr>
          <w:noProof w:val="0"/>
        </w:rPr>
      </w:pPr>
      <w:r w:rsidRPr="00FC71BE">
        <w:rPr>
          <w14:ligatures w14:val="standardContextual"/>
        </w:rPr>
        <w:drawing>
          <wp:inline distT="0" distB="0" distL="0" distR="0" wp14:anchorId="3EA31DBC" wp14:editId="12B882C7">
            <wp:extent cx="4363200" cy="2617920"/>
            <wp:effectExtent l="0" t="0" r="0" b="0"/>
            <wp:docPr id="11" name="Picture 11" descr="A graph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A graph of a machine&#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63200" cy="2617920"/>
                    </a:xfrm>
                    <a:prstGeom prst="rect">
                      <a:avLst/>
                    </a:prstGeom>
                    <a:noFill/>
                    <a:ln>
                      <a:noFill/>
                    </a:ln>
                  </pic:spPr>
                </pic:pic>
              </a:graphicData>
            </a:graphic>
          </wp:inline>
        </w:drawing>
      </w:r>
    </w:p>
    <w:p w14:paraId="500E7346" w14:textId="446A09C9" w:rsidR="00C56E32" w:rsidRPr="00FC71BE" w:rsidRDefault="00C56E32" w:rsidP="00C56E32">
      <w:pPr>
        <w:pStyle w:val="FigureTitle"/>
      </w:pPr>
      <w:bookmarkStart w:id="112" w:name="_Ref139893452"/>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10</w:t>
        </w:r>
      </w:fldSimple>
      <w:bookmarkEnd w:id="112"/>
      <w:r w:rsidRPr="00FC71BE">
        <w:t>. Comparison of torque speed curves between optimized non-modular machine and modular machines with different optimization methods.</w:t>
      </w:r>
    </w:p>
    <w:p w14:paraId="556921F0" w14:textId="77777777" w:rsidR="00C56E32" w:rsidRPr="00FC71BE" w:rsidRDefault="00C56E32" w:rsidP="00C56E32">
      <w:pPr>
        <w:pStyle w:val="Figure"/>
        <w:rPr>
          <w:noProof w:val="0"/>
        </w:rPr>
      </w:pPr>
      <w:r w:rsidRPr="00FC71BE">
        <w:rPr>
          <w14:ligatures w14:val="standardContextual"/>
        </w:rPr>
        <w:lastRenderedPageBreak/>
        <w:drawing>
          <wp:inline distT="0" distB="0" distL="0" distR="0" wp14:anchorId="4B7DC430" wp14:editId="32DC529C">
            <wp:extent cx="4363200" cy="2617304"/>
            <wp:effectExtent l="0" t="0" r="0" b="0"/>
            <wp:docPr id="287973617" name="Picture 287973617" descr="A graph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A graph of a machine&#10;&#10;Description automatically generated"/>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63200" cy="2617304"/>
                    </a:xfrm>
                    <a:prstGeom prst="rect">
                      <a:avLst/>
                    </a:prstGeom>
                    <a:noFill/>
                    <a:ln>
                      <a:noFill/>
                    </a:ln>
                  </pic:spPr>
                </pic:pic>
              </a:graphicData>
            </a:graphic>
          </wp:inline>
        </w:drawing>
      </w:r>
    </w:p>
    <w:p w14:paraId="3D47E867" w14:textId="006F9BDE" w:rsidR="00C56E32" w:rsidRPr="00FC71BE" w:rsidRDefault="00C56E32" w:rsidP="00C56E32">
      <w:pPr>
        <w:pStyle w:val="FigureTitle"/>
      </w:pPr>
      <w:bookmarkStart w:id="113" w:name="_Ref139893459"/>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11</w:t>
        </w:r>
      </w:fldSimple>
      <w:bookmarkEnd w:id="113"/>
      <w:r w:rsidRPr="00FC71BE">
        <w:t>. Comparison of losses-speed curves between optimized non-modular machine and modular machines with different optimization methods.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715B14E1" w14:textId="77777777">
        <w:tc>
          <w:tcPr>
            <w:tcW w:w="9016" w:type="dxa"/>
          </w:tcPr>
          <w:p w14:paraId="0AAB86B2" w14:textId="77777777" w:rsidR="00C56E32" w:rsidRPr="00FC71BE" w:rsidRDefault="00C56E32">
            <w:pPr>
              <w:pStyle w:val="Figure"/>
              <w:rPr>
                <w:noProof w:val="0"/>
              </w:rPr>
            </w:pPr>
            <w:r w:rsidRPr="00FC71BE">
              <w:drawing>
                <wp:inline distT="0" distB="0" distL="0" distR="0" wp14:anchorId="4959F719" wp14:editId="65A093CF">
                  <wp:extent cx="4363200" cy="2616285"/>
                  <wp:effectExtent l="0" t="0" r="0" b="0"/>
                  <wp:docPr id="20" name="Picture 20" descr="A graph of a speed diagram&#10;&#10;Description automatically generated">
                    <a:extLst xmlns:a="http://schemas.openxmlformats.org/drawingml/2006/main">
                      <a:ext uri="{FF2B5EF4-FFF2-40B4-BE49-F238E27FC236}">
                        <a16:creationId xmlns:a16="http://schemas.microsoft.com/office/drawing/2014/main" id="{F053A152-9DF5-4EA7-8AEF-8556EC5973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aph of a speed diagram&#10;&#10;Description automatically generated">
                            <a:extLst>
                              <a:ext uri="{FF2B5EF4-FFF2-40B4-BE49-F238E27FC236}">
                                <a16:creationId xmlns:a16="http://schemas.microsoft.com/office/drawing/2014/main" id="{F053A152-9DF5-4EA7-8AEF-8556EC597381}"/>
                              </a:ext>
                            </a:extLst>
                          </pic:cNvPr>
                          <pic:cNvPicPr>
                            <a:picLocks noChangeAspect="1"/>
                          </pic:cNvPicPr>
                        </pic:nvPicPr>
                        <pic:blipFill>
                          <a:blip r:embed="rId78"/>
                          <a:stretch>
                            <a:fillRect/>
                          </a:stretch>
                        </pic:blipFill>
                        <pic:spPr>
                          <a:xfrm>
                            <a:off x="0" y="0"/>
                            <a:ext cx="4363200" cy="2616285"/>
                          </a:xfrm>
                          <a:prstGeom prst="rect">
                            <a:avLst/>
                          </a:prstGeom>
                        </pic:spPr>
                      </pic:pic>
                    </a:graphicData>
                  </a:graphic>
                </wp:inline>
              </w:drawing>
            </w:r>
          </w:p>
        </w:tc>
      </w:tr>
      <w:tr w:rsidR="00FC71BE" w:rsidRPr="00FC71BE" w14:paraId="1560754D" w14:textId="77777777">
        <w:tc>
          <w:tcPr>
            <w:tcW w:w="9016" w:type="dxa"/>
          </w:tcPr>
          <w:p w14:paraId="4E3D011C" w14:textId="77777777" w:rsidR="00C56E32" w:rsidRPr="00FC71BE" w:rsidRDefault="00C56E32">
            <w:pPr>
              <w:pStyle w:val="Figure"/>
              <w:rPr>
                <w:noProof w:val="0"/>
              </w:rPr>
            </w:pPr>
            <w:r w:rsidRPr="00FC71BE">
              <w:rPr>
                <w:noProof w:val="0"/>
              </w:rPr>
              <w:t>(a) Optimized non-modular machine</w:t>
            </w:r>
          </w:p>
        </w:tc>
      </w:tr>
      <w:tr w:rsidR="00FC71BE" w:rsidRPr="00FC71BE" w14:paraId="59670D4C" w14:textId="77777777">
        <w:tc>
          <w:tcPr>
            <w:tcW w:w="9016" w:type="dxa"/>
          </w:tcPr>
          <w:p w14:paraId="3080D48E" w14:textId="77777777" w:rsidR="00C56E32" w:rsidRPr="00FC71BE" w:rsidRDefault="00C56E32">
            <w:pPr>
              <w:pStyle w:val="Figure"/>
              <w:rPr>
                <w:noProof w:val="0"/>
              </w:rPr>
            </w:pPr>
            <w:r w:rsidRPr="00FC71BE">
              <w:drawing>
                <wp:inline distT="0" distB="0" distL="0" distR="0" wp14:anchorId="3457C44D" wp14:editId="430A9693">
                  <wp:extent cx="4363200" cy="2616285"/>
                  <wp:effectExtent l="0" t="0" r="0" b="0"/>
                  <wp:docPr id="405702859" name="Picture 405702859" descr="A graph of a speed diagram&#10;&#10;Description automatically generated">
                    <a:extLst xmlns:a="http://schemas.openxmlformats.org/drawingml/2006/main">
                      <a:ext uri="{FF2B5EF4-FFF2-40B4-BE49-F238E27FC236}">
                        <a16:creationId xmlns:a16="http://schemas.microsoft.com/office/drawing/2014/main" id="{78736E18-0DC3-4A0E-943D-7466E7179E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02859" name="Picture 405702859" descr="A graph of a speed diagram&#10;&#10;Description automatically generated">
                            <a:extLst>
                              <a:ext uri="{FF2B5EF4-FFF2-40B4-BE49-F238E27FC236}">
                                <a16:creationId xmlns:a16="http://schemas.microsoft.com/office/drawing/2014/main" id="{78736E18-0DC3-4A0E-943D-7466E7179E6D}"/>
                              </a:ext>
                            </a:extLst>
                          </pic:cNvPr>
                          <pic:cNvPicPr>
                            <a:picLocks noChangeAspect="1"/>
                          </pic:cNvPicPr>
                        </pic:nvPicPr>
                        <pic:blipFill>
                          <a:blip r:embed="rId79"/>
                          <a:stretch>
                            <a:fillRect/>
                          </a:stretch>
                        </pic:blipFill>
                        <pic:spPr>
                          <a:xfrm>
                            <a:off x="0" y="0"/>
                            <a:ext cx="4363200" cy="2616285"/>
                          </a:xfrm>
                          <a:prstGeom prst="rect">
                            <a:avLst/>
                          </a:prstGeom>
                        </pic:spPr>
                      </pic:pic>
                    </a:graphicData>
                  </a:graphic>
                </wp:inline>
              </w:drawing>
            </w:r>
          </w:p>
        </w:tc>
      </w:tr>
      <w:tr w:rsidR="00FC71BE" w:rsidRPr="00FC71BE" w14:paraId="073437AB" w14:textId="77777777">
        <w:tc>
          <w:tcPr>
            <w:tcW w:w="9016" w:type="dxa"/>
          </w:tcPr>
          <w:p w14:paraId="617601E9" w14:textId="77777777" w:rsidR="00C56E32" w:rsidRPr="00FC71BE" w:rsidRDefault="00C56E32">
            <w:pPr>
              <w:pStyle w:val="Figure"/>
              <w:rPr>
                <w:noProof w:val="0"/>
              </w:rPr>
            </w:pPr>
            <w:r w:rsidRPr="00FC71BE">
              <w:rPr>
                <w:noProof w:val="0"/>
              </w:rPr>
              <w:t>(b) Optimized modular machines by method 1</w:t>
            </w:r>
          </w:p>
        </w:tc>
      </w:tr>
      <w:tr w:rsidR="00FC71BE" w:rsidRPr="00FC71BE" w14:paraId="6369D2DE" w14:textId="77777777">
        <w:tc>
          <w:tcPr>
            <w:tcW w:w="9016" w:type="dxa"/>
          </w:tcPr>
          <w:p w14:paraId="79483D6F" w14:textId="77777777" w:rsidR="00C56E32" w:rsidRPr="00FC71BE" w:rsidRDefault="00C56E32">
            <w:pPr>
              <w:pStyle w:val="Figure"/>
              <w:rPr>
                <w:noProof w:val="0"/>
              </w:rPr>
            </w:pPr>
            <w:r w:rsidRPr="00FC71BE">
              <w:lastRenderedPageBreak/>
              <w:drawing>
                <wp:inline distT="0" distB="0" distL="0" distR="0" wp14:anchorId="320C1B99" wp14:editId="08EC43A2">
                  <wp:extent cx="4363200" cy="2620103"/>
                  <wp:effectExtent l="0" t="0" r="0" b="8890"/>
                  <wp:docPr id="26" name="Picture 26" descr="A graph of a speed diagram&#10;&#10;Description automatically generated">
                    <a:extLst xmlns:a="http://schemas.openxmlformats.org/drawingml/2006/main">
                      <a:ext uri="{FF2B5EF4-FFF2-40B4-BE49-F238E27FC236}">
                        <a16:creationId xmlns:a16="http://schemas.microsoft.com/office/drawing/2014/main" id="{FDECE0ED-7BBE-4CE5-B9D7-BF055EF2F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aph of a speed diagram&#10;&#10;Description automatically generated">
                            <a:extLst>
                              <a:ext uri="{FF2B5EF4-FFF2-40B4-BE49-F238E27FC236}">
                                <a16:creationId xmlns:a16="http://schemas.microsoft.com/office/drawing/2014/main" id="{FDECE0ED-7BBE-4CE5-B9D7-BF055EF2F098}"/>
                              </a:ext>
                            </a:extLst>
                          </pic:cNvPr>
                          <pic:cNvPicPr>
                            <a:picLocks noChangeAspect="1"/>
                          </pic:cNvPicPr>
                        </pic:nvPicPr>
                        <pic:blipFill>
                          <a:blip r:embed="rId80"/>
                          <a:stretch>
                            <a:fillRect/>
                          </a:stretch>
                        </pic:blipFill>
                        <pic:spPr>
                          <a:xfrm>
                            <a:off x="0" y="0"/>
                            <a:ext cx="4363200" cy="2620103"/>
                          </a:xfrm>
                          <a:prstGeom prst="rect">
                            <a:avLst/>
                          </a:prstGeom>
                        </pic:spPr>
                      </pic:pic>
                    </a:graphicData>
                  </a:graphic>
                </wp:inline>
              </w:drawing>
            </w:r>
          </w:p>
        </w:tc>
      </w:tr>
      <w:tr w:rsidR="00FC71BE" w:rsidRPr="00FC71BE" w14:paraId="32D86E07" w14:textId="77777777">
        <w:tc>
          <w:tcPr>
            <w:tcW w:w="9016" w:type="dxa"/>
          </w:tcPr>
          <w:p w14:paraId="6DCB7F1D" w14:textId="77777777" w:rsidR="00C56E32" w:rsidRPr="00FC71BE" w:rsidRDefault="00C56E32">
            <w:pPr>
              <w:pStyle w:val="Figure"/>
              <w:rPr>
                <w:noProof w:val="0"/>
              </w:rPr>
            </w:pPr>
            <w:r w:rsidRPr="00FC71BE">
              <w:rPr>
                <w:noProof w:val="0"/>
              </w:rPr>
              <w:t>(c) Optimized modular machines by method 2</w:t>
            </w:r>
          </w:p>
        </w:tc>
      </w:tr>
    </w:tbl>
    <w:p w14:paraId="3401CB00" w14:textId="6742C26C" w:rsidR="00C56E32" w:rsidRPr="00FC71BE" w:rsidRDefault="00C56E32" w:rsidP="00C56E32">
      <w:pPr>
        <w:pStyle w:val="FigureTitle"/>
      </w:pPr>
      <w:bookmarkStart w:id="114" w:name="_Ref139893638"/>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12</w:t>
        </w:r>
      </w:fldSimple>
      <w:bookmarkEnd w:id="114"/>
      <w:r w:rsidRPr="00FC71BE">
        <w:t>. Efficiency maps.</w:t>
      </w:r>
    </w:p>
    <w:p w14:paraId="43D58B47" w14:textId="77777777" w:rsidR="00C56E32" w:rsidRPr="00FC71BE" w:rsidRDefault="00C56E32" w:rsidP="00B86C68">
      <w:pPr>
        <w:pStyle w:val="Heading3"/>
        <w:numPr>
          <w:ilvl w:val="2"/>
          <w:numId w:val="49"/>
        </w:numPr>
      </w:pPr>
      <w:bookmarkStart w:id="115" w:name="_Toc157695342"/>
      <w:r w:rsidRPr="00FC71BE">
        <w:t>Optimization for the 24-slot/20-pole SPM Machine.</w:t>
      </w:r>
      <w:bookmarkEnd w:id="115"/>
    </w:p>
    <w:p w14:paraId="724CF92F" w14:textId="77259DD8" w:rsidR="00C56E32" w:rsidRPr="00FC71BE" w:rsidRDefault="00C56E32" w:rsidP="00C56E32">
      <w:bookmarkStart w:id="116" w:name="_Hlk54722519"/>
      <w:r w:rsidRPr="00FC71BE">
        <w:t xml:space="preserve">For comparison purpose, the same optimization process (method 1) is implemented for the 24-slot/20-pole modular and non-modular machines. The optimized machine parameters are listed in </w:t>
      </w:r>
      <w:r w:rsidRPr="00FC71BE">
        <w:fldChar w:fldCharType="begin"/>
      </w:r>
      <w:r w:rsidRPr="00FC71BE">
        <w:instrText xml:space="preserve"> REF _Ref125489986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6</w:t>
      </w:r>
      <w:r w:rsidRPr="00FC71BE">
        <w:fldChar w:fldCharType="end"/>
      </w:r>
      <w:r w:rsidRPr="00FC71BE">
        <w:t>. It is worth noting that considering the feasible mesh size in the flux gap region, the minimum flux gap width chosen for the optimization process is 0.5</w:t>
      </w:r>
      <w:r w:rsidRPr="00FC71BE">
        <w:rPr>
          <w:iCs/>
        </w:rPr>
        <w:t>mm</w:t>
      </w:r>
      <w:r w:rsidRPr="00FC71BE">
        <w:t>, which is exactly the same as the optimized flux gap width for the 24-slot/20-pole modular machine. The results have shown that by introducing the flux gaps, the fitness function will always reduce regardless of the flux gap width, this is the same for the primary objective, i.e., average torque. Therefore, this means that for the 24-slot/20-pole machine, the flux gaps should not be introduced to avoid deteriorating its performance.</w:t>
      </w:r>
    </w:p>
    <w:p w14:paraId="0E006A7A" w14:textId="77BCAB85" w:rsidR="00C56E32" w:rsidRPr="00FC71BE" w:rsidRDefault="00C56E32" w:rsidP="00C56E32">
      <w:pPr>
        <w:pStyle w:val="Tabletitle"/>
        <w:rPr>
          <w:color w:val="auto"/>
        </w:rPr>
      </w:pPr>
      <w:bookmarkStart w:id="117" w:name="_Ref125489986"/>
      <w:bookmarkEnd w:id="116"/>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6</w:t>
      </w:r>
      <w:r w:rsidR="002839C4" w:rsidRPr="00FC71BE">
        <w:rPr>
          <w:color w:val="auto"/>
        </w:rPr>
        <w:fldChar w:fldCharType="end"/>
      </w:r>
      <w:bookmarkEnd w:id="117"/>
      <w:r w:rsidRPr="00FC71BE">
        <w:rPr>
          <w:color w:val="auto"/>
        </w:rPr>
        <w:t xml:space="preserve"> Comparison between Optimized 24-slot/20-pole Modular and Non-Modular Machines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0"/>
        <w:gridCol w:w="1385"/>
        <w:gridCol w:w="1944"/>
        <w:gridCol w:w="2127"/>
      </w:tblGrid>
      <w:tr w:rsidR="00FC71BE" w:rsidRPr="00FC71BE" w14:paraId="1D0DACD5" w14:textId="77777777">
        <w:tc>
          <w:tcPr>
            <w:tcW w:w="1978" w:type="pct"/>
            <w:tcBorders>
              <w:top w:val="single" w:sz="4" w:space="0" w:color="auto"/>
              <w:bottom w:val="single" w:sz="4" w:space="0" w:color="auto"/>
            </w:tcBorders>
          </w:tcPr>
          <w:p w14:paraId="41017B19" w14:textId="77777777" w:rsidR="00C56E32" w:rsidRPr="00FC71BE" w:rsidRDefault="00C56E32">
            <w:pPr>
              <w:pStyle w:val="Table"/>
              <w:rPr>
                <w:color w:val="auto"/>
                <w:lang w:eastAsia="zh-CN"/>
              </w:rPr>
            </w:pPr>
            <w:bookmarkStart w:id="118" w:name="_Hlk77074974"/>
          </w:p>
        </w:tc>
        <w:tc>
          <w:tcPr>
            <w:tcW w:w="767" w:type="pct"/>
            <w:tcBorders>
              <w:top w:val="single" w:sz="4" w:space="0" w:color="auto"/>
              <w:bottom w:val="single" w:sz="4" w:space="0" w:color="auto"/>
            </w:tcBorders>
          </w:tcPr>
          <w:p w14:paraId="70DC516F" w14:textId="77777777" w:rsidR="00C56E32" w:rsidRPr="00FC71BE" w:rsidRDefault="00C56E32">
            <w:pPr>
              <w:pStyle w:val="Table"/>
              <w:rPr>
                <w:color w:val="auto"/>
                <w:lang w:eastAsia="zh-CN"/>
              </w:rPr>
            </w:pPr>
            <w:r w:rsidRPr="00FC71BE">
              <w:rPr>
                <w:color w:val="auto"/>
                <w:lang w:eastAsia="zh-CN"/>
              </w:rPr>
              <w:t>Modular</w:t>
            </w:r>
          </w:p>
        </w:tc>
        <w:tc>
          <w:tcPr>
            <w:tcW w:w="1077" w:type="pct"/>
            <w:tcBorders>
              <w:top w:val="single" w:sz="4" w:space="0" w:color="auto"/>
              <w:bottom w:val="single" w:sz="4" w:space="0" w:color="auto"/>
            </w:tcBorders>
          </w:tcPr>
          <w:p w14:paraId="4F2D09FB" w14:textId="77777777" w:rsidR="00C56E32" w:rsidRPr="00FC71BE" w:rsidRDefault="00C56E32">
            <w:pPr>
              <w:pStyle w:val="Table"/>
              <w:rPr>
                <w:color w:val="auto"/>
                <w:lang w:eastAsia="zh-CN"/>
              </w:rPr>
            </w:pPr>
            <w:r w:rsidRPr="00FC71BE">
              <w:rPr>
                <w:color w:val="auto"/>
                <w:lang w:eastAsia="zh-CN"/>
              </w:rPr>
              <w:t>Non-modular</w:t>
            </w:r>
          </w:p>
        </w:tc>
        <w:tc>
          <w:tcPr>
            <w:tcW w:w="1178" w:type="pct"/>
            <w:tcBorders>
              <w:top w:val="single" w:sz="4" w:space="0" w:color="auto"/>
              <w:bottom w:val="single" w:sz="4" w:space="0" w:color="auto"/>
            </w:tcBorders>
          </w:tcPr>
          <w:p w14:paraId="0DE4C95D" w14:textId="77777777" w:rsidR="00C56E32" w:rsidRPr="00FC71BE" w:rsidRDefault="00C56E32">
            <w:pPr>
              <w:pStyle w:val="Table"/>
              <w:rPr>
                <w:color w:val="auto"/>
                <w:lang w:eastAsia="zh-CN"/>
              </w:rPr>
            </w:pPr>
            <w:r w:rsidRPr="00FC71BE">
              <w:rPr>
                <w:color w:val="auto"/>
                <w:lang w:eastAsia="zh-CN"/>
              </w:rPr>
              <w:t>Difference (%)</w:t>
            </w:r>
          </w:p>
        </w:tc>
      </w:tr>
      <w:tr w:rsidR="00FC71BE" w:rsidRPr="00FC71BE" w14:paraId="6B79E053" w14:textId="77777777">
        <w:tc>
          <w:tcPr>
            <w:tcW w:w="1978" w:type="pct"/>
            <w:tcBorders>
              <w:top w:val="single" w:sz="4" w:space="0" w:color="auto"/>
            </w:tcBorders>
          </w:tcPr>
          <w:p w14:paraId="30AC3C20" w14:textId="77777777" w:rsidR="00C56E32" w:rsidRPr="00FC71BE" w:rsidRDefault="00C56E32">
            <w:pPr>
              <w:pStyle w:val="Table"/>
              <w:rPr>
                <w:color w:val="auto"/>
                <w:lang w:eastAsia="zh-CN"/>
              </w:rPr>
            </w:pPr>
            <w:r w:rsidRPr="00FC71BE">
              <w:rPr>
                <w:color w:val="auto"/>
                <w:lang w:eastAsia="zh-CN"/>
              </w:rPr>
              <w:t>Split ratio</w:t>
            </w:r>
          </w:p>
        </w:tc>
        <w:tc>
          <w:tcPr>
            <w:tcW w:w="767" w:type="pct"/>
            <w:tcBorders>
              <w:top w:val="single" w:sz="4" w:space="0" w:color="auto"/>
            </w:tcBorders>
          </w:tcPr>
          <w:p w14:paraId="5A8B5BCF" w14:textId="77777777" w:rsidR="00C56E32" w:rsidRPr="00FC71BE" w:rsidRDefault="00C56E32">
            <w:pPr>
              <w:pStyle w:val="Table"/>
              <w:rPr>
                <w:color w:val="auto"/>
                <w:lang w:eastAsia="zh-CN"/>
              </w:rPr>
            </w:pPr>
            <w:r w:rsidRPr="00FC71BE">
              <w:rPr>
                <w:color w:val="auto"/>
                <w:lang w:eastAsia="zh-CN"/>
              </w:rPr>
              <w:t>0.81</w:t>
            </w:r>
          </w:p>
        </w:tc>
        <w:tc>
          <w:tcPr>
            <w:tcW w:w="1077" w:type="pct"/>
            <w:tcBorders>
              <w:top w:val="single" w:sz="4" w:space="0" w:color="auto"/>
            </w:tcBorders>
          </w:tcPr>
          <w:p w14:paraId="2F4DF947" w14:textId="77777777" w:rsidR="00C56E32" w:rsidRPr="00FC71BE" w:rsidRDefault="00C56E32">
            <w:pPr>
              <w:pStyle w:val="Table"/>
              <w:rPr>
                <w:color w:val="auto"/>
                <w:lang w:eastAsia="zh-CN"/>
              </w:rPr>
            </w:pPr>
            <w:r w:rsidRPr="00FC71BE">
              <w:rPr>
                <w:color w:val="auto"/>
                <w:lang w:eastAsia="zh-CN"/>
              </w:rPr>
              <w:t>0.81</w:t>
            </w:r>
          </w:p>
        </w:tc>
        <w:tc>
          <w:tcPr>
            <w:tcW w:w="1178" w:type="pct"/>
            <w:tcBorders>
              <w:top w:val="single" w:sz="4" w:space="0" w:color="auto"/>
            </w:tcBorders>
          </w:tcPr>
          <w:p w14:paraId="5D60F3E8" w14:textId="77777777" w:rsidR="00C56E32" w:rsidRPr="00FC71BE" w:rsidRDefault="00C56E32">
            <w:pPr>
              <w:pStyle w:val="Table"/>
              <w:rPr>
                <w:color w:val="auto"/>
                <w:lang w:eastAsia="zh-CN"/>
              </w:rPr>
            </w:pPr>
            <w:r w:rsidRPr="00FC71BE">
              <w:rPr>
                <w:color w:val="auto"/>
                <w:lang w:eastAsia="zh-CN"/>
              </w:rPr>
              <w:t>0</w:t>
            </w:r>
          </w:p>
        </w:tc>
      </w:tr>
      <w:tr w:rsidR="00FC71BE" w:rsidRPr="00FC71BE" w14:paraId="6891BD18" w14:textId="77777777">
        <w:tc>
          <w:tcPr>
            <w:tcW w:w="1978" w:type="pct"/>
          </w:tcPr>
          <w:p w14:paraId="3D9FB036" w14:textId="77777777" w:rsidR="00C56E32" w:rsidRPr="00FC71BE" w:rsidRDefault="00C56E32">
            <w:pPr>
              <w:pStyle w:val="Table"/>
              <w:rPr>
                <w:color w:val="auto"/>
                <w:lang w:eastAsia="zh-CN"/>
              </w:rPr>
            </w:pPr>
            <w:r w:rsidRPr="00FC71BE">
              <w:rPr>
                <w:color w:val="auto"/>
                <w:lang w:eastAsia="zh-CN"/>
              </w:rPr>
              <w:t>Stator tooth width (mm)</w:t>
            </w:r>
          </w:p>
        </w:tc>
        <w:tc>
          <w:tcPr>
            <w:tcW w:w="767" w:type="pct"/>
          </w:tcPr>
          <w:p w14:paraId="3237DC5D" w14:textId="77777777" w:rsidR="00C56E32" w:rsidRPr="00FC71BE" w:rsidRDefault="00C56E32">
            <w:pPr>
              <w:pStyle w:val="Table"/>
              <w:rPr>
                <w:color w:val="auto"/>
                <w:lang w:eastAsia="zh-CN"/>
              </w:rPr>
            </w:pPr>
            <w:r w:rsidRPr="00FC71BE">
              <w:rPr>
                <w:color w:val="auto"/>
                <w:lang w:eastAsia="zh-CN"/>
              </w:rPr>
              <w:t>16.4</w:t>
            </w:r>
          </w:p>
        </w:tc>
        <w:tc>
          <w:tcPr>
            <w:tcW w:w="1077" w:type="pct"/>
          </w:tcPr>
          <w:p w14:paraId="240D9FF9" w14:textId="77777777" w:rsidR="00C56E32" w:rsidRPr="00FC71BE" w:rsidRDefault="00C56E32">
            <w:pPr>
              <w:pStyle w:val="Table"/>
              <w:rPr>
                <w:color w:val="auto"/>
                <w:lang w:eastAsia="zh-CN"/>
              </w:rPr>
            </w:pPr>
            <w:r w:rsidRPr="00FC71BE">
              <w:rPr>
                <w:color w:val="auto"/>
                <w:lang w:eastAsia="zh-CN"/>
              </w:rPr>
              <w:t>16.6</w:t>
            </w:r>
          </w:p>
        </w:tc>
        <w:tc>
          <w:tcPr>
            <w:tcW w:w="1178" w:type="pct"/>
          </w:tcPr>
          <w:p w14:paraId="39BED22C" w14:textId="77777777" w:rsidR="00C56E32" w:rsidRPr="00FC71BE" w:rsidRDefault="00C56E32">
            <w:pPr>
              <w:pStyle w:val="Table"/>
              <w:rPr>
                <w:color w:val="auto"/>
                <w:lang w:eastAsia="zh-CN"/>
              </w:rPr>
            </w:pPr>
            <w:r w:rsidRPr="00FC71BE">
              <w:rPr>
                <w:color w:val="auto"/>
                <w:lang w:eastAsia="zh-CN"/>
              </w:rPr>
              <w:t>1.2</w:t>
            </w:r>
          </w:p>
        </w:tc>
      </w:tr>
      <w:tr w:rsidR="00FC71BE" w:rsidRPr="00FC71BE" w14:paraId="3D6A3CC1" w14:textId="77777777">
        <w:tc>
          <w:tcPr>
            <w:tcW w:w="1978" w:type="pct"/>
          </w:tcPr>
          <w:p w14:paraId="3A103D20" w14:textId="77777777" w:rsidR="00C56E32" w:rsidRPr="00FC71BE" w:rsidRDefault="00C56E32">
            <w:pPr>
              <w:pStyle w:val="Table"/>
              <w:rPr>
                <w:color w:val="auto"/>
                <w:lang w:eastAsia="zh-CN"/>
              </w:rPr>
            </w:pPr>
            <w:r w:rsidRPr="00FC71BE">
              <w:rPr>
                <w:color w:val="auto"/>
                <w:lang w:eastAsia="zh-CN"/>
              </w:rPr>
              <w:t>Stator yoke thickness (mm)</w:t>
            </w:r>
          </w:p>
        </w:tc>
        <w:tc>
          <w:tcPr>
            <w:tcW w:w="767" w:type="pct"/>
          </w:tcPr>
          <w:p w14:paraId="1C05D4B0" w14:textId="77777777" w:rsidR="00C56E32" w:rsidRPr="00FC71BE" w:rsidRDefault="00C56E32">
            <w:pPr>
              <w:pStyle w:val="Table"/>
              <w:rPr>
                <w:color w:val="auto"/>
                <w:lang w:eastAsia="zh-CN"/>
              </w:rPr>
            </w:pPr>
            <w:r w:rsidRPr="00FC71BE">
              <w:rPr>
                <w:color w:val="auto"/>
                <w:lang w:eastAsia="zh-CN"/>
              </w:rPr>
              <w:t>6.2</w:t>
            </w:r>
          </w:p>
        </w:tc>
        <w:tc>
          <w:tcPr>
            <w:tcW w:w="1077" w:type="pct"/>
          </w:tcPr>
          <w:p w14:paraId="26BD122C" w14:textId="77777777" w:rsidR="00C56E32" w:rsidRPr="00FC71BE" w:rsidRDefault="00C56E32">
            <w:pPr>
              <w:pStyle w:val="Table"/>
              <w:rPr>
                <w:color w:val="auto"/>
                <w:lang w:eastAsia="zh-CN"/>
              </w:rPr>
            </w:pPr>
            <w:r w:rsidRPr="00FC71BE">
              <w:rPr>
                <w:color w:val="auto"/>
                <w:lang w:eastAsia="zh-CN"/>
              </w:rPr>
              <w:t>6.7</w:t>
            </w:r>
          </w:p>
        </w:tc>
        <w:tc>
          <w:tcPr>
            <w:tcW w:w="1178" w:type="pct"/>
          </w:tcPr>
          <w:p w14:paraId="3E6ED83C" w14:textId="77777777" w:rsidR="00C56E32" w:rsidRPr="00FC71BE" w:rsidRDefault="00C56E32">
            <w:pPr>
              <w:pStyle w:val="Table"/>
              <w:rPr>
                <w:color w:val="auto"/>
                <w:lang w:eastAsia="zh-CN"/>
              </w:rPr>
            </w:pPr>
            <w:r w:rsidRPr="00FC71BE">
              <w:rPr>
                <w:color w:val="auto"/>
                <w:lang w:eastAsia="zh-CN"/>
              </w:rPr>
              <w:t>7.4</w:t>
            </w:r>
          </w:p>
        </w:tc>
      </w:tr>
      <w:tr w:rsidR="00FC71BE" w:rsidRPr="00FC71BE" w14:paraId="0A63867D" w14:textId="77777777">
        <w:tc>
          <w:tcPr>
            <w:tcW w:w="1978" w:type="pct"/>
          </w:tcPr>
          <w:p w14:paraId="2FA9927A" w14:textId="77777777" w:rsidR="00C56E32" w:rsidRPr="00FC71BE" w:rsidRDefault="00C56E32">
            <w:pPr>
              <w:pStyle w:val="Table"/>
              <w:rPr>
                <w:color w:val="auto"/>
                <w:lang w:eastAsia="zh-CN"/>
              </w:rPr>
            </w:pPr>
            <w:r w:rsidRPr="00FC71BE">
              <w:rPr>
                <w:color w:val="auto"/>
                <w:lang w:eastAsia="zh-CN"/>
              </w:rPr>
              <w:t>Rotor yoke thickness (mm)</w:t>
            </w:r>
          </w:p>
        </w:tc>
        <w:tc>
          <w:tcPr>
            <w:tcW w:w="767" w:type="pct"/>
          </w:tcPr>
          <w:p w14:paraId="17652E69" w14:textId="77777777" w:rsidR="00C56E32" w:rsidRPr="00FC71BE" w:rsidRDefault="00C56E32">
            <w:pPr>
              <w:pStyle w:val="Table"/>
              <w:rPr>
                <w:color w:val="auto"/>
                <w:lang w:eastAsia="zh-CN"/>
              </w:rPr>
            </w:pPr>
            <w:r w:rsidRPr="00FC71BE">
              <w:rPr>
                <w:color w:val="auto"/>
                <w:lang w:eastAsia="zh-CN"/>
              </w:rPr>
              <w:t>9.2</w:t>
            </w:r>
          </w:p>
        </w:tc>
        <w:tc>
          <w:tcPr>
            <w:tcW w:w="1077" w:type="pct"/>
          </w:tcPr>
          <w:p w14:paraId="1FB22EB0" w14:textId="77777777" w:rsidR="00C56E32" w:rsidRPr="00FC71BE" w:rsidRDefault="00C56E32">
            <w:pPr>
              <w:pStyle w:val="Table"/>
              <w:rPr>
                <w:color w:val="auto"/>
                <w:lang w:eastAsia="zh-CN"/>
              </w:rPr>
            </w:pPr>
            <w:r w:rsidRPr="00FC71BE">
              <w:rPr>
                <w:color w:val="auto"/>
                <w:lang w:eastAsia="zh-CN"/>
              </w:rPr>
              <w:t>8.9</w:t>
            </w:r>
          </w:p>
        </w:tc>
        <w:tc>
          <w:tcPr>
            <w:tcW w:w="1178" w:type="pct"/>
          </w:tcPr>
          <w:p w14:paraId="11B5E6CA" w14:textId="77777777" w:rsidR="00C56E32" w:rsidRPr="00FC71BE" w:rsidRDefault="00C56E32">
            <w:pPr>
              <w:pStyle w:val="Table"/>
              <w:rPr>
                <w:color w:val="auto"/>
                <w:lang w:eastAsia="zh-CN"/>
              </w:rPr>
            </w:pPr>
            <w:r w:rsidRPr="00FC71BE">
              <w:rPr>
                <w:color w:val="auto"/>
                <w:lang w:eastAsia="zh-CN"/>
              </w:rPr>
              <w:t>3.4</w:t>
            </w:r>
          </w:p>
        </w:tc>
      </w:tr>
      <w:tr w:rsidR="00FC71BE" w:rsidRPr="00FC71BE" w14:paraId="2E121025" w14:textId="77777777">
        <w:tc>
          <w:tcPr>
            <w:tcW w:w="1978" w:type="pct"/>
          </w:tcPr>
          <w:p w14:paraId="272B183E" w14:textId="77777777" w:rsidR="00C56E32" w:rsidRPr="00FC71BE" w:rsidRDefault="00C56E32">
            <w:pPr>
              <w:pStyle w:val="Table"/>
              <w:rPr>
                <w:color w:val="auto"/>
                <w:lang w:eastAsia="zh-CN"/>
              </w:rPr>
            </w:pPr>
            <w:r w:rsidRPr="00FC71BE">
              <w:rPr>
                <w:color w:val="auto"/>
                <w:lang w:eastAsia="zh-CN"/>
              </w:rPr>
              <w:t>Flux gap width (mm)</w:t>
            </w:r>
          </w:p>
        </w:tc>
        <w:tc>
          <w:tcPr>
            <w:tcW w:w="767" w:type="pct"/>
          </w:tcPr>
          <w:p w14:paraId="3B4DCA28" w14:textId="77777777" w:rsidR="00C56E32" w:rsidRPr="00FC71BE" w:rsidRDefault="00C56E32">
            <w:pPr>
              <w:pStyle w:val="Table"/>
              <w:rPr>
                <w:color w:val="auto"/>
                <w:lang w:eastAsia="zh-CN"/>
              </w:rPr>
            </w:pPr>
            <w:r w:rsidRPr="00FC71BE">
              <w:rPr>
                <w:color w:val="auto"/>
                <w:lang w:eastAsia="zh-CN"/>
              </w:rPr>
              <w:t>0.5</w:t>
            </w:r>
          </w:p>
        </w:tc>
        <w:tc>
          <w:tcPr>
            <w:tcW w:w="1077" w:type="pct"/>
          </w:tcPr>
          <w:p w14:paraId="32512CE2" w14:textId="77777777" w:rsidR="00C56E32" w:rsidRPr="00FC71BE" w:rsidRDefault="00C56E32">
            <w:pPr>
              <w:pStyle w:val="Table"/>
              <w:rPr>
                <w:color w:val="auto"/>
                <w:lang w:eastAsia="zh-CN"/>
              </w:rPr>
            </w:pPr>
            <w:r w:rsidRPr="00FC71BE">
              <w:rPr>
                <w:color w:val="auto"/>
                <w:lang w:eastAsia="zh-CN"/>
              </w:rPr>
              <w:t>-</w:t>
            </w:r>
          </w:p>
        </w:tc>
        <w:tc>
          <w:tcPr>
            <w:tcW w:w="1178" w:type="pct"/>
          </w:tcPr>
          <w:p w14:paraId="6F33B776" w14:textId="77777777" w:rsidR="00C56E32" w:rsidRPr="00FC71BE" w:rsidRDefault="00C56E32">
            <w:pPr>
              <w:pStyle w:val="Table"/>
              <w:rPr>
                <w:color w:val="auto"/>
                <w:lang w:eastAsia="zh-CN"/>
              </w:rPr>
            </w:pPr>
            <w:r w:rsidRPr="00FC71BE">
              <w:rPr>
                <w:color w:val="auto"/>
                <w:lang w:eastAsia="zh-CN"/>
              </w:rPr>
              <w:t>-</w:t>
            </w:r>
          </w:p>
        </w:tc>
      </w:tr>
      <w:tr w:rsidR="00FC71BE" w:rsidRPr="00FC71BE" w14:paraId="31B8898F" w14:textId="77777777">
        <w:tc>
          <w:tcPr>
            <w:tcW w:w="1978" w:type="pct"/>
          </w:tcPr>
          <w:p w14:paraId="06023309" w14:textId="77777777" w:rsidR="00C56E32" w:rsidRPr="00FC71BE" w:rsidRDefault="00C56E32">
            <w:pPr>
              <w:pStyle w:val="Table"/>
              <w:rPr>
                <w:color w:val="auto"/>
                <w:lang w:eastAsia="zh-CN"/>
              </w:rPr>
            </w:pPr>
            <w:r w:rsidRPr="00FC71BE">
              <w:rPr>
                <w:color w:val="auto"/>
                <w:lang w:eastAsia="zh-CN"/>
              </w:rPr>
              <w:t>Average torque (Nm)</w:t>
            </w:r>
          </w:p>
        </w:tc>
        <w:tc>
          <w:tcPr>
            <w:tcW w:w="767" w:type="pct"/>
          </w:tcPr>
          <w:p w14:paraId="1D6CA0B6" w14:textId="77777777" w:rsidR="00C56E32" w:rsidRPr="00FC71BE" w:rsidRDefault="00C56E32">
            <w:pPr>
              <w:pStyle w:val="Table"/>
              <w:rPr>
                <w:color w:val="auto"/>
                <w:lang w:eastAsia="zh-CN"/>
              </w:rPr>
            </w:pPr>
            <w:r w:rsidRPr="00FC71BE">
              <w:rPr>
                <w:color w:val="auto"/>
                <w:lang w:eastAsia="zh-CN"/>
              </w:rPr>
              <w:t>280.1</w:t>
            </w:r>
          </w:p>
        </w:tc>
        <w:tc>
          <w:tcPr>
            <w:tcW w:w="1077" w:type="pct"/>
          </w:tcPr>
          <w:p w14:paraId="6B5E21AF" w14:textId="77777777" w:rsidR="00C56E32" w:rsidRPr="00FC71BE" w:rsidRDefault="00C56E32">
            <w:pPr>
              <w:pStyle w:val="Table"/>
              <w:rPr>
                <w:color w:val="auto"/>
                <w:lang w:eastAsia="zh-CN"/>
              </w:rPr>
            </w:pPr>
            <w:r w:rsidRPr="00FC71BE">
              <w:rPr>
                <w:color w:val="auto"/>
                <w:lang w:eastAsia="zh-CN"/>
              </w:rPr>
              <w:t>287.2</w:t>
            </w:r>
          </w:p>
        </w:tc>
        <w:tc>
          <w:tcPr>
            <w:tcW w:w="1178" w:type="pct"/>
          </w:tcPr>
          <w:p w14:paraId="153F1FED" w14:textId="77777777" w:rsidR="00C56E32" w:rsidRPr="00FC71BE" w:rsidRDefault="00C56E32">
            <w:pPr>
              <w:pStyle w:val="Table"/>
              <w:rPr>
                <w:color w:val="auto"/>
                <w:lang w:eastAsia="zh-CN"/>
              </w:rPr>
            </w:pPr>
            <w:r w:rsidRPr="00FC71BE">
              <w:rPr>
                <w:color w:val="auto"/>
                <w:lang w:eastAsia="zh-CN"/>
              </w:rPr>
              <w:t>2.4</w:t>
            </w:r>
          </w:p>
        </w:tc>
      </w:tr>
      <w:tr w:rsidR="00FC71BE" w:rsidRPr="00FC71BE" w14:paraId="11F7A876" w14:textId="77777777">
        <w:tc>
          <w:tcPr>
            <w:tcW w:w="1978" w:type="pct"/>
          </w:tcPr>
          <w:p w14:paraId="0F821136" w14:textId="77777777" w:rsidR="00C56E32" w:rsidRPr="00FC71BE" w:rsidRDefault="00C56E32">
            <w:pPr>
              <w:pStyle w:val="Table"/>
              <w:rPr>
                <w:color w:val="auto"/>
                <w:lang w:eastAsia="zh-CN"/>
              </w:rPr>
            </w:pPr>
            <w:r w:rsidRPr="00FC71BE">
              <w:rPr>
                <w:color w:val="auto"/>
                <w:lang w:eastAsia="zh-CN"/>
              </w:rPr>
              <w:t>Torque ripple (%)</w:t>
            </w:r>
          </w:p>
        </w:tc>
        <w:tc>
          <w:tcPr>
            <w:tcW w:w="767" w:type="pct"/>
          </w:tcPr>
          <w:p w14:paraId="0BDB0B6E" w14:textId="77777777" w:rsidR="00C56E32" w:rsidRPr="00FC71BE" w:rsidRDefault="00C56E32">
            <w:pPr>
              <w:pStyle w:val="Table"/>
              <w:rPr>
                <w:color w:val="auto"/>
                <w:lang w:eastAsia="zh-CN"/>
              </w:rPr>
            </w:pPr>
            <w:r w:rsidRPr="00FC71BE">
              <w:rPr>
                <w:color w:val="auto"/>
                <w:lang w:eastAsia="zh-CN"/>
              </w:rPr>
              <w:t>6.5</w:t>
            </w:r>
          </w:p>
        </w:tc>
        <w:tc>
          <w:tcPr>
            <w:tcW w:w="1077" w:type="pct"/>
          </w:tcPr>
          <w:p w14:paraId="6D522106" w14:textId="77777777" w:rsidR="00C56E32" w:rsidRPr="00FC71BE" w:rsidRDefault="00C56E32">
            <w:pPr>
              <w:pStyle w:val="Table"/>
              <w:rPr>
                <w:color w:val="auto"/>
                <w:lang w:eastAsia="zh-CN"/>
              </w:rPr>
            </w:pPr>
            <w:r w:rsidRPr="00FC71BE">
              <w:rPr>
                <w:color w:val="auto"/>
                <w:lang w:eastAsia="zh-CN"/>
              </w:rPr>
              <w:t>8.4</w:t>
            </w:r>
          </w:p>
        </w:tc>
        <w:tc>
          <w:tcPr>
            <w:tcW w:w="1178" w:type="pct"/>
          </w:tcPr>
          <w:p w14:paraId="02C9C783" w14:textId="77777777" w:rsidR="00C56E32" w:rsidRPr="00FC71BE" w:rsidRDefault="00C56E32">
            <w:pPr>
              <w:pStyle w:val="Table"/>
              <w:rPr>
                <w:color w:val="auto"/>
                <w:lang w:eastAsia="zh-CN"/>
              </w:rPr>
            </w:pPr>
            <w:r w:rsidRPr="00FC71BE">
              <w:rPr>
                <w:color w:val="auto"/>
                <w:lang w:eastAsia="zh-CN"/>
              </w:rPr>
              <w:t>22.6</w:t>
            </w:r>
          </w:p>
        </w:tc>
      </w:tr>
      <w:tr w:rsidR="00FC71BE" w:rsidRPr="00FC71BE" w14:paraId="16F71484" w14:textId="77777777">
        <w:tc>
          <w:tcPr>
            <w:tcW w:w="1978" w:type="pct"/>
          </w:tcPr>
          <w:p w14:paraId="65066F5D" w14:textId="77777777" w:rsidR="00C56E32" w:rsidRPr="00FC71BE" w:rsidRDefault="00C56E32">
            <w:pPr>
              <w:pStyle w:val="Table"/>
              <w:rPr>
                <w:color w:val="auto"/>
                <w:lang w:eastAsia="zh-CN"/>
              </w:rPr>
            </w:pPr>
            <w:r w:rsidRPr="00FC71BE">
              <w:rPr>
                <w:color w:val="auto"/>
                <w:lang w:eastAsia="zh-CN"/>
              </w:rPr>
              <w:t>Copper loss (W)</w:t>
            </w:r>
          </w:p>
        </w:tc>
        <w:tc>
          <w:tcPr>
            <w:tcW w:w="767" w:type="pct"/>
          </w:tcPr>
          <w:p w14:paraId="42EB31FB" w14:textId="77777777" w:rsidR="00C56E32" w:rsidRPr="00FC71BE" w:rsidRDefault="00C56E32">
            <w:pPr>
              <w:pStyle w:val="Table"/>
              <w:rPr>
                <w:color w:val="auto"/>
                <w:lang w:eastAsia="zh-CN"/>
              </w:rPr>
            </w:pPr>
            <w:r w:rsidRPr="00FC71BE">
              <w:rPr>
                <w:color w:val="auto"/>
                <w:lang w:eastAsia="zh-CN"/>
              </w:rPr>
              <w:t>739</w:t>
            </w:r>
          </w:p>
        </w:tc>
        <w:tc>
          <w:tcPr>
            <w:tcW w:w="1077" w:type="pct"/>
          </w:tcPr>
          <w:p w14:paraId="53E932F0" w14:textId="77777777" w:rsidR="00C56E32" w:rsidRPr="00FC71BE" w:rsidRDefault="00C56E32">
            <w:pPr>
              <w:pStyle w:val="Table"/>
              <w:rPr>
                <w:color w:val="auto"/>
                <w:lang w:eastAsia="zh-CN"/>
              </w:rPr>
            </w:pPr>
            <w:r w:rsidRPr="00FC71BE">
              <w:rPr>
                <w:color w:val="auto"/>
                <w:lang w:eastAsia="zh-CN"/>
              </w:rPr>
              <w:t>756</w:t>
            </w:r>
          </w:p>
        </w:tc>
        <w:tc>
          <w:tcPr>
            <w:tcW w:w="1178" w:type="pct"/>
          </w:tcPr>
          <w:p w14:paraId="34540957" w14:textId="77777777" w:rsidR="00C56E32" w:rsidRPr="00FC71BE" w:rsidRDefault="00C56E32">
            <w:pPr>
              <w:pStyle w:val="Table"/>
              <w:rPr>
                <w:color w:val="auto"/>
                <w:lang w:eastAsia="zh-CN"/>
              </w:rPr>
            </w:pPr>
            <w:r w:rsidRPr="00FC71BE">
              <w:rPr>
                <w:color w:val="auto"/>
                <w:lang w:eastAsia="zh-CN"/>
              </w:rPr>
              <w:t>2.2</w:t>
            </w:r>
          </w:p>
        </w:tc>
      </w:tr>
      <w:tr w:rsidR="00FC71BE" w:rsidRPr="00FC71BE" w14:paraId="571A996E" w14:textId="77777777">
        <w:tc>
          <w:tcPr>
            <w:tcW w:w="1978" w:type="pct"/>
          </w:tcPr>
          <w:p w14:paraId="1FDAD17D" w14:textId="77777777" w:rsidR="00C56E32" w:rsidRPr="00FC71BE" w:rsidRDefault="00C56E32">
            <w:pPr>
              <w:pStyle w:val="Table"/>
              <w:rPr>
                <w:color w:val="auto"/>
                <w:lang w:eastAsia="zh-CN"/>
              </w:rPr>
            </w:pPr>
            <w:r w:rsidRPr="00FC71BE">
              <w:rPr>
                <w:color w:val="auto"/>
                <w:lang w:eastAsia="zh-CN"/>
              </w:rPr>
              <w:t>Total machine mass (kg)</w:t>
            </w:r>
          </w:p>
        </w:tc>
        <w:tc>
          <w:tcPr>
            <w:tcW w:w="767" w:type="pct"/>
          </w:tcPr>
          <w:p w14:paraId="28A37178" w14:textId="77777777" w:rsidR="00C56E32" w:rsidRPr="00FC71BE" w:rsidRDefault="00C56E32">
            <w:pPr>
              <w:pStyle w:val="Table"/>
              <w:rPr>
                <w:color w:val="auto"/>
                <w:lang w:eastAsia="zh-CN"/>
              </w:rPr>
            </w:pPr>
            <w:r w:rsidRPr="00FC71BE">
              <w:rPr>
                <w:color w:val="auto"/>
                <w:lang w:eastAsia="zh-CN"/>
              </w:rPr>
              <w:t>38.6</w:t>
            </w:r>
          </w:p>
        </w:tc>
        <w:tc>
          <w:tcPr>
            <w:tcW w:w="1077" w:type="pct"/>
          </w:tcPr>
          <w:p w14:paraId="2144BFE5" w14:textId="77777777" w:rsidR="00C56E32" w:rsidRPr="00FC71BE" w:rsidRDefault="00C56E32">
            <w:pPr>
              <w:pStyle w:val="Table"/>
              <w:rPr>
                <w:color w:val="auto"/>
                <w:lang w:eastAsia="zh-CN"/>
              </w:rPr>
            </w:pPr>
            <w:r w:rsidRPr="00FC71BE">
              <w:rPr>
                <w:color w:val="auto"/>
                <w:lang w:eastAsia="zh-CN"/>
              </w:rPr>
              <w:t>39.2</w:t>
            </w:r>
          </w:p>
        </w:tc>
        <w:tc>
          <w:tcPr>
            <w:tcW w:w="1178" w:type="pct"/>
          </w:tcPr>
          <w:p w14:paraId="6582699D" w14:textId="77777777" w:rsidR="00C56E32" w:rsidRPr="00FC71BE" w:rsidRDefault="00C56E32">
            <w:pPr>
              <w:pStyle w:val="Table"/>
              <w:rPr>
                <w:color w:val="auto"/>
                <w:lang w:eastAsia="zh-CN"/>
              </w:rPr>
            </w:pPr>
            <w:r w:rsidRPr="00FC71BE">
              <w:rPr>
                <w:color w:val="auto"/>
                <w:lang w:eastAsia="zh-CN"/>
              </w:rPr>
              <w:t>1.5</w:t>
            </w:r>
          </w:p>
        </w:tc>
      </w:tr>
      <w:tr w:rsidR="00FC71BE" w:rsidRPr="00FC71BE" w14:paraId="29BF7BE8" w14:textId="77777777">
        <w:tc>
          <w:tcPr>
            <w:tcW w:w="1978" w:type="pct"/>
          </w:tcPr>
          <w:p w14:paraId="327CF24B" w14:textId="77777777" w:rsidR="00C56E32" w:rsidRPr="00FC71BE" w:rsidRDefault="00C56E32">
            <w:pPr>
              <w:pStyle w:val="Table"/>
              <w:rPr>
                <w:color w:val="auto"/>
                <w:lang w:eastAsia="zh-CN"/>
              </w:rPr>
            </w:pPr>
            <w:r w:rsidRPr="00FC71BE">
              <w:rPr>
                <w:color w:val="auto"/>
                <w:lang w:eastAsia="zh-CN"/>
              </w:rPr>
              <w:t>Efficiency</w:t>
            </w:r>
          </w:p>
        </w:tc>
        <w:tc>
          <w:tcPr>
            <w:tcW w:w="767" w:type="pct"/>
          </w:tcPr>
          <w:p w14:paraId="7E67FF35" w14:textId="77777777" w:rsidR="00C56E32" w:rsidRPr="00FC71BE" w:rsidRDefault="00C56E32">
            <w:pPr>
              <w:pStyle w:val="Table"/>
              <w:rPr>
                <w:color w:val="auto"/>
                <w:lang w:eastAsia="zh-CN"/>
              </w:rPr>
            </w:pPr>
            <w:r w:rsidRPr="00FC71BE">
              <w:rPr>
                <w:color w:val="auto"/>
                <w:lang w:eastAsia="zh-CN"/>
              </w:rPr>
              <w:t>95.3</w:t>
            </w:r>
          </w:p>
        </w:tc>
        <w:tc>
          <w:tcPr>
            <w:tcW w:w="1077" w:type="pct"/>
          </w:tcPr>
          <w:p w14:paraId="76B69DE5" w14:textId="77777777" w:rsidR="00C56E32" w:rsidRPr="00FC71BE" w:rsidRDefault="00C56E32">
            <w:pPr>
              <w:pStyle w:val="Table"/>
              <w:rPr>
                <w:color w:val="auto"/>
                <w:lang w:eastAsia="zh-CN"/>
              </w:rPr>
            </w:pPr>
            <w:r w:rsidRPr="00FC71BE">
              <w:rPr>
                <w:color w:val="auto"/>
                <w:lang w:eastAsia="zh-CN"/>
              </w:rPr>
              <w:t>94.4</w:t>
            </w:r>
          </w:p>
        </w:tc>
        <w:tc>
          <w:tcPr>
            <w:tcW w:w="1178" w:type="pct"/>
          </w:tcPr>
          <w:p w14:paraId="56D44DF4" w14:textId="77777777" w:rsidR="00C56E32" w:rsidRPr="00FC71BE" w:rsidRDefault="00C56E32">
            <w:pPr>
              <w:pStyle w:val="Table"/>
              <w:rPr>
                <w:color w:val="auto"/>
                <w:lang w:eastAsia="zh-CN"/>
              </w:rPr>
            </w:pPr>
            <w:r w:rsidRPr="00FC71BE">
              <w:rPr>
                <w:color w:val="auto"/>
                <w:lang w:eastAsia="zh-CN"/>
              </w:rPr>
              <w:t>-0.95</w:t>
            </w:r>
          </w:p>
        </w:tc>
      </w:tr>
      <w:tr w:rsidR="005E3DFE" w:rsidRPr="00FC71BE" w14:paraId="1B72551F" w14:textId="77777777">
        <w:tc>
          <w:tcPr>
            <w:tcW w:w="1978" w:type="pct"/>
            <w:tcBorders>
              <w:bottom w:val="double" w:sz="4" w:space="0" w:color="auto"/>
            </w:tcBorders>
          </w:tcPr>
          <w:p w14:paraId="32014D32" w14:textId="77777777" w:rsidR="00C56E32" w:rsidRPr="00FC71BE" w:rsidRDefault="00C56E32">
            <w:pPr>
              <w:pStyle w:val="Table"/>
              <w:rPr>
                <w:color w:val="auto"/>
                <w:lang w:eastAsia="zh-CN"/>
              </w:rPr>
            </w:pPr>
            <w:r w:rsidRPr="00FC71BE">
              <w:rPr>
                <w:color w:val="auto"/>
                <w:lang w:eastAsia="zh-CN"/>
              </w:rPr>
              <w:t>Fitness function</w:t>
            </w:r>
          </w:p>
        </w:tc>
        <w:tc>
          <w:tcPr>
            <w:tcW w:w="767" w:type="pct"/>
            <w:tcBorders>
              <w:bottom w:val="double" w:sz="4" w:space="0" w:color="auto"/>
            </w:tcBorders>
          </w:tcPr>
          <w:p w14:paraId="76FB4FCD" w14:textId="77777777" w:rsidR="00C56E32" w:rsidRPr="00FC71BE" w:rsidRDefault="00C56E32">
            <w:pPr>
              <w:pStyle w:val="Table"/>
              <w:rPr>
                <w:color w:val="auto"/>
                <w:lang w:eastAsia="zh-CN"/>
              </w:rPr>
            </w:pPr>
            <w:r w:rsidRPr="00FC71BE">
              <w:rPr>
                <w:color w:val="auto"/>
                <w:lang w:eastAsia="zh-CN"/>
              </w:rPr>
              <w:t>1.05</w:t>
            </w:r>
          </w:p>
        </w:tc>
        <w:tc>
          <w:tcPr>
            <w:tcW w:w="1077" w:type="pct"/>
            <w:tcBorders>
              <w:bottom w:val="double" w:sz="4" w:space="0" w:color="auto"/>
            </w:tcBorders>
          </w:tcPr>
          <w:p w14:paraId="2231671B" w14:textId="77777777" w:rsidR="00C56E32" w:rsidRPr="00FC71BE" w:rsidRDefault="00C56E32">
            <w:pPr>
              <w:pStyle w:val="Table"/>
              <w:rPr>
                <w:color w:val="auto"/>
                <w:lang w:eastAsia="zh-CN"/>
              </w:rPr>
            </w:pPr>
            <w:r w:rsidRPr="00FC71BE">
              <w:rPr>
                <w:color w:val="auto"/>
                <w:lang w:eastAsia="zh-CN"/>
              </w:rPr>
              <w:t>1.06</w:t>
            </w:r>
          </w:p>
        </w:tc>
        <w:tc>
          <w:tcPr>
            <w:tcW w:w="1178" w:type="pct"/>
            <w:tcBorders>
              <w:bottom w:val="double" w:sz="4" w:space="0" w:color="auto"/>
            </w:tcBorders>
          </w:tcPr>
          <w:p w14:paraId="5C4D458F" w14:textId="77777777" w:rsidR="00C56E32" w:rsidRPr="00FC71BE" w:rsidRDefault="00C56E32">
            <w:pPr>
              <w:pStyle w:val="Table"/>
              <w:rPr>
                <w:color w:val="auto"/>
                <w:lang w:eastAsia="zh-CN"/>
              </w:rPr>
            </w:pPr>
            <w:r w:rsidRPr="00FC71BE">
              <w:rPr>
                <w:color w:val="auto"/>
                <w:lang w:eastAsia="zh-CN"/>
              </w:rPr>
              <w:t>0.9</w:t>
            </w:r>
          </w:p>
        </w:tc>
      </w:tr>
      <w:bookmarkEnd w:id="118"/>
    </w:tbl>
    <w:p w14:paraId="0C383565" w14:textId="77777777" w:rsidR="00C56E32" w:rsidRPr="00FC71BE" w:rsidRDefault="00C56E32" w:rsidP="00C56E32"/>
    <w:p w14:paraId="636520D5" w14:textId="77777777" w:rsidR="00C56E32" w:rsidRPr="00FC71BE" w:rsidRDefault="00C56E32" w:rsidP="00B86C68">
      <w:pPr>
        <w:pStyle w:val="Heading3"/>
        <w:numPr>
          <w:ilvl w:val="2"/>
          <w:numId w:val="49"/>
        </w:numPr>
      </w:pPr>
      <w:bookmarkStart w:id="119" w:name="_Toc157695343"/>
      <w:r w:rsidRPr="00FC71BE">
        <w:lastRenderedPageBreak/>
        <w:t>Influence of FG width</w:t>
      </w:r>
      <w:bookmarkEnd w:id="119"/>
    </w:p>
    <w:p w14:paraId="39A96D9C" w14:textId="605F16FF" w:rsidR="00C56E32" w:rsidRPr="00FC71BE" w:rsidRDefault="00C56E32" w:rsidP="00C56E32">
      <w:r w:rsidRPr="00FC71BE">
        <w:t xml:space="preserve">For the 24-slot/28-pole modular machine, the influence of flux gap width on average torque, torque ripple, open-circuit airgap flux density and phase back-EMF is further evaluated, as shown in </w:t>
      </w:r>
      <w:r w:rsidR="006524E7" w:rsidRPr="00FC71BE">
        <w:fldChar w:fldCharType="begin"/>
      </w:r>
      <w:r w:rsidR="006524E7" w:rsidRPr="00FC71BE">
        <w:instrText xml:space="preserve"> REF _Ref125492974 \h </w:instrText>
      </w:r>
      <w:r w:rsidR="006524E7" w:rsidRPr="00FC71BE">
        <w:fldChar w:fldCharType="separate"/>
      </w:r>
      <w:r w:rsidR="007E62C1" w:rsidRPr="00FC71BE">
        <w:t xml:space="preserve">Fig. </w:t>
      </w:r>
      <w:r w:rsidR="007E62C1" w:rsidRPr="00FC71BE">
        <w:rPr>
          <w:noProof/>
        </w:rPr>
        <w:t>2</w:t>
      </w:r>
      <w:r w:rsidR="007E62C1" w:rsidRPr="00FC71BE">
        <w:t>.</w:t>
      </w:r>
      <w:r w:rsidR="007E62C1" w:rsidRPr="00FC71BE">
        <w:rPr>
          <w:noProof/>
        </w:rPr>
        <w:t>13</w:t>
      </w:r>
      <w:r w:rsidR="006524E7" w:rsidRPr="00FC71BE">
        <w:fldChar w:fldCharType="end"/>
      </w:r>
      <w:r w:rsidRPr="00FC71BE">
        <w:t xml:space="preserve"> and </w:t>
      </w:r>
      <w:r w:rsidRPr="00FC71BE">
        <w:fldChar w:fldCharType="begin"/>
      </w:r>
      <w:r w:rsidRPr="00FC71BE">
        <w:instrText xml:space="preserve"> REF _Ref125492976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14</w:t>
      </w:r>
      <w:r w:rsidRPr="00FC71BE">
        <w:fldChar w:fldCharType="end"/>
      </w:r>
      <w:r w:rsidRPr="00FC71BE">
        <w:t>. It is found that if the flux gap width is lower than optimal value, i.e., 10.2</w:t>
      </w:r>
      <w:r w:rsidRPr="00FC71BE">
        <w:rPr>
          <w:iCs/>
        </w:rPr>
        <w:t>mm</w:t>
      </w:r>
      <w:r w:rsidRPr="00FC71BE">
        <w:t>, the average torque increases with increased flux gap width due to the improved pitch factor, the reduced effective air-gap length and the flux focusing effect. When the flux gap width is larger than 10.2</w:t>
      </w:r>
      <w:r w:rsidRPr="00FC71BE">
        <w:rPr>
          <w:iCs/>
        </w:rPr>
        <w:t>mm</w:t>
      </w:r>
      <w:r w:rsidRPr="00FC71BE">
        <w:t>, the average torque reduces if flux gap width further increases.</w:t>
      </w:r>
    </w:p>
    <w:p w14:paraId="33DED888" w14:textId="77777777" w:rsidR="00C56E32" w:rsidRPr="00FC71BE" w:rsidRDefault="00C56E32" w:rsidP="00C56E32">
      <w:r w:rsidRPr="00FC71BE">
        <w:t>When it comes to the torque ripple, the influence of flux gaps is even more pronounced. It is interesting to see that when the average torque is maximized, the torque ripple [</w:t>
      </w:r>
      <m:oMath>
        <m:f>
          <m:fPr>
            <m:type m:val="lin"/>
            <m:ctrlPr>
              <w:rPr>
                <w:rFonts w:ascii="Cambria Math" w:hAnsi="Cambria Math"/>
              </w:rPr>
            </m:ctrlPr>
          </m:fPr>
          <m:num>
            <m:d>
              <m:dPr>
                <m:ctrlPr>
                  <w:rPr>
                    <w:rFonts w:ascii="Cambria Math" w:hAnsi="Cambria Math"/>
                    <w:i/>
                  </w:rPr>
                </m:ctrlPr>
              </m:dPr>
              <m:e>
                <m:sSub>
                  <m:sSubPr>
                    <m:ctrlPr>
                      <w:rPr>
                        <w:rFonts w:ascii="Cambria Math" w:hAnsi="Cambria Math"/>
                      </w:rPr>
                    </m:ctrlPr>
                  </m:sSubPr>
                  <m:e>
                    <m:r>
                      <w:rPr>
                        <w:rFonts w:ascii="Cambria Math" w:hAnsi="Cambria Math"/>
                      </w:rPr>
                      <m:t>T</m:t>
                    </m:r>
                  </m:e>
                  <m:sub>
                    <m:r>
                      <w:rPr>
                        <w:rFonts w:ascii="Cambria Math" w:hAnsi="Cambria Math"/>
                      </w:rPr>
                      <m:t>max</m:t>
                    </m:r>
                  </m:sub>
                </m:sSub>
                <m: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min</m:t>
                    </m:r>
                  </m:sub>
                </m:sSub>
              </m:e>
            </m:d>
          </m:num>
          <m:den>
            <m:sSub>
              <m:sSubPr>
                <m:ctrlPr>
                  <w:rPr>
                    <w:rFonts w:ascii="Cambria Math" w:hAnsi="Cambria Math"/>
                  </w:rPr>
                </m:ctrlPr>
              </m:sSubPr>
              <m:e>
                <m:r>
                  <w:rPr>
                    <w:rFonts w:ascii="Cambria Math" w:hAnsi="Cambria Math"/>
                  </w:rPr>
                  <m:t>T</m:t>
                </m:r>
              </m:e>
              <m:sub>
                <m:r>
                  <w:rPr>
                    <w:rFonts w:ascii="Cambria Math" w:hAnsi="Cambria Math"/>
                  </w:rPr>
                  <m:t>av</m:t>
                </m:r>
              </m:sub>
            </m:sSub>
          </m:den>
        </m:f>
      </m:oMath>
      <w:r w:rsidRPr="00FC71BE">
        <w:t xml:space="preserve">, where </w:t>
      </w:r>
      <m:oMath>
        <m:sSub>
          <m:sSubPr>
            <m:ctrlPr>
              <w:rPr>
                <w:rFonts w:ascii="Cambria Math" w:hAnsi="Cambria Math"/>
              </w:rPr>
            </m:ctrlPr>
          </m:sSubPr>
          <m:e>
            <m:r>
              <w:rPr>
                <w:rFonts w:ascii="Cambria Math" w:hAnsi="Cambria Math"/>
              </w:rPr>
              <m:t>T</m:t>
            </m:r>
          </m:e>
          <m:sub>
            <m:r>
              <w:rPr>
                <w:rFonts w:ascii="Cambria Math" w:hAnsi="Cambria Math"/>
              </w:rPr>
              <m:t>max</m:t>
            </m:r>
          </m:sub>
        </m:sSub>
      </m:oMath>
      <w:r w:rsidRPr="00FC71BE">
        <w:t xml:space="preserve"> is the maximum torque, </w:t>
      </w:r>
      <m:oMath>
        <m:sSub>
          <m:sSubPr>
            <m:ctrlPr>
              <w:rPr>
                <w:rFonts w:ascii="Cambria Math" w:hAnsi="Cambria Math"/>
              </w:rPr>
            </m:ctrlPr>
          </m:sSubPr>
          <m:e>
            <m:r>
              <w:rPr>
                <w:rFonts w:ascii="Cambria Math" w:hAnsi="Cambria Math"/>
              </w:rPr>
              <m:t>T</m:t>
            </m:r>
          </m:e>
          <m:sub>
            <m:r>
              <w:rPr>
                <w:rFonts w:ascii="Cambria Math" w:hAnsi="Cambria Math"/>
              </w:rPr>
              <m:t>min</m:t>
            </m:r>
          </m:sub>
        </m:sSub>
      </m:oMath>
      <w:r w:rsidRPr="00FC71BE">
        <w:t xml:space="preserve"> is the minimum torque and </w:t>
      </w:r>
      <m:oMath>
        <m:sSub>
          <m:sSubPr>
            <m:ctrlPr>
              <w:rPr>
                <w:rFonts w:ascii="Cambria Math" w:hAnsi="Cambria Math"/>
              </w:rPr>
            </m:ctrlPr>
          </m:sSubPr>
          <m:e>
            <m:r>
              <w:rPr>
                <w:rFonts w:ascii="Cambria Math" w:hAnsi="Cambria Math"/>
              </w:rPr>
              <m:t>T</m:t>
            </m:r>
          </m:e>
          <m:sub>
            <m:r>
              <w:rPr>
                <w:rFonts w:ascii="Cambria Math" w:hAnsi="Cambria Math"/>
              </w:rPr>
              <m:t>av</m:t>
            </m:r>
          </m:sub>
        </m:sSub>
      </m:oMath>
      <w:r w:rsidRPr="00FC71BE">
        <w:t xml:space="preserve"> is the average torque for one electrical period] is almost minimized. This means that both maximized average torque and minimized torque ripple can be achieved simultaneously if an optimal flux gap width is used, which shows the superior performance of modular machines with flux gaps.</w:t>
      </w:r>
    </w:p>
    <w:p w14:paraId="0725B19A" w14:textId="77777777" w:rsidR="00C56E32" w:rsidRPr="00FC71BE" w:rsidRDefault="00C56E32" w:rsidP="00C56E32">
      <w:r w:rsidRPr="00FC71BE">
        <w:t>Same as the average torque, the maximum value of phase back-EMF is achieved when the optimal flux gap width (10.2mm) is used. However, the optimal flux gap width (12.5mm) for achieving maximized fundamental component of open circuit airgap flux density is slightly different from 10.2</w:t>
      </w:r>
      <w:r w:rsidRPr="00FC71BE">
        <w:rPr>
          <w:iCs/>
        </w:rPr>
        <w:t>mm</w:t>
      </w:r>
      <w:r w:rsidRPr="00FC71BE">
        <w:t>. This is mainly because the flux gaps do not only have effect on open-circuit airgap flux density, but also have effect on pitch factor (or winding factor) and flux focusing. These different effects lead to different optimal flux gap widths for maximum airgap flux density and average torque.</w:t>
      </w:r>
    </w:p>
    <w:p w14:paraId="4C1B0C67" w14:textId="77777777" w:rsidR="00C56E32" w:rsidRPr="00FC71BE" w:rsidRDefault="00C56E32" w:rsidP="00C56E32">
      <w:pPr>
        <w:pStyle w:val="Figure"/>
        <w:rPr>
          <w:noProof w:val="0"/>
        </w:rPr>
      </w:pPr>
      <w:r w:rsidRPr="00FC71BE">
        <w:drawing>
          <wp:inline distT="0" distB="0" distL="0" distR="0" wp14:anchorId="25D48D65" wp14:editId="66410FEA">
            <wp:extent cx="3736800" cy="2241339"/>
            <wp:effectExtent l="0" t="0" r="0" b="698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36800" cy="2241339"/>
                    </a:xfrm>
                    <a:prstGeom prst="rect">
                      <a:avLst/>
                    </a:prstGeom>
                    <a:noFill/>
                    <a:ln>
                      <a:noFill/>
                    </a:ln>
                  </pic:spPr>
                </pic:pic>
              </a:graphicData>
            </a:graphic>
          </wp:inline>
        </w:drawing>
      </w:r>
    </w:p>
    <w:p w14:paraId="44B7B2BE" w14:textId="7EE65DDB" w:rsidR="00C56E32" w:rsidRPr="00FC71BE" w:rsidRDefault="00C56E32" w:rsidP="00C56E32">
      <w:pPr>
        <w:pStyle w:val="FigureTitle"/>
      </w:pPr>
      <w:bookmarkStart w:id="120" w:name="_Ref125492974"/>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13</w:t>
        </w:r>
      </w:fldSimple>
      <w:bookmarkEnd w:id="120"/>
      <w:r w:rsidRPr="00FC71BE">
        <w:t xml:space="preserve">. </w:t>
      </w:r>
      <w:bookmarkStart w:id="121" w:name="_Hlk54646052"/>
      <w:r w:rsidRPr="00FC71BE">
        <w:t xml:space="preserve">Average torque and torque ripple </w:t>
      </w:r>
      <w:r w:rsidRPr="00FC71BE">
        <w:rPr>
          <w:i/>
        </w:rPr>
        <w:t>vs</w:t>
      </w:r>
      <w:r w:rsidRPr="00FC71BE">
        <w:t xml:space="preserve"> flux gap width for the 24-slot/28-pole modular SPM machine</w:t>
      </w:r>
      <w:bookmarkEnd w:id="121"/>
      <w:r w:rsidRPr="00FC71BE">
        <w:t>.</w:t>
      </w:r>
    </w:p>
    <w:p w14:paraId="56510F5E" w14:textId="77777777" w:rsidR="00C56E32" w:rsidRPr="00FC71BE" w:rsidRDefault="00C56E32" w:rsidP="00C56E32">
      <w:pPr>
        <w:pStyle w:val="Figure"/>
        <w:rPr>
          <w:noProof w:val="0"/>
        </w:rPr>
      </w:pPr>
      <w:r w:rsidRPr="00FC71BE">
        <w:lastRenderedPageBreak/>
        <w:drawing>
          <wp:inline distT="0" distB="0" distL="0" distR="0" wp14:anchorId="690C74FF" wp14:editId="1DF1578B">
            <wp:extent cx="3736800" cy="2241339"/>
            <wp:effectExtent l="0" t="0" r="0" b="6985"/>
            <wp:docPr id="1698502930" name="Picture 16985029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36800" cy="2241339"/>
                    </a:xfrm>
                    <a:prstGeom prst="rect">
                      <a:avLst/>
                    </a:prstGeom>
                    <a:noFill/>
                    <a:ln>
                      <a:noFill/>
                    </a:ln>
                  </pic:spPr>
                </pic:pic>
              </a:graphicData>
            </a:graphic>
          </wp:inline>
        </w:drawing>
      </w:r>
    </w:p>
    <w:p w14:paraId="7EC77C03" w14:textId="7E8C5415" w:rsidR="00C56E32" w:rsidRPr="00FC71BE" w:rsidRDefault="00C56E32" w:rsidP="00C56E32">
      <w:pPr>
        <w:pStyle w:val="FigureTitle"/>
      </w:pPr>
      <w:bookmarkStart w:id="122" w:name="_Ref125492976"/>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14</w:t>
        </w:r>
      </w:fldSimple>
      <w:bookmarkEnd w:id="122"/>
      <w:r w:rsidRPr="00FC71BE">
        <w:t xml:space="preserve">. </w:t>
      </w:r>
      <w:bookmarkStart w:id="123" w:name="_Hlk54646081"/>
      <w:r w:rsidRPr="00FC71BE">
        <w:t xml:space="preserve">Fundamental open-circuit airgap flux density (radial component) and fundamental phase back-EMF </w:t>
      </w:r>
      <w:r w:rsidRPr="00FC71BE">
        <w:rPr>
          <w:i/>
        </w:rPr>
        <w:t>vs</w:t>
      </w:r>
      <w:r w:rsidRPr="00FC71BE">
        <w:t xml:space="preserve"> flux gap width for the 24-slot/28-pole modular SPM machine</w:t>
      </w:r>
      <w:bookmarkEnd w:id="123"/>
      <w:r w:rsidRPr="00FC71BE">
        <w:t>.</w:t>
      </w:r>
    </w:p>
    <w:p w14:paraId="45ED6A63" w14:textId="77777777" w:rsidR="00C56E32" w:rsidRPr="00FC71BE" w:rsidRDefault="00C56E32" w:rsidP="00B86C68">
      <w:pPr>
        <w:pStyle w:val="Heading2"/>
        <w:numPr>
          <w:ilvl w:val="1"/>
          <w:numId w:val="49"/>
        </w:numPr>
      </w:pPr>
      <w:bookmarkStart w:id="124" w:name="_Toc157695344"/>
      <w:r w:rsidRPr="00FC71BE">
        <w:t>Experimental Validation</w:t>
      </w:r>
      <w:bookmarkEnd w:id="124"/>
    </w:p>
    <w:p w14:paraId="40173600" w14:textId="2DE21E6D" w:rsidR="00C56E32" w:rsidRPr="00FC71BE" w:rsidRDefault="00C56E32" w:rsidP="00C56E32">
      <w:r w:rsidRPr="00FC71BE">
        <w:t>A prototype of modular machine with 12-slot/14-pole (optimized by method 2</w:t>
      </w:r>
      <w:r w:rsidR="007E62C1" w:rsidRPr="00FC71BE">
        <w:t xml:space="preserve">, which is the conventional optimization method that does not include the FG width </w:t>
      </w:r>
      <w:r w:rsidR="007F5771" w:rsidRPr="00FC71BE">
        <w:t>as a</w:t>
      </w:r>
      <w:r w:rsidR="007E62C1" w:rsidRPr="00FC71BE">
        <w:t xml:space="preserve"> variable during </w:t>
      </w:r>
      <w:r w:rsidR="00230D7C" w:rsidRPr="00FC71BE">
        <w:t xml:space="preserve">the </w:t>
      </w:r>
      <w:r w:rsidR="007E62C1" w:rsidRPr="00FC71BE">
        <w:t>optimization</w:t>
      </w:r>
      <w:r w:rsidRPr="00FC71BE">
        <w:t xml:space="preserve">) investigated and tested in </w:t>
      </w:r>
      <w:r w:rsidRPr="00FC71BE">
        <w:fldChar w:fldCharType="begin"/>
      </w:r>
      <w:r w:rsidR="0000133B" w:rsidRPr="00FC71BE">
        <w:instrText xml:space="preserve"> ADDIN EN.CITE &lt;EndNote&gt;&lt;Cite&gt;&lt;Author&gt;Li&lt;/Author&gt;&lt;Year&gt;2014&lt;/Year&gt;&lt;RecNum&gt;4&lt;/RecNum&gt;&lt;DisplayText&gt;[38]&lt;/DisplayText&gt;&lt;record&gt;&lt;rec-number&gt;4&lt;/rec-number&gt;&lt;foreign-keys&gt;&lt;key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fldChar w:fldCharType="separate"/>
      </w:r>
      <w:r w:rsidR="0000133B" w:rsidRPr="00FC71BE">
        <w:t>[38]</w:t>
      </w:r>
      <w:r w:rsidRPr="00FC71BE">
        <w:fldChar w:fldCharType="end"/>
      </w:r>
      <w:r w:rsidRPr="00FC71BE">
        <w:t xml:space="preserve"> has been used to validate the FE predictions in this chapter. </w:t>
      </w:r>
      <w:r w:rsidR="00D54F13" w:rsidRPr="00FC71BE">
        <w:t>It is worth noting that, the slot and pole number</w:t>
      </w:r>
      <w:r w:rsidR="000465DD" w:rsidRPr="00FC71BE">
        <w:t>s</w:t>
      </w:r>
      <w:r w:rsidR="00D54F13" w:rsidRPr="00FC71BE">
        <w:t xml:space="preserve"> for the prototype </w:t>
      </w:r>
      <w:r w:rsidR="000465DD" w:rsidRPr="00FC71BE">
        <w:t xml:space="preserve">are </w:t>
      </w:r>
      <w:r w:rsidR="00D54F13" w:rsidRPr="00FC71BE">
        <w:t xml:space="preserve">half of the investigated machines in </w:t>
      </w:r>
      <w:r w:rsidR="00D54F13" w:rsidRPr="00FC71BE">
        <w:fldChar w:fldCharType="begin"/>
      </w:r>
      <w:r w:rsidR="00D54F13" w:rsidRPr="00FC71BE">
        <w:instrText xml:space="preserve"> REF _Ref148288049 \r \h </w:instrText>
      </w:r>
      <w:r w:rsidR="00D54F13" w:rsidRPr="00FC71BE">
        <w:fldChar w:fldCharType="separate"/>
      </w:r>
      <w:r w:rsidR="007E62C1" w:rsidRPr="00FC71BE">
        <w:t>Chapter 2</w:t>
      </w:r>
      <w:r w:rsidR="00D54F13" w:rsidRPr="00FC71BE">
        <w:fldChar w:fldCharType="end"/>
      </w:r>
      <w:r w:rsidR="00D54F13" w:rsidRPr="00FC71BE">
        <w:t xml:space="preserve">. The EM performances for the tested machine and investigated machines are similar. </w:t>
      </w:r>
      <w:r w:rsidRPr="00FC71BE">
        <w:t xml:space="preserve">The cross-section of this machine is shown in </w:t>
      </w:r>
      <w:r w:rsidRPr="00FC71BE">
        <w:fldChar w:fldCharType="begin"/>
      </w:r>
      <w:r w:rsidRPr="00FC71BE">
        <w:instrText xml:space="preserve"> REF _Ref139891887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15</w:t>
      </w:r>
      <w:r w:rsidRPr="00FC71BE">
        <w:fldChar w:fldCharType="end"/>
      </w:r>
      <w:r w:rsidRPr="00FC71BE">
        <w:t xml:space="preserve"> (b). The specifications of the prototype are shown in </w:t>
      </w:r>
      <w:r w:rsidRPr="00FC71BE">
        <w:fldChar w:fldCharType="begin"/>
      </w:r>
      <w:r w:rsidRPr="00FC71BE">
        <w:instrText xml:space="preserve"> REF _Ref139891933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7</w:t>
      </w:r>
      <w:r w:rsidRPr="00FC71BE">
        <w:fldChar w:fldCharType="end"/>
      </w:r>
      <w:r w:rsidRPr="00FC71BE">
        <w:t>. Compared with the optimization by method 2, the optimization by method 1</w:t>
      </w:r>
      <w:r w:rsidR="007E62C1" w:rsidRPr="00FC71BE">
        <w:t>, that adopted GA for global optimization,</w:t>
      </w:r>
      <w:r w:rsidRPr="00FC71BE">
        <w:t xml:space="preserve"> does not significantly change the machine structure and dimensions. Therefore, a prototype of modular machine optimized by method 1 is deemed unnecessary and has not been built for this study.</w:t>
      </w:r>
    </w:p>
    <w:p w14:paraId="15E8E77F" w14:textId="05DA54F4" w:rsidR="00C56E32" w:rsidRPr="00FC71BE" w:rsidRDefault="00C56E32" w:rsidP="00C56E32">
      <w:pPr>
        <w:pStyle w:val="Tabletitle"/>
        <w:rPr>
          <w:color w:val="auto"/>
          <w:sz w:val="16"/>
        </w:rPr>
      </w:pPr>
      <w:bookmarkStart w:id="125" w:name="_Ref139891933"/>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7</w:t>
      </w:r>
      <w:r w:rsidR="002839C4" w:rsidRPr="00FC71BE">
        <w:rPr>
          <w:color w:val="auto"/>
        </w:rPr>
        <w:fldChar w:fldCharType="end"/>
      </w:r>
      <w:bookmarkEnd w:id="125"/>
      <w:r w:rsidRPr="00FC71BE">
        <w:rPr>
          <w:color w:val="auto"/>
        </w:rPr>
        <w:t xml:space="preserve"> Parameters of Prototype Modular SPM Machine </w:t>
      </w:r>
      <w:r w:rsidRPr="00FC71BE">
        <w:rPr>
          <w:color w:val="auto"/>
        </w:rPr>
        <w:fldChar w:fldCharType="begin"/>
      </w:r>
      <w:r w:rsidR="0000133B" w:rsidRPr="00FC71BE">
        <w:rPr>
          <w:color w:val="auto"/>
        </w:rPr>
        <w:instrText xml:space="preserve"> ADDIN EN.CITE &lt;EndNote&gt;&lt;Cite&gt;&lt;Author&gt;Li&lt;/Author&gt;&lt;Year&gt;2014&lt;/Year&gt;&lt;RecNum&gt;4&lt;/RecNum&gt;&lt;DisplayText&gt;[38]&lt;/DisplayText&gt;&lt;record&gt;&lt;rec-number&gt;4&lt;/rec-number&gt;&lt;foreign-keys&gt;&lt;key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rPr>
          <w:color w:val="auto"/>
        </w:rPr>
        <w:fldChar w:fldCharType="separate"/>
      </w:r>
      <w:r w:rsidR="0000133B" w:rsidRPr="00FC71BE">
        <w:rPr>
          <w:color w:val="auto"/>
        </w:rPr>
        <w:t>[38]</w:t>
      </w:r>
      <w:r w:rsidRPr="00FC71BE">
        <w:rPr>
          <w:color w:val="auto"/>
        </w:rPr>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1049"/>
        <w:gridCol w:w="3670"/>
        <w:gridCol w:w="1031"/>
      </w:tblGrid>
      <w:tr w:rsidR="00FC71BE" w:rsidRPr="00FC71BE" w14:paraId="14A3A900" w14:textId="77777777">
        <w:tc>
          <w:tcPr>
            <w:tcW w:w="1814" w:type="pct"/>
            <w:tcBorders>
              <w:top w:val="single" w:sz="4" w:space="0" w:color="auto"/>
              <w:left w:val="nil"/>
              <w:bottom w:val="nil"/>
              <w:right w:val="nil"/>
            </w:tcBorders>
            <w:vAlign w:val="center"/>
            <w:hideMark/>
          </w:tcPr>
          <w:p w14:paraId="2305AFFB" w14:textId="77777777" w:rsidR="00C56E32" w:rsidRPr="00FC71BE" w:rsidRDefault="00C56E32">
            <w:pPr>
              <w:pStyle w:val="Table"/>
              <w:rPr>
                <w:color w:val="auto"/>
              </w:rPr>
            </w:pPr>
            <w:r w:rsidRPr="00FC71BE">
              <w:rPr>
                <w:color w:val="auto"/>
              </w:rPr>
              <w:t>Slot number</w:t>
            </w:r>
          </w:p>
        </w:tc>
        <w:tc>
          <w:tcPr>
            <w:tcW w:w="581" w:type="pct"/>
            <w:tcBorders>
              <w:top w:val="single" w:sz="4" w:space="0" w:color="auto"/>
              <w:left w:val="nil"/>
              <w:bottom w:val="nil"/>
              <w:right w:val="nil"/>
            </w:tcBorders>
            <w:vAlign w:val="center"/>
            <w:hideMark/>
          </w:tcPr>
          <w:p w14:paraId="2C3CF68B" w14:textId="77777777" w:rsidR="00C56E32" w:rsidRPr="00FC71BE" w:rsidRDefault="00C56E32">
            <w:pPr>
              <w:pStyle w:val="Table"/>
              <w:rPr>
                <w:color w:val="auto"/>
              </w:rPr>
            </w:pPr>
            <w:r w:rsidRPr="00FC71BE">
              <w:rPr>
                <w:color w:val="auto"/>
              </w:rPr>
              <w:t>12</w:t>
            </w:r>
          </w:p>
        </w:tc>
        <w:tc>
          <w:tcPr>
            <w:tcW w:w="2033" w:type="pct"/>
            <w:tcBorders>
              <w:top w:val="single" w:sz="4" w:space="0" w:color="auto"/>
              <w:left w:val="nil"/>
              <w:bottom w:val="nil"/>
              <w:right w:val="nil"/>
            </w:tcBorders>
            <w:vAlign w:val="center"/>
            <w:hideMark/>
          </w:tcPr>
          <w:p w14:paraId="39CAFB7A" w14:textId="77777777" w:rsidR="00C56E32" w:rsidRPr="00FC71BE" w:rsidRDefault="00C56E32">
            <w:pPr>
              <w:pStyle w:val="Table"/>
              <w:rPr>
                <w:color w:val="auto"/>
              </w:rPr>
            </w:pPr>
            <w:r w:rsidRPr="00FC71BE">
              <w:rPr>
                <w:color w:val="auto"/>
              </w:rPr>
              <w:t>Airgap length (mm)</w:t>
            </w:r>
          </w:p>
        </w:tc>
        <w:tc>
          <w:tcPr>
            <w:tcW w:w="571" w:type="pct"/>
            <w:tcBorders>
              <w:top w:val="single" w:sz="4" w:space="0" w:color="auto"/>
              <w:left w:val="nil"/>
              <w:bottom w:val="nil"/>
              <w:right w:val="nil"/>
            </w:tcBorders>
            <w:vAlign w:val="center"/>
            <w:hideMark/>
          </w:tcPr>
          <w:p w14:paraId="3B1E4E03" w14:textId="77777777" w:rsidR="00C56E32" w:rsidRPr="00FC71BE" w:rsidRDefault="00C56E32">
            <w:pPr>
              <w:pStyle w:val="Table"/>
              <w:rPr>
                <w:color w:val="auto"/>
              </w:rPr>
            </w:pPr>
            <w:r w:rsidRPr="00FC71BE">
              <w:rPr>
                <w:color w:val="auto"/>
              </w:rPr>
              <w:t>1</w:t>
            </w:r>
          </w:p>
        </w:tc>
      </w:tr>
      <w:tr w:rsidR="00FC71BE" w:rsidRPr="00FC71BE" w14:paraId="38A29EA2" w14:textId="77777777">
        <w:tc>
          <w:tcPr>
            <w:tcW w:w="1814" w:type="pct"/>
            <w:vAlign w:val="center"/>
            <w:hideMark/>
          </w:tcPr>
          <w:p w14:paraId="65972BA8" w14:textId="77777777" w:rsidR="00C56E32" w:rsidRPr="00FC71BE" w:rsidRDefault="00C56E32">
            <w:pPr>
              <w:pStyle w:val="Table"/>
              <w:rPr>
                <w:color w:val="auto"/>
              </w:rPr>
            </w:pPr>
            <w:r w:rsidRPr="00FC71BE">
              <w:rPr>
                <w:color w:val="auto"/>
              </w:rPr>
              <w:t>Pole number</w:t>
            </w:r>
          </w:p>
        </w:tc>
        <w:tc>
          <w:tcPr>
            <w:tcW w:w="581" w:type="pct"/>
            <w:vAlign w:val="center"/>
            <w:hideMark/>
          </w:tcPr>
          <w:p w14:paraId="7372B0E2" w14:textId="77777777" w:rsidR="00C56E32" w:rsidRPr="00FC71BE" w:rsidRDefault="00C56E32">
            <w:pPr>
              <w:pStyle w:val="Table"/>
              <w:rPr>
                <w:color w:val="auto"/>
              </w:rPr>
            </w:pPr>
            <w:r w:rsidRPr="00FC71BE">
              <w:rPr>
                <w:color w:val="auto"/>
              </w:rPr>
              <w:t>14</w:t>
            </w:r>
          </w:p>
        </w:tc>
        <w:tc>
          <w:tcPr>
            <w:tcW w:w="2033" w:type="pct"/>
            <w:vAlign w:val="center"/>
            <w:hideMark/>
          </w:tcPr>
          <w:p w14:paraId="11F8BAAD" w14:textId="77777777" w:rsidR="00C56E32" w:rsidRPr="00FC71BE" w:rsidRDefault="00C56E32">
            <w:pPr>
              <w:pStyle w:val="Table"/>
              <w:rPr>
                <w:color w:val="auto"/>
              </w:rPr>
            </w:pPr>
            <w:r w:rsidRPr="00FC71BE">
              <w:rPr>
                <w:color w:val="auto"/>
              </w:rPr>
              <w:t>Rotor outer radius (mm)</w:t>
            </w:r>
          </w:p>
        </w:tc>
        <w:tc>
          <w:tcPr>
            <w:tcW w:w="571" w:type="pct"/>
            <w:vAlign w:val="center"/>
            <w:hideMark/>
          </w:tcPr>
          <w:p w14:paraId="0E1E39F8" w14:textId="77777777" w:rsidR="00C56E32" w:rsidRPr="00FC71BE" w:rsidRDefault="00C56E32">
            <w:pPr>
              <w:pStyle w:val="Table"/>
              <w:rPr>
                <w:color w:val="auto"/>
              </w:rPr>
            </w:pPr>
            <w:r w:rsidRPr="00FC71BE">
              <w:rPr>
                <w:color w:val="auto"/>
              </w:rPr>
              <w:t>27.5</w:t>
            </w:r>
          </w:p>
        </w:tc>
      </w:tr>
      <w:tr w:rsidR="00FC71BE" w:rsidRPr="00FC71BE" w14:paraId="690CF21A" w14:textId="77777777">
        <w:tc>
          <w:tcPr>
            <w:tcW w:w="1814" w:type="pct"/>
            <w:vAlign w:val="center"/>
            <w:hideMark/>
          </w:tcPr>
          <w:p w14:paraId="51AC87E4" w14:textId="77777777" w:rsidR="00C56E32" w:rsidRPr="00FC71BE" w:rsidRDefault="00C56E32">
            <w:pPr>
              <w:pStyle w:val="Table"/>
              <w:rPr>
                <w:color w:val="auto"/>
              </w:rPr>
            </w:pPr>
            <w:r w:rsidRPr="00FC71BE">
              <w:rPr>
                <w:color w:val="auto"/>
              </w:rPr>
              <w:t>Stator outer radius (mm)</w:t>
            </w:r>
          </w:p>
        </w:tc>
        <w:tc>
          <w:tcPr>
            <w:tcW w:w="581" w:type="pct"/>
            <w:vAlign w:val="center"/>
            <w:hideMark/>
          </w:tcPr>
          <w:p w14:paraId="62E603E7" w14:textId="77777777" w:rsidR="00C56E32" w:rsidRPr="00FC71BE" w:rsidRDefault="00C56E32">
            <w:pPr>
              <w:pStyle w:val="Table"/>
              <w:rPr>
                <w:color w:val="auto"/>
              </w:rPr>
            </w:pPr>
            <w:r w:rsidRPr="00FC71BE">
              <w:rPr>
                <w:color w:val="auto"/>
              </w:rPr>
              <w:t>50</w:t>
            </w:r>
          </w:p>
        </w:tc>
        <w:tc>
          <w:tcPr>
            <w:tcW w:w="2033" w:type="pct"/>
            <w:vAlign w:val="center"/>
            <w:hideMark/>
          </w:tcPr>
          <w:p w14:paraId="2D309919" w14:textId="77777777" w:rsidR="00C56E32" w:rsidRPr="00FC71BE" w:rsidRDefault="00C56E32">
            <w:pPr>
              <w:pStyle w:val="Table"/>
              <w:rPr>
                <w:color w:val="auto"/>
              </w:rPr>
            </w:pPr>
            <w:r w:rsidRPr="00FC71BE">
              <w:rPr>
                <w:color w:val="auto"/>
              </w:rPr>
              <w:t>Magnet thickness (mm)</w:t>
            </w:r>
          </w:p>
        </w:tc>
        <w:tc>
          <w:tcPr>
            <w:tcW w:w="571" w:type="pct"/>
            <w:vAlign w:val="center"/>
            <w:hideMark/>
          </w:tcPr>
          <w:p w14:paraId="3C6E284D" w14:textId="77777777" w:rsidR="00C56E32" w:rsidRPr="00FC71BE" w:rsidRDefault="00C56E32">
            <w:pPr>
              <w:pStyle w:val="Table"/>
              <w:rPr>
                <w:color w:val="auto"/>
              </w:rPr>
            </w:pPr>
            <w:r w:rsidRPr="00FC71BE">
              <w:rPr>
                <w:color w:val="auto"/>
              </w:rPr>
              <w:t>3</w:t>
            </w:r>
          </w:p>
        </w:tc>
      </w:tr>
      <w:tr w:rsidR="00FC71BE" w:rsidRPr="00FC71BE" w14:paraId="746CF8B5" w14:textId="77777777">
        <w:tc>
          <w:tcPr>
            <w:tcW w:w="1814" w:type="pct"/>
            <w:vAlign w:val="center"/>
            <w:hideMark/>
          </w:tcPr>
          <w:p w14:paraId="30B0D15F" w14:textId="77777777" w:rsidR="00C56E32" w:rsidRPr="00FC71BE" w:rsidRDefault="00C56E32">
            <w:pPr>
              <w:pStyle w:val="Table"/>
              <w:rPr>
                <w:color w:val="auto"/>
              </w:rPr>
            </w:pPr>
            <w:r w:rsidRPr="00FC71BE">
              <w:rPr>
                <w:color w:val="auto"/>
              </w:rPr>
              <w:t>Stator inner radius (mm)</w:t>
            </w:r>
          </w:p>
        </w:tc>
        <w:tc>
          <w:tcPr>
            <w:tcW w:w="581" w:type="pct"/>
            <w:vAlign w:val="center"/>
            <w:hideMark/>
          </w:tcPr>
          <w:p w14:paraId="0A5D0201" w14:textId="77777777" w:rsidR="00C56E32" w:rsidRPr="00FC71BE" w:rsidRDefault="00C56E32">
            <w:pPr>
              <w:pStyle w:val="Table"/>
              <w:rPr>
                <w:color w:val="auto"/>
              </w:rPr>
            </w:pPr>
            <w:r w:rsidRPr="00FC71BE">
              <w:rPr>
                <w:color w:val="auto"/>
              </w:rPr>
              <w:t>28.5</w:t>
            </w:r>
          </w:p>
        </w:tc>
        <w:tc>
          <w:tcPr>
            <w:tcW w:w="2033" w:type="pct"/>
            <w:vAlign w:val="center"/>
            <w:hideMark/>
          </w:tcPr>
          <w:p w14:paraId="2D22A7B2" w14:textId="77777777" w:rsidR="00C56E32" w:rsidRPr="00FC71BE" w:rsidRDefault="00C56E32">
            <w:pPr>
              <w:pStyle w:val="Table"/>
              <w:rPr>
                <w:color w:val="auto"/>
              </w:rPr>
            </w:pPr>
            <w:r w:rsidRPr="00FC71BE">
              <w:rPr>
                <w:color w:val="auto"/>
              </w:rPr>
              <w:t>Stack length (mm)</w:t>
            </w:r>
          </w:p>
        </w:tc>
        <w:tc>
          <w:tcPr>
            <w:tcW w:w="571" w:type="pct"/>
            <w:vAlign w:val="center"/>
            <w:hideMark/>
          </w:tcPr>
          <w:p w14:paraId="25882E82" w14:textId="77777777" w:rsidR="00C56E32" w:rsidRPr="00FC71BE" w:rsidRDefault="00C56E32">
            <w:pPr>
              <w:pStyle w:val="Table"/>
              <w:rPr>
                <w:color w:val="auto"/>
              </w:rPr>
            </w:pPr>
            <w:r w:rsidRPr="00FC71BE">
              <w:rPr>
                <w:color w:val="auto"/>
              </w:rPr>
              <w:t>50</w:t>
            </w:r>
          </w:p>
        </w:tc>
      </w:tr>
      <w:tr w:rsidR="00FC71BE" w:rsidRPr="00FC71BE" w14:paraId="4A6BF7DE" w14:textId="77777777">
        <w:tc>
          <w:tcPr>
            <w:tcW w:w="1814" w:type="pct"/>
            <w:vAlign w:val="center"/>
            <w:hideMark/>
          </w:tcPr>
          <w:p w14:paraId="138E1C89" w14:textId="77777777" w:rsidR="00C56E32" w:rsidRPr="00FC71BE" w:rsidRDefault="00C56E32">
            <w:pPr>
              <w:pStyle w:val="Table"/>
              <w:rPr>
                <w:color w:val="auto"/>
              </w:rPr>
            </w:pPr>
            <w:r w:rsidRPr="00FC71BE">
              <w:rPr>
                <w:color w:val="auto"/>
              </w:rPr>
              <w:t>Stator yoke height (mm)</w:t>
            </w:r>
          </w:p>
        </w:tc>
        <w:tc>
          <w:tcPr>
            <w:tcW w:w="581" w:type="pct"/>
            <w:vAlign w:val="center"/>
            <w:hideMark/>
          </w:tcPr>
          <w:p w14:paraId="4DE97315" w14:textId="77777777" w:rsidR="00C56E32" w:rsidRPr="00FC71BE" w:rsidRDefault="00C56E32">
            <w:pPr>
              <w:pStyle w:val="Table"/>
              <w:rPr>
                <w:color w:val="auto"/>
              </w:rPr>
            </w:pPr>
            <w:r w:rsidRPr="00FC71BE">
              <w:rPr>
                <w:color w:val="auto"/>
              </w:rPr>
              <w:t>3.7</w:t>
            </w:r>
          </w:p>
        </w:tc>
        <w:tc>
          <w:tcPr>
            <w:tcW w:w="2033" w:type="pct"/>
            <w:vAlign w:val="center"/>
            <w:hideMark/>
          </w:tcPr>
          <w:p w14:paraId="0FF0D921" w14:textId="77777777" w:rsidR="00C56E32" w:rsidRPr="00FC71BE" w:rsidRDefault="00C56E32">
            <w:pPr>
              <w:pStyle w:val="Table"/>
              <w:rPr>
                <w:color w:val="auto"/>
              </w:rPr>
            </w:pPr>
            <w:r w:rsidRPr="00FC71BE">
              <w:rPr>
                <w:color w:val="auto"/>
              </w:rPr>
              <w:t>Rated phase current (</w:t>
            </w:r>
            <m:oMath>
              <m:sSub>
                <m:sSubPr>
                  <m:ctrlPr>
                    <w:rPr>
                      <w:rFonts w:ascii="Cambria Math" w:hAnsi="Cambria Math"/>
                      <w:color w:val="auto"/>
                      <w:sz w:val="16"/>
                    </w:rPr>
                  </m:ctrlPr>
                </m:sSubPr>
                <m:e>
                  <m:r>
                    <w:rPr>
                      <w:rFonts w:ascii="Cambria Math" w:hAnsi="Cambria Math"/>
                      <w:color w:val="auto"/>
                    </w:rPr>
                    <m:t>A</m:t>
                  </m:r>
                </m:e>
                <m:sub>
                  <m:r>
                    <w:rPr>
                      <w:rFonts w:ascii="Cambria Math" w:hAnsi="Cambria Math"/>
                      <w:color w:val="auto"/>
                    </w:rPr>
                    <m:t>peak</m:t>
                  </m:r>
                </m:sub>
              </m:sSub>
            </m:oMath>
            <w:r w:rsidRPr="00FC71BE">
              <w:rPr>
                <w:color w:val="auto"/>
              </w:rPr>
              <w:t>)</w:t>
            </w:r>
          </w:p>
        </w:tc>
        <w:tc>
          <w:tcPr>
            <w:tcW w:w="571" w:type="pct"/>
            <w:vAlign w:val="center"/>
            <w:hideMark/>
          </w:tcPr>
          <w:p w14:paraId="25C67B11" w14:textId="77777777" w:rsidR="00C56E32" w:rsidRPr="00FC71BE" w:rsidRDefault="00C56E32">
            <w:pPr>
              <w:pStyle w:val="Table"/>
              <w:rPr>
                <w:color w:val="auto"/>
              </w:rPr>
            </w:pPr>
            <w:r w:rsidRPr="00FC71BE">
              <w:rPr>
                <w:color w:val="auto"/>
              </w:rPr>
              <w:t>10.38</w:t>
            </w:r>
          </w:p>
        </w:tc>
      </w:tr>
      <w:tr w:rsidR="00FC71BE" w:rsidRPr="00FC71BE" w14:paraId="6C2EAF1A" w14:textId="77777777">
        <w:tc>
          <w:tcPr>
            <w:tcW w:w="1814" w:type="pct"/>
            <w:vAlign w:val="center"/>
            <w:hideMark/>
          </w:tcPr>
          <w:p w14:paraId="2B10DE6F" w14:textId="77777777" w:rsidR="00C56E32" w:rsidRPr="00FC71BE" w:rsidRDefault="00C56E32">
            <w:pPr>
              <w:pStyle w:val="Table"/>
              <w:rPr>
                <w:color w:val="auto"/>
              </w:rPr>
            </w:pPr>
            <w:r w:rsidRPr="00FC71BE">
              <w:rPr>
                <w:color w:val="auto"/>
              </w:rPr>
              <w:t>Tooth width (mm)</w:t>
            </w:r>
          </w:p>
        </w:tc>
        <w:tc>
          <w:tcPr>
            <w:tcW w:w="581" w:type="pct"/>
            <w:vAlign w:val="center"/>
            <w:hideMark/>
          </w:tcPr>
          <w:p w14:paraId="4132198C" w14:textId="77777777" w:rsidR="00C56E32" w:rsidRPr="00FC71BE" w:rsidRDefault="00C56E32">
            <w:pPr>
              <w:pStyle w:val="Table"/>
              <w:rPr>
                <w:color w:val="auto"/>
              </w:rPr>
            </w:pPr>
            <w:r w:rsidRPr="00FC71BE">
              <w:rPr>
                <w:color w:val="auto"/>
              </w:rPr>
              <w:t>7.1</w:t>
            </w:r>
          </w:p>
        </w:tc>
        <w:tc>
          <w:tcPr>
            <w:tcW w:w="2033" w:type="pct"/>
            <w:vAlign w:val="center"/>
            <w:hideMark/>
          </w:tcPr>
          <w:p w14:paraId="3A0AE5CE" w14:textId="77777777" w:rsidR="00C56E32" w:rsidRPr="00FC71BE" w:rsidRDefault="00C56E32">
            <w:pPr>
              <w:pStyle w:val="Table"/>
              <w:rPr>
                <w:color w:val="auto"/>
              </w:rPr>
            </w:pPr>
            <w:r w:rsidRPr="00FC71BE">
              <w:rPr>
                <w:color w:val="auto"/>
              </w:rPr>
              <w:t xml:space="preserve">Number of turns per coil </w:t>
            </w:r>
          </w:p>
        </w:tc>
        <w:tc>
          <w:tcPr>
            <w:tcW w:w="571" w:type="pct"/>
            <w:vAlign w:val="center"/>
            <w:hideMark/>
          </w:tcPr>
          <w:p w14:paraId="4F1ED06C" w14:textId="77777777" w:rsidR="00C56E32" w:rsidRPr="00FC71BE" w:rsidRDefault="00C56E32">
            <w:pPr>
              <w:pStyle w:val="Table"/>
              <w:rPr>
                <w:color w:val="auto"/>
              </w:rPr>
            </w:pPr>
            <w:r w:rsidRPr="00FC71BE">
              <w:rPr>
                <w:color w:val="auto"/>
              </w:rPr>
              <w:t>132</w:t>
            </w:r>
          </w:p>
        </w:tc>
      </w:tr>
      <w:tr w:rsidR="005E3DFE" w:rsidRPr="00FC71BE" w14:paraId="40447617" w14:textId="77777777">
        <w:tc>
          <w:tcPr>
            <w:tcW w:w="1814" w:type="pct"/>
            <w:tcBorders>
              <w:top w:val="nil"/>
              <w:left w:val="nil"/>
              <w:bottom w:val="double" w:sz="4" w:space="0" w:color="auto"/>
              <w:right w:val="nil"/>
            </w:tcBorders>
            <w:vAlign w:val="center"/>
            <w:hideMark/>
          </w:tcPr>
          <w:p w14:paraId="5600598D" w14:textId="77777777" w:rsidR="00C56E32" w:rsidRPr="00FC71BE" w:rsidRDefault="00C56E32">
            <w:pPr>
              <w:pStyle w:val="Table"/>
              <w:rPr>
                <w:color w:val="auto"/>
              </w:rPr>
            </w:pPr>
            <w:r w:rsidRPr="00FC71BE">
              <w:rPr>
                <w:color w:val="auto"/>
              </w:rPr>
              <w:t>Flux gap width (mm)</w:t>
            </w:r>
          </w:p>
        </w:tc>
        <w:tc>
          <w:tcPr>
            <w:tcW w:w="581" w:type="pct"/>
            <w:tcBorders>
              <w:top w:val="nil"/>
              <w:left w:val="nil"/>
              <w:bottom w:val="double" w:sz="4" w:space="0" w:color="auto"/>
              <w:right w:val="nil"/>
            </w:tcBorders>
            <w:vAlign w:val="center"/>
            <w:hideMark/>
          </w:tcPr>
          <w:p w14:paraId="66785FA5" w14:textId="77777777" w:rsidR="00C56E32" w:rsidRPr="00FC71BE" w:rsidRDefault="00C56E32">
            <w:pPr>
              <w:pStyle w:val="Table"/>
              <w:rPr>
                <w:color w:val="auto"/>
              </w:rPr>
            </w:pPr>
            <w:r w:rsidRPr="00FC71BE">
              <w:rPr>
                <w:color w:val="auto"/>
              </w:rPr>
              <w:t>2</w:t>
            </w:r>
          </w:p>
        </w:tc>
        <w:tc>
          <w:tcPr>
            <w:tcW w:w="2033" w:type="pct"/>
            <w:tcBorders>
              <w:top w:val="nil"/>
              <w:left w:val="nil"/>
              <w:bottom w:val="double" w:sz="4" w:space="0" w:color="auto"/>
              <w:right w:val="nil"/>
            </w:tcBorders>
            <w:vAlign w:val="center"/>
            <w:hideMark/>
          </w:tcPr>
          <w:p w14:paraId="32FA2C96" w14:textId="77777777" w:rsidR="00C56E32" w:rsidRPr="00FC71BE" w:rsidRDefault="00C56E32">
            <w:pPr>
              <w:pStyle w:val="Table"/>
              <w:rPr>
                <w:color w:val="auto"/>
              </w:rPr>
            </w:pPr>
            <w:r w:rsidRPr="00FC71BE">
              <w:rPr>
                <w:color w:val="auto"/>
              </w:rPr>
              <w:t>Rate speed (rpm)</w:t>
            </w:r>
          </w:p>
        </w:tc>
        <w:tc>
          <w:tcPr>
            <w:tcW w:w="571" w:type="pct"/>
            <w:tcBorders>
              <w:top w:val="nil"/>
              <w:left w:val="nil"/>
              <w:bottom w:val="double" w:sz="4" w:space="0" w:color="auto"/>
              <w:right w:val="nil"/>
            </w:tcBorders>
            <w:vAlign w:val="center"/>
            <w:hideMark/>
          </w:tcPr>
          <w:p w14:paraId="428D42B2" w14:textId="77777777" w:rsidR="00C56E32" w:rsidRPr="00FC71BE" w:rsidRDefault="00C56E32">
            <w:pPr>
              <w:pStyle w:val="Table"/>
              <w:rPr>
                <w:color w:val="auto"/>
              </w:rPr>
            </w:pPr>
            <w:r w:rsidRPr="00FC71BE">
              <w:rPr>
                <w:color w:val="auto"/>
              </w:rPr>
              <w:t>400</w:t>
            </w:r>
          </w:p>
        </w:tc>
      </w:tr>
    </w:tbl>
    <w:p w14:paraId="1D731884" w14:textId="77777777" w:rsidR="00C56E32" w:rsidRPr="00FC71BE" w:rsidRDefault="00C56E32" w:rsidP="00C56E32"/>
    <w:p w14:paraId="6380305B" w14:textId="3E77F116" w:rsidR="00C56E32" w:rsidRPr="00FC71BE" w:rsidRDefault="00C56E32" w:rsidP="00C56E32">
      <w:pPr>
        <w:rPr>
          <w:sz w:val="20"/>
        </w:rPr>
      </w:pPr>
      <w:r w:rsidRPr="00FC71BE">
        <w:t xml:space="preserve">After the optimization by method 1, a new topology of modular machine has been achieved, as shown in </w:t>
      </w:r>
      <w:r w:rsidRPr="00FC71BE">
        <w:fldChar w:fldCharType="begin"/>
      </w:r>
      <w:r w:rsidRPr="00FC71BE">
        <w:instrText xml:space="preserve"> REF _Ref139891887 \h  \* MERGEFORMAT </w:instrText>
      </w:r>
      <w:r w:rsidRPr="00FC71BE">
        <w:fldChar w:fldCharType="separate"/>
      </w:r>
      <w:r w:rsidR="007E62C1" w:rsidRPr="00FC71BE">
        <w:t>Fig. 2.15</w:t>
      </w:r>
      <w:r w:rsidRPr="00FC71BE">
        <w:fldChar w:fldCharType="end"/>
      </w:r>
      <w:r w:rsidRPr="00FC71BE">
        <w:t xml:space="preserve"> (a). Similar to the modular machine optimized by method 2 in </w:t>
      </w:r>
      <w:r w:rsidRPr="00FC71BE">
        <w:fldChar w:fldCharType="begin"/>
      </w:r>
      <w:r w:rsidR="0000133B" w:rsidRPr="00FC71BE">
        <w:instrText xml:space="preserve"> ADDIN EN.CITE &lt;EndNote&gt;&lt;Cite&gt;&lt;Author&gt;Li&lt;/Author&gt;&lt;Year&gt;2014&lt;/Year&gt;&lt;RecNum&gt;4&lt;/RecNum&gt;&lt;DisplayText&gt;[38]&lt;/DisplayText&gt;&lt;record&gt;&lt;rec-number&gt;4&lt;/rec-number&gt;&lt;foreign-keys&gt;&lt;key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fldChar w:fldCharType="separate"/>
      </w:r>
      <w:r w:rsidR="0000133B" w:rsidRPr="00FC71BE">
        <w:t>[38]</w:t>
      </w:r>
      <w:r w:rsidRPr="00FC71BE">
        <w:fldChar w:fldCharType="end"/>
      </w:r>
      <w:r w:rsidRPr="00FC71BE">
        <w:t xml:space="preserve">, both maximized torque (weight in the fitness function is 1) and minimized copper loss (weight in </w:t>
      </w:r>
      <w:r w:rsidRPr="00FC71BE">
        <w:lastRenderedPageBreak/>
        <w:t xml:space="preserve">the fitness function is 0.5) have been selected as primary objectives in the optimization by method 1. The variables are shown in </w:t>
      </w:r>
      <w:r w:rsidRPr="00FC71BE">
        <w:fldChar w:fldCharType="begin"/>
      </w:r>
      <w:r w:rsidRPr="00FC71BE">
        <w:instrText xml:space="preserve"> REF _Ref140068549 \h </w:instrText>
      </w:r>
      <w:r w:rsidRPr="00FC71BE">
        <w:fldChar w:fldCharType="separate"/>
      </w:r>
      <w:r w:rsidR="007E62C1" w:rsidRPr="00FC71BE">
        <w:t xml:space="preserve">Table </w:t>
      </w:r>
      <w:r w:rsidR="007E62C1" w:rsidRPr="00FC71BE">
        <w:rPr>
          <w:noProof/>
        </w:rPr>
        <w:t>2</w:t>
      </w:r>
      <w:r w:rsidR="007E62C1" w:rsidRPr="00FC71BE">
        <w:t>.</w:t>
      </w:r>
      <w:r w:rsidR="007E62C1" w:rsidRPr="00FC71BE">
        <w:rPr>
          <w:noProof/>
        </w:rPr>
        <w:t>8</w:t>
      </w:r>
      <w:r w:rsidRPr="00FC71BE">
        <w:fldChar w:fldCharType="end"/>
      </w:r>
      <w:r w:rsidRPr="00FC71BE">
        <w:t xml:space="preserve">. After the optimization, the copper loss is increased by 2%, i.e., from </w:t>
      </w:r>
      <m:oMath>
        <m:r>
          <w:rPr>
            <w:rFonts w:ascii="Cambria Math" w:hAnsi="Cambria Math"/>
          </w:rPr>
          <m:t xml:space="preserve">77.3 </m:t>
        </m:r>
        <m:r>
          <m:rPr>
            <m:sty m:val="p"/>
          </m:rPr>
          <w:rPr>
            <w:rFonts w:ascii="Cambria Math" w:hAnsi="Cambria Math"/>
          </w:rPr>
          <m:t>W</m:t>
        </m:r>
      </m:oMath>
      <w:r w:rsidRPr="00FC71BE">
        <w:t xml:space="preserve"> to </w:t>
      </w:r>
      <m:oMath>
        <m:r>
          <w:rPr>
            <w:rFonts w:ascii="Cambria Math" w:hAnsi="Cambria Math"/>
          </w:rPr>
          <m:t xml:space="preserve">78.9 </m:t>
        </m:r>
        <m:r>
          <m:rPr>
            <m:sty m:val="p"/>
          </m:rPr>
          <w:rPr>
            <w:rFonts w:ascii="Cambria Math" w:hAnsi="Cambria Math"/>
          </w:rPr>
          <m:t>W</m:t>
        </m:r>
      </m:oMath>
      <w:r w:rsidRPr="00FC71BE">
        <w:t xml:space="preserve"> and the average torque is increase by 5.3%, i.e., from </w:t>
      </w:r>
      <m:oMath>
        <m:r>
          <w:rPr>
            <w:rFonts w:ascii="Cambria Math" w:hAnsi="Cambria Math"/>
          </w:rPr>
          <m:t xml:space="preserve">5.6 </m:t>
        </m:r>
        <m:r>
          <m:rPr>
            <m:sty m:val="p"/>
          </m:rPr>
          <w:rPr>
            <w:rFonts w:ascii="Cambria Math" w:hAnsi="Cambria Math"/>
          </w:rPr>
          <m:t>Nm</m:t>
        </m:r>
      </m:oMath>
      <w:r w:rsidRPr="00FC71BE">
        <w:t xml:space="preserve"> to </w:t>
      </w:r>
      <m:oMath>
        <m:r>
          <w:rPr>
            <w:rFonts w:ascii="Cambria Math" w:hAnsi="Cambria Math"/>
          </w:rPr>
          <m:t xml:space="preserve">5.9 </m:t>
        </m:r>
        <m:r>
          <m:rPr>
            <m:sty m:val="p"/>
          </m:rPr>
          <w:rPr>
            <w:rFonts w:ascii="Cambria Math" w:hAnsi="Cambria Math"/>
          </w:rPr>
          <m:t>Nm</m:t>
        </m:r>
      </m:oMath>
      <w:r w:rsidRPr="00FC71BE">
        <w:t xml:space="preserve">. Thereby, the fitness function is improved by 4% by considering the flux gap width as a variable during the optimization. Similar level of improvement in average performance can also be achieved when the copper loss is maintained constant and the same during both optimization processes. For example, when the copper loss is </w:t>
      </w:r>
      <m:oMath>
        <m:r>
          <w:rPr>
            <w:rFonts w:ascii="Cambria Math" w:hAnsi="Cambria Math"/>
          </w:rPr>
          <m:t xml:space="preserve">77.3 </m:t>
        </m:r>
        <m:r>
          <m:rPr>
            <m:sty m:val="p"/>
          </m:rPr>
          <w:rPr>
            <w:rFonts w:ascii="Cambria Math" w:hAnsi="Cambria Math"/>
          </w:rPr>
          <m:t>W</m:t>
        </m:r>
      </m:oMath>
      <w:r w:rsidRPr="00FC71BE">
        <w:t>, the modular machine optimized by method 1 can still produce an average torque 3.6% higher than that produced by the modular machine optimized by the method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77402EB9" w14:textId="77777777">
        <w:tc>
          <w:tcPr>
            <w:tcW w:w="9016" w:type="dxa"/>
          </w:tcPr>
          <w:p w14:paraId="47CBF9EF" w14:textId="77777777" w:rsidR="00C56E32" w:rsidRPr="00FC71BE" w:rsidRDefault="00C56E32">
            <w:pPr>
              <w:pStyle w:val="Figure"/>
              <w:rPr>
                <w:noProof w:val="0"/>
              </w:rPr>
            </w:pPr>
            <w:r w:rsidRPr="00FC71BE">
              <w:drawing>
                <wp:inline distT="0" distB="0" distL="0" distR="0" wp14:anchorId="4EB84178" wp14:editId="59E89D03">
                  <wp:extent cx="3455064" cy="1728000"/>
                  <wp:effectExtent l="0" t="0" r="0" b="5715"/>
                  <wp:docPr id="23" name="Picture 23" descr="A diagram of a machine&#10;&#10;Description automatically generated">
                    <a:extLst xmlns:a="http://schemas.openxmlformats.org/drawingml/2006/main">
                      <a:ext uri="{FF2B5EF4-FFF2-40B4-BE49-F238E27FC236}">
                        <a16:creationId xmlns:a16="http://schemas.microsoft.com/office/drawing/2014/main" id="{DDEF659F-E98B-4B56-B94F-53AE0487D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diagram of a machine&#10;&#10;Description automatically generated">
                            <a:extLst>
                              <a:ext uri="{FF2B5EF4-FFF2-40B4-BE49-F238E27FC236}">
                                <a16:creationId xmlns:a16="http://schemas.microsoft.com/office/drawing/2014/main" id="{DDEF659F-E98B-4B56-B94F-53AE0487DC61}"/>
                              </a:ext>
                            </a:extLst>
                          </pic:cNvPr>
                          <pic:cNvPicPr>
                            <a:picLocks noChangeAspect="1"/>
                          </pic:cNvPicPr>
                        </pic:nvPicPr>
                        <pic:blipFill>
                          <a:blip r:embed="rId83"/>
                          <a:stretch>
                            <a:fillRect/>
                          </a:stretch>
                        </pic:blipFill>
                        <pic:spPr>
                          <a:xfrm>
                            <a:off x="0" y="0"/>
                            <a:ext cx="3455064" cy="1728000"/>
                          </a:xfrm>
                          <a:prstGeom prst="rect">
                            <a:avLst/>
                          </a:prstGeom>
                        </pic:spPr>
                      </pic:pic>
                    </a:graphicData>
                  </a:graphic>
                </wp:inline>
              </w:drawing>
            </w:r>
          </w:p>
        </w:tc>
      </w:tr>
      <w:tr w:rsidR="00FC71BE" w:rsidRPr="00FC71BE" w14:paraId="55AD0F73" w14:textId="77777777">
        <w:tc>
          <w:tcPr>
            <w:tcW w:w="9016" w:type="dxa"/>
          </w:tcPr>
          <w:p w14:paraId="744D546F" w14:textId="77777777" w:rsidR="00C56E32" w:rsidRPr="00FC71BE" w:rsidRDefault="00C56E32">
            <w:pPr>
              <w:pStyle w:val="Figure"/>
              <w:rPr>
                <w:noProof w:val="0"/>
              </w:rPr>
            </w:pPr>
            <w:r w:rsidRPr="00FC71BE">
              <w:rPr>
                <w:noProof w:val="0"/>
              </w:rPr>
              <w:t>(a) Method 1</w:t>
            </w:r>
          </w:p>
        </w:tc>
      </w:tr>
      <w:tr w:rsidR="00FC71BE" w:rsidRPr="00FC71BE" w14:paraId="253DF16B" w14:textId="77777777">
        <w:tc>
          <w:tcPr>
            <w:tcW w:w="9016" w:type="dxa"/>
          </w:tcPr>
          <w:p w14:paraId="6B36829F" w14:textId="77777777" w:rsidR="00C56E32" w:rsidRPr="00FC71BE" w:rsidRDefault="00C56E32">
            <w:pPr>
              <w:pStyle w:val="Figure"/>
              <w:rPr>
                <w:noProof w:val="0"/>
              </w:rPr>
            </w:pPr>
            <w:r w:rsidRPr="00FC71BE">
              <w:drawing>
                <wp:inline distT="0" distB="0" distL="0" distR="0" wp14:anchorId="5CF330E0" wp14:editId="0E8F916A">
                  <wp:extent cx="3599025" cy="1800000"/>
                  <wp:effectExtent l="0" t="0" r="1905" b="0"/>
                  <wp:docPr id="12" name="Picture 12" descr="A diagram of a circular object with a green line&#10;&#10;Description automatically generated">
                    <a:extLst xmlns:a="http://schemas.openxmlformats.org/drawingml/2006/main">
                      <a:ext uri="{FF2B5EF4-FFF2-40B4-BE49-F238E27FC236}">
                        <a16:creationId xmlns:a16="http://schemas.microsoft.com/office/drawing/2014/main" id="{CD259E53-093D-4E76-95F7-0FAD4FF1F7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a circular object with a green line&#10;&#10;Description automatically generated">
                            <a:extLst>
                              <a:ext uri="{FF2B5EF4-FFF2-40B4-BE49-F238E27FC236}">
                                <a16:creationId xmlns:a16="http://schemas.microsoft.com/office/drawing/2014/main" id="{CD259E53-093D-4E76-95F7-0FAD4FF1F7A8}"/>
                              </a:ext>
                            </a:extLst>
                          </pic:cNvPr>
                          <pic:cNvPicPr>
                            <a:picLocks noChangeAspect="1"/>
                          </pic:cNvPicPr>
                        </pic:nvPicPr>
                        <pic:blipFill>
                          <a:blip r:embed="rId84"/>
                          <a:stretch>
                            <a:fillRect/>
                          </a:stretch>
                        </pic:blipFill>
                        <pic:spPr>
                          <a:xfrm>
                            <a:off x="0" y="0"/>
                            <a:ext cx="3599025" cy="1800000"/>
                          </a:xfrm>
                          <a:prstGeom prst="rect">
                            <a:avLst/>
                          </a:prstGeom>
                        </pic:spPr>
                      </pic:pic>
                    </a:graphicData>
                  </a:graphic>
                </wp:inline>
              </w:drawing>
            </w:r>
          </w:p>
        </w:tc>
      </w:tr>
      <w:tr w:rsidR="00FC71BE" w:rsidRPr="00FC71BE" w14:paraId="03600636" w14:textId="77777777">
        <w:tc>
          <w:tcPr>
            <w:tcW w:w="9016" w:type="dxa"/>
          </w:tcPr>
          <w:p w14:paraId="54635FD3" w14:textId="77777777" w:rsidR="00C56E32" w:rsidRPr="00FC71BE" w:rsidRDefault="00C56E32">
            <w:pPr>
              <w:pStyle w:val="Figure"/>
              <w:rPr>
                <w:noProof w:val="0"/>
              </w:rPr>
            </w:pPr>
            <w:r w:rsidRPr="00FC71BE">
              <w:rPr>
                <w:noProof w:val="0"/>
              </w:rPr>
              <w:t>(b) Method 2</w:t>
            </w:r>
          </w:p>
        </w:tc>
      </w:tr>
    </w:tbl>
    <w:p w14:paraId="15DAEFF4" w14:textId="5C15E7B9" w:rsidR="00C56E32" w:rsidRPr="00FC71BE" w:rsidRDefault="00C56E32" w:rsidP="00C56E32">
      <w:pPr>
        <w:pStyle w:val="FigureTitle"/>
      </w:pPr>
      <w:bookmarkStart w:id="126" w:name="_Ref139891887"/>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15</w:t>
        </w:r>
      </w:fldSimple>
      <w:bookmarkEnd w:id="126"/>
      <w:r w:rsidRPr="00FC71BE">
        <w:t>. Cross-sections of 12-slot/14-pole modular machines optimized by different methods.</w:t>
      </w:r>
    </w:p>
    <w:p w14:paraId="0B342F2C" w14:textId="164AB876" w:rsidR="00C56E32" w:rsidRPr="00FC71BE" w:rsidRDefault="00C56E32" w:rsidP="00C56E32">
      <w:pPr>
        <w:pStyle w:val="Tabletitle"/>
        <w:rPr>
          <w:color w:val="auto"/>
          <w:sz w:val="16"/>
        </w:rPr>
      </w:pPr>
      <w:bookmarkStart w:id="127" w:name="_Ref139892143"/>
      <w:bookmarkStart w:id="128" w:name="_Ref140068549"/>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8</w:t>
      </w:r>
      <w:r w:rsidR="002839C4" w:rsidRPr="00FC71BE">
        <w:rPr>
          <w:color w:val="auto"/>
        </w:rPr>
        <w:fldChar w:fldCharType="end"/>
      </w:r>
      <w:bookmarkEnd w:id="127"/>
      <w:bookmarkEnd w:id="128"/>
      <w:r w:rsidRPr="00FC71BE">
        <w:rPr>
          <w:color w:val="auto"/>
        </w:rPr>
        <w:t xml:space="preserve"> Comparison between Optimized Prototype Modular Machines by Method 1 and Method 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1560"/>
        <w:gridCol w:w="1560"/>
        <w:gridCol w:w="2204"/>
      </w:tblGrid>
      <w:tr w:rsidR="00FC71BE" w:rsidRPr="00FC71BE" w14:paraId="76BA1C86" w14:textId="77777777">
        <w:tc>
          <w:tcPr>
            <w:tcW w:w="2051" w:type="pct"/>
            <w:tcBorders>
              <w:top w:val="single" w:sz="4" w:space="0" w:color="auto"/>
              <w:left w:val="nil"/>
              <w:bottom w:val="single" w:sz="4" w:space="0" w:color="auto"/>
              <w:right w:val="nil"/>
            </w:tcBorders>
          </w:tcPr>
          <w:p w14:paraId="6C02620E" w14:textId="77777777" w:rsidR="00C56E32" w:rsidRPr="00FC71BE" w:rsidRDefault="00C56E32">
            <w:pPr>
              <w:pStyle w:val="Table"/>
              <w:rPr>
                <w:color w:val="auto"/>
                <w:lang w:eastAsia="zh-CN"/>
              </w:rPr>
            </w:pPr>
          </w:p>
        </w:tc>
        <w:tc>
          <w:tcPr>
            <w:tcW w:w="864" w:type="pct"/>
            <w:tcBorders>
              <w:top w:val="single" w:sz="4" w:space="0" w:color="auto"/>
              <w:left w:val="nil"/>
              <w:bottom w:val="single" w:sz="4" w:space="0" w:color="auto"/>
              <w:right w:val="nil"/>
            </w:tcBorders>
            <w:hideMark/>
          </w:tcPr>
          <w:p w14:paraId="3278A055" w14:textId="77777777" w:rsidR="00C56E32" w:rsidRPr="00FC71BE" w:rsidRDefault="00C56E32">
            <w:pPr>
              <w:pStyle w:val="Table"/>
              <w:rPr>
                <w:color w:val="auto"/>
                <w:lang w:eastAsia="zh-CN"/>
              </w:rPr>
            </w:pPr>
            <w:r w:rsidRPr="00FC71BE">
              <w:rPr>
                <w:color w:val="auto"/>
                <w:lang w:eastAsia="zh-CN"/>
              </w:rPr>
              <w:t>Method 1</w:t>
            </w:r>
          </w:p>
        </w:tc>
        <w:tc>
          <w:tcPr>
            <w:tcW w:w="864" w:type="pct"/>
            <w:tcBorders>
              <w:top w:val="single" w:sz="4" w:space="0" w:color="auto"/>
              <w:left w:val="nil"/>
              <w:bottom w:val="single" w:sz="4" w:space="0" w:color="auto"/>
              <w:right w:val="nil"/>
            </w:tcBorders>
            <w:hideMark/>
          </w:tcPr>
          <w:p w14:paraId="58ABB06C" w14:textId="77777777" w:rsidR="00C56E32" w:rsidRPr="00FC71BE" w:rsidRDefault="00C56E32">
            <w:pPr>
              <w:pStyle w:val="Table"/>
              <w:rPr>
                <w:color w:val="auto"/>
                <w:lang w:eastAsia="zh-CN"/>
              </w:rPr>
            </w:pPr>
            <w:r w:rsidRPr="00FC71BE">
              <w:rPr>
                <w:color w:val="auto"/>
                <w:lang w:eastAsia="zh-CN"/>
              </w:rPr>
              <w:t>Method 2</w:t>
            </w:r>
          </w:p>
        </w:tc>
        <w:tc>
          <w:tcPr>
            <w:tcW w:w="1222" w:type="pct"/>
            <w:tcBorders>
              <w:top w:val="single" w:sz="4" w:space="0" w:color="auto"/>
              <w:left w:val="nil"/>
              <w:bottom w:val="single" w:sz="4" w:space="0" w:color="auto"/>
              <w:right w:val="nil"/>
            </w:tcBorders>
            <w:hideMark/>
          </w:tcPr>
          <w:p w14:paraId="4D9C0D61" w14:textId="77777777" w:rsidR="00C56E32" w:rsidRPr="00FC71BE" w:rsidRDefault="00C56E32">
            <w:pPr>
              <w:pStyle w:val="Table"/>
              <w:rPr>
                <w:color w:val="auto"/>
                <w:lang w:eastAsia="zh-CN"/>
              </w:rPr>
            </w:pPr>
            <w:r w:rsidRPr="00FC71BE">
              <w:rPr>
                <w:color w:val="auto"/>
                <w:lang w:eastAsia="zh-CN"/>
              </w:rPr>
              <w:t>Difference (%)</w:t>
            </w:r>
          </w:p>
        </w:tc>
      </w:tr>
      <w:tr w:rsidR="00FC71BE" w:rsidRPr="00FC71BE" w14:paraId="504434F5" w14:textId="77777777">
        <w:tc>
          <w:tcPr>
            <w:tcW w:w="2051" w:type="pct"/>
            <w:tcBorders>
              <w:top w:val="single" w:sz="4" w:space="0" w:color="auto"/>
              <w:left w:val="nil"/>
              <w:bottom w:val="nil"/>
              <w:right w:val="nil"/>
            </w:tcBorders>
            <w:hideMark/>
          </w:tcPr>
          <w:p w14:paraId="5CE53C29" w14:textId="77777777" w:rsidR="00C56E32" w:rsidRPr="00FC71BE" w:rsidRDefault="00C56E32">
            <w:pPr>
              <w:pStyle w:val="Table"/>
              <w:rPr>
                <w:color w:val="auto"/>
                <w:lang w:eastAsia="zh-CN"/>
              </w:rPr>
            </w:pPr>
            <w:r w:rsidRPr="00FC71BE">
              <w:rPr>
                <w:color w:val="auto"/>
                <w:lang w:eastAsia="zh-CN"/>
              </w:rPr>
              <w:t>Split ratio</w:t>
            </w:r>
          </w:p>
        </w:tc>
        <w:tc>
          <w:tcPr>
            <w:tcW w:w="864" w:type="pct"/>
            <w:tcBorders>
              <w:top w:val="single" w:sz="4" w:space="0" w:color="auto"/>
              <w:left w:val="nil"/>
              <w:bottom w:val="nil"/>
              <w:right w:val="nil"/>
            </w:tcBorders>
            <w:hideMark/>
          </w:tcPr>
          <w:p w14:paraId="6141D7EB" w14:textId="77777777" w:rsidR="00C56E32" w:rsidRPr="00FC71BE" w:rsidRDefault="00C56E32">
            <w:pPr>
              <w:pStyle w:val="Table"/>
              <w:rPr>
                <w:color w:val="auto"/>
                <w:lang w:eastAsia="zh-CN"/>
              </w:rPr>
            </w:pPr>
            <w:r w:rsidRPr="00FC71BE">
              <w:rPr>
                <w:color w:val="auto"/>
                <w:lang w:eastAsia="zh-CN"/>
              </w:rPr>
              <w:t>0.59</w:t>
            </w:r>
          </w:p>
        </w:tc>
        <w:tc>
          <w:tcPr>
            <w:tcW w:w="864" w:type="pct"/>
            <w:tcBorders>
              <w:top w:val="single" w:sz="4" w:space="0" w:color="auto"/>
              <w:left w:val="nil"/>
              <w:bottom w:val="nil"/>
              <w:right w:val="nil"/>
            </w:tcBorders>
            <w:hideMark/>
          </w:tcPr>
          <w:p w14:paraId="36054935" w14:textId="77777777" w:rsidR="00C56E32" w:rsidRPr="00FC71BE" w:rsidRDefault="00C56E32">
            <w:pPr>
              <w:pStyle w:val="Table"/>
              <w:rPr>
                <w:color w:val="auto"/>
                <w:lang w:eastAsia="zh-CN"/>
              </w:rPr>
            </w:pPr>
            <w:r w:rsidRPr="00FC71BE">
              <w:rPr>
                <w:color w:val="auto"/>
                <w:lang w:eastAsia="zh-CN"/>
              </w:rPr>
              <w:t>0.55</w:t>
            </w:r>
          </w:p>
        </w:tc>
        <w:tc>
          <w:tcPr>
            <w:tcW w:w="1222" w:type="pct"/>
            <w:tcBorders>
              <w:top w:val="single" w:sz="4" w:space="0" w:color="auto"/>
              <w:left w:val="nil"/>
              <w:bottom w:val="nil"/>
              <w:right w:val="nil"/>
            </w:tcBorders>
            <w:hideMark/>
          </w:tcPr>
          <w:p w14:paraId="03D6533E" w14:textId="77777777" w:rsidR="00C56E32" w:rsidRPr="00FC71BE" w:rsidRDefault="00C56E32">
            <w:pPr>
              <w:pStyle w:val="Table"/>
              <w:rPr>
                <w:color w:val="auto"/>
                <w:lang w:eastAsia="zh-CN"/>
              </w:rPr>
            </w:pPr>
            <w:r w:rsidRPr="00FC71BE">
              <w:rPr>
                <w:color w:val="auto"/>
                <w:lang w:eastAsia="zh-CN"/>
              </w:rPr>
              <w:t>7.3</w:t>
            </w:r>
          </w:p>
        </w:tc>
      </w:tr>
      <w:tr w:rsidR="00FC71BE" w:rsidRPr="00FC71BE" w14:paraId="1AB3E114" w14:textId="77777777">
        <w:tc>
          <w:tcPr>
            <w:tcW w:w="2051" w:type="pct"/>
            <w:hideMark/>
          </w:tcPr>
          <w:p w14:paraId="63B08720" w14:textId="77777777" w:rsidR="00C56E32" w:rsidRPr="00FC71BE" w:rsidRDefault="00C56E32">
            <w:pPr>
              <w:pStyle w:val="Table"/>
              <w:rPr>
                <w:color w:val="auto"/>
                <w:lang w:eastAsia="zh-CN"/>
              </w:rPr>
            </w:pPr>
            <w:r w:rsidRPr="00FC71BE">
              <w:rPr>
                <w:color w:val="auto"/>
                <w:lang w:eastAsia="zh-CN"/>
              </w:rPr>
              <w:t>Stator tooth width (mm)</w:t>
            </w:r>
          </w:p>
        </w:tc>
        <w:tc>
          <w:tcPr>
            <w:tcW w:w="864" w:type="pct"/>
            <w:hideMark/>
          </w:tcPr>
          <w:p w14:paraId="063CB497" w14:textId="77777777" w:rsidR="00C56E32" w:rsidRPr="00FC71BE" w:rsidRDefault="00C56E32">
            <w:pPr>
              <w:pStyle w:val="Table"/>
              <w:rPr>
                <w:color w:val="auto"/>
                <w:lang w:eastAsia="zh-CN"/>
              </w:rPr>
            </w:pPr>
            <w:r w:rsidRPr="00FC71BE">
              <w:rPr>
                <w:color w:val="auto"/>
                <w:lang w:eastAsia="zh-CN"/>
              </w:rPr>
              <w:t>6.9</w:t>
            </w:r>
          </w:p>
        </w:tc>
        <w:tc>
          <w:tcPr>
            <w:tcW w:w="864" w:type="pct"/>
            <w:hideMark/>
          </w:tcPr>
          <w:p w14:paraId="61E8AFCA" w14:textId="77777777" w:rsidR="00C56E32" w:rsidRPr="00FC71BE" w:rsidRDefault="00C56E32">
            <w:pPr>
              <w:pStyle w:val="Table"/>
              <w:rPr>
                <w:color w:val="auto"/>
                <w:lang w:eastAsia="zh-CN"/>
              </w:rPr>
            </w:pPr>
            <w:r w:rsidRPr="00FC71BE">
              <w:rPr>
                <w:color w:val="auto"/>
                <w:lang w:eastAsia="zh-CN"/>
              </w:rPr>
              <w:t>7.1</w:t>
            </w:r>
          </w:p>
        </w:tc>
        <w:tc>
          <w:tcPr>
            <w:tcW w:w="1222" w:type="pct"/>
            <w:hideMark/>
          </w:tcPr>
          <w:p w14:paraId="36ACB54B" w14:textId="77777777" w:rsidR="00C56E32" w:rsidRPr="00FC71BE" w:rsidRDefault="00C56E32">
            <w:pPr>
              <w:pStyle w:val="Table"/>
              <w:rPr>
                <w:color w:val="auto"/>
                <w:lang w:eastAsia="zh-CN"/>
              </w:rPr>
            </w:pPr>
            <w:r w:rsidRPr="00FC71BE">
              <w:rPr>
                <w:color w:val="auto"/>
                <w:lang w:eastAsia="zh-CN"/>
              </w:rPr>
              <w:t>-2.8</w:t>
            </w:r>
          </w:p>
        </w:tc>
      </w:tr>
      <w:tr w:rsidR="00FC71BE" w:rsidRPr="00FC71BE" w14:paraId="10E3DE51" w14:textId="77777777">
        <w:tc>
          <w:tcPr>
            <w:tcW w:w="2051" w:type="pct"/>
            <w:hideMark/>
          </w:tcPr>
          <w:p w14:paraId="01CE8626" w14:textId="77777777" w:rsidR="00C56E32" w:rsidRPr="00FC71BE" w:rsidRDefault="00C56E32">
            <w:pPr>
              <w:pStyle w:val="Table"/>
              <w:rPr>
                <w:color w:val="auto"/>
                <w:lang w:eastAsia="zh-CN"/>
              </w:rPr>
            </w:pPr>
            <w:r w:rsidRPr="00FC71BE">
              <w:rPr>
                <w:color w:val="auto"/>
                <w:lang w:eastAsia="zh-CN"/>
              </w:rPr>
              <w:t>Stator yoke thickness (mm)</w:t>
            </w:r>
          </w:p>
        </w:tc>
        <w:tc>
          <w:tcPr>
            <w:tcW w:w="864" w:type="pct"/>
            <w:hideMark/>
          </w:tcPr>
          <w:p w14:paraId="6AFD1706" w14:textId="77777777" w:rsidR="00C56E32" w:rsidRPr="00FC71BE" w:rsidRDefault="00C56E32">
            <w:pPr>
              <w:pStyle w:val="Table"/>
              <w:rPr>
                <w:color w:val="auto"/>
                <w:lang w:eastAsia="zh-CN"/>
              </w:rPr>
            </w:pPr>
            <w:r w:rsidRPr="00FC71BE">
              <w:rPr>
                <w:color w:val="auto"/>
                <w:lang w:eastAsia="zh-CN"/>
              </w:rPr>
              <w:t>2.6</w:t>
            </w:r>
          </w:p>
        </w:tc>
        <w:tc>
          <w:tcPr>
            <w:tcW w:w="864" w:type="pct"/>
            <w:hideMark/>
          </w:tcPr>
          <w:p w14:paraId="0A693C5E" w14:textId="77777777" w:rsidR="00C56E32" w:rsidRPr="00FC71BE" w:rsidRDefault="00C56E32">
            <w:pPr>
              <w:pStyle w:val="Table"/>
              <w:rPr>
                <w:color w:val="auto"/>
                <w:lang w:eastAsia="zh-CN"/>
              </w:rPr>
            </w:pPr>
            <w:r w:rsidRPr="00FC71BE">
              <w:rPr>
                <w:color w:val="auto"/>
                <w:lang w:eastAsia="zh-CN"/>
              </w:rPr>
              <w:t>3.7</w:t>
            </w:r>
          </w:p>
        </w:tc>
        <w:tc>
          <w:tcPr>
            <w:tcW w:w="1222" w:type="pct"/>
            <w:hideMark/>
          </w:tcPr>
          <w:p w14:paraId="023D9E05" w14:textId="77777777" w:rsidR="00C56E32" w:rsidRPr="00FC71BE" w:rsidRDefault="00C56E32">
            <w:pPr>
              <w:pStyle w:val="Table"/>
              <w:rPr>
                <w:color w:val="auto"/>
                <w:lang w:eastAsia="zh-CN"/>
              </w:rPr>
            </w:pPr>
            <w:r w:rsidRPr="00FC71BE">
              <w:rPr>
                <w:color w:val="auto"/>
                <w:lang w:eastAsia="zh-CN"/>
              </w:rPr>
              <w:t>-29.7</w:t>
            </w:r>
          </w:p>
        </w:tc>
      </w:tr>
      <w:tr w:rsidR="00FC71BE" w:rsidRPr="00FC71BE" w14:paraId="7720E46A" w14:textId="77777777">
        <w:tc>
          <w:tcPr>
            <w:tcW w:w="2051" w:type="pct"/>
            <w:hideMark/>
          </w:tcPr>
          <w:p w14:paraId="10D47B42" w14:textId="77777777" w:rsidR="00C56E32" w:rsidRPr="00FC71BE" w:rsidRDefault="00C56E32">
            <w:pPr>
              <w:pStyle w:val="Table"/>
              <w:rPr>
                <w:color w:val="auto"/>
                <w:lang w:eastAsia="zh-CN"/>
              </w:rPr>
            </w:pPr>
            <w:r w:rsidRPr="00FC71BE">
              <w:rPr>
                <w:color w:val="auto"/>
                <w:lang w:eastAsia="zh-CN"/>
              </w:rPr>
              <w:t>Magnet thickness (mm)</w:t>
            </w:r>
          </w:p>
        </w:tc>
        <w:tc>
          <w:tcPr>
            <w:tcW w:w="864" w:type="pct"/>
            <w:hideMark/>
          </w:tcPr>
          <w:p w14:paraId="42895570" w14:textId="77777777" w:rsidR="00C56E32" w:rsidRPr="00FC71BE" w:rsidRDefault="00C56E32">
            <w:pPr>
              <w:pStyle w:val="Table"/>
              <w:rPr>
                <w:color w:val="auto"/>
                <w:lang w:eastAsia="zh-CN"/>
              </w:rPr>
            </w:pPr>
            <w:r w:rsidRPr="00FC71BE">
              <w:rPr>
                <w:color w:val="auto"/>
                <w:lang w:eastAsia="zh-CN"/>
              </w:rPr>
              <w:t>2.77</w:t>
            </w:r>
          </w:p>
        </w:tc>
        <w:tc>
          <w:tcPr>
            <w:tcW w:w="864" w:type="pct"/>
            <w:hideMark/>
          </w:tcPr>
          <w:p w14:paraId="299F87F3" w14:textId="77777777" w:rsidR="00C56E32" w:rsidRPr="00FC71BE" w:rsidRDefault="00C56E32">
            <w:pPr>
              <w:pStyle w:val="Table"/>
              <w:rPr>
                <w:color w:val="auto"/>
                <w:lang w:eastAsia="zh-CN"/>
              </w:rPr>
            </w:pPr>
            <w:r w:rsidRPr="00FC71BE">
              <w:rPr>
                <w:color w:val="auto"/>
                <w:lang w:eastAsia="zh-CN"/>
              </w:rPr>
              <w:t>3</w:t>
            </w:r>
          </w:p>
        </w:tc>
        <w:tc>
          <w:tcPr>
            <w:tcW w:w="1222" w:type="pct"/>
            <w:hideMark/>
          </w:tcPr>
          <w:p w14:paraId="682F3C15" w14:textId="77777777" w:rsidR="00C56E32" w:rsidRPr="00FC71BE" w:rsidRDefault="00C56E32">
            <w:pPr>
              <w:pStyle w:val="Table"/>
              <w:rPr>
                <w:color w:val="auto"/>
                <w:lang w:eastAsia="zh-CN"/>
              </w:rPr>
            </w:pPr>
            <w:r w:rsidRPr="00FC71BE">
              <w:rPr>
                <w:color w:val="auto"/>
                <w:lang w:eastAsia="zh-CN"/>
              </w:rPr>
              <w:t>-7.7</w:t>
            </w:r>
          </w:p>
        </w:tc>
      </w:tr>
      <w:tr w:rsidR="00FC71BE" w:rsidRPr="00FC71BE" w14:paraId="3005CB26" w14:textId="77777777">
        <w:tc>
          <w:tcPr>
            <w:tcW w:w="2051" w:type="pct"/>
            <w:hideMark/>
          </w:tcPr>
          <w:p w14:paraId="43E7C133" w14:textId="77777777" w:rsidR="00C56E32" w:rsidRPr="00FC71BE" w:rsidRDefault="00C56E32">
            <w:pPr>
              <w:pStyle w:val="Table"/>
              <w:rPr>
                <w:color w:val="auto"/>
                <w:lang w:eastAsia="zh-CN"/>
              </w:rPr>
            </w:pPr>
            <w:r w:rsidRPr="00FC71BE">
              <w:rPr>
                <w:color w:val="auto"/>
                <w:lang w:eastAsia="zh-CN"/>
              </w:rPr>
              <w:t>Flux gap width (mm)</w:t>
            </w:r>
          </w:p>
        </w:tc>
        <w:tc>
          <w:tcPr>
            <w:tcW w:w="864" w:type="pct"/>
            <w:hideMark/>
          </w:tcPr>
          <w:p w14:paraId="2CEBA3C3" w14:textId="77777777" w:rsidR="00C56E32" w:rsidRPr="00FC71BE" w:rsidRDefault="00C56E32">
            <w:pPr>
              <w:pStyle w:val="Table"/>
              <w:rPr>
                <w:color w:val="auto"/>
                <w:lang w:eastAsia="zh-CN"/>
              </w:rPr>
            </w:pPr>
            <w:r w:rsidRPr="00FC71BE">
              <w:rPr>
                <w:color w:val="auto"/>
                <w:lang w:eastAsia="zh-CN"/>
              </w:rPr>
              <w:t>3.3</w:t>
            </w:r>
          </w:p>
        </w:tc>
        <w:tc>
          <w:tcPr>
            <w:tcW w:w="864" w:type="pct"/>
            <w:hideMark/>
          </w:tcPr>
          <w:p w14:paraId="66F62855" w14:textId="77777777" w:rsidR="00C56E32" w:rsidRPr="00FC71BE" w:rsidRDefault="00C56E32">
            <w:pPr>
              <w:pStyle w:val="Table"/>
              <w:rPr>
                <w:color w:val="auto"/>
                <w:lang w:eastAsia="zh-CN"/>
              </w:rPr>
            </w:pPr>
            <w:r w:rsidRPr="00FC71BE">
              <w:rPr>
                <w:color w:val="auto"/>
                <w:lang w:eastAsia="zh-CN"/>
              </w:rPr>
              <w:t>2</w:t>
            </w:r>
          </w:p>
        </w:tc>
        <w:tc>
          <w:tcPr>
            <w:tcW w:w="1222" w:type="pct"/>
            <w:hideMark/>
          </w:tcPr>
          <w:p w14:paraId="0C764370" w14:textId="77777777" w:rsidR="00C56E32" w:rsidRPr="00FC71BE" w:rsidRDefault="00C56E32">
            <w:pPr>
              <w:pStyle w:val="Table"/>
              <w:rPr>
                <w:color w:val="auto"/>
                <w:lang w:eastAsia="zh-CN"/>
              </w:rPr>
            </w:pPr>
            <w:r w:rsidRPr="00FC71BE">
              <w:rPr>
                <w:color w:val="auto"/>
                <w:lang w:eastAsia="zh-CN"/>
              </w:rPr>
              <w:t>65</w:t>
            </w:r>
          </w:p>
        </w:tc>
      </w:tr>
      <w:tr w:rsidR="00FC71BE" w:rsidRPr="00FC71BE" w14:paraId="07A153E7" w14:textId="77777777">
        <w:tc>
          <w:tcPr>
            <w:tcW w:w="2051" w:type="pct"/>
            <w:hideMark/>
          </w:tcPr>
          <w:p w14:paraId="694F31C4" w14:textId="77777777" w:rsidR="00C56E32" w:rsidRPr="00FC71BE" w:rsidRDefault="00C56E32">
            <w:pPr>
              <w:pStyle w:val="Table"/>
              <w:rPr>
                <w:color w:val="auto"/>
                <w:lang w:eastAsia="zh-CN"/>
              </w:rPr>
            </w:pPr>
            <w:r w:rsidRPr="00FC71BE">
              <w:rPr>
                <w:color w:val="auto"/>
                <w:lang w:eastAsia="zh-CN"/>
              </w:rPr>
              <w:t>Average torque (Nm)</w:t>
            </w:r>
          </w:p>
        </w:tc>
        <w:tc>
          <w:tcPr>
            <w:tcW w:w="864" w:type="pct"/>
            <w:hideMark/>
          </w:tcPr>
          <w:p w14:paraId="1E35188D" w14:textId="77777777" w:rsidR="00C56E32" w:rsidRPr="00FC71BE" w:rsidRDefault="00C56E32">
            <w:pPr>
              <w:pStyle w:val="Table"/>
              <w:rPr>
                <w:color w:val="auto"/>
                <w:lang w:eastAsia="zh-CN"/>
              </w:rPr>
            </w:pPr>
            <w:r w:rsidRPr="00FC71BE">
              <w:rPr>
                <w:color w:val="auto"/>
                <w:lang w:eastAsia="zh-CN"/>
              </w:rPr>
              <w:t>5.9</w:t>
            </w:r>
          </w:p>
        </w:tc>
        <w:tc>
          <w:tcPr>
            <w:tcW w:w="864" w:type="pct"/>
            <w:hideMark/>
          </w:tcPr>
          <w:p w14:paraId="75FBA5B9" w14:textId="77777777" w:rsidR="00C56E32" w:rsidRPr="00FC71BE" w:rsidRDefault="00C56E32">
            <w:pPr>
              <w:pStyle w:val="Table"/>
              <w:rPr>
                <w:color w:val="auto"/>
                <w:lang w:eastAsia="zh-CN"/>
              </w:rPr>
            </w:pPr>
            <w:r w:rsidRPr="00FC71BE">
              <w:rPr>
                <w:color w:val="auto"/>
                <w:lang w:eastAsia="zh-CN"/>
              </w:rPr>
              <w:t>5.6</w:t>
            </w:r>
          </w:p>
        </w:tc>
        <w:tc>
          <w:tcPr>
            <w:tcW w:w="1222" w:type="pct"/>
            <w:hideMark/>
          </w:tcPr>
          <w:p w14:paraId="52119581" w14:textId="77777777" w:rsidR="00C56E32" w:rsidRPr="00FC71BE" w:rsidRDefault="00C56E32">
            <w:pPr>
              <w:pStyle w:val="Table"/>
              <w:rPr>
                <w:color w:val="auto"/>
                <w:lang w:eastAsia="zh-CN"/>
              </w:rPr>
            </w:pPr>
            <w:r w:rsidRPr="00FC71BE">
              <w:rPr>
                <w:color w:val="auto"/>
                <w:lang w:eastAsia="zh-CN"/>
              </w:rPr>
              <w:t>5.3</w:t>
            </w:r>
          </w:p>
        </w:tc>
      </w:tr>
      <w:tr w:rsidR="00FC71BE" w:rsidRPr="00FC71BE" w14:paraId="1AF19169" w14:textId="77777777">
        <w:tc>
          <w:tcPr>
            <w:tcW w:w="2051" w:type="pct"/>
            <w:hideMark/>
          </w:tcPr>
          <w:p w14:paraId="531C76D2" w14:textId="77777777" w:rsidR="00C56E32" w:rsidRPr="00FC71BE" w:rsidRDefault="00C56E32">
            <w:pPr>
              <w:pStyle w:val="Table"/>
              <w:rPr>
                <w:color w:val="auto"/>
                <w:lang w:eastAsia="zh-CN"/>
              </w:rPr>
            </w:pPr>
            <w:r w:rsidRPr="00FC71BE">
              <w:rPr>
                <w:color w:val="auto"/>
                <w:lang w:eastAsia="zh-CN"/>
              </w:rPr>
              <w:t>Copper loss (W)</w:t>
            </w:r>
          </w:p>
        </w:tc>
        <w:tc>
          <w:tcPr>
            <w:tcW w:w="864" w:type="pct"/>
            <w:hideMark/>
          </w:tcPr>
          <w:p w14:paraId="06072F15" w14:textId="77777777" w:rsidR="00C56E32" w:rsidRPr="00FC71BE" w:rsidRDefault="00C56E32">
            <w:pPr>
              <w:pStyle w:val="Table"/>
              <w:rPr>
                <w:color w:val="auto"/>
                <w:lang w:eastAsia="zh-CN"/>
              </w:rPr>
            </w:pPr>
            <w:r w:rsidRPr="00FC71BE">
              <w:rPr>
                <w:color w:val="auto"/>
                <w:lang w:eastAsia="zh-CN"/>
              </w:rPr>
              <w:t>78.9</w:t>
            </w:r>
          </w:p>
        </w:tc>
        <w:tc>
          <w:tcPr>
            <w:tcW w:w="864" w:type="pct"/>
            <w:hideMark/>
          </w:tcPr>
          <w:p w14:paraId="5CA5F578" w14:textId="77777777" w:rsidR="00C56E32" w:rsidRPr="00FC71BE" w:rsidRDefault="00C56E32">
            <w:pPr>
              <w:pStyle w:val="Table"/>
              <w:rPr>
                <w:color w:val="auto"/>
                <w:lang w:eastAsia="zh-CN"/>
              </w:rPr>
            </w:pPr>
            <w:r w:rsidRPr="00FC71BE">
              <w:rPr>
                <w:color w:val="auto"/>
                <w:lang w:eastAsia="zh-CN"/>
              </w:rPr>
              <w:t>77.3</w:t>
            </w:r>
          </w:p>
        </w:tc>
        <w:tc>
          <w:tcPr>
            <w:tcW w:w="1222" w:type="pct"/>
            <w:hideMark/>
          </w:tcPr>
          <w:p w14:paraId="65C6E950" w14:textId="77777777" w:rsidR="00C56E32" w:rsidRPr="00FC71BE" w:rsidRDefault="00C56E32">
            <w:pPr>
              <w:pStyle w:val="Table"/>
              <w:rPr>
                <w:color w:val="auto"/>
                <w:lang w:eastAsia="zh-CN"/>
              </w:rPr>
            </w:pPr>
            <w:r w:rsidRPr="00FC71BE">
              <w:rPr>
                <w:color w:val="auto"/>
                <w:lang w:eastAsia="zh-CN"/>
              </w:rPr>
              <w:t>2.1</w:t>
            </w:r>
          </w:p>
        </w:tc>
      </w:tr>
      <w:tr w:rsidR="00FC71BE" w:rsidRPr="00FC71BE" w14:paraId="2E905003" w14:textId="77777777">
        <w:tc>
          <w:tcPr>
            <w:tcW w:w="2051" w:type="pct"/>
            <w:tcBorders>
              <w:top w:val="nil"/>
              <w:left w:val="nil"/>
              <w:bottom w:val="double" w:sz="4" w:space="0" w:color="auto"/>
              <w:right w:val="nil"/>
            </w:tcBorders>
            <w:hideMark/>
          </w:tcPr>
          <w:p w14:paraId="40641979" w14:textId="77777777" w:rsidR="00C56E32" w:rsidRPr="00FC71BE" w:rsidRDefault="00C56E32">
            <w:pPr>
              <w:pStyle w:val="Table"/>
              <w:rPr>
                <w:color w:val="auto"/>
                <w:lang w:eastAsia="zh-CN"/>
              </w:rPr>
            </w:pPr>
            <w:r w:rsidRPr="00FC71BE">
              <w:rPr>
                <w:color w:val="auto"/>
                <w:lang w:eastAsia="zh-CN"/>
              </w:rPr>
              <w:t>Fitness function</w:t>
            </w:r>
          </w:p>
        </w:tc>
        <w:tc>
          <w:tcPr>
            <w:tcW w:w="864" w:type="pct"/>
            <w:tcBorders>
              <w:top w:val="nil"/>
              <w:left w:val="nil"/>
              <w:bottom w:val="double" w:sz="4" w:space="0" w:color="auto"/>
              <w:right w:val="nil"/>
            </w:tcBorders>
            <w:hideMark/>
          </w:tcPr>
          <w:p w14:paraId="5B3216DD" w14:textId="77777777" w:rsidR="00C56E32" w:rsidRPr="00FC71BE" w:rsidRDefault="00C56E32">
            <w:pPr>
              <w:pStyle w:val="Table"/>
              <w:rPr>
                <w:color w:val="auto"/>
                <w:lang w:eastAsia="zh-CN"/>
              </w:rPr>
            </w:pPr>
            <w:r w:rsidRPr="00FC71BE">
              <w:rPr>
                <w:color w:val="auto"/>
                <w:lang w:eastAsia="zh-CN"/>
              </w:rPr>
              <w:t>1.04</w:t>
            </w:r>
          </w:p>
        </w:tc>
        <w:tc>
          <w:tcPr>
            <w:tcW w:w="864" w:type="pct"/>
            <w:tcBorders>
              <w:top w:val="nil"/>
              <w:left w:val="nil"/>
              <w:bottom w:val="double" w:sz="4" w:space="0" w:color="auto"/>
              <w:right w:val="nil"/>
            </w:tcBorders>
            <w:hideMark/>
          </w:tcPr>
          <w:p w14:paraId="2BA4094F" w14:textId="77777777" w:rsidR="00C56E32" w:rsidRPr="00FC71BE" w:rsidRDefault="00C56E32">
            <w:pPr>
              <w:pStyle w:val="Table"/>
              <w:rPr>
                <w:color w:val="auto"/>
                <w:lang w:eastAsia="zh-CN"/>
              </w:rPr>
            </w:pPr>
            <w:r w:rsidRPr="00FC71BE">
              <w:rPr>
                <w:color w:val="auto"/>
                <w:lang w:eastAsia="zh-CN"/>
              </w:rPr>
              <w:t>1</w:t>
            </w:r>
          </w:p>
        </w:tc>
        <w:tc>
          <w:tcPr>
            <w:tcW w:w="1222" w:type="pct"/>
            <w:tcBorders>
              <w:top w:val="nil"/>
              <w:left w:val="nil"/>
              <w:bottom w:val="double" w:sz="4" w:space="0" w:color="auto"/>
              <w:right w:val="nil"/>
            </w:tcBorders>
            <w:hideMark/>
          </w:tcPr>
          <w:p w14:paraId="4F05DA30" w14:textId="77777777" w:rsidR="00C56E32" w:rsidRPr="00FC71BE" w:rsidRDefault="00C56E32">
            <w:pPr>
              <w:pStyle w:val="Table"/>
              <w:rPr>
                <w:color w:val="auto"/>
                <w:lang w:eastAsia="zh-CN"/>
              </w:rPr>
            </w:pPr>
            <w:r w:rsidRPr="00FC71BE">
              <w:rPr>
                <w:color w:val="auto"/>
                <w:lang w:eastAsia="zh-CN"/>
              </w:rPr>
              <w:t>4</w:t>
            </w:r>
          </w:p>
        </w:tc>
      </w:tr>
    </w:tbl>
    <w:p w14:paraId="2E0E7D4A" w14:textId="77777777" w:rsidR="00C56E32" w:rsidRPr="00FC71BE" w:rsidRDefault="00C56E32" w:rsidP="00B86C68">
      <w:pPr>
        <w:pStyle w:val="Heading3"/>
        <w:numPr>
          <w:ilvl w:val="2"/>
          <w:numId w:val="49"/>
        </w:numPr>
      </w:pPr>
      <w:bookmarkStart w:id="129" w:name="_Toc157695345"/>
      <w:r w:rsidRPr="00FC71BE">
        <w:lastRenderedPageBreak/>
        <w:t>Phase Back EMF</w:t>
      </w:r>
      <w:bookmarkEnd w:id="129"/>
    </w:p>
    <w:p w14:paraId="7CE938C0" w14:textId="0CFEA84C" w:rsidR="00C56E32" w:rsidRPr="00FC71BE" w:rsidRDefault="00C56E32" w:rsidP="00C56E32">
      <w:pPr>
        <w:rPr>
          <w:sz w:val="20"/>
        </w:rPr>
      </w:pPr>
      <w:r w:rsidRPr="00FC71BE">
        <w:t xml:space="preserve">The predicted waveforms and spectra of phase back-EMFs for the modular machine with different optimization methods and the measured back-EMF obtained based on the modular machine optimized by method 2 are shown in </w:t>
      </w:r>
      <w:r w:rsidRPr="00FC71BE">
        <w:fldChar w:fldCharType="begin"/>
      </w:r>
      <w:r w:rsidRPr="00FC71BE">
        <w:instrText xml:space="preserve"> REF _Ref139892173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16</w:t>
      </w:r>
      <w:r w:rsidRPr="00FC71BE">
        <w:fldChar w:fldCharType="end"/>
      </w:r>
      <w:r w:rsidRPr="00FC71BE">
        <w:t>. The rotor is rotating at rated speed, i.e., 400rpm. A good agreement can be observed between the predicted and measured results for the modular machine optimized by method 2, which proves the accuracy of the FE modelling adopted in this chapter. In addition, as expected, the back-EMF of the modular machine optimized by method 1 is higher than that of the modular machine optimized by method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354A9463" w14:textId="77777777">
        <w:tc>
          <w:tcPr>
            <w:tcW w:w="9016" w:type="dxa"/>
          </w:tcPr>
          <w:p w14:paraId="1A3318C9" w14:textId="77777777" w:rsidR="00C56E32" w:rsidRPr="00FC71BE" w:rsidRDefault="00C56E32">
            <w:pPr>
              <w:pStyle w:val="Figure"/>
              <w:rPr>
                <w:noProof w:val="0"/>
              </w:rPr>
            </w:pPr>
            <w:r w:rsidRPr="00FC71BE">
              <w:rPr>
                <w14:ligatures w14:val="standardContextual"/>
              </w:rPr>
              <w:drawing>
                <wp:inline distT="0" distB="0" distL="0" distR="0" wp14:anchorId="3811722A" wp14:editId="10559099">
                  <wp:extent cx="4363200" cy="2617920"/>
                  <wp:effectExtent l="0" t="0" r="0" b="0"/>
                  <wp:docPr id="39" name="Picture 39" descr="A diagram of a meth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diagram of a method&#10;&#10;Description automatically generated"/>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63200" cy="2617920"/>
                          </a:xfrm>
                          <a:prstGeom prst="rect">
                            <a:avLst/>
                          </a:prstGeom>
                          <a:noFill/>
                          <a:ln>
                            <a:noFill/>
                          </a:ln>
                        </pic:spPr>
                      </pic:pic>
                    </a:graphicData>
                  </a:graphic>
                </wp:inline>
              </w:drawing>
            </w:r>
          </w:p>
        </w:tc>
      </w:tr>
      <w:tr w:rsidR="00FC71BE" w:rsidRPr="00FC71BE" w14:paraId="61AAA728" w14:textId="77777777">
        <w:tc>
          <w:tcPr>
            <w:tcW w:w="9016" w:type="dxa"/>
          </w:tcPr>
          <w:p w14:paraId="092B6ABE" w14:textId="77777777" w:rsidR="00C56E32" w:rsidRPr="00FC71BE" w:rsidRDefault="00C56E32">
            <w:pPr>
              <w:pStyle w:val="Figure"/>
              <w:rPr>
                <w:noProof w:val="0"/>
              </w:rPr>
            </w:pPr>
            <w:r w:rsidRPr="00FC71BE">
              <w:rPr>
                <w:noProof w:val="0"/>
              </w:rPr>
              <w:t>(a) Waveforms</w:t>
            </w:r>
          </w:p>
        </w:tc>
      </w:tr>
      <w:tr w:rsidR="00FC71BE" w:rsidRPr="00FC71BE" w14:paraId="02378618" w14:textId="77777777">
        <w:tc>
          <w:tcPr>
            <w:tcW w:w="9016" w:type="dxa"/>
          </w:tcPr>
          <w:p w14:paraId="6ADB82D8" w14:textId="77777777" w:rsidR="00C56E32" w:rsidRPr="00FC71BE" w:rsidRDefault="00C56E32">
            <w:pPr>
              <w:pStyle w:val="Figure"/>
              <w:rPr>
                <w:noProof w:val="0"/>
              </w:rPr>
            </w:pPr>
            <w:r w:rsidRPr="00FC71BE">
              <w:rPr>
                <w14:ligatures w14:val="standardContextual"/>
              </w:rPr>
              <w:drawing>
                <wp:inline distT="0" distB="0" distL="0" distR="0" wp14:anchorId="3D99012B" wp14:editId="31CEA251">
                  <wp:extent cx="4363200" cy="2617920"/>
                  <wp:effectExtent l="0" t="0" r="0" b="0"/>
                  <wp:docPr id="41" name="Picture 41" descr="A graph of a meth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aph of a method&#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363200" cy="2617920"/>
                          </a:xfrm>
                          <a:prstGeom prst="rect">
                            <a:avLst/>
                          </a:prstGeom>
                          <a:noFill/>
                          <a:ln>
                            <a:noFill/>
                          </a:ln>
                        </pic:spPr>
                      </pic:pic>
                    </a:graphicData>
                  </a:graphic>
                </wp:inline>
              </w:drawing>
            </w:r>
          </w:p>
        </w:tc>
      </w:tr>
      <w:tr w:rsidR="00FC71BE" w:rsidRPr="00FC71BE" w14:paraId="0F52B2EA" w14:textId="77777777">
        <w:tc>
          <w:tcPr>
            <w:tcW w:w="9016" w:type="dxa"/>
          </w:tcPr>
          <w:p w14:paraId="271FF04E" w14:textId="77777777" w:rsidR="00C56E32" w:rsidRPr="00FC71BE" w:rsidRDefault="00C56E32">
            <w:pPr>
              <w:pStyle w:val="Figure"/>
              <w:rPr>
                <w:noProof w:val="0"/>
              </w:rPr>
            </w:pPr>
            <w:r w:rsidRPr="00FC71BE">
              <w:rPr>
                <w:noProof w:val="0"/>
              </w:rPr>
              <w:t>(b) Spectra</w:t>
            </w:r>
          </w:p>
        </w:tc>
      </w:tr>
    </w:tbl>
    <w:p w14:paraId="72A66590" w14:textId="7E496AD9" w:rsidR="00C56E32" w:rsidRPr="00FC71BE" w:rsidRDefault="00C56E32" w:rsidP="00C56E32">
      <w:pPr>
        <w:pStyle w:val="FigureTitle"/>
      </w:pPr>
      <w:bookmarkStart w:id="130" w:name="_Ref139892173"/>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16</w:t>
        </w:r>
      </w:fldSimple>
      <w:bookmarkEnd w:id="130"/>
      <w:r w:rsidRPr="00FC71BE">
        <w:t>. Back-EMFs of the modular machines optimized by method 1 (predicted) and method 2 (predicted and measured).</w:t>
      </w:r>
    </w:p>
    <w:p w14:paraId="74934C1B" w14:textId="77777777" w:rsidR="00C56E32" w:rsidRPr="00FC71BE" w:rsidRDefault="00C56E32" w:rsidP="00B86C68">
      <w:pPr>
        <w:pStyle w:val="Heading3"/>
        <w:numPr>
          <w:ilvl w:val="2"/>
          <w:numId w:val="49"/>
        </w:numPr>
      </w:pPr>
      <w:bookmarkStart w:id="131" w:name="_Toc157695346"/>
      <w:r w:rsidRPr="00FC71BE">
        <w:lastRenderedPageBreak/>
        <w:t>Cogging Torque</w:t>
      </w:r>
      <w:bookmarkEnd w:id="131"/>
    </w:p>
    <w:p w14:paraId="51DB9F52" w14:textId="20124D43" w:rsidR="00C56E32" w:rsidRPr="00FC71BE" w:rsidRDefault="00C56E32" w:rsidP="00C56E32">
      <w:pPr>
        <w:rPr>
          <w:sz w:val="20"/>
        </w:rPr>
      </w:pPr>
      <w:r w:rsidRPr="00FC71BE">
        <w:t xml:space="preserve">The cogging torques of the modular machines optimized using both method 1 and method 2 have been calculated using 2D FEA, as shown in </w:t>
      </w:r>
      <w:r w:rsidRPr="00FC71BE">
        <w:fldChar w:fldCharType="begin"/>
      </w:r>
      <w:r w:rsidRPr="00FC71BE">
        <w:instrText xml:space="preserve"> REF _Ref139892199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17</w:t>
      </w:r>
      <w:r w:rsidRPr="00FC71BE">
        <w:fldChar w:fldCharType="end"/>
      </w:r>
      <w:r w:rsidRPr="00FC71BE">
        <w:t xml:space="preserve">. It is found that the modular machines with different optimization methods can achieve almost the same cogging torque. The simulated results have also been compared against the measured results of the modular machine optimized using the method 2 in </w:t>
      </w:r>
      <w:r w:rsidRPr="00FC71BE">
        <w:fldChar w:fldCharType="begin"/>
      </w:r>
      <w:r w:rsidR="0000133B" w:rsidRPr="00FC71BE">
        <w:instrText xml:space="preserve"> ADDIN EN.CITE &lt;EndNote&gt;&lt;Cite&gt;&lt;Author&gt;Li&lt;/Author&gt;&lt;Year&gt;2014&lt;/Year&gt;&lt;RecNum&gt;4&lt;/RecNum&gt;&lt;DisplayText&gt;[38]&lt;/DisplayText&gt;&lt;record&gt;&lt;rec-number&gt;4&lt;/rec-number&gt;&lt;foreign-keys&gt;&lt;key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fldChar w:fldCharType="separate"/>
      </w:r>
      <w:r w:rsidR="0000133B" w:rsidRPr="00FC71BE">
        <w:t>[38]</w:t>
      </w:r>
      <w:r w:rsidRPr="00FC71BE">
        <w:fldChar w:fldCharType="end"/>
      </w:r>
      <w:r w:rsidRPr="00FC71BE">
        <w:t xml:space="preserve">. It is worth noting that the cogging torque has been measured by the method proposed in </w:t>
      </w:r>
      <w:r w:rsidRPr="00FC71BE">
        <w:fldChar w:fldCharType="begin"/>
      </w:r>
      <w:r w:rsidR="00BA33ED" w:rsidRPr="00FC71BE">
        <w:instrText xml:space="preserve"> ADDIN EN.CITE &lt;EndNote&gt;&lt;Cite&gt;&lt;Author&gt;Zhu&lt;/Author&gt;&lt;Year&gt;2009&lt;/Year&gt;&lt;RecNum&gt;21&lt;/RecNum&gt;&lt;DisplayText&gt;[128]&lt;/DisplayText&gt;&lt;record&gt;&lt;rec-number&gt;21&lt;/rec-number&gt;&lt;foreign-keys&gt;&lt;key app="EN" db-id="rf2p5e05jx0x9jep00uvx0s1fvaww2dfa0r9" timestamp="1689000137"&gt;21&lt;/key&gt;&lt;/foreign-keys&gt;&lt;ref-type name="Conference Proceedings"&gt;10&lt;/ref-type&gt;&lt;contributors&gt;&lt;authors&gt;&lt;author&gt;Zhu, Z Q&lt;/author&gt;&lt;/authors&gt;&lt;/contributors&gt;&lt;titles&gt;&lt;title&gt;A simple method for measuring cogging torque in permanent magnet machines&lt;/title&gt;&lt;secondary-title&gt;2009 IEEE Power &amp;amp; Energy Society General Meeting&lt;/secondary-title&gt;&lt;/titles&gt;&lt;pages&gt;1-4&lt;/pages&gt;&lt;dates&gt;&lt;year&gt;2009&lt;/year&gt;&lt;/dates&gt;&lt;publisher&gt;IEEE&lt;/publisher&gt;&lt;isbn&gt;1424442419&lt;/isbn&gt;&lt;urls&gt;&lt;/urls&gt;&lt;/record&gt;&lt;/Cite&gt;&lt;/EndNote&gt;</w:instrText>
      </w:r>
      <w:r w:rsidRPr="00FC71BE">
        <w:fldChar w:fldCharType="separate"/>
      </w:r>
      <w:r w:rsidR="00BA33ED" w:rsidRPr="00FC71BE">
        <w:t>[128]</w:t>
      </w:r>
      <w:r w:rsidRPr="00FC71BE">
        <w:fldChar w:fldCharType="end"/>
      </w:r>
      <w:r w:rsidRPr="00FC71BE">
        <w:t>. A generally good match can be observed between FE and measured cogging torques for the modular machine optimized by method 2. The discrepancy could result from the manufacturing tolerance and end-effect that have not been considered in the 2D FE models.</w:t>
      </w:r>
    </w:p>
    <w:p w14:paraId="717BDBD6" w14:textId="77777777" w:rsidR="00C56E32" w:rsidRPr="00FC71BE" w:rsidRDefault="00C56E32" w:rsidP="00C56E32">
      <w:pPr>
        <w:pStyle w:val="Figure"/>
        <w:rPr>
          <w:noProof w:val="0"/>
        </w:rPr>
      </w:pPr>
      <w:r w:rsidRPr="00FC71BE">
        <w:drawing>
          <wp:inline distT="0" distB="0" distL="0" distR="0" wp14:anchorId="5F35D324" wp14:editId="2EF2047D">
            <wp:extent cx="4363200" cy="2617920"/>
            <wp:effectExtent l="0" t="0" r="0" b="0"/>
            <wp:docPr id="37" name="Picture 37" descr="A graph of a meth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A graph of a method&#10;&#10;Description automatically generated"/>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363200" cy="2617920"/>
                    </a:xfrm>
                    <a:prstGeom prst="rect">
                      <a:avLst/>
                    </a:prstGeom>
                    <a:noFill/>
                    <a:ln>
                      <a:noFill/>
                    </a:ln>
                  </pic:spPr>
                </pic:pic>
              </a:graphicData>
            </a:graphic>
          </wp:inline>
        </w:drawing>
      </w:r>
    </w:p>
    <w:p w14:paraId="37AD92C9" w14:textId="253A3F00" w:rsidR="00C56E32" w:rsidRPr="00FC71BE" w:rsidRDefault="00C56E32" w:rsidP="00C56E32">
      <w:pPr>
        <w:pStyle w:val="FigureTitle"/>
      </w:pPr>
      <w:bookmarkStart w:id="132" w:name="_Ref139892199"/>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17</w:t>
        </w:r>
      </w:fldSimple>
      <w:bookmarkEnd w:id="132"/>
      <w:r w:rsidRPr="00FC71BE">
        <w:t>. Cogging torques of the modular machines optimized by method 1 (predicted) and method 2 (predicted and measured).</w:t>
      </w:r>
    </w:p>
    <w:p w14:paraId="18E4EE2E" w14:textId="77777777" w:rsidR="00C56E32" w:rsidRPr="00FC71BE" w:rsidRDefault="00C56E32" w:rsidP="00B86C68">
      <w:pPr>
        <w:pStyle w:val="Heading3"/>
        <w:numPr>
          <w:ilvl w:val="2"/>
          <w:numId w:val="49"/>
        </w:numPr>
      </w:pPr>
      <w:bookmarkStart w:id="133" w:name="_Toc157695347"/>
      <w:r w:rsidRPr="00FC71BE">
        <w:t>Static Torque</w:t>
      </w:r>
      <w:bookmarkEnd w:id="133"/>
    </w:p>
    <w:p w14:paraId="2192274A" w14:textId="0C1957A1" w:rsidR="00C56E32" w:rsidRPr="00FC71BE" w:rsidRDefault="00C56E32" w:rsidP="00C56E32">
      <w:pPr>
        <w:rPr>
          <w:sz w:val="20"/>
        </w:rPr>
      </w:pPr>
      <w:r w:rsidRPr="00FC71BE">
        <w:t xml:space="preserve">The static torques have also been calculated using 2D FE models for the modular machines optimized using the method 1 and method 2, as shown </w:t>
      </w:r>
      <w:r w:rsidRPr="00FC71BE">
        <w:fldChar w:fldCharType="begin"/>
      </w:r>
      <w:r w:rsidRPr="00FC71BE">
        <w:instrText xml:space="preserve"> REF _Ref139892234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18</w:t>
      </w:r>
      <w:r w:rsidRPr="00FC71BE">
        <w:fldChar w:fldCharType="end"/>
      </w:r>
      <w:r w:rsidRPr="00FC71BE">
        <w:t xml:space="preserve">. Again, the simulated results of the modular machine optimized with the method 2 has been compared against the test results in </w:t>
      </w:r>
      <w:r w:rsidRPr="00FC71BE">
        <w:fldChar w:fldCharType="begin"/>
      </w:r>
      <w:r w:rsidR="0000133B" w:rsidRPr="00FC71BE">
        <w:instrText xml:space="preserve"> ADDIN EN.CITE &lt;EndNote&gt;&lt;Cite&gt;&lt;Author&gt;Li&lt;/Author&gt;&lt;Year&gt;2014&lt;/Year&gt;&lt;RecNum&gt;4&lt;/RecNum&gt;&lt;DisplayText&gt;[38]&lt;/DisplayText&gt;&lt;record&gt;&lt;rec-number&gt;4&lt;/rec-number&gt;&lt;foreign-keys&gt;&lt;key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fldChar w:fldCharType="separate"/>
      </w:r>
      <w:r w:rsidR="0000133B" w:rsidRPr="00FC71BE">
        <w:t>[38]</w:t>
      </w:r>
      <w:r w:rsidRPr="00FC71BE">
        <w:fldChar w:fldCharType="end"/>
      </w:r>
      <w:r w:rsidRPr="00FC71BE">
        <w:t xml:space="preserve">. It is worth noting that during the simulations and tests, the machines are supplied by 3-phase currents in such a way that </w:t>
      </w:r>
      <m:oMath>
        <m:sSub>
          <m:sSubPr>
            <m:ctrlPr>
              <w:rPr>
                <w:rFonts w:ascii="Cambria Math" w:hAnsi="Cambria Math"/>
                <w:i/>
                <w:lang w:eastAsia="en-US"/>
              </w:rPr>
            </m:ctrlPr>
          </m:sSubPr>
          <m:e>
            <m:r>
              <w:rPr>
                <w:rFonts w:ascii="Cambria Math" w:hAnsi="Cambria Math"/>
              </w:rPr>
              <m:t>I</m:t>
            </m:r>
          </m:e>
          <m:sub>
            <m:r>
              <w:rPr>
                <w:rFonts w:ascii="Cambria Math" w:hAnsi="Cambria Math"/>
              </w:rPr>
              <m:t>a</m:t>
            </m:r>
          </m:sub>
        </m:sSub>
        <m:r>
          <w:rPr>
            <w:rFonts w:ascii="Cambria Math" w:hAnsi="Cambria Math"/>
          </w:rPr>
          <m:t>=I</m:t>
        </m:r>
      </m:oMath>
      <w:r w:rsidRPr="00FC71BE">
        <w:t xml:space="preserve"> and </w:t>
      </w:r>
      <m:oMath>
        <m:sSub>
          <m:sSubPr>
            <m:ctrlPr>
              <w:rPr>
                <w:rFonts w:ascii="Cambria Math" w:hAnsi="Cambria Math"/>
                <w:i/>
                <w:lang w:eastAsia="en-US"/>
              </w:rPr>
            </m:ctrlPr>
          </m:sSubPr>
          <m:e>
            <m:r>
              <w:rPr>
                <w:rFonts w:ascii="Cambria Math" w:hAnsi="Cambria Math"/>
              </w:rPr>
              <m:t>I</m:t>
            </m:r>
          </m:e>
          <m:sub>
            <m:r>
              <w:rPr>
                <w:rFonts w:ascii="Cambria Math" w:hAnsi="Cambria Math"/>
              </w:rPr>
              <m:t>b</m:t>
            </m:r>
          </m:sub>
        </m:sSub>
        <m:r>
          <w:rPr>
            <w:rFonts w:ascii="Cambria Math" w:hAnsi="Cambria Math"/>
          </w:rPr>
          <m:t>=</m:t>
        </m:r>
        <m:sSub>
          <m:sSubPr>
            <m:ctrlPr>
              <w:rPr>
                <w:rFonts w:ascii="Cambria Math" w:hAnsi="Cambria Math"/>
                <w:i/>
                <w:lang w:eastAsia="en-US"/>
              </w:rPr>
            </m:ctrlPr>
          </m:sSubPr>
          <m:e>
            <m:r>
              <w:rPr>
                <w:rFonts w:ascii="Cambria Math" w:hAnsi="Cambria Math"/>
              </w:rPr>
              <m:t>I</m:t>
            </m:r>
          </m:e>
          <m:sub>
            <m:r>
              <w:rPr>
                <w:rFonts w:ascii="Cambria Math" w:hAnsi="Cambria Math"/>
              </w:rPr>
              <m:t>c</m:t>
            </m:r>
          </m:sub>
        </m:sSub>
        <m:r>
          <w:rPr>
            <w:rFonts w:ascii="Cambria Math" w:hAnsi="Cambria Math"/>
          </w:rPr>
          <m:t>=-</m:t>
        </m:r>
        <m:f>
          <m:fPr>
            <m:ctrlPr>
              <w:rPr>
                <w:rFonts w:ascii="Cambria Math" w:hAnsi="Cambria Math"/>
                <w:i/>
                <w:lang w:eastAsia="en-US"/>
              </w:rPr>
            </m:ctrlPr>
          </m:fPr>
          <m:num>
            <m:r>
              <w:rPr>
                <w:rFonts w:ascii="Cambria Math" w:hAnsi="Cambria Math"/>
              </w:rPr>
              <m:t>1</m:t>
            </m:r>
          </m:num>
          <m:den>
            <m:r>
              <w:rPr>
                <w:rFonts w:ascii="Cambria Math" w:hAnsi="Cambria Math"/>
              </w:rPr>
              <m:t>2</m:t>
            </m:r>
          </m:den>
        </m:f>
        <m:r>
          <w:rPr>
            <w:rFonts w:ascii="Cambria Math" w:hAnsi="Cambria Math"/>
          </w:rPr>
          <m:t>I</m:t>
        </m:r>
      </m:oMath>
      <w:r w:rsidRPr="00FC71BE">
        <w:t xml:space="preserve">, where </w:t>
      </w:r>
      <m:oMath>
        <m:r>
          <w:rPr>
            <w:rFonts w:ascii="Cambria Math" w:hAnsi="Cambria Math"/>
          </w:rPr>
          <m:t>I</m:t>
        </m:r>
      </m:oMath>
      <w:r w:rsidRPr="00FC71BE">
        <w:t xml:space="preserve"> is dc current and its amplitude can be changed to simulate for different load conditions. In addition, the rotor position is at </w:t>
      </w:r>
      <w:r w:rsidRPr="00FC71BE">
        <w:rPr>
          <w:i/>
          <w:iCs/>
        </w:rPr>
        <w:t>q</w:t>
      </w:r>
      <w:r w:rsidRPr="00FC71BE">
        <w:t xml:space="preserve">-axis, simulating the maximum torque per ampere (MTPA) control. As expected, higher static torque can be found for the modular machine optimized by method 1. However, it is also found that the increase in static torque is slightly lower than that in fundamental phase </w:t>
      </w:r>
      <w:r w:rsidRPr="00FC71BE">
        <w:lastRenderedPageBreak/>
        <w:t xml:space="preserve">back-EMF, as shown in </w:t>
      </w:r>
      <w:r w:rsidRPr="00FC71BE">
        <w:fldChar w:fldCharType="begin"/>
      </w:r>
      <w:r w:rsidRPr="00FC71BE">
        <w:instrText xml:space="preserve"> REF _Ref139892173 \h </w:instrText>
      </w:r>
      <w:r w:rsidRPr="00FC71BE">
        <w:fldChar w:fldCharType="separate"/>
      </w:r>
      <w:r w:rsidR="007E62C1" w:rsidRPr="00FC71BE">
        <w:t xml:space="preserve">Fig. </w:t>
      </w:r>
      <w:r w:rsidR="007E62C1" w:rsidRPr="00FC71BE">
        <w:rPr>
          <w:noProof/>
        </w:rPr>
        <w:t>2</w:t>
      </w:r>
      <w:r w:rsidR="007E62C1" w:rsidRPr="00FC71BE">
        <w:t>.</w:t>
      </w:r>
      <w:r w:rsidR="007E62C1" w:rsidRPr="00FC71BE">
        <w:rPr>
          <w:noProof/>
        </w:rPr>
        <w:t>16</w:t>
      </w:r>
      <w:r w:rsidRPr="00FC71BE">
        <w:fldChar w:fldCharType="end"/>
      </w:r>
      <w:r w:rsidRPr="00FC71BE">
        <w:t xml:space="preserve"> (b). This is mainly because the measurement of static torque using the method proposed in </w:t>
      </w:r>
      <w:r w:rsidRPr="00FC71BE">
        <w:fldChar w:fldCharType="begin"/>
      </w:r>
      <w:r w:rsidR="00BA33ED" w:rsidRPr="00FC71BE">
        <w:instrText xml:space="preserve"> ADDIN EN.CITE &lt;EndNote&gt;&lt;Cite&gt;&lt;Author&gt;Zhu&lt;/Author&gt;&lt;Year&gt;2009&lt;/Year&gt;&lt;RecNum&gt;21&lt;/RecNum&gt;&lt;DisplayText&gt;[128]&lt;/DisplayText&gt;&lt;record&gt;&lt;rec-number&gt;21&lt;/rec-number&gt;&lt;foreign-keys&gt;&lt;key app="EN" db-id="rf2p5e05jx0x9jep00uvx0s1fvaww2dfa0r9" timestamp="1689000137"&gt;21&lt;/key&gt;&lt;/foreign-keys&gt;&lt;ref-type name="Conference Proceedings"&gt;10&lt;/ref-type&gt;&lt;contributors&gt;&lt;authors&gt;&lt;author&gt;Zhu, Z Q&lt;/author&gt;&lt;/authors&gt;&lt;/contributors&gt;&lt;titles&gt;&lt;title&gt;A simple method for measuring cogging torque in permanent magnet machines&lt;/title&gt;&lt;secondary-title&gt;2009 IEEE Power &amp;amp; Energy Society General Meeting&lt;/secondary-title&gt;&lt;/titles&gt;&lt;pages&gt;1-4&lt;/pages&gt;&lt;dates&gt;&lt;year&gt;2009&lt;/year&gt;&lt;/dates&gt;&lt;publisher&gt;IEEE&lt;/publisher&gt;&lt;isbn&gt;1424442419&lt;/isbn&gt;&lt;urls&gt;&lt;/urls&gt;&lt;/record&gt;&lt;/Cite&gt;&lt;/EndNote&gt;</w:instrText>
      </w:r>
      <w:r w:rsidRPr="00FC71BE">
        <w:fldChar w:fldCharType="separate"/>
      </w:r>
      <w:r w:rsidR="00BA33ED" w:rsidRPr="00FC71BE">
        <w:t>[128]</w:t>
      </w:r>
      <w:r w:rsidRPr="00FC71BE">
        <w:fldChar w:fldCharType="end"/>
      </w:r>
      <w:r w:rsidRPr="00FC71BE">
        <w:t xml:space="preserve"> also considered the effect of cogging torque. Therefore, unlike the average torque, the static torque does not have a linear relationship with the fundamental phase back-EMF.</w:t>
      </w:r>
    </w:p>
    <w:p w14:paraId="7EFA0DC8" w14:textId="77777777" w:rsidR="00C56E32" w:rsidRPr="00FC71BE" w:rsidRDefault="00C56E32" w:rsidP="00C56E32">
      <w:pPr>
        <w:pStyle w:val="Figure"/>
        <w:rPr>
          <w:noProof w:val="0"/>
        </w:rPr>
      </w:pPr>
      <w:r w:rsidRPr="00FC71BE">
        <w:rPr>
          <w14:ligatures w14:val="standardContextual"/>
        </w:rPr>
        <w:drawing>
          <wp:inline distT="0" distB="0" distL="0" distR="0" wp14:anchorId="15A30548" wp14:editId="2A0E54C7">
            <wp:extent cx="4363200" cy="2617920"/>
            <wp:effectExtent l="0" t="0" r="0" b="0"/>
            <wp:docPr id="16" name="Picture 16" descr="A diagram of a meth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A diagram of a method&#10;&#10;Description automatically generated"/>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363200" cy="2617920"/>
                    </a:xfrm>
                    <a:prstGeom prst="rect">
                      <a:avLst/>
                    </a:prstGeom>
                    <a:noFill/>
                    <a:ln>
                      <a:noFill/>
                    </a:ln>
                  </pic:spPr>
                </pic:pic>
              </a:graphicData>
            </a:graphic>
          </wp:inline>
        </w:drawing>
      </w:r>
    </w:p>
    <w:p w14:paraId="59EFB1EF" w14:textId="2107925D" w:rsidR="00C56E32" w:rsidRPr="00FC71BE" w:rsidRDefault="00C56E32" w:rsidP="00C56E32">
      <w:pPr>
        <w:pStyle w:val="FigureTitle"/>
      </w:pPr>
      <w:bookmarkStart w:id="134" w:name="_Ref139892234"/>
      <w:r w:rsidRPr="00FC71BE">
        <w:t xml:space="preserve">Fig. </w:t>
      </w:r>
      <w:fldSimple w:instr=" STYLEREF 1 \s ">
        <w:r w:rsidR="007E62C1" w:rsidRPr="00FC71BE">
          <w:rPr>
            <w:noProof/>
          </w:rPr>
          <w:t>2</w:t>
        </w:r>
      </w:fldSimple>
      <w:r w:rsidRPr="00FC71BE">
        <w:t>.</w:t>
      </w:r>
      <w:fldSimple w:instr=" SEQ Fig. \* ARABIC \s 1 ">
        <w:r w:rsidR="007E62C1" w:rsidRPr="00FC71BE">
          <w:rPr>
            <w:noProof/>
          </w:rPr>
          <w:t>18</w:t>
        </w:r>
      </w:fldSimple>
      <w:bookmarkEnd w:id="134"/>
      <w:r w:rsidRPr="00FC71BE">
        <w:t>. Torque versus rotor position for the original and optimal modular machine.</w:t>
      </w:r>
    </w:p>
    <w:p w14:paraId="5B89F677" w14:textId="77777777" w:rsidR="00C56E32" w:rsidRPr="00FC71BE" w:rsidRDefault="00C56E32" w:rsidP="00B86C68">
      <w:pPr>
        <w:pStyle w:val="Heading2"/>
        <w:numPr>
          <w:ilvl w:val="1"/>
          <w:numId w:val="49"/>
        </w:numPr>
      </w:pPr>
      <w:bookmarkStart w:id="135" w:name="_Toc157695348"/>
      <w:r w:rsidRPr="00FC71BE">
        <w:t>Conclusion</w:t>
      </w:r>
      <w:bookmarkEnd w:id="135"/>
    </w:p>
    <w:p w14:paraId="56C1087F" w14:textId="77777777" w:rsidR="00C56E32" w:rsidRPr="00FC71BE" w:rsidRDefault="00C56E32" w:rsidP="00C56E32">
      <w:pPr>
        <w:rPr>
          <w:sz w:val="20"/>
        </w:rPr>
      </w:pPr>
      <w:r w:rsidRPr="00FC71BE">
        <w:t>Global optimization based on genetic algorithm (GA) is introduced in this chapter to optimize the modular machines with the flux gap width being considered as a variable. Compared with the existing approach, which introduces the flux gaps after the non-modular machine is optimized, the proposed method can achieve even better performances for the optimized modular machines. Compared with the conventional optimization method (method 2 in this chapter), the proposed optimization method (method 1 which considers the flux gap width as variable) can increase the average torque by 1.4% while reducing the total machine mass and torque ripple by 4% and 55.6%, respectively. In addition, the efficiency of the modular machine has not been significantly reduced by the optimization method.</w:t>
      </w:r>
    </w:p>
    <w:p w14:paraId="466FE51A" w14:textId="77777777" w:rsidR="00C56E32" w:rsidRPr="00FC71BE" w:rsidRDefault="00C56E32" w:rsidP="00C56E32">
      <w:r w:rsidRPr="00FC71BE">
        <w:t>Based on the optimized results, it is found that for machines having lower slot number than pole number, e.g., 24-slot/28-pole, due to the influence on winding factor, effective airgap length and flux focusing effect, the flux gap widths generally improve the working harmonic in open-circuit airgap flux density, the fundamental back-EMF and the average torque. However, for machines with higher slot number than pole number, e.g., 24-slot/20-pole, the optimization algorithm points towards the fact that no flux gaps lead to better electromagnetic performance.</w:t>
      </w:r>
    </w:p>
    <w:p w14:paraId="4DB4DEAD" w14:textId="1D22C3E1" w:rsidR="00C56E32" w:rsidRPr="00FC71BE" w:rsidRDefault="00C56E32" w:rsidP="00C56E32">
      <w:r w:rsidRPr="00FC71BE">
        <w:lastRenderedPageBreak/>
        <w:t xml:space="preserve">Test results published in </w:t>
      </w:r>
      <w:r w:rsidRPr="00FC71BE">
        <w:fldChar w:fldCharType="begin"/>
      </w:r>
      <w:r w:rsidR="0000133B" w:rsidRPr="00FC71BE">
        <w:instrText xml:space="preserve"> ADDIN EN.CITE &lt;EndNote&gt;&lt;Cite&gt;&lt;Author&gt;Li&lt;/Author&gt;&lt;Year&gt;2014&lt;/Year&gt;&lt;RecNum&gt;4&lt;/RecNum&gt;&lt;DisplayText&gt;[38]&lt;/DisplayText&gt;&lt;record&gt;&lt;rec-number&gt;4&lt;/rec-number&gt;&lt;foreign-keys&gt;&lt;key app="EN" db-id="rf2p5e05jx0x9jep00uvx0s1fvaww2dfa0r9" timestamp="1688999522"&gt;4&lt;/key&gt;&lt;/foreign-keys&gt;&lt;ref-type name="Journal Article"&gt;17&lt;/ref-type&gt;&lt;contributors&gt;&lt;authors&gt;&lt;author&gt;Li, Guang Jin&lt;/author&gt;&lt;author&gt;Zhu, Zi Qiang&lt;/author&gt;&lt;author&gt;Foster, Martin&lt;/author&gt;&lt;author&gt;Stone, Dave&lt;/author&gt;&lt;/authors&gt;&lt;/contributors&gt;&lt;titles&gt;&lt;title&gt;Comparative studies of modular and unequal tooth PM machines either with or without tooth tips&lt;/title&gt;&lt;secondary-title&gt;IEEE transactions on magnetics&lt;/secondary-title&gt;&lt;/titles&gt;&lt;periodical&gt;&lt;full-title&gt;IEEE Transactions on Magnetics&lt;/full-title&gt;&lt;/periodical&gt;&lt;pages&gt;1-10&lt;/pages&gt;&lt;volume&gt;50&lt;/volume&gt;&lt;number&gt;7&lt;/number&gt;&lt;dates&gt;&lt;year&gt;2014&lt;/year&gt;&lt;/dates&gt;&lt;isbn&gt;0018-9464&lt;/isbn&gt;&lt;urls&gt;&lt;/urls&gt;&lt;/record&gt;&lt;/Cite&gt;&lt;/EndNote&gt;</w:instrText>
      </w:r>
      <w:r w:rsidRPr="00FC71BE">
        <w:fldChar w:fldCharType="separate"/>
      </w:r>
      <w:r w:rsidR="0000133B" w:rsidRPr="00FC71BE">
        <w:t>[38]</w:t>
      </w:r>
      <w:r w:rsidRPr="00FC71BE">
        <w:fldChar w:fldCharType="end"/>
      </w:r>
      <w:r w:rsidRPr="00FC71BE">
        <w:t xml:space="preserve"> such as phase back-EMF, cogging torque and static torque of a small scale modular machine optimized using method 2 have been used to validate the 2D FE simulations in this chapter. Generally good agreement between the measured results and FE predicted results can be observed, proving the accuracy of the adopted FE modelling. The findings also show that regardless of the machine power ratings, considering the flux gap width as a variable in the optimization process (method 1) can further improve machine torque performance.</w:t>
      </w:r>
    </w:p>
    <w:p w14:paraId="1C5B83AC" w14:textId="77777777" w:rsidR="00110C59" w:rsidRPr="00FC71BE" w:rsidRDefault="00110C59" w:rsidP="00C56E32">
      <w:pPr>
        <w:pStyle w:val="Reference"/>
        <w:rPr>
          <w:noProof w:val="0"/>
        </w:rPr>
      </w:pPr>
    </w:p>
    <w:p w14:paraId="2291F951" w14:textId="76F47C8F" w:rsidR="00110C59" w:rsidRPr="00FC71BE" w:rsidRDefault="00110C59" w:rsidP="00C56E32">
      <w:pPr>
        <w:pStyle w:val="Reference"/>
        <w:rPr>
          <w:noProof w:val="0"/>
        </w:rPr>
        <w:sectPr w:rsidR="00110C59" w:rsidRPr="00FC71BE" w:rsidSect="00230564">
          <w:pgSz w:w="11906" w:h="16838"/>
          <w:pgMar w:top="1440" w:right="1440" w:bottom="1440" w:left="1440" w:header="708" w:footer="708" w:gutter="0"/>
          <w:cols w:space="708"/>
          <w:docGrid w:linePitch="360"/>
        </w:sectPr>
      </w:pPr>
    </w:p>
    <w:p w14:paraId="081BC647" w14:textId="77777777" w:rsidR="003F1EA9" w:rsidRPr="00FC71BE" w:rsidRDefault="003F1EA9" w:rsidP="00B86C68">
      <w:pPr>
        <w:pStyle w:val="Heading1"/>
        <w:numPr>
          <w:ilvl w:val="0"/>
          <w:numId w:val="49"/>
        </w:numPr>
        <w:rPr>
          <w:color w:val="auto"/>
        </w:rPr>
      </w:pPr>
      <w:bookmarkStart w:id="136" w:name="_Ref148285824"/>
      <w:bookmarkStart w:id="137" w:name="_Ref148287941"/>
      <w:bookmarkStart w:id="138" w:name="_Ref148287969"/>
      <w:bookmarkStart w:id="139" w:name="_Toc157695349"/>
      <w:r w:rsidRPr="00FC71BE">
        <w:rPr>
          <w:color w:val="auto"/>
        </w:rPr>
        <w:lastRenderedPageBreak/>
        <w:t>Coupled EM-thermal Modelling for Modular SPM Machines</w:t>
      </w:r>
      <w:bookmarkEnd w:id="136"/>
      <w:bookmarkEnd w:id="137"/>
      <w:bookmarkEnd w:id="138"/>
      <w:bookmarkEnd w:id="139"/>
    </w:p>
    <w:p w14:paraId="2C924379" w14:textId="4F5C0490" w:rsidR="003F1EA9" w:rsidRPr="00FC71BE" w:rsidRDefault="003F1EA9" w:rsidP="003F1EA9">
      <w:r w:rsidRPr="00FC71BE">
        <w:t xml:space="preserve">The static and dynamic EM performances for an optimized modular machine have been proposed in </w:t>
      </w:r>
      <w:r w:rsidR="00C83DB0" w:rsidRPr="00FC71BE">
        <w:fldChar w:fldCharType="begin"/>
      </w:r>
      <w:r w:rsidR="00C83DB0" w:rsidRPr="00FC71BE">
        <w:instrText xml:space="preserve"> REF _Ref148288049 \r \h </w:instrText>
      </w:r>
      <w:r w:rsidR="00C83DB0" w:rsidRPr="00FC71BE">
        <w:fldChar w:fldCharType="separate"/>
      </w:r>
      <w:r w:rsidR="007E62C1" w:rsidRPr="00FC71BE">
        <w:t>Chapter 2</w:t>
      </w:r>
      <w:r w:rsidR="00C83DB0" w:rsidRPr="00FC71BE">
        <w:fldChar w:fldCharType="end"/>
      </w:r>
      <w:r w:rsidRPr="00FC71BE">
        <w:t>. However, these analyses did not consider the EM-thermal coupling, which could lead to overestimation of machine performances. This chapter presents a coupled EM-thermal modelling of the dynamic performances such as torque speed curve and the efficiency map for surface-mounted permanent magnet machines. One important feature of such model is that it considers the demagnetization caused by magnet temperature rise at different rotor speeds. EM-only simulations such as in</w:t>
      </w:r>
      <w:r w:rsidR="008C6AA7" w:rsidRPr="00FC71BE">
        <w:t xml:space="preserve"> </w:t>
      </w:r>
      <w:r w:rsidR="008C6AA7" w:rsidRPr="00FC71BE">
        <w:fldChar w:fldCharType="begin"/>
      </w:r>
      <w:r w:rsidR="008C6AA7" w:rsidRPr="00FC71BE">
        <w:instrText xml:space="preserve"> REF _Ref148288049 \r \h </w:instrText>
      </w:r>
      <w:r w:rsidR="008C6AA7" w:rsidRPr="00FC71BE">
        <w:fldChar w:fldCharType="separate"/>
      </w:r>
      <w:r w:rsidR="007E62C1" w:rsidRPr="00FC71BE">
        <w:t>Chapter 2</w:t>
      </w:r>
      <w:r w:rsidR="008C6AA7" w:rsidRPr="00FC71BE">
        <w:fldChar w:fldCharType="end"/>
      </w:r>
      <w:r w:rsidRPr="00FC71BE">
        <w:t>, which often assume that the machines operate under constant temperature, have been widely used in the literature. However, the interaction between EM and thermal performances could lead to very different dynamic performance prediction. This is because the material properties, e.g., magnet remanence, coercivity and copper resistivity are temperature-dependent. The temperature rise within electrical machines reduces torque/power density, PM eddy current losses, iron losses but increases copper loss. Therefore, the coupled EM-thermal modelling is essential to determine accurate temperature variation and also to obtain accurate EM performances of electrical machines. In this chapter, the coupled EM-thermal modelling is implemented for both the modular and non-modular machines to reveal the advantages of the modular machine under different operating conditions. The results show that the modular machine generally has better dynamic performance than the non-modular machine due to the fact that the introduced flux gaps in alternate stator teeth can boost both EM and thermal performances.</w:t>
      </w:r>
    </w:p>
    <w:p w14:paraId="02333CD9" w14:textId="77777777" w:rsidR="003F1EA9" w:rsidRPr="00FC71BE" w:rsidRDefault="003F1EA9" w:rsidP="003F1EA9">
      <w:r w:rsidRPr="00FC71BE">
        <w:t>The coupled EM-thermal modelling is also used to investigate magnet demagnetization characteristics of the modular permanent magnet machine in this chapter.</w:t>
      </w:r>
      <w:r w:rsidRPr="00FC71BE">
        <w:rPr>
          <w:bCs/>
          <w:szCs w:val="18"/>
        </w:rPr>
        <w:t xml:space="preserve"> The influence of flux gaps on magnet flux density, losses distribution, torque and demagnetization are analysed for different operating conditions. </w:t>
      </w:r>
      <w:r w:rsidRPr="00FC71BE">
        <w:t>The magnet demagnetizations caused by three sources such as the PM field, the armature field and the magnet temperature rise are individually investigated using frozen permeability method.</w:t>
      </w:r>
      <w:r w:rsidRPr="00FC71BE">
        <w:rPr>
          <w:bCs/>
          <w:szCs w:val="18"/>
        </w:rPr>
        <w:t xml:space="preserve"> For comparison propose, the EM performances with a particular focus on the demagnetization withstand capability for both the modular and non-modular machines are investigated based on the EM-thermal coupling. </w:t>
      </w:r>
      <w:r w:rsidRPr="00FC71BE">
        <w:t>It is found that, compared to the non-modular machine, the modular machine can achieve higher torque, higher efficiency and better demagnetization withstand capability.</w:t>
      </w:r>
    </w:p>
    <w:p w14:paraId="02B1F3AE" w14:textId="77777777" w:rsidR="003F1EA9" w:rsidRPr="00FC71BE" w:rsidRDefault="003F1EA9" w:rsidP="003F1EA9">
      <w:pPr>
        <w:ind w:firstLine="0"/>
      </w:pPr>
      <w:r w:rsidRPr="00FC71BE">
        <w:lastRenderedPageBreak/>
        <w:t>Publications related to this chapters are listed below:</w:t>
      </w:r>
    </w:p>
    <w:p w14:paraId="7FDDF915" w14:textId="4E53B6EC" w:rsidR="003F1EA9" w:rsidRPr="00FC71BE" w:rsidRDefault="002C6442" w:rsidP="003F1EA9">
      <w:pPr>
        <w:ind w:firstLine="0"/>
      </w:pPr>
      <w:r w:rsidRPr="00FC71BE">
        <w:t>1.</w:t>
      </w:r>
      <w:r w:rsidR="003F1EA9" w:rsidRPr="00FC71BE">
        <w:t xml:space="preserve"> W. Zhang, G. J. Li, Z. Q. Zhu, B. Ren, and M. Michon, "Coupled Electromagnetic-Thermal Modelling of Dynamic Performance for Modular SPM Machines." </w:t>
      </w:r>
      <w:r w:rsidR="003F1EA9" w:rsidRPr="00FC71BE">
        <w:rPr>
          <w:i/>
          <w:iCs/>
        </w:rPr>
        <w:t>Energies,</w:t>
      </w:r>
      <w:r w:rsidR="003F1EA9" w:rsidRPr="00FC71BE">
        <w:t xml:space="preserve"> vol. 16, no. 6, p2516, 2023</w:t>
      </w:r>
      <w:r w:rsidR="00EE2C57" w:rsidRPr="00FC71BE">
        <w:t>.</w:t>
      </w:r>
    </w:p>
    <w:p w14:paraId="01A9852D" w14:textId="7AB2080A" w:rsidR="003F1EA9" w:rsidRPr="00FC71BE" w:rsidRDefault="002C6442" w:rsidP="003F1EA9">
      <w:pPr>
        <w:ind w:firstLine="0"/>
      </w:pPr>
      <w:r w:rsidRPr="00FC71BE">
        <w:t>2.</w:t>
      </w:r>
      <w:r w:rsidR="003C5F72" w:rsidRPr="00FC71BE">
        <w:t xml:space="preserve"> </w:t>
      </w:r>
      <w:r w:rsidR="003F1EA9" w:rsidRPr="00FC71BE">
        <w:t xml:space="preserve">W. Zhang, G. J. Li, Z.Q. Zhu, B. Ren, Y. C. Chong, and M. Michon, "Demagnetization Analysis of Modular SPM Machine Based on Coupled Electromagnetic-Thermal Modelling," </w:t>
      </w:r>
      <w:r w:rsidR="003F1EA9" w:rsidRPr="00FC71BE">
        <w:rPr>
          <w:i/>
        </w:rPr>
        <w:t xml:space="preserve">Energies, </w:t>
      </w:r>
      <w:r w:rsidR="003F1EA9" w:rsidRPr="00FC71BE">
        <w:t>vol. 16, no. 1, p. 131, 2022.</w:t>
      </w:r>
    </w:p>
    <w:p w14:paraId="5F66C691" w14:textId="77777777" w:rsidR="003F1EA9" w:rsidRPr="00FC71BE" w:rsidRDefault="003F1EA9" w:rsidP="003F1EA9">
      <w:pPr>
        <w:ind w:firstLine="0"/>
      </w:pPr>
    </w:p>
    <w:p w14:paraId="04DCA3DD" w14:textId="77777777" w:rsidR="003F1EA9" w:rsidRPr="00FC71BE" w:rsidRDefault="003F1EA9" w:rsidP="003F1EA9">
      <w:pPr>
        <w:sectPr w:rsidR="003F1EA9" w:rsidRPr="00FC71BE" w:rsidSect="00230564">
          <w:pgSz w:w="11906" w:h="16838"/>
          <w:pgMar w:top="1440" w:right="1440" w:bottom="1440" w:left="1440" w:header="708" w:footer="708" w:gutter="0"/>
          <w:cols w:space="708"/>
          <w:docGrid w:linePitch="360"/>
        </w:sectPr>
      </w:pPr>
    </w:p>
    <w:p w14:paraId="1F87058B" w14:textId="77777777" w:rsidR="003F1EA9" w:rsidRPr="00FC71BE" w:rsidRDefault="003F1EA9" w:rsidP="00B86C68">
      <w:pPr>
        <w:pStyle w:val="Heading2"/>
        <w:numPr>
          <w:ilvl w:val="1"/>
          <w:numId w:val="49"/>
        </w:numPr>
      </w:pPr>
      <w:bookmarkStart w:id="140" w:name="_Ref139977253"/>
      <w:bookmarkStart w:id="141" w:name="_Toc157695350"/>
      <w:r w:rsidRPr="00FC71BE">
        <w:lastRenderedPageBreak/>
        <w:t>Introduction</w:t>
      </w:r>
      <w:bookmarkEnd w:id="140"/>
      <w:bookmarkEnd w:id="141"/>
    </w:p>
    <w:p w14:paraId="19EC5813" w14:textId="35686503" w:rsidR="003F1EA9" w:rsidRPr="00FC71BE" w:rsidRDefault="003F1EA9" w:rsidP="003F1EA9">
      <w:r w:rsidRPr="00FC71BE">
        <w:t xml:space="preserve">Thanks to their intrinsic advantages such as high torque and power density, high efficiency, good demagnetization withstands capability and fault tolerant capability, modular SPM machines have been attracting increasing interest in the past decade. These advantages are because the FGs in alternate stator teeth can improve the winding factor (more precisely, pitch factor) and open-circuit airgap flux density and they also have a flux focusing effect </w:t>
      </w:r>
      <w:r w:rsidRPr="00FC71BE">
        <w:fldChar w:fldCharType="begin">
          <w:fldData xml:space="preserve">PEVuZE5vdGU+PENpdGU+PEF1dGhvcj5MaTwvQXV0aG9yPjxZZWFyPjIwMTU8L1llYXI+PFJlY051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</w:fldData>
        </w:fldChar>
      </w:r>
      <w:r w:rsidR="00103B0D" w:rsidRPr="00FC71BE">
        <w:instrText xml:space="preserve"> ADDIN EN.CITE </w:instrText>
      </w:r>
      <w:r w:rsidR="00103B0D" w:rsidRPr="00FC71BE">
        <w:fldChar w:fldCharType="begin">
          <w:fldData xml:space="preserve">PEVuZE5vdGU+PENpdGU+PEF1dGhvcj5MaTwvQXV0aG9yPjxZZWFyPjIwMTU8L1llYXI+PFJlY051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</w:fldData>
        </w:fldChar>
      </w:r>
      <w:r w:rsidR="00103B0D" w:rsidRPr="00FC71BE">
        <w:instrText xml:space="preserve"> ADDIN EN.CITE.DATA </w:instrText>
      </w:r>
      <w:r w:rsidR="00103B0D" w:rsidRPr="00FC71BE">
        <w:fldChar w:fldCharType="end"/>
      </w:r>
      <w:r w:rsidRPr="00FC71BE">
        <w:fldChar w:fldCharType="separate"/>
      </w:r>
      <w:r w:rsidR="0000133B" w:rsidRPr="00FC71BE">
        <w:t>[38, 42, 43]</w:t>
      </w:r>
      <w:r w:rsidRPr="00FC71BE">
        <w:fldChar w:fldCharType="end"/>
      </w:r>
      <w:r w:rsidRPr="00FC71BE">
        <w:t>. It is worth noting that, these threefold effects are true for the modular machines with pole number (2</w:t>
      </w:r>
      <w:r w:rsidRPr="00FC71BE">
        <w:rPr>
          <w:i/>
          <w:iCs/>
        </w:rPr>
        <w:t>p</w:t>
      </w:r>
      <w:r w:rsidRPr="00FC71BE">
        <w:t>) larger than slot number (</w:t>
      </w:r>
      <w:r w:rsidRPr="00FC71BE">
        <w:rPr>
          <w:i/>
          <w:iCs/>
        </w:rPr>
        <w:t>Ns</w:t>
      </w:r>
      <w:r w:rsidRPr="00FC71BE">
        <w:t>). By contrast, for the modular machines with 2</w:t>
      </w:r>
      <w:r w:rsidRPr="00FC71BE">
        <w:rPr>
          <w:i/>
          <w:iCs/>
        </w:rPr>
        <w:t>p</w:t>
      </w:r>
      <w:r w:rsidRPr="00FC71BE">
        <w:t xml:space="preserve"> </w:t>
      </w:r>
      <w:r w:rsidRPr="00FC71BE">
        <w:rPr>
          <w:rFonts w:eastAsia="Cambria Math"/>
        </w:rPr>
        <w:t>&lt;</w:t>
      </w:r>
      <w:r w:rsidRPr="00FC71BE">
        <w:t xml:space="preserve"> </w:t>
      </w:r>
      <w:r w:rsidRPr="00FC71BE">
        <w:rPr>
          <w:i/>
          <w:iCs/>
        </w:rPr>
        <w:t>Ns</w:t>
      </w:r>
      <w:r w:rsidRPr="00FC71BE">
        <w:t xml:space="preserve">, the introduced flux gaps will reduce the winding factor and also have a flux defocusing effect, which lead to reduced average torque </w:t>
      </w:r>
      <w:r w:rsidRPr="00FC71BE">
        <w:fldChar w:fldCharType="begin"/>
      </w:r>
      <w:r w:rsidR="00103B0D" w:rsidRPr="00FC71BE">
        <w:instrText xml:space="preserve"> ADDIN EN.CITE &lt;EndNote&gt;&lt;Cite&gt;&lt;Author&gt;Li&lt;/Author&gt;&lt;Year&gt;2014&lt;/Year&gt;&lt;RecNum&gt;3&lt;/RecNum&gt;&lt;DisplayText&gt;[42]&lt;/DisplayText&gt;&lt;record&gt;&lt;rec-number&gt;3&lt;/rec-number&gt;&lt;foreign-keys&gt;&lt;key app="EN" db-id="rf2p5e05jx0x9jep00uvx0s1fvaww2dfa0r9" timestamp="1688999520"&gt;3&lt;/key&gt;&lt;/foreign-keys&gt;&lt;ref-type name="Journal Article"&gt;17&lt;/ref-type&gt;&lt;contributors&gt;&lt;authors&gt;&lt;author&gt;Li, G J&lt;/author&gt;&lt;author&gt;Zhu, Z Q&lt;/author&gt;&lt;author&gt;Chu, W Q&lt;/author&gt;&lt;author&gt;Foster, M P&lt;/author&gt;&lt;author&gt;Stone, D A&lt;/author&gt;&lt;/authors&gt;&lt;/contributors&gt;&lt;titles&gt;&lt;title&gt;Influence of flux gaps on electromagnetic performance of novel modular PM machines&lt;/title&gt;&lt;secondary-title&gt;IEEE Transactions on Energy Conversion&lt;/secondary-title&gt;&lt;/titles&gt;&lt;periodical&gt;&lt;full-title&gt;IEEE Transactions on Energy Conversion&lt;/full-title&gt;&lt;/periodical&gt;&lt;pages&gt;716-726&lt;/pages&gt;&lt;volume&gt;29&lt;/volume&gt;&lt;number&gt;3&lt;/number&gt;&lt;dates&gt;&lt;year&gt;2014&lt;/year&gt;&lt;/dates&gt;&lt;isbn&gt;0885-8969&lt;/isbn&gt;&lt;urls&gt;&lt;/urls&gt;&lt;/record&gt;&lt;/Cite&gt;&lt;/EndNote&gt;</w:instrText>
      </w:r>
      <w:r w:rsidRPr="00FC71BE">
        <w:fldChar w:fldCharType="separate"/>
      </w:r>
      <w:r w:rsidR="0000133B" w:rsidRPr="00FC71BE">
        <w:t>[42]</w:t>
      </w:r>
      <w:r w:rsidRPr="00FC71BE">
        <w:fldChar w:fldCharType="end"/>
      </w:r>
      <w:r w:rsidRPr="00FC71BE">
        <w:t>.</w:t>
      </w:r>
    </w:p>
    <w:p w14:paraId="1AFB9BAF" w14:textId="3896C51F" w:rsidR="003F1EA9" w:rsidRPr="00FC71BE" w:rsidRDefault="003F1EA9" w:rsidP="003F1EA9">
      <w:r w:rsidRPr="00FC71BE">
        <w:t xml:space="preserve">Although several prior work has already been conducted to show the superior electromagnetic (EM) performances for the modular machines, little research is aimed at the coupled EM-thermal modelling of their dynamic performances </w:t>
      </w:r>
      <w:r w:rsidRPr="00FC71BE">
        <w:fldChar w:fldCharType="begin"/>
      </w:r>
      <w:r w:rsidR="00BA33ED" w:rsidRPr="00FC71BE">
        <w:instrText xml:space="preserve"> ADDIN EN.CITE &lt;EndNote&gt;&lt;Cite&gt;&lt;Author&gt;Joo&lt;/Author&gt;&lt;Year&gt;2011&lt;/Year&gt;&lt;RecNum&gt;25&lt;/RecNum&gt;&lt;DisplayText&gt;[129]&lt;/DisplayText&gt;&lt;record&gt;&lt;rec-number&gt;25&lt;/rec-number&gt;&lt;foreign-keys&gt;&lt;key app="EN" db-id="rf2p5e05jx0x9jep00uvx0s1fvaww2dfa0r9" timestamp="1689348964"&gt;25&lt;/key&gt;&lt;/foreign-keys&gt;&lt;ref-type name="Journal Article"&gt;17&lt;/ref-type&gt;&lt;contributors&gt;&lt;authors&gt;&lt;author&gt;Joo, Daesuk&lt;/author&gt;&lt;author&gt;Cho, Ju Hee&lt;/author&gt;&lt;author&gt;Woo, Kyungil&lt;/author&gt;&lt;author&gt;Kim, Byung Taek&lt;/author&gt;&lt;author&gt;Kim, Dae Kyong&lt;/author&gt;&lt;/authors&gt;&lt;/contributors&gt;&lt;titles&gt;&lt;title&gt;Electromagnetic field and thermal linked analysis of interior permanent-magnet synchronous motor for agricultural electric vehicle&lt;/title&gt;&lt;secondary-title&gt;IEEE transactions on magnetics&lt;/secondary-title&gt;&lt;/titles&gt;&lt;periodical&gt;&lt;full-title&gt;IEEE Transactions on Magnetics&lt;/full-title&gt;&lt;/periodical&gt;&lt;pages&gt;4242-4245&lt;/pages&gt;&lt;volume&gt;47&lt;/volume&gt;&lt;number&gt;10&lt;/number&gt;&lt;dates&gt;&lt;year&gt;2011&lt;/year&gt;&lt;/dates&gt;&lt;isbn&gt;0018-9464&lt;/isbn&gt;&lt;urls&gt;&lt;/urls&gt;&lt;/record&gt;&lt;/Cite&gt;&lt;/EndNote&gt;</w:instrText>
      </w:r>
      <w:r w:rsidRPr="00FC71BE">
        <w:fldChar w:fldCharType="separate"/>
      </w:r>
      <w:r w:rsidR="00BA33ED" w:rsidRPr="00FC71BE">
        <w:t>[129]</w:t>
      </w:r>
      <w:r w:rsidRPr="00FC71BE">
        <w:fldChar w:fldCharType="end"/>
      </w:r>
      <w:r w:rsidRPr="00FC71BE">
        <w:t xml:space="preserve">. For variable speed high torque/power density application, the coupled EM-thermal modelling is particularly important for accurately predicting machine dynamic performance under different operating conditions. This is mainly because when machine temperature increases, magnet remanent flux density reduces, leading to reduced magnetic loading and hence reduced output torque/power </w:t>
      </w:r>
      <w:r w:rsidRPr="00FC71BE">
        <w:fldChar w:fldCharType="begin"/>
      </w:r>
      <w:r w:rsidR="00BA33ED" w:rsidRPr="00FC71BE">
        <w:instrText xml:space="preserve"> ADDIN EN.CITE &lt;EndNote&gt;&lt;Cite&gt;&lt;Author&gt;Zhou&lt;/Author&gt;&lt;Year&gt;2012&lt;/Year&gt;&lt;RecNum&gt;26&lt;/RecNum&gt;&lt;DisplayText&gt;[130]&lt;/DisplayText&gt;&lt;record&gt;&lt;rec-number&gt;26&lt;/rec-number&gt;&lt;foreign-keys&gt;&lt;key app="EN" db-id="rf2p5e05jx0x9jep00uvx0s1fvaww2dfa0r9" timestamp="1689349037"&gt;26&lt;/key&gt;&lt;/foreign-keys&gt;&lt;ref-type name="Journal Article"&gt;17&lt;/ref-type&gt;&lt;contributors&gt;&lt;authors&gt;&lt;author&gt;Zhou, P&lt;/author&gt;&lt;author&gt;Lin, D&lt;/author&gt;&lt;author&gt;Xiao, Y&lt;/author&gt;&lt;author&gt;Lambert, N&lt;/author&gt;&lt;author&gt;Rahman, MA&lt;/author&gt;&lt;/authors&gt;&lt;/contributors&gt;&lt;titles&gt;&lt;title&gt;Temperature-dependent demagnetization model of permanent magnets for finite element analysis&lt;/title&gt;&lt;secondary-title&gt;IEEE transactions on magnetics&lt;/secondary-title&gt;&lt;/titles&gt;&lt;periodical&gt;&lt;full-title&gt;IEEE Transactions on Magnetics&lt;/full-title&gt;&lt;/periodical&gt;&lt;pages&gt;1031-1034&lt;/pages&gt;&lt;volume&gt;48&lt;/volume&gt;&lt;number&gt;2&lt;/number&gt;&lt;dates&gt;&lt;year&gt;2012&lt;/year&gt;&lt;/dates&gt;&lt;isbn&gt;0018-9464&lt;/isbn&gt;&lt;urls&gt;&lt;/urls&gt;&lt;/record&gt;&lt;/Cite&gt;&lt;/EndNote&gt;</w:instrText>
      </w:r>
      <w:r w:rsidRPr="00FC71BE">
        <w:fldChar w:fldCharType="separate"/>
      </w:r>
      <w:r w:rsidR="00BA33ED" w:rsidRPr="00FC71BE">
        <w:t>[130]</w:t>
      </w:r>
      <w:r w:rsidRPr="00FC71BE">
        <w:fldChar w:fldCharType="end"/>
      </w:r>
      <w:r w:rsidRPr="00FC71BE">
        <w:t xml:space="preserve">. To maintain the same level of output torque, the phase current (electrical loading) often needs to be increased to compensate the reduced magnetic loading. Together with the increased copper resistivity due to temperature rise, the copper loss can be significantly increased </w:t>
      </w:r>
      <w:r w:rsidRPr="00FC71BE">
        <w:fldChar w:fldCharType="begin"/>
      </w:r>
      <w:r w:rsidR="00BA33ED" w:rsidRPr="00FC71BE">
        <w:instrText xml:space="preserve"> ADDIN EN.CITE &lt;EndNote&gt;&lt;Cite&gt;&lt;Author&gt;Dellinger&lt;/Author&gt;&lt;Year&gt;1911&lt;/Year&gt;&lt;RecNum&gt;27&lt;/RecNum&gt;&lt;DisplayText&gt;[131]&lt;/DisplayText&gt;&lt;record&gt;&lt;rec-number&gt;27&lt;/rec-number&gt;&lt;foreign-keys&gt;&lt;key app="EN" db-id="rf2p5e05jx0x9jep00uvx0s1fvaww2dfa0r9" timestamp="1689349253"&gt;27&lt;/key&gt;&lt;/foreign-keys&gt;&lt;ref-type name="Book"&gt;6&lt;/ref-type&gt;&lt;contributors&gt;&lt;authors&gt;&lt;author&gt;Dellinger, John Howard&lt;/author&gt;&lt;/authors&gt;&lt;/contributors&gt;&lt;titles&gt;&lt;title&gt;The temperature coefficient of resistance of copper&lt;/title&gt;&lt;/titles&gt;&lt;number&gt;147&lt;/number&gt;&lt;dates&gt;&lt;year&gt;1911&lt;/year&gt;&lt;/dates&gt;&lt;publisher&gt;US Department of Commerce and Labor, Bureau of Standards&lt;/publisher&gt;&lt;urls&gt;&lt;/urls&gt;&lt;/record&gt;&lt;/Cite&gt;&lt;/EndNote&gt;</w:instrText>
      </w:r>
      <w:r w:rsidRPr="00FC71BE">
        <w:fldChar w:fldCharType="separate"/>
      </w:r>
      <w:r w:rsidR="00BA33ED" w:rsidRPr="00FC71BE">
        <w:t>[131]</w:t>
      </w:r>
      <w:r w:rsidRPr="00FC71BE">
        <w:fldChar w:fldCharType="end"/>
      </w:r>
      <w:r w:rsidRPr="00FC71BE">
        <w:t xml:space="preserve">. This might lead to reduced machine efficiency. In addition, as a main heat source, the increased copper loss will lead to further temperature rise and also further reduced magnet remanent flux density </w:t>
      </w:r>
      <w:r w:rsidRPr="00FC71BE">
        <w:fldChar w:fldCharType="begin"/>
      </w:r>
      <w:r w:rsidR="00BA33ED" w:rsidRPr="00FC71BE">
        <w:instrText xml:space="preserve"> ADDIN EN.CITE &lt;EndNote&gt;&lt;Cite&gt;&lt;Author&gt;Jiang&lt;/Author&gt;&lt;Year&gt;2013&lt;/Year&gt;&lt;RecNum&gt;28&lt;/RecNum&gt;&lt;DisplayText&gt;[132, 133]&lt;/DisplayText&gt;&lt;record&gt;&lt;rec-number&gt;28&lt;/rec-number&gt;&lt;foreign-keys&gt;&lt;key app="EN" db-id="rf2p5e05jx0x9jep00uvx0s1fvaww2dfa0r9" timestamp="1689349310"&gt;28&lt;/key&gt;&lt;/foreign-keys&gt;&lt;ref-type name="Conference Proceedings"&gt;10&lt;/ref-type&gt;&lt;contributors&gt;&lt;authors&gt;&lt;author&gt;Jiang, Wenying&lt;/author&gt;&lt;author&gt;Jahns, Thomas M&lt;/author&gt;&lt;/authors&gt;&lt;/contributors&gt;&lt;titles&gt;&lt;title&gt;Development of efficient electromagnetic-thermal coupled model of electric machines based on finite element analysis&lt;/title&gt;&lt;secondary-title&gt;2013 International Electric Machines &amp;amp; Drives Conference&lt;/secondary-title&gt;&lt;/titles&gt;&lt;pages&gt;816-823&lt;/pages&gt;&lt;dates&gt;&lt;year&gt;2013&lt;/year&gt;&lt;/dates&gt;&lt;publisher&gt;IEEE&lt;/publisher&gt;&lt;isbn&gt;1467349747&lt;/isbn&gt;&lt;urls&gt;&lt;/urls&gt;&lt;/record&gt;&lt;/Cite&gt;&lt;Cite&gt;&lt;Author&gt;Shi&lt;/Author&gt;&lt;Year&gt;2019&lt;/Year&gt;&lt;RecNum&gt;29&lt;/RecNum&gt;&lt;record&gt;&lt;rec-number&gt;29&lt;/rec-number&gt;&lt;foreign-keys&gt;&lt;key app="EN" db-id="rf2p5e05jx0x9jep00uvx0s1fvaww2dfa0r9" timestamp="1689349341"&gt;29&lt;/key&gt;&lt;/foreign-keys&gt;&lt;ref-type name="Journal Article"&gt;17&lt;/ref-type&gt;&lt;contributors&gt;&lt;authors&gt;&lt;author&gt;Shi, Yan Wen&lt;/author&gt;&lt;author&gt;Wang, Jia Bin&lt;/author&gt;&lt;author&gt;Wang, Bo&lt;/author&gt;&lt;/authors&gt;&lt;/contributors&gt;&lt;titles&gt;&lt;title&gt;Electromagnetic-thermal coupled simulation under various fault conditions of a triple redundant 9-phase PMASynRM&lt;/title&gt;&lt;secondary-title&gt;IEEE Transactions on Industry Applications&lt;/secondary-title&gt;&lt;/titles&gt;&lt;periodical&gt;&lt;full-title&gt;IEEE Transactions on Industry Applications&lt;/full-title&gt;&lt;/periodical&gt;&lt;pages&gt;128-137&lt;/pages&gt;&lt;volume&gt;56&lt;/volume&gt;&lt;number&gt;1&lt;/number&gt;&lt;dates&gt;&lt;year&gt;2019&lt;/year&gt;&lt;/dates&gt;&lt;isbn&gt;0093-9994&lt;/isbn&gt;&lt;urls&gt;&lt;/urls&gt;&lt;/record&gt;&lt;/Cite&gt;&lt;/EndNote&gt;</w:instrText>
      </w:r>
      <w:r w:rsidRPr="00FC71BE">
        <w:fldChar w:fldCharType="separate"/>
      </w:r>
      <w:r w:rsidR="00BA33ED" w:rsidRPr="00FC71BE">
        <w:t>[132, 133]</w:t>
      </w:r>
      <w:r w:rsidRPr="00FC71BE">
        <w:fldChar w:fldCharType="end"/>
      </w:r>
      <w:r w:rsidRPr="00FC71BE">
        <w:t xml:space="preserve">. Without coupled EM-thermal modelling, this mutual effect between thermal performance and EM performance cannot be accurately predicted </w:t>
      </w:r>
      <w:r w:rsidRPr="00FC71BE">
        <w:fldChar w:fldCharType="begin"/>
      </w:r>
      <w:r w:rsidR="00BA33ED" w:rsidRPr="00FC71BE">
        <w:instrText xml:space="preserve"> ADDIN EN.CITE &lt;EndNote&gt;&lt;Cite&gt;&lt;Author&gt;Shi&lt;/Author&gt;&lt;Year&gt;2019&lt;/Year&gt;&lt;RecNum&gt;29&lt;/RecNum&gt;&lt;DisplayText&gt;[133]&lt;/DisplayText&gt;&lt;record&gt;&lt;rec-number&gt;29&lt;/rec-number&gt;&lt;foreign-keys&gt;&lt;key app="EN" db-id="rf2p5e05jx0x9jep00uvx0s1fvaww2dfa0r9" timestamp="1689349341"&gt;29&lt;/key&gt;&lt;/foreign-keys&gt;&lt;ref-type name="Journal Article"&gt;17&lt;/ref-type&gt;&lt;contributors&gt;&lt;authors&gt;&lt;author&gt;Shi, Yan Wen&lt;/author&gt;&lt;author&gt;Wang, Jia Bin&lt;/author&gt;&lt;author&gt;Wang, Bo&lt;/author&gt;&lt;/authors&gt;&lt;/contributors&gt;&lt;titles&gt;&lt;title&gt;Electromagnetic-thermal coupled simulation under various fault conditions of a triple redundant 9-phase PMASynRM&lt;/title&gt;&lt;secondary-title&gt;IEEE Transactions on Industry Applications&lt;/secondary-title&gt;&lt;/titles&gt;&lt;periodical&gt;&lt;full-title&gt;IEEE Transactions on Industry Applications&lt;/full-title&gt;&lt;/periodical&gt;&lt;pages&gt;128-137&lt;/pages&gt;&lt;volume&gt;56&lt;/volume&gt;&lt;number&gt;1&lt;/number&gt;&lt;dates&gt;&lt;year&gt;2019&lt;/year&gt;&lt;/dates&gt;&lt;isbn&gt;0093-9994&lt;/isbn&gt;&lt;urls&gt;&lt;/urls&gt;&lt;/record&gt;&lt;/Cite&gt;&lt;/EndNote&gt;</w:instrText>
      </w:r>
      <w:r w:rsidRPr="00FC71BE">
        <w:fldChar w:fldCharType="separate"/>
      </w:r>
      <w:r w:rsidR="00BA33ED" w:rsidRPr="00FC71BE">
        <w:t>[133]</w:t>
      </w:r>
      <w:r w:rsidRPr="00FC71BE">
        <w:fldChar w:fldCharType="end"/>
      </w:r>
      <w:r w:rsidRPr="00FC71BE">
        <w:t xml:space="preserve">. Therefore, in order to reveal the full potential of the modular machines, the coupled EM-thermal models are proposed in this paper to investigate their dynamic performances and compare against the conventional non-modular machines. The flowchart depicts the coupled EM-thermal analysis is shown in </w:t>
      </w:r>
      <w:r w:rsidRPr="00FC71BE">
        <w:fldChar w:fldCharType="begin"/>
      </w:r>
      <w:r w:rsidRPr="00FC71BE">
        <w:instrText xml:space="preserve"> REF _Ref125631326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w:t>
      </w:r>
      <w:r w:rsidRPr="00FC71BE">
        <w:fldChar w:fldCharType="end"/>
      </w:r>
      <w:r w:rsidRPr="00FC71BE">
        <w:t xml:space="preserve">. The machine specifications shown in </w:t>
      </w:r>
      <w:r w:rsidR="00844FEF" w:rsidRPr="00FC71BE">
        <w:fldChar w:fldCharType="begin"/>
      </w:r>
      <w:r w:rsidR="00844FEF" w:rsidRPr="00FC71BE">
        <w:instrText xml:space="preserve"> REF _Ref148287986 \h </w:instrText>
      </w:r>
      <w:r w:rsidR="00844FEF" w:rsidRPr="00FC71BE">
        <w:fldChar w:fldCharType="separate"/>
      </w:r>
      <w:r w:rsidR="007E62C1" w:rsidRPr="00FC71BE">
        <w:t xml:space="preserve">Table </w:t>
      </w:r>
      <w:r w:rsidR="007E62C1" w:rsidRPr="00FC71BE">
        <w:rPr>
          <w:noProof/>
        </w:rPr>
        <w:t>3</w:t>
      </w:r>
      <w:r w:rsidR="007E62C1" w:rsidRPr="00FC71BE">
        <w:t>.</w:t>
      </w:r>
      <w:r w:rsidR="007E62C1" w:rsidRPr="00FC71BE">
        <w:rPr>
          <w:noProof/>
        </w:rPr>
        <w:t>1</w:t>
      </w:r>
      <w:r w:rsidR="00844FEF" w:rsidRPr="00FC71BE">
        <w:fldChar w:fldCharType="end"/>
      </w:r>
      <w:r w:rsidR="00844FEF" w:rsidRPr="00FC71BE">
        <w:t xml:space="preserve"> </w:t>
      </w:r>
      <w:r w:rsidRPr="00FC71BE">
        <w:t xml:space="preserve">and also the initial temperature is used to calculate the initial EM performance such as the torque and losses. The losses are then adopted as the input in the 3D lumped parameter thermal network for the thermal analysis. The obtained temperature can be used for updating the magnet properties [based on the temperature dependent B(H) curves] and coil resistance for each iteration. When the </w:t>
      </w:r>
      <w:r w:rsidRPr="00FC71BE">
        <w:lastRenderedPageBreak/>
        <w:t>temperature difference (</w:t>
      </w:r>
      <m:oMath>
        <m:r>
          <m:rPr>
            <m:sty m:val="p"/>
          </m:rPr>
          <w:rPr>
            <w:rFonts w:ascii="Cambria Math" w:hAnsi="Cambria Math"/>
          </w:rPr>
          <m:t>∆</m:t>
        </m:r>
        <m:r>
          <w:rPr>
            <w:rFonts w:ascii="Cambria Math" w:hAnsi="Cambria Math"/>
          </w:rPr>
          <m:t>T</m:t>
        </m:r>
      </m:oMath>
      <w:r w:rsidRPr="00FC71BE">
        <w:t>) is lower than the convergence error (</w:t>
      </w:r>
      <m:oMath>
        <m:sSub>
          <m:sSubPr>
            <m:ctrlPr>
              <w:rPr>
                <w:rFonts w:ascii="Cambria Math" w:hAnsi="Cambria Math"/>
                <w:i/>
                <w:iCs/>
              </w:rPr>
            </m:ctrlPr>
          </m:sSubPr>
          <m:e>
            <m:r>
              <w:rPr>
                <w:rFonts w:ascii="Cambria Math" w:hAnsi="Cambria Math"/>
              </w:rPr>
              <m:t>ε</m:t>
            </m:r>
          </m:e>
          <m:sub>
            <m:r>
              <w:rPr>
                <w:rFonts w:ascii="Cambria Math" w:hAnsi="Cambria Math"/>
              </w:rPr>
              <m:t>error</m:t>
            </m:r>
          </m:sub>
        </m:sSub>
      </m:oMath>
      <w:r w:rsidRPr="00FC71BE">
        <w:t>), the final temperature distribution and EM performance can be obtained.</w:t>
      </w:r>
    </w:p>
    <w:p w14:paraId="419046B1" w14:textId="77777777" w:rsidR="003F1EA9" w:rsidRPr="00FC71BE" w:rsidRDefault="003F1EA9" w:rsidP="003F1EA9">
      <w:pPr>
        <w:pStyle w:val="Figure"/>
        <w:rPr>
          <w:noProof w:val="0"/>
        </w:rPr>
      </w:pPr>
      <w:r w:rsidRPr="00FC71BE">
        <w:drawing>
          <wp:inline distT="0" distB="0" distL="0" distR="0" wp14:anchorId="6A72933C" wp14:editId="488746E1">
            <wp:extent cx="3492150" cy="4968000"/>
            <wp:effectExtent l="0" t="0" r="0" b="4445"/>
            <wp:docPr id="1719768131" name="Picture 1719768131" descr="Graphical user interface&#10;&#10;Description automatically generated with medium confidence">
              <a:extLst xmlns:a="http://schemas.openxmlformats.org/drawingml/2006/main">
                <a:ext uri="{FF2B5EF4-FFF2-40B4-BE49-F238E27FC236}">
                  <a16:creationId xmlns:a16="http://schemas.microsoft.com/office/drawing/2014/main" id="{BFF6A2A5-05A2-46D1-A985-A33FA53722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6" descr="Graphical user interface&#10;&#10;Description automatically generated with medium confidence">
                      <a:extLst>
                        <a:ext uri="{FF2B5EF4-FFF2-40B4-BE49-F238E27FC236}">
                          <a16:creationId xmlns:a16="http://schemas.microsoft.com/office/drawing/2014/main" id="{BFF6A2A5-05A2-46D1-A985-A33FA53722DD}"/>
                        </a:ext>
                      </a:extLst>
                    </pic:cNvPr>
                    <pic:cNvPicPr>
                      <a:picLocks noChangeAspect="1"/>
                    </pic:cNvPicPr>
                  </pic:nvPicPr>
                  <pic:blipFill>
                    <a:blip r:embed="rId89"/>
                    <a:stretch>
                      <a:fillRect/>
                    </a:stretch>
                  </pic:blipFill>
                  <pic:spPr>
                    <a:xfrm>
                      <a:off x="0" y="0"/>
                      <a:ext cx="3492150" cy="4968000"/>
                    </a:xfrm>
                    <a:prstGeom prst="rect">
                      <a:avLst/>
                    </a:prstGeom>
                  </pic:spPr>
                </pic:pic>
              </a:graphicData>
            </a:graphic>
          </wp:inline>
        </w:drawing>
      </w:r>
    </w:p>
    <w:p w14:paraId="56F4BE07" w14:textId="73096E37" w:rsidR="003F1EA9" w:rsidRPr="00FC71BE" w:rsidRDefault="003F1EA9" w:rsidP="003F1EA9">
      <w:pPr>
        <w:pStyle w:val="FigureTitle"/>
      </w:pPr>
      <w:bookmarkStart w:id="142" w:name="_Ref125631326"/>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w:t>
        </w:r>
      </w:fldSimple>
      <w:bookmarkEnd w:id="142"/>
      <w:r w:rsidRPr="00FC71BE">
        <w:t xml:space="preserve">. Flowchart of the coupled EM-thermal modelling. </w:t>
      </w:r>
      <w:r w:rsidRPr="00FC71BE">
        <w:rPr>
          <w:i/>
        </w:rPr>
        <w:t>T</w:t>
      </w:r>
      <w:r w:rsidRPr="00FC71BE">
        <w:t xml:space="preserve">, </w:t>
      </w:r>
      <m:oMath>
        <m:sSub>
          <m:sSubPr>
            <m:ctrlPr>
              <w:rPr>
                <w:rFonts w:ascii="Cambria Math" w:hAnsi="Cambria Math"/>
              </w:rPr>
            </m:ctrlPr>
          </m:sSubPr>
          <m:e>
            <m:r>
              <w:rPr>
                <w:rFonts w:ascii="Cambria Math" w:hAnsi="Cambria Math"/>
              </w:rPr>
              <m:t>B</m:t>
            </m:r>
          </m:e>
          <m:sub>
            <m:r>
              <w:rPr>
                <w:rFonts w:ascii="Cambria Math" w:hAnsi="Cambria Math"/>
              </w:rPr>
              <m:t>r</m:t>
            </m:r>
          </m:sub>
        </m:sSub>
      </m:oMath>
      <w:r w:rsidRPr="00FC71BE">
        <w:t xml:space="preserve">, </w:t>
      </w:r>
      <m:oMath>
        <m:r>
          <w:rPr>
            <w:rFonts w:ascii="Cambria Math" w:hAnsi="Cambria Math"/>
          </w:rPr>
          <m:t>R</m:t>
        </m:r>
      </m:oMath>
      <w:r w:rsidRPr="00FC71BE">
        <w:t xml:space="preserve">, </w:t>
      </w:r>
      <m:oMath>
        <m:sSub>
          <m:sSubPr>
            <m:ctrlPr>
              <w:rPr>
                <w:rFonts w:ascii="Cambria Math" w:hAnsi="Cambria Math"/>
                <w:szCs w:val="22"/>
              </w:rPr>
            </m:ctrlPr>
          </m:sSubPr>
          <m:e>
            <m:r>
              <m:rPr>
                <m:sty m:val="p"/>
              </m:rPr>
              <w:rPr>
                <w:rFonts w:ascii="Cambria Math" w:hAnsi="Cambria Math"/>
              </w:rPr>
              <m:t>ε</m:t>
            </m:r>
          </m:e>
          <m:sub>
            <m:r>
              <m:rPr>
                <m:sty m:val="p"/>
              </m:rPr>
              <w:rPr>
                <w:rFonts w:ascii="Cambria Math" w:hAnsi="Cambria Math"/>
              </w:rPr>
              <m:t>error</m:t>
            </m:r>
          </m:sub>
        </m:sSub>
      </m:oMath>
      <w:r w:rsidRPr="00FC71BE">
        <w:rPr>
          <w:szCs w:val="22"/>
        </w:rPr>
        <w:t xml:space="preserve"> </w:t>
      </w:r>
      <w:r w:rsidRPr="00FC71BE">
        <w:t>are the temperature, magnet remanence, phase resistance and convergence error, respectively.</w:t>
      </w:r>
    </w:p>
    <w:p w14:paraId="062B088F" w14:textId="2C5FC6D4" w:rsidR="003F1EA9" w:rsidRPr="00FC71BE" w:rsidRDefault="003F1EA9" w:rsidP="003F1EA9">
      <w:pPr>
        <w:pStyle w:val="Tabletitle"/>
        <w:rPr>
          <w:color w:val="auto"/>
        </w:rPr>
      </w:pPr>
      <w:bookmarkStart w:id="143" w:name="_Ref148287986"/>
      <w:bookmarkStart w:id="144" w:name="_Ref139980857"/>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1</w:t>
      </w:r>
      <w:r w:rsidR="002839C4" w:rsidRPr="00FC71BE">
        <w:rPr>
          <w:color w:val="auto"/>
        </w:rPr>
        <w:fldChar w:fldCharType="end"/>
      </w:r>
      <w:bookmarkEnd w:id="143"/>
      <w:r w:rsidRPr="00FC71BE">
        <w:rPr>
          <w:color w:val="auto"/>
        </w:rPr>
        <w:t xml:space="preserve">  Parameters of Modular SPM Machine</w:t>
      </w:r>
      <w:bookmarkEnd w:id="144"/>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4"/>
        <w:gridCol w:w="833"/>
        <w:gridCol w:w="3820"/>
        <w:gridCol w:w="989"/>
      </w:tblGrid>
      <w:tr w:rsidR="00FC71BE" w:rsidRPr="00FC71BE" w14:paraId="7B7F088D" w14:textId="77777777">
        <w:tc>
          <w:tcPr>
            <w:tcW w:w="1874" w:type="pct"/>
            <w:tcBorders>
              <w:top w:val="single" w:sz="8" w:space="0" w:color="auto"/>
            </w:tcBorders>
            <w:vAlign w:val="center"/>
          </w:tcPr>
          <w:p w14:paraId="3BF40CA6" w14:textId="77777777" w:rsidR="003F1EA9" w:rsidRPr="00FC71BE" w:rsidRDefault="003F1EA9">
            <w:pPr>
              <w:pStyle w:val="Table"/>
              <w:rPr>
                <w:color w:val="auto"/>
              </w:rPr>
            </w:pPr>
            <w:r w:rsidRPr="00FC71BE">
              <w:rPr>
                <w:color w:val="auto"/>
              </w:rPr>
              <w:t>Slot number</w:t>
            </w:r>
          </w:p>
        </w:tc>
        <w:tc>
          <w:tcPr>
            <w:tcW w:w="461" w:type="pct"/>
            <w:tcBorders>
              <w:top w:val="single" w:sz="8" w:space="0" w:color="auto"/>
            </w:tcBorders>
            <w:vAlign w:val="center"/>
          </w:tcPr>
          <w:p w14:paraId="1C9606B6" w14:textId="77777777" w:rsidR="003F1EA9" w:rsidRPr="00FC71BE" w:rsidRDefault="003F1EA9">
            <w:pPr>
              <w:pStyle w:val="Table"/>
              <w:rPr>
                <w:color w:val="auto"/>
              </w:rPr>
            </w:pPr>
            <w:r w:rsidRPr="00FC71BE">
              <w:rPr>
                <w:color w:val="auto"/>
              </w:rPr>
              <w:t>24</w:t>
            </w:r>
          </w:p>
        </w:tc>
        <w:tc>
          <w:tcPr>
            <w:tcW w:w="2116" w:type="pct"/>
            <w:tcBorders>
              <w:top w:val="single" w:sz="8" w:space="0" w:color="auto"/>
            </w:tcBorders>
            <w:vAlign w:val="center"/>
          </w:tcPr>
          <w:p w14:paraId="428C35C1" w14:textId="77777777" w:rsidR="003F1EA9" w:rsidRPr="00FC71BE" w:rsidRDefault="003F1EA9">
            <w:pPr>
              <w:pStyle w:val="Table"/>
              <w:rPr>
                <w:color w:val="auto"/>
              </w:rPr>
            </w:pPr>
            <w:r w:rsidRPr="00FC71BE">
              <w:rPr>
                <w:color w:val="auto"/>
              </w:rPr>
              <w:t>Rotor outer radius (mm)</w:t>
            </w:r>
          </w:p>
        </w:tc>
        <w:tc>
          <w:tcPr>
            <w:tcW w:w="548" w:type="pct"/>
            <w:tcBorders>
              <w:top w:val="single" w:sz="8" w:space="0" w:color="auto"/>
            </w:tcBorders>
            <w:vAlign w:val="center"/>
          </w:tcPr>
          <w:p w14:paraId="17F70B73" w14:textId="77777777" w:rsidR="003F1EA9" w:rsidRPr="00FC71BE" w:rsidRDefault="003F1EA9">
            <w:pPr>
              <w:pStyle w:val="Table"/>
              <w:rPr>
                <w:color w:val="auto"/>
              </w:rPr>
            </w:pPr>
            <w:r w:rsidRPr="00FC71BE">
              <w:rPr>
                <w:color w:val="auto"/>
              </w:rPr>
              <w:t>129.4</w:t>
            </w:r>
          </w:p>
        </w:tc>
      </w:tr>
      <w:tr w:rsidR="00FC71BE" w:rsidRPr="00FC71BE" w14:paraId="21864F8C" w14:textId="77777777">
        <w:tc>
          <w:tcPr>
            <w:tcW w:w="1874" w:type="pct"/>
            <w:vAlign w:val="center"/>
          </w:tcPr>
          <w:p w14:paraId="5377F7E4" w14:textId="77777777" w:rsidR="003F1EA9" w:rsidRPr="00FC71BE" w:rsidRDefault="003F1EA9">
            <w:pPr>
              <w:pStyle w:val="Table"/>
              <w:rPr>
                <w:color w:val="auto"/>
              </w:rPr>
            </w:pPr>
            <w:r w:rsidRPr="00FC71BE">
              <w:rPr>
                <w:color w:val="auto"/>
              </w:rPr>
              <w:t>Pole number</w:t>
            </w:r>
          </w:p>
        </w:tc>
        <w:tc>
          <w:tcPr>
            <w:tcW w:w="461" w:type="pct"/>
            <w:vAlign w:val="center"/>
          </w:tcPr>
          <w:p w14:paraId="3C6DCA9B" w14:textId="77777777" w:rsidR="003F1EA9" w:rsidRPr="00FC71BE" w:rsidRDefault="003F1EA9">
            <w:pPr>
              <w:pStyle w:val="Table"/>
              <w:rPr>
                <w:color w:val="auto"/>
              </w:rPr>
            </w:pPr>
            <w:r w:rsidRPr="00FC71BE">
              <w:rPr>
                <w:color w:val="auto"/>
              </w:rPr>
              <w:t>28</w:t>
            </w:r>
          </w:p>
        </w:tc>
        <w:tc>
          <w:tcPr>
            <w:tcW w:w="2116" w:type="pct"/>
            <w:vAlign w:val="center"/>
          </w:tcPr>
          <w:p w14:paraId="5B0281E9" w14:textId="77777777" w:rsidR="003F1EA9" w:rsidRPr="00FC71BE" w:rsidRDefault="003F1EA9">
            <w:pPr>
              <w:pStyle w:val="Table"/>
              <w:rPr>
                <w:color w:val="auto"/>
              </w:rPr>
            </w:pPr>
            <w:r w:rsidRPr="00FC71BE">
              <w:rPr>
                <w:color w:val="auto"/>
              </w:rPr>
              <w:t>Rotor yoke thickness (mm)</w:t>
            </w:r>
          </w:p>
        </w:tc>
        <w:tc>
          <w:tcPr>
            <w:tcW w:w="548" w:type="pct"/>
            <w:vAlign w:val="center"/>
          </w:tcPr>
          <w:p w14:paraId="0A3EAD2D" w14:textId="77777777" w:rsidR="003F1EA9" w:rsidRPr="00FC71BE" w:rsidRDefault="003F1EA9">
            <w:pPr>
              <w:pStyle w:val="Table"/>
              <w:rPr>
                <w:color w:val="auto"/>
              </w:rPr>
            </w:pPr>
            <w:r w:rsidRPr="00FC71BE">
              <w:rPr>
                <w:color w:val="auto"/>
              </w:rPr>
              <w:t>8.6</w:t>
            </w:r>
          </w:p>
        </w:tc>
      </w:tr>
      <w:tr w:rsidR="00FC71BE" w:rsidRPr="00FC71BE" w14:paraId="4536A573" w14:textId="77777777">
        <w:tc>
          <w:tcPr>
            <w:tcW w:w="1874" w:type="pct"/>
            <w:vAlign w:val="center"/>
          </w:tcPr>
          <w:p w14:paraId="38A66A2D" w14:textId="77777777" w:rsidR="003F1EA9" w:rsidRPr="00FC71BE" w:rsidRDefault="003F1EA9">
            <w:pPr>
              <w:pStyle w:val="Table"/>
              <w:rPr>
                <w:color w:val="auto"/>
              </w:rPr>
            </w:pPr>
            <w:r w:rsidRPr="00FC71BE">
              <w:rPr>
                <w:color w:val="auto"/>
              </w:rPr>
              <w:t>Stator outer radius (mm)</w:t>
            </w:r>
          </w:p>
        </w:tc>
        <w:tc>
          <w:tcPr>
            <w:tcW w:w="461" w:type="pct"/>
            <w:vAlign w:val="center"/>
          </w:tcPr>
          <w:p w14:paraId="634422A7" w14:textId="77777777" w:rsidR="003F1EA9" w:rsidRPr="00FC71BE" w:rsidRDefault="003F1EA9">
            <w:pPr>
              <w:pStyle w:val="Table"/>
              <w:rPr>
                <w:color w:val="auto"/>
              </w:rPr>
            </w:pPr>
            <w:r w:rsidRPr="00FC71BE">
              <w:rPr>
                <w:color w:val="auto"/>
              </w:rPr>
              <w:t>154</w:t>
            </w:r>
          </w:p>
        </w:tc>
        <w:tc>
          <w:tcPr>
            <w:tcW w:w="2116" w:type="pct"/>
            <w:vAlign w:val="center"/>
          </w:tcPr>
          <w:p w14:paraId="47F2467F" w14:textId="77777777" w:rsidR="003F1EA9" w:rsidRPr="00FC71BE" w:rsidRDefault="003F1EA9">
            <w:pPr>
              <w:pStyle w:val="Table"/>
              <w:rPr>
                <w:color w:val="auto"/>
              </w:rPr>
            </w:pPr>
            <w:r w:rsidRPr="00FC71BE">
              <w:rPr>
                <w:color w:val="auto"/>
              </w:rPr>
              <w:t>Stack length (mm)</w:t>
            </w:r>
          </w:p>
        </w:tc>
        <w:tc>
          <w:tcPr>
            <w:tcW w:w="548" w:type="pct"/>
            <w:vAlign w:val="center"/>
          </w:tcPr>
          <w:p w14:paraId="34874A35" w14:textId="77777777" w:rsidR="003F1EA9" w:rsidRPr="00FC71BE" w:rsidRDefault="003F1EA9">
            <w:pPr>
              <w:pStyle w:val="Table"/>
              <w:rPr>
                <w:color w:val="auto"/>
              </w:rPr>
            </w:pPr>
            <w:r w:rsidRPr="00FC71BE">
              <w:rPr>
                <w:color w:val="auto"/>
              </w:rPr>
              <w:t>210</w:t>
            </w:r>
          </w:p>
        </w:tc>
      </w:tr>
      <w:tr w:rsidR="00FC71BE" w:rsidRPr="00FC71BE" w14:paraId="7DA92BC3" w14:textId="77777777">
        <w:tc>
          <w:tcPr>
            <w:tcW w:w="1874" w:type="pct"/>
            <w:vAlign w:val="center"/>
          </w:tcPr>
          <w:p w14:paraId="5C761095" w14:textId="77777777" w:rsidR="003F1EA9" w:rsidRPr="00FC71BE" w:rsidRDefault="003F1EA9">
            <w:pPr>
              <w:pStyle w:val="Table"/>
              <w:rPr>
                <w:color w:val="auto"/>
              </w:rPr>
            </w:pPr>
            <w:r w:rsidRPr="00FC71BE">
              <w:rPr>
                <w:color w:val="auto"/>
              </w:rPr>
              <w:t>Stator yoke height (mm)</w:t>
            </w:r>
          </w:p>
        </w:tc>
        <w:tc>
          <w:tcPr>
            <w:tcW w:w="461" w:type="pct"/>
            <w:vAlign w:val="center"/>
          </w:tcPr>
          <w:p w14:paraId="3866FBDF" w14:textId="77777777" w:rsidR="003F1EA9" w:rsidRPr="00FC71BE" w:rsidRDefault="003F1EA9">
            <w:pPr>
              <w:pStyle w:val="Table"/>
              <w:rPr>
                <w:color w:val="auto"/>
              </w:rPr>
            </w:pPr>
            <w:r w:rsidRPr="00FC71BE">
              <w:rPr>
                <w:color w:val="auto"/>
              </w:rPr>
              <w:t>5.6</w:t>
            </w:r>
          </w:p>
        </w:tc>
        <w:tc>
          <w:tcPr>
            <w:tcW w:w="2116" w:type="pct"/>
            <w:vAlign w:val="center"/>
          </w:tcPr>
          <w:p w14:paraId="61D96863" w14:textId="77777777" w:rsidR="003F1EA9" w:rsidRPr="00FC71BE" w:rsidRDefault="003F1EA9">
            <w:pPr>
              <w:pStyle w:val="Table"/>
              <w:rPr>
                <w:color w:val="auto"/>
              </w:rPr>
            </w:pPr>
            <w:r w:rsidRPr="00FC71BE">
              <w:rPr>
                <w:color w:val="auto"/>
              </w:rPr>
              <w:t>DC voltage (V)</w:t>
            </w:r>
          </w:p>
        </w:tc>
        <w:tc>
          <w:tcPr>
            <w:tcW w:w="548" w:type="pct"/>
            <w:vAlign w:val="center"/>
          </w:tcPr>
          <w:p w14:paraId="6C8677A7" w14:textId="77777777" w:rsidR="003F1EA9" w:rsidRPr="00FC71BE" w:rsidRDefault="003F1EA9">
            <w:pPr>
              <w:pStyle w:val="Table"/>
              <w:rPr>
                <w:color w:val="auto"/>
              </w:rPr>
            </w:pPr>
            <w:r w:rsidRPr="00FC71BE">
              <w:rPr>
                <w:color w:val="auto"/>
              </w:rPr>
              <w:t>800</w:t>
            </w:r>
          </w:p>
        </w:tc>
      </w:tr>
      <w:tr w:rsidR="00FC71BE" w:rsidRPr="00FC71BE" w14:paraId="7974EB54" w14:textId="77777777">
        <w:tc>
          <w:tcPr>
            <w:tcW w:w="1874" w:type="pct"/>
            <w:vAlign w:val="center"/>
          </w:tcPr>
          <w:p w14:paraId="5E00DFD5" w14:textId="77777777" w:rsidR="003F1EA9" w:rsidRPr="00FC71BE" w:rsidRDefault="003F1EA9">
            <w:pPr>
              <w:pStyle w:val="Table"/>
              <w:rPr>
                <w:color w:val="auto"/>
              </w:rPr>
            </w:pPr>
            <w:r w:rsidRPr="00FC71BE">
              <w:rPr>
                <w:color w:val="auto"/>
              </w:rPr>
              <w:t>Tooth width (mm)</w:t>
            </w:r>
          </w:p>
        </w:tc>
        <w:tc>
          <w:tcPr>
            <w:tcW w:w="461" w:type="pct"/>
            <w:vAlign w:val="center"/>
          </w:tcPr>
          <w:p w14:paraId="6297E24B" w14:textId="77777777" w:rsidR="003F1EA9" w:rsidRPr="00FC71BE" w:rsidRDefault="003F1EA9">
            <w:pPr>
              <w:pStyle w:val="Table"/>
              <w:rPr>
                <w:color w:val="auto"/>
              </w:rPr>
            </w:pPr>
            <w:r w:rsidRPr="00FC71BE">
              <w:rPr>
                <w:color w:val="auto"/>
              </w:rPr>
              <w:t>13.2</w:t>
            </w:r>
          </w:p>
        </w:tc>
        <w:tc>
          <w:tcPr>
            <w:tcW w:w="2116" w:type="pct"/>
            <w:vAlign w:val="center"/>
          </w:tcPr>
          <w:p w14:paraId="77D13102" w14:textId="77777777" w:rsidR="003F1EA9" w:rsidRPr="00FC71BE" w:rsidRDefault="003F1EA9">
            <w:pPr>
              <w:pStyle w:val="Table"/>
              <w:rPr>
                <w:color w:val="auto"/>
              </w:rPr>
            </w:pPr>
            <w:r w:rsidRPr="00FC71BE">
              <w:rPr>
                <w:color w:val="auto"/>
              </w:rPr>
              <w:t>Rated phase current (</w:t>
            </w:r>
            <m:oMath>
              <m:sSub>
                <m:sSubPr>
                  <m:ctrlPr>
                    <w:rPr>
                      <w:rFonts w:ascii="Cambria Math" w:hAnsi="Cambria Math"/>
                      <w:color w:val="auto"/>
                    </w:rPr>
                  </m:ctrlPr>
                </m:sSubPr>
                <m:e>
                  <m:r>
                    <w:rPr>
                      <w:rFonts w:ascii="Cambria Math" w:hAnsi="Cambria Math"/>
                      <w:color w:val="auto"/>
                    </w:rPr>
                    <m:t>A</m:t>
                  </m:r>
                </m:e>
                <m:sub>
                  <m:r>
                    <w:rPr>
                      <w:rFonts w:ascii="Cambria Math" w:hAnsi="Cambria Math"/>
                      <w:color w:val="auto"/>
                    </w:rPr>
                    <m:t>peak</m:t>
                  </m:r>
                </m:sub>
              </m:sSub>
            </m:oMath>
            <w:r w:rsidRPr="00FC71BE">
              <w:rPr>
                <w:color w:val="auto"/>
              </w:rPr>
              <w:t>)</w:t>
            </w:r>
          </w:p>
        </w:tc>
        <w:tc>
          <w:tcPr>
            <w:tcW w:w="548" w:type="pct"/>
            <w:vAlign w:val="center"/>
          </w:tcPr>
          <w:p w14:paraId="2F520ACB" w14:textId="77777777" w:rsidR="003F1EA9" w:rsidRPr="00FC71BE" w:rsidRDefault="003F1EA9">
            <w:pPr>
              <w:pStyle w:val="Table"/>
              <w:rPr>
                <w:color w:val="auto"/>
              </w:rPr>
            </w:pPr>
            <w:r w:rsidRPr="00FC71BE">
              <w:rPr>
                <w:color w:val="auto"/>
              </w:rPr>
              <w:t>100</w:t>
            </w:r>
          </w:p>
        </w:tc>
      </w:tr>
      <w:tr w:rsidR="00FC71BE" w:rsidRPr="00FC71BE" w14:paraId="4A959432" w14:textId="77777777">
        <w:tc>
          <w:tcPr>
            <w:tcW w:w="1874" w:type="pct"/>
            <w:vAlign w:val="center"/>
          </w:tcPr>
          <w:p w14:paraId="1574F0B3" w14:textId="77777777" w:rsidR="003F1EA9" w:rsidRPr="00FC71BE" w:rsidRDefault="003F1EA9">
            <w:pPr>
              <w:pStyle w:val="Table"/>
              <w:rPr>
                <w:color w:val="auto"/>
              </w:rPr>
            </w:pPr>
            <w:r w:rsidRPr="00FC71BE">
              <w:rPr>
                <w:color w:val="auto"/>
              </w:rPr>
              <w:t>Flux gap width (mm)</w:t>
            </w:r>
          </w:p>
        </w:tc>
        <w:tc>
          <w:tcPr>
            <w:tcW w:w="461" w:type="pct"/>
            <w:vAlign w:val="center"/>
          </w:tcPr>
          <w:p w14:paraId="4242CE2E" w14:textId="77777777" w:rsidR="003F1EA9" w:rsidRPr="00FC71BE" w:rsidRDefault="003F1EA9">
            <w:pPr>
              <w:pStyle w:val="Table"/>
              <w:rPr>
                <w:color w:val="auto"/>
              </w:rPr>
            </w:pPr>
            <w:r w:rsidRPr="00FC71BE">
              <w:rPr>
                <w:color w:val="auto"/>
              </w:rPr>
              <w:t>10</w:t>
            </w:r>
          </w:p>
        </w:tc>
        <w:tc>
          <w:tcPr>
            <w:tcW w:w="2116" w:type="pct"/>
            <w:vAlign w:val="center"/>
          </w:tcPr>
          <w:p w14:paraId="17EC9BAC" w14:textId="77777777" w:rsidR="003F1EA9" w:rsidRPr="00FC71BE" w:rsidRDefault="003F1EA9">
            <w:pPr>
              <w:pStyle w:val="Table"/>
              <w:rPr>
                <w:color w:val="auto"/>
              </w:rPr>
            </w:pPr>
            <w:r w:rsidRPr="00FC71BE">
              <w:rPr>
                <w:color w:val="auto"/>
              </w:rPr>
              <w:t xml:space="preserve">Number of turns per coil </w:t>
            </w:r>
          </w:p>
        </w:tc>
        <w:tc>
          <w:tcPr>
            <w:tcW w:w="548" w:type="pct"/>
            <w:vAlign w:val="center"/>
          </w:tcPr>
          <w:p w14:paraId="6B1CCA9B" w14:textId="77777777" w:rsidR="003F1EA9" w:rsidRPr="00FC71BE" w:rsidRDefault="003F1EA9">
            <w:pPr>
              <w:pStyle w:val="Table"/>
              <w:rPr>
                <w:color w:val="auto"/>
              </w:rPr>
            </w:pPr>
            <w:r w:rsidRPr="00FC71BE">
              <w:rPr>
                <w:color w:val="auto"/>
              </w:rPr>
              <w:t>10</w:t>
            </w:r>
          </w:p>
        </w:tc>
      </w:tr>
      <w:tr w:rsidR="00FC71BE" w:rsidRPr="00FC71BE" w14:paraId="08810BAC" w14:textId="77777777">
        <w:tc>
          <w:tcPr>
            <w:tcW w:w="1874" w:type="pct"/>
            <w:vAlign w:val="center"/>
          </w:tcPr>
          <w:p w14:paraId="67630D9D" w14:textId="77777777" w:rsidR="003F1EA9" w:rsidRPr="00FC71BE" w:rsidRDefault="003F1EA9">
            <w:pPr>
              <w:pStyle w:val="Table"/>
              <w:rPr>
                <w:color w:val="auto"/>
              </w:rPr>
            </w:pPr>
            <w:r w:rsidRPr="00FC71BE">
              <w:rPr>
                <w:color w:val="auto"/>
              </w:rPr>
              <w:t>Airgap length (mm)</w:t>
            </w:r>
          </w:p>
        </w:tc>
        <w:tc>
          <w:tcPr>
            <w:tcW w:w="461" w:type="pct"/>
            <w:vAlign w:val="center"/>
          </w:tcPr>
          <w:p w14:paraId="5E0E3CDD" w14:textId="77777777" w:rsidR="003F1EA9" w:rsidRPr="00FC71BE" w:rsidRDefault="003F1EA9">
            <w:pPr>
              <w:pStyle w:val="Table"/>
              <w:rPr>
                <w:color w:val="auto"/>
              </w:rPr>
            </w:pPr>
            <w:r w:rsidRPr="00FC71BE">
              <w:rPr>
                <w:color w:val="auto"/>
              </w:rPr>
              <w:t>2</w:t>
            </w:r>
          </w:p>
        </w:tc>
        <w:tc>
          <w:tcPr>
            <w:tcW w:w="2116" w:type="pct"/>
            <w:vAlign w:val="center"/>
          </w:tcPr>
          <w:p w14:paraId="6341DBA6" w14:textId="77777777" w:rsidR="003F1EA9" w:rsidRPr="00FC71BE" w:rsidRDefault="003F1EA9">
            <w:pPr>
              <w:pStyle w:val="Table"/>
              <w:rPr>
                <w:color w:val="auto"/>
              </w:rPr>
            </w:pPr>
            <w:r w:rsidRPr="00FC71BE">
              <w:rPr>
                <w:color w:val="auto"/>
              </w:rPr>
              <w:t>Rate speed (rpm)</w:t>
            </w:r>
          </w:p>
        </w:tc>
        <w:tc>
          <w:tcPr>
            <w:tcW w:w="548" w:type="pct"/>
            <w:vAlign w:val="center"/>
          </w:tcPr>
          <w:p w14:paraId="709468B0" w14:textId="77777777" w:rsidR="003F1EA9" w:rsidRPr="00FC71BE" w:rsidRDefault="003F1EA9">
            <w:pPr>
              <w:pStyle w:val="Table"/>
              <w:rPr>
                <w:color w:val="auto"/>
              </w:rPr>
            </w:pPr>
            <w:r w:rsidRPr="00FC71BE">
              <w:rPr>
                <w:color w:val="auto"/>
              </w:rPr>
              <w:t>1500</w:t>
            </w:r>
          </w:p>
        </w:tc>
      </w:tr>
      <w:tr w:rsidR="009944C4" w:rsidRPr="00FC71BE" w14:paraId="11B61542" w14:textId="77777777">
        <w:tc>
          <w:tcPr>
            <w:tcW w:w="1874" w:type="pct"/>
            <w:tcBorders>
              <w:bottom w:val="single" w:sz="4" w:space="0" w:color="auto"/>
            </w:tcBorders>
            <w:vAlign w:val="center"/>
          </w:tcPr>
          <w:p w14:paraId="59A96FF8" w14:textId="77777777" w:rsidR="003F1EA9" w:rsidRPr="00FC71BE" w:rsidRDefault="003F1EA9">
            <w:pPr>
              <w:pStyle w:val="Table"/>
              <w:rPr>
                <w:color w:val="auto"/>
              </w:rPr>
            </w:pPr>
            <w:r w:rsidRPr="00FC71BE">
              <w:rPr>
                <w:color w:val="auto"/>
              </w:rPr>
              <w:t>Magnet thickness (mm)</w:t>
            </w:r>
          </w:p>
        </w:tc>
        <w:tc>
          <w:tcPr>
            <w:tcW w:w="461" w:type="pct"/>
            <w:tcBorders>
              <w:bottom w:val="single" w:sz="4" w:space="0" w:color="auto"/>
            </w:tcBorders>
            <w:vAlign w:val="center"/>
          </w:tcPr>
          <w:p w14:paraId="5439568F" w14:textId="77777777" w:rsidR="003F1EA9" w:rsidRPr="00FC71BE" w:rsidRDefault="003F1EA9">
            <w:pPr>
              <w:pStyle w:val="Table"/>
              <w:rPr>
                <w:color w:val="auto"/>
              </w:rPr>
            </w:pPr>
            <w:r w:rsidRPr="00FC71BE">
              <w:rPr>
                <w:color w:val="auto"/>
              </w:rPr>
              <w:t>6.6</w:t>
            </w:r>
          </w:p>
        </w:tc>
        <w:tc>
          <w:tcPr>
            <w:tcW w:w="2116" w:type="pct"/>
            <w:tcBorders>
              <w:bottom w:val="single" w:sz="4" w:space="0" w:color="auto"/>
            </w:tcBorders>
            <w:vAlign w:val="center"/>
          </w:tcPr>
          <w:p w14:paraId="36BA8125" w14:textId="77777777" w:rsidR="003F1EA9" w:rsidRPr="00FC71BE" w:rsidRDefault="003F1EA9">
            <w:pPr>
              <w:pStyle w:val="Table"/>
              <w:rPr>
                <w:color w:val="auto"/>
              </w:rPr>
            </w:pPr>
          </w:p>
        </w:tc>
        <w:tc>
          <w:tcPr>
            <w:tcW w:w="548" w:type="pct"/>
            <w:tcBorders>
              <w:bottom w:val="single" w:sz="4" w:space="0" w:color="auto"/>
            </w:tcBorders>
            <w:vAlign w:val="center"/>
          </w:tcPr>
          <w:p w14:paraId="2BF93013" w14:textId="77777777" w:rsidR="003F1EA9" w:rsidRPr="00FC71BE" w:rsidRDefault="003F1EA9">
            <w:pPr>
              <w:pStyle w:val="Table"/>
              <w:rPr>
                <w:color w:val="auto"/>
              </w:rPr>
            </w:pPr>
          </w:p>
        </w:tc>
      </w:tr>
    </w:tbl>
    <w:p w14:paraId="148CD672" w14:textId="77777777" w:rsidR="00C10E88" w:rsidRPr="00FC71BE" w:rsidRDefault="00C10E88" w:rsidP="003F1EA9"/>
    <w:p w14:paraId="115A3BFA" w14:textId="6418554A" w:rsidR="003F1EA9" w:rsidRPr="00FC71BE" w:rsidRDefault="003F1EA9" w:rsidP="003F1EA9">
      <w:r w:rsidRPr="00FC71BE">
        <w:t xml:space="preserve">The comparison of dynamic performances between modular machine and conventional non-modular machine reveals the advantages of introducing FGs in alternate stator teeth. The </w:t>
      </w:r>
      <w:r w:rsidRPr="00FC71BE">
        <w:lastRenderedPageBreak/>
        <w:t>different dynamic performances considering the influence of temperature variation are mainly due to the different demagnetization characteristics. In this chapter, machines' demagnetization characteristics, such as magnet flux density distributions at different operating temperatures, for both the investigated machines, will be studied. They can reveal the full potential of the modular machine in improving the machine demagnetization withstand capability. Besides that, the machine EM performances, including PM eddy current loss, stator/rotor iron losses and torque, are significantly affected by the demagnetization. This will also be investigated based on the coupled EM-thermal modelling.</w:t>
      </w:r>
    </w:p>
    <w:p w14:paraId="4DBBA5BC" w14:textId="77777777" w:rsidR="003F1EA9" w:rsidRPr="00FC71BE" w:rsidRDefault="003F1EA9" w:rsidP="00B86C68">
      <w:pPr>
        <w:pStyle w:val="Heading2"/>
        <w:numPr>
          <w:ilvl w:val="1"/>
          <w:numId w:val="49"/>
        </w:numPr>
      </w:pPr>
      <w:bookmarkStart w:id="145" w:name="_Toc157695351"/>
      <w:r w:rsidRPr="00FC71BE">
        <w:t>Dynamic EM Performances of the Modular Machine</w:t>
      </w:r>
      <w:bookmarkEnd w:id="145"/>
    </w:p>
    <w:p w14:paraId="32D1F4D0" w14:textId="783D9D2C" w:rsidR="003F1EA9" w:rsidRPr="00FC71BE" w:rsidRDefault="003F1EA9" w:rsidP="003F1EA9">
      <w:r w:rsidRPr="00FC71BE">
        <w:t xml:space="preserve">The dynamic performances such as torque speed curve and efficiency map are critical for variable speed applications such as electrical vehicles, more electrical aircraft and so on. However, in the literature, many papers focused on the dynamic performance without considering the EM-thermal coupling. As the conclusion drawn in section </w:t>
      </w:r>
      <w:r w:rsidRPr="00FC71BE">
        <w:fldChar w:fldCharType="begin"/>
      </w:r>
      <w:r w:rsidRPr="00FC71BE">
        <w:instrText xml:space="preserve"> REF _Ref139977253 \r \h </w:instrText>
      </w:r>
      <w:r w:rsidRPr="00FC71BE">
        <w:fldChar w:fldCharType="separate"/>
      </w:r>
      <w:r w:rsidR="007E62C1" w:rsidRPr="00FC71BE">
        <w:t>3.1</w:t>
      </w:r>
      <w:r w:rsidRPr="00FC71BE">
        <w:fldChar w:fldCharType="end"/>
      </w:r>
      <w:r w:rsidRPr="00FC71BE">
        <w:t xml:space="preserve">, this might not be able to predict the real dynamic performance as the temperature rise within electrical machines has significant impact on magnet demagnetization, phase resistance, etc. For the same phase current, the temperature rise could lead to increased copper loss, reduced average torque, reduced stator and rotor core iron losses, and hence has a significant impact on machine dynamic performance such as torque-speed curve and efficiency map. In this section, the modelling with and without considering the EM-thermal coupling has been carried out for the modular SPM machines to reveal the influence of temperature rise on their dynamic performance. For comparison purposes, a conventional non-modular SPM machine, with same parameters as the modular machine as listed in </w:t>
      </w:r>
      <w:r w:rsidR="00844FEF" w:rsidRPr="00FC71BE">
        <w:fldChar w:fldCharType="begin"/>
      </w:r>
      <w:r w:rsidR="00844FEF" w:rsidRPr="00FC71BE">
        <w:instrText xml:space="preserve"> REF _Ref148287986 \h </w:instrText>
      </w:r>
      <w:r w:rsidR="00844FEF" w:rsidRPr="00FC71BE">
        <w:fldChar w:fldCharType="separate"/>
      </w:r>
      <w:r w:rsidR="007E62C1" w:rsidRPr="00FC71BE">
        <w:t xml:space="preserve">Table </w:t>
      </w:r>
      <w:r w:rsidR="007E62C1" w:rsidRPr="00FC71BE">
        <w:rPr>
          <w:noProof/>
        </w:rPr>
        <w:t>3</w:t>
      </w:r>
      <w:r w:rsidR="007E62C1" w:rsidRPr="00FC71BE">
        <w:t>.</w:t>
      </w:r>
      <w:r w:rsidR="007E62C1" w:rsidRPr="00FC71BE">
        <w:rPr>
          <w:noProof/>
        </w:rPr>
        <w:t>1</w:t>
      </w:r>
      <w:r w:rsidR="00844FEF" w:rsidRPr="00FC71BE">
        <w:fldChar w:fldCharType="end"/>
      </w:r>
      <w:r w:rsidRPr="00FC71BE">
        <w:t>, is implemented as counterpart in this chapter. The only different is that the FGs are not introduced for non-modular machine.</w:t>
      </w:r>
    </w:p>
    <w:p w14:paraId="3BA9AF65" w14:textId="77777777" w:rsidR="003F1EA9" w:rsidRPr="00FC71BE" w:rsidRDefault="003F1EA9" w:rsidP="00B86C68">
      <w:pPr>
        <w:pStyle w:val="Heading3"/>
        <w:numPr>
          <w:ilvl w:val="2"/>
          <w:numId w:val="49"/>
        </w:numPr>
      </w:pPr>
      <w:bookmarkStart w:id="146" w:name="_Toc157695352"/>
      <w:r w:rsidRPr="00FC71BE">
        <w:t>Without EM-thermal coupling</w:t>
      </w:r>
      <w:bookmarkEnd w:id="146"/>
    </w:p>
    <w:p w14:paraId="77BA9BBE" w14:textId="77777777" w:rsidR="003F1EA9" w:rsidRPr="00FC71BE" w:rsidRDefault="003F1EA9" w:rsidP="00AF4190">
      <w:pPr>
        <w:pStyle w:val="Heading4"/>
        <w:numPr>
          <w:ilvl w:val="0"/>
          <w:numId w:val="30"/>
        </w:numPr>
      </w:pPr>
      <w:r w:rsidRPr="00FC71BE">
        <w:t>Torque Speed Curve</w:t>
      </w:r>
    </w:p>
    <w:p w14:paraId="4CF5B0FF" w14:textId="61B30A6F" w:rsidR="003F1EA9" w:rsidRPr="00FC71BE" w:rsidRDefault="003F1EA9" w:rsidP="003F1EA9">
      <w:r w:rsidRPr="00FC71BE">
        <w:t xml:space="preserve">The torque speed curves for the investigated machines are shown as </w:t>
      </w:r>
      <w:r w:rsidRPr="00FC71BE">
        <w:fldChar w:fldCharType="begin"/>
      </w:r>
      <w:r w:rsidRPr="00FC71BE">
        <w:instrText xml:space="preserve"> REF _Ref138769318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w:t>
      </w:r>
      <w:r w:rsidRPr="00FC71BE">
        <w:fldChar w:fldCharType="end"/>
      </w:r>
      <w:r w:rsidRPr="00FC71BE">
        <w:t xml:space="preserve">. It is worth noting that when the rotor speed is lower than the base-speed, the machine is operated at constant torque region (maximum torque per ampere). When the rotor speed is beyond the base-speed, the machine enters the flux weakening region and the </w:t>
      </w:r>
      <w:r w:rsidRPr="00FC71BE">
        <w:rPr>
          <w:i/>
          <w:iCs/>
        </w:rPr>
        <w:t>d</w:t>
      </w:r>
      <w:r w:rsidRPr="00FC71BE">
        <w:t xml:space="preserve">-axis current is increased with the increased rotor speed. It is found that compared with the conventional non-modular SPM machine, the modular SPM machine has better performance in constant torque region due to higher </w:t>
      </w:r>
      <m:oMath>
        <m:sSub>
          <m:sSubPr>
            <m:ctrlPr>
              <w:rPr>
                <w:rFonts w:ascii="Cambria Math" w:hAnsi="Cambria Math"/>
                <w:i/>
              </w:rPr>
            </m:ctrlPr>
          </m:sSubPr>
          <m:e>
            <m:r>
              <w:rPr>
                <w:rFonts w:ascii="Cambria Math" w:hAnsi="Cambria Math"/>
              </w:rPr>
              <m:t>ψ</m:t>
            </m:r>
          </m:e>
          <m:sub>
            <m:r>
              <w:rPr>
                <w:rFonts w:ascii="Cambria Math" w:hAnsi="Cambria Math"/>
              </w:rPr>
              <m:t>m</m:t>
            </m:r>
          </m:sub>
        </m:sSub>
      </m:oMath>
      <w:r w:rsidRPr="00FC71BE">
        <w:t xml:space="preserve">, which is achieved by adopting a suitable flux gap width. However, the increased </w:t>
      </w:r>
      <m:oMath>
        <m:sSub>
          <m:sSubPr>
            <m:ctrlPr>
              <w:rPr>
                <w:rFonts w:ascii="Cambria Math" w:hAnsi="Cambria Math"/>
                <w:i/>
              </w:rPr>
            </m:ctrlPr>
          </m:sSubPr>
          <m:e>
            <m:r>
              <w:rPr>
                <w:rFonts w:ascii="Cambria Math" w:hAnsi="Cambria Math"/>
              </w:rPr>
              <m:t>ψ</m:t>
            </m:r>
          </m:e>
          <m:sub>
            <m:r>
              <w:rPr>
                <w:rFonts w:ascii="Cambria Math" w:hAnsi="Cambria Math"/>
              </w:rPr>
              <m:t>m</m:t>
            </m:r>
          </m:sub>
        </m:sSub>
      </m:oMath>
      <w:r w:rsidRPr="00FC71BE">
        <w:t xml:space="preserve"> reduces the base-speed and the maximum speed for the modular machine as can be concluded from (2.10) and (2.12). Therefore, the high-speed performance during flux weakening operation of the modular SPM machine is worsened.</w:t>
      </w:r>
    </w:p>
    <w:p w14:paraId="089412E9" w14:textId="77777777" w:rsidR="003F1EA9" w:rsidRPr="00FC71BE" w:rsidRDefault="003F1EA9" w:rsidP="003F1EA9">
      <w:pPr>
        <w:pStyle w:val="Figure"/>
        <w:rPr>
          <w:noProof w:val="0"/>
        </w:rPr>
      </w:pPr>
      <w:r w:rsidRPr="00FC71BE">
        <w:drawing>
          <wp:inline distT="0" distB="0" distL="0" distR="0" wp14:anchorId="08B6F6AA" wp14:editId="6E2191D3">
            <wp:extent cx="4803080" cy="2880000"/>
            <wp:effectExtent l="0" t="0" r="0" b="0"/>
            <wp:docPr id="216" name="Picture 21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picture containing chart&#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803080" cy="2880000"/>
                    </a:xfrm>
                    <a:prstGeom prst="rect">
                      <a:avLst/>
                    </a:prstGeom>
                    <a:noFill/>
                    <a:ln>
                      <a:noFill/>
                    </a:ln>
                  </pic:spPr>
                </pic:pic>
              </a:graphicData>
            </a:graphic>
          </wp:inline>
        </w:drawing>
      </w:r>
    </w:p>
    <w:p w14:paraId="33A63A2E" w14:textId="0045E7F1" w:rsidR="003F1EA9" w:rsidRPr="00FC71BE" w:rsidRDefault="003F1EA9" w:rsidP="003F1EA9">
      <w:pPr>
        <w:pStyle w:val="FigureTitle"/>
      </w:pPr>
      <w:bookmarkStart w:id="147" w:name="_Ref138769318"/>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w:t>
        </w:r>
      </w:fldSimple>
      <w:bookmarkEnd w:id="147"/>
      <w:r w:rsidRPr="00FC71BE">
        <w:t>. Torque-speed curves for the modular and non-modular machines at room temperature (20</w:t>
      </w:r>
      <m:oMath>
        <m:r>
          <w:rPr>
            <w:rFonts w:ascii="Cambria Math" w:hAnsi="Cambria Math"/>
          </w:rPr>
          <m:t>℃</m:t>
        </m:r>
      </m:oMath>
      <w:r w:rsidRPr="00FC71BE">
        <w:t>) without considering EM-thermal coupling.</w:t>
      </w:r>
    </w:p>
    <w:p w14:paraId="0B12BFC5" w14:textId="77777777" w:rsidR="003F1EA9" w:rsidRPr="00FC71BE" w:rsidRDefault="003F1EA9" w:rsidP="003F1EA9">
      <w:pPr>
        <w:pStyle w:val="Heading4"/>
      </w:pPr>
      <w:r w:rsidRPr="00FC71BE">
        <w:t>Losses Speed Curve</w:t>
      </w:r>
    </w:p>
    <w:p w14:paraId="69539FDC" w14:textId="1ADB1030" w:rsidR="003F1EA9" w:rsidRPr="00FC71BE" w:rsidRDefault="003F1EA9" w:rsidP="003F1EA9">
      <w:r w:rsidRPr="00FC71BE">
        <w:t xml:space="preserve">The stator and rotor core iron losses as well as PM eddy current loss against speed have also been calculated, as shown in </w:t>
      </w:r>
      <w:r w:rsidRPr="00FC71BE">
        <w:fldChar w:fldCharType="begin"/>
      </w:r>
      <w:r w:rsidRPr="00FC71BE">
        <w:instrText xml:space="preserve"> REF _Ref138852828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3</w:t>
      </w:r>
      <w:r w:rsidRPr="00FC71BE">
        <w:fldChar w:fldCharType="end"/>
      </w:r>
      <w:r w:rsidRPr="00FC71BE">
        <w:t xml:space="preserve">. It is found that in the constant torque region, the losses, including the PM eddy current losses and stator and rotor iron losses, will all increase with rotor speed for both the investigated machines. In addition, compared with the non-modular machine, the modular machine has lower PM eddy current loss but higher stator and rotor core iron losses. This is mainly due to the introduced flux gaps that lead to increased fundamental and reduced harmonic components in the airgap flux density. However, in flux weakening region, the increase rates of both the stator and rotor core iron losses as well as PM eddy current loss of the non-modular machine have been reduced due to the demagnetization caused by the increase in </w:t>
      </w:r>
      <w:r w:rsidRPr="00FC71BE">
        <w:rPr>
          <w:i/>
          <w:iCs/>
        </w:rPr>
        <w:t>d</w:t>
      </w:r>
      <w:r w:rsidRPr="00FC71BE">
        <w:t xml:space="preserve">-axis current. For the modular machine, its stator and rotor core iron losses as well as the PM eddy current loss even reduce. Beyond 2300rpm, the iron loss of the modular machine can be even lower than that of the non-modular machine. </w:t>
      </w:r>
    </w:p>
    <w:p w14:paraId="4828BD12" w14:textId="77777777" w:rsidR="003F1EA9" w:rsidRPr="00FC71BE" w:rsidRDefault="003F1EA9" w:rsidP="003F1EA9">
      <w:pPr>
        <w:pStyle w:val="Figure"/>
        <w:rPr>
          <w:noProof w:val="0"/>
        </w:rPr>
      </w:pPr>
      <w:r w:rsidRPr="00FC71BE">
        <w:lastRenderedPageBreak/>
        <w:drawing>
          <wp:inline distT="0" distB="0" distL="0" distR="0" wp14:anchorId="18E44317" wp14:editId="07EE9184">
            <wp:extent cx="4800000" cy="2880000"/>
            <wp:effectExtent l="0" t="0" r="635" b="0"/>
            <wp:docPr id="1686458589" name="Picture 168645858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5DEA48EF" w14:textId="76CF6881" w:rsidR="003F1EA9" w:rsidRPr="00FC71BE" w:rsidRDefault="003F1EA9" w:rsidP="003F1EA9">
      <w:pPr>
        <w:pStyle w:val="FigureTitle"/>
      </w:pPr>
      <w:bookmarkStart w:id="148" w:name="_Ref138852828"/>
      <w:r w:rsidRPr="00FC71BE">
        <w:t xml:space="preserve">Fig. </w:t>
      </w:r>
      <w:fldSimple w:instr=" STYLEREF 1 \s ">
        <w:r w:rsidR="007E62C1" w:rsidRPr="00FC71BE">
          <w:rPr>
            <w:noProof/>
          </w:rPr>
          <w:t>3</w:t>
        </w:r>
      </w:fldSimple>
      <w:r w:rsidRPr="00FC71BE">
        <w:t>.</w:t>
      </w:r>
      <w:fldSimple w:instr=" SEQ Fig. \* ARABIC \s 1 ">
        <w:r w:rsidR="007E62C1" w:rsidRPr="00FC71BE">
          <w:rPr>
            <w:noProof/>
          </w:rPr>
          <w:t>3</w:t>
        </w:r>
      </w:fldSimple>
      <w:bookmarkEnd w:id="148"/>
      <w:r w:rsidRPr="00FC71BE">
        <w:t>. Losses-speed curves for the modular and non-modular machines operating at room temperature (20</w:t>
      </w:r>
      <m:oMath>
        <m:r>
          <w:rPr>
            <w:rFonts w:ascii="Cambria Math" w:hAnsi="Cambria Math"/>
          </w:rPr>
          <m:t>℃</m:t>
        </m:r>
      </m:oMath>
      <w:r w:rsidRPr="00FC71BE">
        <w:t>).</w:t>
      </w:r>
    </w:p>
    <w:p w14:paraId="7FFCDA27" w14:textId="77777777" w:rsidR="003F1EA9" w:rsidRPr="00FC71BE" w:rsidRDefault="003F1EA9" w:rsidP="003F1EA9">
      <w:pPr>
        <w:pStyle w:val="Heading4"/>
      </w:pPr>
      <w:r w:rsidRPr="00FC71BE">
        <w:t>Efficiency Map</w:t>
      </w:r>
    </w:p>
    <w:p w14:paraId="224A0880" w14:textId="51E77BBE" w:rsidR="003F1EA9" w:rsidRPr="00FC71BE" w:rsidRDefault="003F1EA9" w:rsidP="003F1EA9">
      <w:r w:rsidRPr="00FC71BE">
        <w:t xml:space="preserve">The efficiency maps for the modular and non-modular machines are shown in </w:t>
      </w:r>
      <w:r w:rsidRPr="00FC71BE">
        <w:fldChar w:fldCharType="begin"/>
      </w:r>
      <w:r w:rsidRPr="00FC71BE">
        <w:instrText xml:space="preserve"> REF _Ref138853464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4</w:t>
      </w:r>
      <w:r w:rsidRPr="00FC71BE">
        <w:fldChar w:fldCharType="end"/>
      </w:r>
      <w:r w:rsidRPr="00FC71BE">
        <w:t xml:space="preserve">. It is worth noting that, in this figure, the efficiency below 60% has been neglected. It can be found that compared with the non-modular machine, the modular machine has winder highest efficiency range due to its high output power and low PM eddy current loss.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3EA53CF0" w14:textId="77777777">
        <w:tc>
          <w:tcPr>
            <w:tcW w:w="9016" w:type="dxa"/>
          </w:tcPr>
          <w:p w14:paraId="0D34D392" w14:textId="77777777" w:rsidR="003F1EA9" w:rsidRPr="00FC71BE" w:rsidRDefault="003F1EA9">
            <w:pPr>
              <w:pStyle w:val="Figure"/>
              <w:rPr>
                <w:noProof w:val="0"/>
              </w:rPr>
            </w:pPr>
            <w:r w:rsidRPr="00FC71BE">
              <w:drawing>
                <wp:inline distT="0" distB="0" distL="0" distR="0" wp14:anchorId="6651255B" wp14:editId="5212FAEF">
                  <wp:extent cx="4477236" cy="2880000"/>
                  <wp:effectExtent l="0" t="0" r="0" b="0"/>
                  <wp:docPr id="1088248812" name="Picture 1088248812" descr="A graph of a speed diagram&#10;&#10;Description automatically generated">
                    <a:extLst xmlns:a="http://schemas.openxmlformats.org/drawingml/2006/main">
                      <a:ext uri="{FF2B5EF4-FFF2-40B4-BE49-F238E27FC236}">
                        <a16:creationId xmlns:a16="http://schemas.microsoft.com/office/drawing/2014/main" id="{5A0F91AA-9AA7-48A3-8535-0FFED9C19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48812" name="Picture 1088248812" descr="A graph of a speed diagram&#10;&#10;Description automatically generated">
                            <a:extLst>
                              <a:ext uri="{FF2B5EF4-FFF2-40B4-BE49-F238E27FC236}">
                                <a16:creationId xmlns:a16="http://schemas.microsoft.com/office/drawing/2014/main" id="{5A0F91AA-9AA7-48A3-8535-0FFED9C19428}"/>
                              </a:ext>
                            </a:extLst>
                          </pic:cNvPr>
                          <pic:cNvPicPr>
                            <a:picLocks noChangeAspect="1"/>
                          </pic:cNvPicPr>
                        </pic:nvPicPr>
                        <pic:blipFill rotWithShape="1">
                          <a:blip r:embed="rId92"/>
                          <a:srcRect r="6635"/>
                          <a:stretch/>
                        </pic:blipFill>
                        <pic:spPr>
                          <a:xfrm>
                            <a:off x="0" y="0"/>
                            <a:ext cx="4477236" cy="2880000"/>
                          </a:xfrm>
                          <a:prstGeom prst="rect">
                            <a:avLst/>
                          </a:prstGeom>
                        </pic:spPr>
                      </pic:pic>
                    </a:graphicData>
                  </a:graphic>
                </wp:inline>
              </w:drawing>
            </w:r>
          </w:p>
        </w:tc>
      </w:tr>
      <w:tr w:rsidR="00FC71BE" w:rsidRPr="00FC71BE" w14:paraId="2D369770" w14:textId="77777777">
        <w:tc>
          <w:tcPr>
            <w:tcW w:w="9016" w:type="dxa"/>
          </w:tcPr>
          <w:p w14:paraId="641FA62A" w14:textId="77777777" w:rsidR="003F1EA9" w:rsidRPr="00FC71BE" w:rsidRDefault="003F1EA9">
            <w:pPr>
              <w:pStyle w:val="Figure"/>
              <w:rPr>
                <w:noProof w:val="0"/>
              </w:rPr>
            </w:pPr>
            <w:r w:rsidRPr="00FC71BE">
              <w:rPr>
                <w:noProof w:val="0"/>
              </w:rPr>
              <w:t>(a) Modular Machine</w:t>
            </w:r>
          </w:p>
        </w:tc>
      </w:tr>
      <w:tr w:rsidR="00FC71BE" w:rsidRPr="00FC71BE" w14:paraId="509BFD79" w14:textId="77777777">
        <w:tc>
          <w:tcPr>
            <w:tcW w:w="9016" w:type="dxa"/>
          </w:tcPr>
          <w:p w14:paraId="225C7908" w14:textId="77777777" w:rsidR="003F1EA9" w:rsidRPr="00FC71BE" w:rsidRDefault="003F1EA9">
            <w:pPr>
              <w:pStyle w:val="Figure"/>
              <w:rPr>
                <w:noProof w:val="0"/>
              </w:rPr>
            </w:pPr>
            <w:r w:rsidRPr="00FC71BE">
              <w:lastRenderedPageBreak/>
              <w:drawing>
                <wp:inline distT="0" distB="0" distL="0" distR="0" wp14:anchorId="3D318BB9" wp14:editId="30CA1D70">
                  <wp:extent cx="4505027" cy="2880000"/>
                  <wp:effectExtent l="0" t="0" r="0" b="0"/>
                  <wp:docPr id="940665455" name="Picture 940665455" descr="A graph of a speed&#10;&#10;Description automatically generated">
                    <a:extLst xmlns:a="http://schemas.openxmlformats.org/drawingml/2006/main">
                      <a:ext uri="{FF2B5EF4-FFF2-40B4-BE49-F238E27FC236}">
                        <a16:creationId xmlns:a16="http://schemas.microsoft.com/office/drawing/2014/main" id="{C81AD36C-3832-4BAC-B796-703BB180C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65455" name="Picture 940665455" descr="A graph of a speed&#10;&#10;Description automatically generated">
                            <a:extLst>
                              <a:ext uri="{FF2B5EF4-FFF2-40B4-BE49-F238E27FC236}">
                                <a16:creationId xmlns:a16="http://schemas.microsoft.com/office/drawing/2014/main" id="{C81AD36C-3832-4BAC-B796-703BB180C3C0}"/>
                              </a:ext>
                            </a:extLst>
                          </pic:cNvPr>
                          <pic:cNvPicPr>
                            <a:picLocks noChangeAspect="1"/>
                          </pic:cNvPicPr>
                        </pic:nvPicPr>
                        <pic:blipFill rotWithShape="1">
                          <a:blip r:embed="rId93"/>
                          <a:srcRect r="6204"/>
                          <a:stretch/>
                        </pic:blipFill>
                        <pic:spPr>
                          <a:xfrm>
                            <a:off x="0" y="0"/>
                            <a:ext cx="4505027" cy="2880000"/>
                          </a:xfrm>
                          <a:prstGeom prst="rect">
                            <a:avLst/>
                          </a:prstGeom>
                        </pic:spPr>
                      </pic:pic>
                    </a:graphicData>
                  </a:graphic>
                </wp:inline>
              </w:drawing>
            </w:r>
          </w:p>
        </w:tc>
      </w:tr>
      <w:tr w:rsidR="00FC71BE" w:rsidRPr="00FC71BE" w14:paraId="486F5B12" w14:textId="77777777">
        <w:tc>
          <w:tcPr>
            <w:tcW w:w="9016" w:type="dxa"/>
          </w:tcPr>
          <w:p w14:paraId="0B57F56F" w14:textId="77777777" w:rsidR="003F1EA9" w:rsidRPr="00FC71BE" w:rsidRDefault="003F1EA9">
            <w:pPr>
              <w:pStyle w:val="Figure"/>
              <w:rPr>
                <w:noProof w:val="0"/>
              </w:rPr>
            </w:pPr>
            <w:r w:rsidRPr="00FC71BE">
              <w:rPr>
                <w:noProof w:val="0"/>
              </w:rPr>
              <w:t>(b) Non-modular Machine</w:t>
            </w:r>
          </w:p>
        </w:tc>
      </w:tr>
    </w:tbl>
    <w:p w14:paraId="7305A0C5" w14:textId="165F2C98" w:rsidR="003F1EA9" w:rsidRPr="00FC71BE" w:rsidRDefault="003F1EA9" w:rsidP="003F1EA9">
      <w:pPr>
        <w:pStyle w:val="FigureTitle"/>
      </w:pPr>
      <w:bookmarkStart w:id="149" w:name="_Ref138853464"/>
      <w:r w:rsidRPr="00FC71BE">
        <w:t xml:space="preserve">Fig. </w:t>
      </w:r>
      <w:fldSimple w:instr=" STYLEREF 1 \s ">
        <w:r w:rsidR="007E62C1" w:rsidRPr="00FC71BE">
          <w:rPr>
            <w:noProof/>
          </w:rPr>
          <w:t>3</w:t>
        </w:r>
      </w:fldSimple>
      <w:r w:rsidRPr="00FC71BE">
        <w:t>.</w:t>
      </w:r>
      <w:fldSimple w:instr=" SEQ Fig. \* ARABIC \s 1 ">
        <w:r w:rsidR="007E62C1" w:rsidRPr="00FC71BE">
          <w:rPr>
            <w:noProof/>
          </w:rPr>
          <w:t>4</w:t>
        </w:r>
      </w:fldSimple>
      <w:bookmarkEnd w:id="149"/>
      <w:r w:rsidRPr="00FC71BE">
        <w:t>. Efficiency maps at room temperature (20</w:t>
      </w:r>
      <m:oMath>
        <m:r>
          <w:rPr>
            <w:rFonts w:ascii="Cambria Math" w:hAnsi="Cambria Math"/>
          </w:rPr>
          <m:t>℃</m:t>
        </m:r>
      </m:oMath>
      <w:r w:rsidRPr="00FC71BE">
        <w:t xml:space="preserve">) without considering EM-thermal coupling. </w:t>
      </w:r>
    </w:p>
    <w:p w14:paraId="39F5A099" w14:textId="77777777" w:rsidR="003F1EA9" w:rsidRPr="00FC71BE" w:rsidRDefault="003F1EA9" w:rsidP="00B86C68">
      <w:pPr>
        <w:pStyle w:val="Heading3"/>
        <w:numPr>
          <w:ilvl w:val="2"/>
          <w:numId w:val="49"/>
        </w:numPr>
      </w:pPr>
      <w:bookmarkStart w:id="150" w:name="_Toc157695353"/>
      <w:r w:rsidRPr="00FC71BE">
        <w:t>With EM-thermal Coupling</w:t>
      </w:r>
      <w:bookmarkEnd w:id="150"/>
    </w:p>
    <w:p w14:paraId="1F1EF150" w14:textId="2D77D437" w:rsidR="003F1EA9" w:rsidRPr="00FC71BE" w:rsidRDefault="003F1EA9" w:rsidP="003F1EA9">
      <w:r w:rsidRPr="00FC71BE">
        <w:t xml:space="preserve">As mentioned previously, the above analyses do not consider the EM-thermal coupling. However, the temperature rise has a significant impact on the temperature dependent magnet </w:t>
      </w:r>
      <w:r w:rsidRPr="00FC71BE">
        <w:rPr>
          <w:iCs/>
        </w:rPr>
        <w:t>B(H)</w:t>
      </w:r>
      <w:r w:rsidRPr="00FC71BE">
        <w:t xml:space="preserve"> curve and copper resistivity, hence will also have significant influence on the dynamic performance. For the magnet material used in this paper, its </w:t>
      </w:r>
      <w:r w:rsidRPr="00FC71BE">
        <w:rPr>
          <w:iCs/>
        </w:rPr>
        <w:t xml:space="preserve">B(H) </w:t>
      </w:r>
      <w:r w:rsidRPr="00FC71BE">
        <w:t xml:space="preserve">curves at different operating temperatures are shown in </w:t>
      </w:r>
      <w:r w:rsidRPr="00FC71BE">
        <w:fldChar w:fldCharType="begin"/>
      </w:r>
      <w:r w:rsidRPr="00FC71BE">
        <w:instrText xml:space="preserve"> REF _Ref139994554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5</w:t>
      </w:r>
      <w:r w:rsidRPr="00FC71BE">
        <w:fldChar w:fldCharType="end"/>
      </w:r>
      <w:r w:rsidRPr="00FC71BE">
        <w:t>. The remanence (</w:t>
      </w:r>
      <m:oMath>
        <m:sSub>
          <m:sSubPr>
            <m:ctrlPr>
              <w:rPr>
                <w:rFonts w:ascii="Cambria Math" w:hAnsi="Cambria Math"/>
              </w:rPr>
            </m:ctrlPr>
          </m:sSubPr>
          <m:e>
            <m:r>
              <w:rPr>
                <w:rFonts w:ascii="Cambria Math" w:hAnsi="Cambria Math"/>
              </w:rPr>
              <m:t>B</m:t>
            </m:r>
          </m:e>
          <m:sub>
            <m:r>
              <w:rPr>
                <w:rFonts w:ascii="Cambria Math" w:hAnsi="Cambria Math"/>
              </w:rPr>
              <m:t>r</m:t>
            </m:r>
          </m:sub>
        </m:sSub>
      </m:oMath>
      <w:r w:rsidRPr="00FC71BE">
        <w:t>) and coercivity (</w:t>
      </w:r>
      <m:oMath>
        <m:sSub>
          <m:sSubPr>
            <m:ctrlPr>
              <w:rPr>
                <w:rFonts w:ascii="Cambria Math" w:hAnsi="Cambria Math"/>
              </w:rPr>
            </m:ctrlPr>
          </m:sSubPr>
          <m:e>
            <m:r>
              <w:rPr>
                <w:rFonts w:ascii="Cambria Math" w:hAnsi="Cambria Math"/>
              </w:rPr>
              <m:t>H</m:t>
            </m:r>
          </m:e>
          <m:sub>
            <m:r>
              <w:rPr>
                <w:rFonts w:ascii="Cambria Math" w:hAnsi="Cambria Math"/>
              </w:rPr>
              <m:t>c</m:t>
            </m:r>
          </m:sub>
        </m:sSub>
      </m:oMath>
      <w:r w:rsidRPr="00FC71BE">
        <w:t xml:space="preserve">) are both reduced with temperature rise and the temperature dependent </w:t>
      </w:r>
      <m:oMath>
        <m:sSub>
          <m:sSubPr>
            <m:ctrlPr>
              <w:rPr>
                <w:rFonts w:ascii="Cambria Math" w:hAnsi="Cambria Math"/>
              </w:rPr>
            </m:ctrlPr>
          </m:sSubPr>
          <m:e>
            <m:r>
              <w:rPr>
                <w:rFonts w:ascii="Cambria Math" w:hAnsi="Cambria Math"/>
              </w:rPr>
              <m:t>B</m:t>
            </m:r>
          </m:e>
          <m:sub>
            <m:r>
              <w:rPr>
                <w:rFonts w:ascii="Cambria Math" w:hAnsi="Cambria Math"/>
              </w:rPr>
              <m:t>r</m:t>
            </m:r>
          </m:sub>
        </m:sSub>
      </m:oMath>
      <w:r w:rsidRPr="00FC71BE">
        <w:t xml:space="preserve"> and </w:t>
      </w:r>
      <m:oMath>
        <m:sSub>
          <m:sSubPr>
            <m:ctrlPr>
              <w:rPr>
                <w:rFonts w:ascii="Cambria Math" w:hAnsi="Cambria Math"/>
              </w:rPr>
            </m:ctrlPr>
          </m:sSubPr>
          <m:e>
            <m:r>
              <w:rPr>
                <w:rFonts w:ascii="Cambria Math" w:hAnsi="Cambria Math"/>
              </w:rPr>
              <m:t>H</m:t>
            </m:r>
          </m:e>
          <m:sub>
            <m:r>
              <w:rPr>
                <w:rFonts w:ascii="Cambria Math" w:hAnsi="Cambria Math"/>
              </w:rPr>
              <m:t>c</m:t>
            </m:r>
          </m:sub>
        </m:sSub>
      </m:oMath>
      <w:r w:rsidRPr="00FC71BE">
        <w:t xml:space="preserve"> can be written as </w:t>
      </w:r>
      <w:r w:rsidRPr="00FC71BE">
        <w:fldChar w:fldCharType="begin"/>
      </w:r>
      <w:r w:rsidR="00BA33ED" w:rsidRPr="00FC71BE">
        <w:instrText xml:space="preserve"> ADDIN EN.CITE &lt;EndNote&gt;&lt;Cite&gt;&lt;Author&gt;Zhou&lt;/Author&gt;&lt;Year&gt;2012&lt;/Year&gt;&lt;RecNum&gt;26&lt;/RecNum&gt;&lt;DisplayText&gt;[130]&lt;/DisplayText&gt;&lt;record&gt;&lt;rec-number&gt;26&lt;/rec-number&gt;&lt;foreign-keys&gt;&lt;key app="EN" db-id="rf2p5e05jx0x9jep00uvx0s1fvaww2dfa0r9" timestamp="1689349037"&gt;26&lt;/key&gt;&lt;/foreign-keys&gt;&lt;ref-type name="Journal Article"&gt;17&lt;/ref-type&gt;&lt;contributors&gt;&lt;authors&gt;&lt;author&gt;Zhou, P&lt;/author&gt;&lt;author&gt;Lin, D&lt;/author&gt;&lt;author&gt;Xiao, Y&lt;/author&gt;&lt;author&gt;Lambert, N&lt;/author&gt;&lt;author&gt;Rahman, MA&lt;/author&gt;&lt;/authors&gt;&lt;/contributors&gt;&lt;titles&gt;&lt;title&gt;Temperature-dependent demagnetization model of permanent magnets for finite element analysis&lt;/title&gt;&lt;secondary-title&gt;IEEE transactions on magnetics&lt;/secondary-title&gt;&lt;/titles&gt;&lt;periodical&gt;&lt;full-title&gt;IEEE Transactions on Magnetics&lt;/full-title&gt;&lt;/periodical&gt;&lt;pages&gt;1031-1034&lt;/pages&gt;&lt;volume&gt;48&lt;/volume&gt;&lt;number&gt;2&lt;/number&gt;&lt;dates&gt;&lt;year&gt;2012&lt;/year&gt;&lt;/dates&gt;&lt;isbn&gt;0018-9464&lt;/isbn&gt;&lt;urls&gt;&lt;/urls&gt;&lt;/record&gt;&lt;/Cite&gt;&lt;/EndNote&gt;</w:instrText>
      </w:r>
      <w:r w:rsidRPr="00FC71BE">
        <w:fldChar w:fldCharType="separate"/>
      </w:r>
      <w:r w:rsidR="00BA33ED" w:rsidRPr="00FC71BE">
        <w:t>[130]</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17F17B7B" w14:textId="77777777">
        <w:tc>
          <w:tcPr>
            <w:tcW w:w="4493" w:type="pct"/>
            <w:vAlign w:val="center"/>
          </w:tcPr>
          <w:p w14:paraId="011C5AD7" w14:textId="77777777" w:rsidR="003F1EA9" w:rsidRPr="00FC71BE" w:rsidRDefault="002143AD">
            <w:pPr>
              <w:pStyle w:val="equation"/>
              <w:rPr>
                <w:color w:val="auto"/>
              </w:rPr>
            </w:pPr>
            <m:oMathPara>
              <m:oMath>
                <m:d>
                  <m:dPr>
                    <m:begChr m:val="{"/>
                    <m:endChr m:val=""/>
                    <m:ctrlPr>
                      <w:rPr>
                        <w:rFonts w:ascii="Cambria Math" w:hAnsi="Cambria Math"/>
                        <w:color w:val="auto"/>
                      </w:rPr>
                    </m:ctrlPr>
                  </m:dPr>
                  <m:e>
                    <m:eqArr>
                      <m:eqArrPr>
                        <m:ctrlPr>
                          <w:rPr>
                            <w:rFonts w:ascii="Cambria Math" w:hAnsi="Cambria Math"/>
                            <w:color w:val="auto"/>
                          </w:rPr>
                        </m:ctrlPr>
                      </m:eqArrPr>
                      <m:e>
                        <m:sSub>
                          <m:sSubPr>
                            <m:ctrlPr>
                              <w:rPr>
                                <w:rFonts w:ascii="Cambria Math" w:hAnsi="Cambria Math"/>
                                <w:color w:val="auto"/>
                              </w:rPr>
                            </m:ctrlPr>
                          </m:sSubPr>
                          <m:e>
                            <m:r>
                              <w:rPr>
                                <w:rFonts w:ascii="Cambria Math" w:hAnsi="Cambria Math"/>
                                <w:color w:val="auto"/>
                              </w:rPr>
                              <m:t>B</m:t>
                            </m:r>
                          </m:e>
                          <m:sub>
                            <m:r>
                              <w:rPr>
                                <w:rFonts w:ascii="Cambria Math" w:hAnsi="Cambria Math"/>
                                <w:color w:val="auto"/>
                              </w:rPr>
                              <m:t>r</m:t>
                            </m:r>
                          </m:sub>
                        </m:sSub>
                        <m:d>
                          <m:dPr>
                            <m:ctrlPr>
                              <w:rPr>
                                <w:rFonts w:ascii="Cambria Math" w:hAnsi="Cambria Math"/>
                                <w:color w:val="auto"/>
                              </w:rPr>
                            </m:ctrlPr>
                          </m:dPr>
                          <m:e>
                            <m:r>
                              <w:rPr>
                                <w:rFonts w:ascii="Cambria Math" w:hAnsi="Cambria Math"/>
                                <w:color w:val="auto"/>
                              </w:rPr>
                              <m:t>T</m:t>
                            </m:r>
                          </m:e>
                        </m:d>
                        <m:r>
                          <w:rPr>
                            <w:rFonts w:ascii="Cambria Math" w:hAnsi="Cambria Math"/>
                            <w:color w:val="auto"/>
                          </w:rPr>
                          <m:t>=</m:t>
                        </m:r>
                        <m:sSub>
                          <m:sSubPr>
                            <m:ctrlPr>
                              <w:rPr>
                                <w:rFonts w:ascii="Cambria Math" w:hAnsi="Cambria Math"/>
                                <w:color w:val="auto"/>
                              </w:rPr>
                            </m:ctrlPr>
                          </m:sSubPr>
                          <m:e>
                            <m:r>
                              <w:rPr>
                                <w:rFonts w:ascii="Cambria Math" w:hAnsi="Cambria Math"/>
                                <w:color w:val="auto"/>
                              </w:rPr>
                              <m:t>B</m:t>
                            </m:r>
                          </m:e>
                          <m:sub>
                            <m:r>
                              <w:rPr>
                                <w:rFonts w:ascii="Cambria Math" w:hAnsi="Cambria Math"/>
                                <w:color w:val="auto"/>
                              </w:rPr>
                              <m:t>r</m:t>
                            </m:r>
                          </m:sub>
                        </m:sSub>
                        <m:d>
                          <m:dPr>
                            <m:ctrlPr>
                              <w:rPr>
                                <w:rFonts w:ascii="Cambria Math" w:hAnsi="Cambria Math"/>
                                <w:color w:val="auto"/>
                              </w:rPr>
                            </m:ctrlPr>
                          </m:dPr>
                          <m:e>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0</m:t>
                                </m:r>
                              </m:sub>
                            </m:sSub>
                          </m:e>
                        </m:d>
                        <m:r>
                          <w:rPr>
                            <w:rFonts w:ascii="Cambria Math" w:hAnsi="Cambria Math"/>
                            <w:color w:val="auto"/>
                          </w:rPr>
                          <m:t xml:space="preserve"> </m:t>
                        </m:r>
                        <m:d>
                          <m:dPr>
                            <m:begChr m:val="["/>
                            <m:endChr m:val="]"/>
                            <m:ctrlPr>
                              <w:rPr>
                                <w:rFonts w:ascii="Cambria Math" w:hAnsi="Cambria Math"/>
                                <w:color w:val="auto"/>
                              </w:rPr>
                            </m:ctrlPr>
                          </m:dPr>
                          <m:e>
                            <m:r>
                              <w:rPr>
                                <w:rFonts w:ascii="Cambria Math" w:hAnsi="Cambria Math"/>
                                <w:color w:val="auto"/>
                              </w:rPr>
                              <m:t>1+</m:t>
                            </m:r>
                            <m:sSub>
                              <m:sSubPr>
                                <m:ctrlPr>
                                  <w:rPr>
                                    <w:rFonts w:ascii="Cambria Math" w:hAnsi="Cambria Math"/>
                                    <w:color w:val="auto"/>
                                  </w:rPr>
                                </m:ctrlPr>
                              </m:sSubPr>
                              <m:e>
                                <m:r>
                                  <w:rPr>
                                    <w:rFonts w:ascii="Cambria Math" w:hAnsi="Cambria Math"/>
                                    <w:color w:val="auto"/>
                                  </w:rPr>
                                  <m:t>α</m:t>
                                </m:r>
                              </m:e>
                              <m:sub>
                                <m:r>
                                  <w:rPr>
                                    <w:rFonts w:ascii="Cambria Math" w:hAnsi="Cambria Math"/>
                                    <w:color w:val="auto"/>
                                  </w:rPr>
                                  <m:t>1</m:t>
                                </m:r>
                              </m:sub>
                            </m:sSub>
                            <m:d>
                              <m:dPr>
                                <m:ctrlPr>
                                  <w:rPr>
                                    <w:rFonts w:ascii="Cambria Math" w:hAnsi="Cambria Math"/>
                                    <w:color w:val="auto"/>
                                  </w:rPr>
                                </m:ctrlPr>
                              </m:dPr>
                              <m:e>
                                <m:r>
                                  <w:rPr>
                                    <w:rFonts w:ascii="Cambria Math" w:hAnsi="Cambria Math"/>
                                    <w:color w:val="auto"/>
                                  </w:rPr>
                                  <m:t>T</m:t>
                                </m:r>
                                <m:r>
                                  <w:rPr>
                                    <w:rFonts w:ascii="Cambria Math" w:hAnsi="Cambria Math"/>
                                    <w:color w:val="auto"/>
                                  </w:rPr>
                                  <m:t>-</m:t>
                                </m:r>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0</m:t>
                                    </m:r>
                                  </m:sub>
                                </m:sSub>
                              </m:e>
                            </m:d>
                            <m:r>
                              <w:rPr>
                                <w:rFonts w:ascii="Cambria Math" w:hAnsi="Cambria Math"/>
                                <w:color w:val="auto"/>
                              </w:rPr>
                              <m:t>+</m:t>
                            </m:r>
                            <m:sSub>
                              <m:sSubPr>
                                <m:ctrlPr>
                                  <w:rPr>
                                    <w:rFonts w:ascii="Cambria Math" w:hAnsi="Cambria Math"/>
                                    <w:color w:val="auto"/>
                                  </w:rPr>
                                </m:ctrlPr>
                              </m:sSubPr>
                              <m:e>
                                <m:r>
                                  <w:rPr>
                                    <w:rFonts w:ascii="Cambria Math" w:hAnsi="Cambria Math"/>
                                    <w:color w:val="auto"/>
                                  </w:rPr>
                                  <m:t>α</m:t>
                                </m:r>
                              </m:e>
                              <m:sub>
                                <m:r>
                                  <w:rPr>
                                    <w:rFonts w:ascii="Cambria Math" w:hAnsi="Cambria Math"/>
                                    <w:color w:val="auto"/>
                                  </w:rPr>
                                  <m:t>2</m:t>
                                </m:r>
                              </m:sub>
                            </m:sSub>
                            <m:sSup>
                              <m:sSupPr>
                                <m:ctrlPr>
                                  <w:rPr>
                                    <w:rFonts w:ascii="Cambria Math" w:hAnsi="Cambria Math"/>
                                    <w:color w:val="auto"/>
                                  </w:rPr>
                                </m:ctrlPr>
                              </m:sSupPr>
                              <m:e>
                                <m:d>
                                  <m:dPr>
                                    <m:ctrlPr>
                                      <w:rPr>
                                        <w:rFonts w:ascii="Cambria Math" w:hAnsi="Cambria Math"/>
                                        <w:color w:val="auto"/>
                                      </w:rPr>
                                    </m:ctrlPr>
                                  </m:dPr>
                                  <m:e>
                                    <m:r>
                                      <w:rPr>
                                        <w:rFonts w:ascii="Cambria Math" w:hAnsi="Cambria Math"/>
                                        <w:color w:val="auto"/>
                                      </w:rPr>
                                      <m:t>T</m:t>
                                    </m:r>
                                    <m:r>
                                      <w:rPr>
                                        <w:rFonts w:ascii="Cambria Math" w:hAnsi="Cambria Math"/>
                                        <w:color w:val="auto"/>
                                      </w:rPr>
                                      <m:t>-</m:t>
                                    </m:r>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0</m:t>
                                        </m:r>
                                      </m:sub>
                                    </m:sSub>
                                  </m:e>
                                </m:d>
                              </m:e>
                              <m:sup>
                                <m:r>
                                  <w:rPr>
                                    <w:rFonts w:ascii="Cambria Math" w:hAnsi="Cambria Math"/>
                                    <w:color w:val="auto"/>
                                  </w:rPr>
                                  <m:t>2</m:t>
                                </m:r>
                              </m:sup>
                            </m:sSup>
                          </m:e>
                        </m:d>
                      </m:e>
                      <m:e>
                        <m:sSub>
                          <m:sSubPr>
                            <m:ctrlPr>
                              <w:rPr>
                                <w:rFonts w:ascii="Cambria Math" w:hAnsi="Cambria Math"/>
                                <w:color w:val="auto"/>
                              </w:rPr>
                            </m:ctrlPr>
                          </m:sSubPr>
                          <m:e>
                            <m:r>
                              <w:rPr>
                                <w:rFonts w:ascii="Cambria Math" w:hAnsi="Cambria Math"/>
                                <w:color w:val="auto"/>
                              </w:rPr>
                              <m:t>H</m:t>
                            </m:r>
                          </m:e>
                          <m:sub>
                            <m:r>
                              <w:rPr>
                                <w:rFonts w:ascii="Cambria Math" w:hAnsi="Cambria Math"/>
                                <w:color w:val="auto"/>
                              </w:rPr>
                              <m:t>c</m:t>
                            </m:r>
                          </m:sub>
                        </m:sSub>
                        <m:d>
                          <m:dPr>
                            <m:ctrlPr>
                              <w:rPr>
                                <w:rFonts w:ascii="Cambria Math" w:hAnsi="Cambria Math"/>
                                <w:color w:val="auto"/>
                              </w:rPr>
                            </m:ctrlPr>
                          </m:dPr>
                          <m:e>
                            <m:r>
                              <w:rPr>
                                <w:rFonts w:ascii="Cambria Math" w:hAnsi="Cambria Math"/>
                                <w:color w:val="auto"/>
                              </w:rPr>
                              <m:t>T</m:t>
                            </m:r>
                          </m:e>
                        </m:d>
                        <m:r>
                          <w:rPr>
                            <w:rFonts w:ascii="Cambria Math" w:hAnsi="Cambria Math"/>
                            <w:color w:val="auto"/>
                          </w:rPr>
                          <m:t>=</m:t>
                        </m:r>
                        <m:sSub>
                          <m:sSubPr>
                            <m:ctrlPr>
                              <w:rPr>
                                <w:rFonts w:ascii="Cambria Math" w:hAnsi="Cambria Math"/>
                                <w:color w:val="auto"/>
                              </w:rPr>
                            </m:ctrlPr>
                          </m:sSubPr>
                          <m:e>
                            <m:r>
                              <w:rPr>
                                <w:rFonts w:ascii="Cambria Math" w:hAnsi="Cambria Math"/>
                                <w:color w:val="auto"/>
                              </w:rPr>
                              <m:t>H</m:t>
                            </m:r>
                          </m:e>
                          <m:sub>
                            <m:r>
                              <w:rPr>
                                <w:rFonts w:ascii="Cambria Math" w:hAnsi="Cambria Math"/>
                                <w:color w:val="auto"/>
                              </w:rPr>
                              <m:t>c</m:t>
                            </m:r>
                          </m:sub>
                        </m:sSub>
                        <m:d>
                          <m:dPr>
                            <m:ctrlPr>
                              <w:rPr>
                                <w:rFonts w:ascii="Cambria Math" w:hAnsi="Cambria Math"/>
                                <w:color w:val="auto"/>
                              </w:rPr>
                            </m:ctrlPr>
                          </m:dPr>
                          <m:e>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0</m:t>
                                </m:r>
                              </m:sub>
                            </m:sSub>
                          </m:e>
                        </m:d>
                        <m:r>
                          <w:rPr>
                            <w:rFonts w:ascii="Cambria Math" w:hAnsi="Cambria Math"/>
                            <w:color w:val="auto"/>
                          </w:rPr>
                          <m:t xml:space="preserve"> </m:t>
                        </m:r>
                        <m:d>
                          <m:dPr>
                            <m:begChr m:val="["/>
                            <m:endChr m:val="]"/>
                            <m:ctrlPr>
                              <w:rPr>
                                <w:rFonts w:ascii="Cambria Math" w:hAnsi="Cambria Math"/>
                                <w:color w:val="auto"/>
                              </w:rPr>
                            </m:ctrlPr>
                          </m:dPr>
                          <m:e>
                            <m:r>
                              <w:rPr>
                                <w:rFonts w:ascii="Cambria Math" w:hAnsi="Cambria Math"/>
                                <w:color w:val="auto"/>
                              </w:rPr>
                              <m:t>1+</m:t>
                            </m:r>
                            <m:sSub>
                              <m:sSubPr>
                                <m:ctrlPr>
                                  <w:rPr>
                                    <w:rFonts w:ascii="Cambria Math" w:hAnsi="Cambria Math"/>
                                    <w:color w:val="auto"/>
                                  </w:rPr>
                                </m:ctrlPr>
                              </m:sSubPr>
                              <m:e>
                                <m:r>
                                  <w:rPr>
                                    <w:rFonts w:ascii="Cambria Math" w:hAnsi="Cambria Math"/>
                                    <w:color w:val="auto"/>
                                  </w:rPr>
                                  <m:t>β</m:t>
                                </m:r>
                              </m:e>
                              <m:sub>
                                <m:r>
                                  <w:rPr>
                                    <w:rFonts w:ascii="Cambria Math" w:hAnsi="Cambria Math"/>
                                    <w:color w:val="auto"/>
                                  </w:rPr>
                                  <m:t>1</m:t>
                                </m:r>
                              </m:sub>
                            </m:sSub>
                            <m:d>
                              <m:dPr>
                                <m:ctrlPr>
                                  <w:rPr>
                                    <w:rFonts w:ascii="Cambria Math" w:hAnsi="Cambria Math"/>
                                    <w:color w:val="auto"/>
                                  </w:rPr>
                                </m:ctrlPr>
                              </m:dPr>
                              <m:e>
                                <m:r>
                                  <w:rPr>
                                    <w:rFonts w:ascii="Cambria Math" w:hAnsi="Cambria Math"/>
                                    <w:color w:val="auto"/>
                                  </w:rPr>
                                  <m:t>T</m:t>
                                </m:r>
                                <m:r>
                                  <w:rPr>
                                    <w:rFonts w:ascii="Cambria Math" w:hAnsi="Cambria Math"/>
                                    <w:color w:val="auto"/>
                                  </w:rPr>
                                  <m:t>-</m:t>
                                </m:r>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0</m:t>
                                    </m:r>
                                  </m:sub>
                                </m:sSub>
                              </m:e>
                            </m:d>
                            <m:r>
                              <w:rPr>
                                <w:rFonts w:ascii="Cambria Math" w:hAnsi="Cambria Math"/>
                                <w:color w:val="auto"/>
                              </w:rPr>
                              <m:t>+</m:t>
                            </m:r>
                            <m:sSub>
                              <m:sSubPr>
                                <m:ctrlPr>
                                  <w:rPr>
                                    <w:rFonts w:ascii="Cambria Math" w:hAnsi="Cambria Math"/>
                                    <w:color w:val="auto"/>
                                  </w:rPr>
                                </m:ctrlPr>
                              </m:sSubPr>
                              <m:e>
                                <m:r>
                                  <w:rPr>
                                    <w:rFonts w:ascii="Cambria Math" w:hAnsi="Cambria Math"/>
                                    <w:color w:val="auto"/>
                                  </w:rPr>
                                  <m:t>β</m:t>
                                </m:r>
                              </m:e>
                              <m:sub>
                                <m:r>
                                  <w:rPr>
                                    <w:rFonts w:ascii="Cambria Math" w:hAnsi="Cambria Math"/>
                                    <w:color w:val="auto"/>
                                  </w:rPr>
                                  <m:t>2</m:t>
                                </m:r>
                              </m:sub>
                            </m:sSub>
                            <m:sSup>
                              <m:sSupPr>
                                <m:ctrlPr>
                                  <w:rPr>
                                    <w:rFonts w:ascii="Cambria Math" w:hAnsi="Cambria Math"/>
                                    <w:color w:val="auto"/>
                                  </w:rPr>
                                </m:ctrlPr>
                              </m:sSupPr>
                              <m:e>
                                <m:r>
                                  <w:rPr>
                                    <w:rFonts w:ascii="Cambria Math" w:hAnsi="Cambria Math"/>
                                    <w:color w:val="auto"/>
                                  </w:rPr>
                                  <m:t>(</m:t>
                                </m:r>
                                <m:r>
                                  <w:rPr>
                                    <w:rFonts w:ascii="Cambria Math" w:hAnsi="Cambria Math"/>
                                    <w:color w:val="auto"/>
                                  </w:rPr>
                                  <m:t>T</m:t>
                                </m:r>
                                <m:r>
                                  <w:rPr>
                                    <w:rFonts w:ascii="Cambria Math" w:hAnsi="Cambria Math"/>
                                    <w:color w:val="auto"/>
                                  </w:rPr>
                                  <m:t>-</m:t>
                                </m:r>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0</m:t>
                                    </m:r>
                                  </m:sub>
                                </m:sSub>
                                <m:r>
                                  <w:rPr>
                                    <w:rFonts w:ascii="Cambria Math" w:hAnsi="Cambria Math"/>
                                    <w:color w:val="auto"/>
                                  </w:rPr>
                                  <m:t>)</m:t>
                                </m:r>
                              </m:e>
                              <m:sup>
                                <m:r>
                                  <w:rPr>
                                    <w:rFonts w:ascii="Cambria Math" w:hAnsi="Cambria Math"/>
                                    <w:color w:val="auto"/>
                                  </w:rPr>
                                  <m:t>2</m:t>
                                </m:r>
                              </m:sup>
                            </m:sSup>
                          </m:e>
                        </m:d>
                      </m:e>
                    </m:eqArr>
                  </m:e>
                </m:d>
              </m:oMath>
            </m:oMathPara>
          </w:p>
        </w:tc>
        <w:tc>
          <w:tcPr>
            <w:tcW w:w="507" w:type="pct"/>
            <w:vAlign w:val="center"/>
          </w:tcPr>
          <w:p w14:paraId="37D5963D" w14:textId="1A7B2C90" w:rsidR="003F1EA9" w:rsidRPr="00FC71BE" w:rsidRDefault="003F1EA9">
            <w:pPr>
              <w:pStyle w:val="equation"/>
              <w:rPr>
                <w:color w:val="auto"/>
              </w:rPr>
            </w:pPr>
            <w:bookmarkStart w:id="151" w:name="_Ref139994714"/>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bookmarkEnd w:id="151"/>
          </w:p>
        </w:tc>
      </w:tr>
    </w:tbl>
    <w:p w14:paraId="261ACA0B" w14:textId="77777777" w:rsidR="003F1EA9" w:rsidRPr="00FC71BE" w:rsidRDefault="003F1EA9" w:rsidP="003F1EA9">
      <w:pPr>
        <w:ind w:firstLine="0"/>
      </w:pPr>
      <w:r w:rsidRPr="00FC71BE">
        <w:t xml:space="preserve">where </w:t>
      </w:r>
      <m:oMath>
        <m:sSub>
          <m:sSubPr>
            <m:ctrlPr>
              <w:rPr>
                <w:rFonts w:ascii="Cambria Math" w:hAnsi="Cambria Math"/>
              </w:rPr>
            </m:ctrlPr>
          </m:sSubPr>
          <m:e>
            <m:r>
              <w:rPr>
                <w:rFonts w:ascii="Cambria Math" w:hAnsi="Cambria Math"/>
              </w:rPr>
              <m:t>T</m:t>
            </m:r>
          </m:e>
          <m:sub>
            <m:r>
              <w:rPr>
                <w:rFonts w:ascii="Cambria Math" w:hAnsi="Cambria Math"/>
              </w:rPr>
              <m:t>0</m:t>
            </m:r>
          </m:sub>
        </m:sSub>
      </m:oMath>
      <w:r w:rsidRPr="00FC71BE">
        <w:t xml:space="preserve"> is the reference temperature and </w:t>
      </w:r>
      <m:oMath>
        <m:sSub>
          <m:sSubPr>
            <m:ctrlPr>
              <w:rPr>
                <w:rFonts w:ascii="Cambria Math" w:hAnsi="Cambria Math"/>
              </w:rPr>
            </m:ctrlPr>
          </m:sSubPr>
          <m:e>
            <m:r>
              <w:rPr>
                <w:rFonts w:ascii="Cambria Math" w:hAnsi="Cambria Math"/>
              </w:rPr>
              <m:t>α</m:t>
            </m:r>
          </m:e>
          <m:sub>
            <m:r>
              <w:rPr>
                <w:rFonts w:ascii="Cambria Math" w:hAnsi="Cambria Math"/>
              </w:rPr>
              <m:t>1</m:t>
            </m:r>
          </m:sub>
        </m:sSub>
      </m:oMath>
      <w:r w:rsidRPr="00FC71BE">
        <w:t xml:space="preserve">, </w:t>
      </w:r>
      <m:oMath>
        <m:sSub>
          <m:sSubPr>
            <m:ctrlPr>
              <w:rPr>
                <w:rFonts w:ascii="Cambria Math" w:hAnsi="Cambria Math"/>
              </w:rPr>
            </m:ctrlPr>
          </m:sSubPr>
          <m:e>
            <m:r>
              <w:rPr>
                <w:rFonts w:ascii="Cambria Math" w:hAnsi="Cambria Math"/>
              </w:rPr>
              <m:t>α</m:t>
            </m:r>
          </m:e>
          <m:sub>
            <m:r>
              <w:rPr>
                <w:rFonts w:ascii="Cambria Math" w:hAnsi="Cambria Math"/>
              </w:rPr>
              <m:t>2</m:t>
            </m:r>
          </m:sub>
        </m:sSub>
      </m:oMath>
      <w:r w:rsidRPr="00FC71BE">
        <w:t xml:space="preserve">, </w:t>
      </w:r>
      <m:oMath>
        <m:sSub>
          <m:sSubPr>
            <m:ctrlPr>
              <w:rPr>
                <w:rFonts w:ascii="Cambria Math" w:hAnsi="Cambria Math"/>
              </w:rPr>
            </m:ctrlPr>
          </m:sSubPr>
          <m:e>
            <m:r>
              <w:rPr>
                <w:rFonts w:ascii="Cambria Math" w:hAnsi="Cambria Math"/>
              </w:rPr>
              <m:t>β</m:t>
            </m:r>
          </m:e>
          <m:sub>
            <m:r>
              <w:rPr>
                <w:rFonts w:ascii="Cambria Math" w:hAnsi="Cambria Math"/>
              </w:rPr>
              <m:t>1</m:t>
            </m:r>
          </m:sub>
        </m:sSub>
      </m:oMath>
      <w:r w:rsidRPr="00FC71BE">
        <w:t xml:space="preserve"> and </w:t>
      </w:r>
      <m:oMath>
        <m:sSub>
          <m:sSubPr>
            <m:ctrlPr>
              <w:rPr>
                <w:rFonts w:ascii="Cambria Math" w:hAnsi="Cambria Math"/>
              </w:rPr>
            </m:ctrlPr>
          </m:sSubPr>
          <m:e>
            <m:r>
              <w:rPr>
                <w:rFonts w:ascii="Cambria Math" w:hAnsi="Cambria Math"/>
              </w:rPr>
              <m:t>β</m:t>
            </m:r>
          </m:e>
          <m:sub>
            <m:r>
              <w:rPr>
                <w:rFonts w:ascii="Cambria Math" w:hAnsi="Cambria Math"/>
              </w:rPr>
              <m:t>2</m:t>
            </m:r>
          </m:sub>
        </m:sSub>
      </m:oMath>
      <w:r w:rsidRPr="00FC71BE">
        <w:t xml:space="preserve"> are temperature dependent coefficients. In practice, it is often found that </w:t>
      </w:r>
      <m:oMath>
        <m:sSub>
          <m:sSubPr>
            <m:ctrlPr>
              <w:rPr>
                <w:rFonts w:ascii="Cambria Math" w:hAnsi="Cambria Math"/>
              </w:rPr>
            </m:ctrlPr>
          </m:sSubPr>
          <m:e>
            <m:r>
              <w:rPr>
                <w:rFonts w:ascii="Cambria Math" w:hAnsi="Cambria Math"/>
              </w:rPr>
              <m:t>α</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2</m:t>
            </m:r>
          </m:sub>
        </m:sSub>
      </m:oMath>
      <w:r w:rsidRPr="00FC71BE">
        <w:t xml:space="preserve"> and </w:t>
      </w:r>
      <m:oMath>
        <m:sSub>
          <m:sSubPr>
            <m:ctrlPr>
              <w:rPr>
                <w:rFonts w:ascii="Cambria Math" w:hAnsi="Cambria Math"/>
              </w:rPr>
            </m:ctrlPr>
          </m:sSubPr>
          <m:e>
            <m: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2</m:t>
            </m:r>
          </m:sub>
        </m:sSub>
      </m:oMath>
      <w:r w:rsidRPr="00FC71BE">
        <w:t xml:space="preserve">. For example, for the magnet used in this paper, </w:t>
      </w:r>
      <m:oMath>
        <m:sSub>
          <m:sSubPr>
            <m:ctrlPr>
              <w:rPr>
                <w:rFonts w:ascii="Cambria Math" w:hAnsi="Cambria Math"/>
              </w:rPr>
            </m:ctrlPr>
          </m:sSubPr>
          <m:e>
            <m:r>
              <w:rPr>
                <w:rFonts w:ascii="Cambria Math" w:hAnsi="Cambria Math"/>
              </w:rPr>
              <m:t>α</m:t>
            </m:r>
          </m:e>
          <m:sub>
            <m:r>
              <w:rPr>
                <w:rFonts w:ascii="Cambria Math" w:hAnsi="Cambria Math"/>
              </w:rPr>
              <m:t>1</m:t>
            </m:r>
          </m:sub>
        </m:sSub>
        <m:r>
          <w:rPr>
            <w:rFonts w:ascii="Cambria Math" w:hAnsi="Cambria Math"/>
          </w:rPr>
          <m:t>=</m:t>
        </m:r>
        <m:r>
          <m:rPr>
            <m:sty m:val="p"/>
          </m:rPr>
          <w:rPr>
            <w:rFonts w:ascii="Cambria Math" w:hAnsi="Cambria Math"/>
          </w:rPr>
          <m:t>-1.2×</m:t>
        </m:r>
        <m:sSup>
          <m:sSupPr>
            <m:ctrlPr>
              <w:rPr>
                <w:rFonts w:ascii="Cambria Math" w:hAnsi="Cambria Math"/>
              </w:rPr>
            </m:ctrlPr>
          </m:sSupPr>
          <m:e>
            <m:r>
              <w:rPr>
                <w:rFonts w:ascii="Cambria Math" w:hAnsi="Cambria Math"/>
              </w:rPr>
              <m:t>10</m:t>
            </m:r>
          </m:e>
          <m:sup>
            <m:r>
              <w:rPr>
                <w:rFonts w:ascii="Cambria Math" w:hAnsi="Cambria Math"/>
              </w:rPr>
              <m:t>-3</m:t>
            </m:r>
          </m:sup>
        </m:sSup>
      </m:oMath>
      <w:r w:rsidRPr="00FC71BE">
        <w:t xml:space="preserve">, </w:t>
      </w:r>
      <m:oMath>
        <m:sSub>
          <m:sSubPr>
            <m:ctrlPr>
              <w:rPr>
                <w:rFonts w:ascii="Cambria Math" w:hAnsi="Cambria Math"/>
              </w:rPr>
            </m:ctrlPr>
          </m:sSubPr>
          <m:e>
            <m:r>
              <w:rPr>
                <w:rFonts w:ascii="Cambria Math" w:hAnsi="Cambria Math"/>
              </w:rPr>
              <m:t>α</m:t>
            </m:r>
          </m:e>
          <m:sub>
            <m:r>
              <w:rPr>
                <w:rFonts w:ascii="Cambria Math" w:hAnsi="Cambria Math"/>
              </w:rPr>
              <m:t>2</m:t>
            </m:r>
          </m:sub>
        </m:sSub>
        <m:r>
          <w:rPr>
            <w:rFonts w:ascii="Cambria Math" w:hAnsi="Cambria Math"/>
          </w:rPr>
          <m:t>=</m:t>
        </m:r>
        <m:r>
          <m:rPr>
            <m:sty m:val="p"/>
          </m:rPr>
          <w:rPr>
            <w:rFonts w:ascii="Cambria Math" w:hAnsi="Cambria Math"/>
          </w:rPr>
          <m:t>-1.5×</m:t>
        </m:r>
        <m:sSup>
          <m:sSupPr>
            <m:ctrlPr>
              <w:rPr>
                <w:rFonts w:ascii="Cambria Math" w:hAnsi="Cambria Math"/>
              </w:rPr>
            </m:ctrlPr>
          </m:sSupPr>
          <m:e>
            <m:r>
              <w:rPr>
                <w:rFonts w:ascii="Cambria Math" w:hAnsi="Cambria Math"/>
              </w:rPr>
              <m:t>10</m:t>
            </m:r>
          </m:e>
          <m:sup>
            <m:r>
              <w:rPr>
                <w:rFonts w:ascii="Cambria Math" w:hAnsi="Cambria Math"/>
              </w:rPr>
              <m:t>-9</m:t>
            </m:r>
          </m:sup>
        </m:sSup>
      </m:oMath>
      <w:r w:rsidRPr="00FC71BE">
        <w:t xml:space="preserve">, </w:t>
      </w:r>
      <m:oMath>
        <m:sSub>
          <m:sSubPr>
            <m:ctrlPr>
              <w:rPr>
                <w:rFonts w:ascii="Cambria Math" w:hAnsi="Cambria Math"/>
              </w:rPr>
            </m:ctrlPr>
          </m:sSubPr>
          <m:e>
            <m:r>
              <w:rPr>
                <w:rFonts w:ascii="Cambria Math" w:hAnsi="Cambria Math"/>
              </w:rPr>
              <m:t>β</m:t>
            </m:r>
          </m:e>
          <m:sub>
            <m:r>
              <w:rPr>
                <w:rFonts w:ascii="Cambria Math" w:hAnsi="Cambria Math"/>
              </w:rPr>
              <m:t>1</m:t>
            </m:r>
          </m:sub>
        </m:sSub>
        <m:r>
          <w:rPr>
            <w:rFonts w:ascii="Cambria Math" w:hAnsi="Cambria Math"/>
          </w:rPr>
          <m:t>=</m:t>
        </m:r>
        <m:r>
          <m:rPr>
            <m:sty m:val="p"/>
          </m:rPr>
          <w:rPr>
            <w:rFonts w:ascii="Cambria Math" w:hAnsi="Cambria Math"/>
          </w:rPr>
          <m:t>-6.9×</m:t>
        </m:r>
        <m:sSup>
          <m:sSupPr>
            <m:ctrlPr>
              <w:rPr>
                <w:rFonts w:ascii="Cambria Math" w:hAnsi="Cambria Math"/>
              </w:rPr>
            </m:ctrlPr>
          </m:sSupPr>
          <m:e>
            <m:r>
              <w:rPr>
                <w:rFonts w:ascii="Cambria Math" w:hAnsi="Cambria Math"/>
              </w:rPr>
              <m:t>10</m:t>
            </m:r>
          </m:e>
          <m:sup>
            <m:r>
              <w:rPr>
                <w:rFonts w:ascii="Cambria Math" w:hAnsi="Cambria Math"/>
              </w:rPr>
              <m:t>-3</m:t>
            </m:r>
          </m:sup>
        </m:sSup>
      </m:oMath>
      <w:r w:rsidRPr="00FC71BE">
        <w:t xml:space="preserve"> and </w:t>
      </w:r>
      <m:oMath>
        <m:sSub>
          <m:sSubPr>
            <m:ctrlPr>
              <w:rPr>
                <w:rFonts w:ascii="Cambria Math" w:hAnsi="Cambria Math"/>
              </w:rPr>
            </m:ctrlPr>
          </m:sSubPr>
          <m:e>
            <m:r>
              <w:rPr>
                <w:rFonts w:ascii="Cambria Math" w:hAnsi="Cambria Math"/>
              </w:rPr>
              <m:t>β</m:t>
            </m:r>
          </m:e>
          <m:sub>
            <m:r>
              <w:rPr>
                <w:rFonts w:ascii="Cambria Math" w:hAnsi="Cambria Math"/>
              </w:rPr>
              <m:t>2</m:t>
            </m:r>
          </m:sub>
        </m:sSub>
        <m:r>
          <w:rPr>
            <w:rFonts w:ascii="Cambria Math" w:hAnsi="Cambria Math"/>
          </w:rPr>
          <m:t>=</m:t>
        </m:r>
        <m:r>
          <m:rPr>
            <m:sty m:val="p"/>
          </m:rPr>
          <w:rPr>
            <w:rFonts w:ascii="Cambria Math" w:hAnsi="Cambria Math"/>
          </w:rPr>
          <m:t>1.17×</m:t>
        </m:r>
        <m:sSup>
          <m:sSupPr>
            <m:ctrlPr>
              <w:rPr>
                <w:rFonts w:ascii="Cambria Math" w:hAnsi="Cambria Math"/>
              </w:rPr>
            </m:ctrlPr>
          </m:sSupPr>
          <m:e>
            <m:r>
              <w:rPr>
                <w:rFonts w:ascii="Cambria Math" w:hAnsi="Cambria Math"/>
              </w:rPr>
              <m:t>10</m:t>
            </m:r>
          </m:e>
          <m:sup>
            <m:r>
              <w:rPr>
                <w:rFonts w:ascii="Cambria Math" w:hAnsi="Cambria Math"/>
              </w:rPr>
              <m:t>-5</m:t>
            </m:r>
          </m:sup>
        </m:sSup>
      </m:oMath>
      <w:r w:rsidRPr="00FC71BE">
        <w:t>.</w:t>
      </w:r>
    </w:p>
    <w:p w14:paraId="6CC5CFDA" w14:textId="77777777" w:rsidR="003F1EA9" w:rsidRPr="00FC71BE" w:rsidRDefault="003F1EA9" w:rsidP="003F1EA9">
      <w:pPr>
        <w:pStyle w:val="Figure"/>
        <w:rPr>
          <w:noProof w:val="0"/>
        </w:rPr>
      </w:pPr>
      <w:r w:rsidRPr="00FC71BE">
        <w:lastRenderedPageBreak/>
        <w:drawing>
          <wp:inline distT="0" distB="0" distL="0" distR="0" wp14:anchorId="54D8145F" wp14:editId="009273AE">
            <wp:extent cx="4363200" cy="2617920"/>
            <wp:effectExtent l="0" t="0" r="0" b="0"/>
            <wp:docPr id="433721765" name="Picture 4337217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63200" cy="2617920"/>
                    </a:xfrm>
                    <a:prstGeom prst="rect">
                      <a:avLst/>
                    </a:prstGeom>
                    <a:noFill/>
                    <a:ln>
                      <a:noFill/>
                    </a:ln>
                  </pic:spPr>
                </pic:pic>
              </a:graphicData>
            </a:graphic>
          </wp:inline>
        </w:drawing>
      </w:r>
    </w:p>
    <w:p w14:paraId="7BC3BF73" w14:textId="0192C318" w:rsidR="003F1EA9" w:rsidRPr="00FC71BE" w:rsidRDefault="003F1EA9" w:rsidP="003F1EA9">
      <w:pPr>
        <w:pStyle w:val="FigureTitle"/>
      </w:pPr>
      <w:bookmarkStart w:id="152" w:name="_Ref139994554"/>
      <w:r w:rsidRPr="00FC71BE">
        <w:t xml:space="preserve">Fig. </w:t>
      </w:r>
      <w:fldSimple w:instr=" STYLEREF 1 \s ">
        <w:r w:rsidR="007E62C1" w:rsidRPr="00FC71BE">
          <w:rPr>
            <w:noProof/>
          </w:rPr>
          <w:t>3</w:t>
        </w:r>
      </w:fldSimple>
      <w:r w:rsidRPr="00FC71BE">
        <w:t>.</w:t>
      </w:r>
      <w:fldSimple w:instr=" SEQ Fig. \* ARABIC \s 1 ">
        <w:r w:rsidR="007E62C1" w:rsidRPr="00FC71BE">
          <w:rPr>
            <w:noProof/>
          </w:rPr>
          <w:t>5</w:t>
        </w:r>
      </w:fldSimple>
      <w:bookmarkEnd w:id="152"/>
      <w:r w:rsidRPr="00FC71BE">
        <w:t>. Temperature dependent B(H) curves for PM material used in this paper.</w:t>
      </w:r>
    </w:p>
    <w:p w14:paraId="1F94964A" w14:textId="77777777" w:rsidR="003F1EA9" w:rsidRPr="00FC71BE" w:rsidRDefault="003F1EA9" w:rsidP="006E6817">
      <w:pPr>
        <w:pStyle w:val="Heading4"/>
        <w:numPr>
          <w:ilvl w:val="0"/>
          <w:numId w:val="40"/>
        </w:numPr>
      </w:pPr>
      <w:r w:rsidRPr="00FC71BE">
        <w:t>Temperature Dependent PM Flux linkage and Inductance</w:t>
      </w:r>
    </w:p>
    <w:p w14:paraId="225663EF" w14:textId="52392ECA" w:rsidR="003F1EA9" w:rsidRPr="00FC71BE" w:rsidRDefault="003F1EA9" w:rsidP="003F1EA9">
      <w:r w:rsidRPr="00FC71BE">
        <w:t xml:space="preserve">Considering the temperature dependent properties of the magnets shown in </w:t>
      </w:r>
      <w:r w:rsidRPr="00FC71BE">
        <w:fldChar w:fldCharType="begin"/>
      </w:r>
      <w:r w:rsidRPr="00FC71BE">
        <w:instrText xml:space="preserve"> REF _Ref139994554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5</w:t>
      </w:r>
      <w:r w:rsidRPr="00FC71BE">
        <w:fldChar w:fldCharType="end"/>
      </w:r>
      <w:r w:rsidRPr="00FC71BE">
        <w:t xml:space="preserve">, the flux linkage, </w:t>
      </w:r>
      <w:r w:rsidRPr="00FC71BE">
        <w:rPr>
          <w:i/>
        </w:rPr>
        <w:t>d</w:t>
      </w:r>
      <w:r w:rsidRPr="00FC71BE">
        <w:t xml:space="preserve">- and </w:t>
      </w:r>
      <w:r w:rsidRPr="00FC71BE">
        <w:rPr>
          <w:i/>
        </w:rPr>
        <w:t>q</w:t>
      </w:r>
      <w:r w:rsidRPr="00FC71BE">
        <w:t xml:space="preserve">-axis inductances have been calculated by 2D FEM, as shown in </w:t>
      </w:r>
      <w:r w:rsidRPr="00FC71BE">
        <w:fldChar w:fldCharType="begin"/>
      </w:r>
      <w:r w:rsidRPr="00FC71BE">
        <w:instrText xml:space="preserve"> REF _Ref140241538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6</w:t>
      </w:r>
      <w:r w:rsidRPr="00FC71BE">
        <w:fldChar w:fldCharType="end"/>
      </w:r>
      <w:r w:rsidRPr="00FC71BE">
        <w:t xml:space="preserve">. These parameters will be used for calculating the temperature dependent dynamic performance of the modular and non-modular machines. It has been found in </w:t>
      </w:r>
      <w:r w:rsidRPr="00FC71BE">
        <w:fldChar w:fldCharType="begin"/>
      </w:r>
      <w:r w:rsidRPr="00FC71BE">
        <w:instrText xml:space="preserve"> REF _Ref140241538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6</w:t>
      </w:r>
      <w:r w:rsidRPr="00FC71BE">
        <w:fldChar w:fldCharType="end"/>
      </w:r>
      <w:r w:rsidRPr="00FC71BE">
        <w:t xml:space="preserve"> (a) that the </w:t>
      </w:r>
      <w:r w:rsidRPr="00FC71BE">
        <w:rPr>
          <w:i/>
        </w:rPr>
        <w:t>d</w:t>
      </w:r>
      <w:r w:rsidRPr="00FC71BE">
        <w:t xml:space="preserve">-axis flux linkage of the modular machine is always higher than that of the non-modular machine regardless of the operating conditions. This means that, for a constant </w:t>
      </w:r>
      <w:r w:rsidRPr="00FC71BE">
        <w:rPr>
          <w:i/>
        </w:rPr>
        <w:t>q</w:t>
      </w:r>
      <w:r w:rsidRPr="00FC71BE">
        <w:t xml:space="preserve">-axis current, the torque of the modular machine will always be higher than that of the non-modular machine as described by (2.5). In addition, when the magnet temperature is &gt; </w:t>
      </w:r>
      <m:oMath>
        <m:r>
          <m:rPr>
            <m:sty m:val="p"/>
          </m:rPr>
          <w:rPr>
            <w:rFonts w:ascii="Cambria Math" w:hAnsi="Cambria Math"/>
          </w:rPr>
          <m:t>150℃</m:t>
        </m:r>
      </m:oMath>
      <w:r w:rsidRPr="00FC71BE">
        <w:t>, there is a significant reduction in the PM flux linkage for both the investigated machines due to magnet irreversible demagnetization.</w:t>
      </w:r>
    </w:p>
    <w:p w14:paraId="67449380" w14:textId="58B012F4" w:rsidR="003F1EA9" w:rsidRPr="00FC71BE" w:rsidRDefault="003F1EA9" w:rsidP="003F1EA9">
      <w:r w:rsidRPr="00FC71BE">
        <w:t xml:space="preserve">Apart from the PM flux linkage, the </w:t>
      </w:r>
      <w:r w:rsidRPr="00FC71BE">
        <w:rPr>
          <w:i/>
          <w:iCs/>
        </w:rPr>
        <w:t>d</w:t>
      </w:r>
      <w:r w:rsidRPr="00FC71BE">
        <w:t xml:space="preserve">- and </w:t>
      </w:r>
      <w:r w:rsidRPr="00FC71BE">
        <w:rPr>
          <w:i/>
          <w:iCs/>
        </w:rPr>
        <w:t>q</w:t>
      </w:r>
      <w:r w:rsidRPr="00FC71BE">
        <w:t xml:space="preserve">-axis inductances vary with magnet temperature and current as well, which can also affect the dynamic performances as descried by the equations from (2.3) to (2.14). As shown in </w:t>
      </w:r>
      <w:r w:rsidRPr="00FC71BE">
        <w:fldChar w:fldCharType="begin"/>
      </w:r>
      <w:r w:rsidRPr="00FC71BE">
        <w:instrText xml:space="preserve"> REF _Ref140241538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6</w:t>
      </w:r>
      <w:r w:rsidRPr="00FC71BE">
        <w:fldChar w:fldCharType="end"/>
      </w:r>
      <w:r w:rsidRPr="00FC71BE">
        <w:t xml:space="preserve"> (b) to (c), due to the existence of flux gaps, the </w:t>
      </w:r>
      <w:r w:rsidRPr="00FC71BE">
        <w:rPr>
          <w:i/>
        </w:rPr>
        <w:t>d</w:t>
      </w:r>
      <w:r w:rsidRPr="00FC71BE">
        <w:t xml:space="preserve">- and </w:t>
      </w:r>
      <w:r w:rsidRPr="00FC71BE">
        <w:rPr>
          <w:i/>
        </w:rPr>
        <w:t>q</w:t>
      </w:r>
      <w:r w:rsidRPr="00FC71BE">
        <w:t xml:space="preserve">-axis inductances of the modular machine are generally smaller than those of the non-modular machine for different currents and operating temperatures. In addition, the inductances for both the investigated machines increase with temperature rise. This is due to the fact that at higher temperature, the magnet </w:t>
      </w:r>
      <w:r w:rsidRPr="00FC71BE">
        <w:rPr>
          <w:i/>
        </w:rPr>
        <w:t>Br</w:t>
      </w:r>
      <w:r w:rsidRPr="00FC71BE">
        <w:t xml:space="preserve"> reduces, so does the saturation level. This leads to reduced effective airgap length, and hence increased </w:t>
      </w:r>
      <w:r w:rsidRPr="00FC71BE">
        <w:rPr>
          <w:i/>
        </w:rPr>
        <w:t>d</w:t>
      </w:r>
      <w:r w:rsidRPr="00FC71BE">
        <w:t xml:space="preserve">- and </w:t>
      </w:r>
      <w:r w:rsidRPr="00FC71BE">
        <w:rPr>
          <w:i/>
        </w:rPr>
        <w:t>q</w:t>
      </w:r>
      <w:r w:rsidRPr="00FC71BE">
        <w:t>-axis inductances.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1BEBD005" w14:textId="77777777">
        <w:tc>
          <w:tcPr>
            <w:tcW w:w="9016" w:type="dxa"/>
          </w:tcPr>
          <w:p w14:paraId="4CDB80DF" w14:textId="77777777" w:rsidR="003F1EA9" w:rsidRPr="00FC71BE" w:rsidRDefault="003F1EA9">
            <w:pPr>
              <w:pStyle w:val="Figure"/>
              <w:rPr>
                <w:noProof w:val="0"/>
              </w:rPr>
            </w:pPr>
            <w:r w:rsidRPr="00FC71BE">
              <w:lastRenderedPageBreak/>
              <w:drawing>
                <wp:inline distT="0" distB="0" distL="0" distR="0" wp14:anchorId="0D6C94A9" wp14:editId="1BB8AEF8">
                  <wp:extent cx="3445684" cy="2520000"/>
                  <wp:effectExtent l="0" t="0" r="0" b="0"/>
                  <wp:docPr id="2138413862" name="Picture 2138413862" descr="A diagram of a graph&#10;&#10;Description automatically generated">
                    <a:extLst xmlns:a="http://schemas.openxmlformats.org/drawingml/2006/main">
                      <a:ext uri="{FF2B5EF4-FFF2-40B4-BE49-F238E27FC236}">
                        <a16:creationId xmlns:a16="http://schemas.microsoft.com/office/drawing/2014/main" id="{2B08FB50-65CD-4DFD-B220-6EC64C39F7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413862" name="Picture 2138413862" descr="A diagram of a graph&#10;&#10;Description automatically generated">
                            <a:extLst>
                              <a:ext uri="{FF2B5EF4-FFF2-40B4-BE49-F238E27FC236}">
                                <a16:creationId xmlns:a16="http://schemas.microsoft.com/office/drawing/2014/main" id="{2B08FB50-65CD-4DFD-B220-6EC64C39F795}"/>
                              </a:ext>
                            </a:extLst>
                          </pic:cNvPr>
                          <pic:cNvPicPr>
                            <a:picLocks noChangeAspect="1"/>
                          </pic:cNvPicPr>
                        </pic:nvPicPr>
                        <pic:blipFill>
                          <a:blip r:embed="rId95"/>
                          <a:stretch>
                            <a:fillRect/>
                          </a:stretch>
                        </pic:blipFill>
                        <pic:spPr>
                          <a:xfrm>
                            <a:off x="0" y="0"/>
                            <a:ext cx="3445684" cy="2520000"/>
                          </a:xfrm>
                          <a:prstGeom prst="rect">
                            <a:avLst/>
                          </a:prstGeom>
                        </pic:spPr>
                      </pic:pic>
                    </a:graphicData>
                  </a:graphic>
                </wp:inline>
              </w:drawing>
            </w:r>
          </w:p>
        </w:tc>
      </w:tr>
      <w:tr w:rsidR="00FC71BE" w:rsidRPr="00FC71BE" w14:paraId="21E8AFC0" w14:textId="77777777">
        <w:tc>
          <w:tcPr>
            <w:tcW w:w="9016" w:type="dxa"/>
          </w:tcPr>
          <w:p w14:paraId="4097FD99" w14:textId="77777777" w:rsidR="003F1EA9" w:rsidRPr="00FC71BE" w:rsidRDefault="003F1EA9">
            <w:pPr>
              <w:pStyle w:val="Figure"/>
              <w:rPr>
                <w:noProof w:val="0"/>
                <w:lang w:val="pt-PT"/>
              </w:rPr>
            </w:pPr>
            <w:r w:rsidRPr="00FC71BE">
              <w:rPr>
                <w:iCs/>
                <w:noProof w:val="0"/>
                <w:szCs w:val="18"/>
                <w:lang w:val="pt-PT"/>
              </w:rPr>
              <w:t>(a</w:t>
            </w:r>
            <w:r w:rsidRPr="00FC71BE">
              <w:rPr>
                <w:noProof w:val="0"/>
                <w:lang w:val="pt-PT"/>
              </w:rPr>
              <w:t xml:space="preserve">) </w:t>
            </w:r>
            <w:r w:rsidRPr="00FC71BE">
              <w:rPr>
                <w:i/>
                <w:iCs/>
                <w:noProof w:val="0"/>
                <w:lang w:val="pt-PT"/>
              </w:rPr>
              <w:t>d-</w:t>
            </w:r>
            <w:r w:rsidRPr="00FC71BE">
              <w:rPr>
                <w:noProof w:val="0"/>
                <w:lang w:val="pt-PT"/>
              </w:rPr>
              <w:t>axis flux linkage</w:t>
            </w:r>
          </w:p>
        </w:tc>
      </w:tr>
      <w:tr w:rsidR="00FC71BE" w:rsidRPr="00FC71BE" w14:paraId="1BE114A8" w14:textId="77777777">
        <w:tc>
          <w:tcPr>
            <w:tcW w:w="9016" w:type="dxa"/>
          </w:tcPr>
          <w:p w14:paraId="76AB1211" w14:textId="77777777" w:rsidR="003F1EA9" w:rsidRPr="00FC71BE" w:rsidRDefault="003F1EA9">
            <w:pPr>
              <w:pStyle w:val="Figure"/>
              <w:rPr>
                <w:noProof w:val="0"/>
              </w:rPr>
            </w:pPr>
            <w:r w:rsidRPr="00FC71BE">
              <w:drawing>
                <wp:inline distT="0" distB="0" distL="0" distR="0" wp14:anchorId="3A8F3F65" wp14:editId="4424F01B">
                  <wp:extent cx="3360891" cy="2520000"/>
                  <wp:effectExtent l="0" t="0" r="0" b="0"/>
                  <wp:docPr id="555361751" name="Picture 555361751" descr="A diagram of a machine&#10;&#10;Description automatically generated">
                    <a:extLst xmlns:a="http://schemas.openxmlformats.org/drawingml/2006/main">
                      <a:ext uri="{FF2B5EF4-FFF2-40B4-BE49-F238E27FC236}">
                        <a16:creationId xmlns:a16="http://schemas.microsoft.com/office/drawing/2014/main" id="{C254565B-D047-48EF-84C4-5D46F7B6E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61751" name="Picture 555361751" descr="A diagram of a machine&#10;&#10;Description automatically generated">
                            <a:extLst>
                              <a:ext uri="{FF2B5EF4-FFF2-40B4-BE49-F238E27FC236}">
                                <a16:creationId xmlns:a16="http://schemas.microsoft.com/office/drawing/2014/main" id="{C254565B-D047-48EF-84C4-5D46F7B6E960}"/>
                              </a:ext>
                            </a:extLst>
                          </pic:cNvPr>
                          <pic:cNvPicPr>
                            <a:picLocks noChangeAspect="1"/>
                          </pic:cNvPicPr>
                        </pic:nvPicPr>
                        <pic:blipFill>
                          <a:blip r:embed="rId96"/>
                          <a:stretch>
                            <a:fillRect/>
                          </a:stretch>
                        </pic:blipFill>
                        <pic:spPr>
                          <a:xfrm>
                            <a:off x="0" y="0"/>
                            <a:ext cx="3360891" cy="2520000"/>
                          </a:xfrm>
                          <a:prstGeom prst="rect">
                            <a:avLst/>
                          </a:prstGeom>
                        </pic:spPr>
                      </pic:pic>
                    </a:graphicData>
                  </a:graphic>
                </wp:inline>
              </w:drawing>
            </w:r>
          </w:p>
        </w:tc>
      </w:tr>
      <w:tr w:rsidR="00FC71BE" w:rsidRPr="00FC71BE" w14:paraId="1620388D" w14:textId="77777777">
        <w:tc>
          <w:tcPr>
            <w:tcW w:w="9016" w:type="dxa"/>
          </w:tcPr>
          <w:p w14:paraId="24E23BE3" w14:textId="77777777" w:rsidR="003F1EA9" w:rsidRPr="00FC71BE" w:rsidRDefault="003F1EA9">
            <w:pPr>
              <w:pStyle w:val="Figure"/>
              <w:rPr>
                <w:noProof w:val="0"/>
              </w:rPr>
            </w:pPr>
            <w:r w:rsidRPr="00FC71BE">
              <w:rPr>
                <w:iCs/>
                <w:noProof w:val="0"/>
              </w:rPr>
              <w:t>(b)</w:t>
            </w:r>
            <w:r w:rsidRPr="00FC71BE">
              <w:rPr>
                <w:i/>
                <w:noProof w:val="0"/>
              </w:rPr>
              <w:t xml:space="preserve"> </w:t>
            </w:r>
            <w:r w:rsidRPr="00FC71BE">
              <w:rPr>
                <w:i/>
                <w:iCs/>
                <w:noProof w:val="0"/>
              </w:rPr>
              <w:t>d-</w:t>
            </w:r>
            <w:r w:rsidRPr="00FC71BE">
              <w:rPr>
                <w:noProof w:val="0"/>
              </w:rPr>
              <w:t>axis inductance</w:t>
            </w:r>
          </w:p>
        </w:tc>
      </w:tr>
      <w:tr w:rsidR="00FC71BE" w:rsidRPr="00FC71BE" w14:paraId="6F454166" w14:textId="77777777">
        <w:tc>
          <w:tcPr>
            <w:tcW w:w="9016" w:type="dxa"/>
          </w:tcPr>
          <w:p w14:paraId="6D263ED4" w14:textId="77777777" w:rsidR="003F1EA9" w:rsidRPr="00FC71BE" w:rsidRDefault="003F1EA9">
            <w:pPr>
              <w:pStyle w:val="Figure"/>
              <w:rPr>
                <w:noProof w:val="0"/>
              </w:rPr>
            </w:pPr>
            <w:r w:rsidRPr="00FC71BE">
              <w:drawing>
                <wp:inline distT="0" distB="0" distL="0" distR="0" wp14:anchorId="589C86F4" wp14:editId="47A3A9AF">
                  <wp:extent cx="3360891" cy="2520000"/>
                  <wp:effectExtent l="0" t="0" r="0" b="0"/>
                  <wp:docPr id="511037104" name="Picture 511037104" descr="A diagram of a machine&#10;&#10;Description automatically generated">
                    <a:extLst xmlns:a="http://schemas.openxmlformats.org/drawingml/2006/main">
                      <a:ext uri="{FF2B5EF4-FFF2-40B4-BE49-F238E27FC236}">
                        <a16:creationId xmlns:a16="http://schemas.microsoft.com/office/drawing/2014/main" id="{6890F185-599E-4608-871B-C4D6B34823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37104" name="Picture 511037104" descr="A diagram of a machine&#10;&#10;Description automatically generated">
                            <a:extLst>
                              <a:ext uri="{FF2B5EF4-FFF2-40B4-BE49-F238E27FC236}">
                                <a16:creationId xmlns:a16="http://schemas.microsoft.com/office/drawing/2014/main" id="{6890F185-599E-4608-871B-C4D6B3482301}"/>
                              </a:ext>
                            </a:extLst>
                          </pic:cNvPr>
                          <pic:cNvPicPr>
                            <a:picLocks noChangeAspect="1"/>
                          </pic:cNvPicPr>
                        </pic:nvPicPr>
                        <pic:blipFill>
                          <a:blip r:embed="rId97"/>
                          <a:stretch>
                            <a:fillRect/>
                          </a:stretch>
                        </pic:blipFill>
                        <pic:spPr>
                          <a:xfrm>
                            <a:off x="0" y="0"/>
                            <a:ext cx="3360891" cy="2520000"/>
                          </a:xfrm>
                          <a:prstGeom prst="rect">
                            <a:avLst/>
                          </a:prstGeom>
                        </pic:spPr>
                      </pic:pic>
                    </a:graphicData>
                  </a:graphic>
                </wp:inline>
              </w:drawing>
            </w:r>
          </w:p>
        </w:tc>
      </w:tr>
      <w:tr w:rsidR="00FC71BE" w:rsidRPr="00FC71BE" w14:paraId="2484C43E" w14:textId="77777777">
        <w:tc>
          <w:tcPr>
            <w:tcW w:w="9016" w:type="dxa"/>
          </w:tcPr>
          <w:p w14:paraId="4EEAE5F5" w14:textId="77777777" w:rsidR="003F1EA9" w:rsidRPr="00FC71BE" w:rsidRDefault="003F1EA9">
            <w:pPr>
              <w:pStyle w:val="Figure"/>
              <w:rPr>
                <w:noProof w:val="0"/>
              </w:rPr>
            </w:pPr>
            <w:r w:rsidRPr="00FC71BE">
              <w:rPr>
                <w:noProof w:val="0"/>
              </w:rPr>
              <w:t xml:space="preserve">(c) </w:t>
            </w:r>
            <w:r w:rsidRPr="00FC71BE">
              <w:rPr>
                <w:i/>
                <w:iCs/>
                <w:noProof w:val="0"/>
              </w:rPr>
              <w:t>q-</w:t>
            </w:r>
            <w:r w:rsidRPr="00FC71BE">
              <w:rPr>
                <w:noProof w:val="0"/>
              </w:rPr>
              <w:t>axis inductance</w:t>
            </w:r>
          </w:p>
        </w:tc>
      </w:tr>
    </w:tbl>
    <w:p w14:paraId="14694901" w14:textId="04D55BDE" w:rsidR="003F1EA9" w:rsidRPr="00FC71BE" w:rsidRDefault="003F1EA9" w:rsidP="003F1EA9">
      <w:pPr>
        <w:pStyle w:val="FigureTitle"/>
      </w:pPr>
      <w:bookmarkStart w:id="153" w:name="_Ref140241538"/>
      <w:r w:rsidRPr="00FC71BE">
        <w:t xml:space="preserve">Fig. </w:t>
      </w:r>
      <w:fldSimple w:instr=" STYLEREF 1 \s ">
        <w:r w:rsidR="007E62C1" w:rsidRPr="00FC71BE">
          <w:rPr>
            <w:noProof/>
          </w:rPr>
          <w:t>3</w:t>
        </w:r>
      </w:fldSimple>
      <w:r w:rsidRPr="00FC71BE">
        <w:t>.</w:t>
      </w:r>
      <w:fldSimple w:instr=" SEQ Fig. \* ARABIC \s 1 ">
        <w:r w:rsidR="007E62C1" w:rsidRPr="00FC71BE">
          <w:rPr>
            <w:noProof/>
          </w:rPr>
          <w:t>6</w:t>
        </w:r>
      </w:fldSimple>
      <w:bookmarkEnd w:id="153"/>
      <w:r w:rsidRPr="00FC71BE">
        <w:t xml:space="preserve">. Machines properties </w:t>
      </w:r>
      <w:r w:rsidRPr="00FC71BE">
        <w:rPr>
          <w:i/>
        </w:rPr>
        <w:t>vs</w:t>
      </w:r>
      <w:r w:rsidRPr="00FC71BE">
        <w:t xml:space="preserve"> </w:t>
      </w:r>
      <w:r w:rsidRPr="00FC71BE">
        <w:rPr>
          <w:i/>
        </w:rPr>
        <w:t xml:space="preserve">d- </w:t>
      </w:r>
      <w:r w:rsidRPr="00FC71BE">
        <w:t>or</w:t>
      </w:r>
      <w:r w:rsidRPr="00FC71BE">
        <w:rPr>
          <w:i/>
        </w:rPr>
        <w:t xml:space="preserve"> q-</w:t>
      </w:r>
      <w:r w:rsidRPr="00FC71BE">
        <w:t>axis</w:t>
      </w:r>
      <w:r w:rsidRPr="00FC71BE">
        <w:rPr>
          <w:i/>
        </w:rPr>
        <w:t xml:space="preserve"> </w:t>
      </w:r>
      <w:r w:rsidRPr="00FC71BE">
        <w:t>axis current and magnet temperature for both the modular and non-modular machines.</w:t>
      </w:r>
    </w:p>
    <w:p w14:paraId="262273F8" w14:textId="06E039EB" w:rsidR="003F1EA9" w:rsidRPr="00FC71BE" w:rsidRDefault="003F1EA9" w:rsidP="003F1EA9">
      <w:r w:rsidRPr="00FC71BE">
        <w:lastRenderedPageBreak/>
        <w:t>When temperature rises, the copper loss is also increased, which can be determined by using the temperature dependent coefficient (</w:t>
      </w:r>
      <m:oMath>
        <m:r>
          <m:rPr>
            <m:sty m:val="p"/>
          </m:rPr>
          <w:rPr>
            <w:rFonts w:ascii="Cambria Math" w:hAnsi="Cambria Math"/>
          </w:rPr>
          <m:t>3.69×</m:t>
        </m:r>
        <m:sSup>
          <m:sSupPr>
            <m:ctrlPr>
              <w:rPr>
                <w:rFonts w:ascii="Cambria Math" w:hAnsi="Cambria Math"/>
              </w:rPr>
            </m:ctrlPr>
          </m:sSupPr>
          <m:e>
            <m:r>
              <w:rPr>
                <w:rFonts w:ascii="Cambria Math" w:hAnsi="Cambria Math"/>
              </w:rPr>
              <m:t>10</m:t>
            </m:r>
          </m:e>
          <m:sup>
            <m:r>
              <w:rPr>
                <w:rFonts w:ascii="Cambria Math" w:hAnsi="Cambria Math"/>
              </w:rPr>
              <m:t>-3</m:t>
            </m:r>
          </m:sup>
        </m:sSup>
        <m:r>
          <m:rPr>
            <m:sty m:val="p"/>
          </m:rPr>
          <w:rPr>
            <w:rFonts w:ascii="Cambria Math" w:hAnsi="Cambria Math"/>
          </w:rPr>
          <m:t xml:space="preserve">/ </m:t>
        </m:r>
        <m:r>
          <w:rPr>
            <w:rFonts w:ascii="Cambria Math" w:hAnsi="Cambria Math"/>
          </w:rPr>
          <m:t>℃</m:t>
        </m:r>
      </m:oMath>
      <w:r w:rsidRPr="00FC71BE">
        <w:t xml:space="preserve">) of the electrical resistivity for copper. Here the reference temperature is </w:t>
      </w:r>
      <m:oMath>
        <m:r>
          <m:rPr>
            <m:sty m:val="p"/>
          </m:rPr>
          <w:rPr>
            <w:rFonts w:ascii="Cambria Math" w:hAnsi="Cambria Math"/>
          </w:rPr>
          <m:t>20</m:t>
        </m:r>
        <m:r>
          <w:rPr>
            <w:rFonts w:ascii="Cambria Math" w:hAnsi="Cambria Math"/>
          </w:rPr>
          <m:t>℃</m:t>
        </m:r>
      </m:oMath>
      <w:r w:rsidRPr="00FC71BE">
        <w:t xml:space="preserve"> </w:t>
      </w:r>
      <w:r w:rsidRPr="00FC71BE">
        <w:fldChar w:fldCharType="begin"/>
      </w:r>
      <w:r w:rsidR="00BA33ED" w:rsidRPr="00FC71BE">
        <w:instrText xml:space="preserve"> ADDIN EN.CITE &lt;EndNote&gt;&lt;Cite&gt;&lt;Author&gt;Dellinger&lt;/Author&gt;&lt;Year&gt;1911&lt;/Year&gt;&lt;RecNum&gt;27&lt;/RecNum&gt;&lt;DisplayText&gt;[131]&lt;/DisplayText&gt;&lt;record&gt;&lt;rec-number&gt;27&lt;/rec-number&gt;&lt;foreign-keys&gt;&lt;key app="EN" db-id="rf2p5e05jx0x9jep00uvx0s1fvaww2dfa0r9" timestamp="1689349253"&gt;27&lt;/key&gt;&lt;/foreign-keys&gt;&lt;ref-type name="Book"&gt;6&lt;/ref-type&gt;&lt;contributors&gt;&lt;authors&gt;&lt;author&gt;Dellinger, John Howard&lt;/author&gt;&lt;/authors&gt;&lt;/contributors&gt;&lt;titles&gt;&lt;title&gt;The temperature coefficient of resistance of copper&lt;/title&gt;&lt;/titles&gt;&lt;number&gt;147&lt;/number&gt;&lt;dates&gt;&lt;year&gt;1911&lt;/year&gt;&lt;/dates&gt;&lt;publisher&gt;US Department of Commerce and Labor, Bureau of Standards&lt;/publisher&gt;&lt;urls&gt;&lt;/urls&gt;&lt;/record&gt;&lt;/Cite&gt;&lt;/EndNote&gt;</w:instrText>
      </w:r>
      <w:r w:rsidRPr="00FC71BE">
        <w:fldChar w:fldCharType="separate"/>
      </w:r>
      <w:r w:rsidR="00BA33ED" w:rsidRPr="00FC71BE">
        <w:t>[131]</w:t>
      </w:r>
      <w:r w:rsidRPr="00FC71BE">
        <w:fldChar w:fldCharType="end"/>
      </w:r>
      <w:r w:rsidRPr="00FC71BE">
        <w:t xml:space="preserve">. This increase in copper loss needs to be feedback to the thermal modelling as it is one of the main heat sources. Therefore, a close-loop coupling between EM and thermal modelling needs to be implemented as described by the flowchart shown in </w:t>
      </w:r>
      <w:r w:rsidRPr="00FC71BE">
        <w:fldChar w:fldCharType="begin"/>
      </w:r>
      <w:r w:rsidRPr="00FC71BE">
        <w:instrText xml:space="preserve"> REF _Ref125631326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w:t>
      </w:r>
      <w:r w:rsidRPr="00FC71BE">
        <w:fldChar w:fldCharType="end"/>
      </w:r>
      <w:r w:rsidRPr="00FC71BE">
        <w:t xml:space="preserve"> for dynamic performance analysis. Some assumptions need to be made for the close-loop coupling analysis such as</w:t>
      </w:r>
    </w:p>
    <w:p w14:paraId="12C7CB4F" w14:textId="2E28CF9C" w:rsidR="003F1EA9" w:rsidRPr="00FC71BE" w:rsidRDefault="003F1EA9" w:rsidP="00AF4190">
      <w:pPr>
        <w:pStyle w:val="ListParagraph"/>
        <w:numPr>
          <w:ilvl w:val="0"/>
          <w:numId w:val="29"/>
        </w:numPr>
      </w:pPr>
      <w:r w:rsidRPr="00FC71BE">
        <w:t xml:space="preserve">The electrical resistivity of PM and iron core are independent of temperature variation. This is safe as when temperature increases within a limited range, the increase in resistivity of PM and iron core can be largely negligible </w:t>
      </w:r>
      <w:r w:rsidRPr="00FC71BE">
        <w:fldChar w:fldCharType="begin"/>
      </w:r>
      <w:r w:rsidR="00BA33ED" w:rsidRPr="00FC71BE">
        <w:instrText xml:space="preserve"> ADDIN EN.CITE &lt;EndNote&gt;&lt;Cite&gt;&lt;Author&gt;Wu&lt;/Author&gt;&lt;Year&gt;1997&lt;/Year&gt;&lt;RecNum&gt;30&lt;/RecNum&gt;&lt;DisplayText&gt;[134]&lt;/DisplayText&gt;&lt;record&gt;&lt;rec-number&gt;30&lt;/rec-number&gt;&lt;foreign-keys&gt;&lt;key app="EN" db-id="rf2p5e05jx0x9jep00uvx0s1fvaww2dfa0r9" timestamp="1689514670"&gt;30&lt;/key&gt;&lt;/foreign-keys&gt;&lt;ref-type name="Journal Article"&gt;17&lt;/ref-type&gt;&lt;contributors&gt;&lt;authors&gt;&lt;author&gt;Wu, K T&lt;/author&gt;&lt;author&gt;Yao, Y D&lt;/author&gt;&lt;author&gt;Klik, I&lt;/author&gt;&lt;/authors&gt;&lt;/contributors&gt;&lt;titles&gt;&lt;title&gt;Electrical and magnetic properties of NdFeB films&lt;/title&gt;&lt;secondary-title&gt;Applied surface science&lt;/secondary-title&gt;&lt;/titles&gt;&lt;periodical&gt;&lt;full-title&gt;Applied surface science&lt;/full-title&gt;&lt;/periodical&gt;&lt;pages&gt;174-177&lt;/pages&gt;&lt;volume&gt;113&lt;/volume&gt;&lt;dates&gt;&lt;year&gt;1997&lt;/year&gt;&lt;/dates&gt;&lt;isbn&gt;0169-4332&lt;/isbn&gt;&lt;urls&gt;&lt;/urls&gt;&lt;/record&gt;&lt;/Cite&gt;&lt;/EndNote&gt;</w:instrText>
      </w:r>
      <w:r w:rsidRPr="00FC71BE">
        <w:fldChar w:fldCharType="separate"/>
      </w:r>
      <w:r w:rsidR="00BA33ED" w:rsidRPr="00FC71BE">
        <w:t>[134]</w:t>
      </w:r>
      <w:r w:rsidRPr="00FC71BE">
        <w:fldChar w:fldCharType="end"/>
      </w:r>
      <w:r w:rsidRPr="00FC71BE">
        <w:t>.</w:t>
      </w:r>
    </w:p>
    <w:p w14:paraId="15CF63DA" w14:textId="77777777" w:rsidR="003F1EA9" w:rsidRPr="00FC71BE" w:rsidRDefault="003F1EA9" w:rsidP="00AF4190">
      <w:pPr>
        <w:pStyle w:val="ListParagraph"/>
        <w:numPr>
          <w:ilvl w:val="0"/>
          <w:numId w:val="29"/>
        </w:numPr>
      </w:pPr>
      <w:r w:rsidRPr="00FC71BE">
        <w:t>The investigated machines are designed for the direction control of helicopters that do not require continuous operation. Hence, the duty ratio of 0.2 for the investigated machines has been adopted and one cycle lasts for 4000s.</w:t>
      </w:r>
    </w:p>
    <w:p w14:paraId="503666FB" w14:textId="77777777" w:rsidR="003F1EA9" w:rsidRPr="00FC71BE" w:rsidRDefault="003F1EA9" w:rsidP="00AF4190">
      <w:pPr>
        <w:pStyle w:val="ListParagraph"/>
        <w:numPr>
          <w:ilvl w:val="0"/>
          <w:numId w:val="29"/>
        </w:numPr>
      </w:pPr>
      <w:r w:rsidRPr="00FC71BE">
        <w:t>The allowable convergence error (</w:t>
      </w:r>
      <m:oMath>
        <m:sSub>
          <m:sSubPr>
            <m:ctrlPr>
              <w:rPr>
                <w:rFonts w:ascii="Cambria Math" w:hAnsi="Cambria Math"/>
              </w:rPr>
            </m:ctrlPr>
          </m:sSubPr>
          <m:e>
            <m:r>
              <m:rPr>
                <m:sty m:val="p"/>
              </m:rPr>
              <w:rPr>
                <w:rFonts w:ascii="Cambria Math" w:hAnsi="Cambria Math"/>
              </w:rPr>
              <m:t>ε</m:t>
            </m:r>
          </m:e>
          <m:sub>
            <m:r>
              <w:rPr>
                <w:rFonts w:ascii="Cambria Math" w:hAnsi="Cambria Math"/>
              </w:rPr>
              <m:t>error</m:t>
            </m:r>
          </m:sub>
        </m:sSub>
      </m:oMath>
      <w:r w:rsidRPr="00FC71BE">
        <w:t>) is set to be 0.5% in this paper.</w:t>
      </w:r>
    </w:p>
    <w:p w14:paraId="52197B48" w14:textId="77777777" w:rsidR="003F1EA9" w:rsidRPr="00FC71BE" w:rsidRDefault="003F1EA9" w:rsidP="003F1EA9">
      <w:r w:rsidRPr="00FC71BE">
        <w:t>It is worth noting that, the convergence error (</w:t>
      </w:r>
      <m:oMath>
        <m:sSub>
          <m:sSubPr>
            <m:ctrlPr>
              <w:rPr>
                <w:rFonts w:ascii="Cambria Math" w:hAnsi="Cambria Math"/>
                <w:i/>
                <w:iCs/>
              </w:rPr>
            </m:ctrlPr>
          </m:sSubPr>
          <m:e>
            <m:r>
              <m:rPr>
                <m:sty m:val="p"/>
              </m:rPr>
              <w:rPr>
                <w:rFonts w:ascii="Cambria Math" w:hAnsi="Cambria Math"/>
              </w:rPr>
              <m:t>∆</m:t>
            </m:r>
          </m:e>
          <m:sub>
            <m:r>
              <m:rPr>
                <m:sty m:val="p"/>
              </m:rPr>
              <w:rPr>
                <w:rFonts w:ascii="Cambria Math" w:hAnsi="Cambria Math"/>
              </w:rPr>
              <m:t>T</m:t>
            </m:r>
          </m:sub>
        </m:sSub>
      </m:oMath>
      <w:r w:rsidRPr="00FC71BE">
        <w:t>) is identified as the magnet temperature difference described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1FCACA5C" w14:textId="77777777">
        <w:tc>
          <w:tcPr>
            <w:tcW w:w="4493" w:type="pct"/>
            <w:vAlign w:val="center"/>
          </w:tcPr>
          <w:p w14:paraId="369B59AA"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m:t>
                    </m:r>
                  </m:e>
                  <m:sub>
                    <m:r>
                      <w:rPr>
                        <w:rFonts w:ascii="Cambria Math" w:hAnsi="Cambria Math"/>
                        <w:color w:val="auto"/>
                      </w:rPr>
                      <m:t>T</m:t>
                    </m:r>
                  </m:sub>
                </m:sSub>
                <m: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n</m:t>
                        </m:r>
                      </m:sub>
                    </m:sSub>
                    <m:r>
                      <w:rPr>
                        <w:rFonts w:ascii="Cambria Math" w:hAnsi="Cambria Math"/>
                        <w:color w:val="auto"/>
                      </w:rPr>
                      <m:t>-</m:t>
                    </m:r>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n</m:t>
                        </m:r>
                        <m:r>
                          <w:rPr>
                            <w:rFonts w:ascii="Cambria Math" w:hAnsi="Cambria Math"/>
                            <w:color w:val="auto"/>
                          </w:rPr>
                          <m:t>-</m:t>
                        </m:r>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n</m:t>
                        </m:r>
                        <m:r>
                          <w:rPr>
                            <w:rFonts w:ascii="Cambria Math" w:hAnsi="Cambria Math"/>
                            <w:color w:val="auto"/>
                          </w:rPr>
                          <m:t>-</m:t>
                        </m:r>
                        <m:r>
                          <w:rPr>
                            <w:rFonts w:ascii="Cambria Math" w:hAnsi="Cambria Math"/>
                            <w:color w:val="auto"/>
                          </w:rPr>
                          <m:t>1</m:t>
                        </m:r>
                      </m:sub>
                    </m:sSub>
                  </m:den>
                </m:f>
              </m:oMath>
            </m:oMathPara>
          </w:p>
        </w:tc>
        <w:tc>
          <w:tcPr>
            <w:tcW w:w="507" w:type="pct"/>
            <w:vAlign w:val="center"/>
          </w:tcPr>
          <w:p w14:paraId="00CBA6CE" w14:textId="54FADECE"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p>
        </w:tc>
      </w:tr>
    </w:tbl>
    <w:p w14:paraId="41C1F4A1" w14:textId="77777777" w:rsidR="003F1EA9" w:rsidRPr="00FC71BE" w:rsidRDefault="003F1EA9" w:rsidP="003F1EA9">
      <w:pPr>
        <w:pStyle w:val="Heading4"/>
      </w:pPr>
      <w:r w:rsidRPr="00FC71BE">
        <w:t>Temperature Speed Curve</w:t>
      </w:r>
    </w:p>
    <w:p w14:paraId="48D29539" w14:textId="77777777" w:rsidR="003F1EA9" w:rsidRPr="00FC71BE" w:rsidRDefault="003F1EA9" w:rsidP="003F1EA9">
      <w:r w:rsidRPr="00FC71BE">
        <w:t>In the coupled EM-thermal models for dynamic performance analysis, the temperature variation is critical as it has a direct impact on the PM remanent flux density and phase resistance. To accurately predict the temperature variation for different operating conditions, the Lumped Parameter Thermal Network (LPTN) will be adopted. The LPTN modelling is a well-documented method which is accurate and less time consuming compared to finite element (FE) modelling and computational fluid dynamic (CFD) modelling. These are very desirable features for the coupled EM-thermal modelling in this chapter as temperature distributions under numerous operating conditions are required for the dynamic performance analysis.</w:t>
      </w:r>
    </w:p>
    <w:p w14:paraId="51B38DDD" w14:textId="1A276DEE" w:rsidR="003F1EA9" w:rsidRPr="00FC71BE" w:rsidRDefault="003F1EA9" w:rsidP="003F1EA9">
      <w:r w:rsidRPr="00FC71BE">
        <w:t xml:space="preserve">In the thermal analysis using LPTN model, electrical machines can be divided into several hollow cylinders, which is the case for the rotor, magnets, and stator yoke, as shown in </w:t>
      </w:r>
      <w:r w:rsidRPr="00FC71BE">
        <w:fldChar w:fldCharType="begin"/>
      </w:r>
      <w:r w:rsidRPr="00FC71BE">
        <w:instrText xml:space="preserve"> REF _Ref140243326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7</w:t>
      </w:r>
      <w:r w:rsidRPr="00FC71BE">
        <w:fldChar w:fldCharType="end"/>
      </w:r>
      <w:r w:rsidRPr="00FC71BE">
        <w:t xml:space="preserve"> (a). However, the coils, teeth and end-windings can be regarded as cylindrical components with different angular spans</w:t>
      </w:r>
      <w:r w:rsidR="003D316A" w:rsidRPr="00FC71BE">
        <w:t xml:space="preserve"> (</w:t>
      </w:r>
      <m:oMath>
        <m:r>
          <w:rPr>
            <w:rFonts w:ascii="Cambria Math" w:hAnsi="Cambria Math"/>
          </w:rPr>
          <m:t>α</m:t>
        </m:r>
      </m:oMath>
      <w:r w:rsidR="003D316A" w:rsidRPr="00FC71BE">
        <w:t>)</w:t>
      </w:r>
      <w:r w:rsidRPr="00FC71BE">
        <w:t xml:space="preserve">, as shown in </w:t>
      </w:r>
      <w:r w:rsidRPr="00FC71BE">
        <w:fldChar w:fldCharType="begin"/>
      </w:r>
      <w:r w:rsidRPr="00FC71BE">
        <w:instrText xml:space="preserve"> REF _Ref140243326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7</w:t>
      </w:r>
      <w:r w:rsidRPr="00FC71BE">
        <w:fldChar w:fldCharType="end"/>
      </w:r>
      <w:r w:rsidRPr="00FC71BE">
        <w:t xml:space="preserve">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652"/>
      </w:tblGrid>
      <w:tr w:rsidR="00FC71BE" w:rsidRPr="00FC71BE" w14:paraId="3F7EFDD8" w14:textId="77777777">
        <w:tc>
          <w:tcPr>
            <w:tcW w:w="4370" w:type="dxa"/>
            <w:vAlign w:val="center"/>
          </w:tcPr>
          <w:p w14:paraId="70562F2C" w14:textId="77777777" w:rsidR="003F1EA9" w:rsidRPr="00FC71BE" w:rsidRDefault="003F1EA9">
            <w:pPr>
              <w:pStyle w:val="Figure"/>
              <w:rPr>
                <w:noProof w:val="0"/>
              </w:rPr>
            </w:pPr>
            <w:r w:rsidRPr="00FC71BE">
              <w:lastRenderedPageBreak/>
              <w:drawing>
                <wp:inline distT="0" distB="0" distL="0" distR="0" wp14:anchorId="721A04E2" wp14:editId="1536FE33">
                  <wp:extent cx="2645410" cy="2293300"/>
                  <wp:effectExtent l="0" t="0" r="2540" b="0"/>
                  <wp:docPr id="1676281677" name="Picture 1676281677" descr="A diagram of a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81677" name="Picture 1" descr="A diagram of a cylind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53606" cy="2300405"/>
                          </a:xfrm>
                          <a:prstGeom prst="rect">
                            <a:avLst/>
                          </a:prstGeom>
                          <a:noFill/>
                        </pic:spPr>
                      </pic:pic>
                    </a:graphicData>
                  </a:graphic>
                </wp:inline>
              </w:drawing>
            </w:r>
          </w:p>
        </w:tc>
        <w:tc>
          <w:tcPr>
            <w:tcW w:w="4646" w:type="dxa"/>
            <w:vAlign w:val="center"/>
          </w:tcPr>
          <w:p w14:paraId="355CADA9" w14:textId="77777777" w:rsidR="003F1EA9" w:rsidRPr="00FC71BE" w:rsidRDefault="003F1EA9">
            <w:pPr>
              <w:pStyle w:val="Figure"/>
              <w:rPr>
                <w:noProof w:val="0"/>
              </w:rPr>
            </w:pPr>
            <w:r w:rsidRPr="00FC71BE">
              <w:drawing>
                <wp:inline distT="0" distB="0" distL="0" distR="0" wp14:anchorId="330D7EC8" wp14:editId="27C57CEC">
                  <wp:extent cx="2824752" cy="1838325"/>
                  <wp:effectExtent l="0" t="0" r="0" b="0"/>
                  <wp:docPr id="726925161" name="Picture 726925161" descr="A diagram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25161" name="Picture 2" descr="A diagram of a rectangular object&#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27909" cy="1840380"/>
                          </a:xfrm>
                          <a:prstGeom prst="rect">
                            <a:avLst/>
                          </a:prstGeom>
                          <a:noFill/>
                        </pic:spPr>
                      </pic:pic>
                    </a:graphicData>
                  </a:graphic>
                </wp:inline>
              </w:drawing>
            </w:r>
          </w:p>
        </w:tc>
      </w:tr>
      <w:tr w:rsidR="00FC71BE" w:rsidRPr="00FC71BE" w14:paraId="52982410" w14:textId="77777777">
        <w:tc>
          <w:tcPr>
            <w:tcW w:w="4370" w:type="dxa"/>
            <w:vAlign w:val="center"/>
          </w:tcPr>
          <w:p w14:paraId="05DD0BF5" w14:textId="77777777" w:rsidR="003F1EA9" w:rsidRPr="00FC71BE" w:rsidRDefault="003F1EA9">
            <w:pPr>
              <w:pStyle w:val="Figure"/>
              <w:rPr>
                <w:noProof w:val="0"/>
              </w:rPr>
            </w:pPr>
            <w:r w:rsidRPr="00FC71BE">
              <w:rPr>
                <w:noProof w:val="0"/>
              </w:rPr>
              <w:t>(a) Full cylinder</w:t>
            </w:r>
          </w:p>
        </w:tc>
        <w:tc>
          <w:tcPr>
            <w:tcW w:w="4646" w:type="dxa"/>
            <w:vAlign w:val="center"/>
          </w:tcPr>
          <w:p w14:paraId="0C206A3B" w14:textId="77777777" w:rsidR="003F1EA9" w:rsidRPr="00FC71BE" w:rsidRDefault="003F1EA9">
            <w:pPr>
              <w:pStyle w:val="Figure"/>
              <w:rPr>
                <w:noProof w:val="0"/>
              </w:rPr>
            </w:pPr>
            <w:r w:rsidRPr="00FC71BE">
              <w:rPr>
                <w:noProof w:val="0"/>
              </w:rPr>
              <w:t>(b) Cylinder with angular spans</w:t>
            </w:r>
          </w:p>
        </w:tc>
      </w:tr>
    </w:tbl>
    <w:p w14:paraId="31AC505B" w14:textId="11F2F8C8" w:rsidR="003F1EA9" w:rsidRPr="00FC71BE" w:rsidRDefault="003F1EA9" w:rsidP="003F1EA9">
      <w:pPr>
        <w:pStyle w:val="FigureTitle"/>
      </w:pPr>
      <w:bookmarkStart w:id="154" w:name="_Ref140243326"/>
      <w:r w:rsidRPr="00FC71BE">
        <w:t xml:space="preserve">Fig. </w:t>
      </w:r>
      <w:fldSimple w:instr=" STYLEREF 1 \s ">
        <w:r w:rsidR="007E62C1" w:rsidRPr="00FC71BE">
          <w:rPr>
            <w:noProof/>
          </w:rPr>
          <w:t>3</w:t>
        </w:r>
      </w:fldSimple>
      <w:r w:rsidRPr="00FC71BE">
        <w:t>.</w:t>
      </w:r>
      <w:fldSimple w:instr=" SEQ Fig. \* ARABIC \s 1 ">
        <w:r w:rsidR="007E62C1" w:rsidRPr="00FC71BE">
          <w:rPr>
            <w:noProof/>
          </w:rPr>
          <w:t>7</w:t>
        </w:r>
      </w:fldSimple>
      <w:bookmarkEnd w:id="154"/>
      <w:r w:rsidRPr="00FC71BE">
        <w:t xml:space="preserve">. LPTN model based on Motor-CAD for the modular machine. </w:t>
      </w:r>
      <m:oMath>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w:r w:rsidRPr="00FC71BE">
        <w:t xml:space="preserve">, </w:t>
      </w:r>
      <m:oMath>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w:r w:rsidRPr="00FC71BE">
        <w:t xml:space="preserve"> and </w:t>
      </w:r>
      <m:oMath>
        <m:r>
          <w:rPr>
            <w:rFonts w:ascii="Cambria Math" w:hAnsi="Cambria Math"/>
          </w:rPr>
          <m:t>L</m:t>
        </m:r>
      </m:oMath>
      <w:r w:rsidRPr="00FC71BE">
        <w:t xml:space="preserve"> are the radius of inner surface, radius of outer surface and stack length, respectively. </w:t>
      </w:r>
      <m:oMath>
        <m:sSub>
          <m:sSubPr>
            <m:ctrlPr>
              <w:rPr>
                <w:rFonts w:ascii="Cambria Math" w:hAnsi="Cambria Math"/>
              </w:rPr>
            </m:ctrlPr>
          </m:sSubPr>
          <m:e>
            <m:r>
              <w:rPr>
                <w:rFonts w:ascii="Cambria Math" w:hAnsi="Cambria Math"/>
              </w:rPr>
              <m:t>T</m:t>
            </m:r>
          </m:e>
          <m:sub>
            <m:r>
              <m:rPr>
                <m:sty m:val="p"/>
              </m:rPr>
              <w:rPr>
                <w:rFonts w:ascii="Cambria Math" w:hAnsi="Cambria Math"/>
              </w:rPr>
              <m:t>1</m:t>
            </m:r>
          </m:sub>
        </m:sSub>
      </m:oMath>
      <w:r w:rsidRPr="00FC71BE">
        <w:t xml:space="preserve">, </w:t>
      </w:r>
      <m:oMath>
        <m:sSub>
          <m:sSubPr>
            <m:ctrlPr>
              <w:rPr>
                <w:rFonts w:ascii="Cambria Math" w:hAnsi="Cambria Math"/>
              </w:rPr>
            </m:ctrlPr>
          </m:sSubPr>
          <m:e>
            <m:r>
              <w:rPr>
                <w:rFonts w:ascii="Cambria Math" w:hAnsi="Cambria Math"/>
              </w:rPr>
              <m:t>T</m:t>
            </m:r>
          </m:e>
          <m:sub>
            <m:r>
              <m:rPr>
                <m:sty m:val="p"/>
              </m:rPr>
              <w:rPr>
                <w:rFonts w:ascii="Cambria Math" w:hAnsi="Cambria Math"/>
              </w:rPr>
              <m:t>2</m:t>
            </m:r>
          </m:sub>
        </m:sSub>
      </m:oMath>
      <w:r w:rsidRPr="00FC71BE">
        <w:t xml:space="preserve">, </w:t>
      </w:r>
      <m:oMath>
        <m:sSub>
          <m:sSubPr>
            <m:ctrlPr>
              <w:rPr>
                <w:rFonts w:ascii="Cambria Math" w:hAnsi="Cambria Math"/>
              </w:rPr>
            </m:ctrlPr>
          </m:sSubPr>
          <m:e>
            <m:r>
              <w:rPr>
                <w:rFonts w:ascii="Cambria Math" w:hAnsi="Cambria Math"/>
              </w:rPr>
              <m:t>T</m:t>
            </m:r>
          </m:e>
          <m:sub>
            <m:r>
              <m:rPr>
                <m:sty m:val="p"/>
              </m:rPr>
              <w:rPr>
                <w:rFonts w:ascii="Cambria Math" w:hAnsi="Cambria Math"/>
              </w:rPr>
              <m:t>3</m:t>
            </m:r>
          </m:sub>
        </m:sSub>
      </m:oMath>
      <w:r w:rsidRPr="00FC71BE">
        <w:t xml:space="preserve"> and </w:t>
      </w:r>
      <m:oMath>
        <m:sSub>
          <m:sSubPr>
            <m:ctrlPr>
              <w:rPr>
                <w:rFonts w:ascii="Cambria Math" w:hAnsi="Cambria Math"/>
              </w:rPr>
            </m:ctrlPr>
          </m:sSubPr>
          <m:e>
            <m:r>
              <w:rPr>
                <w:rFonts w:ascii="Cambria Math" w:hAnsi="Cambria Math"/>
              </w:rPr>
              <m:t>T</m:t>
            </m:r>
          </m:e>
          <m:sub>
            <m:r>
              <m:rPr>
                <m:sty m:val="p"/>
              </m:rPr>
              <w:rPr>
                <w:rFonts w:ascii="Cambria Math" w:hAnsi="Cambria Math"/>
              </w:rPr>
              <m:t>4</m:t>
            </m:r>
          </m:sub>
        </m:sSub>
      </m:oMath>
      <w:r w:rsidRPr="00FC71BE">
        <w:t xml:space="preserve"> are the temperatures of the front, rear, outer and inner surfaces,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4621"/>
      </w:tblGrid>
      <w:tr w:rsidR="00FC71BE" w:rsidRPr="00FC71BE" w14:paraId="256C8CF1" w14:textId="77777777">
        <w:tc>
          <w:tcPr>
            <w:tcW w:w="4405" w:type="dxa"/>
            <w:vAlign w:val="center"/>
          </w:tcPr>
          <w:p w14:paraId="3A938508" w14:textId="77777777" w:rsidR="003F1EA9" w:rsidRPr="00FC71BE" w:rsidRDefault="003F1EA9">
            <w:pPr>
              <w:pStyle w:val="Figure"/>
              <w:rPr>
                <w:noProof w:val="0"/>
              </w:rPr>
            </w:pPr>
            <w:r w:rsidRPr="00FC71BE">
              <w:drawing>
                <wp:inline distT="0" distB="0" distL="0" distR="0" wp14:anchorId="5E564166" wp14:editId="29EA1BBE">
                  <wp:extent cx="2660282" cy="2679405"/>
                  <wp:effectExtent l="0" t="0" r="0" b="6985"/>
                  <wp:docPr id="197" name="Picture 197" descr="A black background with a black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34" descr="A black background with a black square&#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7320" cy="2686494"/>
                          </a:xfrm>
                          <a:prstGeom prst="rect">
                            <a:avLst/>
                          </a:prstGeom>
                          <a:noFill/>
                          <a:ln>
                            <a:noFill/>
                          </a:ln>
                        </pic:spPr>
                      </pic:pic>
                    </a:graphicData>
                  </a:graphic>
                </wp:inline>
              </w:drawing>
            </w:r>
          </w:p>
        </w:tc>
        <w:tc>
          <w:tcPr>
            <w:tcW w:w="4621" w:type="dxa"/>
            <w:vAlign w:val="center"/>
          </w:tcPr>
          <w:p w14:paraId="486352CE" w14:textId="77777777" w:rsidR="003F1EA9" w:rsidRPr="00FC71BE" w:rsidRDefault="003F1EA9">
            <w:pPr>
              <w:pStyle w:val="Figure"/>
              <w:rPr>
                <w:noProof w:val="0"/>
              </w:rPr>
            </w:pPr>
            <w:r w:rsidRPr="00FC71BE">
              <w:drawing>
                <wp:inline distT="0" distB="0" distL="0" distR="0" wp14:anchorId="63262376" wp14:editId="238B167A">
                  <wp:extent cx="2554715" cy="2573079"/>
                  <wp:effectExtent l="0" t="0" r="0" b="0"/>
                  <wp:docPr id="196" name="Picture 196" descr="A black background with a black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79" descr="A black background with a black square&#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68748" cy="2587212"/>
                          </a:xfrm>
                          <a:prstGeom prst="rect">
                            <a:avLst/>
                          </a:prstGeom>
                          <a:noFill/>
                          <a:ln>
                            <a:noFill/>
                          </a:ln>
                        </pic:spPr>
                      </pic:pic>
                    </a:graphicData>
                  </a:graphic>
                </wp:inline>
              </w:drawing>
            </w:r>
          </w:p>
        </w:tc>
      </w:tr>
      <w:tr w:rsidR="00FC71BE" w:rsidRPr="00FC71BE" w14:paraId="6BD0DCC1" w14:textId="77777777">
        <w:tc>
          <w:tcPr>
            <w:tcW w:w="4405" w:type="dxa"/>
            <w:vAlign w:val="center"/>
          </w:tcPr>
          <w:p w14:paraId="5067C6CD" w14:textId="77777777" w:rsidR="003F1EA9" w:rsidRPr="00FC71BE" w:rsidRDefault="003F1EA9">
            <w:pPr>
              <w:pStyle w:val="Figure"/>
              <w:rPr>
                <w:noProof w:val="0"/>
              </w:rPr>
            </w:pPr>
            <w:r w:rsidRPr="00FC71BE">
              <w:rPr>
                <w:noProof w:val="0"/>
              </w:rPr>
              <w:t>(a) Without heat generation</w:t>
            </w:r>
          </w:p>
        </w:tc>
        <w:tc>
          <w:tcPr>
            <w:tcW w:w="4621" w:type="dxa"/>
            <w:vAlign w:val="center"/>
          </w:tcPr>
          <w:p w14:paraId="38428ABA" w14:textId="77777777" w:rsidR="003F1EA9" w:rsidRPr="00FC71BE" w:rsidRDefault="003F1EA9">
            <w:pPr>
              <w:pStyle w:val="Figure"/>
              <w:rPr>
                <w:noProof w:val="0"/>
              </w:rPr>
            </w:pPr>
            <w:r w:rsidRPr="00FC71BE">
              <w:rPr>
                <w:noProof w:val="0"/>
              </w:rPr>
              <w:t>(b) With heat generation</w:t>
            </w:r>
          </w:p>
        </w:tc>
      </w:tr>
    </w:tbl>
    <w:p w14:paraId="46B1DA7D" w14:textId="70A3D82A" w:rsidR="003F1EA9" w:rsidRPr="00FC71BE" w:rsidRDefault="003F1EA9" w:rsidP="003F1EA9">
      <w:pPr>
        <w:pStyle w:val="FigureTitle"/>
      </w:pPr>
      <w:bookmarkStart w:id="155" w:name="_Ref140243357"/>
      <w:r w:rsidRPr="00FC71BE">
        <w:t xml:space="preserve">Fig. </w:t>
      </w:r>
      <w:fldSimple w:instr=" STYLEREF 1 \s ">
        <w:r w:rsidR="007E62C1" w:rsidRPr="00FC71BE">
          <w:rPr>
            <w:noProof/>
          </w:rPr>
          <w:t>3</w:t>
        </w:r>
      </w:fldSimple>
      <w:r w:rsidRPr="00FC71BE">
        <w:t>.</w:t>
      </w:r>
      <w:fldSimple w:instr=" SEQ Fig. \* ARABIC \s 1 ">
        <w:r w:rsidR="007E62C1" w:rsidRPr="00FC71BE">
          <w:rPr>
            <w:noProof/>
          </w:rPr>
          <w:t>8</w:t>
        </w:r>
      </w:fldSimple>
      <w:bookmarkEnd w:id="155"/>
      <w:r w:rsidRPr="00FC71BE">
        <w:t>. Equivalent LPTN for cylindrical components.</w:t>
      </w:r>
    </w:p>
    <w:p w14:paraId="3017C959" w14:textId="2FFF5E3D" w:rsidR="003F1EA9" w:rsidRPr="00FC71BE" w:rsidRDefault="003F1EA9" w:rsidP="003F1EA9">
      <w:r w:rsidRPr="00FC71BE">
        <w:t xml:space="preserve">For the components without heat generation, e.g., shaft and housing, their heat transfer can be represented by the equivalent LPTN shown in </w:t>
      </w:r>
      <w:r w:rsidRPr="00FC71BE">
        <w:fldChar w:fldCharType="begin"/>
      </w:r>
      <w:r w:rsidRPr="00FC71BE">
        <w:instrText xml:space="preserve"> REF _Ref140243357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8</w:t>
      </w:r>
      <w:r w:rsidRPr="00FC71BE">
        <w:fldChar w:fldCharType="end"/>
      </w:r>
      <w:r w:rsidRPr="00FC71BE">
        <w:t xml:space="preserve"> (a). Their equivalent thermal resistances are derived by </w:t>
      </w:r>
      <w:r w:rsidRPr="00FC71BE">
        <w:fldChar w:fldCharType="begin">
          <w:fldData xml:space="preserve">PEVuZE5vdGU+PENpdGU+PEF1dGhvcj5HZXJsaW5nPC9BdXRob3I+PFllYXI+MjAwNTwvWWVhcj48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</w:fldData>
        </w:fldChar>
      </w:r>
      <w:r w:rsidR="00BA33ED" w:rsidRPr="00FC71BE">
        <w:instrText xml:space="preserve"> ADDIN EN.CITE </w:instrText>
      </w:r>
      <w:r w:rsidR="00BA33ED" w:rsidRPr="00FC71BE">
        <w:fldChar w:fldCharType="begin">
          <w:fldData xml:space="preserve">PEVuZE5vdGU+PENpdGU+PEF1dGhvcj5HZXJsaW5nPC9BdXRob3I+PFllYXI+MjAwNTwvWWVhcj48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</w:fldData>
        </w:fldChar>
      </w:r>
      <w:r w:rsidR="00BA33ED" w:rsidRPr="00FC71BE">
        <w:instrText xml:space="preserve"> ADDIN EN.CITE.DATA </w:instrText>
      </w:r>
      <w:r w:rsidR="00BA33ED" w:rsidRPr="00FC71BE">
        <w:fldChar w:fldCharType="end"/>
      </w:r>
      <w:r w:rsidRPr="00FC71BE">
        <w:fldChar w:fldCharType="separate"/>
      </w:r>
      <w:r w:rsidR="00BA33ED" w:rsidRPr="00FC71BE">
        <w:t>[5, 135-137]</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7066E586" w14:textId="77777777">
        <w:tc>
          <w:tcPr>
            <w:tcW w:w="4493" w:type="pct"/>
            <w:vAlign w:val="center"/>
          </w:tcPr>
          <w:p w14:paraId="1B94304E"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r>
                      <w:rPr>
                        <w:rFonts w:ascii="Cambria Math" w:hAnsi="Cambria Math"/>
                        <w:color w:val="auto"/>
                      </w:rPr>
                      <m:t>r</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1</m:t>
                    </m:r>
                  </m:num>
                  <m:den>
                    <m:r>
                      <w:rPr>
                        <w:rFonts w:ascii="Cambria Math" w:hAnsi="Cambria Math"/>
                        <w:color w:val="auto"/>
                      </w:rPr>
                      <m:t>4</m:t>
                    </m:r>
                    <m:r>
                      <w:rPr>
                        <w:rFonts w:ascii="Cambria Math" w:hAnsi="Cambria Math"/>
                        <w:color w:val="auto"/>
                      </w:rPr>
                      <m:t>πλL</m:t>
                    </m:r>
                  </m:den>
                </m:f>
                <m:d>
                  <m:dPr>
                    <m:begChr m:val="["/>
                    <m:endChr m:val="]"/>
                    <m:ctrlPr>
                      <w:rPr>
                        <w:rFonts w:ascii="Cambria Math" w:hAnsi="Cambria Math"/>
                        <w:color w:val="auto"/>
                      </w:rPr>
                    </m:ctrlPr>
                  </m:dPr>
                  <m:e>
                    <m:r>
                      <w:rPr>
                        <w:rFonts w:ascii="Cambria Math" w:hAnsi="Cambria Math"/>
                        <w:color w:val="auto"/>
                      </w:rPr>
                      <m:t>1-</m:t>
                    </m:r>
                    <m:f>
                      <m:fPr>
                        <m:ctrlPr>
                          <w:rPr>
                            <w:rFonts w:ascii="Cambria Math" w:hAnsi="Cambria Math"/>
                            <w:color w:val="auto"/>
                          </w:rPr>
                        </m:ctrlPr>
                      </m:fPr>
                      <m:num>
                        <m:r>
                          <w:rPr>
                            <w:rFonts w:ascii="Cambria Math" w:hAnsi="Cambria Math"/>
                            <w:color w:val="auto"/>
                          </w:rPr>
                          <m:t>2</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sub>
                                    </m:sSub>
                                  </m:den>
                                </m:f>
                              </m:e>
                            </m:d>
                          </m:e>
                        </m:func>
                      </m:num>
                      <m:den>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e>
                </m:d>
              </m:oMath>
            </m:oMathPara>
          </w:p>
        </w:tc>
        <w:tc>
          <w:tcPr>
            <w:tcW w:w="507" w:type="pct"/>
            <w:vAlign w:val="center"/>
          </w:tcPr>
          <w:p w14:paraId="1F0DD311" w14:textId="0482D0BA"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p>
        </w:tc>
      </w:tr>
      <w:tr w:rsidR="00FC71BE" w:rsidRPr="00FC71BE" w14:paraId="2A9161B1" w14:textId="77777777">
        <w:tc>
          <w:tcPr>
            <w:tcW w:w="4493" w:type="pct"/>
          </w:tcPr>
          <w:p w14:paraId="36804848"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r>
                      <w:rPr>
                        <w:rFonts w:ascii="Cambria Math" w:hAnsi="Cambria Math"/>
                        <w:color w:val="auto"/>
                      </w:rPr>
                      <m:t>r</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1</m:t>
                    </m:r>
                  </m:num>
                  <m:den>
                    <m:r>
                      <w:rPr>
                        <w:rFonts w:ascii="Cambria Math" w:hAnsi="Cambria Math"/>
                        <w:color w:val="auto"/>
                      </w:rPr>
                      <m:t>4</m:t>
                    </m:r>
                    <m:r>
                      <w:rPr>
                        <w:rFonts w:ascii="Cambria Math" w:hAnsi="Cambria Math"/>
                        <w:color w:val="auto"/>
                      </w:rPr>
                      <m:t>πλL</m:t>
                    </m:r>
                  </m:den>
                </m:f>
                <m:d>
                  <m:dPr>
                    <m:begChr m:val="["/>
                    <m:endChr m:val="]"/>
                    <m:ctrlPr>
                      <w:rPr>
                        <w:rFonts w:ascii="Cambria Math" w:hAnsi="Cambria Math"/>
                        <w:color w:val="auto"/>
                      </w:rPr>
                    </m:ctrlPr>
                  </m:dPr>
                  <m:e>
                    <m:f>
                      <m:fPr>
                        <m:ctrlPr>
                          <w:rPr>
                            <w:rFonts w:ascii="Cambria Math" w:hAnsi="Cambria Math"/>
                            <w:color w:val="auto"/>
                          </w:rPr>
                        </m:ctrlPr>
                      </m:fPr>
                      <m:num>
                        <m:r>
                          <w:rPr>
                            <w:rFonts w:ascii="Cambria Math" w:hAnsi="Cambria Math"/>
                            <w:color w:val="auto"/>
                          </w:rPr>
                          <m:t>2</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sub>
                                    </m:sSub>
                                  </m:den>
                                </m:f>
                              </m:e>
                            </m:d>
                          </m:e>
                        </m:func>
                      </m:num>
                      <m:den>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r>
                      <w:rPr>
                        <w:rFonts w:ascii="Cambria Math" w:hAnsi="Cambria Math"/>
                        <w:color w:val="auto"/>
                      </w:rPr>
                      <m:t>-</m:t>
                    </m:r>
                    <m:r>
                      <w:rPr>
                        <w:rFonts w:ascii="Cambria Math" w:hAnsi="Cambria Math"/>
                        <w:color w:val="auto"/>
                      </w:rPr>
                      <m:t>1</m:t>
                    </m:r>
                  </m:e>
                </m:d>
              </m:oMath>
            </m:oMathPara>
          </w:p>
        </w:tc>
        <w:tc>
          <w:tcPr>
            <w:tcW w:w="507" w:type="pct"/>
          </w:tcPr>
          <w:p w14:paraId="7261BCB5" w14:textId="2DF02BF5"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p>
        </w:tc>
      </w:tr>
      <w:tr w:rsidR="00FC71BE" w:rsidRPr="00FC71BE" w14:paraId="5700A763" w14:textId="77777777">
        <w:tc>
          <w:tcPr>
            <w:tcW w:w="4493" w:type="pct"/>
          </w:tcPr>
          <w:p w14:paraId="265D998C"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r>
                      <w:rPr>
                        <w:rFonts w:ascii="Cambria Math" w:hAnsi="Cambria Math"/>
                        <w:color w:val="auto"/>
                      </w:rPr>
                      <m:t>a</m:t>
                    </m:r>
                  </m:sub>
                </m:sSub>
                <m:r>
                  <w:rPr>
                    <w:rFonts w:ascii="Cambria Math" w:hAnsi="Cambria Math"/>
                    <w:color w:val="auto"/>
                  </w:rPr>
                  <m:t>=</m:t>
                </m:r>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r>
                      <w:rPr>
                        <w:rFonts w:ascii="Cambria Math" w:hAnsi="Cambria Math"/>
                        <w:color w:val="auto"/>
                      </w:rPr>
                      <m:t>a</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L</m:t>
                    </m:r>
                  </m:num>
                  <m:den>
                    <m:r>
                      <w:rPr>
                        <w:rFonts w:ascii="Cambria Math" w:hAnsi="Cambria Math"/>
                        <w:color w:val="auto"/>
                      </w:rPr>
                      <m:t>2</m:t>
                    </m:r>
                    <m:r>
                      <w:rPr>
                        <w:rFonts w:ascii="Cambria Math" w:hAnsi="Cambria Math"/>
                        <w:color w:val="auto"/>
                      </w:rPr>
                      <m:t>πλ</m:t>
                    </m:r>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oMath>
            </m:oMathPara>
          </w:p>
        </w:tc>
        <w:tc>
          <w:tcPr>
            <w:tcW w:w="507" w:type="pct"/>
          </w:tcPr>
          <w:p w14:paraId="6FD845F4" w14:textId="06029AB9"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p>
        </w:tc>
      </w:tr>
    </w:tbl>
    <w:p w14:paraId="4F2263A5" w14:textId="29FF2772" w:rsidR="003F1EA9" w:rsidRPr="00FC71BE" w:rsidRDefault="003F1EA9" w:rsidP="003F1EA9">
      <w:r w:rsidRPr="00FC71BE">
        <w:t xml:space="preserve">However, for components with heat generated inside them such as the stator and rotor iron cores and magnets, a third equivalent thermal resistance </w:t>
      </w:r>
      <m:oMath>
        <m:sSub>
          <m:sSubPr>
            <m:ctrlPr>
              <w:rPr>
                <w:rFonts w:ascii="Cambria Math" w:hAnsi="Cambria Math"/>
                <w:i/>
              </w:rPr>
            </m:ctrlPr>
          </m:sSubPr>
          <m:e>
            <m:r>
              <w:rPr>
                <w:rFonts w:ascii="Cambria Math" w:hAnsi="Cambria Math"/>
              </w:rPr>
              <m:t>R</m:t>
            </m:r>
          </m:e>
          <m:sub>
            <m:r>
              <w:rPr>
                <w:rFonts w:ascii="Cambria Math" w:hAnsi="Cambria Math"/>
              </w:rPr>
              <m:t>3</m:t>
            </m:r>
          </m:sub>
        </m:sSub>
      </m:oMath>
      <w:r w:rsidRPr="00FC71BE">
        <w:t xml:space="preserve"> needs to be introduced, as shown in </w:t>
      </w:r>
      <w:r w:rsidRPr="00FC71BE">
        <w:fldChar w:fldCharType="begin"/>
      </w:r>
      <w:r w:rsidRPr="00FC71BE">
        <w:instrText xml:space="preserve"> REF _Ref140243357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8</w:t>
      </w:r>
      <w:r w:rsidRPr="00FC71BE">
        <w:fldChar w:fldCharType="end"/>
      </w:r>
      <w:r w:rsidRPr="00FC71BE">
        <w:t xml:space="preserve"> (b). The values of </w:t>
      </w:r>
      <m:oMath>
        <m:sSub>
          <m:sSubPr>
            <m:ctrlPr>
              <w:rPr>
                <w:rFonts w:ascii="Cambria Math" w:hAnsi="Cambria Math"/>
                <w:i/>
              </w:rPr>
            </m:ctrlPr>
          </m:sSubPr>
          <m:e>
            <m:r>
              <w:rPr>
                <w:rFonts w:ascii="Cambria Math" w:hAnsi="Cambria Math"/>
              </w:rPr>
              <m:t>R</m:t>
            </m:r>
          </m:e>
          <m:sub>
            <m:r>
              <w:rPr>
                <w:rFonts w:ascii="Cambria Math" w:hAnsi="Cambria Math"/>
              </w:rPr>
              <m:t>3</m:t>
            </m:r>
          </m:sub>
        </m:sSub>
      </m:oMath>
      <w:r w:rsidRPr="00FC71BE">
        <w:t xml:space="preserve"> in radial and axial directions have been derived using</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3DC0E9A0" w14:textId="77777777">
        <w:tc>
          <w:tcPr>
            <w:tcW w:w="4493" w:type="pct"/>
            <w:vAlign w:val="center"/>
          </w:tcPr>
          <w:p w14:paraId="7555933F"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3</m:t>
                    </m:r>
                    <m:r>
                      <w:rPr>
                        <w:rFonts w:ascii="Cambria Math" w:hAnsi="Cambria Math"/>
                        <w:color w:val="auto"/>
                      </w:rPr>
                      <m:t>r</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m:t>
                    </m:r>
                    <m:r>
                      <w:rPr>
                        <w:rFonts w:ascii="Cambria Math" w:hAnsi="Cambria Math"/>
                        <w:color w:val="auto"/>
                      </w:rPr>
                      <m:t>1</m:t>
                    </m:r>
                  </m:num>
                  <m:den>
                    <m:r>
                      <w:rPr>
                        <w:rFonts w:ascii="Cambria Math" w:hAnsi="Cambria Math"/>
                        <w:color w:val="auto"/>
                      </w:rPr>
                      <m:t>8</m:t>
                    </m:r>
                    <m:r>
                      <w:rPr>
                        <w:rFonts w:ascii="Cambria Math" w:hAnsi="Cambria Math"/>
                        <w:color w:val="auto"/>
                      </w:rPr>
                      <m:t>πλL</m:t>
                    </m:r>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d>
                  <m:dPr>
                    <m:begChr m:val="["/>
                    <m:endChr m:val="]"/>
                    <m:ctrlPr>
                      <w:rPr>
                        <w:rFonts w:ascii="Cambria Math" w:hAnsi="Cambria Math"/>
                        <w:color w:val="auto"/>
                      </w:rPr>
                    </m:ctrlPr>
                  </m:dPr>
                  <m:e>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r>
                      <w:rPr>
                        <w:rFonts w:ascii="Cambria Math" w:hAnsi="Cambria Math"/>
                        <w:color w:val="auto"/>
                      </w:rPr>
                      <m:t>-</m:t>
                    </m:r>
                    <m:f>
                      <m:fPr>
                        <m:ctrlPr>
                          <w:rPr>
                            <w:rFonts w:ascii="Cambria Math" w:hAnsi="Cambria Math"/>
                            <w:color w:val="auto"/>
                          </w:rPr>
                        </m:ctrlPr>
                      </m:fPr>
                      <m:num>
                        <m:r>
                          <w:rPr>
                            <w:rFonts w:ascii="Cambria Math" w:hAnsi="Cambria Math"/>
                            <w:color w:val="auto"/>
                          </w:rPr>
                          <m:t>4</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sub>
                                    </m:sSub>
                                  </m:den>
                                </m:f>
                              </m:e>
                            </m:d>
                          </m:e>
                        </m:func>
                      </m:num>
                      <m:den>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e>
                </m:d>
              </m:oMath>
            </m:oMathPara>
          </w:p>
        </w:tc>
        <w:tc>
          <w:tcPr>
            <w:tcW w:w="507" w:type="pct"/>
            <w:vAlign w:val="center"/>
          </w:tcPr>
          <w:p w14:paraId="6EFEBDB6" w14:textId="3ED31C98"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6</w:t>
            </w:r>
            <w:r w:rsidR="002839C4" w:rsidRPr="00FC71BE">
              <w:rPr>
                <w:color w:val="auto"/>
              </w:rPr>
              <w:fldChar w:fldCharType="end"/>
            </w:r>
            <w:r w:rsidRPr="00FC71BE">
              <w:rPr>
                <w:color w:val="auto"/>
              </w:rPr>
              <w:t>)</w:t>
            </w:r>
          </w:p>
        </w:tc>
      </w:tr>
      <w:tr w:rsidR="00FC71BE" w:rsidRPr="00FC71BE" w14:paraId="521E92AE" w14:textId="77777777">
        <w:tc>
          <w:tcPr>
            <w:tcW w:w="4493" w:type="pct"/>
          </w:tcPr>
          <w:p w14:paraId="2CCF785E"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3</m:t>
                    </m:r>
                    <m:r>
                      <w:rPr>
                        <w:rFonts w:ascii="Cambria Math" w:hAnsi="Cambria Math"/>
                        <w:color w:val="auto"/>
                      </w:rPr>
                      <m:t>a</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m:t>
                    </m:r>
                    <m:r>
                      <w:rPr>
                        <w:rFonts w:ascii="Cambria Math" w:hAnsi="Cambria Math"/>
                        <w:color w:val="auto"/>
                      </w:rPr>
                      <m:t>L</m:t>
                    </m:r>
                  </m:num>
                  <m:den>
                    <m:r>
                      <w:rPr>
                        <w:rFonts w:ascii="Cambria Math" w:hAnsi="Cambria Math"/>
                        <w:color w:val="auto"/>
                      </w:rPr>
                      <m:t>6</m:t>
                    </m:r>
                    <m:r>
                      <w:rPr>
                        <w:rFonts w:ascii="Cambria Math" w:hAnsi="Cambria Math"/>
                        <w:color w:val="auto"/>
                      </w:rPr>
                      <m:t>πλ</m:t>
                    </m:r>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oMath>
            </m:oMathPara>
          </w:p>
        </w:tc>
        <w:tc>
          <w:tcPr>
            <w:tcW w:w="507" w:type="pct"/>
          </w:tcPr>
          <w:p w14:paraId="2E496E70" w14:textId="72852109"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7</w:t>
            </w:r>
            <w:r w:rsidR="002839C4" w:rsidRPr="00FC71BE">
              <w:rPr>
                <w:color w:val="auto"/>
              </w:rPr>
              <w:fldChar w:fldCharType="end"/>
            </w:r>
            <w:r w:rsidRPr="00FC71BE">
              <w:rPr>
                <w:color w:val="auto"/>
              </w:rPr>
              <w:t>)</w:t>
            </w:r>
          </w:p>
        </w:tc>
      </w:tr>
    </w:tbl>
    <w:p w14:paraId="79EE0ECD" w14:textId="6A77EF50" w:rsidR="003F1EA9" w:rsidRPr="00FC71BE" w:rsidRDefault="003F1EA9" w:rsidP="003F1EA9">
      <w:r w:rsidRPr="00FC71BE">
        <w:t xml:space="preserve">Similarly, for the coils, teeth and end-windings having different angular spans </w:t>
      </w:r>
      <m:oMath>
        <m:r>
          <w:rPr>
            <w:rFonts w:ascii="Cambria Math" w:hAnsi="Cambria Math"/>
          </w:rPr>
          <m:t>α</m:t>
        </m:r>
      </m:oMath>
      <w:r w:rsidRPr="00FC71BE">
        <w:t xml:space="preserve">, their equivalent thermal resistances can be derived by </w:t>
      </w:r>
      <w:r w:rsidRPr="00FC71BE">
        <w:fldChar w:fldCharType="begin"/>
      </w:r>
      <w:r w:rsidR="00BA33ED" w:rsidRPr="00FC71BE">
        <w:instrText xml:space="preserve"> ADDIN EN.CITE &lt;EndNote&gt;&lt;Cite&gt;&lt;Author&gt;Mezani&lt;/Author&gt;&lt;Year&gt;2005&lt;/Year&gt;&lt;RecNum&gt;35&lt;/RecNum&gt;&lt;DisplayText&gt;[138]&lt;/DisplayText&gt;&lt;record&gt;&lt;rec-number&gt;35&lt;/rec-number&gt;&lt;foreign-keys&gt;&lt;key app="EN" db-id="rf2p5e05jx0x9jep00uvx0s1fvaww2dfa0r9" timestamp="1689515213"&gt;35&lt;/key&gt;&lt;/foreign-keys&gt;&lt;ref-type name="Journal Article"&gt;17&lt;/ref-type&gt;&lt;contributors&gt;&lt;authors&gt;&lt;author&gt;Mezani, Smail&lt;/author&gt;&lt;author&gt;Takorabet, N&lt;/author&gt;&lt;author&gt;Laporte, B&lt;/author&gt;&lt;/authors&gt;&lt;/contributors&gt;&lt;titles&gt;&lt;title&gt;A combined electromagnetic and thermal analysis of induction motors&lt;/title&gt;&lt;secondary-title&gt;IEEE transactions on Magnetics&lt;/secondary-title&gt;&lt;/titles&gt;&lt;periodical&gt;&lt;full-title&gt;IEEE Transactions on Magnetics&lt;/full-title&gt;&lt;/periodical&gt;&lt;pages&gt;1572-1575&lt;/pages&gt;&lt;volume&gt;41&lt;/volume&gt;&lt;number&gt;5&lt;/number&gt;&lt;dates&gt;&lt;year&gt;2005&lt;/year&gt;&lt;/dates&gt;&lt;isbn&gt;0018-9464&lt;/isbn&gt;&lt;urls&gt;&lt;/urls&gt;&lt;/record&gt;&lt;/Cite&gt;&lt;/EndNote&gt;</w:instrText>
      </w:r>
      <w:r w:rsidRPr="00FC71BE">
        <w:fldChar w:fldCharType="separate"/>
      </w:r>
      <w:r w:rsidR="00BA33ED" w:rsidRPr="00FC71BE">
        <w:t>[138]</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720E6700" w14:textId="77777777">
        <w:tc>
          <w:tcPr>
            <w:tcW w:w="4493" w:type="pct"/>
            <w:vAlign w:val="center"/>
          </w:tcPr>
          <w:p w14:paraId="3CBAB666"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r>
                      <w:rPr>
                        <w:rFonts w:ascii="Cambria Math" w:hAnsi="Cambria Math"/>
                        <w:color w:val="auto"/>
                      </w:rPr>
                      <m:t>r</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1</m:t>
                    </m:r>
                  </m:num>
                  <m:den>
                    <m:r>
                      <w:rPr>
                        <w:rFonts w:ascii="Cambria Math" w:hAnsi="Cambria Math"/>
                        <w:color w:val="auto"/>
                      </w:rPr>
                      <m:t xml:space="preserve"> 2</m:t>
                    </m:r>
                    <m:r>
                      <w:rPr>
                        <w:rFonts w:ascii="Cambria Math" w:hAnsi="Cambria Math"/>
                        <w:color w:val="auto"/>
                      </w:rPr>
                      <m:t>αλL</m:t>
                    </m:r>
                  </m:den>
                </m:f>
                <m:d>
                  <m:dPr>
                    <m:begChr m:val="["/>
                    <m:endChr m:val="]"/>
                    <m:ctrlPr>
                      <w:rPr>
                        <w:rFonts w:ascii="Cambria Math" w:hAnsi="Cambria Math"/>
                        <w:color w:val="auto"/>
                      </w:rPr>
                    </m:ctrlPr>
                  </m:dPr>
                  <m:e>
                    <m:r>
                      <w:rPr>
                        <w:rFonts w:ascii="Cambria Math" w:hAnsi="Cambria Math"/>
                        <w:color w:val="auto"/>
                      </w:rPr>
                      <m:t>1-</m:t>
                    </m:r>
                    <m:f>
                      <m:fPr>
                        <m:ctrlPr>
                          <w:rPr>
                            <w:rFonts w:ascii="Cambria Math" w:hAnsi="Cambria Math"/>
                            <w:color w:val="auto"/>
                          </w:rPr>
                        </m:ctrlPr>
                      </m:fPr>
                      <m:num>
                        <m:r>
                          <w:rPr>
                            <w:rFonts w:ascii="Cambria Math" w:hAnsi="Cambria Math"/>
                            <w:color w:val="auto"/>
                          </w:rPr>
                          <m:t>2</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sub>
                                    </m:sSub>
                                  </m:den>
                                </m:f>
                              </m:e>
                            </m:d>
                          </m:e>
                        </m:func>
                      </m:num>
                      <m:den>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e>
                </m:d>
              </m:oMath>
            </m:oMathPara>
          </w:p>
        </w:tc>
        <w:tc>
          <w:tcPr>
            <w:tcW w:w="507" w:type="pct"/>
            <w:vAlign w:val="center"/>
          </w:tcPr>
          <w:p w14:paraId="61F43E7F" w14:textId="762CA3E4"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8</w:t>
            </w:r>
            <w:r w:rsidR="002839C4" w:rsidRPr="00FC71BE">
              <w:rPr>
                <w:color w:val="auto"/>
              </w:rPr>
              <w:fldChar w:fldCharType="end"/>
            </w:r>
            <w:r w:rsidRPr="00FC71BE">
              <w:rPr>
                <w:color w:val="auto"/>
              </w:rPr>
              <w:t>)</w:t>
            </w:r>
          </w:p>
        </w:tc>
      </w:tr>
      <w:tr w:rsidR="00FC71BE" w:rsidRPr="00FC71BE" w14:paraId="11E160B9" w14:textId="77777777">
        <w:tc>
          <w:tcPr>
            <w:tcW w:w="4493" w:type="pct"/>
          </w:tcPr>
          <w:p w14:paraId="2D92552D"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r>
                      <w:rPr>
                        <w:rFonts w:ascii="Cambria Math" w:hAnsi="Cambria Math"/>
                        <w:color w:val="auto"/>
                      </w:rPr>
                      <m:t>r</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1</m:t>
                    </m:r>
                  </m:num>
                  <m:den>
                    <m:r>
                      <w:rPr>
                        <w:rFonts w:ascii="Cambria Math" w:hAnsi="Cambria Math"/>
                        <w:color w:val="auto"/>
                      </w:rPr>
                      <m:t xml:space="preserve"> 2</m:t>
                    </m:r>
                    <m:r>
                      <w:rPr>
                        <w:rFonts w:ascii="Cambria Math" w:hAnsi="Cambria Math"/>
                        <w:color w:val="auto"/>
                      </w:rPr>
                      <m:t>αλL</m:t>
                    </m:r>
                  </m:den>
                </m:f>
                <m:d>
                  <m:dPr>
                    <m:begChr m:val="["/>
                    <m:endChr m:val="]"/>
                    <m:ctrlPr>
                      <w:rPr>
                        <w:rFonts w:ascii="Cambria Math" w:hAnsi="Cambria Math"/>
                        <w:color w:val="auto"/>
                      </w:rPr>
                    </m:ctrlPr>
                  </m:dPr>
                  <m:e>
                    <m:f>
                      <m:fPr>
                        <m:ctrlPr>
                          <w:rPr>
                            <w:rFonts w:ascii="Cambria Math" w:hAnsi="Cambria Math"/>
                            <w:color w:val="auto"/>
                          </w:rPr>
                        </m:ctrlPr>
                      </m:fPr>
                      <m:num>
                        <m:r>
                          <w:rPr>
                            <w:rFonts w:ascii="Cambria Math" w:hAnsi="Cambria Math"/>
                            <w:color w:val="auto"/>
                          </w:rPr>
                          <m:t>2</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sub>
                                    </m:sSub>
                                  </m:den>
                                </m:f>
                              </m:e>
                            </m:d>
                          </m:e>
                        </m:func>
                      </m:num>
                      <m:den>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r>
                      <w:rPr>
                        <w:rFonts w:ascii="Cambria Math" w:hAnsi="Cambria Math"/>
                        <w:color w:val="auto"/>
                      </w:rPr>
                      <m:t>-</m:t>
                    </m:r>
                    <m:r>
                      <w:rPr>
                        <w:rFonts w:ascii="Cambria Math" w:hAnsi="Cambria Math"/>
                        <w:color w:val="auto"/>
                      </w:rPr>
                      <m:t>1</m:t>
                    </m:r>
                  </m:e>
                </m:d>
              </m:oMath>
            </m:oMathPara>
          </w:p>
        </w:tc>
        <w:tc>
          <w:tcPr>
            <w:tcW w:w="507" w:type="pct"/>
          </w:tcPr>
          <w:p w14:paraId="61DA61A8" w14:textId="338F73F2"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9</w:t>
            </w:r>
            <w:r w:rsidR="002839C4" w:rsidRPr="00FC71BE">
              <w:rPr>
                <w:color w:val="auto"/>
              </w:rPr>
              <w:fldChar w:fldCharType="end"/>
            </w:r>
            <w:r w:rsidRPr="00FC71BE">
              <w:rPr>
                <w:color w:val="auto"/>
              </w:rPr>
              <w:t>)</w:t>
            </w:r>
          </w:p>
        </w:tc>
      </w:tr>
      <w:tr w:rsidR="00FC71BE" w:rsidRPr="00FC71BE" w14:paraId="072B6506" w14:textId="77777777">
        <w:tc>
          <w:tcPr>
            <w:tcW w:w="4493" w:type="pct"/>
          </w:tcPr>
          <w:p w14:paraId="0E4841E5"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r>
                      <w:rPr>
                        <w:rFonts w:ascii="Cambria Math" w:hAnsi="Cambria Math"/>
                        <w:color w:val="auto"/>
                      </w:rPr>
                      <m:t>a</m:t>
                    </m:r>
                  </m:sub>
                </m:sSub>
                <m:r>
                  <w:rPr>
                    <w:rFonts w:ascii="Cambria Math" w:hAnsi="Cambria Math"/>
                    <w:color w:val="auto"/>
                  </w:rPr>
                  <m:t>=</m:t>
                </m:r>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r>
                      <w:rPr>
                        <w:rFonts w:ascii="Cambria Math" w:hAnsi="Cambria Math"/>
                        <w:color w:val="auto"/>
                      </w:rPr>
                      <m:t>a</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L</m:t>
                    </m:r>
                  </m:num>
                  <m:den>
                    <m:r>
                      <w:rPr>
                        <w:rFonts w:ascii="Cambria Math" w:hAnsi="Cambria Math"/>
                        <w:color w:val="auto"/>
                      </w:rPr>
                      <m:t>αλ</m:t>
                    </m:r>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oMath>
            </m:oMathPara>
          </w:p>
        </w:tc>
        <w:tc>
          <w:tcPr>
            <w:tcW w:w="507" w:type="pct"/>
          </w:tcPr>
          <w:p w14:paraId="0514B9DF" w14:textId="0073780E"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10</w:t>
            </w:r>
            <w:r w:rsidR="002839C4" w:rsidRPr="00FC71BE">
              <w:rPr>
                <w:color w:val="auto"/>
              </w:rPr>
              <w:fldChar w:fldCharType="end"/>
            </w:r>
            <w:r w:rsidRPr="00FC71BE">
              <w:rPr>
                <w:color w:val="auto"/>
              </w:rPr>
              <w:t>)</w:t>
            </w:r>
          </w:p>
        </w:tc>
      </w:tr>
      <w:tr w:rsidR="00FC71BE" w:rsidRPr="00FC71BE" w14:paraId="0307D47E" w14:textId="77777777">
        <w:tc>
          <w:tcPr>
            <w:tcW w:w="4493" w:type="pct"/>
          </w:tcPr>
          <w:p w14:paraId="26CF55D2"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3</m:t>
                    </m:r>
                    <m:r>
                      <w:rPr>
                        <w:rFonts w:ascii="Cambria Math" w:hAnsi="Cambria Math"/>
                        <w:color w:val="auto"/>
                      </w:rPr>
                      <m:t>r</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m:t>
                    </m:r>
                    <m:r>
                      <w:rPr>
                        <w:rFonts w:ascii="Cambria Math" w:hAnsi="Cambria Math"/>
                        <w:color w:val="auto"/>
                      </w:rPr>
                      <m:t>1</m:t>
                    </m:r>
                  </m:num>
                  <m:den>
                    <m:r>
                      <w:rPr>
                        <w:rFonts w:ascii="Cambria Math" w:hAnsi="Cambria Math"/>
                        <w:color w:val="auto"/>
                      </w:rPr>
                      <m:t>4</m:t>
                    </m:r>
                    <m:r>
                      <w:rPr>
                        <w:rFonts w:ascii="Cambria Math" w:hAnsi="Cambria Math"/>
                        <w:color w:val="auto"/>
                      </w:rPr>
                      <m:t>αλL</m:t>
                    </m:r>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d>
                  <m:dPr>
                    <m:begChr m:val="["/>
                    <m:endChr m:val="]"/>
                    <m:ctrlPr>
                      <w:rPr>
                        <w:rFonts w:ascii="Cambria Math" w:hAnsi="Cambria Math"/>
                        <w:color w:val="auto"/>
                      </w:rPr>
                    </m:ctrlPr>
                  </m:dPr>
                  <m:e>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r>
                      <w:rPr>
                        <w:rFonts w:ascii="Cambria Math" w:hAnsi="Cambria Math"/>
                        <w:color w:val="auto"/>
                      </w:rPr>
                      <m:t>-</m:t>
                    </m:r>
                    <m:f>
                      <m:fPr>
                        <m:ctrlPr>
                          <w:rPr>
                            <w:rFonts w:ascii="Cambria Math" w:hAnsi="Cambria Math"/>
                            <w:color w:val="auto"/>
                          </w:rPr>
                        </m:ctrlPr>
                      </m:fPr>
                      <m:num>
                        <m:r>
                          <w:rPr>
                            <w:rFonts w:ascii="Cambria Math" w:hAnsi="Cambria Math"/>
                            <w:color w:val="auto"/>
                          </w:rPr>
                          <m:t>4</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sub>
                                    </m:sSub>
                                  </m:den>
                                </m:f>
                              </m:e>
                            </m:d>
                          </m:e>
                        </m:func>
                      </m:num>
                      <m:den>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e>
                </m:d>
              </m:oMath>
            </m:oMathPara>
          </w:p>
        </w:tc>
        <w:tc>
          <w:tcPr>
            <w:tcW w:w="507" w:type="pct"/>
          </w:tcPr>
          <w:p w14:paraId="7B1C2D6E" w14:textId="54D6180A"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11</w:t>
            </w:r>
            <w:r w:rsidR="002839C4" w:rsidRPr="00FC71BE">
              <w:rPr>
                <w:color w:val="auto"/>
              </w:rPr>
              <w:fldChar w:fldCharType="end"/>
            </w:r>
            <w:r w:rsidRPr="00FC71BE">
              <w:rPr>
                <w:color w:val="auto"/>
              </w:rPr>
              <w:t>)</w:t>
            </w:r>
          </w:p>
        </w:tc>
      </w:tr>
      <w:tr w:rsidR="00FC71BE" w:rsidRPr="00FC71BE" w14:paraId="6C594E61" w14:textId="77777777">
        <w:tc>
          <w:tcPr>
            <w:tcW w:w="4493" w:type="pct"/>
          </w:tcPr>
          <w:p w14:paraId="5E6F9F3E"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3</m:t>
                    </m:r>
                    <m:r>
                      <w:rPr>
                        <w:rFonts w:ascii="Cambria Math" w:hAnsi="Cambria Math"/>
                        <w:color w:val="auto"/>
                      </w:rPr>
                      <m:t>a</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m:t>
                    </m:r>
                    <m:r>
                      <w:rPr>
                        <w:rFonts w:ascii="Cambria Math" w:hAnsi="Cambria Math"/>
                        <w:color w:val="auto"/>
                      </w:rPr>
                      <m:t>L</m:t>
                    </m:r>
                  </m:num>
                  <m:den>
                    <m:r>
                      <w:rPr>
                        <w:rFonts w:ascii="Cambria Math" w:hAnsi="Cambria Math"/>
                        <w:color w:val="auto"/>
                      </w:rPr>
                      <m:t>3</m:t>
                    </m:r>
                    <m:r>
                      <w:rPr>
                        <w:rFonts w:ascii="Cambria Math" w:hAnsi="Cambria Math"/>
                        <w:color w:val="auto"/>
                      </w:rPr>
                      <m:t>αλ</m:t>
                    </m:r>
                    <m:d>
                      <m:dPr>
                        <m:ctrlPr>
                          <w:rPr>
                            <w:rFonts w:ascii="Cambria Math" w:hAnsi="Cambria Math"/>
                            <w:color w:val="auto"/>
                          </w:rPr>
                        </m:ctrlPr>
                      </m:dPr>
                      <m:e>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1</m:t>
                            </m:r>
                          </m:sub>
                          <m:sup>
                            <m:r>
                              <w:rPr>
                                <w:rFonts w:ascii="Cambria Math" w:hAnsi="Cambria Math"/>
                                <w:color w:val="auto"/>
                              </w:rPr>
                              <m:t>2</m:t>
                            </m:r>
                          </m:sup>
                        </m:sSubSup>
                        <m:r>
                          <w:rPr>
                            <w:rFonts w:ascii="Cambria Math" w:hAnsi="Cambria Math"/>
                            <w:color w:val="auto"/>
                          </w:rPr>
                          <m:t>-</m:t>
                        </m:r>
                        <m:sSubSup>
                          <m:sSubSupPr>
                            <m:ctrlPr>
                              <w:rPr>
                                <w:rFonts w:ascii="Cambria Math" w:hAnsi="Cambria Math"/>
                                <w:color w:val="auto"/>
                              </w:rPr>
                            </m:ctrlPr>
                          </m:sSubSupPr>
                          <m:e>
                            <m:r>
                              <w:rPr>
                                <w:rFonts w:ascii="Cambria Math" w:hAnsi="Cambria Math"/>
                                <w:color w:val="auto"/>
                              </w:rPr>
                              <m:t>r</m:t>
                            </m:r>
                          </m:e>
                          <m:sub>
                            <m:r>
                              <w:rPr>
                                <w:rFonts w:ascii="Cambria Math" w:hAnsi="Cambria Math"/>
                                <w:color w:val="auto"/>
                              </w:rPr>
                              <m:t>2</m:t>
                            </m:r>
                          </m:sub>
                          <m:sup>
                            <m:r>
                              <w:rPr>
                                <w:rFonts w:ascii="Cambria Math" w:hAnsi="Cambria Math"/>
                                <w:color w:val="auto"/>
                              </w:rPr>
                              <m:t>2</m:t>
                            </m:r>
                          </m:sup>
                        </m:sSubSup>
                      </m:e>
                    </m:d>
                  </m:den>
                </m:f>
              </m:oMath>
            </m:oMathPara>
          </w:p>
        </w:tc>
        <w:tc>
          <w:tcPr>
            <w:tcW w:w="507" w:type="pct"/>
          </w:tcPr>
          <w:p w14:paraId="7B3CF393" w14:textId="3AF43512"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12</w:t>
            </w:r>
            <w:r w:rsidR="002839C4" w:rsidRPr="00FC71BE">
              <w:rPr>
                <w:color w:val="auto"/>
              </w:rPr>
              <w:fldChar w:fldCharType="end"/>
            </w:r>
            <w:r w:rsidRPr="00FC71BE">
              <w:rPr>
                <w:color w:val="auto"/>
              </w:rPr>
              <w:t>)</w:t>
            </w:r>
          </w:p>
        </w:tc>
      </w:tr>
    </w:tbl>
    <w:p w14:paraId="3920C25F" w14:textId="392929E8" w:rsidR="003F1EA9" w:rsidRPr="00FC71BE" w:rsidRDefault="003F1EA9" w:rsidP="003F1EA9">
      <w:r w:rsidRPr="00FC71BE">
        <w:t xml:space="preserve">The consideration of heat transfer in circumferential direction for coils and teeth is also necessary. They can be regarded as trapezoidal components, and their equivalent thermal resistances can be derived by </w:t>
      </w:r>
      <w:r w:rsidRPr="00FC71BE">
        <w:fldChar w:fldCharType="begin"/>
      </w:r>
      <w:r w:rsidR="00BA33ED" w:rsidRPr="00FC71BE">
        <w:instrText xml:space="preserve"> ADDIN EN.CITE &lt;EndNote&gt;&lt;Cite&gt;&lt;Author&gt;Terzioğlu&lt;/Author&gt;&lt;Year&gt;2022&lt;/Year&gt;&lt;RecNum&gt;36&lt;/RecNum&gt;&lt;DisplayText&gt;[139]&lt;/DisplayText&gt;&lt;record&gt;&lt;rec-number&gt;36&lt;/rec-number&gt;&lt;foreign-keys&gt;&lt;key app="EN" db-id="rf2p5e05jx0x9jep00uvx0s1fvaww2dfa0r9" timestamp="1689515316"&gt;36&lt;/key&gt;&lt;/foreign-keys&gt;&lt;ref-type name="Journal Article"&gt;17&lt;/ref-type&gt;&lt;contributors&gt;&lt;authors&gt;&lt;author&gt;Terzioğlu, H&lt;/author&gt;&lt;author&gt;Agacayak, Abdullah Cem&lt;/author&gt;&lt;/authors&gt;&lt;/contributors&gt;&lt;titles&gt;&lt;title&gt;Real-Time Investigation of Temperature Effect on Induction Motor Equivalent Circuit Parameter Change&lt;/title&gt;&lt;secondary-title&gt;Elektronika ir Elektrotechnika&lt;/secondary-title&gt;&lt;/titles&gt;&lt;periodical&gt;&lt;full-title&gt;Elektronika ir Elektrotechnika&lt;/full-title&gt;&lt;/periodical&gt;&lt;dates&gt;&lt;year&gt;2022&lt;/year&gt;&lt;/dates&gt;&lt;isbn&gt;1392-1215&lt;/isbn&gt;&lt;urls&gt;&lt;/urls&gt;&lt;/record&gt;&lt;/Cite&gt;&lt;/EndNote&gt;</w:instrText>
      </w:r>
      <w:r w:rsidRPr="00FC71BE">
        <w:fldChar w:fldCharType="separate"/>
      </w:r>
      <w:r w:rsidR="00BA33ED" w:rsidRPr="00FC71BE">
        <w:t>[139]</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721BC07" w14:textId="77777777">
        <w:tc>
          <w:tcPr>
            <w:tcW w:w="4493" w:type="pct"/>
          </w:tcPr>
          <w:p w14:paraId="38CD75FA"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r>
                      <w:rPr>
                        <w:rFonts w:ascii="Cambria Math" w:hAnsi="Cambria Math"/>
                        <w:color w:val="auto"/>
                      </w:rPr>
                      <m:t>c</m:t>
                    </m:r>
                  </m:sub>
                </m:sSub>
                <m:r>
                  <w:rPr>
                    <w:rFonts w:ascii="Cambria Math" w:hAnsi="Cambria Math"/>
                    <w:color w:val="auto"/>
                  </w:rPr>
                  <m:t>=</m:t>
                </m:r>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r>
                      <w:rPr>
                        <w:rFonts w:ascii="Cambria Math" w:hAnsi="Cambria Math"/>
                        <w:color w:val="auto"/>
                      </w:rPr>
                      <m:t>c</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α</m:t>
                    </m:r>
                  </m:num>
                  <m:den>
                    <m:r>
                      <w:rPr>
                        <w:rFonts w:ascii="Cambria Math" w:hAnsi="Cambria Math"/>
                        <w:color w:val="auto"/>
                      </w:rPr>
                      <m:t>λL</m:t>
                    </m:r>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sub>
                                </m:sSub>
                              </m:den>
                            </m:f>
                          </m:e>
                        </m:d>
                      </m:e>
                    </m:func>
                  </m:den>
                </m:f>
              </m:oMath>
            </m:oMathPara>
          </w:p>
        </w:tc>
        <w:tc>
          <w:tcPr>
            <w:tcW w:w="507" w:type="pct"/>
          </w:tcPr>
          <w:p w14:paraId="3D33CBE4" w14:textId="7300E4C0"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13</w:t>
            </w:r>
            <w:r w:rsidR="002839C4" w:rsidRPr="00FC71BE">
              <w:rPr>
                <w:color w:val="auto"/>
              </w:rPr>
              <w:fldChar w:fldCharType="end"/>
            </w:r>
            <w:r w:rsidRPr="00FC71BE">
              <w:rPr>
                <w:color w:val="auto"/>
              </w:rPr>
              <w:t>)</w:t>
            </w:r>
          </w:p>
        </w:tc>
      </w:tr>
      <w:tr w:rsidR="00FC71BE" w:rsidRPr="00FC71BE" w14:paraId="543CB142" w14:textId="77777777">
        <w:tc>
          <w:tcPr>
            <w:tcW w:w="4493" w:type="pct"/>
          </w:tcPr>
          <w:p w14:paraId="343715FC"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3</m:t>
                    </m:r>
                    <m:r>
                      <w:rPr>
                        <w:rFonts w:ascii="Cambria Math" w:hAnsi="Cambria Math"/>
                        <w:color w:val="auto"/>
                      </w:rPr>
                      <m:t>c</m:t>
                    </m:r>
                  </m:sub>
                </m:sSub>
                <m:r>
                  <w:rPr>
                    <w:rFonts w:ascii="Cambria Math" w:hAnsi="Cambria Math"/>
                    <w:color w:val="auto"/>
                  </w:rPr>
                  <m:t>=</m:t>
                </m:r>
                <m:f>
                  <m:fPr>
                    <m:ctrlPr>
                      <w:rPr>
                        <w:rFonts w:ascii="Cambria Math" w:hAnsi="Cambria Math"/>
                        <w:color w:val="auto"/>
                      </w:rPr>
                    </m:ctrlPr>
                  </m:fPr>
                  <m:num>
                    <m:r>
                      <w:rPr>
                        <w:rFonts w:ascii="Cambria Math" w:hAnsi="Cambria Math"/>
                        <w:color w:val="auto"/>
                      </w:rPr>
                      <m:t>-</m:t>
                    </m:r>
                    <m:r>
                      <w:rPr>
                        <w:rFonts w:ascii="Cambria Math" w:hAnsi="Cambria Math"/>
                        <w:color w:val="auto"/>
                      </w:rPr>
                      <m:t>α</m:t>
                    </m:r>
                  </m:num>
                  <m:den>
                    <m:r>
                      <w:rPr>
                        <w:rFonts w:ascii="Cambria Math" w:hAnsi="Cambria Math"/>
                        <w:color w:val="auto"/>
                      </w:rPr>
                      <m:t>3</m:t>
                    </m:r>
                    <m:r>
                      <w:rPr>
                        <w:rFonts w:ascii="Cambria Math" w:hAnsi="Cambria Math"/>
                        <w:color w:val="auto"/>
                      </w:rPr>
                      <m:t>λL</m:t>
                    </m:r>
                    <m:func>
                      <m:funcPr>
                        <m:ctrlPr>
                          <w:rPr>
                            <w:rFonts w:ascii="Cambria Math" w:hAnsi="Cambria Math"/>
                            <w:color w:val="auto"/>
                          </w:rPr>
                        </m:ctrlPr>
                      </m:funcPr>
                      <m:fName>
                        <m:r>
                          <w:rPr>
                            <w:rFonts w:ascii="Cambria Math" w:hAnsi="Cambria Math"/>
                            <w:color w:val="auto"/>
                          </w:rPr>
                          <m:t>ln</m:t>
                        </m:r>
                      </m:fName>
                      <m:e>
                        <m:d>
                          <m:dPr>
                            <m:ctrlPr>
                              <w:rPr>
                                <w:rFonts w:ascii="Cambria Math" w:hAnsi="Cambria Math"/>
                                <w:color w:val="auto"/>
                              </w:rPr>
                            </m:ctrlPr>
                          </m:dPr>
                          <m:e>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1</m:t>
                                    </m:r>
                                  </m:sub>
                                </m:sSub>
                              </m:num>
                              <m:den>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2</m:t>
                                    </m:r>
                                  </m:sub>
                                </m:sSub>
                              </m:den>
                            </m:f>
                          </m:e>
                        </m:d>
                      </m:e>
                    </m:func>
                  </m:den>
                </m:f>
              </m:oMath>
            </m:oMathPara>
          </w:p>
        </w:tc>
        <w:tc>
          <w:tcPr>
            <w:tcW w:w="507" w:type="pct"/>
          </w:tcPr>
          <w:p w14:paraId="40533C4A" w14:textId="4D8CD270"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14</w:t>
            </w:r>
            <w:r w:rsidR="002839C4" w:rsidRPr="00FC71BE">
              <w:rPr>
                <w:color w:val="auto"/>
              </w:rPr>
              <w:fldChar w:fldCharType="end"/>
            </w:r>
            <w:r w:rsidRPr="00FC71BE">
              <w:rPr>
                <w:color w:val="auto"/>
              </w:rPr>
              <w:t>)</w:t>
            </w:r>
          </w:p>
        </w:tc>
      </w:tr>
    </w:tbl>
    <w:p w14:paraId="37690AAB" w14:textId="603D9D71" w:rsidR="003F1EA9" w:rsidRPr="00FC71BE" w:rsidRDefault="003F1EA9" w:rsidP="003F1EA9">
      <w:r w:rsidRPr="00FC71BE">
        <w:t>The coil with insulation and potting compound has been regarded as an ideal material with anisotropic thermal conductivity. By assuming that the thermal properties of the insulation layer is close to the potting compound, the Hashin and Shtrikman approximation is able to estimate the equivalent thermal conductivity (</w:t>
      </w:r>
      <m:oMath>
        <m:sSub>
          <m:sSubPr>
            <m:ctrlPr>
              <w:rPr>
                <w:rFonts w:ascii="Cambria Math" w:hAnsi="Cambria Math"/>
                <w:i/>
              </w:rPr>
            </m:ctrlPr>
          </m:sSubPr>
          <m:e>
            <m:r>
              <w:rPr>
                <w:rFonts w:ascii="Cambria Math" w:hAnsi="Cambria Math"/>
              </w:rPr>
              <m:t>λ</m:t>
            </m:r>
          </m:e>
          <m:sub>
            <m:r>
              <w:rPr>
                <w:rFonts w:ascii="Cambria Math" w:hAnsi="Cambria Math"/>
              </w:rPr>
              <m:t>e</m:t>
            </m:r>
          </m:sub>
        </m:sSub>
      </m:oMath>
      <w:r w:rsidRPr="00FC71BE">
        <w:t xml:space="preserve">) in the direction which is perpendicular to the direction of current as </w:t>
      </w:r>
      <w:r w:rsidRPr="00FC71BE">
        <w:fldChar w:fldCharType="begin"/>
      </w:r>
      <w:r w:rsidR="00BA33ED" w:rsidRPr="00FC71BE">
        <w:instrText xml:space="preserve"> ADDIN EN.CITE &lt;EndNote&gt;&lt;Cite&gt;&lt;Author&gt;Simpson&lt;/Author&gt;&lt;Year&gt;2013&lt;/Year&gt;&lt;RecNum&gt;37&lt;/RecNum&gt;&lt;DisplayText&gt;[140]&lt;/DisplayText&gt;&lt;record&gt;&lt;rec-number&gt;37&lt;/rec-number&gt;&lt;foreign-keys&gt;&lt;key app="EN" db-id="rf2p5e05jx0x9jep00uvx0s1fvaww2dfa0r9" timestamp="1689515498"&gt;37&lt;/key&gt;&lt;/foreign-keys&gt;&lt;ref-type name="Journal Article"&gt;17&lt;/ref-type&gt;&lt;contributors&gt;&lt;authors&gt;&lt;author&gt;Simpson, Nick&lt;/author&gt;&lt;author&gt;Wrobel, Rafal&lt;/author&gt;&lt;author&gt;Mellor, Phil H&lt;/author&gt;&lt;/authors&gt;&lt;/contributors&gt;&lt;titles&gt;&lt;title&gt;Estimation of equivalent thermal parameters of impregnated electrical windings&lt;/title&gt;&lt;secondary-title&gt;IEEE Transactions on Industry Applications&lt;/secondary-title&gt;&lt;/titles&gt;&lt;periodical&gt;&lt;full-title&gt;IEEE Transactions on Industry Applications&lt;/full-title&gt;&lt;/periodical&gt;&lt;pages&gt;2505-2515&lt;/pages&gt;&lt;volume&gt;49&lt;/volume&gt;&lt;number&gt;6&lt;/number&gt;&lt;dates&gt;&lt;year&gt;2013&lt;/year&gt;&lt;/dates&gt;&lt;isbn&gt;0093-9994&lt;/isbn&gt;&lt;urls&gt;&lt;/urls&gt;&lt;/record&gt;&lt;/Cite&gt;&lt;/EndNote&gt;</w:instrText>
      </w:r>
      <w:r w:rsidRPr="00FC71BE">
        <w:fldChar w:fldCharType="separate"/>
      </w:r>
      <w:r w:rsidR="00BA33ED" w:rsidRPr="00FC71BE">
        <w:t>[140]</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B581947" w14:textId="77777777">
        <w:tc>
          <w:tcPr>
            <w:tcW w:w="4493" w:type="pct"/>
          </w:tcPr>
          <w:p w14:paraId="53CB05DB" w14:textId="77777777" w:rsidR="003F1EA9"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λ</m:t>
                    </m:r>
                  </m:e>
                  <m:sub>
                    <m:r>
                      <w:rPr>
                        <w:rFonts w:ascii="Cambria Math" w:hAnsi="Cambria Math"/>
                        <w:color w:val="auto"/>
                      </w:rPr>
                      <m:t>e</m:t>
                    </m:r>
                  </m:sub>
                </m:sSub>
                <m:r>
                  <w:rPr>
                    <w:rFonts w:ascii="Cambria Math" w:hAnsi="Cambria Math"/>
                    <w:color w:val="auto"/>
                  </w:rPr>
                  <m:t>=</m:t>
                </m:r>
                <m:sSub>
                  <m:sSubPr>
                    <m:ctrlPr>
                      <w:rPr>
                        <w:rFonts w:ascii="Cambria Math" w:hAnsi="Cambria Math"/>
                        <w:color w:val="auto"/>
                      </w:rPr>
                    </m:ctrlPr>
                  </m:sSubPr>
                  <m:e>
                    <m:r>
                      <w:rPr>
                        <w:rFonts w:ascii="Cambria Math" w:hAnsi="Cambria Math"/>
                        <w:color w:val="auto"/>
                      </w:rPr>
                      <m:t>λ</m:t>
                    </m:r>
                  </m:e>
                  <m:sub>
                    <m:r>
                      <w:rPr>
                        <w:rFonts w:ascii="Cambria Math" w:hAnsi="Cambria Math"/>
                        <w:color w:val="auto"/>
                      </w:rPr>
                      <m:t>p</m:t>
                    </m:r>
                  </m:sub>
                </m:sSub>
                <m:f>
                  <m:fPr>
                    <m:ctrlPr>
                      <w:rPr>
                        <w:rFonts w:ascii="Cambria Math" w:hAnsi="Cambria Math"/>
                        <w:color w:val="auto"/>
                      </w:rPr>
                    </m:ctrlPr>
                  </m:fPr>
                  <m:num>
                    <m:d>
                      <m:dPr>
                        <m:ctrlPr>
                          <w:rPr>
                            <w:rFonts w:ascii="Cambria Math" w:hAnsi="Cambria Math"/>
                            <w:color w:val="auto"/>
                          </w:rPr>
                        </m:ctrlPr>
                      </m:dPr>
                      <m:e>
                        <m:r>
                          <w:rPr>
                            <w:rFonts w:ascii="Cambria Math" w:hAnsi="Cambria Math"/>
                            <w:color w:val="auto"/>
                          </w:rPr>
                          <m:t>1+</m:t>
                        </m:r>
                        <m:sSub>
                          <m:sSubPr>
                            <m:ctrlPr>
                              <w:rPr>
                                <w:rFonts w:ascii="Cambria Math" w:hAnsi="Cambria Math"/>
                                <w:color w:val="auto"/>
                              </w:rPr>
                            </m:ctrlPr>
                          </m:sSubPr>
                          <m:e>
                            <m:r>
                              <w:rPr>
                                <w:rFonts w:ascii="Cambria Math" w:hAnsi="Cambria Math"/>
                                <w:color w:val="auto"/>
                              </w:rPr>
                              <m:t>ν</m:t>
                            </m:r>
                          </m:e>
                          <m:sub>
                            <m:r>
                              <w:rPr>
                                <w:rFonts w:ascii="Cambria Math" w:hAnsi="Cambria Math"/>
                                <w:color w:val="auto"/>
                              </w:rPr>
                              <m:t>c</m:t>
                            </m:r>
                          </m:sub>
                        </m:sSub>
                      </m:e>
                    </m:d>
                    <m:sSub>
                      <m:sSubPr>
                        <m:ctrlPr>
                          <w:rPr>
                            <w:rFonts w:ascii="Cambria Math" w:hAnsi="Cambria Math"/>
                            <w:color w:val="auto"/>
                          </w:rPr>
                        </m:ctrlPr>
                      </m:sSubPr>
                      <m:e>
                        <m:r>
                          <w:rPr>
                            <w:rFonts w:ascii="Cambria Math" w:hAnsi="Cambria Math"/>
                            <w:color w:val="auto"/>
                          </w:rPr>
                          <m:t>λ</m:t>
                        </m:r>
                      </m:e>
                      <m:sub>
                        <m:r>
                          <w:rPr>
                            <w:rFonts w:ascii="Cambria Math" w:hAnsi="Cambria Math"/>
                            <w:color w:val="auto"/>
                          </w:rPr>
                          <m:t>c</m:t>
                        </m:r>
                      </m:sub>
                    </m:sSub>
                    <m:r>
                      <w:rPr>
                        <w:rFonts w:ascii="Cambria Math" w:hAnsi="Cambria Math"/>
                        <w:color w:val="auto"/>
                      </w:rPr>
                      <m:t>+</m:t>
                    </m:r>
                    <m:d>
                      <m:dPr>
                        <m:ctrlPr>
                          <w:rPr>
                            <w:rFonts w:ascii="Cambria Math" w:hAnsi="Cambria Math"/>
                            <w:color w:val="auto"/>
                          </w:rPr>
                        </m:ctrlPr>
                      </m:dPr>
                      <m:e>
                        <m:r>
                          <w:rPr>
                            <w:rFonts w:ascii="Cambria Math" w:hAnsi="Cambria Math"/>
                            <w:color w:val="auto"/>
                          </w:rPr>
                          <m:t>1-</m:t>
                        </m:r>
                        <m:sSub>
                          <m:sSubPr>
                            <m:ctrlPr>
                              <w:rPr>
                                <w:rFonts w:ascii="Cambria Math" w:hAnsi="Cambria Math"/>
                                <w:color w:val="auto"/>
                              </w:rPr>
                            </m:ctrlPr>
                          </m:sSubPr>
                          <m:e>
                            <m:r>
                              <w:rPr>
                                <w:rFonts w:ascii="Cambria Math" w:hAnsi="Cambria Math"/>
                                <w:color w:val="auto"/>
                              </w:rPr>
                              <m:t>ν</m:t>
                            </m:r>
                          </m:e>
                          <m:sub>
                            <m:r>
                              <w:rPr>
                                <w:rFonts w:ascii="Cambria Math" w:hAnsi="Cambria Math"/>
                                <w:color w:val="auto"/>
                              </w:rPr>
                              <m:t>c</m:t>
                            </m:r>
                          </m:sub>
                        </m:sSub>
                      </m:e>
                    </m:d>
                    <m:sSub>
                      <m:sSubPr>
                        <m:ctrlPr>
                          <w:rPr>
                            <w:rFonts w:ascii="Cambria Math" w:hAnsi="Cambria Math"/>
                            <w:color w:val="auto"/>
                          </w:rPr>
                        </m:ctrlPr>
                      </m:sSubPr>
                      <m:e>
                        <m:r>
                          <w:rPr>
                            <w:rFonts w:ascii="Cambria Math" w:hAnsi="Cambria Math"/>
                            <w:color w:val="auto"/>
                          </w:rPr>
                          <m:t>λ</m:t>
                        </m:r>
                      </m:e>
                      <m:sub>
                        <m:r>
                          <w:rPr>
                            <w:rFonts w:ascii="Cambria Math" w:hAnsi="Cambria Math"/>
                            <w:color w:val="auto"/>
                          </w:rPr>
                          <m:t>p</m:t>
                        </m:r>
                      </m:sub>
                    </m:sSub>
                  </m:num>
                  <m:den>
                    <m:d>
                      <m:dPr>
                        <m:ctrlPr>
                          <w:rPr>
                            <w:rFonts w:ascii="Cambria Math" w:hAnsi="Cambria Math"/>
                            <w:color w:val="auto"/>
                          </w:rPr>
                        </m:ctrlPr>
                      </m:dPr>
                      <m:e>
                        <m:r>
                          <w:rPr>
                            <w:rFonts w:ascii="Cambria Math" w:hAnsi="Cambria Math"/>
                            <w:color w:val="auto"/>
                          </w:rPr>
                          <m:t>1-</m:t>
                        </m:r>
                        <m:sSub>
                          <m:sSubPr>
                            <m:ctrlPr>
                              <w:rPr>
                                <w:rFonts w:ascii="Cambria Math" w:hAnsi="Cambria Math"/>
                                <w:color w:val="auto"/>
                              </w:rPr>
                            </m:ctrlPr>
                          </m:sSubPr>
                          <m:e>
                            <m:r>
                              <w:rPr>
                                <w:rFonts w:ascii="Cambria Math" w:hAnsi="Cambria Math"/>
                                <w:color w:val="auto"/>
                              </w:rPr>
                              <m:t>ν</m:t>
                            </m:r>
                          </m:e>
                          <m:sub>
                            <m:r>
                              <w:rPr>
                                <w:rFonts w:ascii="Cambria Math" w:hAnsi="Cambria Math"/>
                                <w:color w:val="auto"/>
                              </w:rPr>
                              <m:t>c</m:t>
                            </m:r>
                          </m:sub>
                        </m:sSub>
                      </m:e>
                    </m:d>
                    <m:sSub>
                      <m:sSubPr>
                        <m:ctrlPr>
                          <w:rPr>
                            <w:rFonts w:ascii="Cambria Math" w:hAnsi="Cambria Math"/>
                            <w:color w:val="auto"/>
                          </w:rPr>
                        </m:ctrlPr>
                      </m:sSubPr>
                      <m:e>
                        <m:r>
                          <w:rPr>
                            <w:rFonts w:ascii="Cambria Math" w:hAnsi="Cambria Math"/>
                            <w:color w:val="auto"/>
                          </w:rPr>
                          <m:t>λ</m:t>
                        </m:r>
                      </m:e>
                      <m:sub>
                        <m:r>
                          <w:rPr>
                            <w:rFonts w:ascii="Cambria Math" w:hAnsi="Cambria Math"/>
                            <w:color w:val="auto"/>
                          </w:rPr>
                          <m:t>c</m:t>
                        </m:r>
                      </m:sub>
                    </m:sSub>
                    <m:r>
                      <w:rPr>
                        <w:rFonts w:ascii="Cambria Math" w:hAnsi="Cambria Math"/>
                        <w:color w:val="auto"/>
                      </w:rPr>
                      <m:t>+</m:t>
                    </m:r>
                    <m:d>
                      <m:dPr>
                        <m:ctrlPr>
                          <w:rPr>
                            <w:rFonts w:ascii="Cambria Math" w:hAnsi="Cambria Math"/>
                            <w:color w:val="auto"/>
                          </w:rPr>
                        </m:ctrlPr>
                      </m:dPr>
                      <m:e>
                        <m:r>
                          <w:rPr>
                            <w:rFonts w:ascii="Cambria Math" w:hAnsi="Cambria Math"/>
                            <w:color w:val="auto"/>
                          </w:rPr>
                          <m:t>1+</m:t>
                        </m:r>
                        <m:sSub>
                          <m:sSubPr>
                            <m:ctrlPr>
                              <w:rPr>
                                <w:rFonts w:ascii="Cambria Math" w:hAnsi="Cambria Math"/>
                                <w:color w:val="auto"/>
                              </w:rPr>
                            </m:ctrlPr>
                          </m:sSubPr>
                          <m:e>
                            <m:r>
                              <w:rPr>
                                <w:rFonts w:ascii="Cambria Math" w:hAnsi="Cambria Math"/>
                                <w:color w:val="auto"/>
                              </w:rPr>
                              <m:t>ν</m:t>
                            </m:r>
                          </m:e>
                          <m:sub>
                            <m:r>
                              <w:rPr>
                                <w:rFonts w:ascii="Cambria Math" w:hAnsi="Cambria Math"/>
                                <w:color w:val="auto"/>
                              </w:rPr>
                              <m:t>c</m:t>
                            </m:r>
                          </m:sub>
                        </m:sSub>
                      </m:e>
                    </m:d>
                    <m:sSub>
                      <m:sSubPr>
                        <m:ctrlPr>
                          <w:rPr>
                            <w:rFonts w:ascii="Cambria Math" w:hAnsi="Cambria Math"/>
                            <w:color w:val="auto"/>
                          </w:rPr>
                        </m:ctrlPr>
                      </m:sSubPr>
                      <m:e>
                        <m:r>
                          <w:rPr>
                            <w:rFonts w:ascii="Cambria Math" w:hAnsi="Cambria Math"/>
                            <w:color w:val="auto"/>
                          </w:rPr>
                          <m:t>λ</m:t>
                        </m:r>
                      </m:e>
                      <m:sub>
                        <m:r>
                          <w:rPr>
                            <w:rFonts w:ascii="Cambria Math" w:hAnsi="Cambria Math"/>
                            <w:color w:val="auto"/>
                          </w:rPr>
                          <m:t>p</m:t>
                        </m:r>
                      </m:sub>
                    </m:sSub>
                  </m:den>
                </m:f>
              </m:oMath>
            </m:oMathPara>
          </w:p>
        </w:tc>
        <w:tc>
          <w:tcPr>
            <w:tcW w:w="507" w:type="pct"/>
          </w:tcPr>
          <w:p w14:paraId="2EAC8431" w14:textId="459A8902" w:rsidR="003F1EA9" w:rsidRPr="00FC71BE" w:rsidRDefault="003F1EA9">
            <w:pPr>
              <w:pStyle w:val="equation"/>
              <w:rPr>
                <w:color w:val="auto"/>
              </w:rPr>
            </w:pPr>
            <w:bookmarkStart w:id="156" w:name="_Ref148299686"/>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15</w:t>
            </w:r>
            <w:r w:rsidR="002839C4" w:rsidRPr="00FC71BE">
              <w:rPr>
                <w:color w:val="auto"/>
              </w:rPr>
              <w:fldChar w:fldCharType="end"/>
            </w:r>
            <w:r w:rsidRPr="00FC71BE">
              <w:rPr>
                <w:color w:val="auto"/>
              </w:rPr>
              <w:t>)</w:t>
            </w:r>
            <w:bookmarkEnd w:id="156"/>
          </w:p>
        </w:tc>
      </w:tr>
    </w:tbl>
    <w:p w14:paraId="6DCE8B96" w14:textId="77777777" w:rsidR="003F1EA9" w:rsidRPr="00FC71BE" w:rsidRDefault="003F1EA9" w:rsidP="003F1EA9">
      <w:pPr>
        <w:ind w:firstLine="0"/>
      </w:pPr>
      <w:r w:rsidRPr="00FC71BE">
        <w:t xml:space="preserve">where the copper volume ratio </w:t>
      </w:r>
      <m:oMath>
        <m:sSub>
          <m:sSubPr>
            <m:ctrlPr>
              <w:rPr>
                <w:rFonts w:ascii="Cambria Math" w:hAnsi="Cambria Math"/>
                <w:i/>
              </w:rPr>
            </m:ctrlPr>
          </m:sSubPr>
          <m:e>
            <m:r>
              <w:rPr>
                <w:rFonts w:ascii="Cambria Math" w:hAnsi="Cambria Math"/>
              </w:rPr>
              <m:t>ν</m:t>
            </m:r>
          </m:e>
          <m:sub>
            <m:r>
              <w:rPr>
                <w:rFonts w:ascii="Cambria Math" w:hAnsi="Cambria Math"/>
              </w:rPr>
              <m:t>c</m:t>
            </m:r>
          </m:sub>
        </m:sSub>
      </m:oMath>
      <w:r w:rsidRPr="00FC71BE">
        <w:t xml:space="preserve"> is equal to the packing factor. The subscripts </w:t>
      </w:r>
      <w:r w:rsidRPr="00FC71BE">
        <w:rPr>
          <w:i/>
          <w:iCs/>
        </w:rPr>
        <w:t>c</w:t>
      </w:r>
      <w:r w:rsidRPr="00FC71BE">
        <w:t xml:space="preserve"> and </w:t>
      </w:r>
      <w:r w:rsidRPr="00FC71BE">
        <w:rPr>
          <w:i/>
          <w:iCs/>
        </w:rPr>
        <w:t>p</w:t>
      </w:r>
      <w:r w:rsidRPr="00FC71BE">
        <w:t xml:space="preserve"> represent the conductors and impregnation, respectively.</w:t>
      </w:r>
    </w:p>
    <w:p w14:paraId="27CDEEAF" w14:textId="3AB3A2BF" w:rsidR="003F1EA9" w:rsidRPr="00FC71BE" w:rsidRDefault="003F1EA9" w:rsidP="003F1EA9">
      <w:r w:rsidRPr="00FC71BE">
        <w:t xml:space="preserve">The LPTN model of the non-modular machine can be developed using ANSYS Motor-CAD software package. This is the same for the modular machine. The difference however is that, due to the existence of the flux gaps, extra thermal resistances due to convection in the flux gaps will be needed in the LPTN model of the modular machine, as shown in </w:t>
      </w:r>
      <w:r w:rsidRPr="00FC71BE">
        <w:fldChar w:fldCharType="begin"/>
      </w:r>
      <w:r w:rsidRPr="00FC71BE">
        <w:instrText xml:space="preserve"> REF _Ref140243397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9</w:t>
      </w:r>
      <w:r w:rsidRPr="00FC71BE">
        <w:fldChar w:fldCharType="end"/>
      </w:r>
      <w:r w:rsidRPr="00FC71BE">
        <w:t>.</w:t>
      </w:r>
    </w:p>
    <w:p w14:paraId="224A6659" w14:textId="77777777" w:rsidR="003F1EA9" w:rsidRPr="00FC71BE" w:rsidRDefault="003F1EA9" w:rsidP="003F1EA9"/>
    <w:p w14:paraId="1B4535B5" w14:textId="77777777" w:rsidR="003F1EA9" w:rsidRPr="00FC71BE" w:rsidRDefault="003F1EA9" w:rsidP="003F1EA9">
      <w:pPr>
        <w:sectPr w:rsidR="003F1EA9" w:rsidRPr="00FC71BE" w:rsidSect="00230564">
          <w:pgSz w:w="11906" w:h="16838"/>
          <w:pgMar w:top="1440" w:right="1440" w:bottom="1440" w:left="1440" w:header="709" w:footer="709" w:gutter="0"/>
          <w:cols w:space="708"/>
          <w:docGrid w:linePitch="360"/>
        </w:sectPr>
      </w:pPr>
    </w:p>
    <w:p w14:paraId="492A1E45" w14:textId="77777777" w:rsidR="003F1EA9" w:rsidRPr="00FC71BE" w:rsidRDefault="003F1EA9" w:rsidP="003F1EA9">
      <w:r w:rsidRPr="00FC71BE">
        <w:rPr>
          <w:noProof/>
        </w:rPr>
        <w:lastRenderedPageBreak/>
        <w:drawing>
          <wp:inline distT="0" distB="0" distL="0" distR="0" wp14:anchorId="1D993903" wp14:editId="1A2CE3CF">
            <wp:extent cx="8498102" cy="4371975"/>
            <wp:effectExtent l="0" t="0" r="0" b="0"/>
            <wp:docPr id="778135427" name="Picture 778135427" descr="A computer screen shot of a diagram&#10;&#10;Description automatically generated">
              <a:extLst xmlns:a="http://schemas.openxmlformats.org/drawingml/2006/main">
                <a:ext uri="{FF2B5EF4-FFF2-40B4-BE49-F238E27FC236}">
                  <a16:creationId xmlns:a16="http://schemas.microsoft.com/office/drawing/2014/main" id="{2D3D0644-E4DB-4208-AAFE-0DDD96BF1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35427" name="Picture 778135427" descr="A computer screen shot of a diagram&#10;&#10;Description automatically generated">
                      <a:extLst>
                        <a:ext uri="{FF2B5EF4-FFF2-40B4-BE49-F238E27FC236}">
                          <a16:creationId xmlns:a16="http://schemas.microsoft.com/office/drawing/2014/main" id="{2D3D0644-E4DB-4208-AAFE-0DDD96BF15AE}"/>
                        </a:ext>
                      </a:extLst>
                    </pic:cNvPr>
                    <pic:cNvPicPr>
                      <a:picLocks noChangeAspect="1"/>
                    </pic:cNvPicPr>
                  </pic:nvPicPr>
                  <pic:blipFill>
                    <a:blip r:embed="rId102"/>
                    <a:stretch>
                      <a:fillRect/>
                    </a:stretch>
                  </pic:blipFill>
                  <pic:spPr>
                    <a:xfrm>
                      <a:off x="0" y="0"/>
                      <a:ext cx="8518318" cy="4382376"/>
                    </a:xfrm>
                    <a:prstGeom prst="rect">
                      <a:avLst/>
                    </a:prstGeom>
                  </pic:spPr>
                </pic:pic>
              </a:graphicData>
            </a:graphic>
          </wp:inline>
        </w:drawing>
      </w:r>
    </w:p>
    <w:p w14:paraId="6FD81BC6" w14:textId="086FCF15" w:rsidR="003F1EA9" w:rsidRPr="00FC71BE" w:rsidRDefault="003F1EA9" w:rsidP="003F1EA9">
      <w:pPr>
        <w:pStyle w:val="FigureTitle"/>
      </w:pPr>
      <w:bookmarkStart w:id="157" w:name="_Ref140243397"/>
      <w:r w:rsidRPr="00FC71BE">
        <w:t xml:space="preserve">Fig. </w:t>
      </w:r>
      <w:fldSimple w:instr=" STYLEREF 1 \s ">
        <w:r w:rsidR="007E62C1" w:rsidRPr="00FC71BE">
          <w:rPr>
            <w:noProof/>
          </w:rPr>
          <w:t>3</w:t>
        </w:r>
      </w:fldSimple>
      <w:r w:rsidRPr="00FC71BE">
        <w:t>.</w:t>
      </w:r>
      <w:fldSimple w:instr=" SEQ Fig. \* ARABIC \s 1 ">
        <w:r w:rsidR="007E62C1" w:rsidRPr="00FC71BE">
          <w:rPr>
            <w:noProof/>
          </w:rPr>
          <w:t>9</w:t>
        </w:r>
      </w:fldSimple>
      <w:bookmarkEnd w:id="157"/>
      <w:r w:rsidRPr="00FC71BE">
        <w:t>. LPTN model based on Motor-CAD for the modular machine.</w:t>
      </w:r>
    </w:p>
    <w:p w14:paraId="50AE6B8C" w14:textId="77777777" w:rsidR="003F1EA9" w:rsidRPr="00FC71BE" w:rsidRDefault="003F1EA9" w:rsidP="003F1EA9">
      <w:pPr>
        <w:spacing w:line="259" w:lineRule="auto"/>
        <w:ind w:firstLine="0"/>
        <w:jc w:val="left"/>
        <w:sectPr w:rsidR="003F1EA9" w:rsidRPr="00FC71BE" w:rsidSect="00230564">
          <w:pgSz w:w="16838" w:h="11906" w:orient="landscape"/>
          <w:pgMar w:top="1440" w:right="1440" w:bottom="1440" w:left="1440" w:header="709" w:footer="709" w:gutter="0"/>
          <w:cols w:space="708"/>
          <w:docGrid w:linePitch="360"/>
        </w:sectPr>
      </w:pPr>
    </w:p>
    <w:p w14:paraId="4E60B3FF" w14:textId="4D739552" w:rsidR="003F1EA9" w:rsidRPr="00FC71BE" w:rsidRDefault="003F1EA9" w:rsidP="003F1EA9">
      <w:r w:rsidRPr="00FC71BE">
        <w:lastRenderedPageBreak/>
        <w:t xml:space="preserve">The steady state temperatures of PMs at different rotor speeds have been calculated by the LPTN as shown in </w:t>
      </w:r>
      <w:r w:rsidRPr="00FC71BE">
        <w:fldChar w:fldCharType="begin"/>
      </w:r>
      <w:r w:rsidRPr="00FC71BE">
        <w:instrText xml:space="preserve"> REF _Ref140243397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9</w:t>
      </w:r>
      <w:r w:rsidRPr="00FC71BE">
        <w:fldChar w:fldCharType="end"/>
      </w:r>
      <w:r w:rsidRPr="00FC71BE">
        <w:t>. Similar to the trend of losses presented in previous section, the temperatures within both machines increase with increasing rotor speed. It is also found that when the rotor speed is low, the magnet temperatures within the modular machine are slightly higher than those within the non-modular machine due to higher copper loss and iron losses. However, when the rotor speed is beyond the base speed, the temperatures within the modular machine are reduced due to the influence of magnet demagnetization. In addition, to prevent the PM from irreversible demagnetization, the critical temperature of the PM material chosen in this paper is around the 150</w:t>
      </w:r>
      <m:oMath>
        <m:r>
          <m:rPr>
            <m:sty m:val="p"/>
          </m:rPr>
          <w:rPr>
            <w:rFonts w:ascii="Cambria Math" w:hAnsi="Cambria Math"/>
          </w:rPr>
          <m:t>℃</m:t>
        </m:r>
      </m:oMath>
      <w:r w:rsidRPr="00FC71BE">
        <w:t xml:space="preserve"> </w:t>
      </w:r>
      <w:r w:rsidRPr="00FC71BE">
        <w:fldChar w:fldCharType="begin"/>
      </w:r>
      <w:r w:rsidR="00BA33ED" w:rsidRPr="00FC71BE">
        <w:instrText xml:space="preserve"> ADDIN EN.CITE &lt;EndNote&gt;&lt;Cite&gt;&lt;Author&gt;Sebastian&lt;/Author&gt;&lt;Year&gt;1995&lt;/Year&gt;&lt;RecNum&gt;38&lt;/RecNum&gt;&lt;DisplayText&gt;[141]&lt;/DisplayText&gt;&lt;record&gt;&lt;rec-number&gt;38&lt;/rec-number&gt;&lt;foreign-keys&gt;&lt;key app="EN" db-id="rf2p5e05jx0x9jep00uvx0s1fvaww2dfa0r9" timestamp="1689525604"&gt;38&lt;/key&gt;&lt;/foreign-keys&gt;&lt;ref-type name="Journal Article"&gt;17&lt;/ref-type&gt;&lt;contributors&gt;&lt;authors&gt;&lt;author&gt;Sebastian, Tomy&lt;/author&gt;&lt;/authors&gt;&lt;/contributors&gt;&lt;titles&gt;&lt;title&gt;Temperature effects on torque production and efficiency of PM motors using NdFeB magnets&lt;/title&gt;&lt;secondary-title&gt;IEEE Transactions on Industry Applications&lt;/secondary-title&gt;&lt;/titles&gt;&lt;periodical&gt;&lt;full-title&gt;IEEE Transactions on Industry Applications&lt;/full-title&gt;&lt;/periodical&gt;&lt;pages&gt;353-357&lt;/pages&gt;&lt;volume&gt;31&lt;/volume&gt;&lt;number&gt;2&lt;/number&gt;&lt;dates&gt;&lt;year&gt;1995&lt;/year&gt;&lt;/dates&gt;&lt;isbn&gt;0093-9994&lt;/isbn&gt;&lt;urls&gt;&lt;/urls&gt;&lt;/record&gt;&lt;/Cite&gt;&lt;/EndNote&gt;</w:instrText>
      </w:r>
      <w:r w:rsidRPr="00FC71BE">
        <w:fldChar w:fldCharType="separate"/>
      </w:r>
      <w:r w:rsidR="00BA33ED" w:rsidRPr="00FC71BE">
        <w:t>[141]</w:t>
      </w:r>
      <w:r w:rsidRPr="00FC71BE">
        <w:fldChar w:fldCharType="end"/>
      </w:r>
      <w:r w:rsidRPr="00FC71BE">
        <w:t>. It can be seen that the magnet temperature in the modular machine is always lower than the critical temperature for the full speed range. By contrast, the temperature of non-modular machine can go beyond the critical temperature, leading to potentially serious irreversible demagnetization.</w:t>
      </w:r>
    </w:p>
    <w:p w14:paraId="6EE62B2E" w14:textId="77777777" w:rsidR="003F1EA9" w:rsidRPr="00FC71BE" w:rsidRDefault="003F1EA9" w:rsidP="003F1EA9">
      <w:pPr>
        <w:pStyle w:val="Figure"/>
        <w:rPr>
          <w:noProof w:val="0"/>
        </w:rPr>
      </w:pPr>
      <w:r w:rsidRPr="00FC71BE">
        <w:drawing>
          <wp:inline distT="0" distB="0" distL="0" distR="0" wp14:anchorId="472C4D1F" wp14:editId="09977EB3">
            <wp:extent cx="4363200" cy="2619652"/>
            <wp:effectExtent l="0" t="0" r="0" b="9525"/>
            <wp:docPr id="906958311" name="Picture 906958311" descr="Chart, line chart&#10;&#10;Description automatically generated">
              <a:extLst xmlns:a="http://schemas.openxmlformats.org/drawingml/2006/main">
                <a:ext uri="{FF2B5EF4-FFF2-40B4-BE49-F238E27FC236}">
                  <a16:creationId xmlns:a16="http://schemas.microsoft.com/office/drawing/2014/main" id="{8C1B5B97-E114-4635-9247-DE7614F46E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hart, line chart&#10;&#10;Description automatically generated">
                      <a:extLst>
                        <a:ext uri="{FF2B5EF4-FFF2-40B4-BE49-F238E27FC236}">
                          <a16:creationId xmlns:a16="http://schemas.microsoft.com/office/drawing/2014/main" id="{8C1B5B97-E114-4635-9247-DE7614F46E14}"/>
                        </a:ext>
                      </a:extLst>
                    </pic:cNvPr>
                    <pic:cNvPicPr>
                      <a:picLocks noChangeAspect="1"/>
                    </pic:cNvPicPr>
                  </pic:nvPicPr>
                  <pic:blipFill>
                    <a:blip r:embed="rId103"/>
                    <a:stretch>
                      <a:fillRect/>
                    </a:stretch>
                  </pic:blipFill>
                  <pic:spPr>
                    <a:xfrm>
                      <a:off x="0" y="0"/>
                      <a:ext cx="4363200" cy="2619652"/>
                    </a:xfrm>
                    <a:prstGeom prst="rect">
                      <a:avLst/>
                    </a:prstGeom>
                  </pic:spPr>
                </pic:pic>
              </a:graphicData>
            </a:graphic>
          </wp:inline>
        </w:drawing>
      </w:r>
    </w:p>
    <w:p w14:paraId="0F1372FC" w14:textId="075CC888" w:rsidR="003F1EA9" w:rsidRPr="00FC71BE" w:rsidRDefault="003F1EA9" w:rsidP="003F1EA9">
      <w:pPr>
        <w:pStyle w:val="FigureTitle"/>
      </w:pPr>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10</w:t>
        </w:r>
      </w:fldSimple>
      <w:r w:rsidRPr="00FC71BE">
        <w:t>. Magnet temperature speed curves of the modular and non-modular machines.</w:t>
      </w:r>
    </w:p>
    <w:p w14:paraId="782ED6FB" w14:textId="77777777" w:rsidR="003F1EA9" w:rsidRPr="00FC71BE" w:rsidRDefault="003F1EA9" w:rsidP="003F1EA9">
      <w:pPr>
        <w:pStyle w:val="Heading4"/>
      </w:pPr>
      <w:r w:rsidRPr="00FC71BE">
        <w:t>Dynamic Performance</w:t>
      </w:r>
    </w:p>
    <w:p w14:paraId="37FA462F" w14:textId="70CAD0AB" w:rsidR="003F1EA9" w:rsidRPr="00FC71BE" w:rsidRDefault="003F1EA9" w:rsidP="003F1EA9">
      <w:r w:rsidRPr="00FC71BE">
        <w:t xml:space="preserve">To evaluate the impact of temperature rise on machine EM performance, the temperature dependent B(H) curve and temperature speed curve are implemented to re-evaluate the torque speed curve for the modular and non-modular machines, as shown in </w:t>
      </w:r>
      <w:r w:rsidRPr="00FC71BE">
        <w:fldChar w:fldCharType="begin"/>
      </w:r>
      <w:r w:rsidRPr="00FC71BE">
        <w:instrText xml:space="preserve"> REF _Ref140243960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11</w:t>
      </w:r>
      <w:r w:rsidRPr="00FC71BE">
        <w:fldChar w:fldCharType="end"/>
      </w:r>
      <w:r w:rsidRPr="00FC71BE">
        <w:t>. It can be found that, for both machines, when the demagnetization caused by temperature rise is considered, the torque is reduced due to reduced PM flux-linkage. Furthermore, the increased temperature improves both the base and maximum speeds also due to reduced PM flux-linkage as calculated by (2.10) and (2.12). Therefore, although the demagnetization can reduce the EM performance in constant torque region, it can improve the performance in flux weakening region.</w:t>
      </w:r>
    </w:p>
    <w:p w14:paraId="17633B3D" w14:textId="0B23F026" w:rsidR="003F1EA9" w:rsidRPr="00FC71BE" w:rsidRDefault="003F1EA9" w:rsidP="003F1EA9">
      <w:r w:rsidRPr="00FC71BE">
        <w:lastRenderedPageBreak/>
        <w:t xml:space="preserve">As shown in </w:t>
      </w:r>
      <w:r w:rsidRPr="00FC71BE">
        <w:fldChar w:fldCharType="begin"/>
      </w:r>
      <w:r w:rsidRPr="00FC71BE">
        <w:instrText xml:space="preserve"> REF _Ref140244072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12</w:t>
      </w:r>
      <w:r w:rsidRPr="00FC71BE">
        <w:fldChar w:fldCharType="end"/>
      </w:r>
      <w:r w:rsidRPr="00FC71BE">
        <w:t xml:space="preserve">, the iron losses and PM eddy current losses are reduced due to the demagnetization caused by temperature rise. However, the copper loss will be increased due to the increase in coil temperature. These variations in losses and also on-load torque due to temperature rise will lead to significant change in the efficiency maps for the modular and non-modular machines, as shown in </w:t>
      </w:r>
      <w:r w:rsidRPr="00FC71BE">
        <w:fldChar w:fldCharType="begin"/>
      </w:r>
      <w:r w:rsidRPr="00FC71BE">
        <w:instrText xml:space="preserve"> REF _Ref140244095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13</w:t>
      </w:r>
      <w:r w:rsidRPr="00FC71BE">
        <w:fldChar w:fldCharType="end"/>
      </w:r>
      <w:r w:rsidR="007E62C1" w:rsidRPr="00FC71BE">
        <w:t xml:space="preserve"> and Fig. 3.14</w:t>
      </w:r>
      <w:r w:rsidRPr="00FC71BE">
        <w:t>. It can also be found that, similar to the EM-only predictions, although both machines have similar peak efficiency, the area for peak efficiency of the modular machine is larger than that of the non-modular machine.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56B2B326" w14:textId="77777777">
        <w:tc>
          <w:tcPr>
            <w:tcW w:w="9016" w:type="dxa"/>
          </w:tcPr>
          <w:p w14:paraId="54E4558C" w14:textId="77777777" w:rsidR="003F1EA9" w:rsidRPr="00FC71BE" w:rsidRDefault="003F1EA9">
            <w:pPr>
              <w:pStyle w:val="Figure"/>
              <w:rPr>
                <w:noProof w:val="0"/>
              </w:rPr>
            </w:pPr>
            <w:r w:rsidRPr="00FC71BE">
              <w:drawing>
                <wp:inline distT="0" distB="0" distL="0" distR="0" wp14:anchorId="13E443BD" wp14:editId="370771AB">
                  <wp:extent cx="4363200" cy="2521825"/>
                  <wp:effectExtent l="0" t="0" r="0" b="0"/>
                  <wp:docPr id="45" name="Picture 45" descr="A graph of a graph with numbers and lines&#10;&#10;Description automatically generated">
                    <a:extLst xmlns:a="http://schemas.openxmlformats.org/drawingml/2006/main">
                      <a:ext uri="{FF2B5EF4-FFF2-40B4-BE49-F238E27FC236}">
                        <a16:creationId xmlns:a16="http://schemas.microsoft.com/office/drawing/2014/main" id="{1013F67E-F70F-49FB-9BF2-F2755ED386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7" descr="A graph of a graph with numbers and lines&#10;&#10;Description automatically generated">
                            <a:extLst>
                              <a:ext uri="{FF2B5EF4-FFF2-40B4-BE49-F238E27FC236}">
                                <a16:creationId xmlns:a16="http://schemas.microsoft.com/office/drawing/2014/main" id="{1013F67E-F70F-49FB-9BF2-F2755ED38651}"/>
                              </a:ext>
                            </a:extLst>
                          </pic:cNvPr>
                          <pic:cNvPicPr>
                            <a:picLocks noChangeAspect="1"/>
                          </pic:cNvPicPr>
                        </pic:nvPicPr>
                        <pic:blipFill>
                          <a:blip r:embed="rId104"/>
                          <a:stretch>
                            <a:fillRect/>
                          </a:stretch>
                        </pic:blipFill>
                        <pic:spPr>
                          <a:xfrm>
                            <a:off x="0" y="0"/>
                            <a:ext cx="4363200" cy="2521825"/>
                          </a:xfrm>
                          <a:prstGeom prst="rect">
                            <a:avLst/>
                          </a:prstGeom>
                        </pic:spPr>
                      </pic:pic>
                    </a:graphicData>
                  </a:graphic>
                </wp:inline>
              </w:drawing>
            </w:r>
          </w:p>
        </w:tc>
      </w:tr>
      <w:tr w:rsidR="00FC71BE" w:rsidRPr="00FC71BE" w14:paraId="427D4D22" w14:textId="77777777">
        <w:tc>
          <w:tcPr>
            <w:tcW w:w="9016" w:type="dxa"/>
          </w:tcPr>
          <w:p w14:paraId="208FAA19" w14:textId="77777777" w:rsidR="003F1EA9" w:rsidRPr="00FC71BE" w:rsidRDefault="003F1EA9">
            <w:pPr>
              <w:pStyle w:val="Figure"/>
              <w:rPr>
                <w:noProof w:val="0"/>
              </w:rPr>
            </w:pPr>
            <w:r w:rsidRPr="00FC71BE">
              <w:rPr>
                <w:iCs/>
                <w:noProof w:val="0"/>
              </w:rPr>
              <w:t>(a)</w:t>
            </w:r>
            <w:r w:rsidRPr="00FC71BE">
              <w:rPr>
                <w:i/>
                <w:noProof w:val="0"/>
              </w:rPr>
              <w:t xml:space="preserve"> </w:t>
            </w:r>
            <w:r w:rsidRPr="00FC71BE">
              <w:rPr>
                <w:noProof w:val="0"/>
              </w:rPr>
              <w:t>Modular machine</w:t>
            </w:r>
          </w:p>
        </w:tc>
      </w:tr>
      <w:tr w:rsidR="00FC71BE" w:rsidRPr="00FC71BE" w14:paraId="45D9104A" w14:textId="77777777">
        <w:tc>
          <w:tcPr>
            <w:tcW w:w="9016" w:type="dxa"/>
          </w:tcPr>
          <w:p w14:paraId="5C04F933" w14:textId="5816087B" w:rsidR="003F1EA9" w:rsidRPr="00FC71BE" w:rsidRDefault="00D96831">
            <w:pPr>
              <w:pStyle w:val="Figure"/>
              <w:rPr>
                <w:noProof w:val="0"/>
              </w:rPr>
            </w:pPr>
            <w:r w:rsidRPr="00FC71BE">
              <w:drawing>
                <wp:inline distT="0" distB="0" distL="0" distR="0" wp14:anchorId="60503CBC" wp14:editId="7CF1A4C8">
                  <wp:extent cx="4363200" cy="2599740"/>
                  <wp:effectExtent l="0" t="0" r="0" b="0"/>
                  <wp:docPr id="35" name="Picture 11">
                    <a:extLst xmlns:a="http://schemas.openxmlformats.org/drawingml/2006/main">
                      <a:ext uri="{FF2B5EF4-FFF2-40B4-BE49-F238E27FC236}">
                        <a16:creationId xmlns:a16="http://schemas.microsoft.com/office/drawing/2014/main" id="{6604CF61-D525-479F-8AD4-41BF761E5F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6604CF61-D525-479F-8AD4-41BF761E5F0D}"/>
                              </a:ext>
                            </a:extLst>
                          </pic:cNvPr>
                          <pic:cNvPicPr>
                            <a:picLocks noChangeAspect="1"/>
                          </pic:cNvPicPr>
                        </pic:nvPicPr>
                        <pic:blipFill>
                          <a:blip r:embed="rId105"/>
                          <a:stretch>
                            <a:fillRect/>
                          </a:stretch>
                        </pic:blipFill>
                        <pic:spPr>
                          <a:xfrm>
                            <a:off x="0" y="0"/>
                            <a:ext cx="4363200" cy="2599740"/>
                          </a:xfrm>
                          <a:prstGeom prst="rect">
                            <a:avLst/>
                          </a:prstGeom>
                        </pic:spPr>
                      </pic:pic>
                    </a:graphicData>
                  </a:graphic>
                </wp:inline>
              </w:drawing>
            </w:r>
          </w:p>
        </w:tc>
      </w:tr>
      <w:tr w:rsidR="00FC71BE" w:rsidRPr="00FC71BE" w14:paraId="0825B17A" w14:textId="77777777">
        <w:tc>
          <w:tcPr>
            <w:tcW w:w="9016" w:type="dxa"/>
          </w:tcPr>
          <w:p w14:paraId="3352BCE7" w14:textId="77777777" w:rsidR="003F1EA9" w:rsidRPr="00FC71BE" w:rsidRDefault="003F1EA9">
            <w:pPr>
              <w:pStyle w:val="Figure"/>
              <w:rPr>
                <w:noProof w:val="0"/>
              </w:rPr>
            </w:pPr>
            <w:r w:rsidRPr="00FC71BE">
              <w:rPr>
                <w:noProof w:val="0"/>
              </w:rPr>
              <w:t>(b) Non-modular machine</w:t>
            </w:r>
          </w:p>
        </w:tc>
      </w:tr>
    </w:tbl>
    <w:p w14:paraId="29165AB5" w14:textId="0B26F531" w:rsidR="003F1EA9" w:rsidRPr="00FC71BE" w:rsidRDefault="003F1EA9" w:rsidP="003F1EA9">
      <w:pPr>
        <w:pStyle w:val="FigureTitle"/>
      </w:pPr>
      <w:bookmarkStart w:id="158" w:name="_Ref140243960"/>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11</w:t>
        </w:r>
      </w:fldSimple>
      <w:bookmarkEnd w:id="158"/>
      <w:r w:rsidRPr="00FC71BE">
        <w:t>. Torque-speed curves of investigated machines with or without considering the EM-thermal coupling.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4C032CEA" w14:textId="77777777">
        <w:tc>
          <w:tcPr>
            <w:tcW w:w="9016" w:type="dxa"/>
          </w:tcPr>
          <w:p w14:paraId="59A28CDF" w14:textId="77777777" w:rsidR="003F1EA9" w:rsidRPr="00FC71BE" w:rsidRDefault="003F1EA9">
            <w:pPr>
              <w:pStyle w:val="Figure"/>
              <w:rPr>
                <w:noProof w:val="0"/>
              </w:rPr>
            </w:pPr>
            <w:r w:rsidRPr="00FC71BE">
              <w:lastRenderedPageBreak/>
              <w:drawing>
                <wp:inline distT="0" distB="0" distL="0" distR="0" wp14:anchorId="199C3CD8" wp14:editId="19D6F061">
                  <wp:extent cx="4363200" cy="2617055"/>
                  <wp:effectExtent l="0" t="0" r="0" b="0"/>
                  <wp:docPr id="1642879979" name="Picture 1642879979" descr="A graph of a graph showing a lo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79979" name="Picture 1642879979" descr="A graph of a graph showing a loss&#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63200" cy="2617055"/>
                          </a:xfrm>
                          <a:prstGeom prst="rect">
                            <a:avLst/>
                          </a:prstGeom>
                          <a:noFill/>
                          <a:ln>
                            <a:noFill/>
                          </a:ln>
                        </pic:spPr>
                      </pic:pic>
                    </a:graphicData>
                  </a:graphic>
                </wp:inline>
              </w:drawing>
            </w:r>
          </w:p>
        </w:tc>
      </w:tr>
      <w:tr w:rsidR="00FC71BE" w:rsidRPr="00FC71BE" w14:paraId="7278E26F" w14:textId="77777777">
        <w:tc>
          <w:tcPr>
            <w:tcW w:w="9016" w:type="dxa"/>
          </w:tcPr>
          <w:p w14:paraId="30DEE80C" w14:textId="77777777" w:rsidR="003F1EA9" w:rsidRPr="00FC71BE" w:rsidRDefault="003F1EA9">
            <w:pPr>
              <w:pStyle w:val="Figure"/>
              <w:rPr>
                <w:noProof w:val="0"/>
              </w:rPr>
            </w:pPr>
            <w:r w:rsidRPr="00FC71BE">
              <w:rPr>
                <w:iCs/>
                <w:noProof w:val="0"/>
              </w:rPr>
              <w:t>(a)</w:t>
            </w:r>
            <w:r w:rsidRPr="00FC71BE">
              <w:rPr>
                <w:i/>
                <w:noProof w:val="0"/>
              </w:rPr>
              <w:t xml:space="preserve"> </w:t>
            </w:r>
            <w:r w:rsidRPr="00FC71BE">
              <w:rPr>
                <w:noProof w:val="0"/>
              </w:rPr>
              <w:t>Modular machine</w:t>
            </w:r>
          </w:p>
        </w:tc>
      </w:tr>
      <w:tr w:rsidR="00FC71BE" w:rsidRPr="00FC71BE" w14:paraId="14814929" w14:textId="77777777">
        <w:tc>
          <w:tcPr>
            <w:tcW w:w="9016" w:type="dxa"/>
          </w:tcPr>
          <w:p w14:paraId="2293A081" w14:textId="77777777" w:rsidR="003F1EA9" w:rsidRPr="00FC71BE" w:rsidRDefault="003F1EA9">
            <w:pPr>
              <w:pStyle w:val="Figure"/>
              <w:rPr>
                <w:noProof w:val="0"/>
              </w:rPr>
            </w:pPr>
            <w:r w:rsidRPr="00FC71BE">
              <w:drawing>
                <wp:inline distT="0" distB="0" distL="0" distR="0" wp14:anchorId="65D07EC5" wp14:editId="0A9C3AFD">
                  <wp:extent cx="4363200" cy="2617055"/>
                  <wp:effectExtent l="0" t="0" r="0" b="0"/>
                  <wp:docPr id="46" name="Picture 46" descr="A graph showing a graph of a mod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aph showing a graph of a model&#10;&#10;Description automatically generated with medium confid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63200" cy="2617055"/>
                          </a:xfrm>
                          <a:prstGeom prst="rect">
                            <a:avLst/>
                          </a:prstGeom>
                          <a:noFill/>
                          <a:ln>
                            <a:noFill/>
                          </a:ln>
                        </pic:spPr>
                      </pic:pic>
                    </a:graphicData>
                  </a:graphic>
                </wp:inline>
              </w:drawing>
            </w:r>
          </w:p>
        </w:tc>
      </w:tr>
      <w:tr w:rsidR="00FC71BE" w:rsidRPr="00FC71BE" w14:paraId="4267A04B" w14:textId="77777777">
        <w:tc>
          <w:tcPr>
            <w:tcW w:w="9016" w:type="dxa"/>
          </w:tcPr>
          <w:p w14:paraId="3EE06AA2" w14:textId="77777777" w:rsidR="003F1EA9" w:rsidRPr="00FC71BE" w:rsidRDefault="003F1EA9">
            <w:pPr>
              <w:pStyle w:val="Figure"/>
              <w:rPr>
                <w:noProof w:val="0"/>
              </w:rPr>
            </w:pPr>
            <w:r w:rsidRPr="00FC71BE">
              <w:rPr>
                <w:noProof w:val="0"/>
              </w:rPr>
              <w:t>(b) Non-modular machine</w:t>
            </w:r>
          </w:p>
        </w:tc>
      </w:tr>
    </w:tbl>
    <w:p w14:paraId="1C7D361D" w14:textId="6FF48BD1" w:rsidR="003F1EA9" w:rsidRPr="00FC71BE" w:rsidRDefault="003F1EA9" w:rsidP="003F1EA9">
      <w:pPr>
        <w:pStyle w:val="FigureTitle"/>
      </w:pPr>
      <w:bookmarkStart w:id="159" w:name="_Ref140244072"/>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12</w:t>
        </w:r>
      </w:fldSimple>
      <w:bookmarkEnd w:id="159"/>
      <w:r w:rsidRPr="00FC71BE">
        <w:t>. Losses-speed curves of investigated machines with or without considering the EM-thermal coupling.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13A6AA92" w14:textId="77777777">
        <w:tc>
          <w:tcPr>
            <w:tcW w:w="9016" w:type="dxa"/>
          </w:tcPr>
          <w:p w14:paraId="0A91BA59" w14:textId="1B404077" w:rsidR="003F1EA9" w:rsidRPr="00FC71BE" w:rsidRDefault="007E62C1">
            <w:pPr>
              <w:pStyle w:val="Figure"/>
              <w:rPr>
                <w:noProof w:val="0"/>
              </w:rPr>
            </w:pPr>
            <w:r w:rsidRPr="00FC71BE">
              <w:lastRenderedPageBreak/>
              <w:drawing>
                <wp:inline distT="0" distB="0" distL="0" distR="0" wp14:anchorId="0AF5E808" wp14:editId="16D3235F">
                  <wp:extent cx="4477236" cy="2880000"/>
                  <wp:effectExtent l="0" t="0" r="0" b="0"/>
                  <wp:docPr id="119243798" name="Picture 119243798" descr="A graph of a speed diagram&#10;&#10;Description automatically generated">
                    <a:extLst xmlns:a="http://schemas.openxmlformats.org/drawingml/2006/main">
                      <a:ext uri="{FF2B5EF4-FFF2-40B4-BE49-F238E27FC236}">
                        <a16:creationId xmlns:a16="http://schemas.microsoft.com/office/drawing/2014/main" id="{5A0F91AA-9AA7-48A3-8535-0FFED9C19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48812" name="Picture 1088248812" descr="A graph of a speed diagram&#10;&#10;Description automatically generated">
                            <a:extLst>
                              <a:ext uri="{FF2B5EF4-FFF2-40B4-BE49-F238E27FC236}">
                                <a16:creationId xmlns:a16="http://schemas.microsoft.com/office/drawing/2014/main" id="{5A0F91AA-9AA7-48A3-8535-0FFED9C19428}"/>
                              </a:ext>
                            </a:extLst>
                          </pic:cNvPr>
                          <pic:cNvPicPr>
                            <a:picLocks noChangeAspect="1"/>
                          </pic:cNvPicPr>
                        </pic:nvPicPr>
                        <pic:blipFill rotWithShape="1">
                          <a:blip r:embed="rId92"/>
                          <a:srcRect r="6635"/>
                          <a:stretch/>
                        </pic:blipFill>
                        <pic:spPr>
                          <a:xfrm>
                            <a:off x="0" y="0"/>
                            <a:ext cx="4477236" cy="2880000"/>
                          </a:xfrm>
                          <a:prstGeom prst="rect">
                            <a:avLst/>
                          </a:prstGeom>
                        </pic:spPr>
                      </pic:pic>
                    </a:graphicData>
                  </a:graphic>
                </wp:inline>
              </w:drawing>
            </w:r>
          </w:p>
        </w:tc>
      </w:tr>
      <w:tr w:rsidR="00FC71BE" w:rsidRPr="00FC71BE" w14:paraId="6B4D31DC" w14:textId="77777777">
        <w:tc>
          <w:tcPr>
            <w:tcW w:w="9016" w:type="dxa"/>
          </w:tcPr>
          <w:p w14:paraId="7BEA6C64" w14:textId="25EB4028" w:rsidR="003F1EA9" w:rsidRPr="00FC71BE" w:rsidRDefault="003F1EA9">
            <w:pPr>
              <w:pStyle w:val="Figure"/>
              <w:rPr>
                <w:noProof w:val="0"/>
              </w:rPr>
            </w:pPr>
            <w:r w:rsidRPr="00FC71BE">
              <w:rPr>
                <w:iCs/>
                <w:noProof w:val="0"/>
              </w:rPr>
              <w:t>(a)</w:t>
            </w:r>
            <w:r w:rsidRPr="00FC71BE">
              <w:rPr>
                <w:i/>
                <w:noProof w:val="0"/>
              </w:rPr>
              <w:t xml:space="preserve"> </w:t>
            </w:r>
            <w:r w:rsidR="007E62C1" w:rsidRPr="00FC71BE">
              <w:rPr>
                <w:iCs/>
                <w:noProof w:val="0"/>
              </w:rPr>
              <w:t>Without EM-thermal coupling</w:t>
            </w:r>
          </w:p>
        </w:tc>
      </w:tr>
      <w:tr w:rsidR="00FC71BE" w:rsidRPr="00FC71BE" w14:paraId="17354735" w14:textId="77777777">
        <w:tc>
          <w:tcPr>
            <w:tcW w:w="9016" w:type="dxa"/>
          </w:tcPr>
          <w:p w14:paraId="0B7EB6BE" w14:textId="770B4C94" w:rsidR="003F1EA9" w:rsidRPr="00FC71BE" w:rsidRDefault="007E62C1">
            <w:pPr>
              <w:pStyle w:val="Figure"/>
              <w:rPr>
                <w:noProof w:val="0"/>
              </w:rPr>
            </w:pPr>
            <w:r w:rsidRPr="00FC71BE">
              <w:drawing>
                <wp:inline distT="0" distB="0" distL="0" distR="0" wp14:anchorId="0785CB8C" wp14:editId="32DE7521">
                  <wp:extent cx="4363200" cy="2793660"/>
                  <wp:effectExtent l="0" t="0" r="0" b="6985"/>
                  <wp:docPr id="51" name="Picture 51" descr="A graph showing a speed of a motor&#10;&#10;Description automatically generated with medium confidence">
                    <a:extLst xmlns:a="http://schemas.openxmlformats.org/drawingml/2006/main">
                      <a:ext uri="{FF2B5EF4-FFF2-40B4-BE49-F238E27FC236}">
                        <a16:creationId xmlns:a16="http://schemas.microsoft.com/office/drawing/2014/main" id="{9774521B-37C8-468D-8442-FFD6799AC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descr="A graph showing a speed of a motor&#10;&#10;Description automatically generated with medium confidence">
                            <a:extLst>
                              <a:ext uri="{FF2B5EF4-FFF2-40B4-BE49-F238E27FC236}">
                                <a16:creationId xmlns:a16="http://schemas.microsoft.com/office/drawing/2014/main" id="{9774521B-37C8-468D-8442-FFD6799AC224}"/>
                              </a:ext>
                            </a:extLst>
                          </pic:cNvPr>
                          <pic:cNvPicPr>
                            <a:picLocks noChangeAspect="1"/>
                          </pic:cNvPicPr>
                        </pic:nvPicPr>
                        <pic:blipFill rotWithShape="1">
                          <a:blip r:embed="rId108"/>
                          <a:srcRect r="6204"/>
                          <a:stretch/>
                        </pic:blipFill>
                        <pic:spPr>
                          <a:xfrm>
                            <a:off x="0" y="0"/>
                            <a:ext cx="4363200" cy="2793660"/>
                          </a:xfrm>
                          <a:prstGeom prst="rect">
                            <a:avLst/>
                          </a:prstGeom>
                        </pic:spPr>
                      </pic:pic>
                    </a:graphicData>
                  </a:graphic>
                </wp:inline>
              </w:drawing>
            </w:r>
          </w:p>
        </w:tc>
      </w:tr>
      <w:tr w:rsidR="00FC71BE" w:rsidRPr="00FC71BE" w14:paraId="08125830" w14:textId="77777777">
        <w:tc>
          <w:tcPr>
            <w:tcW w:w="9016" w:type="dxa"/>
          </w:tcPr>
          <w:p w14:paraId="71F967DC" w14:textId="38DF5944" w:rsidR="003F1EA9" w:rsidRPr="00FC71BE" w:rsidRDefault="003F1EA9">
            <w:pPr>
              <w:pStyle w:val="Figure"/>
              <w:rPr>
                <w:noProof w:val="0"/>
              </w:rPr>
            </w:pPr>
            <w:r w:rsidRPr="00FC71BE">
              <w:rPr>
                <w:noProof w:val="0"/>
              </w:rPr>
              <w:t>(b)</w:t>
            </w:r>
            <w:r w:rsidR="007E62C1" w:rsidRPr="00FC71BE">
              <w:rPr>
                <w:noProof w:val="0"/>
              </w:rPr>
              <w:t xml:space="preserve"> </w:t>
            </w:r>
            <w:r w:rsidR="007E62C1" w:rsidRPr="00FC71BE">
              <w:rPr>
                <w:iCs/>
                <w:noProof w:val="0"/>
              </w:rPr>
              <w:t>With EM-thermal coupling</w:t>
            </w:r>
          </w:p>
        </w:tc>
      </w:tr>
    </w:tbl>
    <w:p w14:paraId="76E0C856" w14:textId="19718144" w:rsidR="007E62C1" w:rsidRPr="00FC71BE" w:rsidRDefault="003F1EA9" w:rsidP="003F1EA9">
      <w:pPr>
        <w:pStyle w:val="FigureTitle"/>
      </w:pPr>
      <w:bookmarkStart w:id="160" w:name="_Ref140244095"/>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13</w:t>
        </w:r>
      </w:fldSimple>
      <w:bookmarkEnd w:id="160"/>
      <w:r w:rsidRPr="00FC71BE">
        <w:t xml:space="preserve">. Efficiency maps of investigated </w:t>
      </w:r>
      <w:r w:rsidR="007E62C1" w:rsidRPr="00FC71BE">
        <w:t xml:space="preserve">modular </w:t>
      </w:r>
      <w:r w:rsidRPr="00FC71BE">
        <w:t>machines with or without considering the EM-thermal coupling.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5FCDF043" w14:textId="77777777" w:rsidTr="00B1207D">
        <w:tc>
          <w:tcPr>
            <w:tcW w:w="9016" w:type="dxa"/>
          </w:tcPr>
          <w:p w14:paraId="5D354611" w14:textId="49542F8D" w:rsidR="007E62C1" w:rsidRPr="00FC71BE" w:rsidRDefault="007E62C1" w:rsidP="00B1207D">
            <w:pPr>
              <w:pStyle w:val="Figure"/>
              <w:rPr>
                <w:noProof w:val="0"/>
              </w:rPr>
            </w:pPr>
            <w:r w:rsidRPr="00FC71BE">
              <w:lastRenderedPageBreak/>
              <w:drawing>
                <wp:inline distT="0" distB="0" distL="0" distR="0" wp14:anchorId="3DB11C39" wp14:editId="4E94950B">
                  <wp:extent cx="4505027" cy="2880000"/>
                  <wp:effectExtent l="0" t="0" r="0" b="0"/>
                  <wp:docPr id="2114027042" name="Picture 2114027042" descr="A graph of a speed&#10;&#10;Description automatically generated">
                    <a:extLst xmlns:a="http://schemas.openxmlformats.org/drawingml/2006/main">
                      <a:ext uri="{FF2B5EF4-FFF2-40B4-BE49-F238E27FC236}">
                        <a16:creationId xmlns:a16="http://schemas.microsoft.com/office/drawing/2014/main" id="{C81AD36C-3832-4BAC-B796-703BB180C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65455" name="Picture 940665455" descr="A graph of a speed&#10;&#10;Description automatically generated">
                            <a:extLst>
                              <a:ext uri="{FF2B5EF4-FFF2-40B4-BE49-F238E27FC236}">
                                <a16:creationId xmlns:a16="http://schemas.microsoft.com/office/drawing/2014/main" id="{C81AD36C-3832-4BAC-B796-703BB180C3C0}"/>
                              </a:ext>
                            </a:extLst>
                          </pic:cNvPr>
                          <pic:cNvPicPr>
                            <a:picLocks noChangeAspect="1"/>
                          </pic:cNvPicPr>
                        </pic:nvPicPr>
                        <pic:blipFill rotWithShape="1">
                          <a:blip r:embed="rId93"/>
                          <a:srcRect r="6204"/>
                          <a:stretch/>
                        </pic:blipFill>
                        <pic:spPr>
                          <a:xfrm>
                            <a:off x="0" y="0"/>
                            <a:ext cx="4505027" cy="2880000"/>
                          </a:xfrm>
                          <a:prstGeom prst="rect">
                            <a:avLst/>
                          </a:prstGeom>
                        </pic:spPr>
                      </pic:pic>
                    </a:graphicData>
                  </a:graphic>
                </wp:inline>
              </w:drawing>
            </w:r>
          </w:p>
        </w:tc>
      </w:tr>
      <w:tr w:rsidR="00FC71BE" w:rsidRPr="00FC71BE" w14:paraId="2CA4E8CC" w14:textId="77777777" w:rsidTr="00B1207D">
        <w:tc>
          <w:tcPr>
            <w:tcW w:w="9016" w:type="dxa"/>
          </w:tcPr>
          <w:p w14:paraId="7A871E5E" w14:textId="4F451DBB" w:rsidR="007E62C1" w:rsidRPr="00FC71BE" w:rsidRDefault="007E62C1" w:rsidP="00B1207D">
            <w:pPr>
              <w:pStyle w:val="Figure"/>
              <w:rPr>
                <w:noProof w:val="0"/>
              </w:rPr>
            </w:pPr>
            <w:r w:rsidRPr="00FC71BE">
              <w:rPr>
                <w:noProof w:val="0"/>
              </w:rPr>
              <w:t xml:space="preserve">(a) </w:t>
            </w:r>
            <w:r w:rsidRPr="00FC71BE">
              <w:rPr>
                <w:iCs/>
                <w:noProof w:val="0"/>
              </w:rPr>
              <w:t>Without EM-thermal coupling</w:t>
            </w:r>
          </w:p>
        </w:tc>
      </w:tr>
      <w:tr w:rsidR="00FC71BE" w:rsidRPr="00FC71BE" w14:paraId="4D0EEBD1" w14:textId="77777777" w:rsidTr="00B1207D">
        <w:tc>
          <w:tcPr>
            <w:tcW w:w="9016" w:type="dxa"/>
          </w:tcPr>
          <w:p w14:paraId="4D839C45" w14:textId="0021D91D" w:rsidR="007E62C1" w:rsidRPr="00FC71BE" w:rsidRDefault="007E62C1" w:rsidP="00B1207D">
            <w:pPr>
              <w:pStyle w:val="Figure"/>
              <w:rPr>
                <w:noProof w:val="0"/>
              </w:rPr>
            </w:pPr>
            <w:r w:rsidRPr="00FC71BE">
              <w:drawing>
                <wp:inline distT="0" distB="0" distL="0" distR="0" wp14:anchorId="2D92EDE6" wp14:editId="78BD6B84">
                  <wp:extent cx="4363200" cy="2789332"/>
                  <wp:effectExtent l="0" t="0" r="0" b="0"/>
                  <wp:docPr id="58" name="Picture 58" descr="A graph showing the speed of a car&#10;&#10;Description automatically generated">
                    <a:extLst xmlns:a="http://schemas.openxmlformats.org/drawingml/2006/main">
                      <a:ext uri="{FF2B5EF4-FFF2-40B4-BE49-F238E27FC236}">
                        <a16:creationId xmlns:a16="http://schemas.microsoft.com/office/drawing/2014/main" id="{10F793AC-D047-4ADE-883F-E176491FF5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descr="A graph showing the speed of a car&#10;&#10;Description automatically generated">
                            <a:extLst>
                              <a:ext uri="{FF2B5EF4-FFF2-40B4-BE49-F238E27FC236}">
                                <a16:creationId xmlns:a16="http://schemas.microsoft.com/office/drawing/2014/main" id="{10F793AC-D047-4ADE-883F-E176491FF57C}"/>
                              </a:ext>
                            </a:extLst>
                          </pic:cNvPr>
                          <pic:cNvPicPr>
                            <a:picLocks noChangeAspect="1"/>
                          </pic:cNvPicPr>
                        </pic:nvPicPr>
                        <pic:blipFill rotWithShape="1">
                          <a:blip r:embed="rId109"/>
                          <a:srcRect r="6204"/>
                          <a:stretch/>
                        </pic:blipFill>
                        <pic:spPr>
                          <a:xfrm>
                            <a:off x="0" y="0"/>
                            <a:ext cx="4363200" cy="2789332"/>
                          </a:xfrm>
                          <a:prstGeom prst="rect">
                            <a:avLst/>
                          </a:prstGeom>
                        </pic:spPr>
                      </pic:pic>
                    </a:graphicData>
                  </a:graphic>
                </wp:inline>
              </w:drawing>
            </w:r>
          </w:p>
        </w:tc>
      </w:tr>
      <w:tr w:rsidR="00FC71BE" w:rsidRPr="00FC71BE" w14:paraId="616B9745" w14:textId="77777777" w:rsidTr="00B1207D">
        <w:tc>
          <w:tcPr>
            <w:tcW w:w="9016" w:type="dxa"/>
          </w:tcPr>
          <w:p w14:paraId="50798837" w14:textId="7364AB7F" w:rsidR="007E62C1" w:rsidRPr="00FC71BE" w:rsidRDefault="007E62C1" w:rsidP="00B1207D">
            <w:pPr>
              <w:pStyle w:val="Figure"/>
              <w:rPr>
                <w:noProof w:val="0"/>
              </w:rPr>
            </w:pPr>
            <w:r w:rsidRPr="00FC71BE">
              <w:rPr>
                <w:noProof w:val="0"/>
              </w:rPr>
              <w:t xml:space="preserve">(b) </w:t>
            </w:r>
            <w:r w:rsidRPr="00FC71BE">
              <w:rPr>
                <w:iCs/>
                <w:noProof w:val="0"/>
              </w:rPr>
              <w:t>With EM-thermal coupling</w:t>
            </w:r>
          </w:p>
        </w:tc>
      </w:tr>
    </w:tbl>
    <w:p w14:paraId="4B8ABB1C" w14:textId="719F9672" w:rsidR="007E62C1" w:rsidRPr="00FC71BE" w:rsidRDefault="007E62C1" w:rsidP="003F1EA9">
      <w:pPr>
        <w:pStyle w:val="FigureTitle"/>
      </w:pPr>
      <w:r w:rsidRPr="00FC71BE">
        <w:t xml:space="preserve">Fig. </w:t>
      </w:r>
      <w:fldSimple w:instr=" STYLEREF 1 \s ">
        <w:r w:rsidRPr="00FC71BE">
          <w:rPr>
            <w:noProof/>
          </w:rPr>
          <w:t>3</w:t>
        </w:r>
      </w:fldSimple>
      <w:r w:rsidRPr="00FC71BE">
        <w:t>.</w:t>
      </w:r>
      <w:fldSimple w:instr=" SEQ Fig. \* ARABIC \s 1 ">
        <w:r w:rsidRPr="00FC71BE">
          <w:rPr>
            <w:noProof/>
          </w:rPr>
          <w:t>14</w:t>
        </w:r>
      </w:fldSimple>
      <w:r w:rsidRPr="00FC71BE">
        <w:t>. Efficiency maps of investigated non-modular machines with or without considering the EM-thermal coupling.</w:t>
      </w:r>
    </w:p>
    <w:p w14:paraId="702D7CD4" w14:textId="77777777" w:rsidR="003F1EA9" w:rsidRPr="00FC71BE" w:rsidRDefault="003F1EA9" w:rsidP="00B86C68">
      <w:pPr>
        <w:pStyle w:val="Heading2"/>
        <w:numPr>
          <w:ilvl w:val="1"/>
          <w:numId w:val="49"/>
        </w:numPr>
      </w:pPr>
      <w:bookmarkStart w:id="161" w:name="_Ref140422087"/>
      <w:bookmarkStart w:id="162" w:name="_Toc157695354"/>
      <w:r w:rsidRPr="00FC71BE">
        <w:t>Demagnetization Characteristics of the Modular Machine</w:t>
      </w:r>
      <w:bookmarkEnd w:id="161"/>
      <w:bookmarkEnd w:id="162"/>
    </w:p>
    <w:p w14:paraId="1C1AD784" w14:textId="77777777" w:rsidR="003F1EA9" w:rsidRPr="00FC71BE" w:rsidRDefault="003F1EA9" w:rsidP="003F1EA9">
      <w:r w:rsidRPr="00FC71BE">
        <w:t xml:space="preserve">The demagnetization characteristics for both investigated machines will be studied in this section. They can reveal the full potential of the modular machine in improving the machine demagnetization withstand capability. In this section, the influence of flux gaps on magnet flux density, losses distribution, torque and demagnetization are analyzed for different operating conditions. The magnet demagnetizations caused by three sources such as the PM field, the armature field and the magnet temperature rise are investigated separately using frozen </w:t>
      </w:r>
      <w:r w:rsidRPr="00FC71BE">
        <w:lastRenderedPageBreak/>
        <w:t>permeability method. For comparison propose, the EM performances with a particular focus on the demagnetization withstand capability for both the modular and non-modular machines are investigated based on the EM-thermal coupling. It is found that, compared to the non-modular machine, the modular machine can achieve higher torque, higher efficiency and better demagnetization withstand capability.</w:t>
      </w:r>
    </w:p>
    <w:p w14:paraId="4CCA983A" w14:textId="77777777" w:rsidR="003F1EA9" w:rsidRPr="00FC71BE" w:rsidRDefault="003F1EA9" w:rsidP="00B86C68">
      <w:pPr>
        <w:pStyle w:val="Heading3"/>
        <w:numPr>
          <w:ilvl w:val="2"/>
          <w:numId w:val="49"/>
        </w:numPr>
      </w:pPr>
      <w:bookmarkStart w:id="163" w:name="_Toc157695355"/>
      <w:r w:rsidRPr="00FC71BE">
        <w:t>Mechanism of magnet irreversible demagnetization</w:t>
      </w:r>
      <w:bookmarkEnd w:id="163"/>
    </w:p>
    <w:p w14:paraId="133EC888" w14:textId="52BD3FEB" w:rsidR="003F1EA9" w:rsidRPr="00FC71BE" w:rsidRDefault="003F1EA9" w:rsidP="003F1EA9">
      <w:r w:rsidRPr="00FC71BE">
        <w:t xml:space="preserve">The temperature dependent B(H) curves for the magnet material (N35H) used in this chapter are shown in </w:t>
      </w:r>
      <w:r w:rsidRPr="00FC71BE">
        <w:fldChar w:fldCharType="begin"/>
      </w:r>
      <w:r w:rsidRPr="00FC71BE">
        <w:instrText xml:space="preserve"> REF _Ref139994554 \h  \* MERGEFORMAT </w:instrText>
      </w:r>
      <w:r w:rsidRPr="00FC71BE">
        <w:fldChar w:fldCharType="separate"/>
      </w:r>
      <w:r w:rsidR="007E62C1" w:rsidRPr="00FC71BE">
        <w:t>Fig. 3.5</w:t>
      </w:r>
      <w:r w:rsidRPr="00FC71BE">
        <w:fldChar w:fldCharType="end"/>
      </w:r>
      <w:r w:rsidRPr="00FC71BE">
        <w:t xml:space="preserve">. It is found that, with temperature rise, the remanence is reduced, which can reduce the magnet magnetomotive force (MMF) and the machine EM performances. In addition, the temperature rise can also reduce coercivity but increase the knee point, which lead to easier magnet irreversible demagnetization. This can be explained by </w:t>
      </w:r>
      <w:r w:rsidRPr="00FC71BE">
        <w:fldChar w:fldCharType="begin"/>
      </w:r>
      <w:r w:rsidRPr="00FC71BE">
        <w:instrText xml:space="preserve"> REF _Ref139994906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15</w:t>
      </w:r>
      <w:r w:rsidRPr="00FC71BE">
        <w:fldChar w:fldCharType="end"/>
      </w:r>
      <w:r w:rsidRPr="00FC71BE">
        <w:t xml:space="preserve">. For a given operating temperature and under different load conditions, the working point moves following the original demagnetization curve having a remanence </w:t>
      </w:r>
      <w:r w:rsidRPr="00FC71BE">
        <w:rPr>
          <w:i/>
          <w:iCs/>
        </w:rPr>
        <w:t>B</w:t>
      </w:r>
      <w:r w:rsidRPr="00FC71BE">
        <w:rPr>
          <w:i/>
          <w:iCs/>
          <w:vertAlign w:val="subscript"/>
        </w:rPr>
        <w:t>r0</w:t>
      </w:r>
      <w:r w:rsidRPr="00FC71BE">
        <w:t xml:space="preserve">. Since the working points have the same </w:t>
      </w:r>
      <w:r w:rsidRPr="00FC71BE">
        <w:rPr>
          <w:i/>
          <w:iCs/>
        </w:rPr>
        <w:t>B</w:t>
      </w:r>
      <w:r w:rsidRPr="00FC71BE">
        <w:rPr>
          <w:i/>
          <w:iCs/>
          <w:vertAlign w:val="subscript"/>
        </w:rPr>
        <w:t>r0</w:t>
      </w:r>
      <w:r w:rsidRPr="00FC71BE">
        <w:t>, the demagnetization will be reversible. However, if the working point moves to below the knee point, it will follow a new demagnetization curve with a lower remanence (</w:t>
      </w:r>
      <w:r w:rsidRPr="00FC71BE">
        <w:rPr>
          <w:i/>
          <w:iCs/>
        </w:rPr>
        <w:t>B</w:t>
      </w:r>
      <w:r w:rsidRPr="00FC71BE">
        <w:rPr>
          <w:i/>
          <w:iCs/>
          <w:vertAlign w:val="subscript"/>
        </w:rPr>
        <w:t>r1</w:t>
      </w:r>
      <w:r w:rsidRPr="00FC71BE">
        <w:t xml:space="preserve">). This permanent loss of magnetization is so called “irreversible demagnetization”. After the irreversible demagnetization, the machine will operate under the new B(H) curve with reduced remanence but with the same slope as the original B(H) curve </w:t>
      </w:r>
      <w:r w:rsidRPr="00FC71BE">
        <w:fldChar w:fldCharType="begin"/>
      </w:r>
      <w:r w:rsidR="00BA33ED" w:rsidRPr="00FC71BE">
        <w:instrText xml:space="preserve"> ADDIN EN.CITE &lt;EndNote&gt;&lt;Cite&gt;&lt;Author&gt;Woo&lt;/Author&gt;&lt;Year&gt;2015&lt;/Year&gt;&lt;RecNum&gt;39&lt;/RecNum&gt;&lt;DisplayText&gt;[142, 143]&lt;/DisplayText&gt;&lt;record&gt;&lt;rec-number&gt;39&lt;/rec-number&gt;&lt;foreign-keys&gt;&lt;key app="EN" db-id="rf2p5e05jx0x9jep00uvx0s1fvaww2dfa0r9" timestamp="1689525782"&gt;39&lt;/key&gt;&lt;/foreign-keys&gt;&lt;ref-type name="Journal Article"&gt;17&lt;/ref-type&gt;&lt;contributors&gt;&lt;authors&gt;&lt;author&gt;Woo, Dong Kyun&lt;/author&gt;&lt;author&gt;Jeong, Byung Hwan&lt;/author&gt;&lt;/authors&gt;&lt;/contributors&gt;&lt;titles&gt;&lt;title&gt;Irreversible demagnetization of permanent magnet in a surface-mounted permanent magnet motor with overhang structure&lt;/title&gt;&lt;secondary-title&gt;IEEE Transactions on Magnetics&lt;/secondary-title&gt;&lt;/titles&gt;&lt;periodical&gt;&lt;full-title&gt;IEEE Transactions on Magnetics&lt;/full-title&gt;&lt;/periodical&gt;&lt;pages&gt;1-6&lt;/pages&gt;&lt;volume&gt;52&lt;/volume&gt;&lt;number&gt;4&lt;/number&gt;&lt;dates&gt;&lt;year&gt;2015&lt;/year&gt;&lt;/dates&gt;&lt;isbn&gt;0018-9464&lt;/isbn&gt;&lt;urls&gt;&lt;/urls&gt;&lt;/record&gt;&lt;/Cite&gt;&lt;Cite&gt;&lt;Author&gt;Zhu&lt;/Author&gt;&lt;Year&gt;2005&lt;/Year&gt;&lt;RecNum&gt;40&lt;/RecNum&gt;&lt;record&gt;&lt;rec-number&gt;40&lt;/rec-number&gt;&lt;foreign-keys&gt;&lt;key app="EN" db-id="rf2p5e05jx0x9jep00uvx0s1fvaww2dfa0r9" timestamp="1689525830"&gt;40&lt;/key&gt;&lt;/foreign-keys&gt;&lt;ref-type name="Journal Article"&gt;17&lt;/ref-type&gt;&lt;contributors&gt;&lt;authors&gt;&lt;author&gt;Zhu, Z Q&lt;/author&gt;&lt;author&gt;Pang, Y&lt;/author&gt;&lt;author&gt;Howe, D&lt;/author&gt;&lt;author&gt;Iwasaki, S&lt;/author&gt;&lt;author&gt;Deodhar, R&lt;/author&gt;&lt;author&gt;Pride, A&lt;/author&gt;&lt;/authors&gt;&lt;/contributors&gt;&lt;titles&gt;&lt;title&gt;Analysis of electromagnetic performance of flux-switching permanent-magnet machines by nonlinear adaptive lumped parameter magnetic circuit model&lt;/title&gt;&lt;secondary-title&gt;IEEE Transactions on magnetics&lt;/secondary-title&gt;&lt;/titles&gt;&lt;periodical&gt;&lt;full-title&gt;IEEE Transactions on Magnetics&lt;/full-title&gt;&lt;/periodical&gt;&lt;pages&gt;4277-4287&lt;/pages&gt;&lt;volume&gt;41&lt;/volume&gt;&lt;number&gt;11&lt;/number&gt;&lt;dates&gt;&lt;year&gt;2005&lt;/year&gt;&lt;/dates&gt;&lt;isbn&gt;0018-9464&lt;/isbn&gt;&lt;urls&gt;&lt;/urls&gt;&lt;/record&gt;&lt;/Cite&gt;&lt;/EndNote&gt;</w:instrText>
      </w:r>
      <w:r w:rsidRPr="00FC71BE">
        <w:fldChar w:fldCharType="separate"/>
      </w:r>
      <w:r w:rsidR="00BA33ED" w:rsidRPr="00FC71BE">
        <w:t>[142, 143]</w:t>
      </w:r>
      <w:r w:rsidRPr="00FC71BE">
        <w:fldChar w:fldCharType="end"/>
      </w:r>
      <w:r w:rsidRPr="00FC71BE">
        <w:t>.</w:t>
      </w:r>
    </w:p>
    <w:p w14:paraId="6A9FCC9D" w14:textId="77777777" w:rsidR="003F1EA9" w:rsidRPr="00FC71BE" w:rsidRDefault="003F1EA9" w:rsidP="003F1EA9">
      <w:pPr>
        <w:pStyle w:val="Figure"/>
        <w:rPr>
          <w:noProof w:val="0"/>
        </w:rPr>
      </w:pPr>
      <w:bookmarkStart w:id="164" w:name="_Ref125494129"/>
      <w:r w:rsidRPr="00FC71BE">
        <w:drawing>
          <wp:inline distT="0" distB="0" distL="0" distR="0" wp14:anchorId="231E3B6B" wp14:editId="59DA3BC1">
            <wp:extent cx="4363200" cy="2562515"/>
            <wp:effectExtent l="0" t="0" r="0" b="9525"/>
            <wp:docPr id="1255627120" name="Picture 1255627120" descr="A diagram of a magnetic field&#10;&#10;Description automatically generated">
              <a:extLst xmlns:a="http://schemas.openxmlformats.org/drawingml/2006/main">
                <a:ext uri="{FF2B5EF4-FFF2-40B4-BE49-F238E27FC236}">
                  <a16:creationId xmlns:a16="http://schemas.microsoft.com/office/drawing/2014/main" id="{2EFF706B-CD60-4817-B2F8-932CFB306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a magnetic field&#10;&#10;Description automatically generated">
                      <a:extLst>
                        <a:ext uri="{FF2B5EF4-FFF2-40B4-BE49-F238E27FC236}">
                          <a16:creationId xmlns:a16="http://schemas.microsoft.com/office/drawing/2014/main" id="{2EFF706B-CD60-4817-B2F8-932CFB306566}"/>
                        </a:ext>
                      </a:extLst>
                    </pic:cNvPr>
                    <pic:cNvPicPr>
                      <a:picLocks noChangeAspect="1"/>
                    </pic:cNvPicPr>
                  </pic:nvPicPr>
                  <pic:blipFill>
                    <a:blip r:embed="rId110"/>
                    <a:stretch>
                      <a:fillRect/>
                    </a:stretch>
                  </pic:blipFill>
                  <pic:spPr>
                    <a:xfrm>
                      <a:off x="0" y="0"/>
                      <a:ext cx="4363200" cy="2562515"/>
                    </a:xfrm>
                    <a:prstGeom prst="rect">
                      <a:avLst/>
                    </a:prstGeom>
                  </pic:spPr>
                </pic:pic>
              </a:graphicData>
            </a:graphic>
          </wp:inline>
        </w:drawing>
      </w:r>
    </w:p>
    <w:p w14:paraId="0F79A09E" w14:textId="21FB85C9" w:rsidR="003F1EA9" w:rsidRPr="00FC71BE" w:rsidRDefault="003F1EA9" w:rsidP="003F1EA9">
      <w:pPr>
        <w:pStyle w:val="FigureTitle"/>
      </w:pPr>
      <w:bookmarkStart w:id="165" w:name="_Ref139994906"/>
      <w:bookmarkStart w:id="166" w:name="_Ref139994893"/>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15</w:t>
        </w:r>
      </w:fldSimple>
      <w:bookmarkEnd w:id="164"/>
      <w:bookmarkEnd w:id="165"/>
      <w:r w:rsidRPr="00FC71BE">
        <w:t>. B(H) curves of the used PM material.</w:t>
      </w:r>
      <w:bookmarkEnd w:id="166"/>
      <w:r w:rsidRPr="00FC71BE">
        <w:t xml:space="preserve"> </w:t>
      </w:r>
    </w:p>
    <w:p w14:paraId="4813915C" w14:textId="471DF99B" w:rsidR="003F1EA9" w:rsidRPr="00FC71BE" w:rsidRDefault="003F1EA9" w:rsidP="003F1EA9">
      <w:r w:rsidRPr="00FC71BE">
        <w:t xml:space="preserve">The magnet flux density is essential for investigating the machine demagnetization characteristics and evaluating the machine demagnetization withstand capability. This is because under the same operating condition, the machine with higher magnet flux density will </w:t>
      </w:r>
      <w:r w:rsidRPr="00FC71BE">
        <w:lastRenderedPageBreak/>
        <w:t>generally have better demagnetization withstand capability. It is known that magnet flux density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Pr="00FC71BE">
        <w:t>) depends on the reluctance of the magnetic circuit (</w:t>
      </w:r>
      <m:oMath>
        <m:r>
          <w:rPr>
            <w:rFonts w:ascii="Cambria Math" w:hAnsi="Cambria Math"/>
          </w:rPr>
          <m:t>S</m:t>
        </m:r>
      </m:oMath>
      <w:r w:rsidRPr="00FC71BE">
        <w:t>), the magnetomotive force (MMF) generated by PMs (</w:t>
      </w:r>
      <m:oMath>
        <m:sSub>
          <m:sSubPr>
            <m:ctrlPr>
              <w:rPr>
                <w:rFonts w:ascii="Cambria Math" w:hAnsi="Cambria Math"/>
                <w:i/>
                <w:iCs/>
              </w:rPr>
            </m:ctrlPr>
          </m:sSubPr>
          <m:e>
            <m:r>
              <w:rPr>
                <w:rFonts w:ascii="Cambria Math" w:hAnsi="Cambria Math"/>
              </w:rPr>
              <m:t>F</m:t>
            </m:r>
          </m:e>
          <m:sub>
            <m:r>
              <w:rPr>
                <w:rFonts w:ascii="Cambria Math" w:hAnsi="Cambria Math"/>
              </w:rPr>
              <m:t>m</m:t>
            </m:r>
          </m:sub>
        </m:sSub>
      </m:oMath>
      <w:r w:rsidRPr="00FC71BE">
        <w:t>) and armature current (</w:t>
      </w:r>
      <m:oMath>
        <m:sSub>
          <m:sSubPr>
            <m:ctrlPr>
              <w:rPr>
                <w:rFonts w:ascii="Cambria Math" w:hAnsi="Cambria Math"/>
                <w:i/>
              </w:rPr>
            </m:ctrlPr>
          </m:sSubPr>
          <m:e>
            <m:r>
              <w:rPr>
                <w:rFonts w:ascii="Cambria Math" w:hAnsi="Cambria Math"/>
              </w:rPr>
              <m:t>F</m:t>
            </m:r>
          </m:e>
          <m:sub>
            <m:r>
              <w:rPr>
                <w:rFonts w:ascii="Cambria Math" w:hAnsi="Cambria Math"/>
              </w:rPr>
              <m:t>c</m:t>
            </m:r>
          </m:sub>
        </m:sSub>
      </m:oMath>
      <w:r w:rsidRPr="00FC71BE">
        <w:t>), and can be calculated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972AC96" w14:textId="77777777">
        <w:tc>
          <w:tcPr>
            <w:tcW w:w="4493" w:type="pct"/>
            <w:vAlign w:val="center"/>
          </w:tcPr>
          <w:p w14:paraId="31BC4699" w14:textId="3D6DC4D1" w:rsidR="003F1EA9" w:rsidRPr="00FC71BE" w:rsidRDefault="002143AD">
            <w:pPr>
              <w:pStyle w:val="equation"/>
              <w:rPr>
                <w:color w:val="auto"/>
              </w:rPr>
            </w:pPr>
            <m:oMathPara>
              <m:oMath>
                <m:d>
                  <m:dPr>
                    <m:begChr m:val="{"/>
                    <m:endChr m:val=""/>
                    <m:ctrlPr>
                      <w:rPr>
                        <w:rFonts w:ascii="Cambria Math" w:hAnsi="Cambria Math"/>
                        <w:color w:val="auto"/>
                      </w:rPr>
                    </m:ctrlPr>
                  </m:dPr>
                  <m:e>
                    <m:eqArr>
                      <m:eqArrPr>
                        <m:ctrlPr>
                          <w:rPr>
                            <w:rFonts w:ascii="Cambria Math" w:hAnsi="Cambria Math"/>
                            <w:i/>
                            <w:iCs/>
                            <w:color w:val="auto"/>
                          </w:rPr>
                        </m:ctrlPr>
                      </m:eqArrPr>
                      <m:e>
                        <m:r>
                          <w:rPr>
                            <w:rFonts w:ascii="Cambria Math" w:hAnsi="Cambria Math"/>
                            <w:color w:val="auto"/>
                          </w:rPr>
                          <m:t>Φ</m:t>
                        </m:r>
                        <m:r>
                          <w:rPr>
                            <w:rFonts w:ascii="Cambria Math" w:hAnsi="Cambria Math"/>
                            <w:color w:val="auto"/>
                          </w:rPr>
                          <m:t>=</m:t>
                        </m:r>
                        <m:f>
                          <m:fPr>
                            <m:ctrlPr>
                              <w:rPr>
                                <w:rFonts w:ascii="Cambria Math" w:hAnsi="Cambria Math"/>
                                <w:i/>
                                <w:iCs/>
                                <w:color w:val="auto"/>
                              </w:rPr>
                            </m:ctrlPr>
                          </m:fPr>
                          <m:num>
                            <m:sSub>
                              <m:sSubPr>
                                <m:ctrlPr>
                                  <w:rPr>
                                    <w:rFonts w:ascii="Cambria Math" w:hAnsi="Cambria Math"/>
                                    <w:i/>
                                    <w:iCs/>
                                    <w:color w:val="auto"/>
                                  </w:rPr>
                                </m:ctrlPr>
                              </m:sSubPr>
                              <m:e>
                                <m:r>
                                  <w:rPr>
                                    <w:rFonts w:ascii="Cambria Math" w:hAnsi="Cambria Math"/>
                                    <w:color w:val="auto"/>
                                  </w:rPr>
                                  <m:t>F</m:t>
                                </m:r>
                              </m:e>
                              <m:sub>
                                <m:r>
                                  <w:rPr>
                                    <w:rFonts w:ascii="Cambria Math" w:hAnsi="Cambria Math"/>
                                    <w:color w:val="auto"/>
                                  </w:rPr>
                                  <m:t>m</m:t>
                                </m:r>
                              </m:sub>
                            </m:sSub>
                            <m:r>
                              <w:rPr>
                                <w:rFonts w:ascii="Cambria Math" w:hAnsi="Cambria Math"/>
                                <w:color w:val="auto"/>
                              </w:rPr>
                              <m:t>+</m:t>
                            </m:r>
                            <m:sSub>
                              <m:sSubPr>
                                <m:ctrlPr>
                                  <w:rPr>
                                    <w:rFonts w:ascii="Cambria Math" w:hAnsi="Cambria Math"/>
                                    <w:i/>
                                    <w:iCs/>
                                    <w:color w:val="auto"/>
                                  </w:rPr>
                                </m:ctrlPr>
                              </m:sSubPr>
                              <m:e>
                                <m:r>
                                  <w:rPr>
                                    <w:rFonts w:ascii="Cambria Math" w:hAnsi="Cambria Math"/>
                                    <w:color w:val="auto"/>
                                  </w:rPr>
                                  <m:t>F</m:t>
                                </m:r>
                              </m:e>
                              <m:sub>
                                <m:r>
                                  <w:rPr>
                                    <w:rFonts w:ascii="Cambria Math" w:hAnsi="Cambria Math"/>
                                    <w:color w:val="auto"/>
                                  </w:rPr>
                                  <m:t>c</m:t>
                                </m:r>
                              </m:sub>
                            </m:sSub>
                          </m:num>
                          <m:den>
                            <m:r>
                              <w:rPr>
                                <w:rFonts w:ascii="Cambria Math" w:hAnsi="Cambria Math"/>
                                <w:color w:val="auto"/>
                              </w:rPr>
                              <m:t>S</m:t>
                            </m:r>
                          </m:den>
                        </m:f>
                      </m:e>
                      <m:e>
                        <m:sSub>
                          <m:sSubPr>
                            <m:ctrlPr>
                              <w:rPr>
                                <w:rFonts w:ascii="Cambria Math" w:hAnsi="Cambria Math"/>
                                <w:i/>
                                <w:iCs/>
                                <w:color w:val="auto"/>
                              </w:rPr>
                            </m:ctrlPr>
                          </m:sSubPr>
                          <m:e>
                            <m:r>
                              <w:rPr>
                                <w:rFonts w:ascii="Cambria Math" w:hAnsi="Cambria Math"/>
                                <w:color w:val="auto"/>
                              </w:rPr>
                              <m:t>B</m:t>
                            </m:r>
                          </m:e>
                          <m:sub>
                            <m:r>
                              <w:rPr>
                                <w:rFonts w:ascii="Cambria Math" w:hAnsi="Cambria Math"/>
                                <w:color w:val="auto"/>
                              </w:rPr>
                              <m:t>m</m:t>
                            </m:r>
                          </m:sub>
                        </m:sSub>
                        <m:r>
                          <w:rPr>
                            <w:rFonts w:ascii="Cambria Math" w:hAnsi="Cambria Math"/>
                            <w:color w:val="auto"/>
                          </w:rPr>
                          <m:t>=</m:t>
                        </m:r>
                        <m:f>
                          <m:fPr>
                            <m:ctrlPr>
                              <w:rPr>
                                <w:rFonts w:ascii="Cambria Math" w:hAnsi="Cambria Math"/>
                                <w:i/>
                                <w:iCs/>
                                <w:color w:val="auto"/>
                              </w:rPr>
                            </m:ctrlPr>
                          </m:fPr>
                          <m:num>
                            <m:r>
                              <w:rPr>
                                <w:rFonts w:ascii="Cambria Math" w:hAnsi="Cambria Math"/>
                                <w:color w:val="auto"/>
                              </w:rPr>
                              <m:t>Φ</m:t>
                            </m:r>
                          </m:num>
                          <m:den>
                            <m:r>
                              <w:rPr>
                                <w:rFonts w:ascii="Cambria Math" w:hAnsi="Cambria Math"/>
                                <w:color w:val="auto"/>
                              </w:rPr>
                              <m:t>A</m:t>
                            </m:r>
                          </m:den>
                        </m:f>
                      </m:e>
                    </m:eqArr>
                  </m:e>
                </m:d>
              </m:oMath>
            </m:oMathPara>
          </w:p>
        </w:tc>
        <w:tc>
          <w:tcPr>
            <w:tcW w:w="507" w:type="pct"/>
            <w:vAlign w:val="center"/>
          </w:tcPr>
          <w:p w14:paraId="1EED1CB2" w14:textId="7AC7D28E" w:rsidR="003F1EA9" w:rsidRPr="00FC71BE" w:rsidRDefault="003F1EA9">
            <w:pPr>
              <w:pStyle w:val="equation"/>
              <w:rPr>
                <w:color w:val="auto"/>
              </w:rPr>
            </w:pPr>
            <w:bookmarkStart w:id="167" w:name="_Ref136080384"/>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16</w:t>
            </w:r>
            <w:r w:rsidR="002839C4" w:rsidRPr="00FC71BE">
              <w:rPr>
                <w:color w:val="auto"/>
              </w:rPr>
              <w:fldChar w:fldCharType="end"/>
            </w:r>
            <w:r w:rsidRPr="00FC71BE">
              <w:rPr>
                <w:color w:val="auto"/>
              </w:rPr>
              <w:t>)</w:t>
            </w:r>
            <w:bookmarkEnd w:id="167"/>
          </w:p>
        </w:tc>
      </w:tr>
    </w:tbl>
    <w:p w14:paraId="0F53BAC1" w14:textId="59AB7993" w:rsidR="003F1EA9" w:rsidRPr="00FC71BE" w:rsidRDefault="003F1EA9" w:rsidP="003F1EA9">
      <w:pPr>
        <w:ind w:firstLine="0"/>
      </w:pPr>
      <w:r w:rsidRPr="00FC71BE">
        <w:t xml:space="preserve">where </w:t>
      </w:r>
      <m:oMath>
        <m:r>
          <w:rPr>
            <w:rFonts w:ascii="Cambria Math" w:hAnsi="Cambria Math"/>
          </w:rPr>
          <m:t>Φ</m:t>
        </m:r>
      </m:oMath>
      <w:r w:rsidRPr="00FC71BE">
        <w:t xml:space="preserve"> and </w:t>
      </w:r>
      <w:r w:rsidRPr="00FC71BE">
        <w:rPr>
          <w:i/>
          <w:iCs/>
        </w:rPr>
        <w:t>A</w:t>
      </w:r>
      <w:r w:rsidRPr="00FC71BE">
        <w:t xml:space="preserve"> are the flux in the magnet and magnet area, respectively. </w:t>
      </w:r>
    </w:p>
    <w:p w14:paraId="1A3043CD" w14:textId="77777777" w:rsidR="003F1EA9" w:rsidRPr="00FC71BE" w:rsidRDefault="002143AD" w:rsidP="003F1EA9">
      <m:oMath>
        <m:sSub>
          <m:sSubPr>
            <m:ctrlPr>
              <w:rPr>
                <w:rFonts w:ascii="Cambria Math" w:hAnsi="Cambria Math"/>
                <w:iCs/>
              </w:rPr>
            </m:ctrlPr>
          </m:sSubPr>
          <m:e>
            <m:r>
              <m:rPr>
                <m:sty m:val="p"/>
              </m:rPr>
              <w:rPr>
                <w:rFonts w:ascii="Cambria Math" w:hAnsi="Cambria Math"/>
              </w:rPr>
              <m:t>F</m:t>
            </m:r>
          </m:e>
          <m:sub>
            <m:r>
              <m:rPr>
                <m:sty m:val="p"/>
              </m:rPr>
              <w:rPr>
                <w:rFonts w:ascii="Cambria Math" w:hAnsi="Cambria Math"/>
              </w:rPr>
              <m:t>m</m:t>
            </m:r>
          </m:sub>
        </m:sSub>
      </m:oMath>
      <w:r w:rsidR="003F1EA9" w:rsidRPr="00FC71BE">
        <w:t xml:space="preserve"> and </w:t>
      </w:r>
      <m:oMath>
        <m:sSub>
          <m:sSubPr>
            <m:ctrlPr>
              <w:rPr>
                <w:rFonts w:ascii="Cambria Math" w:hAnsi="Cambria Math"/>
                <w:iCs/>
              </w:rPr>
            </m:ctrlPr>
          </m:sSubPr>
          <m:e>
            <m:r>
              <m:rPr>
                <m:sty m:val="p"/>
              </m:rPr>
              <w:rPr>
                <w:rFonts w:ascii="Cambria Math" w:hAnsi="Cambria Math"/>
              </w:rPr>
              <m:t>F</m:t>
            </m:r>
          </m:e>
          <m:sub>
            <m:r>
              <m:rPr>
                <m:sty m:val="p"/>
              </m:rPr>
              <w:rPr>
                <w:rFonts w:ascii="Cambria Math" w:hAnsi="Cambria Math"/>
              </w:rPr>
              <m:t>c</m:t>
            </m:r>
          </m:sub>
        </m:sSub>
      </m:oMath>
      <w:r w:rsidR="003F1EA9" w:rsidRPr="00FC71BE">
        <w:t xml:space="preserve"> can be described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14C14CD3" w14:textId="77777777">
        <w:tc>
          <w:tcPr>
            <w:tcW w:w="4493" w:type="pct"/>
            <w:vAlign w:val="center"/>
          </w:tcPr>
          <w:p w14:paraId="48A5C01A" w14:textId="2C9261F1" w:rsidR="003F1EA9" w:rsidRPr="00FC71BE" w:rsidRDefault="002143AD">
            <w:pPr>
              <w:pStyle w:val="equation"/>
              <w:rPr>
                <w:color w:val="auto"/>
              </w:rPr>
            </w:pPr>
            <m:oMathPara>
              <m:oMath>
                <m:d>
                  <m:dPr>
                    <m:begChr m:val="{"/>
                    <m:endChr m:val=""/>
                    <m:ctrlPr>
                      <w:rPr>
                        <w:rFonts w:ascii="Cambria Math" w:hAnsi="Cambria Math"/>
                        <w:color w:val="auto"/>
                      </w:rPr>
                    </m:ctrlPr>
                  </m:dPr>
                  <m:e>
                    <m:eqArr>
                      <m:eqArrPr>
                        <m:ctrlPr>
                          <w:rPr>
                            <w:rFonts w:ascii="Cambria Math" w:hAnsi="Cambria Math"/>
                            <w:i/>
                            <w:iCs/>
                            <w:color w:val="auto"/>
                          </w:rPr>
                        </m:ctrlPr>
                      </m:eqArrPr>
                      <m:e>
                        <m:sSub>
                          <m:sSubPr>
                            <m:ctrlPr>
                              <w:rPr>
                                <w:rFonts w:ascii="Cambria Math" w:hAnsi="Cambria Math"/>
                                <w:i/>
                                <w:iCs/>
                                <w:color w:val="auto"/>
                              </w:rPr>
                            </m:ctrlPr>
                          </m:sSubPr>
                          <m:e>
                            <m:r>
                              <w:rPr>
                                <w:rFonts w:ascii="Cambria Math" w:hAnsi="Cambria Math"/>
                                <w:color w:val="auto"/>
                              </w:rPr>
                              <m:t>F</m:t>
                            </m:r>
                          </m:e>
                          <m:sub>
                            <m:r>
                              <w:rPr>
                                <w:rFonts w:ascii="Cambria Math" w:hAnsi="Cambria Math"/>
                                <w:color w:val="auto"/>
                              </w:rPr>
                              <m:t>m</m:t>
                            </m:r>
                          </m:sub>
                        </m:sSub>
                        <m:r>
                          <w:rPr>
                            <w:rFonts w:ascii="Cambria Math" w:hAnsi="Cambria Math"/>
                            <w:color w:val="auto"/>
                          </w:rPr>
                          <m:t>=</m:t>
                        </m:r>
                        <m:f>
                          <m:fPr>
                            <m:ctrlPr>
                              <w:rPr>
                                <w:rFonts w:ascii="Cambria Math" w:hAnsi="Cambria Math"/>
                                <w:i/>
                                <w:iCs/>
                                <w:color w:val="auto"/>
                              </w:rPr>
                            </m:ctrlPr>
                          </m:fPr>
                          <m:num>
                            <m:sSub>
                              <m:sSubPr>
                                <m:ctrlPr>
                                  <w:rPr>
                                    <w:rFonts w:ascii="Cambria Math" w:hAnsi="Cambria Math"/>
                                    <w:i/>
                                    <w:iCs/>
                                    <w:color w:val="auto"/>
                                  </w:rPr>
                                </m:ctrlPr>
                              </m:sSubPr>
                              <m:e>
                                <m:r>
                                  <w:rPr>
                                    <w:rFonts w:ascii="Cambria Math" w:hAnsi="Cambria Math"/>
                                    <w:color w:val="auto"/>
                                  </w:rPr>
                                  <m:t>B</m:t>
                                </m:r>
                              </m:e>
                              <m:sub>
                                <m:r>
                                  <w:rPr>
                                    <w:rFonts w:ascii="Cambria Math" w:hAnsi="Cambria Math"/>
                                    <w:color w:val="auto"/>
                                  </w:rPr>
                                  <m:t>r</m:t>
                                </m:r>
                              </m:sub>
                            </m:sSub>
                            <m:r>
                              <w:rPr>
                                <w:rFonts w:ascii="Cambria Math" w:hAnsi="Cambria Math"/>
                                <w:color w:val="auto"/>
                              </w:rPr>
                              <m:t>w</m:t>
                            </m:r>
                          </m:num>
                          <m:den>
                            <m:sSub>
                              <m:sSubPr>
                                <m:ctrlPr>
                                  <w:rPr>
                                    <w:rFonts w:ascii="Cambria Math" w:hAnsi="Cambria Math"/>
                                    <w:i/>
                                    <w:iCs/>
                                    <w:color w:val="auto"/>
                                  </w:rPr>
                                </m:ctrlPr>
                              </m:sSubPr>
                              <m:e>
                                <m:r>
                                  <w:rPr>
                                    <w:rFonts w:ascii="Cambria Math" w:hAnsi="Cambria Math"/>
                                    <w:color w:val="auto"/>
                                  </w:rPr>
                                  <m:t>μ</m:t>
                                </m:r>
                              </m:e>
                              <m:sub>
                                <m:r>
                                  <w:rPr>
                                    <w:rFonts w:ascii="Cambria Math" w:hAnsi="Cambria Math"/>
                                    <w:color w:val="auto"/>
                                  </w:rPr>
                                  <m:t>0</m:t>
                                </m:r>
                              </m:sub>
                            </m:sSub>
                            <m:sSub>
                              <m:sSubPr>
                                <m:ctrlPr>
                                  <w:rPr>
                                    <w:rFonts w:ascii="Cambria Math" w:hAnsi="Cambria Math"/>
                                    <w:i/>
                                    <w:iCs/>
                                    <w:color w:val="auto"/>
                                  </w:rPr>
                                </m:ctrlPr>
                              </m:sSubPr>
                              <m:e>
                                <m:r>
                                  <w:rPr>
                                    <w:rFonts w:ascii="Cambria Math" w:hAnsi="Cambria Math"/>
                                    <w:color w:val="auto"/>
                                  </w:rPr>
                                  <m:t>μ</m:t>
                                </m:r>
                              </m:e>
                              <m:sub>
                                <m:r>
                                  <w:rPr>
                                    <w:rFonts w:ascii="Cambria Math" w:hAnsi="Cambria Math"/>
                                    <w:color w:val="auto"/>
                                  </w:rPr>
                                  <m:t>r</m:t>
                                </m:r>
                              </m:sub>
                            </m:sSub>
                          </m:den>
                        </m:f>
                      </m:e>
                      <m:e>
                        <m:sSub>
                          <m:sSubPr>
                            <m:ctrlPr>
                              <w:rPr>
                                <w:rFonts w:ascii="Cambria Math" w:hAnsi="Cambria Math"/>
                                <w:i/>
                                <w:iCs/>
                                <w:color w:val="auto"/>
                              </w:rPr>
                            </m:ctrlPr>
                          </m:sSubPr>
                          <m:e>
                            <m:r>
                              <w:rPr>
                                <w:rFonts w:ascii="Cambria Math" w:hAnsi="Cambria Math"/>
                                <w:color w:val="auto"/>
                              </w:rPr>
                              <m:t>F</m:t>
                            </m:r>
                          </m:e>
                          <m:sub>
                            <m:r>
                              <w:rPr>
                                <w:rFonts w:ascii="Cambria Math" w:hAnsi="Cambria Math"/>
                                <w:color w:val="auto"/>
                              </w:rPr>
                              <m:t>c</m:t>
                            </m:r>
                          </m:sub>
                        </m:sSub>
                        <m:r>
                          <w:rPr>
                            <w:rFonts w:ascii="Cambria Math" w:hAnsi="Cambria Math"/>
                            <w:color w:val="auto"/>
                          </w:rPr>
                          <m:t>=</m:t>
                        </m:r>
                        <m:r>
                          <w:rPr>
                            <w:rFonts w:ascii="Cambria Math" w:hAnsi="Cambria Math"/>
                            <w:color w:val="auto"/>
                          </w:rPr>
                          <m:t>Ni</m:t>
                        </m:r>
                      </m:e>
                    </m:eqArr>
                  </m:e>
                </m:d>
              </m:oMath>
            </m:oMathPara>
          </w:p>
        </w:tc>
        <w:tc>
          <w:tcPr>
            <w:tcW w:w="507" w:type="pct"/>
            <w:vAlign w:val="center"/>
          </w:tcPr>
          <w:p w14:paraId="19C77ADE" w14:textId="06A4193F" w:rsidR="003F1EA9" w:rsidRPr="00FC71BE" w:rsidRDefault="003F1EA9">
            <w:pPr>
              <w:pStyle w:val="equation"/>
              <w:rPr>
                <w:color w:val="auto"/>
              </w:rPr>
            </w:pPr>
            <w:bookmarkStart w:id="168" w:name="_Ref136204514"/>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17</w:t>
            </w:r>
            <w:r w:rsidR="002839C4" w:rsidRPr="00FC71BE">
              <w:rPr>
                <w:color w:val="auto"/>
              </w:rPr>
              <w:fldChar w:fldCharType="end"/>
            </w:r>
            <w:r w:rsidRPr="00FC71BE">
              <w:rPr>
                <w:color w:val="auto"/>
              </w:rPr>
              <w:t>)</w:t>
            </w:r>
            <w:bookmarkEnd w:id="168"/>
          </w:p>
        </w:tc>
      </w:tr>
    </w:tbl>
    <w:p w14:paraId="56ACFAA4" w14:textId="2B076C75" w:rsidR="003F1EA9" w:rsidRPr="00FC71BE" w:rsidRDefault="003F1EA9" w:rsidP="003F1EA9">
      <w:pPr>
        <w:ind w:firstLine="0"/>
      </w:pPr>
      <w:r w:rsidRPr="00FC71BE">
        <w:t xml:space="preserve">where </w:t>
      </w:r>
      <m:oMath>
        <m:sSub>
          <m:sSubPr>
            <m:ctrlPr>
              <w:rPr>
                <w:rFonts w:ascii="Cambria Math" w:hAnsi="Cambria Math"/>
                <w:i/>
              </w:rPr>
            </m:ctrlPr>
          </m:sSubPr>
          <m:e>
            <m:r>
              <w:rPr>
                <w:rFonts w:ascii="Cambria Math" w:hAnsi="Cambria Math"/>
              </w:rPr>
              <m:t>B</m:t>
            </m:r>
          </m:e>
          <m:sub>
            <m:r>
              <w:rPr>
                <w:rFonts w:ascii="Cambria Math" w:hAnsi="Cambria Math"/>
              </w:rPr>
              <m:t>r</m:t>
            </m:r>
          </m:sub>
        </m:sSub>
      </m:oMath>
      <w:r w:rsidRPr="00FC71BE">
        <w:rPr>
          <w:i/>
        </w:rPr>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Pr="00FC71BE">
        <w:rPr>
          <w:i/>
        </w:rPr>
        <w:t xml:space="preserv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Pr="00FC71BE">
        <w:rPr>
          <w:i/>
        </w:rPr>
        <w:t xml:space="preserve">, </w:t>
      </w:r>
      <m:oMath>
        <m:r>
          <w:rPr>
            <w:rFonts w:ascii="Cambria Math" w:hAnsi="Cambria Math"/>
          </w:rPr>
          <m:t>w</m:t>
        </m:r>
      </m:oMath>
      <w:r w:rsidRPr="00FC71BE">
        <w:rPr>
          <w:i/>
        </w:rPr>
        <w:t xml:space="preserve">, </w:t>
      </w:r>
      <m:oMath>
        <m:r>
          <w:rPr>
            <w:rFonts w:ascii="Cambria Math" w:hAnsi="Cambria Math"/>
          </w:rPr>
          <m:t>N</m:t>
        </m:r>
      </m:oMath>
      <w:r w:rsidRPr="00FC71BE">
        <w:t xml:space="preserve">, and </w:t>
      </w:r>
      <m:oMath>
        <m:r>
          <w:rPr>
            <w:rFonts w:ascii="Cambria Math" w:hAnsi="Cambria Math"/>
          </w:rPr>
          <m:t>i</m:t>
        </m:r>
      </m:oMath>
      <w:r w:rsidRPr="00FC71BE">
        <w:t xml:space="preserve"> are the magnet remanence, vacuum permeability, magnet relative permeability, magnet thickness, number of turns and magnitude of armature current. </w:t>
      </w:r>
    </w:p>
    <w:p w14:paraId="45184410" w14:textId="61D607AF" w:rsidR="003F1EA9" w:rsidRPr="00FC71BE" w:rsidRDefault="003F1EA9" w:rsidP="003F1EA9">
      <w:r w:rsidRPr="00FC71BE">
        <w:t xml:space="preserve">According to </w:t>
      </w:r>
      <w:r w:rsidRPr="00FC71BE">
        <w:fldChar w:fldCharType="begin"/>
      </w:r>
      <w:r w:rsidRPr="00FC71BE">
        <w:instrText xml:space="preserve"> REF _Ref139994714 \h </w:instrText>
      </w:r>
      <w:r w:rsidRPr="00FC71BE">
        <w:fldChar w:fldCharType="separate"/>
      </w:r>
      <w:r w:rsidR="007E62C1" w:rsidRPr="00FC71BE">
        <w:t>(</w:t>
      </w:r>
      <w:r w:rsidR="007E62C1" w:rsidRPr="00FC71BE">
        <w:rPr>
          <w:noProof/>
        </w:rPr>
        <w:t>3</w:t>
      </w:r>
      <w:r w:rsidR="007E62C1" w:rsidRPr="00FC71BE">
        <w:t>.</w:t>
      </w:r>
      <w:r w:rsidR="007E62C1" w:rsidRPr="00FC71BE">
        <w:rPr>
          <w:noProof/>
        </w:rPr>
        <w:t>1</w:t>
      </w:r>
      <w:r w:rsidR="007E62C1" w:rsidRPr="00FC71BE">
        <w:t>)</w:t>
      </w:r>
      <w:r w:rsidRPr="00FC71BE">
        <w:fldChar w:fldCharType="end"/>
      </w:r>
      <w:r w:rsidRPr="00FC71BE">
        <w:t xml:space="preserve">, </w:t>
      </w:r>
      <w:r w:rsidRPr="00FC71BE">
        <w:fldChar w:fldCharType="begin"/>
      </w:r>
      <w:r w:rsidRPr="00FC71BE">
        <w:instrText xml:space="preserve"> REF _Ref136080384 \h </w:instrText>
      </w:r>
      <w:r w:rsidRPr="00FC71BE">
        <w:fldChar w:fldCharType="separate"/>
      </w:r>
      <w:r w:rsidR="007E62C1" w:rsidRPr="00FC71BE">
        <w:t>(</w:t>
      </w:r>
      <w:r w:rsidR="007E62C1" w:rsidRPr="00FC71BE">
        <w:rPr>
          <w:noProof/>
        </w:rPr>
        <w:t>3</w:t>
      </w:r>
      <w:r w:rsidR="007E62C1" w:rsidRPr="00FC71BE">
        <w:t>.</w:t>
      </w:r>
      <w:r w:rsidR="007E62C1" w:rsidRPr="00FC71BE">
        <w:rPr>
          <w:noProof/>
        </w:rPr>
        <w:t>16</w:t>
      </w:r>
      <w:r w:rsidR="007E62C1" w:rsidRPr="00FC71BE">
        <w:t>)</w:t>
      </w:r>
      <w:r w:rsidRPr="00FC71BE">
        <w:fldChar w:fldCharType="end"/>
      </w:r>
      <w:r w:rsidRPr="00FC71BE">
        <w:t xml:space="preserve"> and </w:t>
      </w:r>
      <w:r w:rsidRPr="00FC71BE">
        <w:fldChar w:fldCharType="begin"/>
      </w:r>
      <w:r w:rsidRPr="00FC71BE">
        <w:instrText xml:space="preserve"> REF _Ref136204514 \h </w:instrText>
      </w:r>
      <w:r w:rsidRPr="00FC71BE">
        <w:fldChar w:fldCharType="separate"/>
      </w:r>
      <w:r w:rsidR="007E62C1" w:rsidRPr="00FC71BE">
        <w:t>(</w:t>
      </w:r>
      <w:r w:rsidR="007E62C1" w:rsidRPr="00FC71BE">
        <w:rPr>
          <w:noProof/>
        </w:rPr>
        <w:t>3</w:t>
      </w:r>
      <w:r w:rsidR="007E62C1" w:rsidRPr="00FC71BE">
        <w:t>.</w:t>
      </w:r>
      <w:r w:rsidR="007E62C1" w:rsidRPr="00FC71BE">
        <w:rPr>
          <w:noProof/>
        </w:rPr>
        <w:t>17</w:t>
      </w:r>
      <w:r w:rsidR="007E62C1" w:rsidRPr="00FC71BE">
        <w:t>)</w:t>
      </w:r>
      <w:r w:rsidRPr="00FC71BE">
        <w:fldChar w:fldCharType="end"/>
      </w:r>
      <w:r w:rsidRPr="00FC71BE">
        <w:t>, the magnet flux density variation can be contributed from 3 sources:</w:t>
      </w:r>
    </w:p>
    <w:p w14:paraId="4EF7F586" w14:textId="77777777" w:rsidR="003F1EA9" w:rsidRPr="00FC71BE" w:rsidRDefault="003F1EA9" w:rsidP="003F1EA9">
      <w:pPr>
        <w:pStyle w:val="ListParagraph"/>
        <w:numPr>
          <w:ilvl w:val="0"/>
          <w:numId w:val="4"/>
        </w:numPr>
      </w:pPr>
      <w:r w:rsidRPr="00FC71BE">
        <w:t>PM field only: the MMF generated by PMs (</w:t>
      </w:r>
      <m:oMath>
        <m:sSub>
          <m:sSubPr>
            <m:ctrlPr>
              <w:rPr>
                <w:rFonts w:ascii="Cambria Math" w:hAnsi="Cambria Math"/>
                <w:i/>
              </w:rPr>
            </m:ctrlPr>
          </m:sSubPr>
          <m:e>
            <m:r>
              <w:rPr>
                <w:rFonts w:ascii="Cambria Math" w:hAnsi="Cambria Math"/>
              </w:rPr>
              <m:t>F</m:t>
            </m:r>
          </m:e>
          <m:sub>
            <m:r>
              <w:rPr>
                <w:rFonts w:ascii="Cambria Math" w:hAnsi="Cambria Math"/>
              </w:rPr>
              <m:t>m</m:t>
            </m:r>
          </m:sub>
        </m:sSub>
      </m:oMath>
      <w:r w:rsidRPr="00FC71BE">
        <w:t>) can demagnetize the magnets.</w:t>
      </w:r>
    </w:p>
    <w:p w14:paraId="1992FC1C" w14:textId="77777777" w:rsidR="003F1EA9" w:rsidRPr="00FC71BE" w:rsidRDefault="003F1EA9" w:rsidP="003F1EA9">
      <w:pPr>
        <w:pStyle w:val="ListParagraph"/>
        <w:numPr>
          <w:ilvl w:val="0"/>
          <w:numId w:val="4"/>
        </w:numPr>
      </w:pPr>
      <w:r w:rsidRPr="00FC71BE">
        <w:t>Armature field only: the MMF generated by 3-phase armature currents (</w:t>
      </w:r>
      <m:oMath>
        <m:sSub>
          <m:sSubPr>
            <m:ctrlPr>
              <w:rPr>
                <w:rFonts w:ascii="Cambria Math" w:hAnsi="Cambria Math"/>
                <w:i/>
              </w:rPr>
            </m:ctrlPr>
          </m:sSubPr>
          <m:e>
            <m:r>
              <w:rPr>
                <w:rFonts w:ascii="Cambria Math" w:hAnsi="Cambria Math"/>
              </w:rPr>
              <m:t>F</m:t>
            </m:r>
          </m:e>
          <m:sub>
            <m:r>
              <w:rPr>
                <w:rFonts w:ascii="Cambria Math" w:hAnsi="Cambria Math"/>
              </w:rPr>
              <m:t>c</m:t>
            </m:r>
          </m:sub>
        </m:sSub>
      </m:oMath>
      <w:r w:rsidRPr="00FC71BE">
        <w:t>), particularly under flux weakening operation or during short-circuit fault, can lead to magnet demagnetization.</w:t>
      </w:r>
    </w:p>
    <w:p w14:paraId="36DE7D43" w14:textId="77777777" w:rsidR="003F1EA9" w:rsidRPr="00FC71BE" w:rsidRDefault="003F1EA9" w:rsidP="003F1EA9">
      <w:pPr>
        <w:pStyle w:val="ListParagraph"/>
        <w:numPr>
          <w:ilvl w:val="0"/>
          <w:numId w:val="4"/>
        </w:numPr>
      </w:pPr>
      <w:r w:rsidRPr="00FC71BE">
        <w:t>Temperature rise: as mentioned previously, the coercivity of most magnets (except for Ferrite) reduces while the knee point increases to be closer to the magnet working point, making the magnets prone to irreversible demagnetization.</w:t>
      </w:r>
    </w:p>
    <w:p w14:paraId="10784AEF" w14:textId="09FFE1EF" w:rsidR="003F1EA9" w:rsidRPr="00FC71BE" w:rsidRDefault="003F1EA9" w:rsidP="003F1EA9">
      <w:r w:rsidRPr="00FC71BE">
        <w:t xml:space="preserve">In order to investigate the magnet demagnetization, the points along the centre line within a PM (as shown in </w:t>
      </w:r>
      <w:r w:rsidRPr="00FC71BE">
        <w:fldChar w:fldCharType="begin"/>
      </w:r>
      <w:r w:rsidRPr="00FC71BE">
        <w:instrText xml:space="preserve"> REF _Ref136080572 \h  \* MERGEFORMAT </w:instrText>
      </w:r>
      <w:r w:rsidRPr="00FC71BE">
        <w:fldChar w:fldCharType="separate"/>
      </w:r>
      <w:r w:rsidR="007E62C1" w:rsidRPr="00FC71BE">
        <w:t>Fig. 3.16</w:t>
      </w:r>
      <w:r w:rsidRPr="00FC71BE">
        <w:fldChar w:fldCharType="end"/>
      </w:r>
      <w:r w:rsidRPr="00FC71BE">
        <w:t xml:space="preserve">) have been chosen. This is mainly due to the fact that the magnet in this region is more easily affected by demagnetization than other regions </w:t>
      </w:r>
      <w:r w:rsidRPr="00FC71BE">
        <w:fldChar w:fldCharType="begin"/>
      </w:r>
      <w:r w:rsidR="00103B0D" w:rsidRPr="00FC71BE">
        <w:instrText xml:space="preserve"> ADDIN EN.CITE &lt;EndNote&gt;&lt;Cite&gt;&lt;Author&gt;Li&lt;/Author&gt;&lt;Year&gt;2017&lt;/Year&gt;&lt;RecNum&gt;42&lt;/RecNum&gt;&lt;DisplayText&gt;[44]&lt;/DisplayText&gt;&lt;record&gt;&lt;rec-number&gt;42&lt;/rec-number&gt;&lt;foreign-keys&gt;&lt;key app="EN" db-id="rf2p5e05jx0x9jep00uvx0s1fvaww2dfa0r9" timestamp="1689526697"&gt;42&lt;/key&gt;&lt;/foreign-keys&gt;&lt;ref-type name="Journal Article"&gt;17&lt;/ref-type&gt;&lt;contributors&gt;&lt;authors&gt;&lt;author&gt;Li, Guang Jin&lt;/author&gt;&lt;author&gt;Ren, Bo&lt;/author&gt;&lt;author&gt;Zhu, Zi Qiang&lt;/author&gt;&lt;author&gt;Foster, Martin&lt;/author&gt;&lt;author&gt;Stone, David&lt;/author&gt;&lt;/authors&gt;&lt;/contributors&gt;&lt;titles&gt;&lt;title&gt;Demagnetization withstand capability enhancement of surface mounted PM machines using stator modularity&lt;/title&gt;&lt;secondary-title&gt;IEEE Transactions on Industry Applications&lt;/secondary-title&gt;&lt;/titles&gt;&lt;periodical&gt;&lt;full-title&gt;IEEE Transactions on Industry Applications&lt;/full-title&gt;&lt;/periodical&gt;&lt;pages&gt;1302-1311&lt;/pages&gt;&lt;volume&gt;54&lt;/volume&gt;&lt;number&gt;2&lt;/number&gt;&lt;dates&gt;&lt;year&gt;2017&lt;/year&gt;&lt;/dates&gt;&lt;isbn&gt;0093-9994&lt;/isbn&gt;&lt;urls&gt;&lt;/urls&gt;&lt;/record&gt;&lt;/Cite&gt;&lt;/EndNote&gt;</w:instrText>
      </w:r>
      <w:r w:rsidRPr="00FC71BE">
        <w:fldChar w:fldCharType="separate"/>
      </w:r>
      <w:r w:rsidR="0000133B" w:rsidRPr="00FC71BE">
        <w:t>[44]</w:t>
      </w:r>
      <w:r w:rsidRPr="00FC71BE">
        <w:fldChar w:fldCharType="end"/>
      </w:r>
      <w:r w:rsidRPr="00FC71BE">
        <w:t xml:space="preserve">. It is worth noting that, in order to separate the influence of the above three sources on the magnet demagnetization, a range of magnet temperatures will be used first in this section without adopting coupled EM-thermal modelling, which will be investigated in section </w:t>
      </w:r>
      <w:r w:rsidRPr="00FC71BE">
        <w:fldChar w:fldCharType="begin"/>
      </w:r>
      <w:r w:rsidRPr="00FC71BE">
        <w:instrText xml:space="preserve"> REF _Ref140422093 \r \h </w:instrText>
      </w:r>
      <w:r w:rsidRPr="00FC71BE">
        <w:fldChar w:fldCharType="separate"/>
      </w:r>
      <w:r w:rsidR="007E62C1" w:rsidRPr="00FC71BE">
        <w:t>3.3.3</w:t>
      </w:r>
      <w:r w:rsidRPr="00FC71BE">
        <w:fldChar w:fldCharType="end"/>
      </w:r>
      <w:r w:rsidRPr="00FC71BE">
        <w:t xml:space="preserve"> for more accurate temperature prediction.</w:t>
      </w:r>
    </w:p>
    <w:p w14:paraId="71DF7343" w14:textId="77777777" w:rsidR="003F1EA9" w:rsidRPr="00FC71BE" w:rsidRDefault="003F1EA9" w:rsidP="003F1EA9">
      <w:pPr>
        <w:pStyle w:val="Figure"/>
        <w:rPr>
          <w:noProof w:val="0"/>
        </w:rPr>
      </w:pPr>
      <w:r w:rsidRPr="00FC71BE">
        <w:lastRenderedPageBreak/>
        <w:drawing>
          <wp:inline distT="0" distB="0" distL="0" distR="0" wp14:anchorId="24334AAF" wp14:editId="5EC4E0CE">
            <wp:extent cx="3535869" cy="2246400"/>
            <wp:effectExtent l="0" t="0" r="7620" b="0"/>
            <wp:docPr id="2112626095" name="Picture 2112626095" descr="A picture containing text, businesscard&#10;&#10;Description automatically generated">
              <a:extLst xmlns:a="http://schemas.openxmlformats.org/drawingml/2006/main">
                <a:ext uri="{FF2B5EF4-FFF2-40B4-BE49-F238E27FC236}">
                  <a16:creationId xmlns:a16="http://schemas.microsoft.com/office/drawing/2014/main" id="{E8DAEA7E-13EB-4E97-AAD2-2A5A93C7AC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businesscard&#10;&#10;Description automatically generated">
                      <a:extLst>
                        <a:ext uri="{FF2B5EF4-FFF2-40B4-BE49-F238E27FC236}">
                          <a16:creationId xmlns:a16="http://schemas.microsoft.com/office/drawing/2014/main" id="{E8DAEA7E-13EB-4E97-AAD2-2A5A93C7AC9C}"/>
                        </a:ext>
                      </a:extLst>
                    </pic:cNvPr>
                    <pic:cNvPicPr>
                      <a:picLocks noChangeAspect="1"/>
                    </pic:cNvPicPr>
                  </pic:nvPicPr>
                  <pic:blipFill>
                    <a:blip r:embed="rId111"/>
                    <a:stretch>
                      <a:fillRect/>
                    </a:stretch>
                  </pic:blipFill>
                  <pic:spPr>
                    <a:xfrm>
                      <a:off x="0" y="0"/>
                      <a:ext cx="3535869" cy="2246400"/>
                    </a:xfrm>
                    <a:prstGeom prst="rect">
                      <a:avLst/>
                    </a:prstGeom>
                  </pic:spPr>
                </pic:pic>
              </a:graphicData>
            </a:graphic>
          </wp:inline>
        </w:drawing>
      </w:r>
    </w:p>
    <w:p w14:paraId="2455B346" w14:textId="38114F80" w:rsidR="003F1EA9" w:rsidRPr="00FC71BE" w:rsidRDefault="003F1EA9" w:rsidP="003F1EA9">
      <w:pPr>
        <w:pStyle w:val="FigureTitle"/>
      </w:pPr>
      <w:bookmarkStart w:id="169" w:name="_Ref136080572"/>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16</w:t>
        </w:r>
      </w:fldSimple>
      <w:bookmarkEnd w:id="169"/>
      <w:r w:rsidRPr="00FC71BE">
        <w:t xml:space="preserve">. Fundamental open-circuit airgap flux density (radial component) and fundamental phase back-EMF </w:t>
      </w:r>
      <w:r w:rsidRPr="00FC71BE">
        <w:rPr>
          <w:i/>
        </w:rPr>
        <w:t>vs</w:t>
      </w:r>
      <w:r w:rsidRPr="00FC71BE">
        <w:t xml:space="preserve"> flux gap width for the 24-slot/28-pole modular SPM machine.</w:t>
      </w:r>
    </w:p>
    <w:p w14:paraId="06CB477F" w14:textId="77777777" w:rsidR="003F1EA9" w:rsidRPr="00FC71BE" w:rsidRDefault="003F1EA9" w:rsidP="00B86C68">
      <w:pPr>
        <w:pStyle w:val="Heading3"/>
        <w:numPr>
          <w:ilvl w:val="2"/>
          <w:numId w:val="49"/>
        </w:numPr>
      </w:pPr>
      <w:bookmarkStart w:id="170" w:name="_Toc157695356"/>
      <w:r w:rsidRPr="00FC71BE">
        <w:t>Demagnetization without EM-thermal coupling</w:t>
      </w:r>
      <w:bookmarkEnd w:id="170"/>
    </w:p>
    <w:p w14:paraId="3F82760E" w14:textId="14476BB0" w:rsidR="003F1EA9" w:rsidRPr="00FC71BE" w:rsidRDefault="003F1EA9" w:rsidP="003F1EA9">
      <w:r w:rsidRPr="00FC71BE">
        <w:t xml:space="preserve">Without considering the magnet temperature variation, temperature rise in particular, the magnet demagnetization is mainly due to the MMFs produced by PMs and armature currents, especially the negative </w:t>
      </w:r>
      <w:r w:rsidRPr="00FC71BE">
        <w:rPr>
          <w:i/>
          <w:iCs/>
        </w:rPr>
        <w:t>d</w:t>
      </w:r>
      <w:r w:rsidRPr="00FC71BE">
        <w:t xml:space="preserve">-axis current, as shown in </w:t>
      </w:r>
      <w:r w:rsidRPr="00FC71BE">
        <w:fldChar w:fldCharType="begin"/>
      </w:r>
      <w:r w:rsidRPr="00FC71BE">
        <w:instrText xml:space="preserve"> REF _Ref136096143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17</w:t>
      </w:r>
      <w:r w:rsidRPr="00FC71BE">
        <w:fldChar w:fldCharType="end"/>
      </w:r>
      <w:r w:rsidRPr="00FC71BE">
        <w:t xml:space="preserve">. It is found that, at a magnet operating temperature of 20℃, when the load current is smaller than a critical value, e.g., 200A for the modular machine and 300A for the non-modular machine, the minimum flux density is almost constant when the </w:t>
      </w:r>
      <w:r w:rsidRPr="00FC71BE">
        <w:rPr>
          <w:i/>
          <w:iCs/>
        </w:rPr>
        <w:t>d</w:t>
      </w:r>
      <w:r w:rsidRPr="00FC71BE">
        <w:t xml:space="preserve">-axis current reduces. After the critical value, the minimum magnet flux density reduces almost linearly with reducing </w:t>
      </w:r>
      <w:r w:rsidRPr="00FC71BE">
        <w:rPr>
          <w:i/>
          <w:iCs/>
        </w:rPr>
        <w:t>d</w:t>
      </w:r>
      <w:r w:rsidRPr="00FC71BE">
        <w:t>-axis current. Compared with the non-modular machine, the modular machine is found to be able to improve the minimum magnet flux density at different load currents. This means that the introduced flux gaps can improve the demagnetization withstand capability.</w:t>
      </w:r>
    </w:p>
    <w:p w14:paraId="0AF7C34B" w14:textId="77777777" w:rsidR="003F1EA9" w:rsidRPr="00FC71BE" w:rsidRDefault="003F1EA9" w:rsidP="003F1EA9">
      <w:pPr>
        <w:pStyle w:val="Figure"/>
        <w:rPr>
          <w:noProof w:val="0"/>
        </w:rPr>
      </w:pPr>
      <w:r w:rsidRPr="00FC71BE">
        <w:drawing>
          <wp:inline distT="0" distB="0" distL="0" distR="0" wp14:anchorId="41F138BF" wp14:editId="5E1ABF2B">
            <wp:extent cx="3746479" cy="2246400"/>
            <wp:effectExtent l="0" t="0" r="6985" b="1905"/>
            <wp:docPr id="1106007156" name="Picture 110600715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46479" cy="2246400"/>
                    </a:xfrm>
                    <a:prstGeom prst="rect">
                      <a:avLst/>
                    </a:prstGeom>
                    <a:noFill/>
                    <a:ln>
                      <a:noFill/>
                    </a:ln>
                  </pic:spPr>
                </pic:pic>
              </a:graphicData>
            </a:graphic>
          </wp:inline>
        </w:drawing>
      </w:r>
    </w:p>
    <w:p w14:paraId="5E0BBD4E" w14:textId="06DF15CA" w:rsidR="003F1EA9" w:rsidRPr="00FC71BE" w:rsidRDefault="003F1EA9" w:rsidP="003F1EA9">
      <w:pPr>
        <w:pStyle w:val="FigureTitle"/>
      </w:pPr>
      <w:bookmarkStart w:id="171" w:name="_Ref136096143"/>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17</w:t>
        </w:r>
      </w:fldSimple>
      <w:bookmarkEnd w:id="171"/>
      <w:r w:rsidRPr="00FC71BE">
        <w:t xml:space="preserve">. Minimum magnet flux density (radial component) at 20℃ at point A </w:t>
      </w:r>
      <w:r w:rsidRPr="00FC71BE">
        <w:rPr>
          <w:i/>
        </w:rPr>
        <w:t>vs</w:t>
      </w:r>
      <w:r w:rsidRPr="00FC71BE">
        <w:t xml:space="preserve"> the </w:t>
      </w:r>
      <w:r w:rsidRPr="00FC71BE">
        <w:rPr>
          <w:i/>
          <w:iCs w:val="0"/>
        </w:rPr>
        <w:t>d</w:t>
      </w:r>
      <w:r w:rsidRPr="00FC71BE">
        <w:t>-axis current for the investigated machines.</w:t>
      </w:r>
    </w:p>
    <w:p w14:paraId="036A47DC" w14:textId="6BD9B67C" w:rsidR="003F1EA9" w:rsidRPr="00FC71BE" w:rsidRDefault="003F1EA9" w:rsidP="003F1EA9">
      <w:r w:rsidRPr="00FC71BE">
        <w:lastRenderedPageBreak/>
        <w:t xml:space="preserve">The flux density versus rotor position for the modular and non-modular machines is also investigated, as shown in </w:t>
      </w:r>
      <w:r w:rsidRPr="00FC71BE">
        <w:fldChar w:fldCharType="begin"/>
      </w:r>
      <w:r w:rsidRPr="00FC71BE">
        <w:instrText xml:space="preserve"> REF _Ref136096157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18</w:t>
      </w:r>
      <w:r w:rsidRPr="00FC71BE">
        <w:fldChar w:fldCharType="end"/>
      </w:r>
      <w:r w:rsidRPr="00FC71BE">
        <w:t xml:space="preserve">. It is found that, if the current is smaller than the critical value, the minimum magnet flux density is reached when the centre line of the PM is aligned with the centre line of the slot (rotor position 2 in </w:t>
      </w:r>
      <w:r w:rsidRPr="00FC71BE">
        <w:fldChar w:fldCharType="begin"/>
      </w:r>
      <w:r w:rsidRPr="00FC71BE">
        <w:instrText xml:space="preserve"> REF _Ref136096157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18</w:t>
      </w:r>
      <w:r w:rsidRPr="00FC71BE">
        <w:fldChar w:fldCharType="end"/>
      </w:r>
      <w:r w:rsidRPr="00FC71BE">
        <w:t xml:space="preserve">). And the values of the minimum flux density are almost the same for different currents. On the contrary, when the current is larger than the critical value, the minimum magnet flux density can be reached when the centre line of the PM is aligned with the centre line of the tooth (rotor position 1 in </w:t>
      </w:r>
      <w:r w:rsidRPr="00FC71BE">
        <w:fldChar w:fldCharType="begin"/>
      </w:r>
      <w:r w:rsidRPr="00FC71BE">
        <w:instrText xml:space="preserve"> REF _Ref136096157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18</w:t>
      </w:r>
      <w:r w:rsidRPr="00FC71BE">
        <w:fldChar w:fldCharType="end"/>
      </w:r>
      <w:r w:rsidRPr="00FC71BE">
        <w:t xml:space="preserve">). In addition, when the selected PM rotates to the flux gap region, the magnet flux density will reduce until the centre line of the PM is aligned with the centre line of the flux gap (rotor position 3 in </w:t>
      </w:r>
      <w:r w:rsidRPr="00FC71BE">
        <w:fldChar w:fldCharType="begin"/>
      </w:r>
      <w:r w:rsidRPr="00FC71BE">
        <w:instrText xml:space="preserve"> REF _Ref136096157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18</w:t>
      </w:r>
      <w:r w:rsidRPr="00FC71BE">
        <w:fldChar w:fldCharType="end"/>
      </w:r>
      <w:r w:rsidRPr="00FC71BE">
        <w:t>). This magnet flux density variation is caused by the combined influence between machine topology, MMFs generated by PMs and armature currents, which will be detailed in the following sections.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5F7C1E07" w14:textId="77777777">
        <w:tc>
          <w:tcPr>
            <w:tcW w:w="9016" w:type="dxa"/>
          </w:tcPr>
          <w:p w14:paraId="1F537354" w14:textId="77777777" w:rsidR="003F1EA9" w:rsidRPr="00FC71BE" w:rsidRDefault="003F1EA9">
            <w:pPr>
              <w:pStyle w:val="Figure"/>
              <w:rPr>
                <w:noProof w:val="0"/>
              </w:rPr>
            </w:pPr>
            <w:r w:rsidRPr="00FC71BE">
              <w:drawing>
                <wp:inline distT="0" distB="0" distL="0" distR="0" wp14:anchorId="4324AEE9" wp14:editId="7156F5C3">
                  <wp:extent cx="4551331" cy="3960000"/>
                  <wp:effectExtent l="0" t="0" r="1905" b="2540"/>
                  <wp:docPr id="29" name="Picture 29" descr="A diagram of a waveform&#10;&#10;Description automatically generated">
                    <a:extLst xmlns:a="http://schemas.openxmlformats.org/drawingml/2006/main">
                      <a:ext uri="{FF2B5EF4-FFF2-40B4-BE49-F238E27FC236}">
                        <a16:creationId xmlns:a16="http://schemas.microsoft.com/office/drawing/2014/main" id="{3595DC15-41CC-419A-B927-AC48070348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diagram of a waveform&#10;&#10;Description automatically generated">
                            <a:extLst>
                              <a:ext uri="{FF2B5EF4-FFF2-40B4-BE49-F238E27FC236}">
                                <a16:creationId xmlns:a16="http://schemas.microsoft.com/office/drawing/2014/main" id="{3595DC15-41CC-419A-B927-AC4807034836}"/>
                              </a:ext>
                            </a:extLst>
                          </pic:cNvPr>
                          <pic:cNvPicPr>
                            <a:picLocks noChangeAspect="1"/>
                          </pic:cNvPicPr>
                        </pic:nvPicPr>
                        <pic:blipFill rotWithShape="1">
                          <a:blip r:embed="rId113"/>
                          <a:srcRect l="15480" r="29209"/>
                          <a:stretch/>
                        </pic:blipFill>
                        <pic:spPr bwMode="auto">
                          <a:xfrm>
                            <a:off x="0" y="0"/>
                            <a:ext cx="4551331" cy="3960000"/>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7E276347" w14:textId="77777777">
        <w:tc>
          <w:tcPr>
            <w:tcW w:w="9016" w:type="dxa"/>
          </w:tcPr>
          <w:p w14:paraId="3798DB72" w14:textId="77777777" w:rsidR="003F1EA9" w:rsidRPr="00FC71BE" w:rsidRDefault="003F1EA9">
            <w:pPr>
              <w:pStyle w:val="Figure"/>
              <w:rPr>
                <w:noProof w:val="0"/>
              </w:rPr>
            </w:pPr>
            <w:r w:rsidRPr="00FC71BE">
              <w:rPr>
                <w:noProof w:val="0"/>
              </w:rPr>
              <w:t>(a) Modular machine</w:t>
            </w:r>
          </w:p>
        </w:tc>
      </w:tr>
      <w:tr w:rsidR="00FC71BE" w:rsidRPr="00FC71BE" w14:paraId="6F86C26B" w14:textId="77777777">
        <w:tc>
          <w:tcPr>
            <w:tcW w:w="9016" w:type="dxa"/>
          </w:tcPr>
          <w:p w14:paraId="481883D8" w14:textId="77777777" w:rsidR="003F1EA9" w:rsidRPr="00FC71BE" w:rsidRDefault="003F1EA9">
            <w:pPr>
              <w:pStyle w:val="Figure"/>
              <w:rPr>
                <w:noProof w:val="0"/>
              </w:rPr>
            </w:pPr>
            <w:r w:rsidRPr="00FC71BE">
              <w:lastRenderedPageBreak/>
              <w:drawing>
                <wp:inline distT="0" distB="0" distL="0" distR="0" wp14:anchorId="301F20DE" wp14:editId="353CB533">
                  <wp:extent cx="4172095" cy="3960000"/>
                  <wp:effectExtent l="0" t="0" r="0" b="2540"/>
                  <wp:docPr id="725244028" name="Picture 72524402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diagram of a diagram&#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172095" cy="3960000"/>
                          </a:xfrm>
                          <a:prstGeom prst="rect">
                            <a:avLst/>
                          </a:prstGeom>
                          <a:noFill/>
                        </pic:spPr>
                      </pic:pic>
                    </a:graphicData>
                  </a:graphic>
                </wp:inline>
              </w:drawing>
            </w:r>
          </w:p>
        </w:tc>
      </w:tr>
      <w:tr w:rsidR="00FC71BE" w:rsidRPr="00FC71BE" w14:paraId="0D5C7FDC" w14:textId="77777777">
        <w:tc>
          <w:tcPr>
            <w:tcW w:w="9016" w:type="dxa"/>
          </w:tcPr>
          <w:p w14:paraId="1FDD719E" w14:textId="77777777" w:rsidR="003F1EA9" w:rsidRPr="00FC71BE" w:rsidRDefault="003F1EA9">
            <w:pPr>
              <w:pStyle w:val="Figure"/>
              <w:rPr>
                <w:noProof w:val="0"/>
              </w:rPr>
            </w:pPr>
            <w:r w:rsidRPr="00FC71BE">
              <w:rPr>
                <w:noProof w:val="0"/>
              </w:rPr>
              <w:t>(b) Non-modular machine</w:t>
            </w:r>
          </w:p>
        </w:tc>
      </w:tr>
    </w:tbl>
    <w:p w14:paraId="30A1DD03" w14:textId="3174C732" w:rsidR="003F1EA9" w:rsidRPr="00FC71BE" w:rsidRDefault="003F1EA9" w:rsidP="003F1EA9">
      <w:pPr>
        <w:pStyle w:val="FigureTitle"/>
      </w:pPr>
      <w:bookmarkStart w:id="172" w:name="_Ref136096157"/>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18</w:t>
        </w:r>
      </w:fldSimple>
      <w:bookmarkEnd w:id="172"/>
      <w:r w:rsidRPr="00FC71BE">
        <w:t>. Magnet flux density (radial component) at 20</w:t>
      </w:r>
      <m:oMath>
        <m:r>
          <m:rPr>
            <m:sty m:val="p"/>
          </m:rPr>
          <w:rPr>
            <w:rFonts w:ascii="Cambria Math" w:hAnsi="Cambria Math"/>
          </w:rPr>
          <m:t>℃</m:t>
        </m:r>
      </m:oMath>
      <w:r w:rsidRPr="00FC71BE">
        <w:t xml:space="preserve"> at point A (see </w:t>
      </w:r>
      <w:r w:rsidRPr="00FC71BE">
        <w:fldChar w:fldCharType="begin"/>
      </w:r>
      <w:r w:rsidRPr="00FC71BE">
        <w:instrText xml:space="preserve"> REF _Ref136080572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16</w:t>
      </w:r>
      <w:r w:rsidRPr="00FC71BE">
        <w:fldChar w:fldCharType="end"/>
      </w:r>
      <w:r w:rsidRPr="00FC71BE">
        <w:t>).</w:t>
      </w:r>
    </w:p>
    <w:p w14:paraId="4CA87782" w14:textId="108A00C6" w:rsidR="003F1EA9" w:rsidRPr="00FC71BE" w:rsidRDefault="003F1EA9" w:rsidP="003F1EA9">
      <w:r w:rsidRPr="00FC71BE">
        <w:t xml:space="preserve">In order to evaluate the influence of demagnetization caused by PM field only while under the influence of negative </w:t>
      </w:r>
      <w:r w:rsidRPr="00FC71BE">
        <w:rPr>
          <w:i/>
          <w:iCs/>
        </w:rPr>
        <w:t>d-</w:t>
      </w:r>
      <w:r w:rsidRPr="00FC71BE">
        <w:t xml:space="preserve">axis current, the modular and non-modular machines have been simulated at a PM temperature of 20℃. By adopting the FP method, the armature field has been removed and the magnet flux density variation due to the PM field for both investigated machines are shown in </w:t>
      </w:r>
      <w:r w:rsidRPr="00FC71BE">
        <w:fldChar w:fldCharType="begin"/>
      </w:r>
      <w:r w:rsidRPr="00FC71BE">
        <w:instrText xml:space="preserve"> REF _Ref136200981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19</w:t>
      </w:r>
      <w:r w:rsidRPr="00FC71BE">
        <w:fldChar w:fldCharType="end"/>
      </w:r>
      <w:r w:rsidRPr="00FC71BE">
        <w:t>. Without the armature field, the magnet flux density only depends on the reluctance of the magnetic circuit and the PM MMF (</w:t>
      </w:r>
      <m:oMath>
        <m:sSub>
          <m:sSubPr>
            <m:ctrlPr>
              <w:rPr>
                <w:rFonts w:ascii="Cambria Math" w:hAnsi="Cambria Math"/>
                <w:i/>
              </w:rPr>
            </m:ctrlPr>
          </m:sSubPr>
          <m:e>
            <m:r>
              <w:rPr>
                <w:rFonts w:ascii="Cambria Math" w:hAnsi="Cambria Math"/>
              </w:rPr>
              <m:t>F</m:t>
            </m:r>
          </m:e>
          <m:sub>
            <m:r>
              <w:rPr>
                <w:rFonts w:ascii="Cambria Math" w:hAnsi="Cambria Math"/>
              </w:rPr>
              <m:t>m</m:t>
            </m:r>
          </m:sub>
        </m:sSub>
      </m:oMath>
      <w:r w:rsidRPr="00FC71BE">
        <w:t xml:space="preserve">). It is found that, due to the non-linear characteristics of the iron core, reducing the </w:t>
      </w:r>
      <w:r w:rsidRPr="00FC71BE">
        <w:rPr>
          <w:i/>
          <w:iCs/>
        </w:rPr>
        <w:t>d-</w:t>
      </w:r>
      <w:r w:rsidRPr="00FC71BE">
        <w:t>axis current increase its relative permeability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Pr="00FC71BE">
        <w:t xml:space="preserve">), therefore reduces the reluctance while increasing the magnet flux density. The variation in magnet flux density is significant for the non-modular machine as show in </w:t>
      </w:r>
      <w:r w:rsidRPr="00FC71BE">
        <w:fldChar w:fldCharType="begin"/>
      </w:r>
      <w:r w:rsidRPr="00FC71BE">
        <w:instrText xml:space="preserve"> REF _Ref136200981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19</w:t>
      </w:r>
      <w:r w:rsidRPr="00FC71BE">
        <w:fldChar w:fldCharType="end"/>
      </w:r>
      <w:r w:rsidRPr="00FC71BE">
        <w:t xml:space="preserve"> (b). However, it is found that, the flux density variation for the modular machine under different load currents is almost the same, as shown in </w:t>
      </w:r>
      <w:r w:rsidRPr="00FC71BE">
        <w:fldChar w:fldCharType="begin"/>
      </w:r>
      <w:r w:rsidRPr="00FC71BE">
        <w:instrText xml:space="preserve"> REF _Ref136200981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19</w:t>
      </w:r>
      <w:r w:rsidRPr="00FC71BE">
        <w:fldChar w:fldCharType="end"/>
      </w:r>
      <w:r w:rsidRPr="00FC71BE">
        <w:t xml:space="preserve"> (a). This means that, the introduced flux gaps in the modular machine can significantly reduce the PM flux density variation caused by the variation of iron core permeability.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1BC90B22" w14:textId="77777777">
        <w:tc>
          <w:tcPr>
            <w:tcW w:w="9016" w:type="dxa"/>
          </w:tcPr>
          <w:p w14:paraId="75FD91A3" w14:textId="77777777" w:rsidR="003F1EA9" w:rsidRPr="00FC71BE" w:rsidRDefault="003F1EA9">
            <w:pPr>
              <w:pStyle w:val="Figure"/>
              <w:rPr>
                <w:noProof w:val="0"/>
              </w:rPr>
            </w:pPr>
            <w:r w:rsidRPr="00FC71BE">
              <w:lastRenderedPageBreak/>
              <w:drawing>
                <wp:inline distT="0" distB="0" distL="0" distR="0" wp14:anchorId="7500231E" wp14:editId="27182CB2">
                  <wp:extent cx="4036558" cy="3492000"/>
                  <wp:effectExtent l="0" t="0" r="2540" b="0"/>
                  <wp:docPr id="21" name="Picture 21" descr="A diagram of a motor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diagram of a motor diagram&#10;&#10;Description automatically generated"/>
                          <pic:cNvPicPr>
                            <a:picLocks noChangeAspect="1" noChangeArrowheads="1"/>
                          </pic:cNvPicPr>
                        </pic:nvPicPr>
                        <pic:blipFill rotWithShape="1">
                          <a:blip r:embed="rId115">
                            <a:extLst>
                              <a:ext uri="{28A0092B-C50C-407E-A947-70E740481C1C}">
                                <a14:useLocalDpi xmlns:a14="http://schemas.microsoft.com/office/drawing/2010/main" val="0"/>
                              </a:ext>
                            </a:extLst>
                          </a:blip>
                          <a:srcRect r="6748"/>
                          <a:stretch/>
                        </pic:blipFill>
                        <pic:spPr bwMode="auto">
                          <a:xfrm>
                            <a:off x="0" y="0"/>
                            <a:ext cx="4036558" cy="349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71BE" w:rsidRPr="00FC71BE" w14:paraId="0BF6C810" w14:textId="77777777">
        <w:tc>
          <w:tcPr>
            <w:tcW w:w="9016" w:type="dxa"/>
          </w:tcPr>
          <w:p w14:paraId="0ABCE701" w14:textId="77777777" w:rsidR="003F1EA9" w:rsidRPr="00FC71BE" w:rsidRDefault="003F1EA9">
            <w:pPr>
              <w:pStyle w:val="Figure"/>
              <w:rPr>
                <w:noProof w:val="0"/>
              </w:rPr>
            </w:pPr>
            <w:r w:rsidRPr="00FC71BE">
              <w:rPr>
                <w:noProof w:val="0"/>
              </w:rPr>
              <w:t>(a) Modular machine</w:t>
            </w:r>
          </w:p>
        </w:tc>
      </w:tr>
      <w:tr w:rsidR="00FC71BE" w:rsidRPr="00FC71BE" w14:paraId="7F249DFA" w14:textId="77777777">
        <w:tc>
          <w:tcPr>
            <w:tcW w:w="9016" w:type="dxa"/>
          </w:tcPr>
          <w:p w14:paraId="1565D838" w14:textId="77777777" w:rsidR="003F1EA9" w:rsidRPr="00FC71BE" w:rsidRDefault="003F1EA9">
            <w:pPr>
              <w:pStyle w:val="Figure"/>
              <w:rPr>
                <w:noProof w:val="0"/>
              </w:rPr>
            </w:pPr>
            <w:r w:rsidRPr="00FC71BE">
              <w:drawing>
                <wp:inline distT="0" distB="0" distL="0" distR="0" wp14:anchorId="193EC2FA" wp14:editId="07B7E4FA">
                  <wp:extent cx="3528258" cy="3492000"/>
                  <wp:effectExtent l="0" t="0" r="0" b="0"/>
                  <wp:docPr id="25" name="Picture 25"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diagram of a graph&#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28258" cy="3492000"/>
                          </a:xfrm>
                          <a:prstGeom prst="rect">
                            <a:avLst/>
                          </a:prstGeom>
                          <a:noFill/>
                        </pic:spPr>
                      </pic:pic>
                    </a:graphicData>
                  </a:graphic>
                </wp:inline>
              </w:drawing>
            </w:r>
          </w:p>
        </w:tc>
      </w:tr>
      <w:tr w:rsidR="00FC71BE" w:rsidRPr="00FC71BE" w14:paraId="7961B02A" w14:textId="77777777">
        <w:tc>
          <w:tcPr>
            <w:tcW w:w="9016" w:type="dxa"/>
          </w:tcPr>
          <w:p w14:paraId="3ACD8485" w14:textId="77777777" w:rsidR="003F1EA9" w:rsidRPr="00FC71BE" w:rsidRDefault="003F1EA9">
            <w:pPr>
              <w:pStyle w:val="Figure"/>
              <w:rPr>
                <w:noProof w:val="0"/>
              </w:rPr>
            </w:pPr>
            <w:r w:rsidRPr="00FC71BE">
              <w:rPr>
                <w:noProof w:val="0"/>
              </w:rPr>
              <w:t>(b) Non-modular machine</w:t>
            </w:r>
          </w:p>
        </w:tc>
      </w:tr>
    </w:tbl>
    <w:p w14:paraId="33B030E5" w14:textId="07BCB34E" w:rsidR="003F1EA9" w:rsidRPr="00FC71BE" w:rsidRDefault="003F1EA9" w:rsidP="003F1EA9">
      <w:pPr>
        <w:pStyle w:val="FigureTitle"/>
      </w:pPr>
      <w:bookmarkStart w:id="173" w:name="_Ref136200981"/>
      <w:r w:rsidRPr="00FC71BE">
        <w:t xml:space="preserve">Fig. </w:t>
      </w:r>
      <w:fldSimple w:instr=" STYLEREF 1 \s ">
        <w:r w:rsidR="007E62C1" w:rsidRPr="00FC71BE">
          <w:rPr>
            <w:noProof/>
          </w:rPr>
          <w:t>3</w:t>
        </w:r>
      </w:fldSimple>
      <w:r w:rsidRPr="00FC71BE">
        <w:t>.</w:t>
      </w:r>
      <w:fldSimple w:instr=" SEQ Fig. \* ARABIC \s 1 ">
        <w:r w:rsidR="007E62C1" w:rsidRPr="00FC71BE">
          <w:rPr>
            <w:noProof/>
          </w:rPr>
          <w:t>19</w:t>
        </w:r>
      </w:fldSimple>
      <w:bookmarkEnd w:id="173"/>
      <w:r w:rsidRPr="00FC71BE">
        <w:t xml:space="preserve">. Magnet flux density (radial component) generated by PM source at point A within the selected PM </w:t>
      </w:r>
      <w:r w:rsidRPr="00FC71BE">
        <w:rPr>
          <w:i/>
        </w:rPr>
        <w:t>vs</w:t>
      </w:r>
      <w:r w:rsidRPr="00FC71BE">
        <w:t xml:space="preserve"> rotor position.</w:t>
      </w:r>
    </w:p>
    <w:p w14:paraId="0950A1ED" w14:textId="67863EE7" w:rsidR="003F1EA9" w:rsidRPr="00FC71BE" w:rsidRDefault="003F1EA9" w:rsidP="003F1EA9">
      <w:r w:rsidRPr="00FC71BE">
        <w:t xml:space="preserve">For both the investigated machines, the maximum flux density is reached at initial rotor position, i.e., centre line of the magnet is aligned with the centre line of the tooth [rotor position 1 in </w:t>
      </w:r>
      <w:r w:rsidRPr="00FC71BE">
        <w:fldChar w:fldCharType="begin"/>
      </w:r>
      <w:r w:rsidRPr="00FC71BE">
        <w:instrText xml:space="preserve"> REF _Ref136200981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19</w:t>
      </w:r>
      <w:r w:rsidRPr="00FC71BE">
        <w:fldChar w:fldCharType="end"/>
      </w:r>
      <w:r w:rsidRPr="00FC71BE">
        <w:t xml:space="preserve"> (a)]. This is because the effective airgap length and therefore the reluctance are </w:t>
      </w:r>
      <w:r w:rsidRPr="00FC71BE">
        <w:lastRenderedPageBreak/>
        <w:t>minimum when the rotor is at the position 1. When rotor rotates and the selected magnet is facing the slot opening, the reluctance increases because of the small relative permeability of copper wires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Pr="00FC71BE">
        <w:t xml:space="preserve">=1) in stator slot. Therefore, the magnet flux density reduces and reaches its minimum value when the centre line of the magnet is aligned with the centre line of the slot opening [rotor position 2 in </w:t>
      </w:r>
      <w:r w:rsidRPr="00FC71BE">
        <w:fldChar w:fldCharType="begin"/>
      </w:r>
      <w:r w:rsidRPr="00FC71BE">
        <w:instrText xml:space="preserve"> REF _Ref136200981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19</w:t>
      </w:r>
      <w:r w:rsidRPr="00FC71BE">
        <w:fldChar w:fldCharType="end"/>
      </w:r>
      <w:r w:rsidRPr="00FC71BE">
        <w:t xml:space="preserve"> (a)]. The introduced flux gaps have the same effect as the slot openings, which also reduce the magnet flux density when the selected magnet rotates to the flux gap region. The magnet flux density will keep reducing until the centre line of the magnet is aligned with the centre line of the flux gap [rotor position 3 as shown in </w:t>
      </w:r>
      <w:r w:rsidRPr="00FC71BE">
        <w:fldChar w:fldCharType="begin"/>
      </w:r>
      <w:r w:rsidRPr="00FC71BE">
        <w:instrText xml:space="preserve"> REF _Ref136200981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19</w:t>
      </w:r>
      <w:r w:rsidRPr="00FC71BE">
        <w:fldChar w:fldCharType="end"/>
      </w:r>
      <w:r w:rsidRPr="00FC71BE">
        <w:t xml:space="preserve"> (a)].</w:t>
      </w:r>
    </w:p>
    <w:p w14:paraId="7560C7AD" w14:textId="754E93E1" w:rsidR="003F1EA9" w:rsidRPr="00FC71BE" w:rsidRDefault="003F1EA9" w:rsidP="003F1EA9">
      <w:r w:rsidRPr="00FC71BE">
        <w:t xml:space="preserve">The results above are for a single flux gap width (10 mm), the minimum magnet flux density variation against flux gap width has also been investigated, as shown in </w:t>
      </w:r>
      <w:r w:rsidRPr="00FC71BE">
        <w:fldChar w:fldCharType="begin"/>
      </w:r>
      <w:r w:rsidRPr="00FC71BE">
        <w:instrText xml:space="preserve"> REF _Ref136203498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20</w:t>
      </w:r>
      <w:r w:rsidRPr="00FC71BE">
        <w:fldChar w:fldCharType="end"/>
      </w:r>
      <w:r w:rsidRPr="00FC71BE">
        <w:t xml:space="preserve"> (a). It is found that, when the flux gap width is smaller than 13mm, increasing flux gap width leads to increased minimum flux density. This means improved magnet demagnetization withstand capability. The reason is that, increasing flux gap width leads to reduced slot opening, and hence reduced effective airgap length at rotor position 2. As a result, the minimum flux density at position 2 will be increased, as shown by the red curve in </w:t>
      </w:r>
      <w:r w:rsidRPr="00FC71BE">
        <w:fldChar w:fldCharType="begin"/>
      </w:r>
      <w:r w:rsidRPr="00FC71BE">
        <w:instrText xml:space="preserve"> REF _Ref136203498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20</w:t>
      </w:r>
      <w:r w:rsidRPr="00FC71BE">
        <w:fldChar w:fldCharType="end"/>
      </w:r>
      <w:r w:rsidRPr="00FC71BE">
        <w:t xml:space="preserve"> (b). However, when the flux gap width is larger than a critical value (13mm for the investigated modular machine in this chapter), the minimum magnet flux density reduces with increased flux gap width. This is because the flux gap has the same effect with the slot openings. If the flux gap width is large enough (13mm for the investigated modular machine), the magnet flux density at rotor position 3 will be smaller than that at rotor position 2 due to the larger effective airgap length as shown by the blue curve in </w:t>
      </w:r>
      <w:r w:rsidRPr="00FC71BE">
        <w:fldChar w:fldCharType="begin"/>
      </w:r>
      <w:r w:rsidRPr="00FC71BE">
        <w:instrText xml:space="preserve"> REF _Ref136203498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20</w:t>
      </w:r>
      <w:r w:rsidRPr="00FC71BE">
        <w:fldChar w:fldCharType="end"/>
      </w:r>
      <w:r w:rsidRPr="00FC71BE">
        <w:t xml:space="preserve"> (b). This means that an optimal flux gap width (13mm) can be found from the magnet demagnetization withstand capability point of view.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54E3557C" w14:textId="77777777">
        <w:tc>
          <w:tcPr>
            <w:tcW w:w="9016" w:type="dxa"/>
          </w:tcPr>
          <w:p w14:paraId="1CD93C19" w14:textId="77777777" w:rsidR="003F1EA9" w:rsidRPr="00FC71BE" w:rsidRDefault="003F1EA9">
            <w:pPr>
              <w:pStyle w:val="Figure"/>
              <w:rPr>
                <w:noProof w:val="0"/>
              </w:rPr>
            </w:pPr>
            <w:r w:rsidRPr="00FC71BE">
              <w:drawing>
                <wp:inline distT="0" distB="0" distL="0" distR="0" wp14:anchorId="55301C38" wp14:editId="31B76F81">
                  <wp:extent cx="3747600" cy="2249304"/>
                  <wp:effectExtent l="0" t="0" r="5715" b="0"/>
                  <wp:docPr id="244362715" name="Picture 244362715" descr="A graph of a function&#10;&#10;Description automatically generated">
                    <a:extLst xmlns:a="http://schemas.openxmlformats.org/drawingml/2006/main">
                      <a:ext uri="{FF2B5EF4-FFF2-40B4-BE49-F238E27FC236}">
                        <a16:creationId xmlns:a16="http://schemas.microsoft.com/office/drawing/2014/main" id="{B9C0DC35-5854-4FB5-96E8-7B5A05031F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of a function&#10;&#10;Description automatically generated">
                            <a:extLst>
                              <a:ext uri="{FF2B5EF4-FFF2-40B4-BE49-F238E27FC236}">
                                <a16:creationId xmlns:a16="http://schemas.microsoft.com/office/drawing/2014/main" id="{B9C0DC35-5854-4FB5-96E8-7B5A05031FDA}"/>
                              </a:ext>
                            </a:extLst>
                          </pic:cNvPr>
                          <pic:cNvPicPr>
                            <a:picLocks noChangeAspect="1"/>
                          </pic:cNvPicPr>
                        </pic:nvPicPr>
                        <pic:blipFill>
                          <a:blip r:embed="rId117"/>
                          <a:stretch>
                            <a:fillRect/>
                          </a:stretch>
                        </pic:blipFill>
                        <pic:spPr>
                          <a:xfrm>
                            <a:off x="0" y="0"/>
                            <a:ext cx="3747600" cy="2249304"/>
                          </a:xfrm>
                          <a:prstGeom prst="rect">
                            <a:avLst/>
                          </a:prstGeom>
                        </pic:spPr>
                      </pic:pic>
                    </a:graphicData>
                  </a:graphic>
                </wp:inline>
              </w:drawing>
            </w:r>
          </w:p>
        </w:tc>
      </w:tr>
      <w:tr w:rsidR="00FC71BE" w:rsidRPr="00FC71BE" w14:paraId="094BD0B3" w14:textId="77777777">
        <w:tc>
          <w:tcPr>
            <w:tcW w:w="9016" w:type="dxa"/>
          </w:tcPr>
          <w:p w14:paraId="30535E0C" w14:textId="77777777" w:rsidR="003F1EA9" w:rsidRPr="00FC71BE" w:rsidRDefault="003F1EA9">
            <w:pPr>
              <w:pStyle w:val="Figure"/>
              <w:rPr>
                <w:noProof w:val="0"/>
              </w:rPr>
            </w:pPr>
            <w:r w:rsidRPr="00FC71BE">
              <w:rPr>
                <w:noProof w:val="0"/>
              </w:rPr>
              <w:t xml:space="preserve">(a) Minimum magnet flux density </w:t>
            </w:r>
            <w:r w:rsidRPr="00FC71BE">
              <w:rPr>
                <w:i/>
                <w:iCs/>
                <w:noProof w:val="0"/>
              </w:rPr>
              <w:t>vs</w:t>
            </w:r>
            <w:r w:rsidRPr="00FC71BE">
              <w:rPr>
                <w:noProof w:val="0"/>
              </w:rPr>
              <w:t xml:space="preserve"> flux gap width</w:t>
            </w:r>
          </w:p>
        </w:tc>
      </w:tr>
      <w:tr w:rsidR="00FC71BE" w:rsidRPr="00FC71BE" w14:paraId="49A7595B" w14:textId="77777777">
        <w:tc>
          <w:tcPr>
            <w:tcW w:w="9016" w:type="dxa"/>
          </w:tcPr>
          <w:p w14:paraId="3C920A71" w14:textId="77777777" w:rsidR="003F1EA9" w:rsidRPr="00FC71BE" w:rsidRDefault="003F1EA9">
            <w:pPr>
              <w:pStyle w:val="Figure"/>
              <w:rPr>
                <w:noProof w:val="0"/>
              </w:rPr>
            </w:pPr>
            <w:r w:rsidRPr="00FC71BE">
              <w:lastRenderedPageBreak/>
              <w:drawing>
                <wp:inline distT="0" distB="0" distL="0" distR="0" wp14:anchorId="653D7590" wp14:editId="01D3FD04">
                  <wp:extent cx="3747600" cy="2250047"/>
                  <wp:effectExtent l="0" t="0" r="5715" b="0"/>
                  <wp:docPr id="31" name="Picture 31" descr="A graph of a function&#10;&#10;Description automatically generated">
                    <a:extLst xmlns:a="http://schemas.openxmlformats.org/drawingml/2006/main">
                      <a:ext uri="{FF2B5EF4-FFF2-40B4-BE49-F238E27FC236}">
                        <a16:creationId xmlns:a16="http://schemas.microsoft.com/office/drawing/2014/main" id="{99244C10-F40A-4FCD-8728-BBB2F5A5F2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aph of a function&#10;&#10;Description automatically generated">
                            <a:extLst>
                              <a:ext uri="{FF2B5EF4-FFF2-40B4-BE49-F238E27FC236}">
                                <a16:creationId xmlns:a16="http://schemas.microsoft.com/office/drawing/2014/main" id="{99244C10-F40A-4FCD-8728-BBB2F5A5F2EB}"/>
                              </a:ext>
                            </a:extLst>
                          </pic:cNvPr>
                          <pic:cNvPicPr>
                            <a:picLocks noChangeAspect="1"/>
                          </pic:cNvPicPr>
                        </pic:nvPicPr>
                        <pic:blipFill>
                          <a:blip r:embed="rId118"/>
                          <a:stretch>
                            <a:fillRect/>
                          </a:stretch>
                        </pic:blipFill>
                        <pic:spPr>
                          <a:xfrm>
                            <a:off x="0" y="0"/>
                            <a:ext cx="3747600" cy="2250047"/>
                          </a:xfrm>
                          <a:prstGeom prst="rect">
                            <a:avLst/>
                          </a:prstGeom>
                        </pic:spPr>
                      </pic:pic>
                    </a:graphicData>
                  </a:graphic>
                </wp:inline>
              </w:drawing>
            </w:r>
          </w:p>
        </w:tc>
      </w:tr>
      <w:tr w:rsidR="00FC71BE" w:rsidRPr="00FC71BE" w14:paraId="2BF1037A" w14:textId="77777777">
        <w:tc>
          <w:tcPr>
            <w:tcW w:w="9016" w:type="dxa"/>
          </w:tcPr>
          <w:p w14:paraId="341BDCC3" w14:textId="77777777" w:rsidR="003F1EA9" w:rsidRPr="00FC71BE" w:rsidRDefault="003F1EA9">
            <w:pPr>
              <w:pStyle w:val="Figure"/>
              <w:rPr>
                <w:noProof w:val="0"/>
              </w:rPr>
            </w:pPr>
            <w:r w:rsidRPr="00FC71BE">
              <w:rPr>
                <w:noProof w:val="0"/>
              </w:rPr>
              <w:t xml:space="preserve">(b) magnet flux density </w:t>
            </w:r>
            <w:r w:rsidRPr="00FC71BE">
              <w:rPr>
                <w:i/>
                <w:iCs/>
                <w:noProof w:val="0"/>
              </w:rPr>
              <w:t>vs</w:t>
            </w:r>
            <w:r w:rsidRPr="00FC71BE">
              <w:rPr>
                <w:noProof w:val="0"/>
              </w:rPr>
              <w:t xml:space="preserve"> rotor position while flux gap widths are 13mm and 30mm</w:t>
            </w:r>
          </w:p>
        </w:tc>
      </w:tr>
    </w:tbl>
    <w:p w14:paraId="581F229B" w14:textId="1DBF04E0" w:rsidR="003F1EA9" w:rsidRPr="00FC71BE" w:rsidRDefault="003F1EA9" w:rsidP="003F1EA9">
      <w:pPr>
        <w:pStyle w:val="FigureTitle"/>
      </w:pPr>
      <w:bookmarkStart w:id="174" w:name="_Ref136203498"/>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20</w:t>
        </w:r>
      </w:fldSimple>
      <w:bookmarkEnd w:id="174"/>
      <w:r w:rsidRPr="00FC71BE">
        <w:t>. Magnet flux density (radial component) at point A generated by PM MMF at 20℃ for modular machine.</w:t>
      </w:r>
    </w:p>
    <w:p w14:paraId="3D7F727E" w14:textId="712EB35E" w:rsidR="003F1EA9" w:rsidRPr="00FC71BE" w:rsidRDefault="003F1EA9" w:rsidP="003F1EA9">
      <w:r w:rsidRPr="00FC71BE">
        <w:t xml:space="preserve">Apart from the PM field in previous section, the applied armature currents can also generate demagnetizing MMF. Again, using the FP method, the magnet flux density (at point A) due to armature field only against the load current has been calculated, as shown in </w:t>
      </w:r>
      <w:r w:rsidRPr="00FC71BE">
        <w:fldChar w:fldCharType="begin"/>
      </w:r>
      <w:r w:rsidRPr="00FC71BE">
        <w:instrText xml:space="preserve"> REF _Ref136204436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21</w:t>
      </w:r>
      <w:r w:rsidRPr="00FC71BE">
        <w:fldChar w:fldCharType="end"/>
      </w:r>
      <w:r w:rsidRPr="00FC71BE">
        <w:t xml:space="preserve">. The magnet flux density now depends on the load current, and the effective airgap length as described by </w:t>
      </w:r>
      <w:r w:rsidRPr="00FC71BE">
        <w:fldChar w:fldCharType="begin"/>
      </w:r>
      <w:r w:rsidRPr="00FC71BE">
        <w:instrText xml:space="preserve"> REF _Ref136080384 \h </w:instrText>
      </w:r>
      <w:r w:rsidRPr="00FC71BE">
        <w:fldChar w:fldCharType="separate"/>
      </w:r>
      <w:r w:rsidR="007E62C1" w:rsidRPr="00FC71BE">
        <w:t>(</w:t>
      </w:r>
      <w:r w:rsidR="007E62C1" w:rsidRPr="00FC71BE">
        <w:rPr>
          <w:noProof/>
        </w:rPr>
        <w:t>3</w:t>
      </w:r>
      <w:r w:rsidR="007E62C1" w:rsidRPr="00FC71BE">
        <w:t>.</w:t>
      </w:r>
      <w:r w:rsidR="007E62C1" w:rsidRPr="00FC71BE">
        <w:rPr>
          <w:noProof/>
        </w:rPr>
        <w:t>16</w:t>
      </w:r>
      <w:r w:rsidR="007E62C1" w:rsidRPr="00FC71BE">
        <w:t>)</w:t>
      </w:r>
      <w:r w:rsidRPr="00FC71BE">
        <w:fldChar w:fldCharType="end"/>
      </w:r>
      <w:r w:rsidRPr="00FC71BE">
        <w:t xml:space="preserve"> and </w:t>
      </w:r>
      <w:r w:rsidRPr="00FC71BE">
        <w:fldChar w:fldCharType="begin"/>
      </w:r>
      <w:r w:rsidRPr="00FC71BE">
        <w:instrText xml:space="preserve"> REF _Ref136204514 \h </w:instrText>
      </w:r>
      <w:r w:rsidRPr="00FC71BE">
        <w:fldChar w:fldCharType="separate"/>
      </w:r>
      <w:r w:rsidR="007E62C1" w:rsidRPr="00FC71BE">
        <w:t>(</w:t>
      </w:r>
      <w:r w:rsidR="007E62C1" w:rsidRPr="00FC71BE">
        <w:rPr>
          <w:noProof/>
        </w:rPr>
        <w:t>3</w:t>
      </w:r>
      <w:r w:rsidR="007E62C1" w:rsidRPr="00FC71BE">
        <w:t>.</w:t>
      </w:r>
      <w:r w:rsidR="007E62C1" w:rsidRPr="00FC71BE">
        <w:rPr>
          <w:noProof/>
        </w:rPr>
        <w:t>17</w:t>
      </w:r>
      <w:r w:rsidR="007E62C1" w:rsidRPr="00FC71BE">
        <w:t>)</w:t>
      </w:r>
      <w:r w:rsidRPr="00FC71BE">
        <w:fldChar w:fldCharType="end"/>
      </w:r>
      <w:r w:rsidRPr="00FC71BE">
        <w:t xml:space="preserve">. As a result, for both the modular and non-modular machines, at initial rotor position 1 where the </w:t>
      </w:r>
      <w:r w:rsidRPr="00FC71BE">
        <w:rPr>
          <w:i/>
          <w:iCs/>
        </w:rPr>
        <w:t>d-</w:t>
      </w:r>
      <w:r w:rsidRPr="00FC71BE">
        <w:t>axis is aligned with the centre line of the tooth of A-phase, the magnitude of A-phase current reaches its maximum value, and the effective airgap length is the smallest. This leads to the most significant demagnetization and hence the minimum magnet flux density. When the rotor rotates towards slot opening, the effective airgap length is increased. Together with reduced A-phase current, the magnet flux density generated by applied armature field at point A is increased. However, when the rotor rotates by 90 electrical degrees, i.e., 45/7≈6.4 mechanical degrees, named as rotor position 4 in this chapter, the A-phase current is 0A, while the B-phase current is equal to minus C-phase current. Hence, the magnet flux density at point A is 0T.</w:t>
      </w:r>
    </w:p>
    <w:p w14:paraId="5D5831F9" w14:textId="77777777" w:rsidR="003F1EA9" w:rsidRPr="00FC71BE" w:rsidRDefault="003F1EA9" w:rsidP="003F1EA9">
      <w:pPr>
        <w:pStyle w:val="Figure"/>
        <w:rPr>
          <w:noProof w:val="0"/>
        </w:rPr>
      </w:pPr>
      <w:r w:rsidRPr="00FC71BE">
        <w:lastRenderedPageBreak/>
        <w:drawing>
          <wp:inline distT="0" distB="0" distL="0" distR="0" wp14:anchorId="3C9E44EA" wp14:editId="1EC6A346">
            <wp:extent cx="4414598" cy="3600000"/>
            <wp:effectExtent l="0" t="0" r="5080" b="635"/>
            <wp:docPr id="32" name="Picture 32" descr="Chart, histogram&#10;&#10;Description automatically generated">
              <a:extLst xmlns:a="http://schemas.openxmlformats.org/drawingml/2006/main">
                <a:ext uri="{FF2B5EF4-FFF2-40B4-BE49-F238E27FC236}">
                  <a16:creationId xmlns:a16="http://schemas.microsoft.com/office/drawing/2014/main" id="{7A3B71C4-8644-4339-9862-B0919A9C89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hart, histogram&#10;&#10;Description automatically generated">
                      <a:extLst>
                        <a:ext uri="{FF2B5EF4-FFF2-40B4-BE49-F238E27FC236}">
                          <a16:creationId xmlns:a16="http://schemas.microsoft.com/office/drawing/2014/main" id="{7A3B71C4-8644-4339-9862-B0919A9C89AA}"/>
                        </a:ext>
                      </a:extLst>
                    </pic:cNvPr>
                    <pic:cNvPicPr>
                      <a:picLocks noChangeAspect="1"/>
                    </pic:cNvPicPr>
                  </pic:nvPicPr>
                  <pic:blipFill rotWithShape="1">
                    <a:blip r:embed="rId119"/>
                    <a:srcRect l="15565" r="25702"/>
                    <a:stretch/>
                  </pic:blipFill>
                  <pic:spPr>
                    <a:xfrm>
                      <a:off x="0" y="0"/>
                      <a:ext cx="4414598" cy="3600000"/>
                    </a:xfrm>
                    <a:prstGeom prst="rect">
                      <a:avLst/>
                    </a:prstGeom>
                  </pic:spPr>
                </pic:pic>
              </a:graphicData>
            </a:graphic>
          </wp:inline>
        </w:drawing>
      </w:r>
    </w:p>
    <w:p w14:paraId="1B82145F" w14:textId="02A5FC24" w:rsidR="003F1EA9" w:rsidRPr="00FC71BE" w:rsidRDefault="003F1EA9" w:rsidP="003F1EA9">
      <w:pPr>
        <w:pStyle w:val="FigureTitle"/>
      </w:pPr>
      <w:bookmarkStart w:id="175" w:name="_Ref136204436"/>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21</w:t>
        </w:r>
      </w:fldSimple>
      <w:bookmarkEnd w:id="175"/>
      <w:r w:rsidRPr="00FC71BE">
        <w:t>. The magnet flux density (radial component) at point A generated by applied 3-phase armature current at 20℃ for modular machine with different load currents.</w:t>
      </w:r>
    </w:p>
    <w:p w14:paraId="68543E1A" w14:textId="778DF2E8" w:rsidR="003F1EA9" w:rsidRPr="00FC71BE" w:rsidRDefault="003F1EA9" w:rsidP="003F1EA9">
      <w:r w:rsidRPr="00FC71BE">
        <w:t xml:space="preserve">According to </w:t>
      </w:r>
      <w:r w:rsidRPr="00FC71BE">
        <w:fldChar w:fldCharType="begin"/>
      </w:r>
      <w:r w:rsidRPr="00FC71BE">
        <w:instrText xml:space="preserve"> REF _Ref136204514 \h </w:instrText>
      </w:r>
      <w:r w:rsidRPr="00FC71BE">
        <w:fldChar w:fldCharType="separate"/>
      </w:r>
      <w:r w:rsidR="007E62C1" w:rsidRPr="00FC71BE">
        <w:t>(</w:t>
      </w:r>
      <w:r w:rsidR="007E62C1" w:rsidRPr="00FC71BE">
        <w:rPr>
          <w:noProof/>
        </w:rPr>
        <w:t>3</w:t>
      </w:r>
      <w:r w:rsidR="007E62C1" w:rsidRPr="00FC71BE">
        <w:t>.</w:t>
      </w:r>
      <w:r w:rsidR="007E62C1" w:rsidRPr="00FC71BE">
        <w:rPr>
          <w:noProof/>
        </w:rPr>
        <w:t>17</w:t>
      </w:r>
      <w:r w:rsidR="007E62C1" w:rsidRPr="00FC71BE">
        <w:t>)</w:t>
      </w:r>
      <w:r w:rsidRPr="00FC71BE">
        <w:fldChar w:fldCharType="end"/>
      </w:r>
      <w:r w:rsidRPr="00FC71BE">
        <w:t xml:space="preserve">, the armature MMF is proportional to the current amplitude. Therefore, when the current amplitude increases, the minimum magnet flux density reduces as shown in </w:t>
      </w:r>
      <w:r w:rsidRPr="00FC71BE">
        <w:fldChar w:fldCharType="begin"/>
      </w:r>
      <w:r w:rsidRPr="00FC71BE">
        <w:instrText xml:space="preserve"> REF _Ref136204562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22</w:t>
      </w:r>
      <w:r w:rsidRPr="00FC71BE">
        <w:fldChar w:fldCharType="end"/>
      </w:r>
      <w:r w:rsidRPr="00FC71BE">
        <w:t xml:space="preserve"> (a). This is true for both the modular and non-modular machines. However, the modular machine is able to increase the minimum magnet flux density, results from the increased effective airgap length due to the introduced flux gaps as mentioned in previous section. However, this increase in magnet flux density is insignificant when the flux gap width is larger than 10mm, as shown in </w:t>
      </w:r>
      <w:r w:rsidRPr="00FC71BE">
        <w:fldChar w:fldCharType="begin"/>
      </w:r>
      <w:r w:rsidRPr="00FC71BE">
        <w:instrText xml:space="preserve"> REF _Ref136204562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22</w:t>
      </w:r>
      <w:r w:rsidRPr="00FC71BE">
        <w:fldChar w:fldCharType="end"/>
      </w:r>
      <w:r w:rsidRPr="00FC71BE">
        <w:t xml:space="preserve"> (b). In addition, the improved minimum magnet flux density for the modular machine reveals that the demagnetization caused by armature MMF in the modular machine can also be mitigated by the introduced flux gaps. This is similar to the demagnetization caused by the PM MMF in previous section.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4C37FEC2" w14:textId="77777777">
        <w:tc>
          <w:tcPr>
            <w:tcW w:w="9016" w:type="dxa"/>
          </w:tcPr>
          <w:p w14:paraId="02DF5121" w14:textId="77777777" w:rsidR="003F1EA9" w:rsidRPr="00FC71BE" w:rsidRDefault="003F1EA9">
            <w:pPr>
              <w:pStyle w:val="Figure"/>
              <w:rPr>
                <w:noProof w:val="0"/>
              </w:rPr>
            </w:pPr>
            <w:r w:rsidRPr="00FC71BE">
              <w:lastRenderedPageBreak/>
              <w:drawing>
                <wp:inline distT="0" distB="0" distL="0" distR="0" wp14:anchorId="45726BE0" wp14:editId="51A15A19">
                  <wp:extent cx="3747600" cy="2248560"/>
                  <wp:effectExtent l="0" t="0" r="5715" b="0"/>
                  <wp:docPr id="28" name="Picture 28" descr="A graph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aph of a machine&#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47600" cy="2248560"/>
                          </a:xfrm>
                          <a:prstGeom prst="rect">
                            <a:avLst/>
                          </a:prstGeom>
                          <a:noFill/>
                        </pic:spPr>
                      </pic:pic>
                    </a:graphicData>
                  </a:graphic>
                </wp:inline>
              </w:drawing>
            </w:r>
          </w:p>
        </w:tc>
      </w:tr>
      <w:tr w:rsidR="00FC71BE" w:rsidRPr="00FC71BE" w14:paraId="62EF3510" w14:textId="77777777">
        <w:tc>
          <w:tcPr>
            <w:tcW w:w="9016" w:type="dxa"/>
          </w:tcPr>
          <w:p w14:paraId="1B3532EC" w14:textId="77777777" w:rsidR="003F1EA9" w:rsidRPr="00FC71BE" w:rsidRDefault="003F1EA9">
            <w:pPr>
              <w:pStyle w:val="Figure"/>
              <w:rPr>
                <w:noProof w:val="0"/>
              </w:rPr>
            </w:pPr>
            <w:r w:rsidRPr="00FC71BE">
              <w:rPr>
                <w:noProof w:val="0"/>
              </w:rPr>
              <w:t>(a) Minimum magnet flux density vs flux gap width</w:t>
            </w:r>
          </w:p>
        </w:tc>
      </w:tr>
      <w:tr w:rsidR="00FC71BE" w:rsidRPr="00FC71BE" w14:paraId="0B1CFD3E" w14:textId="77777777">
        <w:tc>
          <w:tcPr>
            <w:tcW w:w="9016" w:type="dxa"/>
          </w:tcPr>
          <w:p w14:paraId="0DD3A2E6" w14:textId="77777777" w:rsidR="003F1EA9" w:rsidRPr="00FC71BE" w:rsidRDefault="003F1EA9">
            <w:pPr>
              <w:pStyle w:val="Figure"/>
              <w:rPr>
                <w:noProof w:val="0"/>
              </w:rPr>
            </w:pPr>
            <w:r w:rsidRPr="00FC71BE">
              <w:drawing>
                <wp:inline distT="0" distB="0" distL="0" distR="0" wp14:anchorId="360A563C" wp14:editId="459B1DE1">
                  <wp:extent cx="3747600" cy="2247071"/>
                  <wp:effectExtent l="0" t="0" r="5715" b="1270"/>
                  <wp:docPr id="2136139451" name="Picture 2136139451" descr="A graph of a machine&#10;&#10;Description automatically generated">
                    <a:extLst xmlns:a="http://schemas.openxmlformats.org/drawingml/2006/main">
                      <a:ext uri="{FF2B5EF4-FFF2-40B4-BE49-F238E27FC236}">
                        <a16:creationId xmlns:a16="http://schemas.microsoft.com/office/drawing/2014/main" id="{8577ED33-721F-4B9B-894E-7C83077B7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aph of a machine&#10;&#10;Description automatically generated">
                            <a:extLst>
                              <a:ext uri="{FF2B5EF4-FFF2-40B4-BE49-F238E27FC236}">
                                <a16:creationId xmlns:a16="http://schemas.microsoft.com/office/drawing/2014/main" id="{8577ED33-721F-4B9B-894E-7C83077B7341}"/>
                              </a:ext>
                            </a:extLst>
                          </pic:cNvPr>
                          <pic:cNvPicPr>
                            <a:picLocks noChangeAspect="1"/>
                          </pic:cNvPicPr>
                        </pic:nvPicPr>
                        <pic:blipFill>
                          <a:blip r:embed="rId121"/>
                          <a:stretch>
                            <a:fillRect/>
                          </a:stretch>
                        </pic:blipFill>
                        <pic:spPr>
                          <a:xfrm>
                            <a:off x="0" y="0"/>
                            <a:ext cx="3747600" cy="2247071"/>
                          </a:xfrm>
                          <a:prstGeom prst="rect">
                            <a:avLst/>
                          </a:prstGeom>
                        </pic:spPr>
                      </pic:pic>
                    </a:graphicData>
                  </a:graphic>
                </wp:inline>
              </w:drawing>
            </w:r>
          </w:p>
        </w:tc>
      </w:tr>
      <w:tr w:rsidR="00FC71BE" w:rsidRPr="00FC71BE" w14:paraId="18B16387" w14:textId="77777777">
        <w:tc>
          <w:tcPr>
            <w:tcW w:w="9016" w:type="dxa"/>
          </w:tcPr>
          <w:p w14:paraId="722BE306" w14:textId="77777777" w:rsidR="003F1EA9" w:rsidRPr="00FC71BE" w:rsidRDefault="003F1EA9">
            <w:pPr>
              <w:pStyle w:val="Figure"/>
              <w:rPr>
                <w:noProof w:val="0"/>
              </w:rPr>
            </w:pPr>
            <w:r w:rsidRPr="00FC71BE">
              <w:rPr>
                <w:noProof w:val="0"/>
              </w:rPr>
              <w:t>(b) magnet flux density vs rotor position while flux gap widths are 13mm and 30mm</w:t>
            </w:r>
          </w:p>
        </w:tc>
      </w:tr>
    </w:tbl>
    <w:p w14:paraId="6843FFBE" w14:textId="68360FDF" w:rsidR="003F1EA9" w:rsidRPr="00FC71BE" w:rsidRDefault="003F1EA9" w:rsidP="003F1EA9">
      <w:pPr>
        <w:pStyle w:val="FigureTitle"/>
      </w:pPr>
      <w:bookmarkStart w:id="176" w:name="_Ref136204562"/>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22</w:t>
        </w:r>
      </w:fldSimple>
      <w:bookmarkEnd w:id="176"/>
      <w:r w:rsidRPr="00FC71BE">
        <w:t xml:space="preserve">. Magnet flux density (radial component) at point A generated by PM MMF at 20℃ for modular machine. </w:t>
      </w:r>
    </w:p>
    <w:p w14:paraId="13B703BA" w14:textId="77777777" w:rsidR="003F1EA9" w:rsidRPr="00FC71BE" w:rsidRDefault="003F1EA9" w:rsidP="00B86C68">
      <w:pPr>
        <w:pStyle w:val="Heading3"/>
        <w:numPr>
          <w:ilvl w:val="2"/>
          <w:numId w:val="49"/>
        </w:numPr>
      </w:pPr>
      <w:bookmarkStart w:id="177" w:name="_Ref140422093"/>
      <w:bookmarkStart w:id="178" w:name="_Toc157695357"/>
      <w:r w:rsidRPr="00FC71BE">
        <w:t>Demagnetization with Coupled EM-Thermal Modelling</w:t>
      </w:r>
      <w:bookmarkEnd w:id="177"/>
      <w:bookmarkEnd w:id="178"/>
    </w:p>
    <w:p w14:paraId="6F16B907" w14:textId="7149D26C" w:rsidR="003F1EA9" w:rsidRPr="00FC71BE" w:rsidRDefault="003F1EA9" w:rsidP="003F1EA9">
      <w:r w:rsidRPr="00FC71BE">
        <w:t xml:space="preserve">As mentioned previously, apart from the influence of the MMFs produced by magnets and armature currents, the temperature rise can also lead to further magnet demagnetization. To evaluate the magnet demagnetization due to temperature rise, the minimum magnet flux density at point A versus magnet temperature and </w:t>
      </w:r>
      <w:r w:rsidRPr="00FC71BE">
        <w:rPr>
          <w:i/>
          <w:iCs/>
        </w:rPr>
        <w:t>d-</w:t>
      </w:r>
      <w:r w:rsidRPr="00FC71BE">
        <w:t xml:space="preserve">axis current are shown in </w:t>
      </w:r>
      <w:r w:rsidRPr="00FC71BE">
        <w:fldChar w:fldCharType="begin"/>
      </w:r>
      <w:r w:rsidRPr="00FC71BE">
        <w:instrText xml:space="preserve"> REF _Ref136206006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23</w:t>
      </w:r>
      <w:r w:rsidRPr="00FC71BE">
        <w:fldChar w:fldCharType="end"/>
      </w:r>
      <w:r w:rsidRPr="00FC71BE">
        <w:t xml:space="preserve">. For both the modular and non-modular machines, increasing armature field leads to reduced minimum magnet flux density. In addition, when the PM temperature is below 150℃, the demagnetization is insignificant and the reduction in minimum magnet flux density is small. However, when the magnet temperature increases to beyond 150℃, the machine demagnetization withstand capability significantly deteriorates. As a result, this dramatically reduces the magnet flux density. The overheating of the magnets can even lead to a change of magnet polarity, as shown in </w:t>
      </w:r>
      <w:r w:rsidRPr="00FC71BE">
        <w:fldChar w:fldCharType="begin"/>
      </w:r>
      <w:r w:rsidRPr="00FC71BE">
        <w:instrText xml:space="preserve"> REF _Ref136206006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23</w:t>
      </w:r>
      <w:r w:rsidRPr="00FC71BE">
        <w:fldChar w:fldCharType="end"/>
      </w:r>
      <w:r w:rsidRPr="00FC71BE">
        <w:t>.</w:t>
      </w:r>
    </w:p>
    <w:p w14:paraId="55C5462A" w14:textId="493173BD" w:rsidR="003F1EA9" w:rsidRPr="00FC71BE" w:rsidRDefault="003F1EA9" w:rsidP="003F1EA9">
      <w:r w:rsidRPr="00FC71BE">
        <w:lastRenderedPageBreak/>
        <w:t xml:space="preserve">Compared with the non-modular machine, the modular machine (as shown in </w:t>
      </w:r>
      <w:r w:rsidRPr="00FC71BE">
        <w:fldChar w:fldCharType="begin"/>
      </w:r>
      <w:r w:rsidRPr="00FC71BE">
        <w:instrText xml:space="preserve"> REF _Ref136206006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23</w:t>
      </w:r>
      <w:r w:rsidRPr="00FC71BE">
        <w:fldChar w:fldCharType="end"/>
      </w:r>
      <w:r w:rsidRPr="00FC71BE">
        <w:t xml:space="preserve">) has higher magnet flux density at different magnet temperatures and </w:t>
      </w:r>
      <w:r w:rsidRPr="00FC71BE">
        <w:rPr>
          <w:i/>
          <w:iCs/>
        </w:rPr>
        <w:t>d-</w:t>
      </w:r>
      <w:r w:rsidRPr="00FC71BE">
        <w:t>axis currents. This means that the introduced flux gaps can improve the demagnetization withstand capability at different operating conditions.</w:t>
      </w:r>
    </w:p>
    <w:p w14:paraId="0C21A695" w14:textId="77777777" w:rsidR="003F1EA9" w:rsidRPr="00FC71BE" w:rsidRDefault="003F1EA9" w:rsidP="003F1EA9">
      <w:pPr>
        <w:pStyle w:val="Figure"/>
        <w:rPr>
          <w:noProof w:val="0"/>
        </w:rPr>
      </w:pPr>
      <w:r w:rsidRPr="00FC71BE">
        <w:drawing>
          <wp:inline distT="0" distB="0" distL="0" distR="0" wp14:anchorId="6AD611A9" wp14:editId="317060D4">
            <wp:extent cx="3747600" cy="2813674"/>
            <wp:effectExtent l="0" t="0" r="5715" b="6350"/>
            <wp:docPr id="1013439137" name="Picture 1013439137" descr="Chart, surface chart&#10;&#10;Description automatically generated">
              <a:extLst xmlns:a="http://schemas.openxmlformats.org/drawingml/2006/main">
                <a:ext uri="{FF2B5EF4-FFF2-40B4-BE49-F238E27FC236}">
                  <a16:creationId xmlns:a16="http://schemas.microsoft.com/office/drawing/2014/main" id="{C5CDAF22-67EF-4521-A1A0-68E1982DC1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5" descr="Chart, surface chart&#10;&#10;Description automatically generated">
                      <a:extLst>
                        <a:ext uri="{FF2B5EF4-FFF2-40B4-BE49-F238E27FC236}">
                          <a16:creationId xmlns:a16="http://schemas.microsoft.com/office/drawing/2014/main" id="{C5CDAF22-67EF-4521-A1A0-68E1982DC141}"/>
                        </a:ext>
                      </a:extLst>
                    </pic:cNvPr>
                    <pic:cNvPicPr>
                      <a:picLocks noChangeAspect="1"/>
                    </pic:cNvPicPr>
                  </pic:nvPicPr>
                  <pic:blipFill>
                    <a:blip r:embed="rId122"/>
                    <a:stretch>
                      <a:fillRect/>
                    </a:stretch>
                  </pic:blipFill>
                  <pic:spPr>
                    <a:xfrm>
                      <a:off x="0" y="0"/>
                      <a:ext cx="3747600" cy="2813674"/>
                    </a:xfrm>
                    <a:prstGeom prst="rect">
                      <a:avLst/>
                    </a:prstGeom>
                  </pic:spPr>
                </pic:pic>
              </a:graphicData>
            </a:graphic>
          </wp:inline>
        </w:drawing>
      </w:r>
    </w:p>
    <w:p w14:paraId="02005622" w14:textId="3F482B0B" w:rsidR="003F1EA9" w:rsidRPr="00FC71BE" w:rsidRDefault="003F1EA9" w:rsidP="003F1EA9">
      <w:pPr>
        <w:pStyle w:val="FigureTitle"/>
      </w:pPr>
      <w:bookmarkStart w:id="179" w:name="_Ref136206006"/>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23</w:t>
        </w:r>
      </w:fldSimple>
      <w:bookmarkEnd w:id="179"/>
      <w:r w:rsidRPr="00FC71BE">
        <w:t>. The minimum magnet flux density (radial component) at point A for investigated machines under different operating conditions.</w:t>
      </w:r>
    </w:p>
    <w:p w14:paraId="61F50C13" w14:textId="183CEEE7" w:rsidR="003F1EA9" w:rsidRPr="00FC71BE" w:rsidRDefault="003F1EA9" w:rsidP="003F1EA9">
      <w:r w:rsidRPr="00FC71BE">
        <w:t xml:space="preserve">In previous sections, it is found that the machine topologies, load current and temperature rise can significantly affect the flux density distribution within PMs. This will in turn affect the losses, e.g., stator/rotor iron core losses and PM eddy current loss and EM torque. Together with the increase in copper loss due to the temperature dependent electrical resistivity of copper, the variation of losses caused by demagnetization will also lead to the machine temperature variation, which will again affect the EM performance. Therefore, the coupled EM-thermal modelling, as described by the flowchart shown in </w:t>
      </w:r>
      <w:r w:rsidRPr="00FC71BE">
        <w:fldChar w:fldCharType="begin"/>
      </w:r>
      <w:r w:rsidRPr="00FC71BE">
        <w:instrText xml:space="preserve"> REF _Ref125631326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w:t>
      </w:r>
      <w:r w:rsidRPr="00FC71BE">
        <w:fldChar w:fldCharType="end"/>
      </w:r>
      <w:r w:rsidRPr="00FC71BE">
        <w:t xml:space="preserve">, is essential to account for the interaction between the EM and thermal performances. In this section, the coupled EM-thermal modelling is implemented for both investigated machines. Three operating conditions are considered for the investigations, e.g., condition 1 (rated current </w:t>
      </w:r>
      <m:oMath>
        <m:sSub>
          <m:sSubPr>
            <m:ctrlPr>
              <w:rPr>
                <w:rFonts w:ascii="Cambria Math" w:hAnsi="Cambria Math"/>
                <w:i/>
              </w:rPr>
            </m:ctrlPr>
          </m:sSubPr>
          <m:e>
            <m:r>
              <w:rPr>
                <w:rFonts w:ascii="Cambria Math" w:hAnsi="Cambria Math"/>
              </w:rPr>
              <m:t>I</m:t>
            </m:r>
          </m:e>
          <m:sub>
            <m:r>
              <w:rPr>
                <w:rFonts w:ascii="Cambria Math" w:hAnsi="Cambria Math"/>
              </w:rPr>
              <m:t>d</m:t>
            </m:r>
          </m:sub>
        </m:sSub>
      </m:oMath>
      <w:r w:rsidRPr="00FC71BE">
        <w:rPr>
          <w:iCs/>
        </w:rPr>
        <w:t xml:space="preserve"> </w:t>
      </w:r>
      <w:r w:rsidRPr="00FC71BE">
        <w:t xml:space="preserve">= 0A and </w:t>
      </w:r>
      <m:oMath>
        <m:sSub>
          <m:sSubPr>
            <m:ctrlPr>
              <w:rPr>
                <w:rFonts w:ascii="Cambria Math" w:hAnsi="Cambria Math"/>
                <w:i/>
              </w:rPr>
            </m:ctrlPr>
          </m:sSubPr>
          <m:e>
            <m:r>
              <w:rPr>
                <w:rFonts w:ascii="Cambria Math" w:hAnsi="Cambria Math"/>
              </w:rPr>
              <m:t>I</m:t>
            </m:r>
          </m:e>
          <m:sub>
            <m:r>
              <w:rPr>
                <w:rFonts w:ascii="Cambria Math" w:hAnsi="Cambria Math"/>
              </w:rPr>
              <m:t>q</m:t>
            </m:r>
          </m:sub>
        </m:sSub>
        <m:r>
          <w:rPr>
            <w:rFonts w:ascii="Cambria Math" w:hAnsi="Cambria Math"/>
          </w:rPr>
          <m:t xml:space="preserve"> </m:t>
        </m:r>
      </m:oMath>
      <w:r w:rsidRPr="00FC71BE">
        <w:t xml:space="preserve">= 100A), condition 2 (flux weakening, </w:t>
      </w:r>
      <m:oMath>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oMath>
      <w:r w:rsidRPr="00FC71BE">
        <w:rPr>
          <w:iCs/>
        </w:rPr>
        <w:t xml:space="preserve"> </w:t>
      </w:r>
      <w:r w:rsidRPr="00FC71BE">
        <w:t xml:space="preserve">= </w:t>
      </w:r>
      <m:oMath>
        <m:sSub>
          <m:sSubPr>
            <m:ctrlPr>
              <w:rPr>
                <w:rFonts w:ascii="Cambria Math" w:hAnsi="Cambria Math"/>
                <w:i/>
              </w:rPr>
            </m:ctrlPr>
          </m:sSubPr>
          <m:e>
            <m:r>
              <w:rPr>
                <w:rFonts w:ascii="Cambria Math" w:hAnsi="Cambria Math"/>
              </w:rPr>
              <m:t>I</m:t>
            </m:r>
          </m:e>
          <m:sub>
            <m:r>
              <w:rPr>
                <w:rFonts w:ascii="Cambria Math" w:hAnsi="Cambria Math"/>
              </w:rPr>
              <m:t>q</m:t>
            </m:r>
          </m:sub>
        </m:sSub>
      </m:oMath>
      <w:r w:rsidRPr="00FC71BE">
        <w:rPr>
          <w:iCs/>
        </w:rPr>
        <w:t xml:space="preserve"> </w:t>
      </w:r>
      <w:r w:rsidRPr="00FC71BE">
        <w:t>= 50</w:t>
      </w:r>
      <m:oMath>
        <m:rad>
          <m:radPr>
            <m:degHide m:val="1"/>
            <m:ctrlPr>
              <w:rPr>
                <w:rFonts w:ascii="Cambria Math" w:hAnsi="Cambria Math"/>
                <w:i/>
              </w:rPr>
            </m:ctrlPr>
          </m:radPr>
          <m:deg/>
          <m:e>
            <m:r>
              <w:rPr>
                <w:rFonts w:ascii="Cambria Math" w:hAnsi="Cambria Math"/>
              </w:rPr>
              <m:t>2</m:t>
            </m:r>
          </m:e>
        </m:rad>
      </m:oMath>
      <w:r w:rsidRPr="00FC71BE">
        <w:t xml:space="preserve">A) and condition 3 (3 times the rated current </w:t>
      </w:r>
      <m:oMath>
        <m:sSub>
          <m:sSubPr>
            <m:ctrlPr>
              <w:rPr>
                <w:rFonts w:ascii="Cambria Math" w:hAnsi="Cambria Math"/>
                <w:i/>
              </w:rPr>
            </m:ctrlPr>
          </m:sSubPr>
          <m:e>
            <m:r>
              <w:rPr>
                <w:rFonts w:ascii="Cambria Math" w:hAnsi="Cambria Math"/>
              </w:rPr>
              <m:t>I</m:t>
            </m:r>
          </m:e>
          <m:sub>
            <m:r>
              <w:rPr>
                <w:rFonts w:ascii="Cambria Math" w:hAnsi="Cambria Math"/>
              </w:rPr>
              <m:t>d</m:t>
            </m:r>
          </m:sub>
        </m:sSub>
      </m:oMath>
      <w:r w:rsidRPr="00FC71BE">
        <w:rPr>
          <w:iCs/>
        </w:rPr>
        <w:t xml:space="preserve"> </w:t>
      </w:r>
      <w:r w:rsidRPr="00FC71BE">
        <w:t xml:space="preserve">= 0A and </w:t>
      </w:r>
      <m:oMath>
        <m:sSub>
          <m:sSubPr>
            <m:ctrlPr>
              <w:rPr>
                <w:rFonts w:ascii="Cambria Math" w:hAnsi="Cambria Math"/>
                <w:i/>
              </w:rPr>
            </m:ctrlPr>
          </m:sSubPr>
          <m:e>
            <m:r>
              <w:rPr>
                <w:rFonts w:ascii="Cambria Math" w:hAnsi="Cambria Math"/>
              </w:rPr>
              <m:t>I</m:t>
            </m:r>
          </m:e>
          <m:sub>
            <m:r>
              <w:rPr>
                <w:rFonts w:ascii="Cambria Math" w:hAnsi="Cambria Math"/>
              </w:rPr>
              <m:t>q</m:t>
            </m:r>
          </m:sub>
        </m:sSub>
      </m:oMath>
      <w:r w:rsidRPr="00FC71BE">
        <w:rPr>
          <w:iCs/>
        </w:rPr>
        <w:t xml:space="preserve"> </w:t>
      </w:r>
      <w:r w:rsidRPr="00FC71BE">
        <w:t>= 300A).</w:t>
      </w:r>
    </w:p>
    <w:p w14:paraId="10DD17D0" w14:textId="77777777" w:rsidR="003F1EA9" w:rsidRPr="00FC71BE" w:rsidRDefault="003F1EA9" w:rsidP="003F1EA9">
      <w:r w:rsidRPr="00FC71BE">
        <w:t>Some assumptions need to be made for the coupled EM-thermal modelling such as</w:t>
      </w:r>
    </w:p>
    <w:p w14:paraId="0CE7480E" w14:textId="79BDF099" w:rsidR="003F1EA9" w:rsidRPr="00FC71BE" w:rsidRDefault="003F1EA9" w:rsidP="003F1EA9">
      <w:pPr>
        <w:pStyle w:val="ListParagraph"/>
        <w:numPr>
          <w:ilvl w:val="0"/>
          <w:numId w:val="8"/>
        </w:numPr>
      </w:pPr>
      <w:r w:rsidRPr="00FC71BE">
        <w:lastRenderedPageBreak/>
        <w:t xml:space="preserve">The electrical resistivity of PM and iron core are independent of temperature rise. This is because the increase in resistivity of PM and iron core are negligible when the temperature rise is lower than 300℃ </w:t>
      </w:r>
      <w:r w:rsidRPr="00FC71BE">
        <w:fldChar w:fldCharType="begin"/>
      </w:r>
      <w:r w:rsidR="00BA33ED" w:rsidRPr="00FC71BE">
        <w:instrText xml:space="preserve"> ADDIN EN.CITE &lt;EndNote&gt;&lt;Cite&gt;&lt;Author&gt;Wu&lt;/Author&gt;&lt;Year&gt;1997&lt;/Year&gt;&lt;RecNum&gt;30&lt;/RecNum&gt;&lt;DisplayText&gt;[134]&lt;/DisplayText&gt;&lt;record&gt;&lt;rec-number&gt;30&lt;/rec-number&gt;&lt;foreign-keys&gt;&lt;key app="EN" db-id="rf2p5e05jx0x9jep00uvx0s1fvaww2dfa0r9" timestamp="1689514670"&gt;30&lt;/key&gt;&lt;/foreign-keys&gt;&lt;ref-type name="Journal Article"&gt;17&lt;/ref-type&gt;&lt;contributors&gt;&lt;authors&gt;&lt;author&gt;Wu, K T&lt;/author&gt;&lt;author&gt;Yao, Y D&lt;/author&gt;&lt;author&gt;Klik, I&lt;/author&gt;&lt;/authors&gt;&lt;/contributors&gt;&lt;titles&gt;&lt;title&gt;Electrical and magnetic properties of NdFeB films&lt;/title&gt;&lt;secondary-title&gt;Applied surface science&lt;/secondary-title&gt;&lt;/titles&gt;&lt;periodical&gt;&lt;full-title&gt;Applied surface science&lt;/full-title&gt;&lt;/periodical&gt;&lt;pages&gt;174-177&lt;/pages&gt;&lt;volume&gt;113&lt;/volume&gt;&lt;dates&gt;&lt;year&gt;1997&lt;/year&gt;&lt;/dates&gt;&lt;isbn&gt;0169-4332&lt;/isbn&gt;&lt;urls&gt;&lt;/urls&gt;&lt;/record&gt;&lt;/Cite&gt;&lt;/EndNote&gt;</w:instrText>
      </w:r>
      <w:r w:rsidRPr="00FC71BE">
        <w:fldChar w:fldCharType="separate"/>
      </w:r>
      <w:r w:rsidR="00BA33ED" w:rsidRPr="00FC71BE">
        <w:t>[134]</w:t>
      </w:r>
      <w:r w:rsidRPr="00FC71BE">
        <w:fldChar w:fldCharType="end"/>
      </w:r>
      <w:r w:rsidRPr="00FC71BE">
        <w:t>.</w:t>
      </w:r>
    </w:p>
    <w:p w14:paraId="1FC3EB1F" w14:textId="77777777" w:rsidR="003F1EA9" w:rsidRPr="00FC71BE" w:rsidRDefault="003F1EA9" w:rsidP="003F1EA9">
      <w:pPr>
        <w:pStyle w:val="ListParagraph"/>
        <w:numPr>
          <w:ilvl w:val="0"/>
          <w:numId w:val="8"/>
        </w:numPr>
      </w:pPr>
      <w:r w:rsidRPr="00FC71BE">
        <w:t>For different operating conditions, only steady-state performance is considered to simplify the analyses.</w:t>
      </w:r>
    </w:p>
    <w:p w14:paraId="3A1FDA48" w14:textId="132F4AF6" w:rsidR="003F1EA9" w:rsidRPr="00FC71BE" w:rsidRDefault="003F1EA9" w:rsidP="003F1EA9">
      <w:pPr>
        <w:pStyle w:val="ListParagraph"/>
        <w:numPr>
          <w:ilvl w:val="0"/>
          <w:numId w:val="8"/>
        </w:numPr>
      </w:pPr>
      <w:r w:rsidRPr="00FC71BE">
        <w:t xml:space="preserve">To avoid the change of magnet polarity as shown in </w:t>
      </w:r>
      <w:r w:rsidRPr="00FC71BE">
        <w:fldChar w:fldCharType="begin"/>
      </w:r>
      <w:r w:rsidRPr="00FC71BE">
        <w:instrText xml:space="preserve"> REF _Ref136206006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23</w:t>
      </w:r>
      <w:r w:rsidRPr="00FC71BE">
        <w:fldChar w:fldCharType="end"/>
      </w:r>
      <w:r w:rsidRPr="00FC71BE">
        <w:t>, the investigated machines are assumed to operate less than 30 minutes when they are operated under 3 times the rated current.</w:t>
      </w:r>
    </w:p>
    <w:p w14:paraId="7305C3B6" w14:textId="5901CE03" w:rsidR="003F1EA9" w:rsidRPr="00FC71BE" w:rsidRDefault="003F1EA9" w:rsidP="003F1EA9">
      <w:r w:rsidRPr="00FC71BE">
        <w:t xml:space="preserve">Using the coupled EM-thermal model, the average PM and coil temperatures for both investigated machines have been obtained, as shown in </w:t>
      </w:r>
      <w:r w:rsidRPr="00FC71BE">
        <w:fldChar w:fldCharType="begin"/>
      </w:r>
      <w:r w:rsidRPr="00FC71BE">
        <w:instrText xml:space="preserve"> REF _Ref136210691 \h  \* MERGEFORMAT </w:instrText>
      </w:r>
      <w:r w:rsidRPr="00FC71BE">
        <w:fldChar w:fldCharType="separate"/>
      </w:r>
      <w:r w:rsidR="007E62C1" w:rsidRPr="00FC71BE">
        <w:t>Table 3.2</w:t>
      </w:r>
      <w:r w:rsidRPr="00FC71BE">
        <w:fldChar w:fldCharType="end"/>
      </w:r>
      <w:r w:rsidRPr="00FC71BE">
        <w:t xml:space="preserve">. Due to the magnet temperature rise, the magnet flux density is reduced for both the investigated machines under different operating conditions, as shown in </w:t>
      </w:r>
      <w:r w:rsidRPr="00FC71BE">
        <w:fldChar w:fldCharType="begin"/>
      </w:r>
      <w:r w:rsidRPr="00FC71BE">
        <w:instrText xml:space="preserve"> REF _Ref136210716 \h  \* MERGEFORMAT </w:instrText>
      </w:r>
      <w:r w:rsidRPr="00FC71BE">
        <w:fldChar w:fldCharType="separate"/>
      </w:r>
      <w:r w:rsidR="007E62C1" w:rsidRPr="00FC71BE">
        <w:t>Fig. 3.24</w:t>
      </w:r>
      <w:r w:rsidRPr="00FC71BE">
        <w:fldChar w:fldCharType="end"/>
      </w:r>
      <w:r w:rsidRPr="00FC71BE">
        <w:t xml:space="preserve">. In addition, the magnet flux density in condition 2 is slightly smaller than that in condition 1. This reduction is mainly due to the introduced </w:t>
      </w:r>
      <w:r w:rsidRPr="00FC71BE">
        <w:rPr>
          <w:i/>
          <w:iCs/>
        </w:rPr>
        <w:t>d-</w:t>
      </w:r>
      <w:r w:rsidRPr="00FC71BE">
        <w:t xml:space="preserve">axis current for flux weakening. However, the amplitude of </w:t>
      </w:r>
      <w:r w:rsidRPr="00FC71BE">
        <w:rPr>
          <w:i/>
          <w:iCs/>
        </w:rPr>
        <w:t>d-</w:t>
      </w:r>
      <w:r w:rsidRPr="00FC71BE">
        <w:t>axis current in condition 2 is relatively small and therefore the demagnetization caused by armature field is only marginal.</w:t>
      </w:r>
    </w:p>
    <w:p w14:paraId="3F3208DD" w14:textId="225923F4" w:rsidR="003F1EA9" w:rsidRPr="00FC71BE" w:rsidRDefault="003F1EA9" w:rsidP="003F1EA9">
      <w:pPr>
        <w:pStyle w:val="Tabletitle"/>
        <w:rPr>
          <w:color w:val="auto"/>
        </w:rPr>
      </w:pPr>
      <w:bookmarkStart w:id="180" w:name="_Ref136210691"/>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bookmarkEnd w:id="180"/>
      <w:r w:rsidRPr="00FC71BE">
        <w:rPr>
          <w:color w:val="auto"/>
        </w:rPr>
        <w:t xml:space="preserve"> Average steady state PM and coil temperatures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FC71BE" w:rsidRPr="00FC71BE" w14:paraId="5A62F10E" w14:textId="77777777">
        <w:tc>
          <w:tcPr>
            <w:tcW w:w="1803" w:type="dxa"/>
            <w:tcBorders>
              <w:top w:val="single" w:sz="4" w:space="0" w:color="auto"/>
            </w:tcBorders>
            <w:vAlign w:val="center"/>
          </w:tcPr>
          <w:p w14:paraId="7D8AE7EA" w14:textId="77777777" w:rsidR="003F1EA9" w:rsidRPr="00FC71BE" w:rsidRDefault="003F1EA9">
            <w:pPr>
              <w:pStyle w:val="Table"/>
              <w:rPr>
                <w:color w:val="auto"/>
              </w:rPr>
            </w:pPr>
          </w:p>
        </w:tc>
        <w:tc>
          <w:tcPr>
            <w:tcW w:w="3606" w:type="dxa"/>
            <w:gridSpan w:val="2"/>
            <w:tcBorders>
              <w:top w:val="single" w:sz="4" w:space="0" w:color="auto"/>
            </w:tcBorders>
            <w:vAlign w:val="center"/>
          </w:tcPr>
          <w:p w14:paraId="54EFEFD9" w14:textId="77777777" w:rsidR="003F1EA9" w:rsidRPr="00FC71BE" w:rsidRDefault="003F1EA9">
            <w:pPr>
              <w:pStyle w:val="Table"/>
              <w:rPr>
                <w:color w:val="auto"/>
              </w:rPr>
            </w:pPr>
            <w:r w:rsidRPr="00FC71BE">
              <w:rPr>
                <w:b/>
                <w:bCs/>
                <w:color w:val="auto"/>
              </w:rPr>
              <w:t>Modular machine</w:t>
            </w:r>
          </w:p>
        </w:tc>
        <w:tc>
          <w:tcPr>
            <w:tcW w:w="3607" w:type="dxa"/>
            <w:gridSpan w:val="2"/>
            <w:tcBorders>
              <w:top w:val="single" w:sz="4" w:space="0" w:color="auto"/>
            </w:tcBorders>
            <w:vAlign w:val="center"/>
          </w:tcPr>
          <w:p w14:paraId="13D12AC8" w14:textId="77777777" w:rsidR="003F1EA9" w:rsidRPr="00FC71BE" w:rsidRDefault="003F1EA9">
            <w:pPr>
              <w:pStyle w:val="Table"/>
              <w:rPr>
                <w:color w:val="auto"/>
              </w:rPr>
            </w:pPr>
            <w:r w:rsidRPr="00FC71BE">
              <w:rPr>
                <w:b/>
                <w:bCs/>
                <w:color w:val="auto"/>
              </w:rPr>
              <w:t>Non-modular machine</w:t>
            </w:r>
          </w:p>
        </w:tc>
      </w:tr>
      <w:tr w:rsidR="00FC71BE" w:rsidRPr="00FC71BE" w14:paraId="5F11997B" w14:textId="77777777">
        <w:tc>
          <w:tcPr>
            <w:tcW w:w="1803" w:type="dxa"/>
            <w:vAlign w:val="center"/>
          </w:tcPr>
          <w:p w14:paraId="20C67AFB" w14:textId="77777777" w:rsidR="003F1EA9" w:rsidRPr="00FC71BE" w:rsidRDefault="003F1EA9">
            <w:pPr>
              <w:pStyle w:val="Table"/>
              <w:rPr>
                <w:color w:val="auto"/>
              </w:rPr>
            </w:pPr>
          </w:p>
        </w:tc>
        <w:tc>
          <w:tcPr>
            <w:tcW w:w="1803" w:type="dxa"/>
            <w:vAlign w:val="center"/>
          </w:tcPr>
          <w:p w14:paraId="7968C14D" w14:textId="77777777" w:rsidR="003F1EA9" w:rsidRPr="00FC71BE" w:rsidRDefault="003F1EA9">
            <w:pPr>
              <w:pStyle w:val="Table"/>
              <w:rPr>
                <w:color w:val="auto"/>
              </w:rPr>
            </w:pPr>
            <w:r w:rsidRPr="00FC71BE">
              <w:rPr>
                <w:color w:val="auto"/>
              </w:rPr>
              <w:t>Tm (℃)</w:t>
            </w:r>
          </w:p>
        </w:tc>
        <w:tc>
          <w:tcPr>
            <w:tcW w:w="1803" w:type="dxa"/>
            <w:vAlign w:val="center"/>
          </w:tcPr>
          <w:p w14:paraId="42CCAA2C" w14:textId="77777777" w:rsidR="003F1EA9" w:rsidRPr="00FC71BE" w:rsidRDefault="003F1EA9">
            <w:pPr>
              <w:pStyle w:val="Table"/>
              <w:rPr>
                <w:color w:val="auto"/>
              </w:rPr>
            </w:pPr>
            <w:r w:rsidRPr="00FC71BE">
              <w:rPr>
                <w:color w:val="auto"/>
              </w:rPr>
              <w:t>Tc (℃)</w:t>
            </w:r>
          </w:p>
        </w:tc>
        <w:tc>
          <w:tcPr>
            <w:tcW w:w="1803" w:type="dxa"/>
            <w:vAlign w:val="center"/>
          </w:tcPr>
          <w:p w14:paraId="40A935EC" w14:textId="77777777" w:rsidR="003F1EA9" w:rsidRPr="00FC71BE" w:rsidRDefault="003F1EA9">
            <w:pPr>
              <w:pStyle w:val="Table"/>
              <w:rPr>
                <w:color w:val="auto"/>
              </w:rPr>
            </w:pPr>
            <w:r w:rsidRPr="00FC71BE">
              <w:rPr>
                <w:color w:val="auto"/>
              </w:rPr>
              <w:t>Tm (℃)</w:t>
            </w:r>
          </w:p>
        </w:tc>
        <w:tc>
          <w:tcPr>
            <w:tcW w:w="1804" w:type="dxa"/>
            <w:vAlign w:val="center"/>
          </w:tcPr>
          <w:p w14:paraId="368673B4" w14:textId="77777777" w:rsidR="003F1EA9" w:rsidRPr="00FC71BE" w:rsidRDefault="003F1EA9">
            <w:pPr>
              <w:pStyle w:val="Table"/>
              <w:rPr>
                <w:color w:val="auto"/>
              </w:rPr>
            </w:pPr>
            <w:r w:rsidRPr="00FC71BE">
              <w:rPr>
                <w:color w:val="auto"/>
              </w:rPr>
              <w:t>Tc (℃)</w:t>
            </w:r>
          </w:p>
        </w:tc>
      </w:tr>
      <w:tr w:rsidR="00FC71BE" w:rsidRPr="00FC71BE" w14:paraId="17B28677" w14:textId="77777777">
        <w:tc>
          <w:tcPr>
            <w:tcW w:w="1803" w:type="dxa"/>
            <w:vAlign w:val="center"/>
          </w:tcPr>
          <w:p w14:paraId="4139DC66" w14:textId="77777777" w:rsidR="003F1EA9" w:rsidRPr="00FC71BE" w:rsidRDefault="003F1EA9">
            <w:pPr>
              <w:pStyle w:val="Table"/>
              <w:rPr>
                <w:color w:val="auto"/>
              </w:rPr>
            </w:pPr>
            <w:r w:rsidRPr="00FC71BE">
              <w:rPr>
                <w:color w:val="auto"/>
              </w:rPr>
              <w:t>Condition 1</w:t>
            </w:r>
          </w:p>
        </w:tc>
        <w:tc>
          <w:tcPr>
            <w:tcW w:w="1803" w:type="dxa"/>
            <w:vAlign w:val="center"/>
          </w:tcPr>
          <w:p w14:paraId="63C9114A" w14:textId="77777777" w:rsidR="003F1EA9" w:rsidRPr="00FC71BE" w:rsidRDefault="003F1EA9">
            <w:pPr>
              <w:pStyle w:val="Table"/>
              <w:rPr>
                <w:color w:val="auto"/>
              </w:rPr>
            </w:pPr>
            <w:r w:rsidRPr="00FC71BE">
              <w:rPr>
                <w:color w:val="auto"/>
              </w:rPr>
              <w:t>160</w:t>
            </w:r>
          </w:p>
        </w:tc>
        <w:tc>
          <w:tcPr>
            <w:tcW w:w="1803" w:type="dxa"/>
            <w:vAlign w:val="center"/>
          </w:tcPr>
          <w:p w14:paraId="33A934BA" w14:textId="77777777" w:rsidR="003F1EA9" w:rsidRPr="00FC71BE" w:rsidRDefault="003F1EA9">
            <w:pPr>
              <w:pStyle w:val="Table"/>
              <w:rPr>
                <w:color w:val="auto"/>
              </w:rPr>
            </w:pPr>
            <w:r w:rsidRPr="00FC71BE">
              <w:rPr>
                <w:color w:val="auto"/>
              </w:rPr>
              <w:t>151</w:t>
            </w:r>
          </w:p>
        </w:tc>
        <w:tc>
          <w:tcPr>
            <w:tcW w:w="1803" w:type="dxa"/>
            <w:vAlign w:val="center"/>
          </w:tcPr>
          <w:p w14:paraId="7D588C2C" w14:textId="77777777" w:rsidR="003F1EA9" w:rsidRPr="00FC71BE" w:rsidRDefault="003F1EA9">
            <w:pPr>
              <w:pStyle w:val="Table"/>
              <w:rPr>
                <w:color w:val="auto"/>
              </w:rPr>
            </w:pPr>
            <w:r w:rsidRPr="00FC71BE">
              <w:rPr>
                <w:color w:val="auto"/>
              </w:rPr>
              <w:t>158</w:t>
            </w:r>
          </w:p>
        </w:tc>
        <w:tc>
          <w:tcPr>
            <w:tcW w:w="1804" w:type="dxa"/>
            <w:vAlign w:val="center"/>
          </w:tcPr>
          <w:p w14:paraId="49067490" w14:textId="77777777" w:rsidR="003F1EA9" w:rsidRPr="00FC71BE" w:rsidRDefault="003F1EA9">
            <w:pPr>
              <w:pStyle w:val="Table"/>
              <w:rPr>
                <w:color w:val="auto"/>
              </w:rPr>
            </w:pPr>
            <w:r w:rsidRPr="00FC71BE">
              <w:rPr>
                <w:color w:val="auto"/>
              </w:rPr>
              <w:t>142</w:t>
            </w:r>
          </w:p>
        </w:tc>
      </w:tr>
      <w:tr w:rsidR="00FC71BE" w:rsidRPr="00FC71BE" w14:paraId="14A0E5F6" w14:textId="77777777">
        <w:tc>
          <w:tcPr>
            <w:tcW w:w="1803" w:type="dxa"/>
            <w:vAlign w:val="center"/>
          </w:tcPr>
          <w:p w14:paraId="36DD4804" w14:textId="77777777" w:rsidR="003F1EA9" w:rsidRPr="00FC71BE" w:rsidRDefault="003F1EA9">
            <w:pPr>
              <w:pStyle w:val="Table"/>
              <w:rPr>
                <w:color w:val="auto"/>
              </w:rPr>
            </w:pPr>
            <w:r w:rsidRPr="00FC71BE">
              <w:rPr>
                <w:color w:val="auto"/>
              </w:rPr>
              <w:t>Condition 2</w:t>
            </w:r>
          </w:p>
        </w:tc>
        <w:tc>
          <w:tcPr>
            <w:tcW w:w="1803" w:type="dxa"/>
            <w:vAlign w:val="center"/>
          </w:tcPr>
          <w:p w14:paraId="6220918D" w14:textId="77777777" w:rsidR="003F1EA9" w:rsidRPr="00FC71BE" w:rsidRDefault="003F1EA9">
            <w:pPr>
              <w:pStyle w:val="Table"/>
              <w:rPr>
                <w:color w:val="auto"/>
              </w:rPr>
            </w:pPr>
            <w:r w:rsidRPr="00FC71BE">
              <w:rPr>
                <w:color w:val="auto"/>
              </w:rPr>
              <w:t>153</w:t>
            </w:r>
          </w:p>
        </w:tc>
        <w:tc>
          <w:tcPr>
            <w:tcW w:w="1803" w:type="dxa"/>
            <w:vAlign w:val="center"/>
          </w:tcPr>
          <w:p w14:paraId="167CAEBC" w14:textId="77777777" w:rsidR="003F1EA9" w:rsidRPr="00FC71BE" w:rsidRDefault="003F1EA9">
            <w:pPr>
              <w:pStyle w:val="Table"/>
              <w:rPr>
                <w:color w:val="auto"/>
              </w:rPr>
            </w:pPr>
            <w:r w:rsidRPr="00FC71BE">
              <w:rPr>
                <w:color w:val="auto"/>
              </w:rPr>
              <w:t>146</w:t>
            </w:r>
          </w:p>
        </w:tc>
        <w:tc>
          <w:tcPr>
            <w:tcW w:w="1803" w:type="dxa"/>
            <w:vAlign w:val="center"/>
          </w:tcPr>
          <w:p w14:paraId="484813F9" w14:textId="77777777" w:rsidR="003F1EA9" w:rsidRPr="00FC71BE" w:rsidRDefault="003F1EA9">
            <w:pPr>
              <w:pStyle w:val="Table"/>
              <w:rPr>
                <w:color w:val="auto"/>
              </w:rPr>
            </w:pPr>
            <w:r w:rsidRPr="00FC71BE">
              <w:rPr>
                <w:color w:val="auto"/>
              </w:rPr>
              <w:t>148</w:t>
            </w:r>
          </w:p>
        </w:tc>
        <w:tc>
          <w:tcPr>
            <w:tcW w:w="1804" w:type="dxa"/>
            <w:vAlign w:val="center"/>
          </w:tcPr>
          <w:p w14:paraId="103321B5" w14:textId="77777777" w:rsidR="003F1EA9" w:rsidRPr="00FC71BE" w:rsidRDefault="003F1EA9">
            <w:pPr>
              <w:pStyle w:val="Table"/>
              <w:rPr>
                <w:color w:val="auto"/>
              </w:rPr>
            </w:pPr>
            <w:r w:rsidRPr="00FC71BE">
              <w:rPr>
                <w:color w:val="auto"/>
              </w:rPr>
              <w:t>148</w:t>
            </w:r>
          </w:p>
        </w:tc>
      </w:tr>
      <w:tr w:rsidR="00FC71BE" w:rsidRPr="00FC71BE" w14:paraId="7C2C5677" w14:textId="77777777">
        <w:tc>
          <w:tcPr>
            <w:tcW w:w="1803" w:type="dxa"/>
            <w:tcBorders>
              <w:bottom w:val="double" w:sz="4" w:space="0" w:color="auto"/>
            </w:tcBorders>
            <w:vAlign w:val="center"/>
          </w:tcPr>
          <w:p w14:paraId="7BA2D399" w14:textId="77777777" w:rsidR="003F1EA9" w:rsidRPr="00FC71BE" w:rsidRDefault="003F1EA9">
            <w:pPr>
              <w:pStyle w:val="Table"/>
              <w:rPr>
                <w:color w:val="auto"/>
              </w:rPr>
            </w:pPr>
            <w:r w:rsidRPr="00FC71BE">
              <w:rPr>
                <w:color w:val="auto"/>
              </w:rPr>
              <w:t>Condition 3</w:t>
            </w:r>
          </w:p>
        </w:tc>
        <w:tc>
          <w:tcPr>
            <w:tcW w:w="1803" w:type="dxa"/>
            <w:tcBorders>
              <w:bottom w:val="double" w:sz="4" w:space="0" w:color="auto"/>
            </w:tcBorders>
            <w:vAlign w:val="center"/>
          </w:tcPr>
          <w:p w14:paraId="309C8E7E" w14:textId="77777777" w:rsidR="003F1EA9" w:rsidRPr="00FC71BE" w:rsidRDefault="003F1EA9">
            <w:pPr>
              <w:pStyle w:val="Table"/>
              <w:rPr>
                <w:color w:val="auto"/>
              </w:rPr>
            </w:pPr>
            <w:r w:rsidRPr="00FC71BE">
              <w:rPr>
                <w:color w:val="auto"/>
              </w:rPr>
              <w:t>150</w:t>
            </w:r>
          </w:p>
        </w:tc>
        <w:tc>
          <w:tcPr>
            <w:tcW w:w="1803" w:type="dxa"/>
            <w:tcBorders>
              <w:bottom w:val="double" w:sz="4" w:space="0" w:color="auto"/>
            </w:tcBorders>
            <w:vAlign w:val="center"/>
          </w:tcPr>
          <w:p w14:paraId="01133FA2" w14:textId="77777777" w:rsidR="003F1EA9" w:rsidRPr="00FC71BE" w:rsidRDefault="003F1EA9">
            <w:pPr>
              <w:pStyle w:val="Table"/>
              <w:rPr>
                <w:color w:val="auto"/>
              </w:rPr>
            </w:pPr>
            <w:r w:rsidRPr="00FC71BE">
              <w:rPr>
                <w:color w:val="auto"/>
              </w:rPr>
              <w:t>152</w:t>
            </w:r>
          </w:p>
        </w:tc>
        <w:tc>
          <w:tcPr>
            <w:tcW w:w="1803" w:type="dxa"/>
            <w:tcBorders>
              <w:bottom w:val="double" w:sz="4" w:space="0" w:color="auto"/>
            </w:tcBorders>
            <w:vAlign w:val="center"/>
          </w:tcPr>
          <w:p w14:paraId="5A7CE4BE" w14:textId="77777777" w:rsidR="003F1EA9" w:rsidRPr="00FC71BE" w:rsidRDefault="003F1EA9">
            <w:pPr>
              <w:pStyle w:val="Table"/>
              <w:rPr>
                <w:color w:val="auto"/>
              </w:rPr>
            </w:pPr>
            <w:r w:rsidRPr="00FC71BE">
              <w:rPr>
                <w:color w:val="auto"/>
              </w:rPr>
              <w:t>140</w:t>
            </w:r>
          </w:p>
        </w:tc>
        <w:tc>
          <w:tcPr>
            <w:tcW w:w="1804" w:type="dxa"/>
            <w:tcBorders>
              <w:bottom w:val="double" w:sz="4" w:space="0" w:color="auto"/>
            </w:tcBorders>
            <w:vAlign w:val="center"/>
          </w:tcPr>
          <w:p w14:paraId="04604464" w14:textId="77777777" w:rsidR="003F1EA9" w:rsidRPr="00FC71BE" w:rsidRDefault="003F1EA9">
            <w:pPr>
              <w:pStyle w:val="Table"/>
              <w:rPr>
                <w:color w:val="auto"/>
              </w:rPr>
            </w:pPr>
            <w:r w:rsidRPr="00FC71BE">
              <w:rPr>
                <w:color w:val="auto"/>
              </w:rPr>
              <w:t>129</w:t>
            </w:r>
          </w:p>
        </w:tc>
      </w:tr>
    </w:tbl>
    <w:p w14:paraId="4BFDFE87" w14:textId="77777777" w:rsidR="003F1EA9" w:rsidRPr="00FC71BE" w:rsidRDefault="003F1EA9" w:rsidP="003F1EA9">
      <w:pPr>
        <w:pStyle w:val="Table"/>
        <w:jc w:val="both"/>
        <w:rPr>
          <w:color w:val="auto"/>
        </w:rPr>
      </w:pPr>
      <w:r w:rsidRPr="00FC71BE">
        <w:rPr>
          <w:color w:val="auto"/>
        </w:rPr>
        <w:t>Note: Tm and Tc are the average temperatures of magnets and coils, respectively.</w:t>
      </w:r>
    </w:p>
    <w:p w14:paraId="6A1A5F13" w14:textId="77777777" w:rsidR="003F1EA9" w:rsidRPr="00FC71BE" w:rsidRDefault="003F1EA9" w:rsidP="003F1EA9">
      <w:pPr>
        <w:pStyle w:val="Table"/>
        <w:jc w:val="both"/>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71A3EC32" w14:textId="77777777">
        <w:tc>
          <w:tcPr>
            <w:tcW w:w="9016" w:type="dxa"/>
          </w:tcPr>
          <w:p w14:paraId="10BE5A89" w14:textId="77777777" w:rsidR="003F1EA9" w:rsidRPr="00FC71BE" w:rsidRDefault="003F1EA9">
            <w:pPr>
              <w:pStyle w:val="Figure"/>
              <w:rPr>
                <w:noProof w:val="0"/>
              </w:rPr>
            </w:pPr>
            <w:r w:rsidRPr="00FC71BE">
              <w:drawing>
                <wp:inline distT="0" distB="0" distL="0" distR="0" wp14:anchorId="3F3F762A" wp14:editId="00A4F83D">
                  <wp:extent cx="3747600" cy="2298377"/>
                  <wp:effectExtent l="0" t="0" r="5715" b="6985"/>
                  <wp:docPr id="40" name="Picture 40" descr="A diagram of a heat wave&#10;&#10;Description automatically generated">
                    <a:extLst xmlns:a="http://schemas.openxmlformats.org/drawingml/2006/main">
                      <a:ext uri="{FF2B5EF4-FFF2-40B4-BE49-F238E27FC236}">
                        <a16:creationId xmlns:a16="http://schemas.microsoft.com/office/drawing/2014/main" id="{078B024A-361D-4F52-AB7F-65FF52D6C4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diagram of a heat wave&#10;&#10;Description automatically generated">
                            <a:extLst>
                              <a:ext uri="{FF2B5EF4-FFF2-40B4-BE49-F238E27FC236}">
                                <a16:creationId xmlns:a16="http://schemas.microsoft.com/office/drawing/2014/main" id="{078B024A-361D-4F52-AB7F-65FF52D6C4DE}"/>
                              </a:ext>
                            </a:extLst>
                          </pic:cNvPr>
                          <pic:cNvPicPr>
                            <a:picLocks noChangeAspect="1"/>
                          </pic:cNvPicPr>
                        </pic:nvPicPr>
                        <pic:blipFill>
                          <a:blip r:embed="rId123"/>
                          <a:stretch>
                            <a:fillRect/>
                          </a:stretch>
                        </pic:blipFill>
                        <pic:spPr>
                          <a:xfrm>
                            <a:off x="0" y="0"/>
                            <a:ext cx="3747600" cy="2298377"/>
                          </a:xfrm>
                          <a:prstGeom prst="rect">
                            <a:avLst/>
                          </a:prstGeom>
                        </pic:spPr>
                      </pic:pic>
                    </a:graphicData>
                  </a:graphic>
                </wp:inline>
              </w:drawing>
            </w:r>
          </w:p>
        </w:tc>
      </w:tr>
      <w:tr w:rsidR="00FC71BE" w:rsidRPr="00FC71BE" w14:paraId="4AD88BDE" w14:textId="77777777">
        <w:tc>
          <w:tcPr>
            <w:tcW w:w="9016" w:type="dxa"/>
          </w:tcPr>
          <w:p w14:paraId="38A91D5F" w14:textId="77777777" w:rsidR="003F1EA9" w:rsidRPr="00FC71BE" w:rsidRDefault="003F1EA9">
            <w:pPr>
              <w:pStyle w:val="Figure"/>
              <w:rPr>
                <w:noProof w:val="0"/>
              </w:rPr>
            </w:pPr>
            <w:r w:rsidRPr="00FC71BE">
              <w:rPr>
                <w:noProof w:val="0"/>
              </w:rPr>
              <w:t>(a) Modular Machine</w:t>
            </w:r>
          </w:p>
        </w:tc>
      </w:tr>
      <w:tr w:rsidR="00FC71BE" w:rsidRPr="00FC71BE" w14:paraId="2E3190F8" w14:textId="77777777">
        <w:tc>
          <w:tcPr>
            <w:tcW w:w="9016" w:type="dxa"/>
          </w:tcPr>
          <w:p w14:paraId="707AB2FD" w14:textId="77777777" w:rsidR="003F1EA9" w:rsidRPr="00FC71BE" w:rsidRDefault="003F1EA9">
            <w:pPr>
              <w:pStyle w:val="Figure"/>
              <w:rPr>
                <w:noProof w:val="0"/>
              </w:rPr>
            </w:pPr>
            <w:r w:rsidRPr="00FC71BE">
              <w:lastRenderedPageBreak/>
              <w:drawing>
                <wp:inline distT="0" distB="0" distL="0" distR="0" wp14:anchorId="53D3DA81" wp14:editId="0172765D">
                  <wp:extent cx="3747600" cy="2291690"/>
                  <wp:effectExtent l="0" t="0" r="5715" b="0"/>
                  <wp:docPr id="480465708" name="Picture 480465708" descr="A diagram of a waveform&#10;&#10;Description automatically generated">
                    <a:extLst xmlns:a="http://schemas.openxmlformats.org/drawingml/2006/main">
                      <a:ext uri="{FF2B5EF4-FFF2-40B4-BE49-F238E27FC236}">
                        <a16:creationId xmlns:a16="http://schemas.microsoft.com/office/drawing/2014/main" id="{B898C944-EF72-4752-AE62-AF1878593A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diagram of a waveform&#10;&#10;Description automatically generated">
                            <a:extLst>
                              <a:ext uri="{FF2B5EF4-FFF2-40B4-BE49-F238E27FC236}">
                                <a16:creationId xmlns:a16="http://schemas.microsoft.com/office/drawing/2014/main" id="{B898C944-EF72-4752-AE62-AF1878593ABF}"/>
                              </a:ext>
                            </a:extLst>
                          </pic:cNvPr>
                          <pic:cNvPicPr>
                            <a:picLocks noChangeAspect="1"/>
                          </pic:cNvPicPr>
                        </pic:nvPicPr>
                        <pic:blipFill>
                          <a:blip r:embed="rId124"/>
                          <a:stretch>
                            <a:fillRect/>
                          </a:stretch>
                        </pic:blipFill>
                        <pic:spPr>
                          <a:xfrm>
                            <a:off x="0" y="0"/>
                            <a:ext cx="3747600" cy="2291690"/>
                          </a:xfrm>
                          <a:prstGeom prst="rect">
                            <a:avLst/>
                          </a:prstGeom>
                        </pic:spPr>
                      </pic:pic>
                    </a:graphicData>
                  </a:graphic>
                </wp:inline>
              </w:drawing>
            </w:r>
          </w:p>
        </w:tc>
      </w:tr>
      <w:tr w:rsidR="00FC71BE" w:rsidRPr="00FC71BE" w14:paraId="3033C11C" w14:textId="77777777">
        <w:tc>
          <w:tcPr>
            <w:tcW w:w="9016" w:type="dxa"/>
          </w:tcPr>
          <w:p w14:paraId="3E9333B7" w14:textId="77777777" w:rsidR="003F1EA9" w:rsidRPr="00FC71BE" w:rsidRDefault="003F1EA9">
            <w:pPr>
              <w:pStyle w:val="Figure"/>
              <w:rPr>
                <w:noProof w:val="0"/>
              </w:rPr>
            </w:pPr>
            <w:r w:rsidRPr="00FC71BE">
              <w:rPr>
                <w:noProof w:val="0"/>
              </w:rPr>
              <w:t>(b) Non-Modular Machine</w:t>
            </w:r>
          </w:p>
        </w:tc>
      </w:tr>
    </w:tbl>
    <w:p w14:paraId="4C84098A" w14:textId="11E85321" w:rsidR="003F1EA9" w:rsidRPr="00FC71BE" w:rsidRDefault="003F1EA9" w:rsidP="003F1EA9">
      <w:pPr>
        <w:pStyle w:val="FigureTitle"/>
      </w:pPr>
      <w:bookmarkStart w:id="181" w:name="_Ref136210716"/>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24</w:t>
        </w:r>
      </w:fldSimple>
      <w:bookmarkEnd w:id="181"/>
      <w:r w:rsidRPr="00FC71BE">
        <w:t xml:space="preserve">. Magnet flux density variation under different operating conditions. </w:t>
      </w:r>
      <w:r w:rsidRPr="00FC71BE">
        <w:rPr>
          <w:i/>
        </w:rPr>
        <w:t>T</w:t>
      </w:r>
      <w:r w:rsidRPr="00FC71BE">
        <w:rPr>
          <w:i/>
          <w:vertAlign w:val="subscript"/>
        </w:rPr>
        <w:t>m</w:t>
      </w:r>
      <w:r w:rsidRPr="00FC71BE">
        <w:t xml:space="preserve"> denotes the average magnet temperature.</w:t>
      </w:r>
    </w:p>
    <w:p w14:paraId="006EE015" w14:textId="6CABEC64" w:rsidR="003F1EA9" w:rsidRPr="00FC71BE" w:rsidRDefault="003F1EA9" w:rsidP="003F1EA9">
      <w:r w:rsidRPr="00FC71BE">
        <w:t>It is worth noting that the PM eddy current loss is proportional to the magnet flux density variation rate (</w:t>
      </w:r>
      <m:oMath>
        <m:r>
          <w:rPr>
            <w:rFonts w:ascii="Cambria Math" w:hAnsi="Cambria Math"/>
          </w:rPr>
          <m:t>d</m:t>
        </m:r>
        <m:sSub>
          <m:sSubPr>
            <m:ctrlPr>
              <w:rPr>
                <w:rFonts w:ascii="Cambria Math" w:hAnsi="Cambria Math"/>
                <w:i/>
                <w:iCs/>
              </w:rPr>
            </m:ctrlPr>
          </m:sSubPr>
          <m:e>
            <m:r>
              <w:rPr>
                <w:rFonts w:ascii="Cambria Math" w:hAnsi="Cambria Math"/>
              </w:rPr>
              <m:t>B</m:t>
            </m:r>
          </m:e>
          <m:sub>
            <m:r>
              <w:rPr>
                <w:rFonts w:ascii="Cambria Math" w:hAnsi="Cambria Math"/>
              </w:rPr>
              <m:t>m</m:t>
            </m:r>
          </m:sub>
        </m:sSub>
      </m:oMath>
      <w:r w:rsidRPr="00FC71BE">
        <w:rPr>
          <w:i/>
          <w:iCs/>
        </w:rPr>
        <w:t>/</w:t>
      </w:r>
      <m:oMath>
        <m:r>
          <w:rPr>
            <w:rFonts w:ascii="Cambria Math" w:hAnsi="Cambria Math"/>
          </w:rPr>
          <m:t xml:space="preserve"> dt</m:t>
        </m:r>
      </m:oMath>
      <w:r w:rsidRPr="00FC71BE">
        <w:t xml:space="preserve">). Compared with the non-modular machine, the magnet flux density variation rate of the modular machine is smaller, as shown in </w:t>
      </w:r>
      <w:r w:rsidRPr="00FC71BE">
        <w:fldChar w:fldCharType="begin"/>
      </w:r>
      <w:r w:rsidRPr="00FC71BE">
        <w:instrText xml:space="preserve"> REF _Ref136210716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24</w:t>
      </w:r>
      <w:r w:rsidRPr="00FC71BE">
        <w:fldChar w:fldCharType="end"/>
      </w:r>
      <w:r w:rsidRPr="00FC71BE">
        <w:t xml:space="preserve">. This is because the increase in effective airgap length, caused by the introduced flux gaps, can reduce the magnet flux density variation rate, and hence can reduce the PM eddy current loss, as shown in </w:t>
      </w:r>
      <w:r w:rsidRPr="00FC71BE">
        <w:fldChar w:fldCharType="begin"/>
      </w:r>
      <w:r w:rsidRPr="00FC71BE">
        <w:instrText xml:space="preserve"> REF _Ref136211292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25</w:t>
      </w:r>
      <w:r w:rsidRPr="00FC71BE">
        <w:fldChar w:fldCharType="end"/>
      </w:r>
      <w:r w:rsidRPr="00FC71BE">
        <w:t>. This decrease can be more significant when the machines operate under overload conditions, e.g., 3 times the rated current.</w:t>
      </w:r>
    </w:p>
    <w:p w14:paraId="38973D27" w14:textId="4B82A28E" w:rsidR="003F1EA9" w:rsidRPr="00FC71BE" w:rsidRDefault="003F1EA9" w:rsidP="003F1EA9">
      <w:r w:rsidRPr="00FC71BE">
        <w:t xml:space="preserve">In addition, with the coupled EM-thermal model, the losses for different load conditions, including the PM eddy current loss, stator and rotor iron core losses are all reduced for both the investigated machines. This is also due to the demagnetization caused by the PM temperature rise. Furthermore, due to higher copper loss resulted from reduced slot area, the temperatures within the modular machine are higher than those within the non-modular machine under a peak phase current of 100A (conditions 1 and 2). For example, with the introduced flux gaps, the PM temperature increases from 158℃ and 148℃ to 160℃ and 153℃ for the conditions 1 and 2, respectively. When the machines operate under the condition 3, e.g., </w:t>
      </w:r>
      <m:oMath>
        <m:sSub>
          <m:sSubPr>
            <m:ctrlPr>
              <w:rPr>
                <w:rFonts w:ascii="Cambria Math" w:hAnsi="Cambria Math"/>
                <w:i/>
              </w:rPr>
            </m:ctrlPr>
          </m:sSubPr>
          <m:e>
            <m:r>
              <w:rPr>
                <w:rFonts w:ascii="Cambria Math" w:hAnsi="Cambria Math"/>
              </w:rPr>
              <m:t>I</m:t>
            </m:r>
          </m:e>
          <m:sub>
            <m:r>
              <w:rPr>
                <w:rFonts w:ascii="Cambria Math" w:hAnsi="Cambria Math"/>
              </w:rPr>
              <m:t>q</m:t>
            </m:r>
          </m:sub>
        </m:sSub>
      </m:oMath>
      <w:r w:rsidRPr="00FC71BE">
        <w:rPr>
          <w:iCs/>
        </w:rPr>
        <w:t xml:space="preserve"> </w:t>
      </w:r>
      <w:r w:rsidRPr="00FC71BE">
        <w:t xml:space="preserve">= 300A, the advantage of flux gaps in reducing the PM eddy current loss is more evident, as shown in </w:t>
      </w:r>
      <w:r w:rsidRPr="00FC71BE">
        <w:fldChar w:fldCharType="begin"/>
      </w:r>
      <w:r w:rsidRPr="00FC71BE">
        <w:instrText xml:space="preserve"> REF _Ref136211292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25</w:t>
      </w:r>
      <w:r w:rsidRPr="00FC71BE">
        <w:fldChar w:fldCharType="end"/>
      </w:r>
      <w:r w:rsidRPr="00FC71BE">
        <w:t>. However, the increase in copper loss can also be more significant due to increased load current. This results in higher coil temperature, which can furthermore increase the copper loss. As a result, the modular machine has higher copper loss and coil temperature [increased from 129℃ (non-modular) to 152℃ (modular)]. In addition, the PM temperature of the modular machine is also affected by this high copper loss, increasing from 140℃ (non-</w:t>
      </w:r>
      <w:r w:rsidRPr="00FC71BE">
        <w:lastRenderedPageBreak/>
        <w:t xml:space="preserve">modular) to 150℃ (modular). However, it is worth noting that these results are obtained under the condition that the number of turns per phase and the phase current are the same between the modular and non-modular machines. Given the fact that the modular machine can achieve higher average torque, so if under the same average torque condition, the copper loss of the modular machine will be smaller than that of the non-modular counterpart </w:t>
      </w:r>
      <w:r w:rsidRPr="00FC71BE">
        <w:fldChar w:fldCharType="begin"/>
      </w:r>
      <w:r w:rsidR="00103B0D" w:rsidRPr="00FC71BE">
        <w:instrText xml:space="preserve"> ADDIN EN.CITE &lt;EndNote&gt;&lt;Cite&gt;&lt;Author&gt;Li&lt;/Author&gt;&lt;Year&gt;2014&lt;/Year&gt;&lt;RecNum&gt;3&lt;/RecNum&gt;&lt;DisplayText&gt;[42]&lt;/DisplayText&gt;&lt;record&gt;&lt;rec-number&gt;3&lt;/rec-number&gt;&lt;foreign-keys&gt;&lt;key app="EN" db-id="rf2p5e05jx0x9jep00uvx0s1fvaww2dfa0r9" timestamp="1688999520"&gt;3&lt;/key&gt;&lt;/foreign-keys&gt;&lt;ref-type name="Journal Article"&gt;17&lt;/ref-type&gt;&lt;contributors&gt;&lt;authors&gt;&lt;author&gt;Li, G J&lt;/author&gt;&lt;author&gt;Zhu, Z Q&lt;/author&gt;&lt;author&gt;Chu, W Q&lt;/author&gt;&lt;author&gt;Foster, M P&lt;/author&gt;&lt;author&gt;Stone, D A&lt;/author&gt;&lt;/authors&gt;&lt;/contributors&gt;&lt;titles&gt;&lt;title&gt;Influence of flux gaps on electromagnetic performance of novel modular PM machines&lt;/title&gt;&lt;secondary-title&gt;IEEE Transactions on Energy Conversion&lt;/secondary-title&gt;&lt;/titles&gt;&lt;periodical&gt;&lt;full-title&gt;IEEE Transactions on Energy Conversion&lt;/full-title&gt;&lt;/periodical&gt;&lt;pages&gt;716-726&lt;/pages&gt;&lt;volume&gt;29&lt;/volume&gt;&lt;number&gt;3&lt;/number&gt;&lt;dates&gt;&lt;year&gt;2014&lt;/year&gt;&lt;/dates&gt;&lt;isbn&gt;0885-8969&lt;/isbn&gt;&lt;urls&gt;&lt;/urls&gt;&lt;/record&gt;&lt;/Cite&gt;&lt;/EndNote&gt;</w:instrText>
      </w:r>
      <w:r w:rsidRPr="00FC71BE">
        <w:fldChar w:fldCharType="separate"/>
      </w:r>
      <w:r w:rsidR="0000133B" w:rsidRPr="00FC71BE">
        <w:t>[42]</w:t>
      </w:r>
      <w:r w:rsidRPr="00FC71BE">
        <w:fldChar w:fldCharType="end"/>
      </w:r>
      <w:r w:rsidRPr="00FC71BE">
        <w:t>. This will lead to lower coil and PM temperatures within the modular machines.</w:t>
      </w:r>
    </w:p>
    <w:p w14:paraId="1D11CB80" w14:textId="77777777" w:rsidR="003F1EA9" w:rsidRPr="00FC71BE" w:rsidRDefault="003F1EA9" w:rsidP="003F1EA9">
      <w:pPr>
        <w:pStyle w:val="Figure"/>
        <w:rPr>
          <w:noProof w:val="0"/>
        </w:rPr>
      </w:pPr>
      <w:r w:rsidRPr="00FC71BE">
        <w:drawing>
          <wp:inline distT="0" distB="0" distL="0" distR="0" wp14:anchorId="1F337127" wp14:editId="1388B4D2">
            <wp:extent cx="5318901" cy="3204000"/>
            <wp:effectExtent l="0" t="0" r="0" b="0"/>
            <wp:docPr id="42" name="Picture 42" descr="A picture containing graphical user interface&#10;&#10;Description automatically generated">
              <a:extLst xmlns:a="http://schemas.openxmlformats.org/drawingml/2006/main">
                <a:ext uri="{FF2B5EF4-FFF2-40B4-BE49-F238E27FC236}">
                  <a16:creationId xmlns:a16="http://schemas.microsoft.com/office/drawing/2014/main" id="{65CBC45E-1D7F-4941-828F-8FA8D54CA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descr="A picture containing graphical user interface&#10;&#10;Description automatically generated">
                      <a:extLst>
                        <a:ext uri="{FF2B5EF4-FFF2-40B4-BE49-F238E27FC236}">
                          <a16:creationId xmlns:a16="http://schemas.microsoft.com/office/drawing/2014/main" id="{65CBC45E-1D7F-4941-828F-8FA8D54CA650}"/>
                        </a:ext>
                      </a:extLst>
                    </pic:cNvPr>
                    <pic:cNvPicPr>
                      <a:picLocks noChangeAspect="1"/>
                    </pic:cNvPicPr>
                  </pic:nvPicPr>
                  <pic:blipFill>
                    <a:blip r:embed="rId125"/>
                    <a:stretch>
                      <a:fillRect/>
                    </a:stretch>
                  </pic:blipFill>
                  <pic:spPr>
                    <a:xfrm>
                      <a:off x="0" y="0"/>
                      <a:ext cx="5318901" cy="3204000"/>
                    </a:xfrm>
                    <a:prstGeom prst="rect">
                      <a:avLst/>
                    </a:prstGeom>
                  </pic:spPr>
                </pic:pic>
              </a:graphicData>
            </a:graphic>
          </wp:inline>
        </w:drawing>
      </w:r>
    </w:p>
    <w:p w14:paraId="4EB8B3A2" w14:textId="256B6108" w:rsidR="003F1EA9" w:rsidRPr="00FC71BE" w:rsidRDefault="003F1EA9" w:rsidP="003F1EA9">
      <w:pPr>
        <w:pStyle w:val="FigureTitle"/>
      </w:pPr>
      <w:bookmarkStart w:id="182" w:name="_Ref136211292"/>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25</w:t>
        </w:r>
      </w:fldSimple>
      <w:bookmarkEnd w:id="182"/>
      <w:r w:rsidRPr="00FC71BE">
        <w:t>. Losses (including stator/rotor iron losses and PM eddy current loss) of both investigated machines under different operating conditions. For each load condition, the left-hand bar is the losses obtained by using EM-only model and the right-hand bar is the losses obtained by using the EM-thermal coupled model.</w:t>
      </w:r>
    </w:p>
    <w:p w14:paraId="1ED0284B" w14:textId="4343D02D" w:rsidR="003F1EA9" w:rsidRPr="00FC71BE" w:rsidRDefault="003F1EA9" w:rsidP="003F1EA9">
      <w:r w:rsidRPr="00FC71BE">
        <w:t xml:space="preserve">With the coupled EM-thermal modelling, the partial irreversible demagnetization has also been investigated for both the modular and non-modular machines. The irreversible demagnetization leads to magnetization loss, as shown in </w:t>
      </w:r>
      <w:r w:rsidRPr="00FC71BE">
        <w:fldChar w:fldCharType="begin"/>
      </w:r>
      <w:r w:rsidRPr="00FC71BE">
        <w:instrText xml:space="preserve"> REF _Ref139994906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15</w:t>
      </w:r>
      <w:r w:rsidRPr="00FC71BE">
        <w:fldChar w:fldCharType="end"/>
      </w:r>
      <w:r w:rsidRPr="00FC71BE">
        <w:t xml:space="preserve">. The magnetization loss can be evaluated by the demagnetization ratio (also called remanence ratio, </w:t>
      </w:r>
      <w:r w:rsidRPr="00FC71BE">
        <w:rPr>
          <w:i/>
          <w:iCs/>
        </w:rPr>
        <w:t>k</w:t>
      </w:r>
      <w:r w:rsidRPr="00FC71BE">
        <w:t xml:space="preserve">) as </w:t>
      </w:r>
      <w:r w:rsidRPr="00FC71BE">
        <w:fldChar w:fldCharType="begin"/>
      </w:r>
      <w:r w:rsidR="00BA33ED" w:rsidRPr="00FC71BE">
        <w:instrText xml:space="preserve"> ADDIN EN.CITE &lt;EndNote&gt;&lt;Cite&gt;&lt;Author&gt;Choi&lt;/Author&gt;&lt;Year&gt;2015&lt;/Year&gt;&lt;RecNum&gt;41&lt;/RecNum&gt;&lt;DisplayText&gt;[144]&lt;/DisplayText&gt;&lt;record&gt;&lt;rec-number&gt;41&lt;/rec-number&gt;&lt;foreign-keys&gt;&lt;key app="EN" db-id="rf2p5e05jx0x9jep00uvx0s1fvaww2dfa0r9" timestamp="1689526425"&gt;41&lt;/key&gt;&lt;/foreign-keys&gt;&lt;ref-type name="Conference Proceedings"&gt;10&lt;/ref-type&gt;&lt;contributors&gt;&lt;authors&gt;&lt;author&gt;Choi, Gilsu&lt;/author&gt;&lt;author&gt;Jahns, TM&lt;/author&gt;&lt;/authors&gt;&lt;/contributors&gt;&lt;titles&gt;&lt;title&gt;Post-demagnetization characteristics of permanent magnet synchronous machines&lt;/title&gt;&lt;secondary-title&gt;2015 IEEE Energy Conversion Congress and Exposition (ECCE)&lt;/secondary-title&gt;&lt;/titles&gt;&lt;pages&gt;1781-1788&lt;/pages&gt;&lt;dates&gt;&lt;year&gt;2015&lt;/year&gt;&lt;/dates&gt;&lt;publisher&gt;IEEE&lt;/publisher&gt;&lt;isbn&gt;1467371513&lt;/isbn&gt;&lt;urls&gt;&lt;/urls&gt;&lt;/record&gt;&lt;/Cite&gt;&lt;/EndNote&gt;</w:instrText>
      </w:r>
      <w:r w:rsidRPr="00FC71BE">
        <w:fldChar w:fldCharType="separate"/>
      </w:r>
      <w:r w:rsidR="00BA33ED" w:rsidRPr="00FC71BE">
        <w:t>[144]</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C85CBAE" w14:textId="77777777">
        <w:tc>
          <w:tcPr>
            <w:tcW w:w="4493" w:type="pct"/>
            <w:vAlign w:val="center"/>
          </w:tcPr>
          <w:p w14:paraId="32A681F0" w14:textId="77777777" w:rsidR="003F1EA9" w:rsidRPr="00FC71BE" w:rsidRDefault="003F1EA9">
            <w:pPr>
              <w:pStyle w:val="equation"/>
              <w:rPr>
                <w:color w:val="auto"/>
              </w:rPr>
            </w:pPr>
            <m:oMathPara>
              <m:oMath>
                <m:r>
                  <w:rPr>
                    <w:rFonts w:ascii="Cambria Math" w:hAnsi="Cambria Math"/>
                    <w:color w:val="auto"/>
                  </w:rPr>
                  <m:t>k=</m:t>
                </m:r>
                <m:d>
                  <m:dPr>
                    <m:ctrlPr>
                      <w:rPr>
                        <w:rFonts w:ascii="Cambria Math" w:hAnsi="Cambria Math"/>
                        <w:color w:val="auto"/>
                      </w:rPr>
                    </m:ctrlPr>
                  </m:dPr>
                  <m:e>
                    <m:r>
                      <w:rPr>
                        <w:rFonts w:ascii="Cambria Math" w:hAnsi="Cambria Math"/>
                        <w:color w:val="auto"/>
                      </w:rPr>
                      <m:t>1-</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B</m:t>
                            </m:r>
                          </m:e>
                          <m:sub>
                            <m:r>
                              <w:rPr>
                                <w:rFonts w:ascii="Cambria Math" w:hAnsi="Cambria Math"/>
                                <w:color w:val="auto"/>
                              </w:rPr>
                              <m:t>r1</m:t>
                            </m:r>
                          </m:sub>
                        </m:sSub>
                      </m:num>
                      <m:den>
                        <m:sSub>
                          <m:sSubPr>
                            <m:ctrlPr>
                              <w:rPr>
                                <w:rFonts w:ascii="Cambria Math" w:hAnsi="Cambria Math"/>
                                <w:color w:val="auto"/>
                              </w:rPr>
                            </m:ctrlPr>
                          </m:sSubPr>
                          <m:e>
                            <m:r>
                              <w:rPr>
                                <w:rFonts w:ascii="Cambria Math" w:hAnsi="Cambria Math"/>
                                <w:color w:val="auto"/>
                              </w:rPr>
                              <m:t>B</m:t>
                            </m:r>
                          </m:e>
                          <m:sub>
                            <m:r>
                              <w:rPr>
                                <w:rFonts w:ascii="Cambria Math" w:hAnsi="Cambria Math"/>
                                <w:color w:val="auto"/>
                              </w:rPr>
                              <m:t>r0</m:t>
                            </m:r>
                          </m:sub>
                        </m:sSub>
                      </m:den>
                    </m:f>
                  </m:e>
                </m:d>
                <m:r>
                  <w:rPr>
                    <w:rFonts w:ascii="Cambria Math" w:hAnsi="Cambria Math"/>
                    <w:color w:val="auto"/>
                  </w:rPr>
                  <m:t>×100%</m:t>
                </m:r>
              </m:oMath>
            </m:oMathPara>
          </w:p>
        </w:tc>
        <w:tc>
          <w:tcPr>
            <w:tcW w:w="507" w:type="pct"/>
            <w:vAlign w:val="center"/>
          </w:tcPr>
          <w:p w14:paraId="38D3B2F9" w14:textId="6BC35317" w:rsidR="003F1EA9" w:rsidRPr="00FC71BE" w:rsidRDefault="003F1EA9">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18</w:t>
            </w:r>
            <w:r w:rsidR="002839C4" w:rsidRPr="00FC71BE">
              <w:rPr>
                <w:color w:val="auto"/>
              </w:rPr>
              <w:fldChar w:fldCharType="end"/>
            </w:r>
            <w:r w:rsidRPr="00FC71BE">
              <w:rPr>
                <w:color w:val="auto"/>
              </w:rPr>
              <w:t>)</w:t>
            </w:r>
          </w:p>
        </w:tc>
      </w:tr>
    </w:tbl>
    <w:p w14:paraId="23E3A828" w14:textId="77777777" w:rsidR="003F1EA9" w:rsidRPr="00FC71BE" w:rsidRDefault="003F1EA9" w:rsidP="003F1EA9">
      <w:pPr>
        <w:ind w:firstLine="0"/>
      </w:pPr>
      <w:r w:rsidRPr="00FC71BE">
        <w:t>where</w:t>
      </w:r>
      <w:r w:rsidRPr="00FC71BE">
        <w:rPr>
          <w:iCs/>
        </w:rPr>
        <w:t xml:space="preserve"> </w:t>
      </w:r>
      <w:r w:rsidRPr="00FC71BE">
        <w:rPr>
          <w:i/>
        </w:rPr>
        <w:t>B</w:t>
      </w:r>
      <w:r w:rsidRPr="00FC71BE">
        <w:rPr>
          <w:i/>
          <w:vertAlign w:val="subscript"/>
        </w:rPr>
        <w:t xml:space="preserve">r0 </w:t>
      </w:r>
      <w:r w:rsidRPr="00FC71BE">
        <w:rPr>
          <w:iCs/>
        </w:rPr>
        <w:t>and</w:t>
      </w:r>
      <w:r w:rsidRPr="00FC71BE">
        <w:t xml:space="preserve"> </w:t>
      </w:r>
      <w:r w:rsidRPr="00FC71BE">
        <w:rPr>
          <w:i/>
        </w:rPr>
        <w:t>B</w:t>
      </w:r>
      <w:r w:rsidRPr="00FC71BE">
        <w:rPr>
          <w:i/>
          <w:vertAlign w:val="subscript"/>
        </w:rPr>
        <w:t xml:space="preserve">r1 </w:t>
      </w:r>
      <w:r w:rsidRPr="00FC71BE">
        <w:rPr>
          <w:iCs/>
        </w:rPr>
        <w:t>are the initial remanence and post-demagnetization remanence, respectively.</w:t>
      </w:r>
    </w:p>
    <w:p w14:paraId="6FB6C71E" w14:textId="13FC2343" w:rsidR="003F1EA9" w:rsidRPr="00FC71BE" w:rsidRDefault="003F1EA9" w:rsidP="003F1EA9">
      <w:r w:rsidRPr="00FC71BE">
        <w:t xml:space="preserve">The demagnetization ratios for the investigated machines obtained by the coupled EM-thermal modelling are shown in </w:t>
      </w:r>
      <w:r w:rsidRPr="00FC71BE">
        <w:fldChar w:fldCharType="begin"/>
      </w:r>
      <w:r w:rsidRPr="00FC71BE">
        <w:instrText xml:space="preserve"> REF _Ref136211946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26</w:t>
      </w:r>
      <w:r w:rsidRPr="00FC71BE">
        <w:fldChar w:fldCharType="end"/>
      </w:r>
      <w:r w:rsidRPr="00FC71BE">
        <w:t xml:space="preserve">. It is found that both machines will experience irreversible demagnetization but the modular machine has smaller irreversible demagnetization </w:t>
      </w:r>
      <w:r w:rsidRPr="00FC71BE">
        <w:lastRenderedPageBreak/>
        <w:t xml:space="preserve">region within PMs than the non-modular machine, as shown in </w:t>
      </w:r>
      <w:r w:rsidRPr="00FC71BE">
        <w:fldChar w:fldCharType="begin"/>
      </w:r>
      <w:r w:rsidRPr="00FC71BE">
        <w:instrText xml:space="preserve"> REF _Ref136211946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26</w:t>
      </w:r>
      <w:r w:rsidRPr="00FC71BE">
        <w:fldChar w:fldCharType="end"/>
      </w:r>
      <w:r w:rsidRPr="00FC71BE">
        <w:t>. This means that the introduced flux gaps can improve the demagnetization withstand capability under different load conditions.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7"/>
        <w:gridCol w:w="3977"/>
        <w:gridCol w:w="1072"/>
      </w:tblGrid>
      <w:tr w:rsidR="00FC71BE" w:rsidRPr="00FC71BE" w14:paraId="40D29BCC" w14:textId="77777777" w:rsidTr="003A6B1D">
        <w:tc>
          <w:tcPr>
            <w:tcW w:w="2203" w:type="pct"/>
          </w:tcPr>
          <w:p w14:paraId="5201B9C4" w14:textId="77777777" w:rsidR="003F1EA9" w:rsidRPr="00FC71BE" w:rsidRDefault="003F1EA9">
            <w:pPr>
              <w:pStyle w:val="Figure"/>
              <w:rPr>
                <w:noProof w:val="0"/>
              </w:rPr>
            </w:pPr>
            <w:r w:rsidRPr="00FC71BE">
              <w:rPr>
                <w:noProof w:val="0"/>
              </w:rPr>
              <w:t>Modular Machine</w:t>
            </w:r>
          </w:p>
        </w:tc>
        <w:tc>
          <w:tcPr>
            <w:tcW w:w="2203" w:type="pct"/>
          </w:tcPr>
          <w:p w14:paraId="27407563" w14:textId="77777777" w:rsidR="003F1EA9" w:rsidRPr="00FC71BE" w:rsidRDefault="003F1EA9">
            <w:pPr>
              <w:pStyle w:val="Figure"/>
              <w:rPr>
                <w:noProof w:val="0"/>
              </w:rPr>
            </w:pPr>
            <w:r w:rsidRPr="00FC71BE">
              <w:rPr>
                <w:noProof w:val="0"/>
              </w:rPr>
              <w:t>Non-modular Machine</w:t>
            </w:r>
          </w:p>
        </w:tc>
        <w:tc>
          <w:tcPr>
            <w:tcW w:w="595" w:type="pct"/>
          </w:tcPr>
          <w:p w14:paraId="6EE420FE" w14:textId="77777777" w:rsidR="003F1EA9" w:rsidRPr="00FC71BE" w:rsidRDefault="003F1EA9">
            <w:pPr>
              <w:pStyle w:val="Figure"/>
              <w:rPr>
                <w:noProof w:val="0"/>
              </w:rPr>
            </w:pPr>
          </w:p>
        </w:tc>
      </w:tr>
      <w:tr w:rsidR="00FC71BE" w:rsidRPr="00FC71BE" w14:paraId="6B7B96BB" w14:textId="77777777" w:rsidTr="003A6B1D">
        <w:tc>
          <w:tcPr>
            <w:tcW w:w="2203" w:type="pct"/>
          </w:tcPr>
          <w:p w14:paraId="6AAFADC2" w14:textId="77777777" w:rsidR="003F1EA9" w:rsidRPr="00FC71BE" w:rsidRDefault="003F1EA9">
            <w:pPr>
              <w:pStyle w:val="Figure"/>
              <w:rPr>
                <w:noProof w:val="0"/>
              </w:rPr>
            </w:pPr>
            <w:r w:rsidRPr="00FC71BE">
              <w:drawing>
                <wp:inline distT="0" distB="0" distL="0" distR="0" wp14:anchorId="7E8D9E7C" wp14:editId="1A05FA77">
                  <wp:extent cx="2160000" cy="589992"/>
                  <wp:effectExtent l="0" t="0" r="0" b="635"/>
                  <wp:docPr id="92" name="Picture 92" descr="A picture containing colorfulness, graphics, triangle, creativity&#10;&#10;Description automatically generated">
                    <a:extLst xmlns:a="http://schemas.openxmlformats.org/drawingml/2006/main">
                      <a:ext uri="{FF2B5EF4-FFF2-40B4-BE49-F238E27FC236}">
                        <a16:creationId xmlns:a16="http://schemas.microsoft.com/office/drawing/2014/main" id="{275D0F84-D858-46EB-B2B3-3314320D5D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descr="A picture containing colorfulness, graphics, triangle, creativity&#10;&#10;Description automatically generated">
                            <a:extLst>
                              <a:ext uri="{FF2B5EF4-FFF2-40B4-BE49-F238E27FC236}">
                                <a16:creationId xmlns:a16="http://schemas.microsoft.com/office/drawing/2014/main" id="{275D0F84-D858-46EB-B2B3-3314320D5DCE}"/>
                              </a:ext>
                            </a:extLst>
                          </pic:cNvPr>
                          <pic:cNvPicPr>
                            <a:picLocks noChangeAspect="1"/>
                          </pic:cNvPicPr>
                        </pic:nvPicPr>
                        <pic:blipFill rotWithShape="1">
                          <a:blip r:embed="rId126"/>
                          <a:srcRect l="12171" t="39509" r="10525" b="39226"/>
                          <a:stretch/>
                        </pic:blipFill>
                        <pic:spPr>
                          <a:xfrm>
                            <a:off x="0" y="0"/>
                            <a:ext cx="2160000" cy="589992"/>
                          </a:xfrm>
                          <a:prstGeom prst="rect">
                            <a:avLst/>
                          </a:prstGeom>
                        </pic:spPr>
                      </pic:pic>
                    </a:graphicData>
                  </a:graphic>
                </wp:inline>
              </w:drawing>
            </w:r>
          </w:p>
        </w:tc>
        <w:tc>
          <w:tcPr>
            <w:tcW w:w="2203" w:type="pct"/>
          </w:tcPr>
          <w:p w14:paraId="70A9E4B5" w14:textId="77777777" w:rsidR="003F1EA9" w:rsidRPr="00FC71BE" w:rsidRDefault="003F1EA9">
            <w:pPr>
              <w:pStyle w:val="Figure"/>
              <w:rPr>
                <w:noProof w:val="0"/>
              </w:rPr>
            </w:pPr>
            <w:r w:rsidRPr="00FC71BE">
              <w:drawing>
                <wp:inline distT="0" distB="0" distL="0" distR="0" wp14:anchorId="72666964" wp14:editId="5DE60A14">
                  <wp:extent cx="2160000" cy="577441"/>
                  <wp:effectExtent l="0" t="0" r="0" b="0"/>
                  <wp:docPr id="100" name="Picture 100" descr="A rainbow colored rectangular object&#10;&#10;Description automatically generated with low confidence">
                    <a:extLst xmlns:a="http://schemas.openxmlformats.org/drawingml/2006/main">
                      <a:ext uri="{FF2B5EF4-FFF2-40B4-BE49-F238E27FC236}">
                        <a16:creationId xmlns:a16="http://schemas.microsoft.com/office/drawing/2014/main" id="{9352351E-B07E-4CAF-A2F2-EAB7C936BF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99" descr="A rainbow colored rectangular object&#10;&#10;Description automatically generated with low confidence">
                            <a:extLst>
                              <a:ext uri="{FF2B5EF4-FFF2-40B4-BE49-F238E27FC236}">
                                <a16:creationId xmlns:a16="http://schemas.microsoft.com/office/drawing/2014/main" id="{9352351E-B07E-4CAF-A2F2-EAB7C936BFCD}"/>
                              </a:ext>
                            </a:extLst>
                          </pic:cNvPr>
                          <pic:cNvPicPr>
                            <a:picLocks noChangeAspect="1"/>
                          </pic:cNvPicPr>
                        </pic:nvPicPr>
                        <pic:blipFill rotWithShape="1">
                          <a:blip r:embed="rId127"/>
                          <a:srcRect l="16919" t="38080" r="14031" b="43322"/>
                          <a:stretch/>
                        </pic:blipFill>
                        <pic:spPr>
                          <a:xfrm>
                            <a:off x="0" y="0"/>
                            <a:ext cx="2160000" cy="577441"/>
                          </a:xfrm>
                          <a:prstGeom prst="rect">
                            <a:avLst/>
                          </a:prstGeom>
                        </pic:spPr>
                      </pic:pic>
                    </a:graphicData>
                  </a:graphic>
                </wp:inline>
              </w:drawing>
            </w:r>
          </w:p>
        </w:tc>
        <w:tc>
          <w:tcPr>
            <w:tcW w:w="595" w:type="pct"/>
            <w:vMerge w:val="restart"/>
          </w:tcPr>
          <w:p w14:paraId="40B7EFE9" w14:textId="77777777" w:rsidR="003F1EA9" w:rsidRPr="00FC71BE" w:rsidRDefault="003F1EA9">
            <w:pPr>
              <w:pStyle w:val="Figure"/>
              <w:rPr>
                <w:noProof w:val="0"/>
              </w:rPr>
            </w:pPr>
            <w:r w:rsidRPr="00FC71BE">
              <w:drawing>
                <wp:inline distT="0" distB="0" distL="0" distR="0" wp14:anchorId="5D1D78B5" wp14:editId="4EAC909E">
                  <wp:extent cx="483566" cy="2496368"/>
                  <wp:effectExtent l="0" t="0" r="0" b="0"/>
                  <wp:docPr id="101" name="Picture 101" descr="A picture containing text, screenshot, colorfulness&#10;&#10;Description automatically generated">
                    <a:extLst xmlns:a="http://schemas.openxmlformats.org/drawingml/2006/main">
                      <a:ext uri="{FF2B5EF4-FFF2-40B4-BE49-F238E27FC236}">
                        <a16:creationId xmlns:a16="http://schemas.microsoft.com/office/drawing/2014/main" id="{71C403C5-5374-4E12-8722-8A2A5846C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0" descr="A picture containing text, screenshot, colorfulness&#10;&#10;Description automatically generated">
                            <a:extLst>
                              <a:ext uri="{FF2B5EF4-FFF2-40B4-BE49-F238E27FC236}">
                                <a16:creationId xmlns:a16="http://schemas.microsoft.com/office/drawing/2014/main" id="{71C403C5-5374-4E12-8722-8A2A5846CF8B}"/>
                              </a:ext>
                            </a:extLst>
                          </pic:cNvPr>
                          <pic:cNvPicPr>
                            <a:picLocks noChangeAspect="1"/>
                          </pic:cNvPicPr>
                        </pic:nvPicPr>
                        <pic:blipFill rotWithShape="1">
                          <a:blip r:embed="rId128"/>
                          <a:srcRect r="27463"/>
                          <a:stretch/>
                        </pic:blipFill>
                        <pic:spPr>
                          <a:xfrm>
                            <a:off x="0" y="0"/>
                            <a:ext cx="516858" cy="2668234"/>
                          </a:xfrm>
                          <a:prstGeom prst="rect">
                            <a:avLst/>
                          </a:prstGeom>
                        </pic:spPr>
                      </pic:pic>
                    </a:graphicData>
                  </a:graphic>
                </wp:inline>
              </w:drawing>
            </w:r>
          </w:p>
        </w:tc>
      </w:tr>
      <w:tr w:rsidR="00FC71BE" w:rsidRPr="00FC71BE" w14:paraId="2568551D" w14:textId="77777777" w:rsidTr="003A6B1D">
        <w:tc>
          <w:tcPr>
            <w:tcW w:w="2203" w:type="pct"/>
          </w:tcPr>
          <w:p w14:paraId="7F528302" w14:textId="77777777" w:rsidR="003F1EA9" w:rsidRPr="00FC71BE" w:rsidRDefault="003F1EA9">
            <w:pPr>
              <w:pStyle w:val="Figure"/>
              <w:rPr>
                <w:noProof w:val="0"/>
              </w:rPr>
            </w:pPr>
            <w:r w:rsidRPr="00FC71BE">
              <w:rPr>
                <w:noProof w:val="0"/>
              </w:rPr>
              <w:t xml:space="preserve">(a) condition 1, </w:t>
            </w:r>
            <m:oMath>
              <m:sSub>
                <m:sSubPr>
                  <m:ctrlPr>
                    <w:rPr>
                      <w:rFonts w:ascii="Cambria Math" w:hAnsi="Cambria Math"/>
                      <w:noProof w:val="0"/>
                    </w:rPr>
                  </m:ctrlPr>
                </m:sSubPr>
                <m:e>
                  <m:r>
                    <w:rPr>
                      <w:rFonts w:ascii="Cambria Math" w:hAnsi="Cambria Math"/>
                      <w:noProof w:val="0"/>
                    </w:rPr>
                    <m:t>T</m:t>
                  </m:r>
                </m:e>
                <m:sub>
                  <m:sSup>
                    <m:sSupPr>
                      <m:ctrlPr>
                        <w:rPr>
                          <w:rFonts w:ascii="Cambria Math" w:hAnsi="Cambria Math"/>
                          <w:noProof w:val="0"/>
                        </w:rPr>
                      </m:ctrlPr>
                    </m:sSupPr>
                    <m:e>
                      <m:r>
                        <w:rPr>
                          <w:rFonts w:ascii="Cambria Math" w:hAnsi="Cambria Math"/>
                          <w:noProof w:val="0"/>
                        </w:rPr>
                        <m:t>m</m:t>
                      </m:r>
                    </m:e>
                    <m:sup>
                      <m:r>
                        <m:rPr>
                          <m:sty m:val="p"/>
                        </m:rPr>
                        <w:rPr>
                          <w:rFonts w:ascii="Cambria Math" w:hAnsi="Cambria Math"/>
                          <w:noProof w:val="0"/>
                        </w:rPr>
                        <m:t>'</m:t>
                      </m:r>
                    </m:sup>
                  </m:sSup>
                </m:sub>
              </m:sSub>
              <m:r>
                <m:rPr>
                  <m:sty m:val="p"/>
                </m:rPr>
                <w:rPr>
                  <w:rFonts w:ascii="Cambria Math" w:hAnsi="Cambria Math"/>
                  <w:noProof w:val="0"/>
                </w:rPr>
                <m:t>=160℃</m:t>
              </m:r>
            </m:oMath>
          </w:p>
        </w:tc>
        <w:tc>
          <w:tcPr>
            <w:tcW w:w="2203" w:type="pct"/>
          </w:tcPr>
          <w:p w14:paraId="1B78E654" w14:textId="77777777" w:rsidR="003F1EA9" w:rsidRPr="00FC71BE" w:rsidRDefault="003F1EA9">
            <w:pPr>
              <w:pStyle w:val="Figure"/>
              <w:rPr>
                <w:noProof w:val="0"/>
              </w:rPr>
            </w:pPr>
            <w:r w:rsidRPr="00FC71BE">
              <w:rPr>
                <w:noProof w:val="0"/>
              </w:rPr>
              <w:t xml:space="preserve">(d) condition 1, </w:t>
            </w:r>
            <m:oMath>
              <m:sSub>
                <m:sSubPr>
                  <m:ctrlPr>
                    <w:rPr>
                      <w:rFonts w:ascii="Cambria Math" w:hAnsi="Cambria Math"/>
                      <w:noProof w:val="0"/>
                    </w:rPr>
                  </m:ctrlPr>
                </m:sSubPr>
                <m:e>
                  <m:r>
                    <w:rPr>
                      <w:rFonts w:ascii="Cambria Math" w:hAnsi="Cambria Math"/>
                      <w:noProof w:val="0"/>
                    </w:rPr>
                    <m:t>T</m:t>
                  </m:r>
                </m:e>
                <m:sub>
                  <m:sSup>
                    <m:sSupPr>
                      <m:ctrlPr>
                        <w:rPr>
                          <w:rFonts w:ascii="Cambria Math" w:hAnsi="Cambria Math"/>
                          <w:noProof w:val="0"/>
                        </w:rPr>
                      </m:ctrlPr>
                    </m:sSupPr>
                    <m:e>
                      <m:r>
                        <w:rPr>
                          <w:rFonts w:ascii="Cambria Math" w:hAnsi="Cambria Math"/>
                          <w:noProof w:val="0"/>
                        </w:rPr>
                        <m:t>m</m:t>
                      </m:r>
                    </m:e>
                    <m:sup>
                      <m:r>
                        <m:rPr>
                          <m:sty m:val="p"/>
                        </m:rPr>
                        <w:rPr>
                          <w:rFonts w:ascii="Cambria Math" w:hAnsi="Cambria Math"/>
                          <w:noProof w:val="0"/>
                        </w:rPr>
                        <m:t>'</m:t>
                      </m:r>
                    </m:sup>
                  </m:sSup>
                </m:sub>
              </m:sSub>
              <m:r>
                <m:rPr>
                  <m:sty m:val="p"/>
                </m:rPr>
                <w:rPr>
                  <w:rFonts w:ascii="Cambria Math" w:hAnsi="Cambria Math"/>
                  <w:noProof w:val="0"/>
                </w:rPr>
                <m:t>=158℃</m:t>
              </m:r>
            </m:oMath>
          </w:p>
        </w:tc>
        <w:tc>
          <w:tcPr>
            <w:tcW w:w="595" w:type="pct"/>
            <w:vMerge/>
          </w:tcPr>
          <w:p w14:paraId="0828EF13" w14:textId="77777777" w:rsidR="003F1EA9" w:rsidRPr="00FC71BE" w:rsidRDefault="003F1EA9">
            <w:pPr>
              <w:pStyle w:val="Figure"/>
              <w:rPr>
                <w:noProof w:val="0"/>
              </w:rPr>
            </w:pPr>
          </w:p>
        </w:tc>
      </w:tr>
      <w:tr w:rsidR="00FC71BE" w:rsidRPr="00FC71BE" w14:paraId="5176F256" w14:textId="77777777" w:rsidTr="003A6B1D">
        <w:tc>
          <w:tcPr>
            <w:tcW w:w="2203" w:type="pct"/>
          </w:tcPr>
          <w:p w14:paraId="2E960FA1" w14:textId="77777777" w:rsidR="003F1EA9" w:rsidRPr="00FC71BE" w:rsidRDefault="003F1EA9">
            <w:pPr>
              <w:pStyle w:val="Figure"/>
              <w:rPr>
                <w:noProof w:val="0"/>
              </w:rPr>
            </w:pPr>
            <w:r w:rsidRPr="00FC71BE">
              <w:drawing>
                <wp:inline distT="0" distB="0" distL="0" distR="0" wp14:anchorId="4D34E792" wp14:editId="01A4B4A5">
                  <wp:extent cx="2160000" cy="586224"/>
                  <wp:effectExtent l="0" t="0" r="0" b="4445"/>
                  <wp:docPr id="94" name="Picture 94" descr="A picture containing colorfulness, screenshot, graphics&#10;&#10;Description automatically generated">
                    <a:extLst xmlns:a="http://schemas.openxmlformats.org/drawingml/2006/main">
                      <a:ext uri="{FF2B5EF4-FFF2-40B4-BE49-F238E27FC236}">
                        <a16:creationId xmlns:a16="http://schemas.microsoft.com/office/drawing/2014/main" id="{EAA72A92-3777-4090-80DD-1C2B1279FA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3" descr="A picture containing colorfulness, screenshot, graphics&#10;&#10;Description automatically generated">
                            <a:extLst>
                              <a:ext uri="{FF2B5EF4-FFF2-40B4-BE49-F238E27FC236}">
                                <a16:creationId xmlns:a16="http://schemas.microsoft.com/office/drawing/2014/main" id="{EAA72A92-3777-4090-80DD-1C2B1279FA68}"/>
                              </a:ext>
                            </a:extLst>
                          </pic:cNvPr>
                          <pic:cNvPicPr>
                            <a:picLocks noChangeAspect="1"/>
                          </pic:cNvPicPr>
                        </pic:nvPicPr>
                        <pic:blipFill rotWithShape="1">
                          <a:blip r:embed="rId129"/>
                          <a:srcRect t="9568" b="10994"/>
                          <a:stretch/>
                        </pic:blipFill>
                        <pic:spPr>
                          <a:xfrm>
                            <a:off x="0" y="0"/>
                            <a:ext cx="2160000" cy="586224"/>
                          </a:xfrm>
                          <a:prstGeom prst="rect">
                            <a:avLst/>
                          </a:prstGeom>
                        </pic:spPr>
                      </pic:pic>
                    </a:graphicData>
                  </a:graphic>
                </wp:inline>
              </w:drawing>
            </w:r>
          </w:p>
        </w:tc>
        <w:tc>
          <w:tcPr>
            <w:tcW w:w="2203" w:type="pct"/>
          </w:tcPr>
          <w:p w14:paraId="4DE26203" w14:textId="77777777" w:rsidR="003F1EA9" w:rsidRPr="00FC71BE" w:rsidRDefault="003F1EA9">
            <w:pPr>
              <w:pStyle w:val="Figure"/>
              <w:rPr>
                <w:noProof w:val="0"/>
              </w:rPr>
            </w:pPr>
            <w:r w:rsidRPr="00FC71BE">
              <w:drawing>
                <wp:inline distT="0" distB="0" distL="0" distR="0" wp14:anchorId="26B2C0EF" wp14:editId="32A063FF">
                  <wp:extent cx="2160000" cy="565869"/>
                  <wp:effectExtent l="0" t="0" r="0" b="5715"/>
                  <wp:docPr id="99" name="Picture 99" descr="A rainbow colored rectangle&#10;&#10;Description automatically generated with medium confidence">
                    <a:extLst xmlns:a="http://schemas.openxmlformats.org/drawingml/2006/main">
                      <a:ext uri="{FF2B5EF4-FFF2-40B4-BE49-F238E27FC236}">
                        <a16:creationId xmlns:a16="http://schemas.microsoft.com/office/drawing/2014/main" id="{2FF21253-621B-4B99-AD32-2EF8578F74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8" descr="A rainbow colored rectangle&#10;&#10;Description automatically generated with medium confidence">
                            <a:extLst>
                              <a:ext uri="{FF2B5EF4-FFF2-40B4-BE49-F238E27FC236}">
                                <a16:creationId xmlns:a16="http://schemas.microsoft.com/office/drawing/2014/main" id="{2FF21253-621B-4B99-AD32-2EF8578F746D}"/>
                              </a:ext>
                            </a:extLst>
                          </pic:cNvPr>
                          <pic:cNvPicPr>
                            <a:picLocks noChangeAspect="1"/>
                          </pic:cNvPicPr>
                        </pic:nvPicPr>
                        <pic:blipFill rotWithShape="1">
                          <a:blip r:embed="rId130"/>
                          <a:srcRect l="2140" t="17117" r="1048" b="15875"/>
                          <a:stretch/>
                        </pic:blipFill>
                        <pic:spPr>
                          <a:xfrm>
                            <a:off x="0" y="0"/>
                            <a:ext cx="2160000" cy="565869"/>
                          </a:xfrm>
                          <a:prstGeom prst="rect">
                            <a:avLst/>
                          </a:prstGeom>
                        </pic:spPr>
                      </pic:pic>
                    </a:graphicData>
                  </a:graphic>
                </wp:inline>
              </w:drawing>
            </w:r>
          </w:p>
        </w:tc>
        <w:tc>
          <w:tcPr>
            <w:tcW w:w="595" w:type="pct"/>
            <w:vMerge/>
          </w:tcPr>
          <w:p w14:paraId="00D6F4B8" w14:textId="77777777" w:rsidR="003F1EA9" w:rsidRPr="00FC71BE" w:rsidRDefault="003F1EA9">
            <w:pPr>
              <w:pStyle w:val="Figure"/>
              <w:rPr>
                <w:noProof w:val="0"/>
              </w:rPr>
            </w:pPr>
          </w:p>
        </w:tc>
      </w:tr>
      <w:tr w:rsidR="00FC71BE" w:rsidRPr="00FC71BE" w14:paraId="4B3FE766" w14:textId="77777777" w:rsidTr="003A6B1D">
        <w:tc>
          <w:tcPr>
            <w:tcW w:w="2203" w:type="pct"/>
          </w:tcPr>
          <w:p w14:paraId="5B3BAF9F" w14:textId="77777777" w:rsidR="003F1EA9" w:rsidRPr="00FC71BE" w:rsidRDefault="003F1EA9">
            <w:pPr>
              <w:pStyle w:val="Figure"/>
              <w:rPr>
                <w:noProof w:val="0"/>
              </w:rPr>
            </w:pPr>
            <w:r w:rsidRPr="00FC71BE">
              <w:rPr>
                <w:noProof w:val="0"/>
              </w:rPr>
              <w:t xml:space="preserve">(b) condition 2, </w:t>
            </w:r>
            <m:oMath>
              <m:sSub>
                <m:sSubPr>
                  <m:ctrlPr>
                    <w:rPr>
                      <w:rFonts w:ascii="Cambria Math" w:hAnsi="Cambria Math"/>
                      <w:noProof w:val="0"/>
                    </w:rPr>
                  </m:ctrlPr>
                </m:sSubPr>
                <m:e>
                  <m:r>
                    <w:rPr>
                      <w:rFonts w:ascii="Cambria Math" w:hAnsi="Cambria Math"/>
                      <w:noProof w:val="0"/>
                    </w:rPr>
                    <m:t>T</m:t>
                  </m:r>
                </m:e>
                <m:sub>
                  <m:sSup>
                    <m:sSupPr>
                      <m:ctrlPr>
                        <w:rPr>
                          <w:rFonts w:ascii="Cambria Math" w:hAnsi="Cambria Math"/>
                          <w:noProof w:val="0"/>
                        </w:rPr>
                      </m:ctrlPr>
                    </m:sSupPr>
                    <m:e>
                      <m:r>
                        <w:rPr>
                          <w:rFonts w:ascii="Cambria Math" w:hAnsi="Cambria Math"/>
                          <w:noProof w:val="0"/>
                        </w:rPr>
                        <m:t>m</m:t>
                      </m:r>
                    </m:e>
                    <m:sup>
                      <m:r>
                        <m:rPr>
                          <m:sty m:val="p"/>
                        </m:rPr>
                        <w:rPr>
                          <w:rFonts w:ascii="Cambria Math" w:hAnsi="Cambria Math"/>
                          <w:noProof w:val="0"/>
                        </w:rPr>
                        <m:t>'</m:t>
                      </m:r>
                    </m:sup>
                  </m:sSup>
                </m:sub>
              </m:sSub>
              <m:r>
                <m:rPr>
                  <m:sty m:val="p"/>
                </m:rPr>
                <w:rPr>
                  <w:rFonts w:ascii="Cambria Math" w:hAnsi="Cambria Math"/>
                  <w:noProof w:val="0"/>
                </w:rPr>
                <m:t>=153℃</m:t>
              </m:r>
            </m:oMath>
          </w:p>
        </w:tc>
        <w:tc>
          <w:tcPr>
            <w:tcW w:w="2203" w:type="pct"/>
          </w:tcPr>
          <w:p w14:paraId="1BCD5F06" w14:textId="77777777" w:rsidR="003F1EA9" w:rsidRPr="00FC71BE" w:rsidRDefault="003F1EA9">
            <w:pPr>
              <w:pStyle w:val="Figure"/>
              <w:rPr>
                <w:noProof w:val="0"/>
              </w:rPr>
            </w:pPr>
            <w:r w:rsidRPr="00FC71BE">
              <w:rPr>
                <w:noProof w:val="0"/>
              </w:rPr>
              <w:t xml:space="preserve">(e) condition 2, </w:t>
            </w:r>
            <m:oMath>
              <m:sSub>
                <m:sSubPr>
                  <m:ctrlPr>
                    <w:rPr>
                      <w:rFonts w:ascii="Cambria Math" w:hAnsi="Cambria Math"/>
                      <w:noProof w:val="0"/>
                    </w:rPr>
                  </m:ctrlPr>
                </m:sSubPr>
                <m:e>
                  <m:r>
                    <w:rPr>
                      <w:rFonts w:ascii="Cambria Math" w:hAnsi="Cambria Math"/>
                      <w:noProof w:val="0"/>
                    </w:rPr>
                    <m:t>T</m:t>
                  </m:r>
                </m:e>
                <m:sub>
                  <m:sSup>
                    <m:sSupPr>
                      <m:ctrlPr>
                        <w:rPr>
                          <w:rFonts w:ascii="Cambria Math" w:hAnsi="Cambria Math"/>
                          <w:noProof w:val="0"/>
                        </w:rPr>
                      </m:ctrlPr>
                    </m:sSupPr>
                    <m:e>
                      <m:r>
                        <w:rPr>
                          <w:rFonts w:ascii="Cambria Math" w:hAnsi="Cambria Math"/>
                          <w:noProof w:val="0"/>
                        </w:rPr>
                        <m:t>m</m:t>
                      </m:r>
                    </m:e>
                    <m:sup>
                      <m:r>
                        <m:rPr>
                          <m:sty m:val="p"/>
                        </m:rPr>
                        <w:rPr>
                          <w:rFonts w:ascii="Cambria Math" w:hAnsi="Cambria Math"/>
                          <w:noProof w:val="0"/>
                        </w:rPr>
                        <m:t>'</m:t>
                      </m:r>
                    </m:sup>
                  </m:sSup>
                </m:sub>
              </m:sSub>
              <m:r>
                <m:rPr>
                  <m:sty m:val="p"/>
                </m:rPr>
                <w:rPr>
                  <w:rFonts w:ascii="Cambria Math" w:hAnsi="Cambria Math"/>
                  <w:noProof w:val="0"/>
                </w:rPr>
                <m:t>=148℃</m:t>
              </m:r>
            </m:oMath>
          </w:p>
        </w:tc>
        <w:tc>
          <w:tcPr>
            <w:tcW w:w="595" w:type="pct"/>
            <w:vMerge/>
          </w:tcPr>
          <w:p w14:paraId="30C3311D" w14:textId="77777777" w:rsidR="003F1EA9" w:rsidRPr="00FC71BE" w:rsidRDefault="003F1EA9">
            <w:pPr>
              <w:pStyle w:val="Figure"/>
              <w:rPr>
                <w:noProof w:val="0"/>
              </w:rPr>
            </w:pPr>
          </w:p>
        </w:tc>
      </w:tr>
      <w:tr w:rsidR="00FC71BE" w:rsidRPr="00FC71BE" w14:paraId="224915DE" w14:textId="77777777" w:rsidTr="003A6B1D">
        <w:tc>
          <w:tcPr>
            <w:tcW w:w="2203" w:type="pct"/>
          </w:tcPr>
          <w:p w14:paraId="6D9D00EE" w14:textId="77777777" w:rsidR="003F1EA9" w:rsidRPr="00FC71BE" w:rsidRDefault="003F1EA9">
            <w:pPr>
              <w:pStyle w:val="Figure"/>
              <w:rPr>
                <w:noProof w:val="0"/>
              </w:rPr>
            </w:pPr>
            <w:r w:rsidRPr="00FC71BE">
              <w:drawing>
                <wp:inline distT="0" distB="0" distL="0" distR="0" wp14:anchorId="4E290471" wp14:editId="169C3A3C">
                  <wp:extent cx="2160000" cy="609173"/>
                  <wp:effectExtent l="0" t="0" r="0" b="635"/>
                  <wp:docPr id="97" name="Picture 97" descr="A picture containing colorfulness, rainbow, graphics, graphic design&#10;&#10;Description automatically generated">
                    <a:extLst xmlns:a="http://schemas.openxmlformats.org/drawingml/2006/main">
                      <a:ext uri="{FF2B5EF4-FFF2-40B4-BE49-F238E27FC236}">
                        <a16:creationId xmlns:a16="http://schemas.microsoft.com/office/drawing/2014/main" id="{B41A6881-E168-43AE-857F-BAD61E4935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6" descr="A picture containing colorfulness, rainbow, graphics, graphic design&#10;&#10;Description automatically generated">
                            <a:extLst>
                              <a:ext uri="{FF2B5EF4-FFF2-40B4-BE49-F238E27FC236}">
                                <a16:creationId xmlns:a16="http://schemas.microsoft.com/office/drawing/2014/main" id="{B41A6881-E168-43AE-857F-BAD61E49355F}"/>
                              </a:ext>
                            </a:extLst>
                          </pic:cNvPr>
                          <pic:cNvPicPr>
                            <a:picLocks noChangeAspect="1"/>
                          </pic:cNvPicPr>
                        </pic:nvPicPr>
                        <pic:blipFill rotWithShape="1">
                          <a:blip r:embed="rId131"/>
                          <a:srcRect l="1899" t="24859" r="3648" b="30297"/>
                          <a:stretch/>
                        </pic:blipFill>
                        <pic:spPr>
                          <a:xfrm>
                            <a:off x="0" y="0"/>
                            <a:ext cx="2160000" cy="609173"/>
                          </a:xfrm>
                          <a:prstGeom prst="rect">
                            <a:avLst/>
                          </a:prstGeom>
                        </pic:spPr>
                      </pic:pic>
                    </a:graphicData>
                  </a:graphic>
                </wp:inline>
              </w:drawing>
            </w:r>
          </w:p>
        </w:tc>
        <w:tc>
          <w:tcPr>
            <w:tcW w:w="2203" w:type="pct"/>
          </w:tcPr>
          <w:p w14:paraId="3B39923D" w14:textId="77777777" w:rsidR="003F1EA9" w:rsidRPr="00FC71BE" w:rsidRDefault="003F1EA9">
            <w:pPr>
              <w:pStyle w:val="Figure"/>
              <w:rPr>
                <w:noProof w:val="0"/>
              </w:rPr>
            </w:pPr>
            <w:r w:rsidRPr="00FC71BE">
              <w:drawing>
                <wp:inline distT="0" distB="0" distL="0" distR="0" wp14:anchorId="0272BD0F" wp14:editId="06CB90D7">
                  <wp:extent cx="2160000" cy="576326"/>
                  <wp:effectExtent l="0" t="0" r="0" b="0"/>
                  <wp:docPr id="98" name="Picture 98" descr="A picture containing rainbow, colorfulness, screenshot, graphics&#10;&#10;Description automatically generated">
                    <a:extLst xmlns:a="http://schemas.openxmlformats.org/drawingml/2006/main">
                      <a:ext uri="{FF2B5EF4-FFF2-40B4-BE49-F238E27FC236}">
                        <a16:creationId xmlns:a16="http://schemas.microsoft.com/office/drawing/2014/main" id="{4F474F25-D132-4DBE-9348-774B66739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7" descr="A picture containing rainbow, colorfulness, screenshot, graphics&#10;&#10;Description automatically generated">
                            <a:extLst>
                              <a:ext uri="{FF2B5EF4-FFF2-40B4-BE49-F238E27FC236}">
                                <a16:creationId xmlns:a16="http://schemas.microsoft.com/office/drawing/2014/main" id="{4F474F25-D132-4DBE-9348-774B66739002}"/>
                              </a:ext>
                            </a:extLst>
                          </pic:cNvPr>
                          <pic:cNvPicPr>
                            <a:picLocks noChangeAspect="1"/>
                          </pic:cNvPicPr>
                        </pic:nvPicPr>
                        <pic:blipFill rotWithShape="1">
                          <a:blip r:embed="rId132"/>
                          <a:srcRect l="4626" t="28162" r="4568" b="30615"/>
                          <a:stretch/>
                        </pic:blipFill>
                        <pic:spPr>
                          <a:xfrm>
                            <a:off x="0" y="0"/>
                            <a:ext cx="2160000" cy="576326"/>
                          </a:xfrm>
                          <a:prstGeom prst="rect">
                            <a:avLst/>
                          </a:prstGeom>
                        </pic:spPr>
                      </pic:pic>
                    </a:graphicData>
                  </a:graphic>
                </wp:inline>
              </w:drawing>
            </w:r>
          </w:p>
        </w:tc>
        <w:tc>
          <w:tcPr>
            <w:tcW w:w="595" w:type="pct"/>
            <w:vMerge/>
          </w:tcPr>
          <w:p w14:paraId="2AABF7AB" w14:textId="77777777" w:rsidR="003F1EA9" w:rsidRPr="00FC71BE" w:rsidRDefault="003F1EA9">
            <w:pPr>
              <w:pStyle w:val="Figure"/>
              <w:rPr>
                <w:noProof w:val="0"/>
              </w:rPr>
            </w:pPr>
          </w:p>
        </w:tc>
      </w:tr>
      <w:tr w:rsidR="00FC71BE" w:rsidRPr="00FC71BE" w14:paraId="7D6A6366" w14:textId="77777777" w:rsidTr="003A6B1D">
        <w:tc>
          <w:tcPr>
            <w:tcW w:w="2203" w:type="pct"/>
          </w:tcPr>
          <w:p w14:paraId="68D8A8B5" w14:textId="77777777" w:rsidR="003F1EA9" w:rsidRPr="00FC71BE" w:rsidRDefault="003F1EA9">
            <w:pPr>
              <w:pStyle w:val="Figure"/>
              <w:rPr>
                <w:noProof w:val="0"/>
              </w:rPr>
            </w:pPr>
            <w:r w:rsidRPr="00FC71BE">
              <w:rPr>
                <w:noProof w:val="0"/>
              </w:rPr>
              <w:t xml:space="preserve">(c) condition 3, </w:t>
            </w:r>
            <m:oMath>
              <m:sSub>
                <m:sSubPr>
                  <m:ctrlPr>
                    <w:rPr>
                      <w:rFonts w:ascii="Cambria Math" w:hAnsi="Cambria Math"/>
                      <w:noProof w:val="0"/>
                    </w:rPr>
                  </m:ctrlPr>
                </m:sSubPr>
                <m:e>
                  <m:r>
                    <w:rPr>
                      <w:rFonts w:ascii="Cambria Math" w:hAnsi="Cambria Math"/>
                      <w:noProof w:val="0"/>
                    </w:rPr>
                    <m:t>T</m:t>
                  </m:r>
                </m:e>
                <m:sub>
                  <m:sSup>
                    <m:sSupPr>
                      <m:ctrlPr>
                        <w:rPr>
                          <w:rFonts w:ascii="Cambria Math" w:hAnsi="Cambria Math"/>
                          <w:noProof w:val="0"/>
                        </w:rPr>
                      </m:ctrlPr>
                    </m:sSupPr>
                    <m:e>
                      <m:r>
                        <w:rPr>
                          <w:rFonts w:ascii="Cambria Math" w:hAnsi="Cambria Math"/>
                          <w:noProof w:val="0"/>
                        </w:rPr>
                        <m:t>m</m:t>
                      </m:r>
                    </m:e>
                    <m:sup>
                      <m:r>
                        <m:rPr>
                          <m:sty m:val="p"/>
                        </m:rPr>
                        <w:rPr>
                          <w:rFonts w:ascii="Cambria Math" w:hAnsi="Cambria Math"/>
                          <w:noProof w:val="0"/>
                        </w:rPr>
                        <m:t>'</m:t>
                      </m:r>
                    </m:sup>
                  </m:sSup>
                </m:sub>
              </m:sSub>
              <m:r>
                <m:rPr>
                  <m:sty m:val="p"/>
                </m:rPr>
                <w:rPr>
                  <w:rFonts w:ascii="Cambria Math" w:hAnsi="Cambria Math"/>
                  <w:noProof w:val="0"/>
                </w:rPr>
                <m:t>=150℃</m:t>
              </m:r>
            </m:oMath>
          </w:p>
        </w:tc>
        <w:tc>
          <w:tcPr>
            <w:tcW w:w="2203" w:type="pct"/>
          </w:tcPr>
          <w:p w14:paraId="5ACD1765" w14:textId="77777777" w:rsidR="003F1EA9" w:rsidRPr="00FC71BE" w:rsidRDefault="003F1EA9">
            <w:pPr>
              <w:pStyle w:val="Figure"/>
              <w:rPr>
                <w:noProof w:val="0"/>
              </w:rPr>
            </w:pPr>
            <w:r w:rsidRPr="00FC71BE">
              <w:rPr>
                <w:noProof w:val="0"/>
              </w:rPr>
              <w:t xml:space="preserve">(f) condition 3, </w:t>
            </w:r>
            <m:oMath>
              <m:sSub>
                <m:sSubPr>
                  <m:ctrlPr>
                    <w:rPr>
                      <w:rFonts w:ascii="Cambria Math" w:hAnsi="Cambria Math"/>
                      <w:noProof w:val="0"/>
                    </w:rPr>
                  </m:ctrlPr>
                </m:sSubPr>
                <m:e>
                  <m:r>
                    <w:rPr>
                      <w:rFonts w:ascii="Cambria Math" w:hAnsi="Cambria Math"/>
                      <w:noProof w:val="0"/>
                    </w:rPr>
                    <m:t>T</m:t>
                  </m:r>
                </m:e>
                <m:sub>
                  <m:sSup>
                    <m:sSupPr>
                      <m:ctrlPr>
                        <w:rPr>
                          <w:rFonts w:ascii="Cambria Math" w:hAnsi="Cambria Math"/>
                          <w:noProof w:val="0"/>
                        </w:rPr>
                      </m:ctrlPr>
                    </m:sSupPr>
                    <m:e>
                      <m:r>
                        <w:rPr>
                          <w:rFonts w:ascii="Cambria Math" w:hAnsi="Cambria Math"/>
                          <w:noProof w:val="0"/>
                        </w:rPr>
                        <m:t>m</m:t>
                      </m:r>
                    </m:e>
                    <m:sup>
                      <m:r>
                        <m:rPr>
                          <m:sty m:val="p"/>
                        </m:rPr>
                        <w:rPr>
                          <w:rFonts w:ascii="Cambria Math" w:hAnsi="Cambria Math"/>
                          <w:noProof w:val="0"/>
                        </w:rPr>
                        <m:t>'</m:t>
                      </m:r>
                    </m:sup>
                  </m:sSup>
                </m:sub>
              </m:sSub>
              <m:r>
                <m:rPr>
                  <m:sty m:val="p"/>
                </m:rPr>
                <w:rPr>
                  <w:rFonts w:ascii="Cambria Math" w:hAnsi="Cambria Math"/>
                  <w:noProof w:val="0"/>
                </w:rPr>
                <m:t>=140℃</m:t>
              </m:r>
            </m:oMath>
          </w:p>
        </w:tc>
        <w:tc>
          <w:tcPr>
            <w:tcW w:w="595" w:type="pct"/>
            <w:vMerge/>
          </w:tcPr>
          <w:p w14:paraId="09077043" w14:textId="77777777" w:rsidR="003F1EA9" w:rsidRPr="00FC71BE" w:rsidRDefault="003F1EA9">
            <w:pPr>
              <w:pStyle w:val="Figure"/>
              <w:rPr>
                <w:noProof w:val="0"/>
              </w:rPr>
            </w:pPr>
          </w:p>
        </w:tc>
      </w:tr>
    </w:tbl>
    <w:p w14:paraId="75742E92" w14:textId="6968D4AD" w:rsidR="003F1EA9" w:rsidRPr="00FC71BE" w:rsidRDefault="003F1EA9" w:rsidP="003F1EA9">
      <w:pPr>
        <w:pStyle w:val="FigureTitle"/>
      </w:pPr>
      <w:bookmarkStart w:id="183" w:name="_Ref136211946"/>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26</w:t>
        </w:r>
      </w:fldSimple>
      <w:bookmarkEnd w:id="183"/>
      <w:r w:rsidRPr="00FC71BE">
        <w:t>. Demagnetization ratio obtained using the coupled EM-thermal model.</w:t>
      </w:r>
    </w:p>
    <w:p w14:paraId="052B9440" w14:textId="1B2D080C" w:rsidR="003F1EA9" w:rsidRPr="00FC71BE" w:rsidRDefault="003F1EA9" w:rsidP="003F1EA9">
      <w:r w:rsidRPr="00FC71BE">
        <w:t xml:space="preserve">Torque, as one of the most important EM performances for the machines, is also affected by the demagnetization. Compared with the EM-only modelling, the torque of the modular and non-modular machine calculated by using the coupled EM-thermal modelling is lower. This is mainly due to the demagnetization caused by PM temperature rise as shown in </w:t>
      </w:r>
      <w:r w:rsidRPr="00FC71BE">
        <w:fldChar w:fldCharType="begin"/>
      </w:r>
      <w:r w:rsidRPr="00FC71BE">
        <w:instrText xml:space="preserve"> REF _Ref136212449 \h </w:instrText>
      </w:r>
      <w:r w:rsidRPr="00FC71BE">
        <w:fldChar w:fldCharType="separate"/>
      </w:r>
      <w:r w:rsidR="007E62C1" w:rsidRPr="00FC71BE">
        <w:t xml:space="preserve">Fig. </w:t>
      </w:r>
      <w:r w:rsidR="007E62C1" w:rsidRPr="00FC71BE">
        <w:rPr>
          <w:noProof/>
        </w:rPr>
        <w:t>3</w:t>
      </w:r>
      <w:r w:rsidR="007E62C1" w:rsidRPr="00FC71BE">
        <w:t>.</w:t>
      </w:r>
      <w:r w:rsidR="007E62C1" w:rsidRPr="00FC71BE">
        <w:rPr>
          <w:noProof/>
        </w:rPr>
        <w:t>27</w:t>
      </w:r>
      <w:r w:rsidRPr="00FC71BE">
        <w:fldChar w:fldCharType="end"/>
      </w:r>
      <w:r w:rsidRPr="00FC71BE">
        <w:t>. Even though the modular machine has higher PM temperature due to copper loss, the decrease in torque is less significant than the non-modular machine. It is shown that, the improved demagnetization withstand capability and reduced PM eddy current loss due to flux gaps allow the modular machines to have better EM performance.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65FB66CC" w14:textId="77777777">
        <w:tc>
          <w:tcPr>
            <w:tcW w:w="9016" w:type="dxa"/>
          </w:tcPr>
          <w:p w14:paraId="73E2FC71" w14:textId="77777777" w:rsidR="003F1EA9" w:rsidRPr="00FC71BE" w:rsidRDefault="003F1EA9">
            <w:pPr>
              <w:pStyle w:val="Figure"/>
              <w:rPr>
                <w:noProof w:val="0"/>
              </w:rPr>
            </w:pPr>
            <w:r w:rsidRPr="00FC71BE">
              <w:drawing>
                <wp:inline distT="0" distB="0" distL="0" distR="0" wp14:anchorId="4A8037E9" wp14:editId="33EDD222">
                  <wp:extent cx="3747600" cy="2252276"/>
                  <wp:effectExtent l="0" t="0" r="5715" b="0"/>
                  <wp:docPr id="68" name="Picture 68" descr="A diagram of a heat exchanger&#10;&#10;Description automatically generated">
                    <a:extLst xmlns:a="http://schemas.openxmlformats.org/drawingml/2006/main">
                      <a:ext uri="{FF2B5EF4-FFF2-40B4-BE49-F238E27FC236}">
                        <a16:creationId xmlns:a16="http://schemas.microsoft.com/office/drawing/2014/main" id="{BA2C68C6-85C6-4EFD-ACB7-3FE08FDAD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diagram of a heat exchanger&#10;&#10;Description automatically generated">
                            <a:extLst>
                              <a:ext uri="{FF2B5EF4-FFF2-40B4-BE49-F238E27FC236}">
                                <a16:creationId xmlns:a16="http://schemas.microsoft.com/office/drawing/2014/main" id="{BA2C68C6-85C6-4EFD-ACB7-3FE08FDADA9C}"/>
                              </a:ext>
                            </a:extLst>
                          </pic:cNvPr>
                          <pic:cNvPicPr>
                            <a:picLocks noChangeAspect="1"/>
                          </pic:cNvPicPr>
                        </pic:nvPicPr>
                        <pic:blipFill>
                          <a:blip r:embed="rId133"/>
                          <a:stretch>
                            <a:fillRect/>
                          </a:stretch>
                        </pic:blipFill>
                        <pic:spPr>
                          <a:xfrm>
                            <a:off x="0" y="0"/>
                            <a:ext cx="3747600" cy="2252276"/>
                          </a:xfrm>
                          <a:prstGeom prst="rect">
                            <a:avLst/>
                          </a:prstGeom>
                        </pic:spPr>
                      </pic:pic>
                    </a:graphicData>
                  </a:graphic>
                </wp:inline>
              </w:drawing>
            </w:r>
          </w:p>
        </w:tc>
      </w:tr>
      <w:tr w:rsidR="00FC71BE" w:rsidRPr="00FC71BE" w14:paraId="33B52380" w14:textId="77777777">
        <w:tc>
          <w:tcPr>
            <w:tcW w:w="9016" w:type="dxa"/>
          </w:tcPr>
          <w:p w14:paraId="78A381BD" w14:textId="77777777" w:rsidR="003F1EA9" w:rsidRPr="00FC71BE" w:rsidRDefault="003F1EA9">
            <w:pPr>
              <w:pStyle w:val="Figure"/>
              <w:rPr>
                <w:noProof w:val="0"/>
              </w:rPr>
            </w:pPr>
            <w:r w:rsidRPr="00FC71BE">
              <w:rPr>
                <w:noProof w:val="0"/>
              </w:rPr>
              <w:t>(a) Modular Machine</w:t>
            </w:r>
          </w:p>
        </w:tc>
      </w:tr>
      <w:tr w:rsidR="00FC71BE" w:rsidRPr="00FC71BE" w14:paraId="26F3CA2D" w14:textId="77777777">
        <w:tc>
          <w:tcPr>
            <w:tcW w:w="9016" w:type="dxa"/>
          </w:tcPr>
          <w:p w14:paraId="471FB872" w14:textId="77777777" w:rsidR="003F1EA9" w:rsidRPr="00FC71BE" w:rsidRDefault="003F1EA9">
            <w:pPr>
              <w:pStyle w:val="Figure"/>
              <w:rPr>
                <w:noProof w:val="0"/>
              </w:rPr>
            </w:pPr>
            <w:r w:rsidRPr="00FC71BE">
              <w:lastRenderedPageBreak/>
              <w:drawing>
                <wp:inline distT="0" distB="0" distL="0" distR="0" wp14:anchorId="45A32D81" wp14:editId="20158ED3">
                  <wp:extent cx="3747600" cy="2247069"/>
                  <wp:effectExtent l="0" t="0" r="5715" b="1270"/>
                  <wp:docPr id="69" name="Picture 69" descr="A diagram of a heat wave&#10;&#10;Description automatically generated">
                    <a:extLst xmlns:a="http://schemas.openxmlformats.org/drawingml/2006/main">
                      <a:ext uri="{FF2B5EF4-FFF2-40B4-BE49-F238E27FC236}">
                        <a16:creationId xmlns:a16="http://schemas.microsoft.com/office/drawing/2014/main" id="{5C7AEA04-5777-4FB1-8336-A465A67221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diagram of a heat wave&#10;&#10;Description automatically generated">
                            <a:extLst>
                              <a:ext uri="{FF2B5EF4-FFF2-40B4-BE49-F238E27FC236}">
                                <a16:creationId xmlns:a16="http://schemas.microsoft.com/office/drawing/2014/main" id="{5C7AEA04-5777-4FB1-8336-A465A67221E2}"/>
                              </a:ext>
                            </a:extLst>
                          </pic:cNvPr>
                          <pic:cNvPicPr>
                            <a:picLocks noChangeAspect="1"/>
                          </pic:cNvPicPr>
                        </pic:nvPicPr>
                        <pic:blipFill>
                          <a:blip r:embed="rId134"/>
                          <a:stretch>
                            <a:fillRect/>
                          </a:stretch>
                        </pic:blipFill>
                        <pic:spPr>
                          <a:xfrm>
                            <a:off x="0" y="0"/>
                            <a:ext cx="3747600" cy="2247069"/>
                          </a:xfrm>
                          <a:prstGeom prst="rect">
                            <a:avLst/>
                          </a:prstGeom>
                        </pic:spPr>
                      </pic:pic>
                    </a:graphicData>
                  </a:graphic>
                </wp:inline>
              </w:drawing>
            </w:r>
          </w:p>
        </w:tc>
      </w:tr>
      <w:tr w:rsidR="00FC71BE" w:rsidRPr="00FC71BE" w14:paraId="20901DA6" w14:textId="77777777">
        <w:tc>
          <w:tcPr>
            <w:tcW w:w="9016" w:type="dxa"/>
          </w:tcPr>
          <w:p w14:paraId="719FF53D" w14:textId="77777777" w:rsidR="003F1EA9" w:rsidRPr="00FC71BE" w:rsidRDefault="003F1EA9">
            <w:pPr>
              <w:pStyle w:val="Figure"/>
              <w:rPr>
                <w:noProof w:val="0"/>
              </w:rPr>
            </w:pPr>
            <w:r w:rsidRPr="00FC71BE">
              <w:rPr>
                <w:noProof w:val="0"/>
              </w:rPr>
              <w:t>(b) Non-Modular Machine</w:t>
            </w:r>
          </w:p>
        </w:tc>
      </w:tr>
    </w:tbl>
    <w:p w14:paraId="53CE1FC7" w14:textId="0D6233B2" w:rsidR="003F1EA9" w:rsidRPr="00FC71BE" w:rsidRDefault="003F1EA9" w:rsidP="003F1EA9">
      <w:pPr>
        <w:pStyle w:val="FigureTitle"/>
      </w:pPr>
      <w:bookmarkStart w:id="184" w:name="_Ref136212449"/>
      <w:r w:rsidRPr="00FC71BE">
        <w:t xml:space="preserve">Fig. </w:t>
      </w:r>
      <w:fldSimple w:instr=" STYLEREF 1 \s ">
        <w:r w:rsidR="007E62C1" w:rsidRPr="00FC71BE">
          <w:rPr>
            <w:noProof/>
          </w:rPr>
          <w:t>3</w:t>
        </w:r>
      </w:fldSimple>
      <w:r w:rsidRPr="00FC71BE">
        <w:t>.</w:t>
      </w:r>
      <w:fldSimple w:instr=" SEQ Fig. \* ARABIC \s 1 ">
        <w:r w:rsidR="007E62C1" w:rsidRPr="00FC71BE">
          <w:rPr>
            <w:noProof/>
          </w:rPr>
          <w:t>27</w:t>
        </w:r>
      </w:fldSimple>
      <w:bookmarkEnd w:id="184"/>
      <w:r w:rsidRPr="00FC71BE">
        <w:t xml:space="preserve">. On-load torque </w:t>
      </w:r>
      <w:r w:rsidRPr="00FC71BE">
        <w:rPr>
          <w:i/>
        </w:rPr>
        <w:t>vs</w:t>
      </w:r>
      <w:r w:rsidRPr="00FC71BE">
        <w:t xml:space="preserve"> rotor position for investigated machines with and without considering EM-thermal coupling. </w:t>
      </w:r>
      <m:oMath>
        <m:sSub>
          <m:sSubPr>
            <m:ctrlPr>
              <w:rPr>
                <w:rFonts w:ascii="Cambria Math" w:hAnsi="Cambria Math"/>
                <w:i/>
              </w:rPr>
            </m:ctrlPr>
          </m:sSubPr>
          <m:e>
            <m:r>
              <w:rPr>
                <w:rFonts w:ascii="Cambria Math" w:hAnsi="Cambria Math"/>
              </w:rPr>
              <m:t>T</m:t>
            </m:r>
          </m:e>
          <m:sub>
            <m:r>
              <w:rPr>
                <w:rFonts w:ascii="Cambria Math" w:hAnsi="Cambria Math"/>
              </w:rPr>
              <m:t>m'</m:t>
            </m:r>
          </m:sub>
        </m:sSub>
      </m:oMath>
      <w:r w:rsidRPr="00FC71BE">
        <w:rPr>
          <w:vertAlign w:val="subscript"/>
        </w:rPr>
        <w:t xml:space="preserve"> </w:t>
      </w:r>
      <w:r w:rsidRPr="00FC71BE">
        <w:t xml:space="preserve">and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rsidRPr="00FC71BE">
        <w:t xml:space="preserve"> denote the average steady state magnet and coil temperatures obtained by the coupled EM-thermal model.</w:t>
      </w:r>
    </w:p>
    <w:p w14:paraId="25A5F128" w14:textId="530874D4" w:rsidR="003F1EA9" w:rsidRPr="00FC71BE" w:rsidRDefault="003F1EA9" w:rsidP="003F1EA9">
      <w:r w:rsidRPr="00FC71BE">
        <w:t xml:space="preserve">The PM demagnetization can be caused by PM field, applied armature field and magnet temperature rise. When temperature varies, the temperature dependent material properties, e.g., the magnet remanence and coercivity and copper resistivity will also change, leading to different losses including stator and rotor core iron losses, magnet eddy current loss and copper loss. The changed losses will in turn lead to temperature variation within electrical machines. Therefore, it is essential to adopt the coupled EM-thermal modelling to predict more accurately the machine EM and thermal performances. By employing the coupled EM-thermal models, the magnet flux density variation, magnet eddy current loss and irreversible magnet demagnetization have been compared between the modular and non-modular machines. It is found that, the introduced flux gaps in the modular machine can improve the machine demagnetization withstand capability. In addition, they can also reduce the PM eddy current loss. Compared to the non-modular machine, the improved demagnetization withstand capability of the modular machine lead to smaller irreversible demagnetization region and also significantly improved on-load torque. Benefits from its higher demagnetization capability, the improving EM performances for the modular machine can be more significant with the coupled EM-thermal modelling, as listed in </w:t>
      </w:r>
      <w:r w:rsidRPr="00FC71BE">
        <w:fldChar w:fldCharType="begin"/>
      </w:r>
      <w:r w:rsidRPr="00FC71BE">
        <w:instrText xml:space="preserve"> REF _Ref136213268 \h </w:instrText>
      </w:r>
      <w:r w:rsidRPr="00FC71BE">
        <w:fldChar w:fldCharType="separate"/>
      </w:r>
      <w:r w:rsidR="007E62C1" w:rsidRPr="00FC71BE">
        <w:t xml:space="preserve">Table </w:t>
      </w:r>
      <w:r w:rsidR="007E62C1" w:rsidRPr="00FC71BE">
        <w:rPr>
          <w:noProof/>
        </w:rPr>
        <w:t>3</w:t>
      </w:r>
      <w:r w:rsidR="007E62C1" w:rsidRPr="00FC71BE">
        <w:t>.</w:t>
      </w:r>
      <w:r w:rsidR="007E62C1" w:rsidRPr="00FC71BE">
        <w:rPr>
          <w:noProof/>
        </w:rPr>
        <w:t>3</w:t>
      </w:r>
      <w:r w:rsidRPr="00FC71BE">
        <w:fldChar w:fldCharType="end"/>
      </w:r>
      <w:r w:rsidRPr="00FC71BE">
        <w:t>.</w:t>
      </w:r>
    </w:p>
    <w:p w14:paraId="6A215988" w14:textId="4B1111D6" w:rsidR="003F1EA9" w:rsidRPr="00FC71BE" w:rsidRDefault="003F1EA9" w:rsidP="003F1EA9">
      <w:pPr>
        <w:pStyle w:val="Tabletitle"/>
        <w:rPr>
          <w:color w:val="auto"/>
        </w:rPr>
      </w:pPr>
      <w:bookmarkStart w:id="185" w:name="_Ref136213268"/>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bookmarkEnd w:id="185"/>
      <w:r w:rsidRPr="00FC71BE">
        <w:rPr>
          <w:color w:val="auto"/>
        </w:rPr>
        <w:t xml:space="preserve"> EM performances for the modular and non-modular SPM machines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7"/>
        <w:gridCol w:w="2464"/>
        <w:gridCol w:w="1540"/>
        <w:gridCol w:w="1444"/>
        <w:gridCol w:w="1691"/>
      </w:tblGrid>
      <w:tr w:rsidR="00FC71BE" w:rsidRPr="00FC71BE" w14:paraId="130265FE" w14:textId="77777777">
        <w:tc>
          <w:tcPr>
            <w:tcW w:w="1045" w:type="pct"/>
            <w:tcBorders>
              <w:top w:val="double" w:sz="4" w:space="0" w:color="auto"/>
            </w:tcBorders>
          </w:tcPr>
          <w:p w14:paraId="1C74939F" w14:textId="77777777" w:rsidR="003F1EA9" w:rsidRPr="00FC71BE" w:rsidRDefault="003F1EA9">
            <w:pPr>
              <w:pStyle w:val="Table"/>
              <w:rPr>
                <w:color w:val="auto"/>
              </w:rPr>
            </w:pPr>
          </w:p>
        </w:tc>
        <w:tc>
          <w:tcPr>
            <w:tcW w:w="1365" w:type="pct"/>
            <w:tcBorders>
              <w:top w:val="double" w:sz="4" w:space="0" w:color="auto"/>
            </w:tcBorders>
          </w:tcPr>
          <w:p w14:paraId="3F4FECBD" w14:textId="77777777" w:rsidR="003F1EA9" w:rsidRPr="00FC71BE" w:rsidRDefault="003F1EA9">
            <w:pPr>
              <w:pStyle w:val="Table"/>
              <w:rPr>
                <w:color w:val="auto"/>
              </w:rPr>
            </w:pPr>
          </w:p>
        </w:tc>
        <w:tc>
          <w:tcPr>
            <w:tcW w:w="853" w:type="pct"/>
            <w:tcBorders>
              <w:top w:val="double" w:sz="4" w:space="0" w:color="auto"/>
            </w:tcBorders>
          </w:tcPr>
          <w:p w14:paraId="7839EE6A" w14:textId="77777777" w:rsidR="003F1EA9" w:rsidRPr="00FC71BE" w:rsidRDefault="003F1EA9">
            <w:pPr>
              <w:pStyle w:val="Table"/>
              <w:rPr>
                <w:color w:val="auto"/>
              </w:rPr>
            </w:pPr>
            <w:r w:rsidRPr="00FC71BE">
              <w:rPr>
                <w:color w:val="auto"/>
              </w:rPr>
              <w:t>Torque (Nm)</w:t>
            </w:r>
          </w:p>
        </w:tc>
        <w:tc>
          <w:tcPr>
            <w:tcW w:w="800" w:type="pct"/>
            <w:tcBorders>
              <w:top w:val="double" w:sz="4" w:space="0" w:color="auto"/>
            </w:tcBorders>
          </w:tcPr>
          <w:p w14:paraId="617C5DF4" w14:textId="77777777" w:rsidR="003F1EA9" w:rsidRPr="00FC71BE" w:rsidRDefault="003F1EA9">
            <w:pPr>
              <w:pStyle w:val="Table"/>
              <w:rPr>
                <w:color w:val="auto"/>
              </w:rPr>
            </w:pPr>
            <w:r w:rsidRPr="00FC71BE">
              <w:rPr>
                <w:color w:val="auto"/>
              </w:rPr>
              <w:t>Power (kW)</w:t>
            </w:r>
          </w:p>
        </w:tc>
        <w:tc>
          <w:tcPr>
            <w:tcW w:w="937" w:type="pct"/>
            <w:tcBorders>
              <w:top w:val="double" w:sz="4" w:space="0" w:color="auto"/>
            </w:tcBorders>
          </w:tcPr>
          <w:p w14:paraId="7B2D46CF" w14:textId="77777777" w:rsidR="003F1EA9" w:rsidRPr="00FC71BE" w:rsidRDefault="003F1EA9">
            <w:pPr>
              <w:pStyle w:val="Table"/>
              <w:rPr>
                <w:color w:val="auto"/>
              </w:rPr>
            </w:pPr>
            <w:r w:rsidRPr="00FC71BE">
              <w:rPr>
                <w:color w:val="auto"/>
              </w:rPr>
              <w:t>Efficiency (%)</w:t>
            </w:r>
          </w:p>
        </w:tc>
      </w:tr>
      <w:tr w:rsidR="00FC71BE" w:rsidRPr="00FC71BE" w14:paraId="7DD4A1A7" w14:textId="77777777">
        <w:tc>
          <w:tcPr>
            <w:tcW w:w="1045" w:type="pct"/>
            <w:vMerge w:val="restart"/>
            <w:tcBorders>
              <w:bottom w:val="single" w:sz="4" w:space="0" w:color="auto"/>
            </w:tcBorders>
            <w:vAlign w:val="center"/>
          </w:tcPr>
          <w:p w14:paraId="5E0F7F3D" w14:textId="77777777" w:rsidR="003F1EA9" w:rsidRPr="00FC71BE" w:rsidRDefault="003F1EA9">
            <w:pPr>
              <w:pStyle w:val="Table"/>
              <w:rPr>
                <w:color w:val="auto"/>
              </w:rPr>
            </w:pPr>
            <w:r w:rsidRPr="00FC71BE">
              <w:rPr>
                <w:color w:val="auto"/>
              </w:rPr>
              <w:t>Without coupling</w:t>
            </w:r>
          </w:p>
        </w:tc>
        <w:tc>
          <w:tcPr>
            <w:tcW w:w="1365" w:type="pct"/>
            <w:vAlign w:val="center"/>
          </w:tcPr>
          <w:p w14:paraId="13912952" w14:textId="77777777" w:rsidR="003F1EA9" w:rsidRPr="00FC71BE" w:rsidRDefault="003F1EA9">
            <w:pPr>
              <w:pStyle w:val="Table"/>
              <w:rPr>
                <w:color w:val="auto"/>
              </w:rPr>
            </w:pPr>
            <w:r w:rsidRPr="00FC71BE">
              <w:rPr>
                <w:color w:val="auto"/>
              </w:rPr>
              <w:t>Modular machine</w:t>
            </w:r>
          </w:p>
        </w:tc>
        <w:tc>
          <w:tcPr>
            <w:tcW w:w="853" w:type="pct"/>
            <w:vAlign w:val="center"/>
          </w:tcPr>
          <w:p w14:paraId="42EAE051" w14:textId="77777777" w:rsidR="003F1EA9" w:rsidRPr="00FC71BE" w:rsidRDefault="003F1EA9">
            <w:pPr>
              <w:pStyle w:val="Table"/>
              <w:rPr>
                <w:color w:val="auto"/>
              </w:rPr>
            </w:pPr>
            <w:r w:rsidRPr="00FC71BE">
              <w:rPr>
                <w:color w:val="auto"/>
              </w:rPr>
              <w:t>330</w:t>
            </w:r>
          </w:p>
        </w:tc>
        <w:tc>
          <w:tcPr>
            <w:tcW w:w="800" w:type="pct"/>
            <w:vAlign w:val="center"/>
          </w:tcPr>
          <w:p w14:paraId="47AC5FBD" w14:textId="77777777" w:rsidR="003F1EA9" w:rsidRPr="00FC71BE" w:rsidRDefault="003F1EA9">
            <w:pPr>
              <w:pStyle w:val="Table"/>
              <w:rPr>
                <w:color w:val="auto"/>
              </w:rPr>
            </w:pPr>
            <w:r w:rsidRPr="00FC71BE">
              <w:rPr>
                <w:color w:val="auto"/>
              </w:rPr>
              <w:t>52</w:t>
            </w:r>
          </w:p>
        </w:tc>
        <w:tc>
          <w:tcPr>
            <w:tcW w:w="937" w:type="pct"/>
            <w:vAlign w:val="center"/>
          </w:tcPr>
          <w:p w14:paraId="3AE1A71C" w14:textId="77777777" w:rsidR="003F1EA9" w:rsidRPr="00FC71BE" w:rsidRDefault="003F1EA9">
            <w:pPr>
              <w:pStyle w:val="Table"/>
              <w:rPr>
                <w:color w:val="auto"/>
              </w:rPr>
            </w:pPr>
            <w:r w:rsidRPr="00FC71BE">
              <w:rPr>
                <w:color w:val="auto"/>
              </w:rPr>
              <w:t>96.8</w:t>
            </w:r>
          </w:p>
        </w:tc>
      </w:tr>
      <w:tr w:rsidR="00FC71BE" w:rsidRPr="00FC71BE" w14:paraId="46D3BB2F" w14:textId="77777777">
        <w:tc>
          <w:tcPr>
            <w:tcW w:w="1045" w:type="pct"/>
            <w:vMerge/>
            <w:tcBorders>
              <w:bottom w:val="single" w:sz="4" w:space="0" w:color="auto"/>
            </w:tcBorders>
            <w:vAlign w:val="center"/>
          </w:tcPr>
          <w:p w14:paraId="614A849E" w14:textId="77777777" w:rsidR="003F1EA9" w:rsidRPr="00FC71BE" w:rsidRDefault="003F1EA9">
            <w:pPr>
              <w:pStyle w:val="Table"/>
              <w:rPr>
                <w:color w:val="auto"/>
              </w:rPr>
            </w:pPr>
          </w:p>
        </w:tc>
        <w:tc>
          <w:tcPr>
            <w:tcW w:w="1365" w:type="pct"/>
            <w:tcBorders>
              <w:bottom w:val="single" w:sz="4" w:space="0" w:color="auto"/>
            </w:tcBorders>
            <w:vAlign w:val="center"/>
          </w:tcPr>
          <w:p w14:paraId="02CE9278" w14:textId="77777777" w:rsidR="003F1EA9" w:rsidRPr="00FC71BE" w:rsidRDefault="003F1EA9">
            <w:pPr>
              <w:pStyle w:val="Table"/>
              <w:rPr>
                <w:color w:val="auto"/>
              </w:rPr>
            </w:pPr>
            <w:r w:rsidRPr="00FC71BE">
              <w:rPr>
                <w:color w:val="auto"/>
              </w:rPr>
              <w:t>Non-modular machine</w:t>
            </w:r>
          </w:p>
        </w:tc>
        <w:tc>
          <w:tcPr>
            <w:tcW w:w="853" w:type="pct"/>
            <w:tcBorders>
              <w:bottom w:val="single" w:sz="4" w:space="0" w:color="auto"/>
            </w:tcBorders>
            <w:vAlign w:val="center"/>
          </w:tcPr>
          <w:p w14:paraId="49D5BCBE" w14:textId="77777777" w:rsidR="003F1EA9" w:rsidRPr="00FC71BE" w:rsidRDefault="003F1EA9">
            <w:pPr>
              <w:pStyle w:val="Table"/>
              <w:rPr>
                <w:color w:val="auto"/>
              </w:rPr>
            </w:pPr>
            <w:r w:rsidRPr="00FC71BE">
              <w:rPr>
                <w:color w:val="auto"/>
              </w:rPr>
              <w:t>273</w:t>
            </w:r>
          </w:p>
        </w:tc>
        <w:tc>
          <w:tcPr>
            <w:tcW w:w="800" w:type="pct"/>
            <w:tcBorders>
              <w:bottom w:val="single" w:sz="4" w:space="0" w:color="auto"/>
            </w:tcBorders>
            <w:vAlign w:val="center"/>
          </w:tcPr>
          <w:p w14:paraId="27B692E1" w14:textId="77777777" w:rsidR="003F1EA9" w:rsidRPr="00FC71BE" w:rsidRDefault="003F1EA9">
            <w:pPr>
              <w:pStyle w:val="Table"/>
              <w:rPr>
                <w:color w:val="auto"/>
              </w:rPr>
            </w:pPr>
            <w:r w:rsidRPr="00FC71BE">
              <w:rPr>
                <w:color w:val="auto"/>
              </w:rPr>
              <w:t>43</w:t>
            </w:r>
          </w:p>
        </w:tc>
        <w:tc>
          <w:tcPr>
            <w:tcW w:w="937" w:type="pct"/>
            <w:tcBorders>
              <w:bottom w:val="single" w:sz="4" w:space="0" w:color="auto"/>
            </w:tcBorders>
            <w:vAlign w:val="center"/>
          </w:tcPr>
          <w:p w14:paraId="222D81A7" w14:textId="77777777" w:rsidR="003F1EA9" w:rsidRPr="00FC71BE" w:rsidRDefault="003F1EA9">
            <w:pPr>
              <w:pStyle w:val="Table"/>
              <w:rPr>
                <w:color w:val="auto"/>
              </w:rPr>
            </w:pPr>
            <w:r w:rsidRPr="00FC71BE">
              <w:rPr>
                <w:color w:val="auto"/>
              </w:rPr>
              <w:t>96.9</w:t>
            </w:r>
          </w:p>
        </w:tc>
      </w:tr>
      <w:tr w:rsidR="00FC71BE" w:rsidRPr="00FC71BE" w14:paraId="4580E53A" w14:textId="77777777">
        <w:tc>
          <w:tcPr>
            <w:tcW w:w="1045" w:type="pct"/>
            <w:vMerge w:val="restart"/>
            <w:tcBorders>
              <w:top w:val="single" w:sz="4" w:space="0" w:color="auto"/>
            </w:tcBorders>
            <w:vAlign w:val="center"/>
          </w:tcPr>
          <w:p w14:paraId="43C0D9E8" w14:textId="77777777" w:rsidR="003F1EA9" w:rsidRPr="00FC71BE" w:rsidRDefault="003F1EA9">
            <w:pPr>
              <w:pStyle w:val="Table"/>
              <w:rPr>
                <w:color w:val="auto"/>
              </w:rPr>
            </w:pPr>
            <w:r w:rsidRPr="00FC71BE">
              <w:rPr>
                <w:color w:val="auto"/>
              </w:rPr>
              <w:t>With coupling</w:t>
            </w:r>
          </w:p>
        </w:tc>
        <w:tc>
          <w:tcPr>
            <w:tcW w:w="1365" w:type="pct"/>
            <w:tcBorders>
              <w:top w:val="single" w:sz="4" w:space="0" w:color="auto"/>
            </w:tcBorders>
            <w:vAlign w:val="center"/>
          </w:tcPr>
          <w:p w14:paraId="58747F55" w14:textId="77777777" w:rsidR="003F1EA9" w:rsidRPr="00FC71BE" w:rsidRDefault="003F1EA9">
            <w:pPr>
              <w:pStyle w:val="Table"/>
              <w:rPr>
                <w:color w:val="auto"/>
              </w:rPr>
            </w:pPr>
            <w:r w:rsidRPr="00FC71BE">
              <w:rPr>
                <w:color w:val="auto"/>
              </w:rPr>
              <w:t>Modular machine</w:t>
            </w:r>
          </w:p>
        </w:tc>
        <w:tc>
          <w:tcPr>
            <w:tcW w:w="853" w:type="pct"/>
            <w:tcBorders>
              <w:top w:val="single" w:sz="4" w:space="0" w:color="auto"/>
            </w:tcBorders>
            <w:vAlign w:val="center"/>
          </w:tcPr>
          <w:p w14:paraId="0845C8DB" w14:textId="77777777" w:rsidR="003F1EA9" w:rsidRPr="00FC71BE" w:rsidRDefault="003F1EA9">
            <w:pPr>
              <w:pStyle w:val="Table"/>
              <w:rPr>
                <w:color w:val="auto"/>
              </w:rPr>
            </w:pPr>
            <w:r w:rsidRPr="00FC71BE">
              <w:rPr>
                <w:color w:val="auto"/>
              </w:rPr>
              <w:t>326</w:t>
            </w:r>
          </w:p>
        </w:tc>
        <w:tc>
          <w:tcPr>
            <w:tcW w:w="800" w:type="pct"/>
            <w:tcBorders>
              <w:top w:val="single" w:sz="4" w:space="0" w:color="auto"/>
            </w:tcBorders>
            <w:vAlign w:val="center"/>
          </w:tcPr>
          <w:p w14:paraId="78373F63" w14:textId="77777777" w:rsidR="003F1EA9" w:rsidRPr="00FC71BE" w:rsidRDefault="003F1EA9">
            <w:pPr>
              <w:pStyle w:val="Table"/>
              <w:rPr>
                <w:color w:val="auto"/>
              </w:rPr>
            </w:pPr>
            <w:r w:rsidRPr="00FC71BE">
              <w:rPr>
                <w:color w:val="auto"/>
              </w:rPr>
              <w:t>51.2</w:t>
            </w:r>
          </w:p>
        </w:tc>
        <w:tc>
          <w:tcPr>
            <w:tcW w:w="937" w:type="pct"/>
            <w:tcBorders>
              <w:top w:val="single" w:sz="4" w:space="0" w:color="auto"/>
            </w:tcBorders>
            <w:vAlign w:val="center"/>
          </w:tcPr>
          <w:p w14:paraId="7A87C441" w14:textId="77777777" w:rsidR="003F1EA9" w:rsidRPr="00FC71BE" w:rsidRDefault="003F1EA9">
            <w:pPr>
              <w:pStyle w:val="Table"/>
              <w:rPr>
                <w:color w:val="auto"/>
              </w:rPr>
            </w:pPr>
            <w:r w:rsidRPr="00FC71BE">
              <w:rPr>
                <w:color w:val="auto"/>
              </w:rPr>
              <w:t>97.1</w:t>
            </w:r>
          </w:p>
        </w:tc>
      </w:tr>
      <w:tr w:rsidR="00FC71BE" w:rsidRPr="00FC71BE" w14:paraId="70DA3F04" w14:textId="77777777">
        <w:tc>
          <w:tcPr>
            <w:tcW w:w="1045" w:type="pct"/>
            <w:vMerge/>
            <w:tcBorders>
              <w:bottom w:val="double" w:sz="4" w:space="0" w:color="auto"/>
            </w:tcBorders>
            <w:vAlign w:val="center"/>
          </w:tcPr>
          <w:p w14:paraId="7CE6C665" w14:textId="77777777" w:rsidR="003F1EA9" w:rsidRPr="00FC71BE" w:rsidRDefault="003F1EA9">
            <w:pPr>
              <w:pStyle w:val="Table"/>
              <w:rPr>
                <w:color w:val="auto"/>
              </w:rPr>
            </w:pPr>
          </w:p>
        </w:tc>
        <w:tc>
          <w:tcPr>
            <w:tcW w:w="1365" w:type="pct"/>
            <w:tcBorders>
              <w:bottom w:val="double" w:sz="4" w:space="0" w:color="auto"/>
            </w:tcBorders>
            <w:vAlign w:val="center"/>
          </w:tcPr>
          <w:p w14:paraId="3C561936" w14:textId="77777777" w:rsidR="003F1EA9" w:rsidRPr="00FC71BE" w:rsidRDefault="003F1EA9">
            <w:pPr>
              <w:pStyle w:val="Table"/>
              <w:rPr>
                <w:color w:val="auto"/>
              </w:rPr>
            </w:pPr>
            <w:r w:rsidRPr="00FC71BE">
              <w:rPr>
                <w:color w:val="auto"/>
              </w:rPr>
              <w:t>Non-modular machine</w:t>
            </w:r>
          </w:p>
        </w:tc>
        <w:tc>
          <w:tcPr>
            <w:tcW w:w="853" w:type="pct"/>
            <w:tcBorders>
              <w:bottom w:val="double" w:sz="4" w:space="0" w:color="auto"/>
            </w:tcBorders>
            <w:vAlign w:val="center"/>
          </w:tcPr>
          <w:p w14:paraId="4E1204A8" w14:textId="77777777" w:rsidR="003F1EA9" w:rsidRPr="00FC71BE" w:rsidRDefault="003F1EA9">
            <w:pPr>
              <w:pStyle w:val="Table"/>
              <w:rPr>
                <w:color w:val="auto"/>
              </w:rPr>
            </w:pPr>
            <w:r w:rsidRPr="00FC71BE">
              <w:rPr>
                <w:color w:val="auto"/>
              </w:rPr>
              <w:t>270</w:t>
            </w:r>
          </w:p>
        </w:tc>
        <w:tc>
          <w:tcPr>
            <w:tcW w:w="800" w:type="pct"/>
            <w:tcBorders>
              <w:bottom w:val="double" w:sz="4" w:space="0" w:color="auto"/>
            </w:tcBorders>
            <w:vAlign w:val="center"/>
          </w:tcPr>
          <w:p w14:paraId="24498B48" w14:textId="77777777" w:rsidR="003F1EA9" w:rsidRPr="00FC71BE" w:rsidRDefault="003F1EA9">
            <w:pPr>
              <w:pStyle w:val="Table"/>
              <w:rPr>
                <w:color w:val="auto"/>
              </w:rPr>
            </w:pPr>
            <w:r w:rsidRPr="00FC71BE">
              <w:rPr>
                <w:color w:val="auto"/>
              </w:rPr>
              <w:t>42.4</w:t>
            </w:r>
          </w:p>
        </w:tc>
        <w:tc>
          <w:tcPr>
            <w:tcW w:w="937" w:type="pct"/>
            <w:tcBorders>
              <w:bottom w:val="double" w:sz="4" w:space="0" w:color="auto"/>
            </w:tcBorders>
            <w:vAlign w:val="center"/>
          </w:tcPr>
          <w:p w14:paraId="3471125D" w14:textId="77777777" w:rsidR="003F1EA9" w:rsidRPr="00FC71BE" w:rsidRDefault="003F1EA9">
            <w:pPr>
              <w:pStyle w:val="Table"/>
              <w:rPr>
                <w:color w:val="auto"/>
              </w:rPr>
            </w:pPr>
            <w:r w:rsidRPr="00FC71BE">
              <w:rPr>
                <w:color w:val="auto"/>
              </w:rPr>
              <w:t>95.6</w:t>
            </w:r>
          </w:p>
        </w:tc>
      </w:tr>
    </w:tbl>
    <w:p w14:paraId="2FB995A5" w14:textId="77777777" w:rsidR="003F1EA9" w:rsidRPr="00FC71BE" w:rsidRDefault="003F1EA9" w:rsidP="00B86C68">
      <w:pPr>
        <w:pStyle w:val="Heading2"/>
        <w:numPr>
          <w:ilvl w:val="1"/>
          <w:numId w:val="49"/>
        </w:numPr>
      </w:pPr>
      <w:bookmarkStart w:id="186" w:name="_Hlk139722707"/>
      <w:bookmarkStart w:id="187" w:name="_Toc157695358"/>
      <w:r w:rsidRPr="00FC71BE">
        <w:lastRenderedPageBreak/>
        <w:t>Conclusion</w:t>
      </w:r>
      <w:bookmarkEnd w:id="186"/>
      <w:bookmarkEnd w:id="187"/>
    </w:p>
    <w:p w14:paraId="7DAE95E8" w14:textId="77777777" w:rsidR="003F1EA9" w:rsidRPr="00FC71BE" w:rsidRDefault="003F1EA9" w:rsidP="003F1EA9">
      <w:r w:rsidRPr="00FC71BE">
        <w:t xml:space="preserve">In this chapter, the dynamic performances considering the EM-thermal coupling have been investigated for both the modular and non-modular machines. Compared to the non-coupled EM-only analysis, the coupled EM-thermal modelling can consider the effect of temperature rise on magnet properties, e.g., the remanence and coercivity, and copper resistivity. For example, at a given temperature, the EM performance such as the PM flux linkage, stator and rotor core iron losses, PM eddy current loss and copper loss can be calculated. The calculated losses will be used as input in the thermal model to calculate an updated temperature distribution, which in turn will allow the calculation of updated EM performance. This will make accurate analysis of dynamic performance under different operating conditions possible. Based on the results obtained by the coupled EM-thermal models, it has been found that, compared with the non-modular machine, the modular machine generally has higher torque and efficiency under different operating conditions. This is mainly due to the introduced flux gaps in alternate stator teeth that can be used to boost both the EM and thermal performances. </w:t>
      </w:r>
    </w:p>
    <w:p w14:paraId="2DB9E39D" w14:textId="77777777" w:rsidR="003F1EA9" w:rsidRPr="00FC71BE" w:rsidRDefault="003F1EA9" w:rsidP="003F1EA9">
      <w:r w:rsidRPr="00FC71BE">
        <w:t>The demagnetization caused by PM field, applied armature field and magnet temperature rise has also been investigated for both the modular and non-modular machines by adopting the coupled EM-thermal modelling. By employing the coupled EM-thermal models, the magnet flux density variation, magnet eddy current loss and irreversible magnet demagnetization have been compared between the modular and non-modular machines. It is found that, the introduced flux gaps in the modular machine are able to improve the machine demagnetization withstand capability. In addition, they can also reduce the PM eddy current loss. Compared to the non-modular machine, the improved demagnetization withstand capability of the modular machine lead to smaller irreversible demagnetization region and also significantly improved on-load torque. Benefits from its higher demagnetization capability, the improving EM performances for the modular machine can be more significant with the coupled EM-thermal modelling. Compared with non-coupled modelling, the efficiency of the modular machine is improved by 0.2%, while it reduces by 1.2% for the non-modular machine.</w:t>
      </w:r>
    </w:p>
    <w:p w14:paraId="045A7213" w14:textId="77777777" w:rsidR="00EE386A" w:rsidRPr="00FC71BE" w:rsidRDefault="00EE386A" w:rsidP="003F1EA9"/>
    <w:p w14:paraId="0B992FF2" w14:textId="77777777" w:rsidR="00EE386A" w:rsidRPr="00FC71BE" w:rsidRDefault="00EE386A" w:rsidP="003F1EA9">
      <w:pPr>
        <w:pStyle w:val="Reference"/>
        <w:rPr>
          <w:noProof w:val="0"/>
        </w:rPr>
        <w:sectPr w:rsidR="00EE386A" w:rsidRPr="00FC71BE" w:rsidSect="00230564">
          <w:pgSz w:w="11906" w:h="16838"/>
          <w:pgMar w:top="1440" w:right="1440" w:bottom="1440" w:left="1440" w:header="708" w:footer="708" w:gutter="0"/>
          <w:cols w:space="708"/>
          <w:docGrid w:linePitch="360"/>
        </w:sectPr>
      </w:pPr>
    </w:p>
    <w:p w14:paraId="019246D6" w14:textId="77777777" w:rsidR="0045562B" w:rsidRPr="00FC71BE" w:rsidRDefault="0045562B" w:rsidP="00B86C68">
      <w:pPr>
        <w:pStyle w:val="Heading1"/>
        <w:numPr>
          <w:ilvl w:val="0"/>
          <w:numId w:val="49"/>
        </w:numPr>
        <w:rPr>
          <w:color w:val="auto"/>
        </w:rPr>
      </w:pPr>
      <w:bookmarkStart w:id="188" w:name="_Ref146188850"/>
      <w:bookmarkStart w:id="189" w:name="_Toc157695359"/>
      <w:r w:rsidRPr="00FC71BE">
        <w:rPr>
          <w:color w:val="auto"/>
        </w:rPr>
        <w:lastRenderedPageBreak/>
        <w:t>Forced Cooling Systems</w:t>
      </w:r>
      <w:bookmarkEnd w:id="188"/>
      <w:r w:rsidRPr="00FC71BE">
        <w:rPr>
          <w:color w:val="auto"/>
        </w:rPr>
        <w:t xml:space="preserve"> for the Modular Machine</w:t>
      </w:r>
      <w:bookmarkEnd w:id="189"/>
    </w:p>
    <w:p w14:paraId="63B43850" w14:textId="15299CB7" w:rsidR="0045562B" w:rsidRPr="00FC71BE" w:rsidRDefault="0045562B" w:rsidP="0045562B">
      <w:r w:rsidRPr="00FC71BE">
        <w:t xml:space="preserve">The research in </w:t>
      </w:r>
      <w:r w:rsidR="00FB5049" w:rsidRPr="00FC71BE">
        <w:rPr>
          <w:strike/>
        </w:rPr>
        <w:fldChar w:fldCharType="begin"/>
      </w:r>
      <w:r w:rsidR="00FB5049" w:rsidRPr="00FC71BE">
        <w:instrText xml:space="preserve"> REF _Ref148285824 \r \h </w:instrText>
      </w:r>
      <w:r w:rsidR="00FB5049" w:rsidRPr="00FC71BE">
        <w:rPr>
          <w:strike/>
        </w:rPr>
      </w:r>
      <w:r w:rsidR="00FB5049" w:rsidRPr="00FC71BE">
        <w:rPr>
          <w:strike/>
        </w:rPr>
        <w:fldChar w:fldCharType="separate"/>
      </w:r>
      <w:r w:rsidR="007E62C1" w:rsidRPr="00FC71BE">
        <w:t>Chapter 3</w:t>
      </w:r>
      <w:r w:rsidR="00FB5049" w:rsidRPr="00FC71BE">
        <w:rPr>
          <w:strike/>
        </w:rPr>
        <w:fldChar w:fldCharType="end"/>
      </w:r>
      <w:r w:rsidR="00FB5049" w:rsidRPr="00FC71BE">
        <w:t xml:space="preserve"> </w:t>
      </w:r>
      <w:r w:rsidRPr="00FC71BE">
        <w:t>revealed the fact that the electromagnetic performances (torque/power density, efficiency, demagnetization withstand capability, etc.) of the electrical machines are limited by their thermal performances. Employing advanced cooling systems can improve their electromagnetic performances. This chapter presents different cooling systems for the modular SPM machines and their non-modular counterparts. The first one is the semi-flooded oil cooling system. In this cooling system, oil is pumped into the stator to remove heat from the machine stator and coils. However, it is worth noting that a direct contact between the oil and the rotor can significantly increase the friction losses. As a result, a sleeve has been employed to separate the stator and rotor parts. A significant temperature reduction can be observed by introducing semi-flooded oil cooling system. Furthermore, the flux gaps in the modular machine provide extra cooling paths for the oil, which leads to better cooling efficiency. Therefore, the influence of flux gap width on cooling efficiency will be studied in this chapter.</w:t>
      </w:r>
    </w:p>
    <w:p w14:paraId="13E1343A" w14:textId="77777777" w:rsidR="0045562B" w:rsidRPr="00FC71BE" w:rsidRDefault="0045562B" w:rsidP="0045562B">
      <w:r w:rsidRPr="00FC71BE">
        <w:t>The second cooling system is the ventilation cooling system that has also been investigated in this chapter. Air is pumped into the stator and rotor parts. Different from the semi-flooded cooling, the PMs on the rotor of the SPM machine also benefit significantly from this cooling method. Since the coolant (air) will pass through the stator-rotor annular gap (air gap), as well as rotor and stator ducts, the rotor speed can influence the cooling efficiency of the ventilation cooling system. This effect will be investigated in this chapter.</w:t>
      </w:r>
    </w:p>
    <w:p w14:paraId="419D47DF" w14:textId="77777777" w:rsidR="0045562B" w:rsidRPr="00FC71BE" w:rsidRDefault="0045562B" w:rsidP="0045562B">
      <w:r w:rsidRPr="00FC71BE">
        <w:t>Some thermal tests have been designed to validate the accuracy of the simulation models. A generally good agreement between the measured and simulated results have been observed.</w:t>
      </w:r>
    </w:p>
    <w:p w14:paraId="4EE75B0A" w14:textId="77777777" w:rsidR="005963AB" w:rsidRPr="00FC71BE" w:rsidRDefault="005963AB" w:rsidP="005963AB">
      <w:pPr>
        <w:ind w:firstLine="0"/>
      </w:pPr>
      <w:r w:rsidRPr="00FC71BE">
        <w:t>Publications related to this chapters are listed below:</w:t>
      </w:r>
    </w:p>
    <w:p w14:paraId="1F696224" w14:textId="4B9C8DBE" w:rsidR="003D28B1" w:rsidRPr="00FC71BE" w:rsidRDefault="00EE2C57" w:rsidP="003D28B1">
      <w:pPr>
        <w:ind w:firstLine="0"/>
      </w:pPr>
      <w:r w:rsidRPr="00FC71BE">
        <w:t xml:space="preserve">1. </w:t>
      </w:r>
      <w:r w:rsidR="003D28B1" w:rsidRPr="00FC71BE">
        <w:t>W. Zhang, G. J. Li, R. Zhou, Z. Q. Zhu, B. Ren</w:t>
      </w:r>
      <w:r w:rsidR="003562AD" w:rsidRPr="00FC71BE">
        <w:t>, and</w:t>
      </w:r>
      <w:r w:rsidR="003D28B1" w:rsidRPr="00FC71BE">
        <w:t xml:space="preserve"> Y. C. Chong, “Forced-liquid cooling for high torque density </w:t>
      </w:r>
      <w:r w:rsidR="004F153F" w:rsidRPr="00FC71BE">
        <w:t>m</w:t>
      </w:r>
      <w:r w:rsidR="003D28B1" w:rsidRPr="00FC71BE">
        <w:t xml:space="preserve">odular PM machines” </w:t>
      </w:r>
      <w:r w:rsidR="007C644E" w:rsidRPr="00FC71BE">
        <w:rPr>
          <w:i/>
          <w:iCs/>
        </w:rPr>
        <w:t>IET Electric Power Application</w:t>
      </w:r>
      <w:r w:rsidR="003D28B1" w:rsidRPr="00FC71BE">
        <w:t xml:space="preserve"> </w:t>
      </w:r>
      <w:r w:rsidR="007C644E" w:rsidRPr="00FC71BE">
        <w:t xml:space="preserve">2024. </w:t>
      </w:r>
      <w:r w:rsidR="003D28B1" w:rsidRPr="00FC71BE">
        <w:t>(</w:t>
      </w:r>
      <w:r w:rsidR="007C644E" w:rsidRPr="00FC71BE">
        <w:t>Accepted</w:t>
      </w:r>
      <w:r w:rsidR="003D28B1" w:rsidRPr="00FC71BE">
        <w:t>)</w:t>
      </w:r>
      <w:r w:rsidRPr="00FC71BE">
        <w:t>.</w:t>
      </w:r>
    </w:p>
    <w:p w14:paraId="49DB15B2" w14:textId="5A15FBE2" w:rsidR="0045562B" w:rsidRPr="00FC71BE" w:rsidRDefault="00EE2C57" w:rsidP="005A758B">
      <w:pPr>
        <w:ind w:firstLine="0"/>
      </w:pPr>
      <w:r w:rsidRPr="00FC71BE">
        <w:t xml:space="preserve">2. </w:t>
      </w:r>
      <w:r w:rsidR="003D28B1" w:rsidRPr="00FC71BE">
        <w:t xml:space="preserve">W. Zhang, G. J. Li, R. Zhou, Z. Q. Zhu, B. Ren, </w:t>
      </w:r>
      <w:r w:rsidR="003562AD" w:rsidRPr="00FC71BE">
        <w:t xml:space="preserve">and </w:t>
      </w:r>
      <w:r w:rsidR="003D28B1" w:rsidRPr="00FC71BE">
        <w:t xml:space="preserve">Y. C. Chong, “Forced-air cooling for modular PM machines utilizing flux gaps and rotor ducts,” </w:t>
      </w:r>
      <w:r w:rsidR="003D28B1" w:rsidRPr="00FC71BE">
        <w:rPr>
          <w:i/>
          <w:iCs/>
        </w:rPr>
        <w:t>IEEE ACCESS</w:t>
      </w:r>
      <w:r w:rsidR="003D28B1" w:rsidRPr="00FC71BE">
        <w:t xml:space="preserve"> </w:t>
      </w:r>
      <w:r w:rsidR="007C644E" w:rsidRPr="00FC71BE">
        <w:t xml:space="preserve">2024. </w:t>
      </w:r>
      <w:r w:rsidR="003D28B1" w:rsidRPr="00FC71BE">
        <w:t>(</w:t>
      </w:r>
      <w:r w:rsidR="007C644E" w:rsidRPr="00FC71BE">
        <w:t>Accepted</w:t>
      </w:r>
      <w:r w:rsidR="003D28B1" w:rsidRPr="00FC71BE">
        <w:t>)</w:t>
      </w:r>
      <w:r w:rsidRPr="00FC71BE">
        <w:t>.</w:t>
      </w:r>
      <w:r w:rsidR="0045562B" w:rsidRPr="00FC71BE">
        <w:br w:type="page"/>
      </w:r>
    </w:p>
    <w:p w14:paraId="74DC25C7" w14:textId="77777777" w:rsidR="0045562B" w:rsidRPr="00FC71BE" w:rsidRDefault="0045562B" w:rsidP="00B86C68">
      <w:pPr>
        <w:pStyle w:val="Heading2"/>
        <w:numPr>
          <w:ilvl w:val="1"/>
          <w:numId w:val="49"/>
        </w:numPr>
      </w:pPr>
      <w:bookmarkStart w:id="190" w:name="_Toc157695360"/>
      <w:r w:rsidRPr="00FC71BE">
        <w:lastRenderedPageBreak/>
        <w:t>Introduction</w:t>
      </w:r>
      <w:bookmarkEnd w:id="190"/>
    </w:p>
    <w:p w14:paraId="3CA23483" w14:textId="7F159A2E" w:rsidR="0045562B" w:rsidRPr="00FC71BE" w:rsidRDefault="0045562B" w:rsidP="0045562B">
      <w:r w:rsidRPr="00FC71BE">
        <w:t>When an electrical machine operates, heat will be generated inside it due to different types of losses. These include copper losses, iron losses, PM eddy current losses, and mechanical losses, etc. Heat generated inside the machine will result in temperature increase. Due to the maximum temperature limit of materials, e.g., rare-earth metals such as PMs (</w:t>
      </w:r>
      <m:oMath>
        <m:r>
          <w:rPr>
            <w:rFonts w:ascii="Cambria Math" w:hAnsi="Cambria Math"/>
          </w:rPr>
          <m:t>≤</m:t>
        </m:r>
      </m:oMath>
      <w:r w:rsidRPr="00FC71BE">
        <w:t>150</w:t>
      </w:r>
      <m:oMath>
        <m:r>
          <w:rPr>
            <w:rFonts w:ascii="Cambria Math" w:hAnsi="Cambria Math"/>
          </w:rPr>
          <m:t>℃</m:t>
        </m:r>
      </m:oMath>
      <w:r w:rsidRPr="00FC71BE">
        <w:t xml:space="preserve"> </w:t>
      </w:r>
      <w:r w:rsidRPr="00FC71BE">
        <w:fldChar w:fldCharType="begin"/>
      </w:r>
      <w:r w:rsidR="00BA33ED" w:rsidRPr="00FC71BE">
        <w:instrText xml:space="preserve"> ADDIN EN.CITE &lt;EndNote&gt;&lt;Cite&gt;&lt;Author&gt;Sebastian&lt;/Author&gt;&lt;Year&gt;1995&lt;/Year&gt;&lt;RecNum&gt;38&lt;/RecNum&gt;&lt;DisplayText&gt;[141]&lt;/DisplayText&gt;&lt;record&gt;&lt;rec-number&gt;38&lt;/rec-number&gt;&lt;foreign-keys&gt;&lt;key app="EN" db-id="rf2p5e05jx0x9jep00uvx0s1fvaww2dfa0r9" timestamp="1689525604"&gt;38&lt;/key&gt;&lt;/foreign-keys&gt;&lt;ref-type name="Journal Article"&gt;17&lt;/ref-type&gt;&lt;contributors&gt;&lt;authors&gt;&lt;author&gt;Sebastian, Tomy&lt;/author&gt;&lt;/authors&gt;&lt;/contributors&gt;&lt;titles&gt;&lt;title&gt;Temperature effects on torque production and efficiency of PM motors using NdFeB magnets&lt;/title&gt;&lt;secondary-title&gt;IEEE Transactions on Industry Applications&lt;/secondary-title&gt;&lt;/titles&gt;&lt;periodical&gt;&lt;full-title&gt;IEEE Transactions on Industry Applications&lt;/full-title&gt;&lt;/periodical&gt;&lt;pages&gt;353-357&lt;/pages&gt;&lt;volume&gt;31&lt;/volume&gt;&lt;number&gt;2&lt;/number&gt;&lt;dates&gt;&lt;year&gt;1995&lt;/year&gt;&lt;/dates&gt;&lt;isbn&gt;0093-9994&lt;/isbn&gt;&lt;urls&gt;&lt;/urls&gt;&lt;/record&gt;&lt;/Cite&gt;&lt;/EndNote&gt;</w:instrText>
      </w:r>
      <w:r w:rsidRPr="00FC71BE">
        <w:fldChar w:fldCharType="separate"/>
      </w:r>
      <w:r w:rsidR="00BA33ED" w:rsidRPr="00FC71BE">
        <w:t>[141]</w:t>
      </w:r>
      <w:r w:rsidRPr="00FC71BE">
        <w:fldChar w:fldCharType="end"/>
      </w:r>
      <w:r w:rsidRPr="00FC71BE">
        <w:t>) and coil insulations (</w:t>
      </w:r>
      <m:oMath>
        <m:r>
          <w:rPr>
            <w:rFonts w:ascii="Cambria Math" w:hAnsi="Cambria Math"/>
          </w:rPr>
          <m:t>≤</m:t>
        </m:r>
      </m:oMath>
      <w:r w:rsidRPr="00FC71BE">
        <w:t>180</w:t>
      </w:r>
      <m:oMath>
        <m:r>
          <w:rPr>
            <w:rFonts w:ascii="Cambria Math" w:hAnsi="Cambria Math"/>
          </w:rPr>
          <m:t>℃</m:t>
        </m:r>
      </m:oMath>
      <w:r w:rsidRPr="00FC71BE">
        <w:t xml:space="preserve"> </w:t>
      </w:r>
      <w:r w:rsidRPr="00FC71BE">
        <w:fldChar w:fldCharType="begin">
          <w:fldData xml:space="preserve">PEVuZE5vdGU+PENpdGUgRXhjbHVkZUF1dGg9IjEiIEV4Y2x1ZGVZZWFyPSIxIj48QXV0aG9yPk5h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</w:fldData>
        </w:fldChar>
      </w:r>
      <w:r w:rsidR="00BA33ED" w:rsidRPr="00FC71BE">
        <w:instrText xml:space="preserve"> ADDIN EN.CITE </w:instrText>
      </w:r>
      <w:r w:rsidR="00BA33ED" w:rsidRPr="00FC71BE">
        <w:fldChar w:fldCharType="begin">
          <w:fldData xml:space="preserve">PEVuZE5vdGU+PENpdGUgRXhjbHVkZUF1dGg9IjEiIEV4Y2x1ZGVZZWFyPSIxIj48QXV0aG9yPk5h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</w:fldData>
        </w:fldChar>
      </w:r>
      <w:r w:rsidR="00BA33ED" w:rsidRPr="00FC71BE">
        <w:instrText xml:space="preserve"> ADDIN EN.CITE.DATA </w:instrText>
      </w:r>
      <w:r w:rsidR="00BA33ED" w:rsidRPr="00FC71BE">
        <w:fldChar w:fldCharType="end"/>
      </w:r>
      <w:r w:rsidRPr="00FC71BE">
        <w:fldChar w:fldCharType="separate"/>
      </w:r>
      <w:r w:rsidR="00BA33ED" w:rsidRPr="00FC71BE">
        <w:t>[145-147]</w:t>
      </w:r>
      <w:r w:rsidRPr="00FC71BE">
        <w:fldChar w:fldCharType="end"/>
      </w:r>
      <w:r w:rsidRPr="00FC71BE">
        <w:t xml:space="preserve">), the machine temperatures should be limited to a certain range. To this end, employing an effective cooling systems is one of the solutions widely used for power dense electrical machine </w:t>
      </w:r>
      <w:r w:rsidRPr="00FC71BE">
        <w:fldChar w:fldCharType="begin"/>
      </w:r>
      <w:r w:rsidR="00BA33ED" w:rsidRPr="00FC71BE">
        <w:instrText xml:space="preserve"> ADDIN EN.CITE &lt;EndNote&gt;&lt;Cite&gt;&lt;Author&gt;Staton&lt;/Author&gt;&lt;Year&gt;2022&lt;/Year&gt;&lt;RecNum&gt;283&lt;/RecNum&gt;&lt;DisplayText&gt;[3, 148]&lt;/DisplayText&gt;&lt;record&gt;&lt;rec-number&gt;283&lt;/rec-number&gt;&lt;foreign-keys&gt;&lt;key app="EN" db-id="p00pasffqrr5wvef0f35etrrr0xzp0wptrtd" timestamp="1694550885" guid="0748f6da-e575-487f-8a80-eeb3673a6875"&gt;283&lt;/key&gt;&lt;/foreign-keys&gt;&lt;ref-type name="Book"&gt;6&lt;/ref-type&gt;&lt;contributors&gt;&lt;authors&gt;&lt;author&gt;Staton, David&lt;/author&gt;&lt;author&gt;Chong, Eddie&lt;/author&gt;&lt;author&gt;Pickering, Stephen&lt;/author&gt;&lt;author&gt;Boglietti, Aldo&lt;/author&gt;&lt;/authors&gt;&lt;/contributors&gt;&lt;titles&gt;&lt;title&gt;Cooling of Rotating Electrical Machines: Fundamentals, Modelling, Testing and Design&lt;/title&gt;&lt;/titles&gt;&lt;volume&gt;109&lt;/volume&gt;&lt;dates&gt;&lt;year&gt;2022&lt;/year&gt;&lt;/dates&gt;&lt;publisher&gt;IET&lt;/publisher&gt;&lt;isbn&gt;1785613510&lt;/isbn&gt;&lt;urls&gt;&lt;/urls&gt;&lt;/record&gt;&lt;/Cite&gt;&lt;Cite&gt;&lt;Author&gt;Zhu&lt;/Author&gt;&lt;Year&gt;2022&lt;/Year&gt;&lt;RecNum&gt;285&lt;/RecNum&gt;&lt;record&gt;&lt;rec-number&gt;285&lt;/rec-number&gt;&lt;foreign-keys&gt;&lt;key app="EN" db-id="p00pasffqrr5wvef0f35etrrr0xzp0wptrtd" timestamp="1694696715" guid="bf7a17aa-163c-4d50-ab70-a332bf2fa1ca"&gt;285&lt;/key&gt;&lt;/foreign-keys&gt;&lt;ref-type name="Journal Article"&gt;17&lt;/ref-type&gt;&lt;contributors&gt;&lt;authors&gt;&lt;author&gt;Zhu, Zi Qiang&lt;/author&gt;&lt;author&gt;Liang, Da Wei&lt;/author&gt;&lt;/authors&gt;&lt;/contributors&gt;&lt;titles&gt;&lt;title&gt;Perspective of Thermal Analysis and Management for Permanent Magnet Machines, with Particular Reference to Hotspot Temperatures&lt;/title&gt;&lt;secondary-title&gt;Energies&lt;/secondary-title&gt;&lt;/titles&gt;&lt;periodical&gt;&lt;full-title&gt;Energies&lt;/full-title&gt;&lt;/periodical&gt;&lt;pages&gt;8189&lt;/pages&gt;&lt;volume&gt;15&lt;/volume&gt;&lt;number&gt;21&lt;/number&gt;&lt;dates&gt;&lt;year&gt;2022&lt;/year&gt;&lt;/dates&gt;&lt;isbn&gt;1996-1073&lt;/isbn&gt;&lt;urls&gt;&lt;/urls&gt;&lt;/record&gt;&lt;/Cite&gt;&lt;/EndNote&gt;</w:instrText>
      </w:r>
      <w:r w:rsidRPr="00FC71BE">
        <w:fldChar w:fldCharType="separate"/>
      </w:r>
      <w:r w:rsidR="00BA33ED" w:rsidRPr="00FC71BE">
        <w:t>[3, 148]</w:t>
      </w:r>
      <w:r w:rsidRPr="00FC71BE">
        <w:fldChar w:fldCharType="end"/>
      </w:r>
      <w:r w:rsidRPr="00FC71BE">
        <w:t xml:space="preserve">. It is well established that heat transfers inside electrical machines through thermal conduction, convection and radiation due to temperature difference </w:t>
      </w:r>
      <w:r w:rsidRPr="00FC71BE">
        <w:fldChar w:fldCharType="begin"/>
      </w:r>
      <w:r w:rsidR="00103B0D" w:rsidRPr="00FC71BE">
        <w:instrText xml:space="preserve"> ADDIN EN.CITE &lt;EndNote&gt;&lt;Cite&gt;&lt;Author&gt;Gai&lt;/Author&gt;&lt;Year&gt;2018&lt;/Year&gt;&lt;RecNum&gt;124&lt;/RecNum&gt;&lt;DisplayText&gt;[56]&lt;/DisplayText&gt;&lt;record&gt;&lt;rec-number&gt;124&lt;/rec-number&gt;&lt;foreign-keys&gt;&lt;key app="EN" db-id="rf2p5e05jx0x9jep00uvx0s1fvaww2dfa0r9" timestamp="1696430525"&gt;124&lt;/key&gt;&lt;/foreign-keys&gt;&lt;ref-type name="Journal Article"&gt;17&lt;/ref-type&gt;&lt;contributors&gt;&lt;authors&gt;&lt;author&gt;Gai, Yao Hui&lt;/author&gt;&lt;author&gt;Kimiabeigi, Mohammad&lt;/author&gt;&lt;author&gt;Chong, Yew Chuan&lt;/author&gt;&lt;author&gt;Widmer, James D&lt;/author&gt;&lt;author&gt;Deng, Xu&lt;/author&gt;&lt;author&gt;Popescu, Mircea&lt;/author&gt;&lt;author&gt;Goss, James&lt;/author&gt;&lt;author&gt;Staton, Dave A&lt;/author&gt;&lt;author&gt;Steven, Andrew&lt;/author&gt;&lt;/authors&gt;&lt;/contributors&gt;&lt;titles&gt;&lt;title&gt;Cooling of automotive traction motors: Schemes, examples, and computation methods&lt;/title&gt;&lt;secondary-title&gt;IEEE Transactions on Industrial Electronics&lt;/secondary-title&gt;&lt;/titles&gt;&lt;periodical&gt;&lt;full-title&gt;IEEE Transactions on Industrial Electronics&lt;/full-title&gt;&lt;/periodical&gt;&lt;pages&gt;1681-1692&lt;/pages&gt;&lt;volume&gt;66&lt;/volume&gt;&lt;number&gt;3&lt;/number&gt;&lt;dates&gt;&lt;year&gt;2018&lt;/year&gt;&lt;/dates&gt;&lt;isbn&gt;0278-0046&lt;/isbn&gt;&lt;urls&gt;&lt;/urls&gt;&lt;/record&gt;&lt;/Cite&gt;&lt;/EndNote&gt;</w:instrText>
      </w:r>
      <w:r w:rsidRPr="00FC71BE">
        <w:fldChar w:fldCharType="separate"/>
      </w:r>
      <w:r w:rsidR="0000133B" w:rsidRPr="00FC71BE">
        <w:t>[56]</w:t>
      </w:r>
      <w:r w:rsidRPr="00FC71BE">
        <w:fldChar w:fldCharType="end"/>
      </w:r>
      <w:r w:rsidRPr="00FC71BE">
        <w:t>. By employing the right cooling technologies, the heat transfer rate of the machine can be improved.</w:t>
      </w:r>
    </w:p>
    <w:p w14:paraId="35C54AC0" w14:textId="0E526BBE" w:rsidR="0045562B" w:rsidRPr="00FC71BE" w:rsidRDefault="0045562B" w:rsidP="0045562B">
      <w:r w:rsidRPr="00FC71BE">
        <w:t xml:space="preserve">Various cooling technologies have been investigated in literatures. Some of them are passive cooling methods which do not require extra pumps for machine cooling. Some of the passive cooling methods aim to improve the thermal conductivity, such as employing potting materials to fill in the end-space </w:t>
      </w:r>
      <w:r w:rsidRPr="00FC71BE">
        <w:fldChar w:fldCharType="begin"/>
      </w:r>
      <w:r w:rsidR="00BA33ED" w:rsidRPr="00FC71BE">
        <w:instrText xml:space="preserve"> ADDIN EN.CITE &lt;EndNote&gt;&lt;Cite&gt;&lt;Author&gt;Polikarpova&lt;/Author&gt;&lt;Year&gt;2015&lt;/Year&gt;&lt;RecNum&gt;47&lt;/RecNum&gt;&lt;DisplayText&gt;[74, 149]&lt;/DisplayText&gt;&lt;record&gt;&lt;rec-number&gt;47&lt;/rec-number&gt;&lt;foreign-keys&gt;&lt;key app="EN" db-id="rf2p5e05jx0x9jep00uvx0s1fvaww2dfa0r9" timestamp="1690835972"&gt;47&lt;/key&gt;&lt;/foreign-keys&gt;&lt;ref-type name="Journal Article"&gt;17&lt;/ref-type&gt;&lt;contributors&gt;&lt;authors&gt;&lt;author&gt;Polikarpova, Maria&lt;/author&gt;&lt;author&gt;Ponomarev, Pavel&lt;/author&gt;&lt;author&gt;Lindh, Pia&lt;/author&gt;&lt;author&gt;Petrov, Ilya&lt;/author&gt;&lt;author&gt;Jara, Werner&lt;/author&gt;&lt;author&gt;Naumanen, V&lt;/author&gt;&lt;author&gt;Tapia, Juan A&lt;/author&gt;&lt;author&gt;Pyrhönen, J&lt;/author&gt;&lt;/authors&gt;&lt;/contributors&gt;&lt;titles&gt;&lt;title&gt;Hybrid cooling method of axial-flux permanent-magnet machines for vehicle applications&lt;/title&gt;&lt;secondary-title&gt;IEEE Transactions on Industrial Electronics&lt;/secondary-title&gt;&lt;/titles&gt;&lt;periodical&gt;&lt;full-title&gt;IEEE Transactions on Industrial Electronics&lt;/full-title&gt;&lt;/periodical&gt;&lt;pages&gt;7382-7390&lt;/pages&gt;&lt;volume&gt;62&lt;/volume&gt;&lt;number&gt;12&lt;/number&gt;&lt;dates&gt;&lt;year&gt;2015&lt;/year&gt;&lt;/dates&gt;&lt;isbn&gt;0278-0046&lt;/isbn&gt;&lt;urls&gt;&lt;/urls&gt;&lt;/record&gt;&lt;/Cite&gt;&lt;Cite&gt;&lt;Author&gt;Nategh&lt;/Author&gt;&lt;Year&gt;2020&lt;/Year&gt;&lt;RecNum&gt;287&lt;/RecNum&gt;&lt;record&gt;&lt;rec-number&gt;287&lt;/rec-number&gt;&lt;foreign-keys&gt;&lt;key app="EN" db-id="p00pasffqrr5wvef0f35etrrr0xzp0wptrtd" timestamp="1694697555" guid="12c5a668-8100-4221-b081-0833cba67e27"&gt;287&lt;/key&gt;&lt;/foreign-keys&gt;&lt;ref-type name="Journal Article"&gt;17&lt;/ref-type&gt;&lt;contributors&gt;&lt;authors&gt;&lt;author&gt;Nategh, Shafigh&lt;/author&gt;&lt;author&gt;Boglietti, Aldo&lt;/author&gt;&lt;author&gt;Barber, Daniel&lt;/author&gt;&lt;author&gt;Liu, Yujing&lt;/author&gt;&lt;author&gt;Brammer, Ron&lt;/author&gt;&lt;/authors&gt;&lt;/contributors&gt;&lt;titles&gt;&lt;title&gt;Thermal and manufacturing aspects of traction motors potting: A deep experimental evaluation&lt;/title&gt;&lt;secondary-title&gt;IEEE Transactions on Energy Conversion&lt;/secondary-title&gt;&lt;/titles&gt;&lt;periodical&gt;&lt;full-title&gt;IEEE Transactions on Energy Conversion&lt;/full-title&gt;&lt;/periodical&gt;&lt;pages&gt;1026-1035&lt;/pages&gt;&lt;volume&gt;35&lt;/volume&gt;&lt;number&gt;2&lt;/number&gt;&lt;dates&gt;&lt;year&gt;2020&lt;/year&gt;&lt;/dates&gt;&lt;isbn&gt;0885-8969&lt;/isbn&gt;&lt;urls&gt;&lt;/urls&gt;&lt;/record&gt;&lt;/Cite&gt;&lt;/EndNote&gt;</w:instrText>
      </w:r>
      <w:r w:rsidRPr="00FC71BE">
        <w:fldChar w:fldCharType="separate"/>
      </w:r>
      <w:r w:rsidR="00BA33ED" w:rsidRPr="00FC71BE">
        <w:t>[74, 149]</w:t>
      </w:r>
      <w:r w:rsidRPr="00FC71BE">
        <w:fldChar w:fldCharType="end"/>
      </w:r>
      <w:r w:rsidRPr="00FC71BE">
        <w:t xml:space="preserve">, introducing phase change materials in windings </w:t>
      </w:r>
      <w:r w:rsidRPr="00FC71BE">
        <w:fldChar w:fldCharType="begin"/>
      </w:r>
      <w:r w:rsidR="00BA33ED" w:rsidRPr="00FC71BE">
        <w:instrText xml:space="preserve"> ADDIN EN.CITE &lt;EndNote&gt;&lt;Cite&gt;&lt;Author&gt;Ayat&lt;/Author&gt;&lt;Year&gt;2019&lt;/Year&gt;&lt;RecNum&gt;288&lt;/RecNum&gt;&lt;DisplayText&gt;[69, 150]&lt;/DisplayText&gt;&lt;record&gt;&lt;rec-number&gt;288&lt;/rec-number&gt;&lt;foreign-keys&gt;&lt;key app="EN" db-id="p00pasffqrr5wvef0f35etrrr0xzp0wptrtd" timestamp="1694697602" guid="a91a4142-aa47-40fe-8be7-222a5ba57ed0"&gt;288&lt;/key&gt;&lt;/foreign-keys&gt;&lt;ref-type name="Conference Proceedings"&gt;10&lt;/ref-type&gt;&lt;contributors&gt;&lt;authors&gt;&lt;author&gt;Ayat, Sabrina&lt;/author&gt;&lt;author&gt;Serghine, Camel&lt;/author&gt;&lt;author&gt;Klonowski, Thomas&lt;/author&gt;&lt;author&gt;Yon, Sébastien&lt;/author&gt;&lt;author&gt;Mutabazi, Albert&lt;/author&gt;&lt;author&gt;McDaniel, Steven&lt;/author&gt;&lt;/authors&gt;&lt;/contributors&gt;&lt;titles&gt;&lt;title&gt;The use of phase change material for the cooling of electric machine windings formed with hollow conductors&lt;/title&gt;&lt;secondary-title&gt;2019 IEEE International Electric Machines &amp;amp; Drives Conference (IEMDC)&lt;/secondary-title&gt;&lt;/titles&gt;&lt;pages&gt;1195-1201&lt;/pages&gt;&lt;dates&gt;&lt;year&gt;2019&lt;/year&gt;&lt;/dates&gt;&lt;publisher&gt;IEEE&lt;/publisher&gt;&lt;isbn&gt;153869350X&lt;/isbn&gt;&lt;urls&gt;&lt;/urls&gt;&lt;/record&gt;&lt;/Cite&gt;&lt;Cite&gt;&lt;Author&gt;T’Jollyn&lt;/Author&gt;&lt;Year&gt;2022&lt;/Year&gt;&lt;RecNum&gt;143&lt;/RecNum&gt;&lt;record&gt;&lt;rec-number&gt;143&lt;/rec-number&gt;&lt;foreign-keys&gt;&lt;key app="EN" db-id="rf2p5e05jx0x9jep00uvx0s1fvaww2dfa0r9" timestamp="1696514546"&gt;143&lt;/key&gt;&lt;/foreign-keys&gt;&lt;ref-type name="Conference Proceedings"&gt;10&lt;/ref-type&gt;&lt;contributors&gt;&lt;authors&gt;&lt;author&gt;T’Jollyn, Ilya&lt;/author&gt;&lt;author&gt;Nonneman, Jasper&lt;/author&gt;&lt;author&gt;Vanhee, Steven&lt;/author&gt;&lt;author&gt;De Paepe, Michel&lt;/author&gt;&lt;/authors&gt;&lt;/contributors&gt;&lt;titles&gt;&lt;title&gt;Measurements on Thermal Buffering of Electric Machine Peak Loads With Phase Change Materials&lt;/title&gt;&lt;secondary-title&gt;2022 International Conference on Electrical Machines (ICEM)&lt;/secondary-title&gt;&lt;/titles&gt;&lt;pages&gt;1934-1940&lt;/pages&gt;&lt;dates&gt;&lt;year&gt;2022&lt;/year&gt;&lt;/dates&gt;&lt;publisher&gt;IEEE&lt;/publisher&gt;&lt;isbn&gt;1665414324&lt;/isbn&gt;&lt;urls&gt;&lt;/urls&gt;&lt;/record&gt;&lt;/Cite&gt;&lt;/EndNote&gt;</w:instrText>
      </w:r>
      <w:r w:rsidRPr="00FC71BE">
        <w:fldChar w:fldCharType="separate"/>
      </w:r>
      <w:r w:rsidR="00BA33ED" w:rsidRPr="00FC71BE">
        <w:t>[69, 150]</w:t>
      </w:r>
      <w:r w:rsidRPr="00FC71BE">
        <w:fldChar w:fldCharType="end"/>
      </w:r>
      <w:r w:rsidRPr="00FC71BE">
        <w:t xml:space="preserve"> by inserting heat flow path </w:t>
      </w:r>
      <w:r w:rsidRPr="00FC71BE">
        <w:fldChar w:fldCharType="begin"/>
      </w:r>
      <w:r w:rsidR="00BA33ED" w:rsidRPr="00FC71BE">
        <w:instrText xml:space="preserve"> ADDIN EN.CITE &lt;EndNote&gt;&lt;Cite&gt;&lt;Author&gt;Galea&lt;/Author&gt;&lt;Year&gt;2011&lt;/Year&gt;&lt;RecNum&gt;290&lt;/RecNum&gt;&lt;DisplayText&gt;[151]&lt;/DisplayText&gt;&lt;record&gt;&lt;rec-number&gt;290&lt;/rec-number&gt;&lt;foreign-keys&gt;&lt;key app="EN" db-id="p00pasffqrr5wvef0f35etrrr0xzp0wptrtd" timestamp="1694697661" guid="c363b986-8d99-491a-851d-7e4d0dc3c3c2"&gt;290&lt;/key&gt;&lt;/foreign-keys&gt;&lt;ref-type name="Journal Article"&gt;17&lt;/ref-type&gt;&lt;contributors&gt;&lt;authors&gt;&lt;author&gt;Galea, Michael&lt;/author&gt;&lt;author&gt;Gerada, Chris&lt;/author&gt;&lt;author&gt;Raminosoa, Tsarafidy&lt;/author&gt;&lt;author&gt;Wheeler, Patrick&lt;/author&gt;&lt;/authors&gt;&lt;/contributors&gt;&lt;titles&gt;&lt;title&gt;A thermal improvement technique for the phase windings of electrical machines&lt;/title&gt;&lt;secondary-title&gt;IEEE Transactions on Industry Applications&lt;/secondary-title&gt;&lt;/titles&gt;&lt;periodical&gt;&lt;full-title&gt;IEEE Transactions on Industry Applications&lt;/full-title&gt;&lt;/periodical&gt;&lt;pages&gt;79-87&lt;/pages&gt;&lt;volume&gt;48&lt;/volume&gt;&lt;number&gt;1&lt;/number&gt;&lt;dates&gt;&lt;year&gt;2011&lt;/year&gt;&lt;/dates&gt;&lt;isbn&gt;0093-9994&lt;/isbn&gt;&lt;urls&gt;&lt;/urls&gt;&lt;/record&gt;&lt;/Cite&gt;&lt;/EndNote&gt;</w:instrText>
      </w:r>
      <w:r w:rsidRPr="00FC71BE">
        <w:fldChar w:fldCharType="separate"/>
      </w:r>
      <w:r w:rsidR="00BA33ED" w:rsidRPr="00FC71BE">
        <w:t>[151]</w:t>
      </w:r>
      <w:r w:rsidRPr="00FC71BE">
        <w:fldChar w:fldCharType="end"/>
      </w:r>
      <w:r w:rsidRPr="00FC71BE">
        <w:t xml:space="preserve"> or heat pipe </w:t>
      </w:r>
      <w:r w:rsidRPr="00FC71BE">
        <w:fldChar w:fldCharType="begin"/>
      </w:r>
      <w:r w:rsidR="00BA33ED" w:rsidRPr="00FC71BE">
        <w:instrText xml:space="preserve"> ADDIN EN.CITE &lt;EndNote&gt;&lt;Cite&gt;&lt;Author&gt;Bradford&lt;/Author&gt;&lt;Year&gt;1989&lt;/Year&gt;&lt;RecNum&gt;291&lt;/RecNum&gt;&lt;DisplayText&gt;[152, 153]&lt;/DisplayText&gt;&lt;record&gt;&lt;rec-number&gt;291&lt;/rec-number&gt;&lt;foreign-keys&gt;&lt;key app="EN" db-id="p00pasffqrr5wvef0f35etrrr0xzp0wptrtd" timestamp="1694697692" guid="92a3c78c-1791-4549-989f-6054c99d8818"&gt;291&lt;/key&gt;&lt;/foreign-keys&gt;&lt;ref-type name="Conference Proceedings"&gt;10&lt;/ref-type&gt;&lt;contributors&gt;&lt;authors&gt;&lt;author&gt;Bradford, M&lt;/author&gt;&lt;/authors&gt;&lt;/contributors&gt;&lt;titles&gt;&lt;title&gt;The application of heat pipes to cooling rotating electrical machines&lt;/title&gt;&lt;secondary-title&gt;1989 Fourth International Conference on Electrical Machines and Drives Conf. Publ. No.??)&lt;/secondary-title&gt;&lt;/titles&gt;&lt;pages&gt;145-149&lt;/pages&gt;&lt;dates&gt;&lt;year&gt;1989&lt;/year&gt;&lt;/dates&gt;&lt;publisher&gt;IET&lt;/publisher&gt;&lt;isbn&gt;0537-9989&lt;/isbn&gt;&lt;urls&gt;&lt;/urls&gt;&lt;/record&gt;&lt;/Cite&gt;&lt;Cite&gt;&lt;Author&gt;Sun&lt;/Author&gt;&lt;Year&gt;2020&lt;/Year&gt;&lt;RecNum&gt;292&lt;/RecNum&gt;&lt;record&gt;&lt;rec-number&gt;292&lt;/rec-number&gt;&lt;foreign-keys&gt;&lt;key app="EN" db-id="p00pasffqrr5wvef0f35etrrr0xzp0wptrtd" timestamp="1694697714" guid="21528e67-173c-4058-99ff-61a628579344"&gt;292&lt;/key&gt;&lt;/foreign-keys&gt;&lt;ref-type name="Journal Article"&gt;17&lt;/ref-type&gt;&lt;contributors&gt;&lt;authors&gt;&lt;author&gt;Sun, Ya Long&lt;/author&gt;&lt;author&gt;Zhang, Shi Wei&lt;/author&gt;&lt;author&gt;Chen, Gong&lt;/author&gt;&lt;author&gt;Tang, Yong&lt;/author&gt;&lt;author&gt;Liang, Fu Ye&lt;/author&gt;&lt;/authors&gt;&lt;/contributors&gt;&lt;titles&gt;&lt;title&gt;Experimental and numerical investigation on a novel heat pipe based cooling strategy for permanent magnet synchronous motors&lt;/title&gt;&lt;secondary-title&gt;Applied Thermal Engineering&lt;/secondary-title&gt;&lt;/titles&gt;&lt;periodical&gt;&lt;full-title&gt;Applied Thermal Engineering&lt;/full-title&gt;&lt;/periodical&gt;&lt;pages&gt;114970&lt;/pages&gt;&lt;volume&gt;170&lt;/volume&gt;&lt;dates&gt;&lt;year&gt;2020&lt;/year&gt;&lt;/dates&gt;&lt;isbn&gt;1359-4311&lt;/isbn&gt;&lt;urls&gt;&lt;/urls&gt;&lt;/record&gt;&lt;/Cite&gt;&lt;/EndNote&gt;</w:instrText>
      </w:r>
      <w:r w:rsidRPr="00FC71BE">
        <w:fldChar w:fldCharType="separate"/>
      </w:r>
      <w:r w:rsidR="00BA33ED" w:rsidRPr="00FC71BE">
        <w:t>[152, 153]</w:t>
      </w:r>
      <w:r w:rsidRPr="00FC71BE">
        <w:fldChar w:fldCharType="end"/>
      </w:r>
      <w:r w:rsidRPr="00FC71BE">
        <w:t xml:space="preserve">. Increasing contact surface area of frame or other machine components by using cooling fins </w:t>
      </w:r>
      <w:r w:rsidRPr="00FC71BE">
        <w:fldChar w:fldCharType="begin"/>
      </w:r>
      <w:r w:rsidR="0000133B" w:rsidRPr="00FC71BE">
        <w:instrText xml:space="preserve"> ADDIN EN.CITE &lt;EndNote&gt;&lt;Cite&gt;&lt;Author&gt;Ulbrich&lt;/Author&gt;&lt;Year&gt;2017&lt;/Year&gt;&lt;RecNum&gt;123&lt;/RecNum&gt;&lt;DisplayText&gt;[54]&lt;/DisplayText&gt;&lt;record&gt;&lt;rec-number&gt;123&lt;/rec-number&gt;&lt;foreign-keys&gt;&lt;key app="EN" db-id="rf2p5e05jx0x9jep00uvx0s1fvaww2dfa0r9" timestamp="1696427871"&gt;123&lt;/key&gt;&lt;/foreign-keys&gt;&lt;ref-type name="Journal Article"&gt;17&lt;/ref-type&gt;&lt;contributors&gt;&lt;authors&gt;&lt;author&gt;Ulbrich, Stefan&lt;/author&gt;&lt;author&gt;Kopte, Jeanette&lt;/author&gt;&lt;author&gt;Proske, Jens&lt;/author&gt;&lt;/authors&gt;&lt;/contributors&gt;&lt;titles&gt;&lt;title&gt;Cooling fin optimization on a TEFC electrical machine housing using a 2-D conjugate heat transfer model&lt;/title&gt;&lt;secondary-title&gt;IEEE Transactions on Industrial Electronics&lt;/secondary-title&gt;&lt;/titles&gt;&lt;periodical&gt;&lt;full-title&gt;IEEE Transactions on Industrial Electronics&lt;/full-title&gt;&lt;/periodical&gt;&lt;pages&gt;1711-1718&lt;/pages&gt;&lt;volume&gt;65&lt;/volume&gt;&lt;number&gt;2&lt;/number&gt;&lt;dates&gt;&lt;year&gt;2017&lt;/year&gt;&lt;/dates&gt;&lt;isbn&gt;0278-0046&lt;/isbn&gt;&lt;urls&gt;&lt;/urls&gt;&lt;/record&gt;&lt;/Cite&gt;&lt;/EndNote&gt;</w:instrText>
      </w:r>
      <w:r w:rsidRPr="00FC71BE">
        <w:fldChar w:fldCharType="separate"/>
      </w:r>
      <w:r w:rsidR="0000133B" w:rsidRPr="00FC71BE">
        <w:t>[54]</w:t>
      </w:r>
      <w:r w:rsidRPr="00FC71BE">
        <w:fldChar w:fldCharType="end"/>
      </w:r>
      <w:r w:rsidRPr="00FC71BE">
        <w:t xml:space="preserve"> or back iron extension </w:t>
      </w:r>
      <w:r w:rsidRPr="00FC71BE">
        <w:fldChar w:fldCharType="begin"/>
      </w:r>
      <w:r w:rsidR="00103B0D" w:rsidRPr="00FC71BE">
        <w:instrText xml:space="preserve"> ADDIN EN.CITE &lt;EndNote&gt;&lt;Cite&gt;&lt;Author&gt;Zhang&lt;/Author&gt;&lt;Year&gt;2019&lt;/Year&gt;&lt;RecNum&gt;138&lt;/RecNum&gt;&lt;DisplayText&gt;[70]&lt;/DisplayText&gt;&lt;record&gt;&lt;rec-number&gt;138&lt;/rec-number&gt;&lt;foreign-keys&gt;&lt;key app="EN" db-id="rf2p5e05jx0x9jep00uvx0s1fvaww2dfa0r9" timestamp="1696510103"&gt;138&lt;/key&gt;&lt;/foreign-keys&gt;&lt;ref-type name="Journal Article"&gt;17&lt;/ref-type&gt;&lt;contributors&gt;&lt;authors&gt;&lt;author&gt;Zhang, Feng Yu&lt;/author&gt;&lt;author&gt;Gerada, David&lt;/author&gt;&lt;author&gt;Xu, Ze Yuan&lt;/author&gt;&lt;author&gt;Zhang, Xiao Chen&lt;/author&gt;&lt;author&gt;Tighe, Chris&lt;/author&gt;&lt;author&gt;Zhang, He&lt;/author&gt;&lt;author&gt;Gerada, Chris&lt;/author&gt;&lt;/authors&gt;&lt;/contributors&gt;&lt;titles&gt;&lt;title&gt;Back-iron extension thermal benefits for electrical machines with concentrated windings&lt;/title&gt;&lt;secondary-title&gt;IEEE Transactions on Industrial Electronics&lt;/secondary-title&gt;&lt;/titles&gt;&lt;periodical&gt;&lt;full-title&gt;IEEE Transactions on Industrial Electronics&lt;/full-title&gt;&lt;/periodical&gt;&lt;pages&gt;1728-1738&lt;/pages&gt;&lt;volume&gt;67&lt;/volume&gt;&lt;number&gt;3&lt;/number&gt;&lt;dates&gt;&lt;year&gt;2019&lt;/year&gt;&lt;/dates&gt;&lt;isbn&gt;0278-0046&lt;/isbn&gt;&lt;urls&gt;&lt;/urls&gt;&lt;/record&gt;&lt;/Cite&gt;&lt;/EndNote&gt;</w:instrText>
      </w:r>
      <w:r w:rsidRPr="00FC71BE">
        <w:fldChar w:fldCharType="separate"/>
      </w:r>
      <w:r w:rsidR="00103B0D" w:rsidRPr="00FC71BE">
        <w:t>[70]</w:t>
      </w:r>
      <w:r w:rsidRPr="00FC71BE">
        <w:fldChar w:fldCharType="end"/>
      </w:r>
      <w:r w:rsidRPr="00FC71BE">
        <w:t xml:space="preserve"> is another passive cooling method. Passive cooling technologies improve machine thermal performance without external power supply. However, compared with active cooling methods, the cooling efficiency of passive cooling methods is limited. Several active cooling methods have also been proposed in literatures. One typical example is the forced air cooling system. In these systems, fans can be located outside of the machines, such as the totally enclosed fan cooled (TEFC) machine to improve the convection coefficient of the housing </w:t>
      </w:r>
      <w:r w:rsidRPr="00FC71BE">
        <w:fldChar w:fldCharType="begin"/>
      </w:r>
      <w:r w:rsidR="00BA33ED" w:rsidRPr="00FC71BE">
        <w:instrText xml:space="preserve"> ADDIN EN.CITE &lt;EndNote&gt;&lt;Cite&gt;&lt;Author&gt;Boglietti&lt;/Author&gt;&lt;Year&gt;2006&lt;/Year&gt;&lt;RecNum&gt;296&lt;/RecNum&gt;&lt;DisplayText&gt;[83, 154]&lt;/DisplayText&gt;&lt;record&gt;&lt;rec-number&gt;296&lt;/rec-number&gt;&lt;foreign-keys&gt;&lt;key app="EN" db-id="p00pasffqrr5wvef0f35etrrr0xzp0wptrtd" timestamp="1694697881" guid="6e04d12f-5796-438c-a9a4-637d1b5e8b29"&gt;296&lt;/key&gt;&lt;/foreign-keys&gt;&lt;ref-type name="Conference Proceedings"&gt;10&lt;/ref-type&gt;&lt;contributors&gt;&lt;authors&gt;&lt;author&gt;Boglietti, Aldo&lt;/author&gt;&lt;author&gt;Cavagnino, Andrea&lt;/author&gt;&lt;/authors&gt;&lt;/contributors&gt;&lt;titles&gt;&lt;title&gt;Analysis of the endwinding cooling effects in TEFC induction motors&lt;/title&gt;&lt;secondary-title&gt;Conference Record of the 2006 IEEE Industry Applications Conference Forty-First IAS Annual Meeting&lt;/secondary-title&gt;&lt;/titles&gt;&lt;pages&gt;797-804&lt;/pages&gt;&lt;volume&gt;2&lt;/volume&gt;&lt;dates&gt;&lt;year&gt;2006&lt;/year&gt;&lt;/dates&gt;&lt;publisher&gt;IEEE&lt;/publisher&gt;&lt;isbn&gt;1424403642&lt;/isbn&gt;&lt;urls&gt;&lt;/urls&gt;&lt;/record&gt;&lt;/Cite&gt;&lt;Cite&gt;&lt;Author&gt;Mizuno&lt;/Author&gt;&lt;Year&gt;2013&lt;/Year&gt;&lt;RecNum&gt;159&lt;/RecNum&gt;&lt;record&gt;&lt;rec-number&gt;159&lt;/rec-number&gt;&lt;foreign-keys&gt;&lt;key app="EN" db-id="rf2p5e05jx0x9jep00uvx0s1fvaww2dfa0r9" timestamp="1696590334"&gt;159&lt;/key&gt;&lt;/foreign-keys&gt;&lt;ref-type name="Journal Article"&gt;17&lt;/ref-type&gt;&lt;contributors&gt;&lt;authors&gt;&lt;author&gt;Mizuno, Sueyoshi&lt;/author&gt;&lt;author&gt;Noda, Shinichi&lt;/author&gt;&lt;author&gt;Matsushita, Makoto&lt;/author&gt;&lt;author&gt;Koyama, Taihei&lt;/author&gt;&lt;author&gt;Shiraishi, Shigetomo&lt;/author&gt;&lt;/authors&gt;&lt;/contributors&gt;&lt;titles&gt;&lt;title&gt;Development of a totally enclosed fan-cooled traction motor&lt;/title&gt;&lt;secondary-title&gt;IEEE Transactions on Industry Applications&lt;/secondary-title&gt;&lt;/titles&gt;&lt;periodical&gt;&lt;full-title&gt;IEEE Transactions on Industry Applications&lt;/full-title&gt;&lt;/periodical&gt;&lt;pages&gt;1508-1514&lt;/pages&gt;&lt;volume&gt;49&lt;/volume&gt;&lt;number&gt;4&lt;/number&gt;&lt;dates&gt;&lt;year&gt;2013&lt;/year&gt;&lt;/dates&gt;&lt;isbn&gt;0093-9994&lt;/isbn&gt;&lt;urls&gt;&lt;/urls&gt;&lt;/record&gt;&lt;/Cite&gt;&lt;/EndNote&gt;</w:instrText>
      </w:r>
      <w:r w:rsidRPr="00FC71BE">
        <w:fldChar w:fldCharType="separate"/>
      </w:r>
      <w:r w:rsidR="00BA33ED" w:rsidRPr="00FC71BE">
        <w:t>[83, 154]</w:t>
      </w:r>
      <w:r w:rsidRPr="00FC71BE">
        <w:fldChar w:fldCharType="end"/>
      </w:r>
      <w:r w:rsidRPr="00FC71BE">
        <w:t xml:space="preserve">, or the open ventilated cooling machine </w:t>
      </w:r>
      <w:r w:rsidRPr="00FC71BE">
        <w:fldChar w:fldCharType="begin">
          <w:fldData xml:space="preserve">PEVuZE5vdGU+PENpdGU+PEF1dGhvcj5Qb3Blc2N1PC9BdXRob3I+PFllYXI+MjAxNjwvWWVhcj48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</w:fldData>
        </w:fldChar>
      </w:r>
      <w:r w:rsidR="00BA33ED" w:rsidRPr="00FC71BE">
        <w:instrText xml:space="preserve"> ADDIN EN.CITE </w:instrText>
      </w:r>
      <w:r w:rsidR="00BA33ED" w:rsidRPr="00FC71BE">
        <w:fldChar w:fldCharType="begin">
          <w:fldData xml:space="preserve">PEVuZE5vdGU+PENpdGU+PEF1dGhvcj5Qb3Blc2N1PC9BdXRob3I+PFllYXI+MjAxNjwvWWVhcj48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</w:fldData>
        </w:fldChar>
      </w:r>
      <w:r w:rsidR="00BA33ED" w:rsidRPr="00FC71BE">
        <w:instrText xml:space="preserve"> ADDIN EN.CITE.DATA </w:instrText>
      </w:r>
      <w:r w:rsidR="00BA33ED" w:rsidRPr="00FC71BE">
        <w:fldChar w:fldCharType="end"/>
      </w:r>
      <w:r w:rsidRPr="00FC71BE">
        <w:fldChar w:fldCharType="separate"/>
      </w:r>
      <w:r w:rsidR="00BA33ED" w:rsidRPr="00FC71BE">
        <w:t>[88, 155, 156]</w:t>
      </w:r>
      <w:r w:rsidRPr="00FC71BE">
        <w:fldChar w:fldCharType="end"/>
      </w:r>
      <w:r w:rsidRPr="00FC71BE">
        <w:t xml:space="preserve"> to directly dissipate heat from heat generation components (e.g., windings, stator/rotor laminations and PMs). The fan can also be located inside the machines such as the shaft mounted fan </w:t>
      </w:r>
      <w:r w:rsidRPr="00FC71BE">
        <w:fldChar w:fldCharType="begin"/>
      </w:r>
      <w:r w:rsidR="00BA33ED" w:rsidRPr="00FC71BE">
        <w:instrText xml:space="preserve"> ADDIN EN.CITE &lt;EndNote&gt;&lt;Cite&gt;&lt;Author&gt;Micallef&lt;/Author&gt;&lt;Year&gt;2008&lt;/Year&gt;&lt;RecNum&gt;300&lt;/RecNum&gt;&lt;DisplayText&gt;[157]&lt;/DisplayText&gt;&lt;record&gt;&lt;rec-number&gt;300&lt;/rec-number&gt;&lt;foreign-keys&gt;&lt;key app="EN" db-id="p00pasffqrr5wvef0f35etrrr0xzp0wptrtd" timestamp="1694697972" guid="0abbb7a6-2980-4e88-9db0-c4786e8db814"&gt;300&lt;/key&gt;&lt;/foreign-keys&gt;&lt;ref-type name="Journal Article"&gt;17&lt;/ref-type&gt;&lt;contributors&gt;&lt;authors&gt;&lt;author&gt;Micallef, Christopher&lt;/author&gt;&lt;author&gt;Pickering, Stephen J&lt;/author&gt;&lt;author&gt;Simmons, Kathy A&lt;/author&gt;&lt;author&gt;Bradley, Keith J&lt;/author&gt;&lt;/authors&gt;&lt;/contributors&gt;&lt;titles&gt;&lt;title&gt;An alternative cooling arrangement for the end region of a totally enclosed fan cooled (TEFC) induction motor&lt;/title&gt;&lt;/titles&gt;&lt;dates&gt;&lt;year&gt;2008&lt;/year&gt;&lt;/dates&gt;&lt;urls&gt;&lt;/urls&gt;&lt;/record&gt;&lt;/Cite&gt;&lt;/EndNote&gt;</w:instrText>
      </w:r>
      <w:r w:rsidRPr="00FC71BE">
        <w:fldChar w:fldCharType="separate"/>
      </w:r>
      <w:r w:rsidR="00BA33ED" w:rsidRPr="00FC71BE">
        <w:t>[157]</w:t>
      </w:r>
      <w:r w:rsidRPr="00FC71BE">
        <w:fldChar w:fldCharType="end"/>
      </w:r>
      <w:r w:rsidRPr="00FC71BE">
        <w:t xml:space="preserve"> or wafter cooling </w:t>
      </w:r>
      <w:r w:rsidRPr="00FC71BE">
        <w:fldChar w:fldCharType="begin"/>
      </w:r>
      <w:r w:rsidR="00103B0D" w:rsidRPr="00FC71BE">
        <w:instrText xml:space="preserve"> ADDIN EN.CITE &lt;EndNote&gt;&lt;Cite&gt;&lt;Author&gt;Mugglestone&lt;/Author&gt;&lt;Year&gt;1999&lt;/Year&gt;&lt;RecNum&gt;160&lt;/RecNum&gt;&lt;DisplayText&gt;[84, 86]&lt;/DisplayText&gt;&lt;record&gt;&lt;rec-number&gt;160&lt;/rec-number&gt;&lt;foreign-keys&gt;&lt;key app="EN" db-id="rf2p5e05jx0x9jep00uvx0s1fvaww2dfa0r9" timestamp="1696591910"&gt;160&lt;/key&gt;&lt;/foreign-keys&gt;&lt;ref-type name="Conference Proceedings"&gt;10&lt;/ref-type&gt;&lt;contributors&gt;&lt;authors&gt;&lt;author&gt;Mugglestone, J&lt;/author&gt;&lt;author&gt;Pickering, S J&lt;/author&gt;&lt;author&gt;Lampard, D&lt;/author&gt;&lt;/authors&gt;&lt;/contributors&gt;&lt;titles&gt;&lt;title&gt;Effect of geometric changes on the flow and heat transfer in the end region of a TEFC induction motor&lt;/title&gt;&lt;secondary-title&gt;1999. Ninth International Conference on Electrical Machines and Drives (Conf. Publ. No. 468)&lt;/secondary-title&gt;&lt;/titles&gt;&lt;pages&gt;40-44&lt;/pages&gt;&lt;dates&gt;&lt;year&gt;1999&lt;/year&gt;&lt;/dates&gt;&lt;publisher&gt;IET&lt;/publisher&gt;&lt;isbn&gt;0852967209&lt;/isbn&gt;&lt;urls&gt;&lt;/urls&gt;&lt;/record&gt;&lt;/Cite&gt;&lt;Cite&gt;&lt;Author&gt;Micallef&lt;/Author&gt;&lt;Year&gt;2008&lt;/Year&gt;&lt;RecNum&gt;161&lt;/RecNum&gt;&lt;record&gt;&lt;rec-number&gt;161&lt;/rec-number&gt;&lt;foreign-keys&gt;&lt;key app="EN" db-id="rf2p5e05jx0x9jep00uvx0s1fvaww2dfa0r9" timestamp="1696591963"&gt;161&lt;/key&gt;&lt;/foreign-keys&gt;&lt;ref-type name="Journal Article"&gt;17&lt;/ref-type&gt;&lt;contributors&gt;&lt;authors&gt;&lt;author&gt;Micallef, Christopher&lt;/author&gt;&lt;author&gt;Pickering, Stephen J&lt;/author&gt;&lt;author&gt;Simmons, Kathy A&lt;/author&gt;&lt;author&gt;Bradley, Keith J&lt;/author&gt;&lt;/authors&gt;&lt;/contributors&gt;&lt;titles&gt;&lt;title&gt;Improved cooling in the end region of a strip-wound totally enclosed fan-cooled induction electric machine&lt;/title&gt;&lt;secondary-title&gt;IEEE Transactions on industrial electronics&lt;/secondary-title&gt;&lt;/titles&gt;&lt;periodical&gt;&lt;full-title&gt;IEEE Transactions on Industrial Electronics&lt;/full-title&gt;&lt;/periodical&gt;&lt;pages&gt;3517-3524&lt;/pages&gt;&lt;volume&gt;55&lt;/volume&gt;&lt;number&gt;10&lt;/number&gt;&lt;dates&gt;&lt;year&gt;2008&lt;/year&gt;&lt;/dates&gt;&lt;isbn&gt;0278-0046&lt;/isbn&gt;&lt;urls&gt;&lt;/urls&gt;&lt;/record&gt;&lt;/Cite&gt;&lt;/EndNote&gt;</w:instrText>
      </w:r>
      <w:r w:rsidRPr="00FC71BE">
        <w:fldChar w:fldCharType="separate"/>
      </w:r>
      <w:r w:rsidR="00103B0D" w:rsidRPr="00FC71BE">
        <w:t>[84, 86]</w:t>
      </w:r>
      <w:r w:rsidRPr="00FC71BE">
        <w:fldChar w:fldCharType="end"/>
      </w:r>
      <w:r w:rsidRPr="00FC71BE">
        <w:t xml:space="preserve">. In addition to forced air cooling, other coolant can also be used, i.e., forced liquid cooling. Typical examples are forced water and oil cooling systems </w:t>
      </w:r>
      <w:r w:rsidRPr="00FC71BE">
        <w:fldChar w:fldCharType="begin"/>
      </w:r>
      <w:r w:rsidR="0000133B" w:rsidRPr="00FC71BE">
        <w:instrText xml:space="preserve"> ADDIN EN.CITE &lt;EndNote&gt;&lt;Cite&gt;&lt;Author&gt;Staton&lt;/Author&gt;&lt;Year&gt;2022&lt;/Year&gt;&lt;RecNum&gt;283&lt;/RecNum&gt;&lt;DisplayText&gt;[3]&lt;/DisplayText&gt;&lt;record&gt;&lt;rec-number&gt;283&lt;/rec-number&gt;&lt;foreign-keys&gt;&lt;key app="EN" db-id="p00pasffqrr5wvef0f35etrrr0xzp0wptrtd" timestamp="1694550885" guid="0748f6da-e575-487f-8a80-eeb3673a6875"&gt;283&lt;/key&gt;&lt;/foreign-keys&gt;&lt;ref-type name="Book"&gt;6&lt;/ref-type&gt;&lt;contributors&gt;&lt;authors&gt;&lt;author&gt;Staton, David&lt;/author&gt;&lt;author&gt;Chong, Eddie&lt;/author&gt;&lt;author&gt;Pickering, Stephen&lt;/author&gt;&lt;author&gt;Boglietti, Aldo&lt;/author&gt;&lt;/authors&gt;&lt;/contributors&gt;&lt;titles&gt;&lt;title&gt;Cooling of Rotating Electrical Machines: Fundamentals, Modelling, Testing and Design&lt;/title&gt;&lt;/titles&gt;&lt;volume&gt;109&lt;/volume&gt;&lt;dates&gt;&lt;year&gt;2022&lt;/year&gt;&lt;/dates&gt;&lt;publisher&gt;IET&lt;/publisher&gt;&lt;isbn&gt;1785613510&lt;/isbn&gt;&lt;urls&gt;&lt;/urls&gt;&lt;/record&gt;&lt;/Cite&gt;&lt;/EndNote&gt;</w:instrText>
      </w:r>
      <w:r w:rsidRPr="00FC71BE">
        <w:fldChar w:fldCharType="separate"/>
      </w:r>
      <w:r w:rsidR="0000133B" w:rsidRPr="00FC71BE">
        <w:t>[3]</w:t>
      </w:r>
      <w:r w:rsidRPr="00FC71BE">
        <w:fldChar w:fldCharType="end"/>
      </w:r>
      <w:r w:rsidRPr="00FC71BE">
        <w:t xml:space="preserve">. Some of these forced liquid cooling systems are direct forced liquid cooling, such as oil-immersed cooling (semi-flooded cooling) </w:t>
      </w:r>
      <w:r w:rsidRPr="00FC71BE">
        <w:fldChar w:fldCharType="begin">
          <w:fldData xml:space="preserve">PEVuZE5vdGU+PENpdGU+PEF1dGhvcj5YdTwvQXV0aG9yPjxZZWFyPjIwMTc8L1llYXI+PFJlY051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==
</w:fldData>
        </w:fldChar>
      </w:r>
      <w:r w:rsidR="00BA33ED" w:rsidRPr="00FC71BE">
        <w:instrText xml:space="preserve"> ADDIN EN.CITE </w:instrText>
      </w:r>
      <w:r w:rsidR="00BA33ED" w:rsidRPr="00FC71BE">
        <w:fldChar w:fldCharType="begin">
          <w:fldData xml:space="preserve">PEVuZE5vdGU+PENpdGU+PEF1dGhvcj5YdTwvQXV0aG9yPjxZZWFyPjIwMTc8L1llYXI+PFJlY051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==
</w:fldData>
        </w:fldChar>
      </w:r>
      <w:r w:rsidR="00BA33ED" w:rsidRPr="00FC71BE">
        <w:instrText xml:space="preserve"> ADDIN EN.CITE.DATA </w:instrText>
      </w:r>
      <w:r w:rsidR="00BA33ED" w:rsidRPr="00FC71BE">
        <w:fldChar w:fldCharType="end"/>
      </w:r>
      <w:r w:rsidRPr="00FC71BE">
        <w:fldChar w:fldCharType="separate"/>
      </w:r>
      <w:r w:rsidR="00BA33ED" w:rsidRPr="00FC71BE">
        <w:t>[105, 158-162]</w:t>
      </w:r>
      <w:r w:rsidRPr="00FC71BE">
        <w:fldChar w:fldCharType="end"/>
      </w:r>
      <w:r w:rsidRPr="00FC71BE">
        <w:t xml:space="preserve"> and oil spray </w:t>
      </w:r>
      <w:r w:rsidRPr="00FC71BE">
        <w:fldChar w:fldCharType="begin"/>
      </w:r>
      <w:r w:rsidR="00BA33ED" w:rsidRPr="00FC71BE">
        <w:instrText xml:space="preserve"> ADDIN EN.CITE &lt;EndNote&gt;&lt;Cite&gt;&lt;Author&gt;Popescu&lt;/Author&gt;&lt;Year&gt;2016&lt;/Year&gt;&lt;RecNum&gt;297&lt;/RecNum&gt;&lt;DisplayText&gt;[155, 163]&lt;/DisplayText&gt;&lt;record&gt;&lt;rec-number&gt;297&lt;/rec-number&gt;&lt;foreign-keys&gt;&lt;key app="EN" db-id="p00pasffqrr5wvef0f35etrrr0xzp0wptrtd" timestamp="1694697910" guid="36911099-4317-4cc7-bbba-a6144dc867dd"&gt;297&lt;/key&gt;&lt;/foreign-keys&gt;&lt;ref-type name="Journal Article"&gt;17&lt;/ref-type&gt;&lt;contributors&gt;&lt;authors&gt;&lt;author&gt;Popescu, Mircea&lt;/author&gt;&lt;author&gt;Staton, David Alan&lt;/author&gt;&lt;author&gt;Boglietti, Aldo&lt;/author&gt;&lt;author&gt;Cavagnino, Andrea&lt;/author&gt;&lt;author&gt;Hawkins, Douglas&lt;/author&gt;&lt;author&gt;Goss, James&lt;/author&gt;&lt;/authors&gt;&lt;/contributors&gt;&lt;titles&gt;&lt;title&gt;Modern heat extraction systems for power traction machines—A review&lt;/title&gt;&lt;secondary-title&gt;IEEE Transactions on Industry Applications&lt;/secondary-title&gt;&lt;/titles&gt;&lt;periodical&gt;&lt;full-title&gt;IEEE Transactions on Industry Applications&lt;/full-title&gt;&lt;/periodical&gt;&lt;pages&gt;2167-2175&lt;/pages&gt;&lt;volume&gt;52&lt;/volume&gt;&lt;number&gt;3&lt;/number&gt;&lt;dates&gt;&lt;year&gt;2016&lt;/year&gt;&lt;/dates&gt;&lt;isbn&gt;0093-9994&lt;/isbn&gt;&lt;urls&gt;&lt;/urls&gt;&lt;/record&gt;&lt;/Cite&gt;&lt;Cite&gt;&lt;Author&gt;Ye&lt;/Author&gt;&lt;Year&gt;2016&lt;/Year&gt;&lt;RecNum&gt;306&lt;/RecNum&gt;&lt;record&gt;&lt;rec-number&gt;306&lt;/rec-number&gt;&lt;foreign-keys&gt;&lt;key app="EN" db-id="p00pasffqrr5wvef0f35etrrr0xzp0wptrtd" timestamp="1694701605" guid="a4f7a759-6667-4118-8be7-0118ada46fac"&gt;306&lt;/key&gt;&lt;/foreign-keys&gt;&lt;ref-type name="Conference Proceedings"&gt;10&lt;/ref-type&gt;&lt;contributors&gt;&lt;authors&gt;&lt;author&gt;Ye, Li&lt;/author&gt;&lt;author&gt;Tao, Fan&lt;/author&gt;&lt;author&gt;Qi, Li&lt;/author&gt;&lt;author&gt;Xuhui, Wen&lt;/author&gt;&lt;/authors&gt;&lt;/contributors&gt;&lt;titles&gt;&lt;title&gt;Experimental investigation on heat transfer of directly-oil-cooled permanent magnet motor&lt;/title&gt;&lt;secondary-title&gt;2016 19th International Conference on Electrical Machines and Systems (ICEMS)&lt;/secondary-title&gt;&lt;/titles&gt;&lt;pages&gt;1-4&lt;/pages&gt;&lt;dates&gt;&lt;year&gt;2016&lt;/year&gt;&lt;/dates&gt;&lt;publisher&gt;IEEE&lt;/publisher&gt;&lt;isbn&gt;4886860982&lt;/isbn&gt;&lt;urls&gt;&lt;/urls&gt;&lt;/record&gt;&lt;/Cite&gt;&lt;/EndNote&gt;</w:instrText>
      </w:r>
      <w:r w:rsidRPr="00FC71BE">
        <w:fldChar w:fldCharType="separate"/>
      </w:r>
      <w:r w:rsidR="00BA33ED" w:rsidRPr="00FC71BE">
        <w:t>[155, 163]</w:t>
      </w:r>
      <w:r w:rsidRPr="00FC71BE">
        <w:fldChar w:fldCharType="end"/>
      </w:r>
      <w:r w:rsidRPr="00FC71BE">
        <w:t xml:space="preserve">. They are closed-circuit cooling systems, in which coolant is pumped into the machine. The coolant absorbs heat from the machine components and the surrounding circuit before transferring it to a heat exchanger. For direct forced liquid cooling, the coolant is in </w:t>
      </w:r>
      <w:r w:rsidRPr="00FC71BE">
        <w:lastRenderedPageBreak/>
        <w:t xml:space="preserve">contact with the specific components, especially the coils and stator iron core. It can significantly reduce the temperature inside the machine. However, the risks of corrosion and liquid leakage should be considered. Other literatures investigated an indirect forced liquid cooling. The fluid channel can be assembled in the frame </w:t>
      </w:r>
      <w:r w:rsidRPr="00FC71BE">
        <w:fldChar w:fldCharType="begin"/>
      </w:r>
      <w:r w:rsidR="00BA33ED" w:rsidRPr="00FC71BE">
        <w:instrText xml:space="preserve"> ADDIN EN.CITE &lt;EndNote&gt;&lt;Cite&gt;&lt;Author&gt;Wrobel&lt;/Author&gt;&lt;Year&gt;2019&lt;/Year&gt;&lt;RecNum&gt;309&lt;/RecNum&gt;&lt;DisplayText&gt;[164]&lt;/DisplayText&gt;&lt;record&gt;&lt;rec-number&gt;309&lt;/rec-number&gt;&lt;foreign-keys&gt;&lt;key app="EN" db-id="p00pasffqrr5wvef0f35etrrr0xzp0wptrtd" timestamp="1694702299" guid="265de198-f706-4609-bc35-799ac1e208c6"&gt;309&lt;/key&gt;&lt;/foreign-keys&gt;&lt;ref-type name="Conference Proceedings"&gt;10&lt;/ref-type&gt;&lt;contributors&gt;&lt;authors&gt;&lt;author&gt;Wrobel, Rafal&lt;/author&gt;&lt;author&gt;Mecrow, Barrie&lt;/author&gt;&lt;/authors&gt;&lt;/contributors&gt;&lt;titles&gt;&lt;title&gt;Additive manufacturing in construction of electrical machines–a review&lt;/title&gt;&lt;secondary-title&gt;2019 IEEE Workshop on Electrical Machines Design, Control and Diagnosis (WEMDCD)&lt;/secondary-title&gt;&lt;/titles&gt;&lt;pages&gt;15-22&lt;/pages&gt;&lt;volume&gt;1&lt;/volume&gt;&lt;dates&gt;&lt;year&gt;2019&lt;/year&gt;&lt;/dates&gt;&lt;publisher&gt;IEEE&lt;/publisher&gt;&lt;isbn&gt;1538681072&lt;/isbn&gt;&lt;urls&gt;&lt;/urls&gt;&lt;/record&gt;&lt;/Cite&gt;&lt;/EndNote&gt;</w:instrText>
      </w:r>
      <w:r w:rsidRPr="00FC71BE">
        <w:fldChar w:fldCharType="separate"/>
      </w:r>
      <w:r w:rsidR="00BA33ED" w:rsidRPr="00FC71BE">
        <w:t>[164]</w:t>
      </w:r>
      <w:r w:rsidRPr="00FC71BE">
        <w:fldChar w:fldCharType="end"/>
      </w:r>
      <w:r w:rsidRPr="00FC71BE">
        <w:t xml:space="preserve">, the slot </w:t>
      </w:r>
      <w:r w:rsidRPr="00FC71BE">
        <w:fldChar w:fldCharType="begin"/>
      </w:r>
      <w:r w:rsidR="00BA33ED" w:rsidRPr="00FC71BE">
        <w:instrText xml:space="preserve"> ADDIN EN.CITE &lt;EndNote&gt;&lt;Cite&gt;&lt;Author&gt;Venturini&lt;/Author&gt;&lt;Year&gt;2021&lt;/Year&gt;&lt;RecNum&gt;310&lt;/RecNum&gt;&lt;DisplayText&gt;[165]&lt;/DisplayText&gt;&lt;record&gt;&lt;rec-number&gt;310&lt;/rec-number&gt;&lt;foreign-keys&gt;&lt;key app="EN" db-id="p00pasffqrr5wvef0f35etrrr0xzp0wptrtd" timestamp="1694702454" guid="55e223e9-f5c7-4c0e-934f-860ba3a9f36f"&gt;310&lt;/key&gt;&lt;/foreign-keys&gt;&lt;ref-type name="Conference Proceedings"&gt;10&lt;/ref-type&gt;&lt;contributors&gt;&lt;authors&gt;&lt;author&gt;Venturini, Giada&lt;/author&gt;&lt;author&gt;Volpe, Giuseppe&lt;/author&gt;&lt;author&gt;Popescu, Mircea&lt;/author&gt;&lt;/authors&gt;&lt;/contributors&gt;&lt;titles&gt;&lt;title&gt;Slot water jacket cooling system for traction electrical machines with hairpin windings: Analysis and comparison&lt;/title&gt;&lt;secondary-title&gt;2021 IEEE International Electric Machines &amp;amp; Drives Conference (IEMDC)&lt;/secondary-title&gt;&lt;/titles&gt;&lt;pages&gt;1-6&lt;/pages&gt;&lt;dates&gt;&lt;year&gt;2021&lt;/year&gt;&lt;/dates&gt;&lt;publisher&gt;IEEE&lt;/publisher&gt;&lt;isbn&gt;1665405104&lt;/isbn&gt;&lt;urls&gt;&lt;/urls&gt;&lt;/record&gt;&lt;/Cite&gt;&lt;/EndNote&gt;</w:instrText>
      </w:r>
      <w:r w:rsidRPr="00FC71BE">
        <w:fldChar w:fldCharType="separate"/>
      </w:r>
      <w:r w:rsidR="00BA33ED" w:rsidRPr="00FC71BE">
        <w:t>[165]</w:t>
      </w:r>
      <w:r w:rsidRPr="00FC71BE">
        <w:fldChar w:fldCharType="end"/>
      </w:r>
      <w:r w:rsidRPr="00FC71BE">
        <w:t xml:space="preserve">, the end-windings </w:t>
      </w:r>
      <w:r w:rsidRPr="00FC71BE">
        <w:fldChar w:fldCharType="begin"/>
      </w:r>
      <w:r w:rsidR="00BA33ED" w:rsidRPr="00FC71BE">
        <w:instrText xml:space="preserve"> ADDIN EN.CITE &lt;EndNote&gt;&lt;Cite&gt;&lt;Author&gt;Madonna&lt;/Author&gt;&lt;Year&gt;2018&lt;/Year&gt;&lt;RecNum&gt;311&lt;/RecNum&gt;&lt;DisplayText&gt;[166]&lt;/DisplayText&gt;&lt;record&gt;&lt;rec-number&gt;311&lt;/rec-number&gt;&lt;foreign-keys&gt;&lt;key app="EN" db-id="p00pasffqrr5wvef0f35etrrr0xzp0wptrtd" timestamp="1694702576" guid="e08c0942-b6cd-4dde-a8fb-37c125a22cbb"&gt;311&lt;/key&gt;&lt;/foreign-keys&gt;&lt;ref-type name="Conference Proceedings"&gt;10&lt;/ref-type&gt;&lt;contributors&gt;&lt;authors&gt;&lt;author&gt;Madonna, Vincenzo&lt;/author&gt;&lt;author&gt;Giangrande, Paolo&lt;/author&gt;&lt;author&gt;Walker, Adam&lt;/author&gt;&lt;author&gt;Galea, Michael&lt;/author&gt;&lt;/authors&gt;&lt;/contributors&gt;&lt;titles&gt;&lt;title&gt;On the effects of advanced end-winding cooling on the design and performance of electrical machines&lt;/title&gt;&lt;secondary-title&gt;2018 XIII International Conference on Electrical Machines (ICEM)&lt;/secondary-title&gt;&lt;/titles&gt;&lt;pages&gt;311-317&lt;/pages&gt;&lt;dates&gt;&lt;year&gt;2018&lt;/year&gt;&lt;/dates&gt;&lt;publisher&gt;IEEE&lt;/publisher&gt;&lt;isbn&gt;153862477X&lt;/isbn&gt;&lt;urls&gt;&lt;/urls&gt;&lt;/record&gt;&lt;/Cite&gt;&lt;/EndNote&gt;</w:instrText>
      </w:r>
      <w:r w:rsidRPr="00FC71BE">
        <w:fldChar w:fldCharType="separate"/>
      </w:r>
      <w:r w:rsidR="00BA33ED" w:rsidRPr="00FC71BE">
        <w:t>[166]</w:t>
      </w:r>
      <w:r w:rsidRPr="00FC71BE">
        <w:fldChar w:fldCharType="end"/>
      </w:r>
      <w:r w:rsidRPr="00FC71BE">
        <w:t xml:space="preserve">, the stator back-iron </w:t>
      </w:r>
      <w:r w:rsidRPr="00FC71BE">
        <w:fldChar w:fldCharType="begin"/>
      </w:r>
      <w:r w:rsidR="00BA33ED" w:rsidRPr="00FC71BE">
        <w:instrText xml:space="preserve"> ADDIN EN.CITE &lt;EndNote&gt;&lt;Cite&gt;&lt;Author&gt;Yang&lt;/Author&gt;&lt;Year&gt;2020&lt;/Year&gt;&lt;RecNum&gt;314&lt;/RecNum&gt;&lt;DisplayText&gt;[167]&lt;/DisplayText&gt;&lt;record&gt;&lt;rec-number&gt;314&lt;/rec-number&gt;&lt;foreign-keys&gt;&lt;key app="EN" db-id="p00pasffqrr5wvef0f35etrrr0xzp0wptrtd" timestamp="1694703023" guid="51c3cadd-d3f6-40d3-9b20-41341969792f"&gt;314&lt;/key&gt;&lt;/foreign-keys&gt;&lt;ref-type name="Journal Article"&gt;17&lt;/ref-type&gt;&lt;contributors&gt;&lt;authors&gt;&lt;author&gt;Yang, Xiao Feng&lt;/author&gt;&lt;author&gt;Fatemi, Alireza&lt;/author&gt;&lt;author&gt;Nehl, Thomas&lt;/author&gt;&lt;author&gt;Hao, Lei&lt;/author&gt;&lt;author&gt;Zeng, Wei&lt;/author&gt;&lt;author&gt;Parrish, Scott&lt;/author&gt;&lt;/authors&gt;&lt;/contributors&gt;&lt;titles&gt;&lt;title&gt;Comparative study of three stator cooling jackets for electric machine of mild hybrid vehicle&lt;/title&gt;&lt;secondary-title&gt;IEEE Transactions on Industry Applications&lt;/secondary-title&gt;&lt;/titles&gt;&lt;periodical&gt;&lt;full-title&gt;IEEE Transactions on Industry Applications&lt;/full-title&gt;&lt;/periodical&gt;&lt;pages&gt;1193-1201&lt;/pages&gt;&lt;volume&gt;57&lt;/volume&gt;&lt;number&gt;2&lt;/number&gt;&lt;dates&gt;&lt;year&gt;2020&lt;/year&gt;&lt;/dates&gt;&lt;isbn&gt;0093-9994&lt;/isbn&gt;&lt;urls&gt;&lt;/urls&gt;&lt;/record&gt;&lt;/Cite&gt;&lt;/EndNote&gt;</w:instrText>
      </w:r>
      <w:r w:rsidRPr="00FC71BE">
        <w:fldChar w:fldCharType="separate"/>
      </w:r>
      <w:r w:rsidR="00BA33ED" w:rsidRPr="00FC71BE">
        <w:t>[167]</w:t>
      </w:r>
      <w:r w:rsidRPr="00FC71BE">
        <w:fldChar w:fldCharType="end"/>
      </w:r>
      <w:r w:rsidRPr="00FC71BE">
        <w:t xml:space="preserve"> or the shaft </w:t>
      </w:r>
      <w:r w:rsidRPr="00FC71BE">
        <w:fldChar w:fldCharType="begin"/>
      </w:r>
      <w:r w:rsidR="0000133B" w:rsidRPr="00FC71BE">
        <w:instrText xml:space="preserve"> ADDIN EN.CITE &lt;EndNote&gt;&lt;Cite&gt;&lt;Author&gt;Gai&lt;/Author&gt;&lt;Year&gt;2018&lt;/Year&gt;&lt;RecNum&gt;176&lt;/RecNum&gt;&lt;DisplayText&gt;[99]&lt;/DisplayText&gt;&lt;record&gt;&lt;rec-number&gt;176&lt;/rec-number&gt;&lt;foreign-keys&gt;&lt;key app="EN" db-id="rf2p5e05jx0x9jep00uvx0s1fvaww2dfa0r9" timestamp="1696611631"&gt;176&lt;/key&gt;&lt;/foreign-keys&gt;&lt;ref-type name="Journal Article"&gt;17&lt;/ref-type&gt;&lt;contributors&gt;&lt;authors&gt;&lt;author&gt;Gai, Yaohui&lt;/author&gt;&lt;author&gt;Kimiabeigi, Mohammad&lt;/author&gt;&lt;author&gt;Chong, Yew Chuan&lt;/author&gt;&lt;author&gt;Widmer, James D&lt;/author&gt;&lt;author&gt;Goss, James&lt;/author&gt;&lt;author&gt;SanAndres, Unai&lt;/author&gt;&lt;author&gt;Steven, Andy&lt;/author&gt;&lt;author&gt;Staton, Dave A&lt;/author&gt;&lt;/authors&gt;&lt;/contributors&gt;&lt;titles&gt;&lt;title&gt;On the measurement and modeling of the heat transfer coefficient of a hollow-shaft rotary cooling system for a traction motor&lt;/title&gt;&lt;secondary-title&gt;IEEE Transactions on Industry Applications&lt;/secondary-title&gt;&lt;/titles&gt;&lt;periodical&gt;&lt;full-title&gt;IEEE Transactions on Industry Applications&lt;/full-title&gt;&lt;/periodical&gt;&lt;pages&gt;5978-5987&lt;/pages&gt;&lt;volume&gt;54&lt;/volume&gt;&lt;number&gt;6&lt;/number&gt;&lt;dates&gt;&lt;year&gt;2018&lt;/year&gt;&lt;/dates&gt;&lt;isbn&gt;0093-9994&lt;/isbn&gt;&lt;urls&gt;&lt;/urls&gt;&lt;/record&gt;&lt;/Cite&gt;&lt;/EndNote&gt;</w:instrText>
      </w:r>
      <w:r w:rsidRPr="00FC71BE">
        <w:fldChar w:fldCharType="separate"/>
      </w:r>
      <w:r w:rsidR="0000133B" w:rsidRPr="00FC71BE">
        <w:t>[99]</w:t>
      </w:r>
      <w:r w:rsidRPr="00FC71BE">
        <w:fldChar w:fldCharType="end"/>
      </w:r>
      <w:r w:rsidRPr="00FC71BE">
        <w:t>. These fluid channels can remove heat near them effectively. Such indirect contact between the coolant and the machine components also avoids the corrosion issue presented in the direct forced cooling system. However, like the direct forced liquid cooling method, the liquid leakage remains an issue that needs to be considered.</w:t>
      </w:r>
    </w:p>
    <w:p w14:paraId="6CD17453" w14:textId="2A6C62B1" w:rsidR="0045562B" w:rsidRPr="00FC71BE" w:rsidRDefault="0045562B" w:rsidP="0045562B">
      <w:r w:rsidRPr="00FC71BE">
        <w:t xml:space="preserve">For all the forced cooling systems, whether forced air or forced liquid cooling, computational fluid dynamics (CFD) modelling is the most popular method for investigating the fluid dynamics and heat transfer of these systems. The CFD modelling is powerful but sometime quite time consuming. This will be elaborated further in section </w:t>
      </w:r>
      <w:r w:rsidRPr="00FC71BE">
        <w:fldChar w:fldCharType="begin"/>
      </w:r>
      <w:r w:rsidRPr="00FC71BE">
        <w:instrText xml:space="preserve"> REF _Ref145959265 \r \h </w:instrText>
      </w:r>
      <w:r w:rsidRPr="00FC71BE">
        <w:fldChar w:fldCharType="separate"/>
      </w:r>
      <w:r w:rsidR="007E62C1" w:rsidRPr="00FC71BE">
        <w:t>4.2</w:t>
      </w:r>
      <w:r w:rsidRPr="00FC71BE">
        <w:fldChar w:fldCharType="end"/>
      </w:r>
      <w:r w:rsidRPr="00FC71BE">
        <w:t xml:space="preserve">. Flow network analysis is another method to predict the local flow velocity and to understand the flow profile. The governing equations of the flow network analysis reveal the parabolic relationship between the pressure losses </w:t>
      </w:r>
      <m:oMath>
        <m:r>
          <w:rPr>
            <w:rFonts w:ascii="Cambria Math" w:hAnsi="Cambria Math"/>
          </w:rPr>
          <m:t>∆p</m:t>
        </m:r>
      </m:oMath>
      <w:r w:rsidRPr="00FC71BE">
        <w:t xml:space="preserve"> and the volumetric flow rate </w:t>
      </w:r>
      <m:oMath>
        <m:r>
          <w:rPr>
            <w:rFonts w:ascii="Cambria Math" w:hAnsi="Cambria Math"/>
          </w:rPr>
          <m:t>Q</m:t>
        </m:r>
      </m:oMath>
      <w:r w:rsidRPr="00FC71BE">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3F372788" w14:textId="77777777">
        <w:tc>
          <w:tcPr>
            <w:tcW w:w="4493" w:type="pct"/>
            <w:vAlign w:val="center"/>
          </w:tcPr>
          <w:p w14:paraId="3A68866B" w14:textId="77777777" w:rsidR="0045562B" w:rsidRPr="00FC71BE" w:rsidRDefault="0045562B">
            <w:pPr>
              <w:rPr>
                <w:rFonts w:eastAsia="等线"/>
              </w:rPr>
            </w:pPr>
            <m:oMathPara>
              <m:oMath>
                <m:r>
                  <w:rPr>
                    <w:rFonts w:ascii="Cambria Math" w:hAnsi="Cambria Math"/>
                  </w:rPr>
                  <m:t>∆p=</m:t>
                </m:r>
                <m:sSub>
                  <m:sSubPr>
                    <m:ctrlPr>
                      <w:rPr>
                        <w:rFonts w:ascii="Cambria Math" w:hAnsi="Cambria Math"/>
                        <w:i/>
                      </w:rPr>
                    </m:ctrlPr>
                  </m:sSubPr>
                  <m:e>
                    <m:r>
                      <w:rPr>
                        <w:rFonts w:ascii="Cambria Math" w:hAnsi="Cambria Math"/>
                      </w:rPr>
                      <m:t>R</m:t>
                    </m:r>
                  </m:e>
                  <m:sub>
                    <m:r>
                      <w:rPr>
                        <w:rFonts w:ascii="Cambria Math" w:hAnsi="Cambria Math"/>
                      </w:rPr>
                      <m:t>f</m:t>
                    </m:r>
                  </m:sub>
                </m:sSub>
                <m:sSup>
                  <m:sSupPr>
                    <m:ctrlPr>
                      <w:rPr>
                        <w:rFonts w:ascii="Cambria Math" w:hAnsi="Cambria Math"/>
                        <w:i/>
                      </w:rPr>
                    </m:ctrlPr>
                  </m:sSupPr>
                  <m:e>
                    <m:r>
                      <w:rPr>
                        <w:rFonts w:ascii="Cambria Math" w:hAnsi="Cambria Math"/>
                      </w:rPr>
                      <m:t>Q</m:t>
                    </m:r>
                  </m:e>
                  <m:sup>
                    <m:r>
                      <w:rPr>
                        <w:rFonts w:ascii="Cambria Math" w:hAnsi="Cambria Math"/>
                      </w:rPr>
                      <m:t>2</m:t>
                    </m:r>
                  </m:sup>
                </m:sSup>
              </m:oMath>
            </m:oMathPara>
          </w:p>
        </w:tc>
        <w:tc>
          <w:tcPr>
            <w:tcW w:w="507" w:type="pct"/>
            <w:vAlign w:val="center"/>
          </w:tcPr>
          <w:p w14:paraId="56F990DC" w14:textId="2FE5B383" w:rsidR="0045562B" w:rsidRPr="00FC71BE" w:rsidRDefault="0045562B">
            <w:pPr>
              <w:pStyle w:val="equation"/>
              <w:rPr>
                <w:i/>
                <w:color w:val="auto"/>
              </w:rPr>
            </w:pPr>
            <w:bookmarkStart w:id="191" w:name="_Ref145960884"/>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bookmarkEnd w:id="191"/>
          </w:p>
        </w:tc>
      </w:tr>
    </w:tbl>
    <w:p w14:paraId="41F45D8E" w14:textId="77777777" w:rsidR="0045562B" w:rsidRPr="00FC71BE" w:rsidRDefault="0045562B" w:rsidP="0045562B">
      <w:pPr>
        <w:ind w:firstLine="0"/>
      </w:pPr>
      <w:r w:rsidRPr="00FC71BE">
        <w:t xml:space="preserve">where </w:t>
      </w:r>
      <m:oMath>
        <m:sSub>
          <m:sSubPr>
            <m:ctrlPr>
              <w:rPr>
                <w:rFonts w:ascii="Cambria Math" w:hAnsi="Cambria Math"/>
                <w:i/>
              </w:rPr>
            </m:ctrlPr>
          </m:sSubPr>
          <m:e>
            <m:r>
              <w:rPr>
                <w:rFonts w:ascii="Cambria Math" w:hAnsi="Cambria Math"/>
              </w:rPr>
              <m:t>R</m:t>
            </m:r>
          </m:e>
          <m:sub>
            <m:r>
              <w:rPr>
                <w:rFonts w:ascii="Cambria Math" w:hAnsi="Cambria Math"/>
              </w:rPr>
              <m:t>f</m:t>
            </m:r>
          </m:sub>
        </m:sSub>
      </m:oMath>
      <w:r w:rsidRPr="00FC71BE">
        <w:t xml:space="preserve"> is introduced to represent the system flow resistance. It can be derived from: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4B2D1B4F" w14:textId="77777777">
        <w:tc>
          <w:tcPr>
            <w:tcW w:w="4493" w:type="pct"/>
            <w:vAlign w:val="center"/>
          </w:tcPr>
          <w:p w14:paraId="56B5DF8F" w14:textId="77777777" w:rsidR="0045562B" w:rsidRPr="00FC71BE" w:rsidRDefault="002143AD">
            <w:pPr>
              <w:rPr>
                <w:rFonts w:eastAsia="等线"/>
              </w:rPr>
            </w:pPr>
            <m:oMathPara>
              <m:oMath>
                <m:sSub>
                  <m:sSubPr>
                    <m:ctrlPr>
                      <w:rPr>
                        <w:rFonts w:ascii="Cambria Math" w:hAnsi="Cambria Math"/>
                        <w:i/>
                      </w:rPr>
                    </m:ctrlPr>
                  </m:sSubPr>
                  <m:e>
                    <m:r>
                      <w:rPr>
                        <w:rFonts w:ascii="Cambria Math" w:hAnsi="Cambria Math"/>
                      </w:rPr>
                      <m:t>R</m:t>
                    </m:r>
                  </m:e>
                  <m:sub>
                    <m:r>
                      <w:rPr>
                        <w:rFonts w:ascii="Cambria Math" w:hAnsi="Cambria Math"/>
                      </w:rPr>
                      <m:t>f</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f</m:t>
                        </m:r>
                      </m:sub>
                    </m:sSub>
                    <m:r>
                      <w:rPr>
                        <w:rFonts w:ascii="Cambria Math" w:hAnsi="Cambria Math"/>
                      </w:rPr>
                      <m:t>∙</m:t>
                    </m:r>
                    <m:r>
                      <w:rPr>
                        <w:rFonts w:ascii="Cambria Math" w:hAnsi="Cambria Math"/>
                      </w:rPr>
                      <m:t>ρ</m:t>
                    </m:r>
                  </m:num>
                  <m:den>
                    <m:r>
                      <w:rPr>
                        <w:rFonts w:ascii="Cambria Math" w:hAnsi="Cambria Math"/>
                      </w:rPr>
                      <m:t>2∙</m:t>
                    </m:r>
                    <m:sSup>
                      <m:sSupPr>
                        <m:ctrlPr>
                          <w:rPr>
                            <w:rFonts w:ascii="Cambria Math" w:hAnsi="Cambria Math"/>
                            <w:i/>
                          </w:rPr>
                        </m:ctrlPr>
                      </m:sSupPr>
                      <m:e>
                        <m:r>
                          <w:rPr>
                            <w:rFonts w:ascii="Cambria Math" w:hAnsi="Cambria Math"/>
                          </w:rPr>
                          <m:t>A</m:t>
                        </m:r>
                      </m:e>
                      <m:sup>
                        <m:r>
                          <w:rPr>
                            <w:rFonts w:ascii="Cambria Math" w:hAnsi="Cambria Math"/>
                          </w:rPr>
                          <m:t>2</m:t>
                        </m:r>
                      </m:sup>
                    </m:sSup>
                  </m:den>
                </m:f>
              </m:oMath>
            </m:oMathPara>
          </w:p>
        </w:tc>
        <w:tc>
          <w:tcPr>
            <w:tcW w:w="507" w:type="pct"/>
            <w:vAlign w:val="center"/>
          </w:tcPr>
          <w:p w14:paraId="1A4E5C06" w14:textId="01C20E45" w:rsidR="0045562B" w:rsidRPr="00FC71BE" w:rsidRDefault="0045562B">
            <w:pPr>
              <w:pStyle w:val="equation"/>
              <w:rPr>
                <w:i/>
                <w:color w:val="auto"/>
              </w:rPr>
            </w:pPr>
            <w:bookmarkStart w:id="192" w:name="_Ref145960490"/>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bookmarkEnd w:id="192"/>
          </w:p>
        </w:tc>
      </w:tr>
    </w:tbl>
    <w:p w14:paraId="1C7D8A55" w14:textId="38ACB599" w:rsidR="0045562B" w:rsidRPr="00FC71BE" w:rsidRDefault="0045562B" w:rsidP="0045562B">
      <w:pPr>
        <w:ind w:firstLine="0"/>
      </w:pPr>
      <w:r w:rsidRPr="00FC71BE">
        <w:t xml:space="preserve">where </w:t>
      </w:r>
      <m:oMath>
        <m:r>
          <w:rPr>
            <w:rFonts w:ascii="Cambria Math" w:hAnsi="Cambria Math"/>
          </w:rPr>
          <m:t>A</m:t>
        </m:r>
      </m:oMath>
      <w:r w:rsidRPr="00FC71BE">
        <w:t xml:space="preserve"> is the cross-sectional area of the coolant path. </w:t>
      </w:r>
      <m:oMath>
        <m:sSub>
          <m:sSubPr>
            <m:ctrlPr>
              <w:rPr>
                <w:rFonts w:ascii="Cambria Math" w:hAnsi="Cambria Math"/>
                <w:i/>
              </w:rPr>
            </m:ctrlPr>
          </m:sSubPr>
          <m:e>
            <m:r>
              <w:rPr>
                <w:rFonts w:ascii="Cambria Math" w:hAnsi="Cambria Math"/>
              </w:rPr>
              <m:t>k</m:t>
            </m:r>
          </m:e>
          <m:sub>
            <m:r>
              <w:rPr>
                <w:rFonts w:ascii="Cambria Math" w:hAnsi="Cambria Math"/>
              </w:rPr>
              <m:t>f</m:t>
            </m:r>
          </m:sub>
        </m:sSub>
      </m:oMath>
      <w:r w:rsidRPr="00FC71BE">
        <w:t xml:space="preserve"> is the dimensionless pressure loss coefficient caused by 1) changing in flow conditions, e.g., expansions, contractions, and bends; and 2) fluid friction at wall surface. The properties of coolant (e.g., viscosity and density), topologies of the machines and the cooling system, and the conditions of the machines (i.e., rotor speed) are all factors that affect </w:t>
      </w:r>
      <m:oMath>
        <m:sSub>
          <m:sSubPr>
            <m:ctrlPr>
              <w:rPr>
                <w:rFonts w:ascii="Cambria Math" w:hAnsi="Cambria Math"/>
                <w:i/>
              </w:rPr>
            </m:ctrlPr>
          </m:sSubPr>
          <m:e>
            <m:r>
              <w:rPr>
                <w:rFonts w:ascii="Cambria Math" w:hAnsi="Cambria Math"/>
              </w:rPr>
              <m:t>k</m:t>
            </m:r>
          </m:e>
          <m:sub>
            <m:r>
              <w:rPr>
                <w:rFonts w:ascii="Cambria Math" w:hAnsi="Cambria Math"/>
              </w:rPr>
              <m:t>f</m:t>
            </m:r>
          </m:sub>
        </m:sSub>
      </m:oMath>
      <w:r w:rsidRPr="00FC71BE">
        <w:t xml:space="preserve"> </w:t>
      </w:r>
      <w:r w:rsidRPr="00FC71BE">
        <w:fldChar w:fldCharType="begin"/>
      </w:r>
      <w:r w:rsidR="00103B0D" w:rsidRPr="00FC71BE">
        <w:instrText xml:space="preserve"> ADDIN EN.CITE &lt;EndNote&gt;&lt;Cite&gt;&lt;Author&gt;Gai&lt;/Author&gt;&lt;Year&gt;2018&lt;/Year&gt;&lt;RecNum&gt;124&lt;/RecNum&gt;&lt;DisplayText&gt;[56]&lt;/DisplayText&gt;&lt;record&gt;&lt;rec-number&gt;124&lt;/rec-number&gt;&lt;foreign-keys&gt;&lt;key app="EN" db-id="rf2p5e05jx0x9jep00uvx0s1fvaww2dfa0r9" timestamp="1696430525"&gt;124&lt;/key&gt;&lt;/foreign-keys&gt;&lt;ref-type name="Journal Article"&gt;17&lt;/ref-type&gt;&lt;contributors&gt;&lt;authors&gt;&lt;author&gt;Gai, Yao Hui&lt;/author&gt;&lt;author&gt;Kimiabeigi, Mohammad&lt;/author&gt;&lt;author&gt;Chong, Yew Chuan&lt;/author&gt;&lt;author&gt;Widmer, James D&lt;/author&gt;&lt;author&gt;Deng, Xu&lt;/author&gt;&lt;author&gt;Popescu, Mircea&lt;/author&gt;&lt;author&gt;Goss, James&lt;/author&gt;&lt;author&gt;Staton, Dave A&lt;/author&gt;&lt;author&gt;Steven, Andrew&lt;/author&gt;&lt;/authors&gt;&lt;/contributors&gt;&lt;titles&gt;&lt;title&gt;Cooling of automotive traction motors: Schemes, examples, and computation methods&lt;/title&gt;&lt;secondary-title&gt;IEEE Transactions on Industrial Electronics&lt;/secondary-title&gt;&lt;/titles&gt;&lt;periodical&gt;&lt;full-title&gt;IEEE Transactions on Industrial Electronics&lt;/full-title&gt;&lt;/periodical&gt;&lt;pages&gt;1681-1692&lt;/pages&gt;&lt;volume&gt;66&lt;/volume&gt;&lt;number&gt;3&lt;/number&gt;&lt;dates&gt;&lt;year&gt;2018&lt;/year&gt;&lt;/dates&gt;&lt;isbn&gt;0278-0046&lt;/isbn&gt;&lt;urls&gt;&lt;/urls&gt;&lt;/record&gt;&lt;/Cite&gt;&lt;/EndNote&gt;</w:instrText>
      </w:r>
      <w:r w:rsidRPr="00FC71BE">
        <w:fldChar w:fldCharType="separate"/>
      </w:r>
      <w:r w:rsidR="0000133B" w:rsidRPr="00FC71BE">
        <w:t>[56]</w:t>
      </w:r>
      <w:r w:rsidRPr="00FC71BE">
        <w:fldChar w:fldCharType="end"/>
      </w:r>
      <w:r w:rsidRPr="00FC71BE">
        <w:t>.</w:t>
      </w:r>
    </w:p>
    <w:p w14:paraId="1730902F" w14:textId="489AE007" w:rsidR="0045562B" w:rsidRPr="00FC71BE" w:rsidRDefault="0045562B" w:rsidP="0045562B">
      <w:r w:rsidRPr="00FC71BE">
        <w:t xml:space="preserve">For the modular machines, a significant change in machine topology is introduced. According to the flow network analysis, the influence of the flux gaps on fluid dynamics and heat transfer can be significant. Different cooling methods for the PM machines with stator modularity have been investigated in literatures </w:t>
      </w:r>
      <w:r w:rsidRPr="00FC71BE">
        <w:fldChar w:fldCharType="begin">
          <w:fldData xml:space="preserve">PEVuZE5vdGU+PENpdGU+PEF1dGhvcj5Ob2xsYXU8L0F1dGhvcj48WWVhcj4yMDE0PC9ZZWFyPjxS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</w:fldData>
        </w:fldChar>
      </w:r>
      <w:r w:rsidR="00BA33ED" w:rsidRPr="00FC71BE">
        <w:instrText xml:space="preserve"> ADDIN EN.CITE </w:instrText>
      </w:r>
      <w:r w:rsidR="00BA33ED" w:rsidRPr="00FC71BE">
        <w:fldChar w:fldCharType="begin">
          <w:fldData xml:space="preserve">PEVuZE5vdGU+PENpdGU+PEF1dGhvcj5Ob2xsYXU8L0F1dGhvcj48WWVhcj4yMDE0PC9ZZWFyPjxS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</w:fldData>
        </w:fldChar>
      </w:r>
      <w:r w:rsidR="00BA33ED" w:rsidRPr="00FC71BE">
        <w:instrText xml:space="preserve"> ADDIN EN.CITE.DATA </w:instrText>
      </w:r>
      <w:r w:rsidR="00BA33ED" w:rsidRPr="00FC71BE">
        <w:fldChar w:fldCharType="end"/>
      </w:r>
      <w:r w:rsidRPr="00FC71BE">
        <w:fldChar w:fldCharType="separate"/>
      </w:r>
      <w:r w:rsidR="00BA33ED" w:rsidRPr="00FC71BE">
        <w:t>[110, 159, 168]</w:t>
      </w:r>
      <w:r w:rsidRPr="00FC71BE">
        <w:fldChar w:fldCharType="end"/>
      </w:r>
      <w:r w:rsidRPr="00FC71BE">
        <w:t xml:space="preserve">. They indicated that introducing flux gaps/barriers into the machine stator can improve machine electromagnetic and thermal performances. The reason for improving the thermal performance is that, introducing flux gaps can not only increase the contact area between the stator and the coolant, </w:t>
      </w:r>
      <w:r w:rsidRPr="00FC71BE">
        <w:lastRenderedPageBreak/>
        <w:t xml:space="preserve">but also significantly reduce the flow resistance of the whole cooling system for the investigated machines. In this chapter, two types of forced cooling technologies will be employed for the modular machines. For example, the semi-flooded oil cooling and ventilation cooling technologies are employed. The influence of the flux gaps on thermal performance of the modular machine will be investigated. In addition, other parameters such as coolant flow rate, and inlet/outlet area of the cooling systems will also be investigated to demonstrate their impact on machine thermal performances. The flow network analysis </w:t>
      </w:r>
      <w:r w:rsidRPr="00FC71BE">
        <w:fldChar w:fldCharType="begin">
          <w:fldData xml:space="preserve">PEVuZE5vdGU+PENpdGU+PEF1dGhvcj5UYXlsb3I8L0F1dGhvcj48WWVhcj4xOTYwPC9ZZWFyPjxS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</w:fldData>
        </w:fldChar>
      </w:r>
      <w:r w:rsidR="00BA33ED" w:rsidRPr="00FC71BE">
        <w:instrText xml:space="preserve"> ADDIN EN.CITE </w:instrText>
      </w:r>
      <w:r w:rsidR="00BA33ED" w:rsidRPr="00FC71BE">
        <w:fldChar w:fldCharType="begin">
          <w:fldData xml:space="preserve">PEVuZE5vdGU+PENpdGU+PEF1dGhvcj5UYXlsb3I8L0F1dGhvcj48WWVhcj4xOTYwPC9ZZWFyPjxS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</w:fldData>
        </w:fldChar>
      </w:r>
      <w:r w:rsidR="00BA33ED" w:rsidRPr="00FC71BE">
        <w:instrText xml:space="preserve"> ADDIN EN.CITE.DATA </w:instrText>
      </w:r>
      <w:r w:rsidR="00BA33ED" w:rsidRPr="00FC71BE">
        <w:fldChar w:fldCharType="end"/>
      </w:r>
      <w:r w:rsidRPr="00FC71BE">
        <w:fldChar w:fldCharType="separate"/>
      </w:r>
      <w:r w:rsidR="00BA33ED" w:rsidRPr="00FC71BE">
        <w:t>[89, 169, 170]</w:t>
      </w:r>
      <w:r w:rsidRPr="00FC71BE">
        <w:fldChar w:fldCharType="end"/>
      </w:r>
      <w:r w:rsidRPr="00FC71BE">
        <w:t xml:space="preserve"> also points out that rotor speed affects the flow resistance of a stator-rotor annular gap or rotor ducts. Therefore, the thermal performance of the modular machine and its non-modular counterpart will be investigated for different rotor speeds.</w:t>
      </w:r>
    </w:p>
    <w:p w14:paraId="3D18227B" w14:textId="1F259626" w:rsidR="0045562B" w:rsidRPr="00FC71BE" w:rsidRDefault="0045562B" w:rsidP="00B86C68">
      <w:pPr>
        <w:pStyle w:val="Heading2"/>
        <w:numPr>
          <w:ilvl w:val="1"/>
          <w:numId w:val="49"/>
        </w:numPr>
      </w:pPr>
      <w:bookmarkStart w:id="193" w:name="_Ref145959265"/>
      <w:bookmarkStart w:id="194" w:name="_Toc157695361"/>
      <w:r w:rsidRPr="00FC71BE">
        <w:t>Computational Fluid Dynamics Modelling</w:t>
      </w:r>
      <w:bookmarkEnd w:id="193"/>
      <w:bookmarkEnd w:id="194"/>
    </w:p>
    <w:p w14:paraId="61EFA67E" w14:textId="77777777" w:rsidR="0045562B" w:rsidRPr="00FC71BE" w:rsidRDefault="0045562B" w:rsidP="0045562B">
      <w:r w:rsidRPr="00FC71BE">
        <w:t>The behaviour of fluid is governed by a set of nonlinear partial differential equations. Therefore, it is necessary to employ a CFD software to iteratively solve this problem. The CFD software package ANSYS-CFX has been use for this research. In this chapter, the principle, and the governing equations for CFD modelling have been explained in detail as can be seen in the following sections.</w:t>
      </w:r>
    </w:p>
    <w:p w14:paraId="41D3197F" w14:textId="77777777" w:rsidR="0045562B" w:rsidRPr="00FC71BE" w:rsidRDefault="0045562B" w:rsidP="00B86C68">
      <w:pPr>
        <w:pStyle w:val="Heading3"/>
        <w:numPr>
          <w:ilvl w:val="2"/>
          <w:numId w:val="49"/>
        </w:numPr>
      </w:pPr>
      <w:bookmarkStart w:id="195" w:name="_Toc157695362"/>
      <w:r w:rsidRPr="00FC71BE">
        <w:t>Governing Equations</w:t>
      </w:r>
      <w:bookmarkEnd w:id="195"/>
    </w:p>
    <w:p w14:paraId="5A86024A" w14:textId="79AA871E" w:rsidR="0045562B" w:rsidRPr="00FC71BE" w:rsidRDefault="0045562B" w:rsidP="0045562B">
      <w:r w:rsidRPr="00FC71BE">
        <w:t xml:space="preserve">The governing equations of fluid motion represent the mathematical expressions of the basic conservation laws of fluid mechanics. They are </w:t>
      </w:r>
      <w:r w:rsidRPr="00FC71BE">
        <w:fldChar w:fldCharType="begin"/>
      </w:r>
      <w:r w:rsidR="00BA33ED" w:rsidRPr="00FC71BE">
        <w:instrText xml:space="preserve"> ADDIN EN.CITE &lt;EndNote&gt;&lt;Cite&gt;&lt;Author&gt;Chong&lt;/Author&gt;&lt;Year&gt;2015&lt;/Year&gt;&lt;RecNum&gt;281&lt;/RecNum&gt;&lt;DisplayText&gt;[146, 171]&lt;/DisplayText&gt;&lt;record&gt;&lt;rec-number&gt;281&lt;/rec-number&gt;&lt;foreign-keys&gt;&lt;key app="EN" db-id="p00pasffqrr5wvef0f35etrrr0xzp0wptrtd" timestamp="1694550628" guid="e62aeca4-f63e-423f-ba03-e3f957f91dae"&gt;281&lt;/key&gt;&lt;/foreign-keys&gt;&lt;ref-type name="Thesis"&gt;32&lt;/ref-type&gt;&lt;contributors&gt;&lt;authors&gt;&lt;author&gt;Chong, Yew Chuan&lt;/author&gt;&lt;/authors&gt;&lt;/contributors&gt;&lt;titles&gt;&lt;title&gt;Thermal analysis and air flow modelling of electrical machines&lt;/title&gt;&lt;secondary-title&gt;Dept. Mech. Eng.&lt;/secondary-title&gt;&lt;/titles&gt;&lt;dates&gt;&lt;year&gt;2015&lt;/year&gt;&lt;/dates&gt;&lt;pub-location&gt;Edinburgh, U.K.&lt;/pub-location&gt;&lt;publisher&gt;Edinburgh Univ.&lt;/publisher&gt;&lt;work-type&gt;Ph.D. dissertation&lt;/work-type&gt;&lt;urls&gt;&lt;/urls&gt;&lt;/record&gt;&lt;/Cite&gt;&lt;Cite&gt;&lt;Author&gt;Versteeg&lt;/Author&gt;&lt;Year&gt;2007&lt;/Year&gt;&lt;RecNum&gt;320&lt;/RecNum&gt;&lt;record&gt;&lt;rec-number&gt;320&lt;/rec-number&gt;&lt;foreign-keys&gt;&lt;key app="EN" db-id="p00pasffqrr5wvef0f35etrrr0xzp0wptrtd" timestamp="1694786961" guid="8bddd9f8-df70-44f3-9f5d-ed499f01247b"&gt;320&lt;/key&gt;&lt;/foreign-keys&gt;&lt;ref-type name="Book"&gt;6&lt;/ref-type&gt;&lt;contributors&gt;&lt;authors&gt;&lt;author&gt;Versteeg, Henk Kaarle&lt;/author&gt;&lt;author&gt;Malalasekera, Weeratunge&lt;/author&gt;&lt;/authors&gt;&lt;/contributors&gt;&lt;titles&gt;&lt;title&gt;An introduction to computational fluid dynamics: the finite volume method&lt;/title&gt;&lt;/titles&gt;&lt;dates&gt;&lt;year&gt;2007&lt;/year&gt;&lt;/dates&gt;&lt;publisher&gt;Pearson education&lt;/publisher&gt;&lt;isbn&gt;0131274988&lt;/isbn&gt;&lt;urls&gt;&lt;/urls&gt;&lt;/record&gt;&lt;/Cite&gt;&lt;/EndNote&gt;</w:instrText>
      </w:r>
      <w:r w:rsidRPr="00FC71BE">
        <w:fldChar w:fldCharType="separate"/>
      </w:r>
      <w:r w:rsidR="00BA33ED" w:rsidRPr="00FC71BE">
        <w:t>[146, 171]</w:t>
      </w:r>
      <w:r w:rsidRPr="00FC71BE">
        <w:fldChar w:fldCharType="end"/>
      </w:r>
      <w:r w:rsidRPr="00FC71BE">
        <w:t>:</w:t>
      </w:r>
    </w:p>
    <w:p w14:paraId="6212B2F6" w14:textId="77777777" w:rsidR="0045562B" w:rsidRPr="00FC71BE" w:rsidRDefault="0045562B" w:rsidP="00AF4190">
      <w:pPr>
        <w:pStyle w:val="ListParagraph"/>
        <w:numPr>
          <w:ilvl w:val="0"/>
          <w:numId w:val="31"/>
        </w:numPr>
        <w:ind w:left="357" w:hanging="357"/>
      </w:pPr>
      <w:r w:rsidRPr="00FC71BE">
        <w:t>Conservation of mass: the mass of a fluid is conserved. Its mathematical expression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23308F86" w14:textId="77777777">
        <w:tc>
          <w:tcPr>
            <w:tcW w:w="4401" w:type="pct"/>
            <w:vAlign w:val="center"/>
          </w:tcPr>
          <w:p w14:paraId="02687EA8" w14:textId="77777777" w:rsidR="0045562B" w:rsidRPr="00FC71BE" w:rsidRDefault="002143AD">
            <w:pPr>
              <w:ind w:left="340" w:firstLine="0"/>
            </w:pPr>
            <m:oMathPara>
              <m:oMath>
                <m:f>
                  <m:fPr>
                    <m:ctrlPr>
                      <w:rPr>
                        <w:rFonts w:ascii="Cambria Math" w:hAnsi="Cambria Math"/>
                        <w:i/>
                      </w:rPr>
                    </m:ctrlPr>
                  </m:fPr>
                  <m:num>
                    <m:r>
                      <w:rPr>
                        <w:rFonts w:ascii="Cambria Math" w:hAnsi="Cambria Math"/>
                      </w:rPr>
                      <m:t>∂ρ</m:t>
                    </m:r>
                  </m:num>
                  <m:den>
                    <m:r>
                      <w:rPr>
                        <w:rFonts w:ascii="Cambria Math" w:hAnsi="Cambria Math"/>
                      </w:rPr>
                      <m:t>∂t</m:t>
                    </m:r>
                  </m:den>
                </m:f>
                <m:r>
                  <w:rPr>
                    <w:rFonts w:ascii="Cambria Math" w:hAnsi="Cambria Math"/>
                  </w:rPr>
                  <m:t>+</m:t>
                </m:r>
                <m:r>
                  <m:rPr>
                    <m:sty m:val="p"/>
                  </m:rPr>
                  <w:rPr>
                    <w:rFonts w:ascii="Cambria Math" w:hAnsi="Cambria Math"/>
                  </w:rPr>
                  <m:t>∇</m:t>
                </m:r>
                <m:r>
                  <w:rPr>
                    <w:rFonts w:ascii="Cambria Math" w:hAnsi="Cambria Math"/>
                  </w:rPr>
                  <m:t>∙</m:t>
                </m:r>
                <m:d>
                  <m:dPr>
                    <m:ctrlPr>
                      <w:rPr>
                        <w:rFonts w:ascii="Cambria Math" w:hAnsi="Cambria Math"/>
                        <w:i/>
                      </w:rPr>
                    </m:ctrlPr>
                  </m:dPr>
                  <m:e>
                    <m:r>
                      <w:rPr>
                        <w:rFonts w:ascii="Cambria Math" w:hAnsi="Cambria Math"/>
                      </w:rPr>
                      <m:t>ρ</m:t>
                    </m:r>
                    <m:r>
                      <m:rPr>
                        <m:sty m:val="bi"/>
                      </m:rPr>
                      <w:rPr>
                        <w:rFonts w:ascii="Cambria Math" w:hAnsi="Cambria Math"/>
                      </w:rPr>
                      <m:t>u</m:t>
                    </m:r>
                  </m:e>
                </m:d>
                <m:r>
                  <w:rPr>
                    <w:rFonts w:ascii="Cambria Math" w:hAnsi="Cambria Math"/>
                  </w:rPr>
                  <m:t>=0</m:t>
                </m:r>
              </m:oMath>
            </m:oMathPara>
          </w:p>
        </w:tc>
        <w:tc>
          <w:tcPr>
            <w:tcW w:w="599" w:type="pct"/>
            <w:vAlign w:val="center"/>
          </w:tcPr>
          <w:p w14:paraId="7DCFAD19" w14:textId="15C8F686" w:rsidR="0045562B" w:rsidRPr="00FC71BE" w:rsidRDefault="0045562B">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p>
        </w:tc>
      </w:tr>
    </w:tbl>
    <w:p w14:paraId="18FEC067" w14:textId="77777777" w:rsidR="0045562B" w:rsidRPr="00FC71BE" w:rsidRDefault="0045562B" w:rsidP="0045562B">
      <w:pPr>
        <w:ind w:firstLine="0"/>
      </w:pPr>
      <w:r w:rsidRPr="00FC71BE">
        <w:t xml:space="preserve">where </w:t>
      </w:r>
      <m:oMath>
        <m:r>
          <w:rPr>
            <w:rFonts w:ascii="Cambria Math" w:hAnsi="Cambria Math"/>
          </w:rPr>
          <m:t>ρ</m:t>
        </m:r>
      </m:oMath>
      <w:r w:rsidRPr="00FC71BE">
        <w:t xml:space="preserve"> is the fluid density, </w:t>
      </w:r>
      <m:oMath>
        <m:r>
          <w:rPr>
            <w:rFonts w:ascii="Cambria Math" w:hAnsi="Cambria Math"/>
          </w:rPr>
          <m:t>t</m:t>
        </m:r>
      </m:oMath>
      <w:r w:rsidRPr="00FC71BE">
        <w:t xml:space="preserve"> is the time and </w:t>
      </w:r>
      <m:oMath>
        <m:r>
          <m:rPr>
            <m:sty m:val="bi"/>
          </m:rPr>
          <w:rPr>
            <w:rFonts w:ascii="Cambria Math" w:hAnsi="Cambria Math"/>
          </w:rPr>
          <m:t>u</m:t>
        </m:r>
      </m:oMath>
      <w:r w:rsidRPr="00FC71BE">
        <w:t xml:space="preserve"> is the velocity vector.</w:t>
      </w:r>
    </w:p>
    <w:p w14:paraId="0027F628" w14:textId="06CDC429" w:rsidR="0045562B" w:rsidRPr="00FC71BE" w:rsidRDefault="0045562B" w:rsidP="00AF4190">
      <w:pPr>
        <w:pStyle w:val="ListParagraph"/>
        <w:numPr>
          <w:ilvl w:val="0"/>
          <w:numId w:val="31"/>
        </w:numPr>
        <w:ind w:left="357" w:hanging="357"/>
      </w:pPr>
      <w:r w:rsidRPr="00FC71BE">
        <w:t xml:space="preserve">Conservation of momentum (Newton’s second law): the change rate of momentum equals to the sum of forces. The conservation of momentum for fluid particle is also known as Navier-Stokes equation as </w:t>
      </w:r>
      <w:r w:rsidRPr="00FC71BE">
        <w:fldChar w:fldCharType="begin"/>
      </w:r>
      <w:r w:rsidR="0000133B" w:rsidRPr="00FC71BE">
        <w:instrText xml:space="preserve"> ADDIN EN.CITE &lt;EndNote&gt;&lt;Cite&gt;&lt;Author&gt;Staton&lt;/Author&gt;&lt;Year&gt;2022&lt;/Year&gt;&lt;RecNum&gt;283&lt;/RecNum&gt;&lt;DisplayText&gt;[3]&lt;/DisplayText&gt;&lt;record&gt;&lt;rec-number&gt;283&lt;/rec-number&gt;&lt;foreign-keys&gt;&lt;key app="EN" db-id="p00pasffqrr5wvef0f35etrrr0xzp0wptrtd" timestamp="1694550885" guid="0748f6da-e575-487f-8a80-eeb3673a6875"&gt;283&lt;/key&gt;&lt;/foreign-keys&gt;&lt;ref-type name="Book"&gt;6&lt;/ref-type&gt;&lt;contributors&gt;&lt;authors&gt;&lt;author&gt;Staton, David&lt;/author&gt;&lt;author&gt;Chong, Eddie&lt;/author&gt;&lt;author&gt;Pickering, Stephen&lt;/author&gt;&lt;author&gt;Boglietti, Aldo&lt;/author&gt;&lt;/authors&gt;&lt;/contributors&gt;&lt;titles&gt;&lt;title&gt;Cooling of Rotating Electrical Machines: Fundamentals, Modelling, Testing and Design&lt;/title&gt;&lt;/titles&gt;&lt;volume&gt;109&lt;/volume&gt;&lt;dates&gt;&lt;year&gt;2022&lt;/year&gt;&lt;/dates&gt;&lt;publisher&gt;IET&lt;/publisher&gt;&lt;isbn&gt;1785613510&lt;/isbn&gt;&lt;urls&gt;&lt;/urls&gt;&lt;/record&gt;&lt;/Cite&gt;&lt;/EndNote&gt;</w:instrText>
      </w:r>
      <w:r w:rsidRPr="00FC71BE">
        <w:fldChar w:fldCharType="separate"/>
      </w:r>
      <w:r w:rsidR="0000133B" w:rsidRPr="00FC71BE">
        <w:t>[3]</w:t>
      </w:r>
      <w:r w:rsidRPr="00FC71BE">
        <w:fldChar w:fldCharType="end"/>
      </w:r>
      <w:r w:rsidRPr="00FC71BE">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0E93248E" w14:textId="77777777">
        <w:tc>
          <w:tcPr>
            <w:tcW w:w="4401" w:type="pct"/>
            <w:vAlign w:val="center"/>
          </w:tcPr>
          <w:p w14:paraId="181AFBA1" w14:textId="77777777" w:rsidR="0045562B" w:rsidRPr="00FC71BE" w:rsidRDefault="0045562B">
            <w:pPr>
              <w:ind w:left="340" w:firstLine="0"/>
            </w:pPr>
            <m:oMathPara>
              <m:oMath>
                <m:r>
                  <w:rPr>
                    <w:rFonts w:ascii="Cambria Math" w:hAnsi="Cambria Math"/>
                  </w:rPr>
                  <m:t>ρ</m:t>
                </m:r>
                <m:f>
                  <m:fPr>
                    <m:ctrlPr>
                      <w:rPr>
                        <w:rFonts w:ascii="Cambria Math" w:hAnsi="Cambria Math"/>
                        <w:i/>
                      </w:rPr>
                    </m:ctrlPr>
                  </m:fPr>
                  <m:num>
                    <m:r>
                      <w:rPr>
                        <w:rFonts w:ascii="Cambria Math" w:hAnsi="Cambria Math"/>
                      </w:rPr>
                      <m:t>∂</m:t>
                    </m:r>
                    <m:r>
                      <m:rPr>
                        <m:sty m:val="bi"/>
                      </m:rPr>
                      <w:rPr>
                        <w:rFonts w:ascii="Cambria Math" w:hAnsi="Cambria Math"/>
                      </w:rPr>
                      <m:t>u</m:t>
                    </m:r>
                  </m:num>
                  <m:den>
                    <m:r>
                      <w:rPr>
                        <w:rFonts w:ascii="Cambria Math" w:hAnsi="Cambria Math"/>
                      </w:rPr>
                      <m:t>∂t</m:t>
                    </m:r>
                  </m:den>
                </m:f>
                <m:r>
                  <w:rPr>
                    <w:rFonts w:ascii="Cambria Math" w:hAnsi="Cambria Math"/>
                  </w:rPr>
                  <m:t>+ρ</m:t>
                </m:r>
                <m:d>
                  <m:dPr>
                    <m:ctrlPr>
                      <w:rPr>
                        <w:rFonts w:ascii="Cambria Math" w:hAnsi="Cambria Math"/>
                        <w:i/>
                      </w:rPr>
                    </m:ctrlPr>
                  </m:dPr>
                  <m:e>
                    <m:r>
                      <m:rPr>
                        <m:sty m:val="bi"/>
                      </m:rPr>
                      <w:rPr>
                        <w:rFonts w:ascii="Cambria Math" w:hAnsi="Cambria Math"/>
                      </w:rPr>
                      <m:t>u</m:t>
                    </m:r>
                    <m:r>
                      <w:rPr>
                        <w:rFonts w:ascii="Cambria Math" w:hAnsi="Cambria Math"/>
                      </w:rPr>
                      <m:t>∙</m:t>
                    </m:r>
                    <m:r>
                      <m:rPr>
                        <m:sty m:val="b"/>
                      </m:rPr>
                      <w:rPr>
                        <w:rFonts w:ascii="Cambria Math" w:hAnsi="Cambria Math"/>
                      </w:rPr>
                      <m:t>∇</m:t>
                    </m:r>
                  </m:e>
                </m:d>
                <m:r>
                  <m:rPr>
                    <m:sty m:val="bi"/>
                  </m:rPr>
                  <w:rPr>
                    <w:rFonts w:ascii="Cambria Math" w:hAnsi="Cambria Math"/>
                  </w:rPr>
                  <m:t>u</m:t>
                </m:r>
                <m:r>
                  <w:rPr>
                    <w:rFonts w:ascii="Cambria Math" w:hAnsi="Cambria Math"/>
                  </w:rPr>
                  <m:t>=-</m:t>
                </m:r>
                <m:r>
                  <m:rPr>
                    <m:sty m:val="b"/>
                  </m:rPr>
                  <w:rPr>
                    <w:rFonts w:ascii="Cambria Math" w:hAnsi="Cambria Math"/>
                  </w:rPr>
                  <m:t>∇</m:t>
                </m:r>
                <m:r>
                  <w:rPr>
                    <w:rFonts w:ascii="Cambria Math" w:hAnsi="Cambria Math"/>
                  </w:rPr>
                  <m:t>p</m:t>
                </m:r>
                <m:r>
                  <m:rPr>
                    <m:sty m:val="p"/>
                  </m:rPr>
                  <w:rPr>
                    <w:rFonts w:ascii="Cambria Math" w:hAnsi="Cambria Math"/>
                  </w:rPr>
                  <m:t>+</m:t>
                </m:r>
                <m:sSub>
                  <m:sSubPr>
                    <m:ctrlPr>
                      <w:rPr>
                        <w:rFonts w:ascii="Cambria Math" w:hAnsi="Cambria Math"/>
                        <w:b/>
                        <w:bCs/>
                      </w:rPr>
                    </m:ctrlPr>
                  </m:sSubPr>
                  <m:e>
                    <m:r>
                      <m:rPr>
                        <m:sty m:val="bi"/>
                      </m:rPr>
                      <w:rPr>
                        <w:rFonts w:ascii="Cambria Math" w:hAnsi="Cambria Math"/>
                      </w:rPr>
                      <m:t>F</m:t>
                    </m:r>
                  </m:e>
                  <m:sub>
                    <m:r>
                      <m:rPr>
                        <m:sty m:val="bi"/>
                      </m:rPr>
                      <w:rPr>
                        <w:rFonts w:ascii="Cambria Math" w:hAnsi="Cambria Math"/>
                      </w:rPr>
                      <m:t>v</m:t>
                    </m:r>
                  </m:sub>
                </m:sSub>
                <m:r>
                  <m:rPr>
                    <m:sty m:val="bi"/>
                  </m:rPr>
                  <w:rPr>
                    <w:rFonts w:ascii="Cambria Math" w:hAnsi="Cambria Math"/>
                  </w:rPr>
                  <m:t>+F</m:t>
                </m:r>
              </m:oMath>
            </m:oMathPara>
          </w:p>
        </w:tc>
        <w:tc>
          <w:tcPr>
            <w:tcW w:w="599" w:type="pct"/>
            <w:vAlign w:val="center"/>
          </w:tcPr>
          <w:p w14:paraId="5E341193" w14:textId="7E3AF6CC" w:rsidR="0045562B" w:rsidRPr="00FC71BE" w:rsidRDefault="0045562B">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p>
        </w:tc>
      </w:tr>
    </w:tbl>
    <w:p w14:paraId="3DEE13B5" w14:textId="5BEEA877" w:rsidR="0045562B" w:rsidRPr="00FC71BE" w:rsidRDefault="0045562B" w:rsidP="0045562B">
      <w:pPr>
        <w:ind w:firstLine="0"/>
      </w:pPr>
      <w:r w:rsidRPr="00FC71BE">
        <w:t xml:space="preserve">where </w:t>
      </w:r>
      <m:oMath>
        <m:r>
          <w:rPr>
            <w:rFonts w:ascii="Cambria Math" w:hAnsi="Cambria Math"/>
          </w:rPr>
          <m:t>p</m:t>
        </m:r>
      </m:oMath>
      <w:r w:rsidRPr="00FC71BE">
        <w:t xml:space="preserve"> is the pressure that is a function of temperature and density. </w:t>
      </w:r>
      <m:oMath>
        <m:sSub>
          <m:sSubPr>
            <m:ctrlPr>
              <w:rPr>
                <w:rFonts w:ascii="Cambria Math" w:hAnsi="Cambria Math"/>
                <w:b/>
                <w:bCs/>
              </w:rPr>
            </m:ctrlPr>
          </m:sSubPr>
          <m:e>
            <m:r>
              <m:rPr>
                <m:sty m:val="bi"/>
              </m:rPr>
              <w:rPr>
                <w:rFonts w:ascii="Cambria Math" w:hAnsi="Cambria Math"/>
              </w:rPr>
              <m:t>F</m:t>
            </m:r>
          </m:e>
          <m:sub>
            <m:r>
              <m:rPr>
                <m:sty m:val="bi"/>
              </m:rPr>
              <w:rPr>
                <w:rFonts w:ascii="Cambria Math" w:hAnsi="Cambria Math"/>
              </w:rPr>
              <m:t>v</m:t>
            </m:r>
          </m:sub>
        </m:sSub>
      </m:oMath>
      <w:r w:rsidRPr="00FC71BE">
        <w:t xml:space="preserve"> is viscosity force density vector dependent on the viscosity stress. </w:t>
      </w:r>
      <m:oMath>
        <m:r>
          <m:rPr>
            <m:sty m:val="bi"/>
          </m:rPr>
          <w:rPr>
            <w:rFonts w:ascii="Cambria Math" w:hAnsi="Cambria Math"/>
          </w:rPr>
          <m:t>F</m:t>
        </m:r>
      </m:oMath>
      <w:r w:rsidRPr="00FC71BE">
        <w:t xml:space="preserve"> are other body forces such as gravitational force, centrifugal force, Coriolis force (occurred because different points on a rotating object </w:t>
      </w:r>
      <w:r w:rsidRPr="00FC71BE">
        <w:lastRenderedPageBreak/>
        <w:t xml:space="preserve">have different linear velocities), and electromagnetic force that the fluid particle is subjected to. It is worth noting that, the gravitational force term can be negligible when the working fluid is gas or for the forced convection conditions </w:t>
      </w:r>
      <w:r w:rsidRPr="00FC71BE">
        <w:fldChar w:fldCharType="begin"/>
      </w:r>
      <w:r w:rsidR="00BA33ED" w:rsidRPr="00FC71BE">
        <w:instrText xml:space="preserve"> ADDIN EN.CITE &lt;EndNote&gt;&lt;Cite&gt;&lt;Author&gt;Chong&lt;/Author&gt;&lt;Year&gt;2015&lt;/Year&gt;&lt;RecNum&gt;281&lt;/RecNum&gt;&lt;DisplayText&gt;[146]&lt;/DisplayText&gt;&lt;record&gt;&lt;rec-number&gt;281&lt;/rec-number&gt;&lt;foreign-keys&gt;&lt;key app="EN" db-id="p00pasffqrr5wvef0f35etrrr0xzp0wptrtd" timestamp="1694550628" guid="e62aeca4-f63e-423f-ba03-e3f957f91dae"&gt;281&lt;/key&gt;&lt;/foreign-keys&gt;&lt;ref-type name="Thesis"&gt;32&lt;/ref-type&gt;&lt;contributors&gt;&lt;authors&gt;&lt;author&gt;Chong, Yew Chuan&lt;/author&gt;&lt;/authors&gt;&lt;/contributors&gt;&lt;titles&gt;&lt;title&gt;Thermal analysis and air flow modelling of electrical machines&lt;/title&gt;&lt;secondary-title&gt;Dept. Mech. Eng.&lt;/secondary-title&gt;&lt;/titles&gt;&lt;dates&gt;&lt;year&gt;2015&lt;/year&gt;&lt;/dates&gt;&lt;pub-location&gt;Edinburgh, U.K.&lt;/pub-location&gt;&lt;publisher&gt;Edinburgh Univ.&lt;/publisher&gt;&lt;work-type&gt;Ph.D. dissertation&lt;/work-type&gt;&lt;urls&gt;&lt;/urls&gt;&lt;/record&gt;&lt;/Cite&gt;&lt;/EndNote&gt;</w:instrText>
      </w:r>
      <w:r w:rsidRPr="00FC71BE">
        <w:fldChar w:fldCharType="separate"/>
      </w:r>
      <w:r w:rsidR="00BA33ED" w:rsidRPr="00FC71BE">
        <w:t>[146]</w:t>
      </w:r>
      <w:r w:rsidRPr="00FC71BE">
        <w:fldChar w:fldCharType="end"/>
      </w:r>
      <w:r w:rsidRPr="00FC71BE">
        <w:t>.</w:t>
      </w:r>
    </w:p>
    <w:p w14:paraId="7176E277" w14:textId="77777777" w:rsidR="0045562B" w:rsidRPr="00FC71BE" w:rsidRDefault="0045562B" w:rsidP="00AF4190">
      <w:pPr>
        <w:pStyle w:val="ListParagraph"/>
        <w:numPr>
          <w:ilvl w:val="0"/>
          <w:numId w:val="31"/>
        </w:numPr>
        <w:ind w:left="357" w:hanging="357"/>
      </w:pPr>
      <w:r w:rsidRPr="00FC71BE">
        <w:t>Conservation of energy (first law of thermodynamics): the rate of change of energy is equal to the sum of the net rate of heat added and the net rate of work done. For fluid, the energy conservation equation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7CB51395" w14:textId="77777777">
        <w:tc>
          <w:tcPr>
            <w:tcW w:w="4401" w:type="pct"/>
            <w:vAlign w:val="center"/>
          </w:tcPr>
          <w:p w14:paraId="78DAD5A8" w14:textId="69FDDC05" w:rsidR="0045562B" w:rsidRPr="00FC71BE" w:rsidRDefault="002143AD">
            <w:pPr>
              <w:ind w:left="340" w:firstLine="0"/>
            </w:pPr>
            <m:oMathPara>
              <m:oMath>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ρT</m:t>
                        </m:r>
                      </m:e>
                    </m:d>
                  </m:num>
                  <m:den>
                    <m:r>
                      <w:rPr>
                        <w:rFonts w:ascii="Cambria Math" w:hAnsi="Cambria Math"/>
                      </w:rPr>
                      <m:t>∂t</m:t>
                    </m:r>
                  </m:den>
                </m:f>
                <m:r>
                  <w:rPr>
                    <w:rFonts w:ascii="Cambria Math" w:hAnsi="Cambria Math"/>
                  </w:rPr>
                  <m:t>+</m:t>
                </m:r>
                <m:r>
                  <m:rPr>
                    <m:sty m:val="b"/>
                  </m:rPr>
                  <w:rPr>
                    <w:rFonts w:ascii="Cambria Math" w:hAnsi="Cambria Math"/>
                  </w:rPr>
                  <m:t>∇</m:t>
                </m:r>
                <m:r>
                  <m:rPr>
                    <m:sty m:val="p"/>
                  </m:rPr>
                  <w:rPr>
                    <w:rFonts w:ascii="Cambria Math" w:hAnsi="Cambria Math"/>
                  </w:rPr>
                  <m:t>∙</m:t>
                </m:r>
                <m:d>
                  <m:dPr>
                    <m:ctrlPr>
                      <w:rPr>
                        <w:rFonts w:ascii="Cambria Math" w:hAnsi="Cambria Math"/>
                        <w:bCs/>
                      </w:rPr>
                    </m:ctrlPr>
                  </m:dPr>
                  <m:e>
                    <m:r>
                      <w:rPr>
                        <w:rFonts w:ascii="Cambria Math" w:hAnsi="Cambria Math"/>
                      </w:rPr>
                      <m:t>ρ</m:t>
                    </m:r>
                    <m:r>
                      <m:rPr>
                        <m:sty m:val="bi"/>
                      </m:rPr>
                      <w:rPr>
                        <w:rFonts w:ascii="Cambria Math" w:hAnsi="Cambria Math"/>
                      </w:rPr>
                      <m:t>u</m:t>
                    </m:r>
                    <m:r>
                      <w:rPr>
                        <w:rFonts w:ascii="Cambria Math" w:hAnsi="Cambria Math"/>
                      </w:rPr>
                      <m:t>T</m:t>
                    </m:r>
                  </m:e>
                </m:d>
                <m:r>
                  <w:rPr>
                    <w:rFonts w:ascii="Cambria Math" w:hAnsi="Cambria Math"/>
                  </w:rPr>
                  <m:t>=</m:t>
                </m:r>
                <m:r>
                  <m:rPr>
                    <m:sty m:val="b"/>
                  </m:rPr>
                  <w:rPr>
                    <w:rFonts w:ascii="Cambria Math" w:hAnsi="Cambria Math"/>
                  </w:rPr>
                  <m:t>∇</m:t>
                </m:r>
                <m:r>
                  <m:rPr>
                    <m:sty m:val="b"/>
                  </m:rP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λ</m:t>
                        </m:r>
                      </m:num>
                      <m:den>
                        <m:r>
                          <w:rPr>
                            <w:rFonts w:ascii="Cambria Math" w:hAnsi="Cambria Math"/>
                          </w:rPr>
                          <m:t>c</m:t>
                        </m:r>
                      </m:den>
                    </m:f>
                    <m:r>
                      <m:rPr>
                        <m:sty m:val="b"/>
                      </m:rPr>
                      <w:rPr>
                        <w:rFonts w:ascii="Cambria Math" w:hAnsi="Cambria Math"/>
                      </w:rPr>
                      <m:t>∇</m:t>
                    </m:r>
                    <m:r>
                      <w:rPr>
                        <w:rFonts w:ascii="Cambria Math" w:hAnsi="Cambria Math"/>
                      </w:rPr>
                      <m:t>T</m:t>
                    </m:r>
                  </m:e>
                </m:d>
                <m:r>
                  <m:rPr>
                    <m:sty m:val="p"/>
                  </m:rPr>
                  <w:rPr>
                    <w:rFonts w:ascii="Cambria Math" w:hAnsi="Cambria Math"/>
                  </w:rPr>
                  <m:t>+</m:t>
                </m:r>
                <m:r>
                  <w:rPr>
                    <w:rFonts w:ascii="Cambria Math" w:hAnsi="Cambria Math"/>
                  </w:rPr>
                  <m:t>Q</m:t>
                </m:r>
              </m:oMath>
            </m:oMathPara>
          </w:p>
        </w:tc>
        <w:tc>
          <w:tcPr>
            <w:tcW w:w="599" w:type="pct"/>
            <w:vAlign w:val="center"/>
          </w:tcPr>
          <w:p w14:paraId="7E43738E" w14:textId="502C608A" w:rsidR="0045562B" w:rsidRPr="00FC71BE" w:rsidRDefault="0045562B">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p>
        </w:tc>
      </w:tr>
    </w:tbl>
    <w:p w14:paraId="49BD24DA" w14:textId="64B07398" w:rsidR="0045562B" w:rsidRPr="00FC71BE" w:rsidRDefault="0045562B" w:rsidP="0045562B">
      <w:pPr>
        <w:ind w:firstLine="0"/>
      </w:pPr>
      <w:r w:rsidRPr="00FC71BE">
        <w:t xml:space="preserve">The term </w:t>
      </w:r>
      <m:oMath>
        <m:r>
          <m:rPr>
            <m:sty m:val="b"/>
          </m:rP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λ</m:t>
                </m:r>
              </m:num>
              <m:den>
                <m:r>
                  <w:rPr>
                    <w:rFonts w:ascii="Cambria Math" w:hAnsi="Cambria Math"/>
                  </w:rPr>
                  <m:t>c</m:t>
                </m:r>
              </m:den>
            </m:f>
            <m:r>
              <m:rPr>
                <m:sty m:val="b"/>
              </m:rPr>
              <w:rPr>
                <w:rFonts w:ascii="Cambria Math" w:hAnsi="Cambria Math"/>
              </w:rPr>
              <m:t>∇</m:t>
            </m:r>
            <m:r>
              <w:rPr>
                <w:rFonts w:ascii="Cambria Math" w:hAnsi="Cambria Math"/>
              </w:rPr>
              <m:t>T</m:t>
            </m:r>
          </m:e>
        </m:d>
      </m:oMath>
      <w:r w:rsidRPr="00FC71BE">
        <w:t xml:space="preserve"> is the heat conduction through the boundary of fluid element, where </w:t>
      </w:r>
      <m:oMath>
        <m:r>
          <w:rPr>
            <w:rFonts w:ascii="Cambria Math" w:hAnsi="Cambria Math"/>
          </w:rPr>
          <m:t>T</m:t>
        </m:r>
      </m:oMath>
      <w:r w:rsidRPr="00FC71BE">
        <w:t xml:space="preserve"> is the temperature of the fluid, </w:t>
      </w:r>
      <m:oMath>
        <m:r>
          <w:rPr>
            <w:rFonts w:ascii="Cambria Math" w:hAnsi="Cambria Math"/>
          </w:rPr>
          <m:t>λ</m:t>
        </m:r>
      </m:oMath>
      <w:r w:rsidRPr="00FC71BE">
        <w:t xml:space="preserve"> is the thermal conductivity, and </w:t>
      </w:r>
      <m:oMath>
        <m:r>
          <w:rPr>
            <w:rFonts w:ascii="Cambria Math" w:hAnsi="Cambria Math"/>
          </w:rPr>
          <m:t>c</m:t>
        </m:r>
      </m:oMath>
      <w:r w:rsidRPr="00FC71BE">
        <w:t xml:space="preserve"> is the specific heat capacity. The term </w:t>
      </w:r>
      <m:oMath>
        <m:r>
          <w:rPr>
            <w:rFonts w:ascii="Cambria Math" w:hAnsi="Cambria Math"/>
          </w:rPr>
          <m:t>Q</m:t>
        </m:r>
      </m:oMath>
      <w:r w:rsidRPr="00FC71BE">
        <w:t xml:space="preserve"> is the volumetric heat </w:t>
      </w:r>
      <w:r w:rsidR="00796DDF" w:rsidRPr="00FC71BE">
        <w:t>generation</w:t>
      </w:r>
      <w:r w:rsidRPr="00FC71BE">
        <w:t>. The viscous dissipation function is one of the components of heat source that describes the conversion from mechanical energy into thermal energy. It is proportional to viscosity and gradient of velocity. Hence, it is neglected unless the viscosity and gradient of velocity are very large.</w:t>
      </w:r>
    </w:p>
    <w:p w14:paraId="783BA46C" w14:textId="77777777" w:rsidR="0045562B" w:rsidRPr="00FC71BE" w:rsidRDefault="0045562B" w:rsidP="00B86C68">
      <w:pPr>
        <w:pStyle w:val="Heading3"/>
        <w:numPr>
          <w:ilvl w:val="2"/>
          <w:numId w:val="49"/>
        </w:numPr>
      </w:pPr>
      <w:bookmarkStart w:id="196" w:name="_Toc157695363"/>
      <w:r w:rsidRPr="00FC71BE">
        <w:t>Model Settings</w:t>
      </w:r>
      <w:bookmarkEnd w:id="196"/>
    </w:p>
    <w:p w14:paraId="231FAC49" w14:textId="02045FA5" w:rsidR="0045562B" w:rsidRPr="00FC71BE" w:rsidRDefault="0045562B" w:rsidP="0045562B">
      <w:r w:rsidRPr="00FC71BE">
        <w:t xml:space="preserve">It is worth noting that, the fluid flow in electrical machines is typically considered as turbulent flow. Different simulation methods, i.e., direct numerical simulation (DNS), large eddy simulation (LES), and Reynolds-average Navier-Stokes (RANS) approach, can be employed to solve the turbulent flow issue. Compared with DNS and LES, RANS approach is more popular for the thermal analysis of electrical machines. RANS requires much less computational resources than other simulation methods. For RANS approach, the variables of turbulent flow, e.g., velocity, temperature, and pressure, are divided into mean and fluctuating components. The mean component represents the time-averaged component of the flow, while the fluctuating component represents its turbulent fluctuations. This decomposition allows RANS to average the turbulent fluctuations and to model the influence of turbulence </w:t>
      </w:r>
      <w:r w:rsidRPr="00FC71BE">
        <w:fldChar w:fldCharType="begin"/>
      </w:r>
      <w:r w:rsidR="0000133B" w:rsidRPr="00FC71BE">
        <w:instrText xml:space="preserve"> ADDIN EN.CITE &lt;EndNote&gt;&lt;Cite&gt;&lt;Author&gt;Staton&lt;/Author&gt;&lt;Year&gt;2022&lt;/Year&gt;&lt;RecNum&gt;283&lt;/RecNum&gt;&lt;DisplayText&gt;[3]&lt;/DisplayText&gt;&lt;record&gt;&lt;rec-number&gt;283&lt;/rec-number&gt;&lt;foreign-keys&gt;&lt;key app="EN" db-id="p00pasffqrr5wvef0f35etrrr0xzp0wptrtd" timestamp="1694550885" guid="0748f6da-e575-487f-8a80-eeb3673a6875"&gt;283&lt;/key&gt;&lt;/foreign-keys&gt;&lt;ref-type name="Book"&gt;6&lt;/ref-type&gt;&lt;contributors&gt;&lt;authors&gt;&lt;author&gt;Staton, David&lt;/author&gt;&lt;author&gt;Chong, Eddie&lt;/author&gt;&lt;author&gt;Pickering, Stephen&lt;/author&gt;&lt;author&gt;Boglietti, Aldo&lt;/author&gt;&lt;/authors&gt;&lt;/contributors&gt;&lt;titles&gt;&lt;title&gt;Cooling of Rotating Electrical Machines: Fundamentals, Modelling, Testing and Design&lt;/title&gt;&lt;/titles&gt;&lt;volume&gt;109&lt;/volume&gt;&lt;dates&gt;&lt;year&gt;2022&lt;/year&gt;&lt;/dates&gt;&lt;publisher&gt;IET&lt;/publisher&gt;&lt;isbn&gt;1785613510&lt;/isbn&gt;&lt;urls&gt;&lt;/urls&gt;&lt;/record&gt;&lt;/Cite&gt;&lt;/EndNote&gt;</w:instrText>
      </w:r>
      <w:r w:rsidRPr="00FC71BE">
        <w:fldChar w:fldCharType="separate"/>
      </w:r>
      <w:r w:rsidR="0000133B" w:rsidRPr="00FC71BE">
        <w:t>[3]</w:t>
      </w:r>
      <w:r w:rsidRPr="00FC71BE">
        <w:fldChar w:fldCharType="end"/>
      </w:r>
      <w:r w:rsidRPr="00FC71BE">
        <w:t xml:space="preserve">. Those turbulence models describe the statistical behaviour of turbulence in terms of transport equations for turbulent quantities like turbulent kinetic energy and turbulent dissipation rate </w:t>
      </w:r>
      <w:r w:rsidRPr="00FC71BE">
        <w:fldChar w:fldCharType="begin"/>
      </w:r>
      <w:r w:rsidR="00BA33ED" w:rsidRPr="00FC71BE">
        <w:instrText xml:space="preserve"> ADDIN EN.CITE &lt;EndNote&gt;&lt;Cite&gt;&lt;Author&gt;Alfonsi&lt;/Author&gt;&lt;Year&gt;2009&lt;/Year&gt;&lt;RecNum&gt;321&lt;/RecNum&gt;&lt;DisplayText&gt;[172]&lt;/DisplayText&gt;&lt;record&gt;&lt;rec-number&gt;321&lt;/rec-number&gt;&lt;foreign-keys&gt;&lt;key app="EN" db-id="p00pasffqrr5wvef0f35etrrr0xzp0wptrtd" timestamp="1694887659" guid="8d0067cf-18bb-4a01-bb4f-061b6b1d8568"&gt;321&lt;/key&gt;&lt;/foreign-keys&gt;&lt;ref-type name="Journal Article"&gt;17&lt;/ref-type&gt;&lt;contributors&gt;&lt;authors&gt;&lt;author&gt;Alfonsi, Giancarlo&lt;/author&gt;&lt;/authors&gt;&lt;/contributors&gt;&lt;titles&gt;&lt;title&gt;Reynolds-averaged Navier–Stokes equations for turbulence modeling&lt;/title&gt;&lt;/titles&gt;&lt;dates&gt;&lt;year&gt;2009&lt;/year&gt;&lt;/dates&gt;&lt;isbn&gt;0003-6900&lt;/isbn&gt;&lt;urls&gt;&lt;/urls&gt;&lt;/record&gt;&lt;/Cite&gt;&lt;/EndNote&gt;</w:instrText>
      </w:r>
      <w:r w:rsidRPr="00FC71BE">
        <w:fldChar w:fldCharType="separate"/>
      </w:r>
      <w:r w:rsidR="00BA33ED" w:rsidRPr="00FC71BE">
        <w:t>[172]</w:t>
      </w:r>
      <w:r w:rsidRPr="00FC71BE">
        <w:fldChar w:fldCharType="end"/>
      </w:r>
      <w:r w:rsidRPr="00FC71BE">
        <w:t xml:space="preserve">. They introduce some additional transport equations in RANS flow equations to improve the accuracy and to reduce the complexity of RANS approach turbulence model </w:t>
      </w:r>
      <w:r w:rsidRPr="00FC71BE">
        <w:fldChar w:fldCharType="begin"/>
      </w:r>
      <w:r w:rsidR="00BA33ED" w:rsidRPr="00FC71BE">
        <w:instrText xml:space="preserve"> ADDIN EN.CITE &lt;EndNote&gt;&lt;Cite&gt;&lt;Author&gt;Chong&lt;/Author&gt;&lt;Year&gt;2015&lt;/Year&gt;&lt;RecNum&gt;281&lt;/RecNum&gt;&lt;DisplayText&gt;[146]&lt;/DisplayText&gt;&lt;record&gt;&lt;rec-number&gt;281&lt;/rec-number&gt;&lt;foreign-keys&gt;&lt;key app="EN" db-id="p00pasffqrr5wvef0f35etrrr0xzp0wptrtd" timestamp="1694550628" guid="e62aeca4-f63e-423f-ba03-e3f957f91dae"&gt;281&lt;/key&gt;&lt;/foreign-keys&gt;&lt;ref-type name="Thesis"&gt;32&lt;/ref-type&gt;&lt;contributors&gt;&lt;authors&gt;&lt;author&gt;Chong, Yew Chuan&lt;/author&gt;&lt;/authors&gt;&lt;/contributors&gt;&lt;titles&gt;&lt;title&gt;Thermal analysis and air flow modelling of electrical machines&lt;/title&gt;&lt;secondary-title&gt;Dept. Mech. Eng.&lt;/secondary-title&gt;&lt;/titles&gt;&lt;dates&gt;&lt;year&gt;2015&lt;/year&gt;&lt;/dates&gt;&lt;pub-location&gt;Edinburgh, U.K.&lt;/pub-location&gt;&lt;publisher&gt;Edinburgh Univ.&lt;/publisher&gt;&lt;work-type&gt;Ph.D. dissertation&lt;/work-type&gt;&lt;urls&gt;&lt;/urls&gt;&lt;/record&gt;&lt;/Cite&gt;&lt;/EndNote&gt;</w:instrText>
      </w:r>
      <w:r w:rsidRPr="00FC71BE">
        <w:fldChar w:fldCharType="separate"/>
      </w:r>
      <w:r w:rsidR="00BA33ED" w:rsidRPr="00FC71BE">
        <w:t>[146]</w:t>
      </w:r>
      <w:r w:rsidRPr="00FC71BE">
        <w:fldChar w:fldCharType="end"/>
      </w:r>
      <w:r w:rsidRPr="00FC71BE">
        <w:t xml:space="preserve">. Most common models employed in literature are </w:t>
      </w:r>
      <m:oMath>
        <m:r>
          <w:rPr>
            <w:rFonts w:ascii="Cambria Math" w:hAnsi="Cambria Math"/>
          </w:rPr>
          <m:t>k</m:t>
        </m:r>
      </m:oMath>
      <w:r w:rsidRPr="00FC71BE">
        <w:t>-</w:t>
      </w:r>
      <m:oMath>
        <m:r>
          <w:rPr>
            <w:rFonts w:ascii="Cambria Math" w:hAnsi="Cambria Math"/>
          </w:rPr>
          <m:t>ε</m:t>
        </m:r>
      </m:oMath>
      <w:r w:rsidRPr="00FC71BE">
        <w:t xml:space="preserve"> model and </w:t>
      </w:r>
      <m:oMath>
        <m:r>
          <w:rPr>
            <w:rFonts w:ascii="Cambria Math" w:hAnsi="Cambria Math"/>
          </w:rPr>
          <m:t>k</m:t>
        </m:r>
      </m:oMath>
      <w:r w:rsidRPr="00FC71BE">
        <w:t>-</w:t>
      </w:r>
      <m:oMath>
        <m:r>
          <w:rPr>
            <w:rFonts w:ascii="Cambria Math" w:hAnsi="Cambria Math"/>
          </w:rPr>
          <m:t>ω</m:t>
        </m:r>
      </m:oMath>
      <w:r w:rsidRPr="00FC71BE">
        <w:t xml:space="preserve"> model. The transport equation for the turbulent kinetic energy </w:t>
      </w:r>
      <m:oMath>
        <m:r>
          <w:rPr>
            <w:rFonts w:ascii="Cambria Math" w:hAnsi="Cambria Math"/>
          </w:rPr>
          <m:t>k</m:t>
        </m:r>
      </m:oMath>
      <w:r w:rsidRPr="00FC71BE">
        <w:t xml:space="preserve"> and turbulence dissipation rate </w:t>
      </w:r>
      <m:oMath>
        <m:r>
          <w:rPr>
            <w:rFonts w:ascii="Cambria Math" w:hAnsi="Cambria Math"/>
          </w:rPr>
          <m:t>ε</m:t>
        </m:r>
      </m:oMath>
      <w:r w:rsidRPr="00FC71BE">
        <w:t xml:space="preserve">, and specific turbulence dissipation rate </w:t>
      </w:r>
      <m:oMath>
        <m:r>
          <w:rPr>
            <w:rFonts w:ascii="Cambria Math" w:hAnsi="Cambria Math"/>
          </w:rPr>
          <m:t>ω</m:t>
        </m:r>
      </m:oMath>
      <w:r w:rsidRPr="00FC71BE">
        <w:t xml:space="preserve"> are introduced for these two turbulence models. </w:t>
      </w:r>
      <m:oMath>
        <m:r>
          <w:rPr>
            <w:rFonts w:ascii="Cambria Math" w:hAnsi="Cambria Math"/>
          </w:rPr>
          <m:t>k</m:t>
        </m:r>
      </m:oMath>
      <w:r w:rsidRPr="00FC71BE">
        <w:t>-</w:t>
      </w:r>
      <m:oMath>
        <m:r>
          <w:rPr>
            <w:rFonts w:ascii="Cambria Math" w:hAnsi="Cambria Math"/>
          </w:rPr>
          <m:t>ε</m:t>
        </m:r>
      </m:oMath>
      <w:r w:rsidRPr="00FC71BE">
        <w:t xml:space="preserve"> model is often used in </w:t>
      </w:r>
      <w:r w:rsidRPr="00FC71BE">
        <w:lastRenderedPageBreak/>
        <w:t xml:space="preserve">electrical machines as it can obtain accurate results and </w:t>
      </w:r>
      <m:oMath>
        <m:r>
          <w:rPr>
            <w:rFonts w:ascii="Cambria Math" w:hAnsi="Cambria Math"/>
          </w:rPr>
          <m:t>k</m:t>
        </m:r>
      </m:oMath>
      <w:r w:rsidRPr="00FC71BE">
        <w:t>-</w:t>
      </w:r>
      <m:oMath>
        <m:r>
          <w:rPr>
            <w:rFonts w:ascii="Cambria Math" w:hAnsi="Cambria Math"/>
          </w:rPr>
          <m:t>ω</m:t>
        </m:r>
      </m:oMath>
      <w:r w:rsidRPr="00FC71BE">
        <w:t xml:space="preserve"> model is more suitable for internal flows at boundary layers </w:t>
      </w:r>
      <w:r w:rsidRPr="00FC71BE">
        <w:fldChar w:fldCharType="begin"/>
      </w:r>
      <w:r w:rsidR="0000133B" w:rsidRPr="00FC71BE">
        <w:instrText xml:space="preserve"> ADDIN EN.CITE &lt;EndNote&gt;&lt;Cite&gt;&lt;Author&gt;Staton&lt;/Author&gt;&lt;Year&gt;2022&lt;/Year&gt;&lt;RecNum&gt;283&lt;/RecNum&gt;&lt;DisplayText&gt;[3]&lt;/DisplayText&gt;&lt;record&gt;&lt;rec-number&gt;283&lt;/rec-number&gt;&lt;foreign-keys&gt;&lt;key app="EN" db-id="p00pasffqrr5wvef0f35etrrr0xzp0wptrtd" timestamp="1694550885" guid="0748f6da-e575-487f-8a80-eeb3673a6875"&gt;283&lt;/key&gt;&lt;/foreign-keys&gt;&lt;ref-type name="Book"&gt;6&lt;/ref-type&gt;&lt;contributors&gt;&lt;authors&gt;&lt;author&gt;Staton, David&lt;/author&gt;&lt;author&gt;Chong, Eddie&lt;/author&gt;&lt;author&gt;Pickering, Stephen&lt;/author&gt;&lt;author&gt;Boglietti, Aldo&lt;/author&gt;&lt;/authors&gt;&lt;/contributors&gt;&lt;titles&gt;&lt;title&gt;Cooling of Rotating Electrical Machines: Fundamentals, Modelling, Testing and Design&lt;/title&gt;&lt;/titles&gt;&lt;volume&gt;109&lt;/volume&gt;&lt;dates&gt;&lt;year&gt;2022&lt;/year&gt;&lt;/dates&gt;&lt;publisher&gt;IET&lt;/publisher&gt;&lt;isbn&gt;1785613510&lt;/isbn&gt;&lt;urls&gt;&lt;/urls&gt;&lt;/record&gt;&lt;/Cite&gt;&lt;/EndNote&gt;</w:instrText>
      </w:r>
      <w:r w:rsidRPr="00FC71BE">
        <w:fldChar w:fldCharType="separate"/>
      </w:r>
      <w:r w:rsidR="0000133B" w:rsidRPr="00FC71BE">
        <w:t>[3]</w:t>
      </w:r>
      <w:r w:rsidRPr="00FC71BE">
        <w:fldChar w:fldCharType="end"/>
      </w:r>
      <w:r w:rsidRPr="00FC71BE">
        <w:t xml:space="preserve">. In this chapter, the shear stress transport (SST) </w:t>
      </w:r>
      <m:oMath>
        <m:r>
          <w:rPr>
            <w:rFonts w:ascii="Cambria Math" w:hAnsi="Cambria Math"/>
          </w:rPr>
          <m:t>k</m:t>
        </m:r>
      </m:oMath>
      <w:r w:rsidRPr="00FC71BE">
        <w:t>-</w:t>
      </w:r>
      <m:oMath>
        <m:r>
          <w:rPr>
            <w:rFonts w:ascii="Cambria Math" w:hAnsi="Cambria Math"/>
          </w:rPr>
          <m:t>ω</m:t>
        </m:r>
      </m:oMath>
      <w:r w:rsidRPr="00FC71BE">
        <w:t xml:space="preserve"> model has been employed. Compared with standard </w:t>
      </w:r>
      <m:oMath>
        <m:r>
          <w:rPr>
            <w:rFonts w:ascii="Cambria Math" w:hAnsi="Cambria Math"/>
          </w:rPr>
          <m:t>k</m:t>
        </m:r>
      </m:oMath>
      <w:r w:rsidRPr="00FC71BE">
        <w:t>-</w:t>
      </w:r>
      <m:oMath>
        <m:r>
          <w:rPr>
            <w:rFonts w:ascii="Cambria Math" w:hAnsi="Cambria Math"/>
          </w:rPr>
          <m:t>ω</m:t>
        </m:r>
      </m:oMath>
      <w:r w:rsidRPr="00FC71BE">
        <w:t xml:space="preserve"> model, SST model makes the model stable in viscous-affected region (viscous sublayer), where the viscosity plays an important role in flow behaviour </w:t>
      </w:r>
      <w:r w:rsidRPr="00FC71BE">
        <w:fldChar w:fldCharType="begin"/>
      </w:r>
      <w:r w:rsidR="00BA33ED" w:rsidRPr="00FC71BE">
        <w:instrText xml:space="preserve"> ADDIN EN.CITE &lt;EndNote&gt;&lt;Cite&gt;&lt;Author&gt;Chong&lt;/Author&gt;&lt;Year&gt;2015&lt;/Year&gt;&lt;RecNum&gt;281&lt;/RecNum&gt;&lt;DisplayText&gt;[146]&lt;/DisplayText&gt;&lt;record&gt;&lt;rec-number&gt;281&lt;/rec-number&gt;&lt;foreign-keys&gt;&lt;key app="EN" db-id="p00pasffqrr5wvef0f35etrrr0xzp0wptrtd" timestamp="1694550628" guid="e62aeca4-f63e-423f-ba03-e3f957f91dae"&gt;281&lt;/key&gt;&lt;/foreign-keys&gt;&lt;ref-type name="Thesis"&gt;32&lt;/ref-type&gt;&lt;contributors&gt;&lt;authors&gt;&lt;author&gt;Chong, Yew Chuan&lt;/author&gt;&lt;/authors&gt;&lt;/contributors&gt;&lt;titles&gt;&lt;title&gt;Thermal analysis and air flow modelling of electrical machines&lt;/title&gt;&lt;secondary-title&gt;Dept. Mech. Eng.&lt;/secondary-title&gt;&lt;/titles&gt;&lt;dates&gt;&lt;year&gt;2015&lt;/year&gt;&lt;/dates&gt;&lt;pub-location&gt;Edinburgh, U.K.&lt;/pub-location&gt;&lt;publisher&gt;Edinburgh Univ.&lt;/publisher&gt;&lt;work-type&gt;Ph.D. dissertation&lt;/work-type&gt;&lt;urls&gt;&lt;/urls&gt;&lt;/record&gt;&lt;/Cite&gt;&lt;/EndNote&gt;</w:instrText>
      </w:r>
      <w:r w:rsidRPr="00FC71BE">
        <w:fldChar w:fldCharType="separate"/>
      </w:r>
      <w:r w:rsidR="00BA33ED" w:rsidRPr="00FC71BE">
        <w:t>[146]</w:t>
      </w:r>
      <w:r w:rsidRPr="00FC71BE">
        <w:fldChar w:fldCharType="end"/>
      </w:r>
      <w:r w:rsidRPr="00FC71BE">
        <w:t>.</w:t>
      </w:r>
    </w:p>
    <w:p w14:paraId="11213979" w14:textId="77777777" w:rsidR="0045562B" w:rsidRPr="00FC71BE" w:rsidRDefault="0045562B" w:rsidP="0045562B">
      <w:r w:rsidRPr="00FC71BE">
        <w:t>One of the key considerations for simulating fluid behaviour in electrical machines is the influence of machine rotation. The rotor speed has a profound impact on the fluid velocity and pressure. To reduce the computational burden, the moving reference frame (MRF), also known as the “frozen rotor”, is employed for steady-state analysis of the rotating machines. In the MRF approach, a mesh region for the rotating part acts as a reference frame, while the rest of regions remain static. The reference frame is not moving physically, but the Coriolis force and centrifugal force caused by rotating is included in rotating reference frame. It is worth noting that, MRF approach can only simulate the time-average flow field, where the results calculated are highly dependent on the relative position of the rotating frame and static frame, or in other words, the initial rotor positions of the simulated electrical machines).</w:t>
      </w:r>
    </w:p>
    <w:p w14:paraId="42A69F57" w14:textId="77777777" w:rsidR="0045562B" w:rsidRPr="00FC71BE" w:rsidRDefault="0045562B" w:rsidP="00B86C68">
      <w:pPr>
        <w:pStyle w:val="Heading3"/>
        <w:numPr>
          <w:ilvl w:val="2"/>
          <w:numId w:val="49"/>
        </w:numPr>
      </w:pPr>
      <w:bookmarkStart w:id="197" w:name="_Toc157695364"/>
      <w:r w:rsidRPr="00FC71BE">
        <w:t>Turbulent Boundary Layer and Wall Treatment</w:t>
      </w:r>
      <w:bookmarkEnd w:id="197"/>
    </w:p>
    <w:p w14:paraId="0D3B91EB" w14:textId="6D23B535" w:rsidR="0045562B" w:rsidRPr="00FC71BE" w:rsidRDefault="0045562B" w:rsidP="0045562B">
      <w:r w:rsidRPr="00FC71BE">
        <w:t xml:space="preserve">The accuracy of the models is often related to the mesh settings. For a CFD modelling of electrical machines, the topologies of which are very complex, the mesh should be fine enough in order to obtain accurate results, especially for the mesh in viscous-affected region, i.e., close to the solid walls. This is because that, the fluid behaviours in viscous-affected region are governed by the shear stress due to wall friction and damping of the turbulent velocity fluctuations. Therefore, the gradients of velocity (both mean and fluctuating components) in viscous-affected region are large. To obtain an accurate prediction of velocity profiles, wall treatment is required for this near-wall boundary layer. To understand the velocity profiles of fluid near the wall boundary, the law of the wall should be proposed firstly. In the law of the wall, the fluid velocity is a function of the distance normal to the wall, the shear stress, the density, and the dynamic viscosity </w:t>
      </w:r>
      <w:r w:rsidRPr="00FC71BE">
        <w:fldChar w:fldCharType="begin"/>
      </w:r>
      <w:r w:rsidR="00BA33ED" w:rsidRPr="00FC71BE">
        <w:instrText xml:space="preserve"> ADDIN EN.CITE &lt;EndNote&gt;&lt;Cite&gt;&lt;Author&gt;Coles&lt;/Author&gt;&lt;Year&gt;1956&lt;/Year&gt;&lt;RecNum&gt;322&lt;/RecNum&gt;&lt;DisplayText&gt;[173]&lt;/DisplayText&gt;&lt;record&gt;&lt;rec-number&gt;322&lt;/rec-number&gt;&lt;foreign-keys&gt;&lt;key app="EN" db-id="p00pasffqrr5wvef0f35etrrr0xzp0wptrtd" timestamp="1694969560" guid="852cd238-3930-49e8-a425-3424568540d0"&gt;322&lt;/key&gt;&lt;/foreign-keys&gt;&lt;ref-type name="Journal Article"&gt;17&lt;/ref-type&gt;&lt;contributors&gt;&lt;authors&gt;&lt;author&gt;Coles, Donald&lt;/author&gt;&lt;/authors&gt;&lt;/contributors&gt;&lt;titles&gt;&lt;title&gt;The law of the wake in the turbulent boundary layer&lt;/title&gt;&lt;secondary-title&gt;Journal of Fluid Mechanics&lt;/secondary-title&gt;&lt;/titles&gt;&lt;periodical&gt;&lt;full-title&gt;Journal of Fluid Mechanics&lt;/full-title&gt;&lt;/periodical&gt;&lt;pages&gt;191-226&lt;/pages&gt;&lt;volume&gt;1&lt;/volume&gt;&lt;number&gt;2&lt;/number&gt;&lt;dates&gt;&lt;year&gt;1956&lt;/year&gt;&lt;/dates&gt;&lt;isbn&gt;1469-7645&lt;/isbn&gt;&lt;urls&gt;&lt;/urls&gt;&lt;/record&gt;&lt;/Cite&gt;&lt;/EndNote&gt;</w:instrText>
      </w:r>
      <w:r w:rsidRPr="00FC71BE">
        <w:fldChar w:fldCharType="separate"/>
      </w:r>
      <w:r w:rsidR="00BA33ED" w:rsidRPr="00FC71BE">
        <w:t>[173]</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32A8B445" w14:textId="77777777">
        <w:tc>
          <w:tcPr>
            <w:tcW w:w="4401" w:type="pct"/>
            <w:vAlign w:val="center"/>
          </w:tcPr>
          <w:p w14:paraId="41599885" w14:textId="77777777" w:rsidR="0045562B" w:rsidRPr="00FC71BE" w:rsidRDefault="002143AD">
            <w:pPr>
              <w:ind w:left="340" w:firstLine="0"/>
            </w:pPr>
            <m:oMathPara>
              <m:oMath>
                <m:f>
                  <m:fPr>
                    <m:ctrlPr>
                      <w:rPr>
                        <w:rFonts w:ascii="Cambria Math" w:hAnsi="Cambria Math"/>
                        <w:i/>
                      </w:rPr>
                    </m:ctrlPr>
                  </m:fPr>
                  <m:num>
                    <m:r>
                      <w:rPr>
                        <w:rFonts w:ascii="Cambria Math" w:hAnsi="Cambria Math"/>
                      </w:rPr>
                      <m:t>u</m:t>
                    </m:r>
                  </m:num>
                  <m:den>
                    <m:sSub>
                      <m:sSubPr>
                        <m:ctrlPr>
                          <w:rPr>
                            <w:rFonts w:ascii="Cambria Math" w:hAnsi="Cambria Math"/>
                            <w:i/>
                          </w:rPr>
                        </m:ctrlPr>
                      </m:sSubPr>
                      <m:e>
                        <m:r>
                          <w:rPr>
                            <w:rFonts w:ascii="Cambria Math" w:hAnsi="Cambria Math"/>
                          </w:rPr>
                          <m:t>u</m:t>
                        </m:r>
                      </m:e>
                      <m:sub>
                        <m:r>
                          <w:rPr>
                            <w:rFonts w:ascii="Cambria Math" w:hAnsi="Cambria Math"/>
                          </w:rPr>
                          <m:t>τ</m:t>
                        </m:r>
                      </m:sub>
                    </m:sSub>
                  </m:den>
                </m:f>
                <m:r>
                  <w:rPr>
                    <w:rFonts w:ascii="Cambria Math" w:hAnsi="Cambria Math"/>
                  </w:rPr>
                  <m:t>=</m:t>
                </m:r>
                <m:r>
                  <w:rPr>
                    <w:rFonts w:ascii="Cambria Math" w:hAnsi="Cambria Math"/>
                  </w:rPr>
                  <m:t>f</m:t>
                </m:r>
                <m:d>
                  <m:dPr>
                    <m:ctrlPr>
                      <w:rPr>
                        <w:rFonts w:ascii="Cambria Math" w:hAnsi="Cambria Math"/>
                        <w:i/>
                      </w:rPr>
                    </m:ctrlPr>
                  </m:dPr>
                  <m:e>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u</m:t>
                            </m:r>
                          </m:e>
                          <m:sub>
                            <m:r>
                              <w:rPr>
                                <w:rFonts w:ascii="Cambria Math" w:hAnsi="Cambria Math"/>
                              </w:rPr>
                              <m:t>τ</m:t>
                            </m:r>
                          </m:sub>
                        </m:sSub>
                      </m:num>
                      <m:den>
                        <m:r>
                          <w:rPr>
                            <w:rFonts w:ascii="Cambria Math" w:hAnsi="Cambria Math"/>
                          </w:rPr>
                          <m:t>ν</m:t>
                        </m:r>
                      </m:den>
                    </m:f>
                  </m:e>
                </m:d>
              </m:oMath>
            </m:oMathPara>
          </w:p>
        </w:tc>
        <w:tc>
          <w:tcPr>
            <w:tcW w:w="599" w:type="pct"/>
            <w:vAlign w:val="center"/>
          </w:tcPr>
          <w:p w14:paraId="253D1058" w14:textId="205235DF" w:rsidR="0045562B" w:rsidRPr="00FC71BE" w:rsidRDefault="0045562B">
            <w:pPr>
              <w:pStyle w:val="equation"/>
              <w:rPr>
                <w:color w:val="auto"/>
              </w:rPr>
            </w:pPr>
            <w:bookmarkStart w:id="198" w:name="_Ref145859185"/>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6</w:t>
            </w:r>
            <w:r w:rsidR="002839C4" w:rsidRPr="00FC71BE">
              <w:rPr>
                <w:color w:val="auto"/>
              </w:rPr>
              <w:fldChar w:fldCharType="end"/>
            </w:r>
            <w:r w:rsidRPr="00FC71BE">
              <w:rPr>
                <w:color w:val="auto"/>
              </w:rPr>
              <w:t>)</w:t>
            </w:r>
            <w:bookmarkEnd w:id="198"/>
          </w:p>
        </w:tc>
      </w:tr>
    </w:tbl>
    <w:p w14:paraId="0D188CAB" w14:textId="6A3E398B" w:rsidR="0045562B" w:rsidRPr="00FC71BE" w:rsidRDefault="0045562B" w:rsidP="0045562B">
      <w:pPr>
        <w:ind w:firstLine="0"/>
      </w:pPr>
      <w:r w:rsidRPr="00FC71BE">
        <w:t xml:space="preserve">where </w:t>
      </w:r>
      <m:oMath>
        <m:r>
          <w:rPr>
            <w:rFonts w:ascii="Cambria Math" w:hAnsi="Cambria Math"/>
          </w:rPr>
          <m:t>u</m:t>
        </m:r>
      </m:oMath>
      <w:r w:rsidRPr="00FC71BE">
        <w:t xml:space="preserve"> is the mean velocity in the direction that is parallel to the wall, </w:t>
      </w:r>
      <m:oMath>
        <m:sSub>
          <m:sSubPr>
            <m:ctrlPr>
              <w:rPr>
                <w:rFonts w:ascii="Cambria Math" w:hAnsi="Cambria Math"/>
                <w:i/>
              </w:rPr>
            </m:ctrlPr>
          </m:sSubPr>
          <m:e>
            <m:r>
              <w:rPr>
                <w:rFonts w:ascii="Cambria Math" w:hAnsi="Cambria Math"/>
              </w:rPr>
              <m:t>u</m:t>
            </m:r>
          </m:e>
          <m:sub>
            <m:r>
              <w:rPr>
                <w:rFonts w:ascii="Cambria Math" w:hAnsi="Cambria Math"/>
              </w:rPr>
              <m:t>τ</m:t>
            </m:r>
          </m:sub>
        </m:sSub>
        <m:r>
          <w:rPr>
            <w:rFonts w:ascii="Cambria Math" w:hAnsi="Cambria Math"/>
          </w:rPr>
          <m:t>=</m:t>
        </m:r>
        <m:rad>
          <m:radPr>
            <m:degHide m:val="1"/>
            <m:ctrlPr>
              <w:rPr>
                <w:rFonts w:ascii="Cambria Math" w:hAnsi="Cambria Math"/>
                <w:i/>
              </w:rPr>
            </m:ctrlPr>
          </m:radPr>
          <m:deg/>
          <m:e>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w</m:t>
                    </m:r>
                  </m:sub>
                </m:sSub>
              </m:num>
              <m:den>
                <m:r>
                  <w:rPr>
                    <w:rFonts w:ascii="Cambria Math" w:hAnsi="Cambria Math"/>
                  </w:rPr>
                  <m:t>ρ</m:t>
                </m:r>
              </m:den>
            </m:f>
          </m:e>
        </m:rad>
      </m:oMath>
      <w:r w:rsidRPr="00FC71BE">
        <w:t xml:space="preserve"> is the friction velocity, </w:t>
      </w:r>
      <m:oMath>
        <m:r>
          <w:rPr>
            <w:rFonts w:ascii="Cambria Math" w:hAnsi="Cambria Math"/>
          </w:rPr>
          <m:t>y</m:t>
        </m:r>
      </m:oMath>
      <w:r w:rsidRPr="00FC71BE">
        <w:t xml:space="preserve"> is the distance that is normal to the wall, </w:t>
      </w:r>
      <m:oMath>
        <m:r>
          <w:rPr>
            <w:rFonts w:ascii="Cambria Math" w:hAnsi="Cambria Math"/>
          </w:rPr>
          <m:t>ν=</m:t>
        </m:r>
        <m:f>
          <m:fPr>
            <m:type m:val="lin"/>
            <m:ctrlPr>
              <w:rPr>
                <w:rFonts w:ascii="Cambria Math" w:hAnsi="Cambria Math"/>
                <w:i/>
              </w:rPr>
            </m:ctrlPr>
          </m:fPr>
          <m:num>
            <m:r>
              <w:rPr>
                <w:rFonts w:ascii="Cambria Math" w:hAnsi="Cambria Math"/>
              </w:rPr>
              <m:t>μ</m:t>
            </m:r>
          </m:num>
          <m:den>
            <m:r>
              <w:rPr>
                <w:rFonts w:ascii="Cambria Math" w:hAnsi="Cambria Math"/>
              </w:rPr>
              <m:t>ρ</m:t>
            </m:r>
          </m:den>
        </m:f>
      </m:oMath>
      <w:r w:rsidRPr="00FC71BE">
        <w:t xml:space="preserve"> is the kinematic viscosity, </w:t>
      </w:r>
      <m:oMath>
        <m:sSub>
          <m:sSubPr>
            <m:ctrlPr>
              <w:rPr>
                <w:rFonts w:ascii="Cambria Math" w:hAnsi="Cambria Math"/>
                <w:i/>
              </w:rPr>
            </m:ctrlPr>
          </m:sSubPr>
          <m:e>
            <m:r>
              <w:rPr>
                <w:rFonts w:ascii="Cambria Math" w:hAnsi="Cambria Math"/>
              </w:rPr>
              <m:t>τ</m:t>
            </m:r>
          </m:e>
          <m:sub>
            <m:r>
              <w:rPr>
                <w:rFonts w:ascii="Cambria Math" w:hAnsi="Cambria Math"/>
              </w:rPr>
              <m:t>w</m:t>
            </m:r>
          </m:sub>
        </m:sSub>
      </m:oMath>
      <w:r w:rsidRPr="00FC71BE">
        <w:t xml:space="preserve"> is the shear stress of the fluid near the wall which is considered to be independent of </w:t>
      </w:r>
      <m:oMath>
        <m:r>
          <w:rPr>
            <w:rFonts w:ascii="Cambria Math" w:hAnsi="Cambria Math"/>
          </w:rPr>
          <m:t>y</m:t>
        </m:r>
      </m:oMath>
      <w:r w:rsidRPr="00FC71BE">
        <w:t xml:space="preserve">. The </w:t>
      </w:r>
      <w:r w:rsidRPr="00FC71BE">
        <w:lastRenderedPageBreak/>
        <w:t xml:space="preserve">dimensionless velocity </w:t>
      </w:r>
      <m:oMath>
        <m:sSup>
          <m:sSupPr>
            <m:ctrlPr>
              <w:rPr>
                <w:rFonts w:ascii="Cambria Math" w:hAnsi="Cambria Math"/>
                <w:i/>
              </w:rPr>
            </m:ctrlPr>
          </m:sSupPr>
          <m:e>
            <m:r>
              <w:rPr>
                <w:rFonts w:ascii="Cambria Math" w:hAnsi="Cambria Math"/>
              </w:rPr>
              <m:t>u</m:t>
            </m:r>
          </m:e>
          <m:sup>
            <m:r>
              <w:rPr>
                <w:rFonts w:ascii="Cambria Math" w:hAnsi="Cambria Math"/>
              </w:rPr>
              <m:t>+</m:t>
            </m:r>
          </m:sup>
        </m:sSup>
        <m:r>
          <w:rPr>
            <w:rFonts w:ascii="Cambria Math" w:hAnsi="Cambria Math"/>
          </w:rPr>
          <m:t>=</m:t>
        </m:r>
        <m:f>
          <m:fPr>
            <m:type m:val="lin"/>
            <m:ctrlPr>
              <w:rPr>
                <w:rFonts w:ascii="Cambria Math" w:hAnsi="Cambria Math"/>
                <w:i/>
              </w:rPr>
            </m:ctrlPr>
          </m:fPr>
          <m:num>
            <m:r>
              <w:rPr>
                <w:rFonts w:ascii="Cambria Math" w:hAnsi="Cambria Math"/>
              </w:rPr>
              <m:t>u</m:t>
            </m:r>
          </m:num>
          <m:den>
            <m:sSub>
              <m:sSubPr>
                <m:ctrlPr>
                  <w:rPr>
                    <w:rFonts w:ascii="Cambria Math" w:hAnsi="Cambria Math"/>
                    <w:i/>
                  </w:rPr>
                </m:ctrlPr>
              </m:sSubPr>
              <m:e>
                <m:r>
                  <w:rPr>
                    <w:rFonts w:ascii="Cambria Math" w:hAnsi="Cambria Math"/>
                  </w:rPr>
                  <m:t>u</m:t>
                </m:r>
              </m:e>
              <m:sub>
                <m:r>
                  <w:rPr>
                    <w:rFonts w:ascii="Cambria Math" w:hAnsi="Cambria Math"/>
                  </w:rPr>
                  <m:t>τ</m:t>
                </m:r>
              </m:sub>
            </m:sSub>
          </m:den>
        </m:f>
      </m:oMath>
      <w:r w:rsidRPr="00FC71BE">
        <w:t xml:space="preserve"> and dimensionless wall distance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m:t>
        </m:r>
        <m:f>
          <m:fPr>
            <m:type m:val="lin"/>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u</m:t>
                </m:r>
              </m:e>
              <m:sub>
                <m:r>
                  <w:rPr>
                    <w:rFonts w:ascii="Cambria Math" w:hAnsi="Cambria Math"/>
                  </w:rPr>
                  <m:t>τ</m:t>
                </m:r>
              </m:sub>
            </m:sSub>
          </m:num>
          <m:den>
            <m:r>
              <w:rPr>
                <w:rFonts w:ascii="Cambria Math" w:hAnsi="Cambria Math"/>
              </w:rPr>
              <m:t>ν</m:t>
            </m:r>
          </m:den>
        </m:f>
      </m:oMath>
      <w:r w:rsidRPr="00FC71BE">
        <w:t xml:space="preserve"> are introduced in the law of the wall, and </w:t>
      </w:r>
      <w:r w:rsidRPr="00FC71BE">
        <w:fldChar w:fldCharType="begin"/>
      </w:r>
      <w:r w:rsidRPr="00FC71BE">
        <w:instrText xml:space="preserve"> REF _Ref145859185 \h </w:instrText>
      </w:r>
      <w:r w:rsidRPr="00FC71BE">
        <w:fldChar w:fldCharType="separate"/>
      </w:r>
      <w:r w:rsidR="007E62C1" w:rsidRPr="00FC71BE">
        <w:t>(</w:t>
      </w:r>
      <w:r w:rsidR="007E62C1" w:rsidRPr="00FC71BE">
        <w:rPr>
          <w:noProof/>
        </w:rPr>
        <w:t>4</w:t>
      </w:r>
      <w:r w:rsidR="007E62C1" w:rsidRPr="00FC71BE">
        <w:t>.</w:t>
      </w:r>
      <w:r w:rsidR="007E62C1" w:rsidRPr="00FC71BE">
        <w:rPr>
          <w:noProof/>
        </w:rPr>
        <w:t>6</w:t>
      </w:r>
      <w:r w:rsidR="007E62C1" w:rsidRPr="00FC71BE">
        <w:t>)</w:t>
      </w:r>
      <w:r w:rsidRPr="00FC71BE">
        <w:fldChar w:fldCharType="end"/>
      </w:r>
      <w:r w:rsidRPr="00FC71BE">
        <w:t xml:space="preserve"> is re-written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7C6AEDD3" w14:textId="77777777">
        <w:tc>
          <w:tcPr>
            <w:tcW w:w="4401" w:type="pct"/>
            <w:vAlign w:val="center"/>
          </w:tcPr>
          <w:p w14:paraId="01D9282F" w14:textId="77777777" w:rsidR="0045562B" w:rsidRPr="00FC71BE" w:rsidRDefault="002143AD">
            <w:pPr>
              <w:ind w:left="340" w:firstLine="0"/>
            </w:pPr>
            <m:oMathPara>
              <m:oMath>
                <m:sSup>
                  <m:sSupPr>
                    <m:ctrlPr>
                      <w:rPr>
                        <w:rFonts w:ascii="Cambria Math" w:hAnsi="Cambria Math"/>
                        <w:i/>
                      </w:rPr>
                    </m:ctrlPr>
                  </m:sSupPr>
                  <m:e>
                    <m:r>
                      <w:rPr>
                        <w:rFonts w:ascii="Cambria Math" w:hAnsi="Cambria Math"/>
                      </w:rPr>
                      <m:t>u</m:t>
                    </m:r>
                  </m:e>
                  <m:sup>
                    <m:r>
                      <w:rPr>
                        <w:rFonts w:ascii="Cambria Math" w:hAnsi="Cambria Math"/>
                      </w:rPr>
                      <m:t>+</m:t>
                    </m:r>
                  </m:sup>
                </m:sSup>
                <m:r>
                  <w:rPr>
                    <w:rFonts w:ascii="Cambria Math" w:hAnsi="Cambria Math"/>
                  </w:rPr>
                  <m:t>=</m:t>
                </m:r>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m:t>
                        </m:r>
                      </m:sup>
                    </m:sSup>
                  </m:e>
                </m:d>
              </m:oMath>
            </m:oMathPara>
          </w:p>
        </w:tc>
        <w:tc>
          <w:tcPr>
            <w:tcW w:w="599" w:type="pct"/>
            <w:vAlign w:val="center"/>
          </w:tcPr>
          <w:p w14:paraId="02E73F10" w14:textId="5DBF2731" w:rsidR="0045562B" w:rsidRPr="00FC71BE" w:rsidRDefault="0045562B">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7</w:t>
            </w:r>
            <w:r w:rsidR="002839C4" w:rsidRPr="00FC71BE">
              <w:rPr>
                <w:color w:val="auto"/>
              </w:rPr>
              <w:fldChar w:fldCharType="end"/>
            </w:r>
            <w:r w:rsidRPr="00FC71BE">
              <w:rPr>
                <w:color w:val="auto"/>
              </w:rPr>
              <w:t>)</w:t>
            </w:r>
          </w:p>
        </w:tc>
      </w:tr>
    </w:tbl>
    <w:p w14:paraId="2D32C484" w14:textId="0251EE72" w:rsidR="0045562B" w:rsidRPr="00FC71BE" w:rsidRDefault="0045562B" w:rsidP="0045562B">
      <w:r w:rsidRPr="00FC71BE">
        <w:t xml:space="preserve">When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Pr="00FC71BE">
        <w:t xml:space="preserve"> is large, i.e., for turbulent sublayer,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≥30</m:t>
        </m:r>
      </m:oMath>
      <w:r w:rsidRPr="00FC71BE">
        <w:t xml:space="preserve"> </w:t>
      </w:r>
      <w:r w:rsidRPr="00FC71BE">
        <w:fldChar w:fldCharType="begin"/>
      </w:r>
      <w:r w:rsidR="00BA33ED" w:rsidRPr="00FC71BE">
        <w:instrText xml:space="preserve"> ADDIN EN.CITE &lt;EndNote&gt;&lt;Cite&gt;&lt;Author&gt;Chong&lt;/Author&gt;&lt;Year&gt;2015&lt;/Year&gt;&lt;RecNum&gt;281&lt;/RecNum&gt;&lt;DisplayText&gt;[146, 174]&lt;/DisplayText&gt;&lt;record&gt;&lt;rec-number&gt;281&lt;/rec-number&gt;&lt;foreign-keys&gt;&lt;key app="EN" db-id="p00pasffqrr5wvef0f35etrrr0xzp0wptrtd" timestamp="1694550628" guid="e62aeca4-f63e-423f-ba03-e3f957f91dae"&gt;281&lt;/key&gt;&lt;/foreign-keys&gt;&lt;ref-type name="Thesis"&gt;32&lt;/ref-type&gt;&lt;contributors&gt;&lt;authors&gt;&lt;author&gt;Chong, Yew Chuan&lt;/author&gt;&lt;/authors&gt;&lt;/contributors&gt;&lt;titles&gt;&lt;title&gt;Thermal analysis and air flow modelling of electrical machines&lt;/title&gt;&lt;secondary-title&gt;Dept. Mech. Eng.&lt;/secondary-title&gt;&lt;/titles&gt;&lt;dates&gt;&lt;year&gt;2015&lt;/year&gt;&lt;/dates&gt;&lt;pub-location&gt;Edinburgh, U.K.&lt;/pub-location&gt;&lt;publisher&gt;Edinburgh Univ.&lt;/publisher&gt;&lt;work-type&gt;Ph.D. dissertation&lt;/work-type&gt;&lt;urls&gt;&lt;/urls&gt;&lt;/record&gt;&lt;/Cite&gt;&lt;Cite&gt;&lt;Author&gt;Huang&lt;/Author&gt;&lt;Year&gt;1995&lt;/Year&gt;&lt;RecNum&gt;323&lt;/RecNum&gt;&lt;record&gt;&lt;rec-number&gt;323&lt;/rec-number&gt;&lt;foreign-keys&gt;&lt;key app="EN" db-id="p00pasffqrr5wvef0f35etrrr0xzp0wptrtd" timestamp="1694969603" guid="0ed53434-b9b7-4604-8f0b-fe5802ac91ac"&gt;323&lt;/key&gt;&lt;/foreign-keys&gt;&lt;ref-type name="Journal Article"&gt;17&lt;/ref-type&gt;&lt;contributors&gt;&lt;authors&gt;&lt;author&gt;Huang, P G&lt;/author&gt;&lt;author&gt;Bradshaw, P&lt;/author&gt;&lt;/authors&gt;&lt;/contributors&gt;&lt;titles&gt;&lt;title&gt;Law of the wall for turbulent flows in pressure gradients&lt;/title&gt;&lt;secondary-title&gt;AIAA journal&lt;/secondary-title&gt;&lt;/titles&gt;&lt;periodical&gt;&lt;full-title&gt;AIAA journal&lt;/full-title&gt;&lt;/periodical&gt;&lt;pages&gt;624-632&lt;/pages&gt;&lt;volume&gt;33&lt;/volume&gt;&lt;number&gt;4&lt;/number&gt;&lt;dates&gt;&lt;year&gt;1995&lt;/year&gt;&lt;/dates&gt;&lt;isbn&gt;0001-1452&lt;/isbn&gt;&lt;urls&gt;&lt;/urls&gt;&lt;/record&gt;&lt;/Cite&gt;&lt;/EndNote&gt;</w:instrText>
      </w:r>
      <w:r w:rsidRPr="00FC71BE">
        <w:fldChar w:fldCharType="separate"/>
      </w:r>
      <w:r w:rsidR="00BA33ED" w:rsidRPr="00FC71BE">
        <w:t>[146, 174]</w:t>
      </w:r>
      <w:r w:rsidRPr="00FC71BE">
        <w:fldChar w:fldCharType="end"/>
      </w:r>
      <w:r w:rsidRPr="00FC71BE">
        <w:t xml:space="preserve"> or </w:t>
      </w:r>
      <m:oMath>
        <m:r>
          <w:rPr>
            <w:rFonts w:ascii="Cambria Math" w:hAnsi="Cambria Math"/>
          </w:rPr>
          <m:t>≥50</m:t>
        </m:r>
      </m:oMath>
      <w:r w:rsidRPr="00FC71BE">
        <w:t xml:space="preserve"> </w:t>
      </w:r>
      <w:r w:rsidRPr="00FC71BE">
        <w:fldChar w:fldCharType="begin"/>
      </w:r>
      <w:r w:rsidR="00BA33ED" w:rsidRPr="00FC71BE">
        <w:instrText xml:space="preserve"> ADDIN EN.CITE &lt;EndNote&gt;&lt;Cite&gt;&lt;Author&gt;Coles&lt;/Author&gt;&lt;Year&gt;1956&lt;/Year&gt;&lt;RecNum&gt;322&lt;/RecNum&gt;&lt;DisplayText&gt;[173]&lt;/DisplayText&gt;&lt;record&gt;&lt;rec-number&gt;322&lt;/rec-number&gt;&lt;foreign-keys&gt;&lt;key app="EN" db-id="p00pasffqrr5wvef0f35etrrr0xzp0wptrtd" timestamp="1694969560" guid="852cd238-3930-49e8-a425-3424568540d0"&gt;322&lt;/key&gt;&lt;/foreign-keys&gt;&lt;ref-type name="Journal Article"&gt;17&lt;/ref-type&gt;&lt;contributors&gt;&lt;authors&gt;&lt;author&gt;Coles, Donald&lt;/author&gt;&lt;/authors&gt;&lt;/contributors&gt;&lt;titles&gt;&lt;title&gt;The law of the wake in the turbulent boundary layer&lt;/title&gt;&lt;secondary-title&gt;Journal of Fluid Mechanics&lt;/secondary-title&gt;&lt;/titles&gt;&lt;periodical&gt;&lt;full-title&gt;Journal of Fluid Mechanics&lt;/full-title&gt;&lt;/periodical&gt;&lt;pages&gt;191-226&lt;/pages&gt;&lt;volume&gt;1&lt;/volume&gt;&lt;number&gt;2&lt;/number&gt;&lt;dates&gt;&lt;year&gt;1956&lt;/year&gt;&lt;/dates&gt;&lt;isbn&gt;1469-7645&lt;/isbn&gt;&lt;urls&gt;&lt;/urls&gt;&lt;/record&gt;&lt;/Cite&gt;&lt;/EndNote&gt;</w:instrText>
      </w:r>
      <w:r w:rsidRPr="00FC71BE">
        <w:fldChar w:fldCharType="separate"/>
      </w:r>
      <w:r w:rsidR="00BA33ED" w:rsidRPr="00FC71BE">
        <w:t>[173]</w:t>
      </w:r>
      <w:r w:rsidRPr="00FC71BE">
        <w:fldChar w:fldCharType="end"/>
      </w:r>
      <w:r w:rsidRPr="00FC71BE">
        <w:t xml:space="preserve">, viscosity does not play significant role in the interaction between the mean flow and the Reynolds-stress-carrying eddies. The turbulent shear dominates in this turbulent boundary layer. Hence, the fluid velocity is governed by Logarithmic law as </w:t>
      </w:r>
      <w:r w:rsidRPr="00FC71BE">
        <w:fldChar w:fldCharType="begin"/>
      </w:r>
      <w:r w:rsidR="00BA33ED" w:rsidRPr="00FC71BE">
        <w:instrText xml:space="preserve"> ADDIN EN.CITE &lt;EndNote&gt;&lt;Cite&gt;&lt;Author&gt;Huang&lt;/Author&gt;&lt;Year&gt;1995&lt;/Year&gt;&lt;RecNum&gt;323&lt;/RecNum&gt;&lt;DisplayText&gt;[174]&lt;/DisplayText&gt;&lt;record&gt;&lt;rec-number&gt;323&lt;/rec-number&gt;&lt;foreign-keys&gt;&lt;key app="EN" db-id="p00pasffqrr5wvef0f35etrrr0xzp0wptrtd" timestamp="1694969603" guid="0ed53434-b9b7-4604-8f0b-fe5802ac91ac"&gt;323&lt;/key&gt;&lt;/foreign-keys&gt;&lt;ref-type name="Journal Article"&gt;17&lt;/ref-type&gt;&lt;contributors&gt;&lt;authors&gt;&lt;author&gt;Huang, P G&lt;/author&gt;&lt;author&gt;Bradshaw, P&lt;/author&gt;&lt;/authors&gt;&lt;/contributors&gt;&lt;titles&gt;&lt;title&gt;Law of the wall for turbulent flows in pressure gradients&lt;/title&gt;&lt;secondary-title&gt;AIAA journal&lt;/secondary-title&gt;&lt;/titles&gt;&lt;periodical&gt;&lt;full-title&gt;AIAA journal&lt;/full-title&gt;&lt;/periodical&gt;&lt;pages&gt;624-632&lt;/pages&gt;&lt;volume&gt;33&lt;/volume&gt;&lt;number&gt;4&lt;/number&gt;&lt;dates&gt;&lt;year&gt;1995&lt;/year&gt;&lt;/dates&gt;&lt;isbn&gt;0001-1452&lt;/isbn&gt;&lt;urls&gt;&lt;/urls&gt;&lt;/record&gt;&lt;/Cite&gt;&lt;/EndNote&gt;</w:instrText>
      </w:r>
      <w:r w:rsidRPr="00FC71BE">
        <w:fldChar w:fldCharType="separate"/>
      </w:r>
      <w:r w:rsidR="00BA33ED" w:rsidRPr="00FC71BE">
        <w:t>[174]</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325AB80F" w14:textId="77777777">
        <w:tc>
          <w:tcPr>
            <w:tcW w:w="4401" w:type="pct"/>
            <w:vAlign w:val="center"/>
          </w:tcPr>
          <w:p w14:paraId="0FA9BA86" w14:textId="77777777" w:rsidR="0045562B" w:rsidRPr="00FC71BE" w:rsidRDefault="002143AD">
            <w:pPr>
              <w:ind w:left="340" w:firstLine="0"/>
            </w:pPr>
            <m:oMathPara>
              <m:oMath>
                <m:sSup>
                  <m:sSupPr>
                    <m:ctrlPr>
                      <w:rPr>
                        <w:rFonts w:ascii="Cambria Math" w:hAnsi="Cambria Math"/>
                        <w:i/>
                      </w:rPr>
                    </m:ctrlPr>
                  </m:sSupPr>
                  <m:e>
                    <m:r>
                      <w:rPr>
                        <w:rFonts w:ascii="Cambria Math" w:hAnsi="Cambria Math"/>
                      </w:rPr>
                      <m:t>u</m:t>
                    </m:r>
                  </m:e>
                  <m:sup>
                    <m:r>
                      <w:rPr>
                        <w:rFonts w:ascii="Cambria Math" w:hAnsi="Cambria Math"/>
                      </w:rPr>
                      <m:t>+</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κ</m:t>
                    </m:r>
                  </m:den>
                </m:f>
                <m:func>
                  <m:funcPr>
                    <m:ctrlPr>
                      <w:rPr>
                        <w:rFonts w:ascii="Cambria Math" w:hAnsi="Cambria Math"/>
                        <w:i/>
                      </w:rPr>
                    </m:ctrlPr>
                  </m:funcPr>
                  <m:fName>
                    <m:r>
                      <m:rPr>
                        <m:sty m:val="p"/>
                      </m:rPr>
                      <w:rPr>
                        <w:rFonts w:ascii="Cambria Math" w:hAnsi="Cambria Math"/>
                      </w:rPr>
                      <m:t>ln</m:t>
                    </m:r>
                  </m:fName>
                  <m:e>
                    <m:sSup>
                      <m:sSupPr>
                        <m:ctrlPr>
                          <w:rPr>
                            <w:rFonts w:ascii="Cambria Math" w:hAnsi="Cambria Math"/>
                            <w:i/>
                          </w:rPr>
                        </m:ctrlPr>
                      </m:sSupPr>
                      <m:e>
                        <m:r>
                          <w:rPr>
                            <w:rFonts w:ascii="Cambria Math" w:hAnsi="Cambria Math"/>
                          </w:rPr>
                          <m:t>y</m:t>
                        </m:r>
                      </m:e>
                      <m:sup>
                        <m:r>
                          <w:rPr>
                            <w:rFonts w:ascii="Cambria Math" w:hAnsi="Cambria Math"/>
                          </w:rPr>
                          <m:t>+</m:t>
                        </m:r>
                      </m:sup>
                    </m:sSup>
                  </m:e>
                </m:func>
                <m:r>
                  <w:rPr>
                    <w:rFonts w:ascii="Cambria Math" w:hAnsi="Cambria Math"/>
                  </w:rPr>
                  <m:t>+</m:t>
                </m:r>
                <m:r>
                  <w:rPr>
                    <w:rFonts w:ascii="Cambria Math" w:hAnsi="Cambria Math"/>
                  </w:rPr>
                  <m:t>C</m:t>
                </m:r>
              </m:oMath>
            </m:oMathPara>
          </w:p>
        </w:tc>
        <w:tc>
          <w:tcPr>
            <w:tcW w:w="599" w:type="pct"/>
            <w:vAlign w:val="center"/>
          </w:tcPr>
          <w:p w14:paraId="7D654D7D" w14:textId="4E5C4515" w:rsidR="0045562B" w:rsidRPr="00FC71BE" w:rsidRDefault="0045562B">
            <w:pPr>
              <w:pStyle w:val="equation"/>
              <w:rPr>
                <w:color w:val="auto"/>
              </w:rPr>
            </w:pPr>
            <w:bookmarkStart w:id="199" w:name="_Ref145932007"/>
            <w:bookmarkStart w:id="200" w:name="_Ref147251564"/>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8</w:t>
            </w:r>
            <w:r w:rsidR="002839C4" w:rsidRPr="00FC71BE">
              <w:rPr>
                <w:color w:val="auto"/>
              </w:rPr>
              <w:fldChar w:fldCharType="end"/>
            </w:r>
            <w:bookmarkEnd w:id="199"/>
            <w:r w:rsidRPr="00FC71BE">
              <w:rPr>
                <w:color w:val="auto"/>
              </w:rPr>
              <w:t>)</w:t>
            </w:r>
            <w:bookmarkEnd w:id="200"/>
          </w:p>
        </w:tc>
      </w:tr>
    </w:tbl>
    <w:p w14:paraId="5D53F6D5" w14:textId="77777777" w:rsidR="0045562B" w:rsidRPr="00FC71BE" w:rsidRDefault="0045562B" w:rsidP="0045562B">
      <w:pPr>
        <w:ind w:firstLine="0"/>
      </w:pPr>
      <w:r w:rsidRPr="00FC71BE">
        <w:t xml:space="preserve">where </w:t>
      </w:r>
      <m:oMath>
        <m:r>
          <w:rPr>
            <w:rFonts w:ascii="Cambria Math" w:hAnsi="Cambria Math"/>
          </w:rPr>
          <m:t>κ≈0.41</m:t>
        </m:r>
      </m:oMath>
      <w:r w:rsidRPr="00FC71BE">
        <w:t xml:space="preserve"> and </w:t>
      </w:r>
      <m:oMath>
        <m:r>
          <w:rPr>
            <w:rFonts w:ascii="Cambria Math" w:hAnsi="Cambria Math"/>
          </w:rPr>
          <m:t>C≈5.2</m:t>
        </m:r>
      </m:oMath>
      <w:r w:rsidRPr="00FC71BE">
        <w:t xml:space="preserve"> are the constants that are determined by experiments.</w:t>
      </w:r>
    </w:p>
    <w:p w14:paraId="79312BFB" w14:textId="0A8EE566" w:rsidR="0045562B" w:rsidRPr="00FC71BE" w:rsidRDefault="0045562B" w:rsidP="0045562B">
      <w:r w:rsidRPr="00FC71BE">
        <w:t xml:space="preserve">When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Pr="00FC71BE">
        <w:t xml:space="preserve"> is small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≤5</m:t>
        </m:r>
      </m:oMath>
      <w:r w:rsidRPr="00FC71BE">
        <w:t xml:space="preserve"> </w:t>
      </w:r>
      <w:r w:rsidRPr="00FC71BE">
        <w:fldChar w:fldCharType="begin"/>
      </w:r>
      <w:r w:rsidR="00BA33ED" w:rsidRPr="00FC71BE">
        <w:instrText xml:space="preserve"> ADDIN EN.CITE &lt;EndNote&gt;&lt;Cite&gt;&lt;Author&gt;Chong&lt;/Author&gt;&lt;Year&gt;2015&lt;/Year&gt;&lt;RecNum&gt;281&lt;/RecNum&gt;&lt;DisplayText&gt;[146, 175]&lt;/DisplayText&gt;&lt;record&gt;&lt;rec-number&gt;281&lt;/rec-number&gt;&lt;foreign-keys&gt;&lt;key app="EN" db-id="p00pasffqrr5wvef0f35etrrr0xzp0wptrtd" timestamp="1694550628" guid="e62aeca4-f63e-423f-ba03-e3f957f91dae"&gt;281&lt;/key&gt;&lt;/foreign-keys&gt;&lt;ref-type name="Thesis"&gt;32&lt;/ref-type&gt;&lt;contributors&gt;&lt;authors&gt;&lt;author&gt;Chong, Yew Chuan&lt;/author&gt;&lt;/authors&gt;&lt;/contributors&gt;&lt;titles&gt;&lt;title&gt;Thermal analysis and air flow modelling of electrical machines&lt;/title&gt;&lt;secondary-title&gt;Dept. Mech. Eng.&lt;/secondary-title&gt;&lt;/titles&gt;&lt;dates&gt;&lt;year&gt;2015&lt;/year&gt;&lt;/dates&gt;&lt;pub-location&gt;Edinburgh, U.K.&lt;/pub-location&gt;&lt;publisher&gt;Edinburgh Univ.&lt;/publisher&gt;&lt;work-type&gt;Ph.D. dissertation&lt;/work-type&gt;&lt;urls&gt;&lt;/urls&gt;&lt;/record&gt;&lt;/Cite&gt;&lt;Cite&gt;&lt;Author&gt;Von Karman&lt;/Author&gt;&lt;Year&gt;1939&lt;/Year&gt;&lt;RecNum&gt;324&lt;/RecNum&gt;&lt;record&gt;&lt;rec-number&gt;324&lt;/rec-number&gt;&lt;foreign-keys&gt;&lt;key app="EN" db-id="p00pasffqrr5wvef0f35etrrr0xzp0wptrtd" timestamp="1694969670" guid="fdf28ea1-0f9f-4961-8e8d-1c6d8b1e58e6"&gt;324&lt;/key&gt;&lt;/foreign-keys&gt;&lt;ref-type name="Journal Article"&gt;17&lt;/ref-type&gt;&lt;contributors&gt;&lt;authors&gt;&lt;author&gt;Von Karman, Th&lt;/author&gt;&lt;/authors&gt;&lt;/contributors&gt;&lt;titles&gt;&lt;title&gt;The analogy between fluid friction and heat transfer&lt;/title&gt;&lt;secondary-title&gt;Transactions of the American Society of Mechanical Engineers&lt;/secondary-title&gt;&lt;/titles&gt;&lt;periodical&gt;&lt;full-title&gt;Transactions of the American Society of Mechanical Engineers&lt;/full-title&gt;&lt;/periodical&gt;&lt;pages&gt;705-710&lt;/pages&gt;&lt;volume&gt;61&lt;/volume&gt;&lt;number&gt;8&lt;/number&gt;&lt;dates&gt;&lt;year&gt;1939&lt;/year&gt;&lt;/dates&gt;&lt;isbn&gt;0097-6822&lt;/isbn&gt;&lt;urls&gt;&lt;/urls&gt;&lt;/record&gt;&lt;/Cite&gt;&lt;/EndNote&gt;</w:instrText>
      </w:r>
      <w:r w:rsidRPr="00FC71BE">
        <w:fldChar w:fldCharType="separate"/>
      </w:r>
      <w:r w:rsidR="00BA33ED" w:rsidRPr="00FC71BE">
        <w:t>[146, 175]</w:t>
      </w:r>
      <w:r w:rsidRPr="00FC71BE">
        <w:fldChar w:fldCharType="end"/>
      </w:r>
      <w:r w:rsidRPr="00FC71BE">
        <w:t xml:space="preserve">), viscous shear dominates in this laminar sublayer. </w:t>
      </w:r>
      <m:oMath>
        <m:sSup>
          <m:sSupPr>
            <m:ctrlPr>
              <w:rPr>
                <w:rFonts w:ascii="Cambria Math" w:hAnsi="Cambria Math"/>
                <w:i/>
              </w:rPr>
            </m:ctrlPr>
          </m:sSupPr>
          <m:e>
            <m:r>
              <w:rPr>
                <w:rFonts w:ascii="Cambria Math" w:hAnsi="Cambria Math"/>
              </w:rPr>
              <m:t>u</m:t>
            </m:r>
          </m:e>
          <m:sup>
            <m:r>
              <w:rPr>
                <w:rFonts w:ascii="Cambria Math" w:hAnsi="Cambria Math"/>
              </w:rPr>
              <m:t>+</m:t>
            </m:r>
          </m:sup>
        </m:sSup>
      </m:oMath>
      <w:r w:rsidRPr="00FC71BE">
        <w:t xml:space="preserve"> is proportional to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Pr="00FC71BE">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40B2335D" w14:textId="77777777">
        <w:tc>
          <w:tcPr>
            <w:tcW w:w="4401" w:type="pct"/>
            <w:vAlign w:val="center"/>
          </w:tcPr>
          <w:p w14:paraId="6E713DE2" w14:textId="77777777" w:rsidR="0045562B" w:rsidRPr="00FC71BE" w:rsidRDefault="002143AD">
            <w:pPr>
              <w:ind w:left="340" w:firstLine="0"/>
            </w:pPr>
            <m:oMathPara>
              <m:oMath>
                <m:sSup>
                  <m:sSupPr>
                    <m:ctrlPr>
                      <w:rPr>
                        <w:rFonts w:ascii="Cambria Math" w:hAnsi="Cambria Math"/>
                        <w:i/>
                      </w:rPr>
                    </m:ctrlPr>
                  </m:sSupPr>
                  <m:e>
                    <m:r>
                      <w:rPr>
                        <w:rFonts w:ascii="Cambria Math" w:hAnsi="Cambria Math"/>
                      </w:rPr>
                      <m:t>u</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m:t>
                    </m:r>
                  </m:sup>
                </m:sSup>
              </m:oMath>
            </m:oMathPara>
          </w:p>
        </w:tc>
        <w:tc>
          <w:tcPr>
            <w:tcW w:w="599" w:type="pct"/>
            <w:vAlign w:val="center"/>
          </w:tcPr>
          <w:p w14:paraId="095FF121" w14:textId="51920FD6" w:rsidR="0045562B" w:rsidRPr="00FC71BE" w:rsidRDefault="0045562B">
            <w:pPr>
              <w:pStyle w:val="equation"/>
              <w:rPr>
                <w:color w:val="auto"/>
              </w:rPr>
            </w:pPr>
            <w:bookmarkStart w:id="201" w:name="_Ref145961324"/>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9</w:t>
            </w:r>
            <w:r w:rsidR="002839C4" w:rsidRPr="00FC71BE">
              <w:rPr>
                <w:color w:val="auto"/>
              </w:rPr>
              <w:fldChar w:fldCharType="end"/>
            </w:r>
            <w:r w:rsidRPr="00FC71BE">
              <w:rPr>
                <w:color w:val="auto"/>
              </w:rPr>
              <w:t>)</w:t>
            </w:r>
            <w:bookmarkEnd w:id="201"/>
          </w:p>
        </w:tc>
      </w:tr>
    </w:tbl>
    <w:p w14:paraId="0F694F5B" w14:textId="18806C06" w:rsidR="0045562B" w:rsidRPr="00FC71BE" w:rsidRDefault="0045562B" w:rsidP="0045562B">
      <w:r w:rsidRPr="00FC71BE">
        <w:t>In the transition sublayer (</w:t>
      </w:r>
      <m:oMath>
        <m:sSup>
          <m:sSupPr>
            <m:ctrlPr>
              <w:rPr>
                <w:rFonts w:ascii="Cambria Math" w:hAnsi="Cambria Math"/>
                <w:i/>
              </w:rPr>
            </m:ctrlPr>
          </m:sSupPr>
          <m:e>
            <m:r>
              <w:rPr>
                <w:rFonts w:ascii="Cambria Math" w:hAnsi="Cambria Math"/>
              </w:rPr>
              <m:t>5≤y</m:t>
            </m:r>
          </m:e>
          <m:sup>
            <m:r>
              <w:rPr>
                <w:rFonts w:ascii="Cambria Math" w:hAnsi="Cambria Math"/>
              </w:rPr>
              <m:t>+</m:t>
            </m:r>
          </m:sup>
        </m:sSup>
        <m:r>
          <w:rPr>
            <w:rFonts w:ascii="Cambria Math" w:hAnsi="Cambria Math"/>
          </w:rPr>
          <m:t>≤30</m:t>
        </m:r>
      </m:oMath>
      <w:r w:rsidRPr="00FC71BE">
        <w:t xml:space="preserve">), the viscous shear and turbulent shear are both important for building the flow profile. Different functions in the transition sublayer have been identified in </w:t>
      </w:r>
      <w:r w:rsidRPr="00FC71BE">
        <w:fldChar w:fldCharType="begin">
          <w:fldData xml:space="preserve">PEVuZE5vdGU+PENpdGU+PEF1dGhvcj5Wb24gS2FybWFuPC9BdXRob3I+PFllYXI+MTkzOTwvWWVh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</w:fldData>
        </w:fldChar>
      </w:r>
      <w:r w:rsidR="00BA33ED" w:rsidRPr="00FC71BE">
        <w:instrText xml:space="preserve"> ADDIN EN.CITE </w:instrText>
      </w:r>
      <w:r w:rsidR="00BA33ED" w:rsidRPr="00FC71BE">
        <w:fldChar w:fldCharType="begin">
          <w:fldData xml:space="preserve">PEVuZE5vdGU+PENpdGU+PEF1dGhvcj5Wb24gS2FybWFuPC9BdXRob3I+PFllYXI+MTkzOTwvWWVh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</w:fldData>
        </w:fldChar>
      </w:r>
      <w:r w:rsidR="00BA33ED" w:rsidRPr="00FC71BE">
        <w:instrText xml:space="preserve"> ADDIN EN.CITE.DATA </w:instrText>
      </w:r>
      <w:r w:rsidR="00BA33ED" w:rsidRPr="00FC71BE">
        <w:fldChar w:fldCharType="end"/>
      </w:r>
      <w:r w:rsidRPr="00FC71BE">
        <w:fldChar w:fldCharType="separate"/>
      </w:r>
      <w:r w:rsidR="00BA33ED" w:rsidRPr="00FC71BE">
        <w:t>[146, 175, 176]</w:t>
      </w:r>
      <w:r w:rsidRPr="00FC71BE">
        <w:fldChar w:fldCharType="end"/>
      </w:r>
      <w:r w:rsidRPr="00FC71BE">
        <w:t xml:space="preserve">. For example, Von Karman 1939 </w:t>
      </w:r>
      <w:r w:rsidRPr="00FC71BE">
        <w:fldChar w:fldCharType="begin"/>
      </w:r>
      <w:r w:rsidR="00BA33ED" w:rsidRPr="00FC71BE">
        <w:instrText xml:space="preserve"> ADDIN EN.CITE &lt;EndNote&gt;&lt;Cite&gt;&lt;Author&gt;Von Karman&lt;/Author&gt;&lt;Year&gt;1939&lt;/Year&gt;&lt;RecNum&gt;324&lt;/RecNum&gt;&lt;DisplayText&gt;[175]&lt;/DisplayText&gt;&lt;record&gt;&lt;rec-number&gt;324&lt;/rec-number&gt;&lt;foreign-keys&gt;&lt;key app="EN" db-id="p00pasffqrr5wvef0f35etrrr0xzp0wptrtd" timestamp="1694969670" guid="fdf28ea1-0f9f-4961-8e8d-1c6d8b1e58e6"&gt;324&lt;/key&gt;&lt;/foreign-keys&gt;&lt;ref-type name="Journal Article"&gt;17&lt;/ref-type&gt;&lt;contributors&gt;&lt;authors&gt;&lt;author&gt;Von Karman, Th&lt;/author&gt;&lt;/authors&gt;&lt;/contributors&gt;&lt;titles&gt;&lt;title&gt;The analogy between fluid friction and heat transfer&lt;/title&gt;&lt;secondary-title&gt;Transactions of the American Society of Mechanical Engineers&lt;/secondary-title&gt;&lt;/titles&gt;&lt;periodical&gt;&lt;full-title&gt;Transactions of the American Society of Mechanical Engineers&lt;/full-title&gt;&lt;/periodical&gt;&lt;pages&gt;705-710&lt;/pages&gt;&lt;volume&gt;61&lt;/volume&gt;&lt;number&gt;8&lt;/number&gt;&lt;dates&gt;&lt;year&gt;1939&lt;/year&gt;&lt;/dates&gt;&lt;isbn&gt;0097-6822&lt;/isbn&gt;&lt;urls&gt;&lt;/urls&gt;&lt;/record&gt;&lt;/Cite&gt;&lt;/EndNote&gt;</w:instrText>
      </w:r>
      <w:r w:rsidRPr="00FC71BE">
        <w:fldChar w:fldCharType="separate"/>
      </w:r>
      <w:r w:rsidR="00BA33ED" w:rsidRPr="00FC71BE">
        <w:t>[175]</w:t>
      </w:r>
      <w:r w:rsidRPr="00FC71BE">
        <w:fldChar w:fldCharType="end"/>
      </w:r>
      <w:r w:rsidRPr="00FC71BE">
        <w:t xml:space="preserve"> proposed a relationship between </w:t>
      </w:r>
      <m:oMath>
        <m:sSup>
          <m:sSupPr>
            <m:ctrlPr>
              <w:rPr>
                <w:rFonts w:ascii="Cambria Math" w:hAnsi="Cambria Math"/>
                <w:i/>
              </w:rPr>
            </m:ctrlPr>
          </m:sSupPr>
          <m:e>
            <m:r>
              <w:rPr>
                <w:rFonts w:ascii="Cambria Math" w:hAnsi="Cambria Math"/>
              </w:rPr>
              <m:t>u</m:t>
            </m:r>
          </m:e>
          <m:sup>
            <m:r>
              <w:rPr>
                <w:rFonts w:ascii="Cambria Math" w:hAnsi="Cambria Math"/>
              </w:rPr>
              <m:t>+</m:t>
            </m:r>
          </m:sup>
        </m:sSup>
      </m:oMath>
      <w:r w:rsidRPr="00FC71BE">
        <w:t xml:space="preserve"> and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Pr="00FC71BE">
        <w:t xml:space="preserve">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26077B48" w14:textId="77777777">
        <w:tc>
          <w:tcPr>
            <w:tcW w:w="4401" w:type="pct"/>
            <w:vAlign w:val="center"/>
          </w:tcPr>
          <w:p w14:paraId="5615FDFF" w14:textId="77777777" w:rsidR="0045562B" w:rsidRPr="00FC71BE" w:rsidRDefault="002143AD">
            <w:pPr>
              <w:ind w:left="340" w:firstLine="0"/>
            </w:pPr>
            <m:oMathPara>
              <m:oMath>
                <m:sSup>
                  <m:sSupPr>
                    <m:ctrlPr>
                      <w:rPr>
                        <w:rFonts w:ascii="Cambria Math" w:hAnsi="Cambria Math"/>
                        <w:i/>
                      </w:rPr>
                    </m:ctrlPr>
                  </m:sSupPr>
                  <m:e>
                    <m:r>
                      <w:rPr>
                        <w:rFonts w:ascii="Cambria Math" w:hAnsi="Cambria Math"/>
                      </w:rPr>
                      <m:t>u</m:t>
                    </m:r>
                  </m:e>
                  <m:sup>
                    <m:r>
                      <w:rPr>
                        <w:rFonts w:ascii="Cambria Math" w:hAnsi="Cambria Math"/>
                      </w:rPr>
                      <m:t>+</m:t>
                    </m:r>
                  </m:sup>
                </m:sSup>
                <m:r>
                  <w:rPr>
                    <w:rFonts w:ascii="Cambria Math" w:hAnsi="Cambria Math"/>
                  </w:rPr>
                  <m:t>=5</m:t>
                </m:r>
                <m:func>
                  <m:funcPr>
                    <m:ctrlPr>
                      <w:rPr>
                        <w:rFonts w:ascii="Cambria Math" w:hAnsi="Cambria Math"/>
                        <w:i/>
                      </w:rPr>
                    </m:ctrlPr>
                  </m:funcPr>
                  <m:fName>
                    <m:r>
                      <m:rPr>
                        <m:sty m:val="p"/>
                      </m:rPr>
                      <w:rPr>
                        <w:rFonts w:ascii="Cambria Math" w:hAnsi="Cambria Math"/>
                      </w:rPr>
                      <m:t>ln</m:t>
                    </m:r>
                  </m:fName>
                  <m:e>
                    <m:f>
                      <m:fPr>
                        <m:ctrlPr>
                          <w:rPr>
                            <w:rFonts w:ascii="Cambria Math" w:hAnsi="Cambria Math"/>
                            <w:i/>
                          </w:rPr>
                        </m:ctrlPr>
                      </m:fPr>
                      <m:num>
                        <m:sSup>
                          <m:sSupPr>
                            <m:ctrlPr>
                              <w:rPr>
                                <w:rFonts w:ascii="Cambria Math" w:hAnsi="Cambria Math"/>
                                <w:i/>
                              </w:rPr>
                            </m:ctrlPr>
                          </m:sSupPr>
                          <m:e>
                            <m:r>
                              <w:rPr>
                                <w:rFonts w:ascii="Cambria Math" w:hAnsi="Cambria Math"/>
                              </w:rPr>
                              <m:t>y</m:t>
                            </m:r>
                          </m:e>
                          <m:sup>
                            <m:r>
                              <w:rPr>
                                <w:rFonts w:ascii="Cambria Math" w:hAnsi="Cambria Math"/>
                              </w:rPr>
                              <m:t>+</m:t>
                            </m:r>
                          </m:sup>
                        </m:sSup>
                      </m:num>
                      <m:den>
                        <m:r>
                          <w:rPr>
                            <w:rFonts w:ascii="Cambria Math" w:hAnsi="Cambria Math"/>
                          </w:rPr>
                          <m:t>5</m:t>
                        </m:r>
                      </m:den>
                    </m:f>
                  </m:e>
                </m:func>
                <m:r>
                  <w:rPr>
                    <w:rFonts w:ascii="Cambria Math" w:hAnsi="Cambria Math"/>
                  </w:rPr>
                  <m:t>+5</m:t>
                </m:r>
              </m:oMath>
            </m:oMathPara>
          </w:p>
        </w:tc>
        <w:tc>
          <w:tcPr>
            <w:tcW w:w="599" w:type="pct"/>
            <w:vAlign w:val="center"/>
          </w:tcPr>
          <w:p w14:paraId="24BDF25C" w14:textId="65E162D9" w:rsidR="0045562B" w:rsidRPr="00FC71BE" w:rsidRDefault="0045562B">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10</w:t>
            </w:r>
            <w:r w:rsidR="002839C4" w:rsidRPr="00FC71BE">
              <w:rPr>
                <w:color w:val="auto"/>
              </w:rPr>
              <w:fldChar w:fldCharType="end"/>
            </w:r>
            <w:r w:rsidRPr="00FC71BE">
              <w:rPr>
                <w:color w:val="auto"/>
              </w:rPr>
              <w:t>)</w:t>
            </w:r>
          </w:p>
        </w:tc>
      </w:tr>
    </w:tbl>
    <w:p w14:paraId="0811340E" w14:textId="3CA5C25E" w:rsidR="0045562B" w:rsidRPr="00FC71BE" w:rsidRDefault="0045562B" w:rsidP="0045562B">
      <w:r w:rsidRPr="00FC71BE">
        <w:t xml:space="preserve">Based on the law of the wall, the velocity distribution along the wall distance can be plotted as shown in </w:t>
      </w:r>
      <w:r w:rsidRPr="00FC71BE">
        <w:fldChar w:fldCharType="begin"/>
      </w:r>
      <w:r w:rsidRPr="00FC71BE">
        <w:instrText xml:space="preserve"> REF _Ref145872570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w:t>
      </w:r>
      <w:r w:rsidRPr="00FC71BE">
        <w:fldChar w:fldCharType="end"/>
      </w:r>
      <w:r w:rsidRPr="00FC71BE">
        <w:t xml:space="preserve">. It is found that, the change rate of velocity in low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Pr="00FC71BE">
        <w:t xml:space="preserve"> region (laminar sublayer) is faster, and it will be slower in high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Pr="00FC71BE">
        <w:t xml:space="preserve"> region (turbulent sublayer). Consequently, the different kinds of wall treatment need to be employed </w:t>
      </w:r>
      <w:r w:rsidRPr="00FC71BE">
        <w:fldChar w:fldCharType="begin"/>
      </w:r>
      <w:r w:rsidR="00BA33ED" w:rsidRPr="00FC71BE">
        <w:instrText xml:space="preserve"> ADDIN EN.CITE &lt;EndNote&gt;&lt;Cite&gt;&lt;Author&gt;ANSYS&lt;/Author&gt;&lt;Year&gt;2021&lt;/Year&gt;&lt;RecNum&gt;326&lt;/RecNum&gt;&lt;DisplayText&gt;[177]&lt;/DisplayText&gt;&lt;record&gt;&lt;rec-number&gt;326&lt;/rec-number&gt;&lt;foreign-keys&gt;&lt;key app="EN" db-id="p00pasffqrr5wvef0f35etrrr0xzp0wptrtd" timestamp="1695025287" guid="88b48973-1dff-4ea8-a8c7-5513b087f987"&gt;326&lt;/key&gt;&lt;/foreign-keys&gt;&lt;ref-type name="Book"&gt;6&lt;/ref-type&gt;&lt;contributors&gt;&lt;authors&gt;&lt;author&gt;ANSYS&lt;/author&gt;&lt;/authors&gt;&lt;/contributors&gt;&lt;titles&gt;&lt;title&gt;ANSYS CFX-Solver Theory guide Version 2021 R2&lt;/title&gt;&lt;/titles&gt;&lt;dates&gt;&lt;year&gt;2021&lt;/year&gt;&lt;/dates&gt;&lt;pub-location&gt;Canonsburg, PA, US&lt;/pub-location&gt;&lt;publisher&gt;ANSYS, Inc.&lt;/publisher&gt;&lt;urls&gt;&lt;/urls&gt;&lt;/record&gt;&lt;/Cite&gt;&lt;/EndNote&gt;</w:instrText>
      </w:r>
      <w:r w:rsidRPr="00FC71BE">
        <w:fldChar w:fldCharType="separate"/>
      </w:r>
      <w:r w:rsidR="00BA33ED" w:rsidRPr="00FC71BE">
        <w:t>[177]</w:t>
      </w:r>
      <w:r w:rsidRPr="00FC71BE">
        <w:fldChar w:fldCharType="end"/>
      </w:r>
      <w:r w:rsidRPr="00FC71BE">
        <w:t>.</w:t>
      </w:r>
    </w:p>
    <w:p w14:paraId="1706A7B9" w14:textId="77777777" w:rsidR="0045562B" w:rsidRPr="00FC71BE" w:rsidRDefault="0045562B" w:rsidP="0045562B">
      <w:pPr>
        <w:pStyle w:val="Figure"/>
        <w:rPr>
          <w:noProof w:val="0"/>
        </w:rPr>
      </w:pPr>
      <w:r w:rsidRPr="00FC71BE">
        <w:lastRenderedPageBreak/>
        <w:drawing>
          <wp:inline distT="0" distB="0" distL="0" distR="0" wp14:anchorId="539308DD" wp14:editId="4AC7F0AF">
            <wp:extent cx="4363200" cy="2771836"/>
            <wp:effectExtent l="0" t="0" r="0" b="0"/>
            <wp:docPr id="1160779773" name="Picture 1160779773" descr="A diagram of a sublayer&#10;&#10;Description automatically generated">
              <a:extLst xmlns:a="http://schemas.openxmlformats.org/drawingml/2006/main">
                <a:ext uri="{FF2B5EF4-FFF2-40B4-BE49-F238E27FC236}">
                  <a16:creationId xmlns:a16="http://schemas.microsoft.com/office/drawing/2014/main" id="{C1B2B67C-5637-3123-A9C4-A4D2C527E3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79773" name="Picture 1160779773" descr="A diagram of a sublayer&#10;&#10;Description automatically generated">
                      <a:extLst>
                        <a:ext uri="{FF2B5EF4-FFF2-40B4-BE49-F238E27FC236}">
                          <a16:creationId xmlns:a16="http://schemas.microsoft.com/office/drawing/2014/main" id="{C1B2B67C-5637-3123-A9C4-A4D2C527E303}"/>
                        </a:ext>
                      </a:extLst>
                    </pic:cNvPr>
                    <pic:cNvPicPr>
                      <a:picLocks noChangeAspect="1"/>
                    </pic:cNvPicPr>
                  </pic:nvPicPr>
                  <pic:blipFill>
                    <a:blip r:embed="rId135"/>
                    <a:stretch>
                      <a:fillRect/>
                    </a:stretch>
                  </pic:blipFill>
                  <pic:spPr>
                    <a:xfrm>
                      <a:off x="0" y="0"/>
                      <a:ext cx="4363200" cy="2771836"/>
                    </a:xfrm>
                    <a:prstGeom prst="rect">
                      <a:avLst/>
                    </a:prstGeom>
                  </pic:spPr>
                </pic:pic>
              </a:graphicData>
            </a:graphic>
          </wp:inline>
        </w:drawing>
      </w:r>
    </w:p>
    <w:p w14:paraId="755D253E" w14:textId="062AC1D7" w:rsidR="0045562B" w:rsidRPr="00FC71BE" w:rsidRDefault="0045562B" w:rsidP="0045562B">
      <w:pPr>
        <w:pStyle w:val="FigureTitle"/>
      </w:pPr>
      <w:bookmarkStart w:id="202" w:name="_Ref145872570"/>
      <w:bookmarkStart w:id="203" w:name="_Ref145872564"/>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w:t>
        </w:r>
      </w:fldSimple>
      <w:bookmarkEnd w:id="202"/>
      <w:r w:rsidRPr="00FC71BE">
        <w:t>. The law of the wall for velocity.</w:t>
      </w:r>
      <w:bookmarkEnd w:id="203"/>
    </w:p>
    <w:p w14:paraId="116AAED7" w14:textId="77777777" w:rsidR="0045562B" w:rsidRPr="00FC71BE" w:rsidRDefault="0045562B" w:rsidP="0045562B">
      <w:r w:rsidRPr="00FC71BE">
        <w:t xml:space="preserve">The wall functions approach is one of the wall treatments. It predicts the fluid behaviour (velocity, temperature, and turbulence, etc.) according to the wall functions. For wall functions approach, the mesh can be coarse, and therefore less computational consumption is required. It is sufficiently accurate and robust to predict the flow profile in turbulent sublayer, where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≥30</m:t>
        </m:r>
      </m:oMath>
      <w:r w:rsidRPr="00FC71BE">
        <w:t>.</w:t>
      </w:r>
    </w:p>
    <w:p w14:paraId="44C23690" w14:textId="65EA92E8" w:rsidR="0045562B" w:rsidRPr="00FC71BE" w:rsidRDefault="0045562B" w:rsidP="0045562B">
      <w:r w:rsidRPr="00FC71BE">
        <w:t>The low-</w:t>
      </w:r>
      <w:r w:rsidRPr="00FC71BE">
        <w:rPr>
          <w:i/>
          <w:iCs/>
        </w:rPr>
        <w:t>Re</w:t>
      </w:r>
      <w:r w:rsidRPr="00FC71BE">
        <w:t xml:space="preserve"> near wall approach is one of the wall treatments that generates more accurate results in low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Pr="00FC71BE">
        <w:t xml:space="preserve"> region. Fluid behaviour can be predicted by using the turbulence models but without the need for the wall functions. However, sufficient boundary-layer mesh resolution is required for the Low-</w:t>
      </w:r>
      <w:r w:rsidRPr="00FC71BE">
        <w:rPr>
          <w:i/>
          <w:iCs/>
        </w:rPr>
        <w:t>Re</w:t>
      </w:r>
      <w:r w:rsidRPr="00FC71BE">
        <w:t xml:space="preserve"> near wall approach. Compared with the wall functions approach, it is more computationally expensive. It is worth noting that, the low-</w:t>
      </w:r>
      <w:r w:rsidRPr="00FC71BE">
        <w:rPr>
          <w:i/>
          <w:iCs/>
        </w:rPr>
        <w:t>Re</w:t>
      </w:r>
      <w:r w:rsidRPr="00FC71BE">
        <w:t xml:space="preserve"> near wall approach is only sufficiently accurate and robust when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≤0.2</m:t>
        </m:r>
      </m:oMath>
      <w:r w:rsidRPr="00FC71BE">
        <w:t xml:space="preserve"> and the </w:t>
      </w:r>
      <m:oMath>
        <m:r>
          <w:rPr>
            <w:rFonts w:ascii="Cambria Math" w:hAnsi="Cambria Math"/>
          </w:rPr>
          <m:t>k</m:t>
        </m:r>
      </m:oMath>
      <w:r w:rsidRPr="00FC71BE">
        <w:t>-</w:t>
      </w:r>
      <m:oMath>
        <m:r>
          <w:rPr>
            <w:rFonts w:ascii="Cambria Math" w:hAnsi="Cambria Math"/>
          </w:rPr>
          <m:t>ε</m:t>
        </m:r>
      </m:oMath>
      <w:r w:rsidRPr="00FC71BE">
        <w:t xml:space="preserve"> turbulence model is employed. This value can increase to 2 after employing </w:t>
      </w:r>
      <m:oMath>
        <m:r>
          <w:rPr>
            <w:rFonts w:ascii="Cambria Math" w:hAnsi="Cambria Math"/>
          </w:rPr>
          <m:t>k</m:t>
        </m:r>
      </m:oMath>
      <w:r w:rsidRPr="00FC71BE">
        <w:t>-</w:t>
      </w:r>
      <m:oMath>
        <m:r>
          <w:rPr>
            <w:rFonts w:ascii="Cambria Math" w:hAnsi="Cambria Math"/>
          </w:rPr>
          <m:t>ω</m:t>
        </m:r>
      </m:oMath>
      <w:r w:rsidRPr="00FC71BE">
        <w:t xml:space="preserve"> turbulence model (by introducing Wilcox </w:t>
      </w:r>
      <m:oMath>
        <m:r>
          <w:rPr>
            <w:rFonts w:ascii="Cambria Math" w:hAnsi="Cambria Math"/>
          </w:rPr>
          <m:t>k</m:t>
        </m:r>
      </m:oMath>
      <w:r w:rsidRPr="00FC71BE">
        <w:t>-</w:t>
      </w:r>
      <m:oMath>
        <m:r>
          <w:rPr>
            <w:rFonts w:ascii="Cambria Math" w:hAnsi="Cambria Math"/>
          </w:rPr>
          <m:t>ω</m:t>
        </m:r>
      </m:oMath>
      <w:r w:rsidRPr="00FC71BE">
        <w:t xml:space="preserve"> model </w:t>
      </w:r>
      <w:r w:rsidRPr="00FC71BE">
        <w:fldChar w:fldCharType="begin"/>
      </w:r>
      <w:r w:rsidR="00BA33ED" w:rsidRPr="00FC71BE">
        <w:instrText xml:space="preserve"> ADDIN EN.CITE &lt;EndNote&gt;&lt;Cite&gt;&lt;Author&gt;Wilcox&lt;/Author&gt;&lt;Year&gt;1998&lt;/Year&gt;&lt;RecNum&gt;327&lt;/RecNum&gt;&lt;DisplayText&gt;[178]&lt;/DisplayText&gt;&lt;record&gt;&lt;rec-number&gt;327&lt;/rec-number&gt;&lt;foreign-keys&gt;&lt;key app="EN" db-id="p00pasffqrr5wvef0f35etrrr0xzp0wptrtd" timestamp="1695033229" guid="38c8a617-c9bb-44d6-b3cd-f577ab48cbfa"&gt;327&lt;/key&gt;&lt;/foreign-keys&gt;&lt;ref-type name="Book"&gt;6&lt;/ref-type&gt;&lt;contributors&gt;&lt;authors&gt;&lt;author&gt;Wilcox, David C&lt;/author&gt;&lt;/authors&gt;&lt;/contributors&gt;&lt;titles&gt;&lt;title&gt;Turbulence modeling for CFD&lt;/title&gt;&lt;/titles&gt;&lt;volume&gt;2&lt;/volume&gt;&lt;dates&gt;&lt;year&gt;1998&lt;/year&gt;&lt;/dates&gt;&lt;publisher&gt;DCW industries La Canada, CA&lt;/publisher&gt;&lt;isbn&gt;0963605151&lt;/isbn&gt;&lt;urls&gt;&lt;/urls&gt;&lt;/record&gt;&lt;/Cite&gt;&lt;/EndNote&gt;</w:instrText>
      </w:r>
      <w:r w:rsidRPr="00FC71BE">
        <w:fldChar w:fldCharType="separate"/>
      </w:r>
      <w:r w:rsidR="00BA33ED" w:rsidRPr="00FC71BE">
        <w:t>[178]</w:t>
      </w:r>
      <w:r w:rsidRPr="00FC71BE">
        <w:fldChar w:fldCharType="end"/>
      </w:r>
      <w:r w:rsidRPr="00FC71BE">
        <w:t xml:space="preserve">). It is another advantage for the </w:t>
      </w:r>
      <m:oMath>
        <m:r>
          <w:rPr>
            <w:rFonts w:ascii="Cambria Math" w:hAnsi="Cambria Math"/>
          </w:rPr>
          <m:t>k</m:t>
        </m:r>
      </m:oMath>
      <w:r w:rsidRPr="00FC71BE">
        <w:t>-</w:t>
      </w:r>
      <m:oMath>
        <m:r>
          <w:rPr>
            <w:rFonts w:ascii="Cambria Math" w:hAnsi="Cambria Math"/>
          </w:rPr>
          <m:t>ω</m:t>
        </m:r>
      </m:oMath>
      <w:r w:rsidRPr="00FC71BE">
        <w:t xml:space="preserve"> model.</w:t>
      </w:r>
    </w:p>
    <w:p w14:paraId="69B3FE96" w14:textId="029D4F59" w:rsidR="0045562B" w:rsidRPr="00FC71BE" w:rsidRDefault="0045562B" w:rsidP="0045562B">
      <w:r w:rsidRPr="00FC71BE">
        <w:t xml:space="preserve">In most commercial software (e.g., ANSYS CFX, ANSYS Fluent, Star-CCM+), automatic near-wall treatment is employed to consider the trade-off between computational resource and model accuracy. The wall functions approach is implemented in the region that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≥30</m:t>
        </m:r>
      </m:oMath>
      <w:r w:rsidRPr="00FC71BE">
        <w:t xml:space="preserve"> and the low-</w:t>
      </w:r>
      <w:r w:rsidRPr="00FC71BE">
        <w:rPr>
          <w:i/>
          <w:iCs/>
        </w:rPr>
        <w:t>Re</w:t>
      </w:r>
      <w:r w:rsidRPr="00FC71BE">
        <w:t xml:space="preserve"> near wall approach is implemented in the region that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≤2</m:t>
        </m:r>
      </m:oMath>
      <w:r w:rsidRPr="00FC71BE">
        <w:t xml:space="preserve">. The flow profile in the remaining region is also calculated by the law of the wall while blending the logarithmic law as </w:t>
      </w:r>
      <w:r w:rsidRPr="00FC71BE">
        <w:fldChar w:fldCharType="begin"/>
      </w:r>
      <w:r w:rsidRPr="00FC71BE">
        <w:instrText xml:space="preserve"> REF _Ref147251564 \h </w:instrText>
      </w:r>
      <w:r w:rsidRPr="00FC71BE">
        <w:fldChar w:fldCharType="separate"/>
      </w:r>
      <w:r w:rsidR="007E62C1" w:rsidRPr="00FC71BE">
        <w:t>(</w:t>
      </w:r>
      <w:r w:rsidR="007E62C1" w:rsidRPr="00FC71BE">
        <w:rPr>
          <w:noProof/>
        </w:rPr>
        <w:t>4</w:t>
      </w:r>
      <w:r w:rsidR="007E62C1" w:rsidRPr="00FC71BE">
        <w:t>.</w:t>
      </w:r>
      <w:r w:rsidR="007E62C1" w:rsidRPr="00FC71BE">
        <w:rPr>
          <w:noProof/>
        </w:rPr>
        <w:t>8</w:t>
      </w:r>
      <w:r w:rsidR="007E62C1" w:rsidRPr="00FC71BE">
        <w:t>)</w:t>
      </w:r>
      <w:r w:rsidRPr="00FC71BE">
        <w:fldChar w:fldCharType="end"/>
      </w:r>
      <w:r w:rsidRPr="00FC71BE">
        <w:t xml:space="preserve"> and linear law as </w:t>
      </w:r>
      <w:r w:rsidRPr="00FC71BE">
        <w:fldChar w:fldCharType="begin"/>
      </w:r>
      <w:r w:rsidRPr="00FC71BE">
        <w:instrText xml:space="preserve"> REF _Ref145961324 \h </w:instrText>
      </w:r>
      <w:r w:rsidRPr="00FC71BE">
        <w:fldChar w:fldCharType="separate"/>
      </w:r>
      <w:r w:rsidR="007E62C1" w:rsidRPr="00FC71BE">
        <w:t>(</w:t>
      </w:r>
      <w:r w:rsidR="007E62C1" w:rsidRPr="00FC71BE">
        <w:rPr>
          <w:noProof/>
        </w:rPr>
        <w:t>4</w:t>
      </w:r>
      <w:r w:rsidR="007E62C1" w:rsidRPr="00FC71BE">
        <w:t>.</w:t>
      </w:r>
      <w:r w:rsidR="007E62C1" w:rsidRPr="00FC71BE">
        <w:rPr>
          <w:noProof/>
        </w:rPr>
        <w:t>9</w:t>
      </w:r>
      <w:r w:rsidR="007E62C1" w:rsidRPr="00FC71BE">
        <w:t>)</w:t>
      </w:r>
      <w:r w:rsidRPr="00FC71BE">
        <w:fldChar w:fldCharType="end"/>
      </w:r>
      <w:r w:rsidRPr="00FC71BE">
        <w:t>.</w:t>
      </w:r>
    </w:p>
    <w:p w14:paraId="393ABD40" w14:textId="77777777" w:rsidR="0045562B" w:rsidRPr="00FC71BE" w:rsidRDefault="0045562B" w:rsidP="00B86C68">
      <w:pPr>
        <w:pStyle w:val="Heading3"/>
        <w:numPr>
          <w:ilvl w:val="2"/>
          <w:numId w:val="49"/>
        </w:numPr>
      </w:pPr>
      <w:bookmarkStart w:id="204" w:name="_Toc157695365"/>
      <w:r w:rsidRPr="00FC71BE">
        <w:lastRenderedPageBreak/>
        <w:t>Mesh</w:t>
      </w:r>
      <w:bookmarkEnd w:id="204"/>
    </w:p>
    <w:p w14:paraId="1D7B044A" w14:textId="0B57DDDB" w:rsidR="0045562B" w:rsidRPr="00FC71BE" w:rsidRDefault="0045562B" w:rsidP="0045562B">
      <w:r w:rsidRPr="00FC71BE">
        <w:t xml:space="preserve">The mesh generation needs to meet the requirement of the wall treatments. ANSYS CFX 2021 </w:t>
      </w:r>
      <w:r w:rsidRPr="00FC71BE">
        <w:fldChar w:fldCharType="begin"/>
      </w:r>
      <w:r w:rsidR="00BA33ED" w:rsidRPr="00FC71BE">
        <w:instrText xml:space="preserve"> ADDIN EN.CITE &lt;EndNote&gt;&lt;Cite&gt;&lt;Author&gt;ANSYS&lt;/Author&gt;&lt;Year&gt;2021&lt;/Year&gt;&lt;RecNum&gt;326&lt;/RecNum&gt;&lt;DisplayText&gt;[177]&lt;/DisplayText&gt;&lt;record&gt;&lt;rec-number&gt;326&lt;/rec-number&gt;&lt;foreign-keys&gt;&lt;key app="EN" db-id="p00pasffqrr5wvef0f35etrrr0xzp0wptrtd" timestamp="1695025287" guid="88b48973-1dff-4ea8-a8c7-5513b087f987"&gt;326&lt;/key&gt;&lt;/foreign-keys&gt;&lt;ref-type name="Book"&gt;6&lt;/ref-type&gt;&lt;contributors&gt;&lt;authors&gt;&lt;author&gt;ANSYS&lt;/author&gt;&lt;/authors&gt;&lt;/contributors&gt;&lt;titles&gt;&lt;title&gt;ANSYS CFX-Solver Theory guide Version 2021 R2&lt;/title&gt;&lt;/titles&gt;&lt;dates&gt;&lt;year&gt;2021&lt;/year&gt;&lt;/dates&gt;&lt;pub-location&gt;Canonsburg, PA, US&lt;/pub-location&gt;&lt;publisher&gt;ANSYS, Inc.&lt;/publisher&gt;&lt;urls&gt;&lt;/urls&gt;&lt;/record&gt;&lt;/Cite&gt;&lt;/EndNote&gt;</w:instrText>
      </w:r>
      <w:r w:rsidRPr="00FC71BE">
        <w:fldChar w:fldCharType="separate"/>
      </w:r>
      <w:r w:rsidR="00BA33ED" w:rsidRPr="00FC71BE">
        <w:t>[177]</w:t>
      </w:r>
      <w:r w:rsidRPr="00FC71BE">
        <w:fldChar w:fldCharType="end"/>
      </w:r>
      <w:r w:rsidRPr="00FC71BE">
        <w:t xml:space="preserve"> suggested that, for heat transfer predictions, a fine mesh such that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Pr="00FC71BE">
        <w:t xml:space="preserve"> is around 1 is recommended. Therefore, a fine mesh is required for the fluid adjacent to the wall. Considering the trade-off between accuracy and computational resource, a three-layer inflation mesh is implemented at the walls in the air gap region (1mm thickness) while the first layer thickness is 0.08mm as shown in </w:t>
      </w:r>
      <w:r w:rsidRPr="00FC71BE">
        <w:fldChar w:fldCharType="begin"/>
      </w:r>
      <w:r w:rsidRPr="00FC71BE">
        <w:instrText xml:space="preserve"> REF _Ref145959911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w:t>
      </w:r>
      <w:r w:rsidRPr="00FC71BE">
        <w:fldChar w:fldCharType="end"/>
      </w:r>
      <w:r w:rsidRPr="00FC71BE">
        <w:t xml:space="preserve"> (c). The spaces for fluid in the flux gaps and end-winding regions are much larger than those in airgap. Therefore, a coarser mesh is implemented in these two regions. A five-layer inflation mesh with a first layer thickness of 0.2mm is generated, as shown in </w:t>
      </w:r>
      <w:r w:rsidRPr="00FC71BE">
        <w:fldChar w:fldCharType="begin"/>
      </w:r>
      <w:r w:rsidRPr="00FC71BE">
        <w:instrText xml:space="preserve"> REF _Ref145959911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w:t>
      </w:r>
      <w:r w:rsidRPr="00FC71BE">
        <w:fldChar w:fldCharType="end"/>
      </w:r>
      <w:r w:rsidRPr="00FC71BE">
        <w:t xml:space="preserve"> (a) and (b). It is worth noting that, in order to achieve a smooth transitional flow profile, the growth rate for all inflation mesh will be 1.2. Coarse wedge and pyramidal shape of meshes are used in the remaining components. As a result, there are 1358475 mesh nodes and 4654093 mesh elements in the CFD models.</w:t>
      </w:r>
    </w:p>
    <w:p w14:paraId="13603BAA" w14:textId="77777777" w:rsidR="0045562B" w:rsidRPr="00FC71BE" w:rsidRDefault="0045562B" w:rsidP="0045562B">
      <w:pPr>
        <w:pStyle w:val="Figure"/>
        <w:rPr>
          <w:noProof w:val="0"/>
        </w:rPr>
      </w:pPr>
      <w:r w:rsidRPr="00FC71BE">
        <w:rPr>
          <w:noProof w:val="0"/>
        </w:rPr>
        <w:t xml:space="preserve"> </w:t>
      </w:r>
      <w:r w:rsidRPr="00FC71BE">
        <w:drawing>
          <wp:inline distT="0" distB="0" distL="0" distR="0" wp14:anchorId="736940B7" wp14:editId="27E48FD6">
            <wp:extent cx="4369958" cy="3296108"/>
            <wp:effectExtent l="0" t="0" r="0" b="0"/>
            <wp:docPr id="1171574306" name="Picture 1171574306" descr="A diagram of a wireframe model&#10;&#10;Description automatically generated with medium confidence">
              <a:extLst xmlns:a="http://schemas.openxmlformats.org/drawingml/2006/main">
                <a:ext uri="{FF2B5EF4-FFF2-40B4-BE49-F238E27FC236}">
                  <a16:creationId xmlns:a16="http://schemas.microsoft.com/office/drawing/2014/main" id="{A53C2CBD-3571-413D-B315-21C53444C2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descr="A diagram of a wireframe model&#10;&#10;Description automatically generated with medium confidence">
                      <a:extLst>
                        <a:ext uri="{FF2B5EF4-FFF2-40B4-BE49-F238E27FC236}">
                          <a16:creationId xmlns:a16="http://schemas.microsoft.com/office/drawing/2014/main" id="{A53C2CBD-3571-413D-B315-21C53444C2E4}"/>
                        </a:ext>
                      </a:extLst>
                    </pic:cNvPr>
                    <pic:cNvPicPr>
                      <a:picLocks noChangeAspect="1"/>
                    </pic:cNvPicPr>
                  </pic:nvPicPr>
                  <pic:blipFill>
                    <a:blip r:embed="rId136"/>
                    <a:stretch>
                      <a:fillRect/>
                    </a:stretch>
                  </pic:blipFill>
                  <pic:spPr>
                    <a:xfrm>
                      <a:off x="0" y="0"/>
                      <a:ext cx="4375958" cy="3300634"/>
                    </a:xfrm>
                    <a:prstGeom prst="rect">
                      <a:avLst/>
                    </a:prstGeom>
                  </pic:spPr>
                </pic:pic>
              </a:graphicData>
            </a:graphic>
          </wp:inline>
        </w:drawing>
      </w:r>
    </w:p>
    <w:p w14:paraId="6DDDA5BF" w14:textId="41C15099" w:rsidR="0045562B" w:rsidRPr="00FC71BE" w:rsidRDefault="0045562B" w:rsidP="0045562B">
      <w:pPr>
        <w:pStyle w:val="FigureTitle"/>
      </w:pPr>
      <w:bookmarkStart w:id="205" w:name="_Ref145959911"/>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w:t>
        </w:r>
      </w:fldSimple>
      <w:bookmarkEnd w:id="205"/>
      <w:r w:rsidRPr="00FC71BE">
        <w:t>. Meshes in the air regions of the investigated modular SPM machine.</w:t>
      </w:r>
    </w:p>
    <w:p w14:paraId="6B2C8B0B" w14:textId="77777777" w:rsidR="0045562B" w:rsidRPr="00FC71BE" w:rsidRDefault="0045562B" w:rsidP="00B86C68">
      <w:pPr>
        <w:pStyle w:val="Heading3"/>
        <w:numPr>
          <w:ilvl w:val="2"/>
          <w:numId w:val="49"/>
        </w:numPr>
      </w:pPr>
      <w:bookmarkStart w:id="206" w:name="_Toc157695366"/>
      <w:r w:rsidRPr="00FC71BE">
        <w:t>Rough Wall Treatment</w:t>
      </w:r>
      <w:bookmarkEnd w:id="206"/>
    </w:p>
    <w:p w14:paraId="26DF0C2D" w14:textId="7B2E26BD" w:rsidR="0045562B" w:rsidRPr="00FC71BE" w:rsidRDefault="0045562B" w:rsidP="0045562B">
      <w:r w:rsidRPr="00FC71BE">
        <w:t xml:space="preserve">Surface roughness have a significant influence on the CFD modelling since it can lead to increase in shear stress and heat transfer coefficients. Thus, the effect of surface roughness is essential and needs to be considered in the CFD models. Since the rough wall increases shear stress and breaks up the turbulent flow in viscous-affected region, a downward shift in the </w:t>
      </w:r>
      <w:r w:rsidRPr="00FC71BE">
        <w:lastRenderedPageBreak/>
        <w:t>logarithmic law governed curve at turbulent sublayer is introduced. When the surface roughness (</w:t>
      </w:r>
      <m:oMath>
        <m:r>
          <w:rPr>
            <w:rFonts w:ascii="Cambria Math" w:hAnsi="Cambria Math"/>
          </w:rPr>
          <m:t>h</m:t>
        </m:r>
      </m:oMath>
      <w:r w:rsidRPr="00FC71BE">
        <w:t xml:space="preserve">) is introduced, the wall function </w:t>
      </w:r>
      <w:r w:rsidRPr="00FC71BE">
        <w:fldChar w:fldCharType="begin"/>
      </w:r>
      <w:r w:rsidRPr="00FC71BE">
        <w:instrText xml:space="preserve"> REF _Ref145932007 \h </w:instrText>
      </w:r>
      <w:r w:rsidRPr="00FC71BE">
        <w:fldChar w:fldCharType="separate"/>
      </w:r>
      <w:r w:rsidR="007E62C1" w:rsidRPr="00FC71BE">
        <w:t>(</w:t>
      </w:r>
      <w:r w:rsidR="007E62C1" w:rsidRPr="00FC71BE">
        <w:rPr>
          <w:noProof/>
        </w:rPr>
        <w:t>4</w:t>
      </w:r>
      <w:r w:rsidR="007E62C1" w:rsidRPr="00FC71BE">
        <w:t>.</w:t>
      </w:r>
      <w:r w:rsidR="007E62C1" w:rsidRPr="00FC71BE">
        <w:rPr>
          <w:noProof/>
        </w:rPr>
        <w:t>8</w:t>
      </w:r>
      <w:r w:rsidRPr="00FC71BE">
        <w:fldChar w:fldCharType="end"/>
      </w:r>
      <w:r w:rsidRPr="00FC71BE">
        <w:t>) can be re-written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1B5793C4" w14:textId="77777777">
        <w:tc>
          <w:tcPr>
            <w:tcW w:w="4401" w:type="pct"/>
            <w:vAlign w:val="center"/>
          </w:tcPr>
          <w:p w14:paraId="55E2D278" w14:textId="77777777" w:rsidR="0045562B" w:rsidRPr="00FC71BE" w:rsidRDefault="002143AD">
            <w:pPr>
              <w:ind w:left="340" w:firstLine="0"/>
            </w:pPr>
            <m:oMathPara>
              <m:oMath>
                <m:sSup>
                  <m:sSupPr>
                    <m:ctrlPr>
                      <w:rPr>
                        <w:rFonts w:ascii="Cambria Math" w:hAnsi="Cambria Math"/>
                        <w:i/>
                      </w:rPr>
                    </m:ctrlPr>
                  </m:sSupPr>
                  <m:e>
                    <m:r>
                      <w:rPr>
                        <w:rFonts w:ascii="Cambria Math" w:hAnsi="Cambria Math"/>
                      </w:rPr>
                      <m:t>u</m:t>
                    </m:r>
                  </m:e>
                  <m:sup>
                    <m:r>
                      <w:rPr>
                        <w:rFonts w:ascii="Cambria Math" w:hAnsi="Cambria Math"/>
                      </w:rPr>
                      <m:t>+</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κ</m:t>
                    </m:r>
                  </m:den>
                </m:f>
                <m:func>
                  <m:funcPr>
                    <m:ctrlPr>
                      <w:rPr>
                        <w:rFonts w:ascii="Cambria Math" w:hAnsi="Cambria Math"/>
                        <w:i/>
                      </w:rPr>
                    </m:ctrlPr>
                  </m:funcPr>
                  <m:fName>
                    <m:r>
                      <m:rPr>
                        <m:sty m:val="p"/>
                      </m:rPr>
                      <w:rPr>
                        <w:rFonts w:ascii="Cambria Math" w:hAnsi="Cambria Math"/>
                      </w:rPr>
                      <m:t>ln</m:t>
                    </m:r>
                  </m:fName>
                  <m:e>
                    <m:sSup>
                      <m:sSupPr>
                        <m:ctrlPr>
                          <w:rPr>
                            <w:rFonts w:ascii="Cambria Math" w:hAnsi="Cambria Math"/>
                            <w:i/>
                          </w:rPr>
                        </m:ctrlPr>
                      </m:sSupPr>
                      <m:e>
                        <m:r>
                          <w:rPr>
                            <w:rFonts w:ascii="Cambria Math" w:hAnsi="Cambria Math"/>
                          </w:rPr>
                          <m:t>y</m:t>
                        </m:r>
                      </m:e>
                      <m:sup>
                        <m:r>
                          <w:rPr>
                            <w:rFonts w:ascii="Cambria Math" w:hAnsi="Cambria Math"/>
                          </w:rPr>
                          <m:t>+</m:t>
                        </m:r>
                      </m:sup>
                    </m:sSup>
                  </m:e>
                </m:func>
                <m:r>
                  <w:rPr>
                    <w:rFonts w:ascii="Cambria Math" w:hAnsi="Cambria Math"/>
                  </w:rPr>
                  <m:t>+</m:t>
                </m:r>
                <m:r>
                  <w:rPr>
                    <w:rFonts w:ascii="Cambria Math" w:hAnsi="Cambria Math"/>
                  </w:rPr>
                  <m:t>C</m:t>
                </m:r>
                <m:r>
                  <w:rPr>
                    <w:rFonts w:ascii="Cambria Math" w:hAnsi="Cambria Math"/>
                  </w:rPr>
                  <m:t>+∆</m:t>
                </m:r>
                <m:r>
                  <w:rPr>
                    <w:rFonts w:ascii="Cambria Math" w:hAnsi="Cambria Math"/>
                  </w:rPr>
                  <m:t>C</m:t>
                </m:r>
              </m:oMath>
            </m:oMathPara>
          </w:p>
        </w:tc>
        <w:tc>
          <w:tcPr>
            <w:tcW w:w="599" w:type="pct"/>
            <w:vAlign w:val="center"/>
          </w:tcPr>
          <w:p w14:paraId="79B1214E" w14:textId="35D1CB6D" w:rsidR="0045562B" w:rsidRPr="00FC71BE" w:rsidRDefault="0045562B">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11</w:t>
            </w:r>
            <w:r w:rsidR="002839C4" w:rsidRPr="00FC71BE">
              <w:rPr>
                <w:color w:val="auto"/>
              </w:rPr>
              <w:fldChar w:fldCharType="end"/>
            </w:r>
            <w:r w:rsidRPr="00FC71BE">
              <w:rPr>
                <w:color w:val="auto"/>
              </w:rPr>
              <w:t>)</w:t>
            </w:r>
          </w:p>
        </w:tc>
      </w:tr>
      <w:tr w:rsidR="00FC71BE" w:rsidRPr="00FC71BE" w14:paraId="5EF0136F" w14:textId="77777777">
        <w:tc>
          <w:tcPr>
            <w:tcW w:w="4401" w:type="pct"/>
            <w:vAlign w:val="center"/>
          </w:tcPr>
          <w:p w14:paraId="09CC855F" w14:textId="77777777" w:rsidR="0045562B" w:rsidRPr="00FC71BE" w:rsidRDefault="0045562B">
            <w:pPr>
              <w:ind w:left="340" w:firstLine="0"/>
              <w:rPr>
                <w:rFonts w:eastAsia="等线" w:cs="Arial"/>
              </w:rPr>
            </w:pPr>
            <m:oMathPara>
              <m:oMath>
                <m:r>
                  <w:rPr>
                    <w:rFonts w:ascii="Cambria Math" w:hAnsi="Cambria Math"/>
                  </w:rPr>
                  <m:t>∆C=</m:t>
                </m:r>
                <m:f>
                  <m:fPr>
                    <m:ctrlPr>
                      <w:rPr>
                        <w:rFonts w:ascii="Cambria Math" w:hAnsi="Cambria Math"/>
                        <w:i/>
                      </w:rPr>
                    </m:ctrlPr>
                  </m:fPr>
                  <m:num>
                    <m:r>
                      <w:rPr>
                        <w:rFonts w:ascii="Cambria Math" w:hAnsi="Cambria Math"/>
                      </w:rPr>
                      <m:t>1</m:t>
                    </m:r>
                  </m:num>
                  <m:den>
                    <m:r>
                      <w:rPr>
                        <w:rFonts w:ascii="Cambria Math" w:hAnsi="Cambria Math"/>
                      </w:rPr>
                      <m:t>κ</m:t>
                    </m:r>
                  </m:den>
                </m:f>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1+0.3</m:t>
                        </m:r>
                        <m:sSup>
                          <m:sSupPr>
                            <m:ctrlPr>
                              <w:rPr>
                                <w:rFonts w:ascii="Cambria Math" w:hAnsi="Cambria Math"/>
                                <w:i/>
                              </w:rPr>
                            </m:ctrlPr>
                          </m:sSupPr>
                          <m:e>
                            <m:r>
                              <w:rPr>
                                <w:rFonts w:ascii="Cambria Math" w:hAnsi="Cambria Math"/>
                              </w:rPr>
                              <m:t>h</m:t>
                            </m:r>
                          </m:e>
                          <m:sup>
                            <m:r>
                              <w:rPr>
                                <w:rFonts w:ascii="Cambria Math" w:hAnsi="Cambria Math"/>
                              </w:rPr>
                              <m:t>+</m:t>
                            </m:r>
                          </m:sup>
                        </m:sSup>
                      </m:e>
                    </m:d>
                  </m:e>
                </m:func>
              </m:oMath>
            </m:oMathPara>
          </w:p>
        </w:tc>
        <w:tc>
          <w:tcPr>
            <w:tcW w:w="599" w:type="pct"/>
            <w:vAlign w:val="center"/>
          </w:tcPr>
          <w:p w14:paraId="062545B6" w14:textId="1362A111" w:rsidR="0045562B" w:rsidRPr="00FC71BE" w:rsidRDefault="0045562B">
            <w:pPr>
              <w:pStyle w:val="equation"/>
              <w:rPr>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12</w:t>
            </w:r>
            <w:r w:rsidR="002839C4" w:rsidRPr="00FC71BE">
              <w:rPr>
                <w:color w:val="auto"/>
              </w:rPr>
              <w:fldChar w:fldCharType="end"/>
            </w:r>
            <w:r w:rsidRPr="00FC71BE">
              <w:rPr>
                <w:color w:val="auto"/>
              </w:rPr>
              <w:t>)</w:t>
            </w:r>
          </w:p>
        </w:tc>
      </w:tr>
    </w:tbl>
    <w:p w14:paraId="3B266BA1" w14:textId="77777777" w:rsidR="0045562B" w:rsidRPr="00FC71BE" w:rsidRDefault="0045562B" w:rsidP="0045562B">
      <w:pPr>
        <w:ind w:firstLine="0"/>
      </w:pPr>
      <w:r w:rsidRPr="00FC71BE">
        <w:t xml:space="preserve">where </w:t>
      </w:r>
      <m:oMath>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m:t>
        </m:r>
        <m:f>
          <m:fPr>
            <m:type m:val="lin"/>
            <m:ctrlPr>
              <w:rPr>
                <w:rFonts w:ascii="Cambria Math" w:hAnsi="Cambria Math"/>
                <w:i/>
              </w:rPr>
            </m:ctrlPr>
          </m:fPr>
          <m:num>
            <m:r>
              <w:rPr>
                <w:rFonts w:ascii="Cambria Math" w:hAnsi="Cambria Math"/>
              </w:rPr>
              <m:t>h</m:t>
            </m:r>
            <m:sSub>
              <m:sSubPr>
                <m:ctrlPr>
                  <w:rPr>
                    <w:rFonts w:ascii="Cambria Math" w:hAnsi="Cambria Math"/>
                    <w:i/>
                  </w:rPr>
                </m:ctrlPr>
              </m:sSubPr>
              <m:e>
                <m:r>
                  <w:rPr>
                    <w:rFonts w:ascii="Cambria Math" w:hAnsi="Cambria Math"/>
                  </w:rPr>
                  <m:t>u</m:t>
                </m:r>
              </m:e>
              <m:sub>
                <m:r>
                  <w:rPr>
                    <w:rFonts w:ascii="Cambria Math" w:hAnsi="Cambria Math"/>
                  </w:rPr>
                  <m:t>τ</m:t>
                </m:r>
              </m:sub>
            </m:sSub>
          </m:num>
          <m:den>
            <m:r>
              <w:rPr>
                <w:rFonts w:ascii="Cambria Math" w:hAnsi="Cambria Math"/>
              </w:rPr>
              <m:t>ν</m:t>
            </m:r>
          </m:den>
        </m:f>
      </m:oMath>
      <w:r w:rsidRPr="00FC71BE">
        <w:t xml:space="preserve"> is the dimensionless roughness height.</w:t>
      </w:r>
    </w:p>
    <w:p w14:paraId="4BFBE551" w14:textId="77777777" w:rsidR="0045562B" w:rsidRPr="00FC71BE" w:rsidRDefault="0045562B" w:rsidP="00B86C68">
      <w:pPr>
        <w:pStyle w:val="Heading3"/>
        <w:numPr>
          <w:ilvl w:val="2"/>
          <w:numId w:val="49"/>
        </w:numPr>
      </w:pPr>
      <w:bookmarkStart w:id="207" w:name="_Toc157695367"/>
      <w:r w:rsidRPr="00FC71BE">
        <w:t>Convection Coefficient Calculation</w:t>
      </w:r>
      <w:bookmarkEnd w:id="207"/>
    </w:p>
    <w:p w14:paraId="1999287F" w14:textId="01B63A0F" w:rsidR="0045562B" w:rsidRPr="00FC71BE" w:rsidRDefault="0045562B" w:rsidP="0045562B">
      <w:pPr>
        <w:rPr>
          <w:rFonts w:eastAsia="等线"/>
        </w:rPr>
      </w:pPr>
      <w:r w:rsidRPr="00FC71BE">
        <w:rPr>
          <w:rFonts w:eastAsia="等线"/>
        </w:rPr>
        <w:t>In general, convection coefficient is an important parameter for investigating heat transfer in electrical machines, especially when the LPTN model is used to predict temperature variations within different machines components. The convection coefficient can be calculated according to CFD modelling. There are two kinds of methods to calculate the convection coefficient for ANSYS CFX and Fluent. In the CFD models, the average convection coefficient (</w:t>
      </w:r>
      <m:oMath>
        <m:sSub>
          <m:sSubPr>
            <m:ctrlPr>
              <w:rPr>
                <w:rFonts w:ascii="Cambria Math" w:eastAsia="等线" w:hAnsi="Cambria Math"/>
                <w:i/>
              </w:rPr>
            </m:ctrlPr>
          </m:sSubPr>
          <m:e>
            <m:r>
              <w:rPr>
                <w:rFonts w:ascii="Cambria Math" w:eastAsia="等线" w:hAnsi="Cambria Math"/>
              </w:rPr>
              <m:t>h</m:t>
            </m:r>
          </m:e>
          <m:sub>
            <m:r>
              <w:rPr>
                <w:rFonts w:ascii="Cambria Math" w:eastAsia="等线" w:hAnsi="Cambria Math"/>
              </w:rPr>
              <m:t>e</m:t>
            </m:r>
          </m:sub>
        </m:sSub>
      </m:oMath>
      <w:r w:rsidRPr="00FC71BE">
        <w:rPr>
          <w:rFonts w:eastAsia="等线"/>
        </w:rPr>
        <w:t>) can be calculated from the mean convection coefficient (</w:t>
      </w:r>
      <m:oMath>
        <m:sSub>
          <m:sSubPr>
            <m:ctrlPr>
              <w:rPr>
                <w:rFonts w:ascii="Cambria Math" w:eastAsia="等线" w:hAnsi="Cambria Math"/>
                <w:i/>
              </w:rPr>
            </m:ctrlPr>
          </m:sSubPr>
          <m:e>
            <m:r>
              <w:rPr>
                <w:rFonts w:ascii="Cambria Math" w:eastAsia="等线" w:hAnsi="Cambria Math"/>
              </w:rPr>
              <m:t>h</m:t>
            </m:r>
          </m:e>
          <m:sub>
            <m:r>
              <w:rPr>
                <w:rFonts w:ascii="Cambria Math" w:eastAsia="等线" w:hAnsi="Cambria Math"/>
              </w:rPr>
              <m:t>i</m:t>
            </m:r>
          </m:sub>
        </m:sSub>
      </m:oMath>
      <w:r w:rsidRPr="00FC71BE">
        <w:rPr>
          <w:rFonts w:eastAsia="等线"/>
        </w:rPr>
        <w:t>) of each mesh on the calculated surface (Method 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6682350" w14:textId="77777777">
        <w:tc>
          <w:tcPr>
            <w:tcW w:w="4493" w:type="pct"/>
            <w:vAlign w:val="center"/>
          </w:tcPr>
          <w:p w14:paraId="23B36256" w14:textId="10D22CDE" w:rsidR="0045562B" w:rsidRPr="00FC71BE" w:rsidRDefault="002143AD">
            <w:pPr>
              <w:rPr>
                <w:rFonts w:eastAsia="等线"/>
              </w:rPr>
            </w:pPr>
            <m:oMathPara>
              <m:oMath>
                <m:sSub>
                  <m:sSubPr>
                    <m:ctrlPr>
                      <w:rPr>
                        <w:rFonts w:ascii="Cambria Math" w:eastAsia="等线" w:hAnsi="Cambria Math"/>
                        <w:i/>
                      </w:rPr>
                    </m:ctrlPr>
                  </m:sSubPr>
                  <m:e>
                    <m:r>
                      <w:rPr>
                        <w:rFonts w:ascii="Cambria Math" w:eastAsia="等线" w:hAnsi="Cambria Math"/>
                      </w:rPr>
                      <m:t>h</m:t>
                    </m:r>
                  </m:e>
                  <m:sub>
                    <m:r>
                      <w:rPr>
                        <w:rFonts w:ascii="Cambria Math" w:eastAsia="等线" w:hAnsi="Cambria Math"/>
                      </w:rPr>
                      <m:t>e</m:t>
                    </m:r>
                  </m:sub>
                </m:sSub>
                <m:r>
                  <w:rPr>
                    <w:rFonts w:ascii="Cambria Math" w:eastAsia="等线" w:hAnsi="Cambria Math"/>
                  </w:rPr>
                  <m:t>=</m:t>
                </m:r>
                <m:f>
                  <m:fPr>
                    <m:ctrlPr>
                      <w:rPr>
                        <w:rFonts w:ascii="Cambria Math" w:eastAsia="等线" w:hAnsi="Cambria Math"/>
                        <w:i/>
                      </w:rPr>
                    </m:ctrlPr>
                  </m:fPr>
                  <m:num>
                    <m:nary>
                      <m:naryPr>
                        <m:chr m:val="∑"/>
                        <m:limLoc m:val="undOvr"/>
                        <m:subHide m:val="1"/>
                        <m:supHide m:val="1"/>
                        <m:ctrlPr>
                          <w:rPr>
                            <w:rFonts w:ascii="Cambria Math" w:eastAsia="等线" w:hAnsi="Cambria Math"/>
                            <w:i/>
                          </w:rPr>
                        </m:ctrlPr>
                      </m:naryPr>
                      <m:sub/>
                      <m:sup/>
                      <m:e>
                        <m:r>
                          <w:rPr>
                            <w:rFonts w:ascii="Cambria Math" w:eastAsia="等线" w:hAnsi="Cambria Math"/>
                          </w:rPr>
                          <m:t>(</m:t>
                        </m:r>
                        <m:sSub>
                          <m:sSubPr>
                            <m:ctrlPr>
                              <w:rPr>
                                <w:rFonts w:ascii="Cambria Math" w:eastAsia="等线" w:hAnsi="Cambria Math"/>
                                <w:i/>
                              </w:rPr>
                            </m:ctrlPr>
                          </m:sSubPr>
                          <m:e>
                            <m:r>
                              <w:rPr>
                                <w:rFonts w:ascii="Cambria Math" w:eastAsia="等线" w:hAnsi="Cambria Math"/>
                              </w:rPr>
                              <m:t>A</m:t>
                            </m:r>
                          </m:e>
                          <m:sub>
                            <m:r>
                              <w:rPr>
                                <w:rFonts w:ascii="Cambria Math" w:eastAsia="等线" w:hAnsi="Cambria Math"/>
                              </w:rPr>
                              <m:t>i</m:t>
                            </m:r>
                          </m:sub>
                        </m:sSub>
                        <m:sSub>
                          <m:sSubPr>
                            <m:ctrlPr>
                              <w:rPr>
                                <w:rFonts w:ascii="Cambria Math" w:eastAsia="等线" w:hAnsi="Cambria Math"/>
                                <w:i/>
                              </w:rPr>
                            </m:ctrlPr>
                          </m:sSubPr>
                          <m:e>
                            <m:r>
                              <w:rPr>
                                <w:rFonts w:ascii="Cambria Math" w:eastAsia="等线" w:hAnsi="Cambria Math"/>
                              </w:rPr>
                              <m:t>h</m:t>
                            </m:r>
                          </m:e>
                          <m:sub>
                            <m:r>
                              <w:rPr>
                                <w:rFonts w:ascii="Cambria Math" w:eastAsia="等线" w:hAnsi="Cambria Math"/>
                              </w:rPr>
                              <m:t>i</m:t>
                            </m:r>
                          </m:sub>
                        </m:sSub>
                        <m:r>
                          <w:rPr>
                            <w:rFonts w:ascii="Cambria Math" w:eastAsia="等线" w:hAnsi="Cambria Math"/>
                          </w:rPr>
                          <m:t>)</m:t>
                        </m:r>
                      </m:e>
                    </m:nary>
                  </m:num>
                  <m:den>
                    <m:nary>
                      <m:naryPr>
                        <m:chr m:val="∑"/>
                        <m:limLoc m:val="undOvr"/>
                        <m:subHide m:val="1"/>
                        <m:supHide m:val="1"/>
                        <m:ctrlPr>
                          <w:rPr>
                            <w:rFonts w:ascii="Cambria Math" w:eastAsia="等线" w:hAnsi="Cambria Math"/>
                            <w:i/>
                          </w:rPr>
                        </m:ctrlPr>
                      </m:naryPr>
                      <m:sub/>
                      <m:sup/>
                      <m:e>
                        <m:sSub>
                          <m:sSubPr>
                            <m:ctrlPr>
                              <w:rPr>
                                <w:rFonts w:ascii="Cambria Math" w:eastAsia="等线" w:hAnsi="Cambria Math"/>
                                <w:i/>
                              </w:rPr>
                            </m:ctrlPr>
                          </m:sSubPr>
                          <m:e>
                            <m:r>
                              <w:rPr>
                                <w:rFonts w:ascii="Cambria Math" w:eastAsia="等线" w:hAnsi="Cambria Math"/>
                              </w:rPr>
                              <m:t>A</m:t>
                            </m:r>
                          </m:e>
                          <m:sub>
                            <m:r>
                              <w:rPr>
                                <w:rFonts w:ascii="Cambria Math" w:eastAsia="等线" w:hAnsi="Cambria Math"/>
                              </w:rPr>
                              <m:t>i</m:t>
                            </m:r>
                          </m:sub>
                        </m:sSub>
                      </m:e>
                    </m:nary>
                  </m:den>
                </m:f>
              </m:oMath>
            </m:oMathPara>
          </w:p>
        </w:tc>
        <w:tc>
          <w:tcPr>
            <w:tcW w:w="507" w:type="pct"/>
            <w:vAlign w:val="center"/>
          </w:tcPr>
          <w:p w14:paraId="33D03AAF" w14:textId="62EBB09C" w:rsidR="0045562B" w:rsidRPr="00FC71BE" w:rsidRDefault="0045562B">
            <w:pPr>
              <w:pStyle w:val="equation"/>
              <w:rPr>
                <w:i/>
                <w:color w:val="auto"/>
              </w:rPr>
            </w:pPr>
            <w:bookmarkStart w:id="208" w:name="_Ref146030245"/>
            <w:bookmarkStart w:id="209" w:name="_Ref141126418"/>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13</w:t>
            </w:r>
            <w:r w:rsidR="002839C4" w:rsidRPr="00FC71BE">
              <w:rPr>
                <w:color w:val="auto"/>
              </w:rPr>
              <w:fldChar w:fldCharType="end"/>
            </w:r>
            <w:bookmarkEnd w:id="208"/>
            <w:r w:rsidRPr="00FC71BE">
              <w:rPr>
                <w:color w:val="auto"/>
              </w:rPr>
              <w:t>)</w:t>
            </w:r>
            <w:bookmarkEnd w:id="209"/>
          </w:p>
        </w:tc>
      </w:tr>
    </w:tbl>
    <w:p w14:paraId="741FA8CC" w14:textId="77777777" w:rsidR="0045562B" w:rsidRPr="00FC71BE" w:rsidRDefault="0045562B" w:rsidP="0045562B">
      <w:pPr>
        <w:ind w:firstLine="0"/>
        <w:rPr>
          <w:rFonts w:eastAsia="等线"/>
        </w:rPr>
      </w:pPr>
      <w:r w:rsidRPr="00FC71BE">
        <w:rPr>
          <w:rFonts w:eastAsia="等线"/>
        </w:rPr>
        <w:t xml:space="preserve">where </w:t>
      </w:r>
      <m:oMath>
        <m:sSub>
          <m:sSubPr>
            <m:ctrlPr>
              <w:rPr>
                <w:rFonts w:ascii="Cambria Math" w:eastAsia="等线" w:hAnsi="Cambria Math"/>
                <w:i/>
              </w:rPr>
            </m:ctrlPr>
          </m:sSubPr>
          <m:e>
            <m:r>
              <w:rPr>
                <w:rFonts w:ascii="Cambria Math" w:eastAsia="等线" w:hAnsi="Cambria Math"/>
              </w:rPr>
              <m:t>A</m:t>
            </m:r>
          </m:e>
          <m:sub>
            <m:r>
              <w:rPr>
                <w:rFonts w:ascii="Cambria Math" w:eastAsia="等线" w:hAnsi="Cambria Math"/>
              </w:rPr>
              <m:t>i</m:t>
            </m:r>
          </m:sub>
        </m:sSub>
      </m:oMath>
      <w:r w:rsidRPr="00FC71BE">
        <w:rPr>
          <w:rFonts w:eastAsia="等线"/>
        </w:rPr>
        <w:t xml:space="preserve"> is the area of the contact surface between the fluid and the calculated surface. The convection coefficient of each mesh </w:t>
      </w:r>
      <m:oMath>
        <m:sSub>
          <m:sSubPr>
            <m:ctrlPr>
              <w:rPr>
                <w:rFonts w:ascii="Cambria Math" w:eastAsia="等线" w:hAnsi="Cambria Math"/>
                <w:i/>
              </w:rPr>
            </m:ctrlPr>
          </m:sSubPr>
          <m:e>
            <m:r>
              <w:rPr>
                <w:rFonts w:ascii="Cambria Math" w:eastAsia="等线" w:hAnsi="Cambria Math"/>
              </w:rPr>
              <m:t>h</m:t>
            </m:r>
          </m:e>
          <m:sub>
            <m:r>
              <w:rPr>
                <w:rFonts w:ascii="Cambria Math" w:eastAsia="等线" w:hAnsi="Cambria Math"/>
              </w:rPr>
              <m:t>i</m:t>
            </m:r>
          </m:sub>
        </m:sSub>
      </m:oMath>
      <w:r w:rsidRPr="00FC71BE">
        <w:rPr>
          <w:rFonts w:eastAsia="等线"/>
        </w:rPr>
        <w:t xml:space="preserve"> is derived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B13D1DA" w14:textId="77777777">
        <w:tc>
          <w:tcPr>
            <w:tcW w:w="4493" w:type="pct"/>
            <w:vAlign w:val="center"/>
          </w:tcPr>
          <w:p w14:paraId="7D9B9A29" w14:textId="77777777" w:rsidR="0045562B" w:rsidRPr="00FC71BE" w:rsidRDefault="002143AD">
            <w:pPr>
              <w:rPr>
                <w:rFonts w:eastAsia="等线"/>
              </w:rPr>
            </w:pPr>
            <m:oMathPara>
              <m:oMath>
                <m:sSub>
                  <m:sSubPr>
                    <m:ctrlPr>
                      <w:rPr>
                        <w:rFonts w:ascii="Cambria Math" w:eastAsia="等线" w:hAnsi="Cambria Math"/>
                        <w:i/>
                      </w:rPr>
                    </m:ctrlPr>
                  </m:sSubPr>
                  <m:e>
                    <m:r>
                      <w:rPr>
                        <w:rFonts w:ascii="Cambria Math" w:eastAsia="等线" w:hAnsi="Cambria Math"/>
                      </w:rPr>
                      <m:t>h</m:t>
                    </m:r>
                  </m:e>
                  <m:sub>
                    <m:r>
                      <w:rPr>
                        <w:rFonts w:ascii="Cambria Math" w:eastAsia="等线" w:hAnsi="Cambria Math"/>
                      </w:rPr>
                      <m:t>i</m:t>
                    </m:r>
                  </m:sub>
                </m:sSub>
                <m:r>
                  <w:rPr>
                    <w:rFonts w:ascii="Cambria Math" w:eastAsia="等线" w:hAnsi="Cambria Math"/>
                  </w:rPr>
                  <m:t>=</m:t>
                </m:r>
                <m:f>
                  <m:fPr>
                    <m:ctrlPr>
                      <w:rPr>
                        <w:rFonts w:ascii="Cambria Math" w:eastAsia="等线" w:hAnsi="Cambria Math"/>
                        <w:i/>
                      </w:rPr>
                    </m:ctrlPr>
                  </m:fPr>
                  <m:num>
                    <m:sSubSup>
                      <m:sSubSupPr>
                        <m:ctrlPr>
                          <w:rPr>
                            <w:rFonts w:ascii="Cambria Math" w:eastAsia="等线" w:hAnsi="Cambria Math"/>
                            <w:i/>
                          </w:rPr>
                        </m:ctrlPr>
                      </m:sSubSupPr>
                      <m:e>
                        <m:r>
                          <w:rPr>
                            <w:rFonts w:ascii="Cambria Math" w:eastAsia="等线" w:hAnsi="Cambria Math"/>
                          </w:rPr>
                          <m:t>q</m:t>
                        </m:r>
                      </m:e>
                      <m:sub>
                        <m:r>
                          <w:rPr>
                            <w:rFonts w:ascii="Cambria Math" w:eastAsia="等线" w:hAnsi="Cambria Math"/>
                          </w:rPr>
                          <m:t>i</m:t>
                        </m:r>
                      </m:sub>
                      <m:sup>
                        <m:r>
                          <w:rPr>
                            <w:rFonts w:ascii="Cambria Math" w:eastAsia="等线" w:hAnsi="Cambria Math"/>
                          </w:rPr>
                          <m:t>''</m:t>
                        </m:r>
                      </m:sup>
                    </m:sSubSup>
                  </m:num>
                  <m:den>
                    <m:sSub>
                      <m:sSubPr>
                        <m:ctrlPr>
                          <w:rPr>
                            <w:rFonts w:ascii="Cambria Math" w:eastAsia="等线" w:hAnsi="Cambria Math"/>
                            <w:i/>
                          </w:rPr>
                        </m:ctrlPr>
                      </m:sSubPr>
                      <m:e>
                        <m:r>
                          <w:rPr>
                            <w:rFonts w:ascii="Cambria Math" w:eastAsia="等线" w:hAnsi="Cambria Math"/>
                          </w:rPr>
                          <m:t>(</m:t>
                        </m:r>
                        <m:r>
                          <w:rPr>
                            <w:rFonts w:ascii="Cambria Math" w:eastAsia="等线" w:hAnsi="Cambria Math"/>
                          </w:rPr>
                          <m:t>T</m:t>
                        </m:r>
                      </m:e>
                      <m:sub>
                        <m:r>
                          <w:rPr>
                            <w:rFonts w:ascii="Cambria Math" w:eastAsia="等线" w:hAnsi="Cambria Math"/>
                          </w:rPr>
                          <m:t>wi</m:t>
                        </m:r>
                      </m:sub>
                    </m:sSub>
                    <m:r>
                      <w:rPr>
                        <w:rFonts w:ascii="Cambria Math" w:eastAsia="等线" w:hAnsi="Cambria Math"/>
                      </w:rPr>
                      <m:t>-</m:t>
                    </m:r>
                    <m:sSub>
                      <m:sSubPr>
                        <m:ctrlPr>
                          <w:rPr>
                            <w:rFonts w:ascii="Cambria Math" w:eastAsia="等线" w:hAnsi="Cambria Math"/>
                            <w:i/>
                          </w:rPr>
                        </m:ctrlPr>
                      </m:sSubPr>
                      <m:e>
                        <m:r>
                          <w:rPr>
                            <w:rFonts w:ascii="Cambria Math" w:eastAsia="等线" w:hAnsi="Cambria Math"/>
                          </w:rPr>
                          <m:t>T</m:t>
                        </m:r>
                      </m:e>
                      <m:sub>
                        <m:sSub>
                          <m:sSubPr>
                            <m:ctrlPr>
                              <w:rPr>
                                <w:rFonts w:ascii="Cambria Math" w:eastAsia="等线" w:hAnsi="Cambria Math"/>
                                <w:i/>
                              </w:rPr>
                            </m:ctrlPr>
                          </m:sSubPr>
                          <m:e>
                            <m:r>
                              <w:rPr>
                                <w:rFonts w:ascii="Cambria Math" w:eastAsia="等线" w:hAnsi="Cambria Math"/>
                              </w:rPr>
                              <m:t>bulk</m:t>
                            </m:r>
                          </m:e>
                          <m:sub>
                            <m:r>
                              <w:rPr>
                                <w:rFonts w:ascii="Cambria Math" w:eastAsia="等线" w:hAnsi="Cambria Math"/>
                              </w:rPr>
                              <m:t>i</m:t>
                            </m:r>
                          </m:sub>
                        </m:sSub>
                      </m:sub>
                    </m:sSub>
                    <m:r>
                      <w:rPr>
                        <w:rFonts w:ascii="Cambria Math" w:eastAsia="等线" w:hAnsi="Cambria Math"/>
                      </w:rPr>
                      <m:t>)</m:t>
                    </m:r>
                    <m:sSub>
                      <m:sSubPr>
                        <m:ctrlPr>
                          <w:rPr>
                            <w:rFonts w:ascii="Cambria Math" w:eastAsia="等线" w:hAnsi="Cambria Math"/>
                            <w:i/>
                          </w:rPr>
                        </m:ctrlPr>
                      </m:sSubPr>
                      <m:e>
                        <m:r>
                          <w:rPr>
                            <w:rFonts w:ascii="Cambria Math" w:eastAsia="等线" w:hAnsi="Cambria Math"/>
                          </w:rPr>
                          <m:t>A</m:t>
                        </m:r>
                      </m:e>
                      <m:sub>
                        <m:r>
                          <w:rPr>
                            <w:rFonts w:ascii="Cambria Math" w:eastAsia="等线" w:hAnsi="Cambria Math"/>
                          </w:rPr>
                          <m:t>i</m:t>
                        </m:r>
                      </m:sub>
                    </m:sSub>
                  </m:den>
                </m:f>
              </m:oMath>
            </m:oMathPara>
          </w:p>
        </w:tc>
        <w:tc>
          <w:tcPr>
            <w:tcW w:w="507" w:type="pct"/>
            <w:vAlign w:val="center"/>
          </w:tcPr>
          <w:p w14:paraId="55760111" w14:textId="01E24BD7" w:rsidR="0045562B" w:rsidRPr="00FC71BE" w:rsidRDefault="0045562B">
            <w:pPr>
              <w:pStyle w:val="equation"/>
              <w:rPr>
                <w:i/>
                <w:color w:val="auto"/>
              </w:rPr>
            </w:pPr>
            <w:bookmarkStart w:id="210" w:name="_Ref145960265"/>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14</w:t>
            </w:r>
            <w:r w:rsidR="002839C4" w:rsidRPr="00FC71BE">
              <w:rPr>
                <w:color w:val="auto"/>
              </w:rPr>
              <w:fldChar w:fldCharType="end"/>
            </w:r>
            <w:r w:rsidRPr="00FC71BE">
              <w:rPr>
                <w:color w:val="auto"/>
              </w:rPr>
              <w:t>)</w:t>
            </w:r>
            <w:bookmarkEnd w:id="210"/>
          </w:p>
        </w:tc>
      </w:tr>
    </w:tbl>
    <w:p w14:paraId="32666885" w14:textId="77777777" w:rsidR="0045562B" w:rsidRPr="00FC71BE" w:rsidRDefault="0045562B" w:rsidP="0045562B">
      <w:pPr>
        <w:ind w:firstLine="0"/>
        <w:rPr>
          <w:rFonts w:eastAsia="等线"/>
        </w:rPr>
      </w:pPr>
      <w:r w:rsidRPr="00FC71BE">
        <w:rPr>
          <w:rFonts w:eastAsia="等线"/>
        </w:rPr>
        <w:t xml:space="preserve">where </w:t>
      </w:r>
      <m:oMath>
        <m:sSubSup>
          <m:sSubSupPr>
            <m:ctrlPr>
              <w:rPr>
                <w:rFonts w:ascii="Cambria Math" w:eastAsia="等线" w:hAnsi="Cambria Math"/>
                <w:i/>
              </w:rPr>
            </m:ctrlPr>
          </m:sSubSupPr>
          <m:e>
            <m:r>
              <w:rPr>
                <w:rFonts w:ascii="Cambria Math" w:eastAsia="等线" w:hAnsi="Cambria Math"/>
              </w:rPr>
              <m:t>q</m:t>
            </m:r>
          </m:e>
          <m:sub>
            <m:r>
              <w:rPr>
                <w:rFonts w:ascii="Cambria Math" w:eastAsia="等线" w:hAnsi="Cambria Math"/>
              </w:rPr>
              <m:t>i</m:t>
            </m:r>
          </m:sub>
          <m:sup>
            <m:r>
              <w:rPr>
                <w:rFonts w:ascii="Cambria Math" w:eastAsia="等线" w:hAnsi="Cambria Math"/>
              </w:rPr>
              <m:t>''</m:t>
            </m:r>
          </m:sup>
        </m:sSubSup>
      </m:oMath>
      <w:r w:rsidRPr="00FC71BE">
        <w:rPr>
          <w:rFonts w:eastAsia="等线"/>
        </w:rPr>
        <w:t xml:space="preserve"> is the heat flux in this mesh, </w:t>
      </w:r>
      <m:oMath>
        <m:sSub>
          <m:sSubPr>
            <m:ctrlPr>
              <w:rPr>
                <w:rFonts w:ascii="Cambria Math" w:eastAsia="等线" w:hAnsi="Cambria Math"/>
                <w:i/>
              </w:rPr>
            </m:ctrlPr>
          </m:sSubPr>
          <m:e>
            <m:r>
              <w:rPr>
                <w:rFonts w:ascii="Cambria Math" w:eastAsia="等线" w:hAnsi="Cambria Math"/>
              </w:rPr>
              <m:t>T</m:t>
            </m:r>
          </m:e>
          <m:sub>
            <m:r>
              <w:rPr>
                <w:rFonts w:ascii="Cambria Math" w:eastAsia="等线" w:hAnsi="Cambria Math"/>
              </w:rPr>
              <m:t>wi</m:t>
            </m:r>
          </m:sub>
        </m:sSub>
      </m:oMath>
      <w:r w:rsidRPr="00FC71BE">
        <w:rPr>
          <w:rFonts w:eastAsia="等线"/>
        </w:rPr>
        <w:t xml:space="preserve"> is the wall temperature of this mesh, </w:t>
      </w:r>
      <m:oMath>
        <m:sSub>
          <m:sSubPr>
            <m:ctrlPr>
              <w:rPr>
                <w:rFonts w:ascii="Cambria Math" w:eastAsia="等线" w:hAnsi="Cambria Math"/>
                <w:i/>
              </w:rPr>
            </m:ctrlPr>
          </m:sSubPr>
          <m:e>
            <m:r>
              <w:rPr>
                <w:rFonts w:ascii="Cambria Math" w:eastAsia="等线" w:hAnsi="Cambria Math"/>
              </w:rPr>
              <m:t>T</m:t>
            </m:r>
          </m:e>
          <m:sub>
            <m:sSub>
              <m:sSubPr>
                <m:ctrlPr>
                  <w:rPr>
                    <w:rFonts w:ascii="Cambria Math" w:eastAsia="等线" w:hAnsi="Cambria Math"/>
                    <w:i/>
                  </w:rPr>
                </m:ctrlPr>
              </m:sSubPr>
              <m:e>
                <m:r>
                  <w:rPr>
                    <w:rFonts w:ascii="Cambria Math" w:eastAsia="等线" w:hAnsi="Cambria Math"/>
                  </w:rPr>
                  <m:t>bulk</m:t>
                </m:r>
              </m:e>
              <m:sub>
                <m:r>
                  <w:rPr>
                    <w:rFonts w:ascii="Cambria Math" w:eastAsia="等线" w:hAnsi="Cambria Math"/>
                  </w:rPr>
                  <m:t>i</m:t>
                </m:r>
              </m:sub>
            </m:sSub>
          </m:sub>
        </m:sSub>
      </m:oMath>
      <w:r w:rsidRPr="00FC71BE">
        <w:rPr>
          <w:rFonts w:eastAsia="等线"/>
        </w:rPr>
        <w:t xml:space="preserve"> is the air temperature adjacent this mesh. </w:t>
      </w:r>
      <m:oMath>
        <m:sSub>
          <m:sSubPr>
            <m:ctrlPr>
              <w:rPr>
                <w:rFonts w:ascii="Cambria Math" w:eastAsia="等线" w:hAnsi="Cambria Math"/>
                <w:i/>
              </w:rPr>
            </m:ctrlPr>
          </m:sSubPr>
          <m:e>
            <m:r>
              <w:rPr>
                <w:rFonts w:ascii="Cambria Math" w:eastAsia="等线" w:hAnsi="Cambria Math"/>
              </w:rPr>
              <m:t>A</m:t>
            </m:r>
          </m:e>
          <m:sub>
            <m:r>
              <w:rPr>
                <w:rFonts w:ascii="Cambria Math" w:eastAsia="等线" w:hAnsi="Cambria Math"/>
              </w:rPr>
              <m:t>i</m:t>
            </m:r>
          </m:sub>
        </m:sSub>
      </m:oMath>
      <w:r w:rsidRPr="00FC71BE">
        <w:rPr>
          <w:rFonts w:eastAsia="等线"/>
        </w:rPr>
        <w:t xml:space="preserve"> is its surface area.</w:t>
      </w:r>
    </w:p>
    <w:p w14:paraId="1DC4855E" w14:textId="0F2DE223" w:rsidR="0045562B" w:rsidRPr="00FC71BE" w:rsidRDefault="0045562B" w:rsidP="0045562B">
      <w:pPr>
        <w:rPr>
          <w:rFonts w:eastAsia="等线"/>
        </w:rPr>
      </w:pPr>
      <w:r w:rsidRPr="00FC71BE">
        <w:rPr>
          <w:rFonts w:eastAsia="等线"/>
        </w:rPr>
        <w:t xml:space="preserve">For the LPTN model proposed in </w:t>
      </w:r>
      <w:r w:rsidR="008C6AA7" w:rsidRPr="00FC71BE">
        <w:rPr>
          <w:rFonts w:eastAsia="等线"/>
        </w:rPr>
        <w:fldChar w:fldCharType="begin"/>
      </w:r>
      <w:r w:rsidR="008C6AA7" w:rsidRPr="00FC71BE">
        <w:rPr>
          <w:rFonts w:eastAsia="等线"/>
        </w:rPr>
        <w:instrText xml:space="preserve"> REF _Ref148287941 \r \h </w:instrText>
      </w:r>
      <w:r w:rsidR="008C6AA7" w:rsidRPr="00FC71BE">
        <w:rPr>
          <w:rFonts w:eastAsia="等线"/>
        </w:rPr>
      </w:r>
      <w:r w:rsidR="008C6AA7" w:rsidRPr="00FC71BE">
        <w:rPr>
          <w:rFonts w:eastAsia="等线"/>
        </w:rPr>
        <w:fldChar w:fldCharType="separate"/>
      </w:r>
      <w:r w:rsidR="007E62C1" w:rsidRPr="00FC71BE">
        <w:rPr>
          <w:rFonts w:eastAsia="等线"/>
        </w:rPr>
        <w:t>Chapter 3</w:t>
      </w:r>
      <w:r w:rsidR="008C6AA7" w:rsidRPr="00FC71BE">
        <w:rPr>
          <w:rFonts w:eastAsia="等线"/>
        </w:rPr>
        <w:fldChar w:fldCharType="end"/>
      </w:r>
      <w:r w:rsidRPr="00FC71BE">
        <w:rPr>
          <w:rFonts w:eastAsia="等线"/>
        </w:rPr>
        <w:t>, the convection coefficient should be calculated from other method (Method 2). In LPTN model, several surfaces are connected to the same node that represent the temperature of the fluid. Thus, the reference temperature (</w:t>
      </w:r>
      <m:oMath>
        <m:sSub>
          <m:sSubPr>
            <m:ctrlPr>
              <w:rPr>
                <w:rFonts w:ascii="Cambria Math" w:eastAsia="等线" w:hAnsi="Cambria Math"/>
                <w:i/>
              </w:rPr>
            </m:ctrlPr>
          </m:sSubPr>
          <m:e>
            <m:r>
              <w:rPr>
                <w:rFonts w:ascii="Cambria Math" w:eastAsia="等线" w:hAnsi="Cambria Math"/>
              </w:rPr>
              <m:t>T</m:t>
            </m:r>
          </m:e>
          <m:sub>
            <m:sSub>
              <m:sSubPr>
                <m:ctrlPr>
                  <w:rPr>
                    <w:rFonts w:ascii="Cambria Math" w:eastAsia="等线" w:hAnsi="Cambria Math"/>
                    <w:i/>
                  </w:rPr>
                </m:ctrlPr>
              </m:sSubPr>
              <m:e>
                <m:r>
                  <w:rPr>
                    <w:rFonts w:ascii="Cambria Math" w:eastAsia="等线" w:hAnsi="Cambria Math"/>
                  </w:rPr>
                  <m:t>bulk</m:t>
                </m:r>
              </m:e>
              <m:sub>
                <m:r>
                  <w:rPr>
                    <w:rFonts w:ascii="Cambria Math" w:eastAsia="等线" w:hAnsi="Cambria Math"/>
                  </w:rPr>
                  <m:t>i</m:t>
                </m:r>
              </m:sub>
            </m:sSub>
          </m:sub>
        </m:sSub>
      </m:oMath>
      <w:r w:rsidRPr="00FC71BE">
        <w:rPr>
          <w:rFonts w:eastAsia="等线"/>
        </w:rPr>
        <w:t xml:space="preserve">) for those surfaces should be the same. </w:t>
      </w:r>
      <w:r w:rsidRPr="00FC71BE">
        <w:rPr>
          <w:rFonts w:eastAsia="等线"/>
        </w:rPr>
        <w:fldChar w:fldCharType="begin"/>
      </w:r>
      <w:r w:rsidRPr="00FC71BE">
        <w:rPr>
          <w:rFonts w:eastAsia="等线"/>
        </w:rPr>
        <w:instrText xml:space="preserve"> REF _Ref141126418 \h </w:instrText>
      </w:r>
      <w:r w:rsidRPr="00FC71BE">
        <w:rPr>
          <w:rFonts w:eastAsia="等线"/>
        </w:rPr>
      </w:r>
      <w:r w:rsidRPr="00FC71BE">
        <w:rPr>
          <w:rFonts w:eastAsia="等线"/>
        </w:rPr>
        <w:fldChar w:fldCharType="separate"/>
      </w:r>
      <w:r w:rsidR="007E62C1" w:rsidRPr="00FC71BE">
        <w:t>(</w:t>
      </w:r>
      <w:r w:rsidR="007E62C1" w:rsidRPr="00FC71BE">
        <w:rPr>
          <w:noProof/>
        </w:rPr>
        <w:t>4</w:t>
      </w:r>
      <w:r w:rsidR="007E62C1" w:rsidRPr="00FC71BE">
        <w:t>.</w:t>
      </w:r>
      <w:r w:rsidR="007E62C1" w:rsidRPr="00FC71BE">
        <w:rPr>
          <w:noProof/>
        </w:rPr>
        <w:t>13</w:t>
      </w:r>
      <w:r w:rsidR="007E62C1" w:rsidRPr="00FC71BE">
        <w:t>)</w:t>
      </w:r>
      <w:r w:rsidRPr="00FC71BE">
        <w:rPr>
          <w:rFonts w:eastAsia="等线"/>
        </w:rPr>
        <w:fldChar w:fldCharType="end"/>
      </w:r>
      <w:r w:rsidRPr="00FC71BE">
        <w:rPr>
          <w:rFonts w:eastAsia="等线"/>
        </w:rPr>
        <w:t xml:space="preserve"> can be re-written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1AE2F2F" w14:textId="77777777">
        <w:tc>
          <w:tcPr>
            <w:tcW w:w="4493" w:type="pct"/>
            <w:vAlign w:val="center"/>
          </w:tcPr>
          <w:p w14:paraId="173D32D4" w14:textId="1DCB373F" w:rsidR="0045562B" w:rsidRPr="00FC71BE" w:rsidRDefault="002143AD">
            <w:pPr>
              <w:rPr>
                <w:rFonts w:eastAsia="等线"/>
              </w:rPr>
            </w:pPr>
            <m:oMathPara>
              <m:oMath>
                <m:sSub>
                  <m:sSubPr>
                    <m:ctrlPr>
                      <w:rPr>
                        <w:rFonts w:ascii="Cambria Math" w:eastAsia="等线" w:hAnsi="Cambria Math"/>
                        <w:i/>
                      </w:rPr>
                    </m:ctrlPr>
                  </m:sSubPr>
                  <m:e>
                    <m:r>
                      <w:rPr>
                        <w:rFonts w:ascii="Cambria Math" w:eastAsia="等线" w:hAnsi="Cambria Math"/>
                      </w:rPr>
                      <m:t>h</m:t>
                    </m:r>
                  </m:e>
                  <m:sub>
                    <m:r>
                      <w:rPr>
                        <w:rFonts w:ascii="Cambria Math" w:eastAsia="等线" w:hAnsi="Cambria Math"/>
                      </w:rPr>
                      <m:t>e</m:t>
                    </m:r>
                  </m:sub>
                </m:sSub>
                <m:r>
                  <w:rPr>
                    <w:rFonts w:ascii="Cambria Math" w:eastAsia="等线" w:hAnsi="Cambria Math"/>
                  </w:rPr>
                  <m:t>=</m:t>
                </m:r>
                <m:f>
                  <m:fPr>
                    <m:ctrlPr>
                      <w:rPr>
                        <w:rFonts w:ascii="Cambria Math" w:eastAsia="等线" w:hAnsi="Cambria Math"/>
                        <w:i/>
                      </w:rPr>
                    </m:ctrlPr>
                  </m:fPr>
                  <m:num>
                    <m:nary>
                      <m:naryPr>
                        <m:chr m:val="∑"/>
                        <m:limLoc m:val="undOvr"/>
                        <m:subHide m:val="1"/>
                        <m:supHide m:val="1"/>
                        <m:ctrlPr>
                          <w:rPr>
                            <w:rFonts w:ascii="Cambria Math" w:eastAsia="等线" w:hAnsi="Cambria Math"/>
                            <w:i/>
                          </w:rPr>
                        </m:ctrlPr>
                      </m:naryPr>
                      <m:sub/>
                      <m:sup/>
                      <m:e>
                        <m:r>
                          <w:rPr>
                            <w:rFonts w:ascii="Cambria Math" w:eastAsia="等线" w:hAnsi="Cambria Math"/>
                          </w:rPr>
                          <m:t>(</m:t>
                        </m:r>
                        <m:sSub>
                          <m:sSubPr>
                            <m:ctrlPr>
                              <w:rPr>
                                <w:rFonts w:ascii="Cambria Math" w:eastAsia="等线" w:hAnsi="Cambria Math"/>
                                <w:i/>
                              </w:rPr>
                            </m:ctrlPr>
                          </m:sSubPr>
                          <m:e>
                            <m:r>
                              <w:rPr>
                                <w:rFonts w:ascii="Cambria Math" w:eastAsia="等线" w:hAnsi="Cambria Math"/>
                              </w:rPr>
                              <m:t>A</m:t>
                            </m:r>
                          </m:e>
                          <m:sub>
                            <m:r>
                              <w:rPr>
                                <w:rFonts w:ascii="Cambria Math" w:eastAsia="等线" w:hAnsi="Cambria Math"/>
                              </w:rPr>
                              <m:t>i</m:t>
                            </m:r>
                          </m:sub>
                        </m:sSub>
                        <m:r>
                          <m:rPr>
                            <m:sty m:val="p"/>
                          </m:rPr>
                          <w:rPr>
                            <w:rFonts w:ascii="Cambria Math" w:eastAsia="等线" w:hAnsi="Cambria Math"/>
                          </w:rPr>
                          <m:t xml:space="preserve"> </m:t>
                        </m:r>
                        <m:sSubSup>
                          <m:sSubSupPr>
                            <m:ctrlPr>
                              <w:rPr>
                                <w:rFonts w:ascii="Cambria Math" w:eastAsia="等线" w:hAnsi="Cambria Math"/>
                                <w:i/>
                              </w:rPr>
                            </m:ctrlPr>
                          </m:sSubSupPr>
                          <m:e>
                            <m:r>
                              <w:rPr>
                                <w:rFonts w:ascii="Cambria Math" w:eastAsia="等线" w:hAnsi="Cambria Math"/>
                              </w:rPr>
                              <m:t>q</m:t>
                            </m:r>
                          </m:e>
                          <m:sub>
                            <m:r>
                              <w:rPr>
                                <w:rFonts w:ascii="Cambria Math" w:eastAsia="等线" w:hAnsi="Cambria Math"/>
                              </w:rPr>
                              <m:t>i</m:t>
                            </m:r>
                          </m:sub>
                          <m:sup>
                            <m:r>
                              <w:rPr>
                                <w:rFonts w:ascii="Cambria Math" w:eastAsia="等线" w:hAnsi="Cambria Math"/>
                              </w:rPr>
                              <m:t>''</m:t>
                            </m:r>
                          </m:sup>
                        </m:sSubSup>
                        <m:r>
                          <w:rPr>
                            <w:rFonts w:ascii="Cambria Math" w:eastAsia="等线" w:hAnsi="Cambria Math"/>
                          </w:rPr>
                          <m:t>)</m:t>
                        </m:r>
                      </m:e>
                    </m:nary>
                  </m:num>
                  <m:den>
                    <m:nary>
                      <m:naryPr>
                        <m:chr m:val="∑"/>
                        <m:limLoc m:val="undOvr"/>
                        <m:subHide m:val="1"/>
                        <m:supHide m:val="1"/>
                        <m:ctrlPr>
                          <w:rPr>
                            <w:rFonts w:ascii="Cambria Math" w:eastAsia="等线" w:hAnsi="Cambria Math"/>
                            <w:i/>
                          </w:rPr>
                        </m:ctrlPr>
                      </m:naryPr>
                      <m:sub/>
                      <m:sup/>
                      <m:e>
                        <m:d>
                          <m:dPr>
                            <m:ctrlPr>
                              <w:rPr>
                                <w:rFonts w:ascii="Cambria Math" w:eastAsia="等线" w:hAnsi="Cambria Math"/>
                                <w:i/>
                              </w:rPr>
                            </m:ctrlPr>
                          </m:dPr>
                          <m:e>
                            <m:sSub>
                              <m:sSubPr>
                                <m:ctrlPr>
                                  <w:rPr>
                                    <w:rFonts w:ascii="Cambria Math" w:eastAsia="等线" w:hAnsi="Cambria Math"/>
                                    <w:i/>
                                  </w:rPr>
                                </m:ctrlPr>
                              </m:sSubPr>
                              <m:e>
                                <m:sSub>
                                  <m:sSubPr>
                                    <m:ctrlPr>
                                      <w:rPr>
                                        <w:rFonts w:ascii="Cambria Math" w:eastAsia="等线" w:hAnsi="Cambria Math"/>
                                        <w:i/>
                                      </w:rPr>
                                    </m:ctrlPr>
                                  </m:sSubPr>
                                  <m:e>
                                    <m:r>
                                      <w:rPr>
                                        <w:rFonts w:ascii="Cambria Math" w:eastAsia="等线" w:hAnsi="Cambria Math"/>
                                      </w:rPr>
                                      <m:t>A</m:t>
                                    </m:r>
                                  </m:e>
                                  <m:sub>
                                    <m:r>
                                      <w:rPr>
                                        <w:rFonts w:ascii="Cambria Math" w:eastAsia="等线" w:hAnsi="Cambria Math"/>
                                      </w:rPr>
                                      <m:t>i</m:t>
                                    </m:r>
                                  </m:sub>
                                </m:sSub>
                                <m:r>
                                  <w:rPr>
                                    <w:rFonts w:ascii="Cambria Math" w:eastAsia="等线" w:hAnsi="Cambria Math"/>
                                  </w:rPr>
                                  <m:t>T</m:t>
                                </m:r>
                              </m:e>
                              <m:sub>
                                <m:r>
                                  <w:rPr>
                                    <w:rFonts w:ascii="Cambria Math" w:eastAsia="等线" w:hAnsi="Cambria Math"/>
                                  </w:rPr>
                                  <m:t>wi</m:t>
                                </m:r>
                              </m:sub>
                            </m:sSub>
                          </m:e>
                        </m:d>
                      </m:e>
                    </m:nary>
                    <m:r>
                      <w:rPr>
                        <w:rFonts w:ascii="Cambria Math" w:eastAsia="等线" w:hAnsi="Cambria Math"/>
                      </w:rPr>
                      <m:t>-</m:t>
                    </m:r>
                    <m:sSub>
                      <m:sSubPr>
                        <m:ctrlPr>
                          <w:rPr>
                            <w:rFonts w:ascii="Cambria Math" w:eastAsia="等线" w:hAnsi="Cambria Math"/>
                            <w:i/>
                          </w:rPr>
                        </m:ctrlPr>
                      </m:sSubPr>
                      <m:e>
                        <m:r>
                          <w:rPr>
                            <w:rFonts w:ascii="Cambria Math" w:eastAsia="等线" w:hAnsi="Cambria Math"/>
                          </w:rPr>
                          <m:t>T</m:t>
                        </m:r>
                      </m:e>
                      <m:sub>
                        <m:r>
                          <w:rPr>
                            <w:rFonts w:ascii="Cambria Math" w:eastAsia="等线" w:hAnsi="Cambria Math"/>
                          </w:rPr>
                          <m:t>bulk</m:t>
                        </m:r>
                      </m:sub>
                    </m:sSub>
                    <m:nary>
                      <m:naryPr>
                        <m:chr m:val="∑"/>
                        <m:limLoc m:val="undOvr"/>
                        <m:subHide m:val="1"/>
                        <m:supHide m:val="1"/>
                        <m:ctrlPr>
                          <w:rPr>
                            <w:rFonts w:ascii="Cambria Math" w:eastAsia="等线" w:hAnsi="Cambria Math"/>
                            <w:i/>
                          </w:rPr>
                        </m:ctrlPr>
                      </m:naryPr>
                      <m:sub/>
                      <m:sup/>
                      <m:e>
                        <m:sSub>
                          <m:sSubPr>
                            <m:ctrlPr>
                              <w:rPr>
                                <w:rFonts w:ascii="Cambria Math" w:eastAsia="等线" w:hAnsi="Cambria Math"/>
                                <w:i/>
                              </w:rPr>
                            </m:ctrlPr>
                          </m:sSubPr>
                          <m:e>
                            <m:r>
                              <w:rPr>
                                <w:rFonts w:ascii="Cambria Math" w:eastAsia="等线" w:hAnsi="Cambria Math"/>
                              </w:rPr>
                              <m:t>A</m:t>
                            </m:r>
                          </m:e>
                          <m:sub>
                            <m:r>
                              <w:rPr>
                                <w:rFonts w:ascii="Cambria Math" w:eastAsia="等线" w:hAnsi="Cambria Math"/>
                              </w:rPr>
                              <m:t>i</m:t>
                            </m:r>
                          </m:sub>
                        </m:sSub>
                      </m:e>
                    </m:nary>
                  </m:den>
                </m:f>
                <m:r>
                  <w:rPr>
                    <w:rFonts w:ascii="Cambria Math" w:eastAsia="等线" w:hAnsi="Cambria Math"/>
                  </w:rPr>
                  <m:t>=</m:t>
                </m:r>
                <m:f>
                  <m:fPr>
                    <m:ctrlPr>
                      <w:rPr>
                        <w:rFonts w:ascii="Cambria Math" w:eastAsia="等线" w:hAnsi="Cambria Math"/>
                        <w:i/>
                      </w:rPr>
                    </m:ctrlPr>
                  </m:fPr>
                  <m:num>
                    <m:sSubSup>
                      <m:sSubSupPr>
                        <m:ctrlPr>
                          <w:rPr>
                            <w:rFonts w:ascii="Cambria Math" w:eastAsia="等线" w:hAnsi="Cambria Math"/>
                            <w:i/>
                          </w:rPr>
                        </m:ctrlPr>
                      </m:sSubSupPr>
                      <m:e>
                        <m:r>
                          <w:rPr>
                            <w:rFonts w:ascii="Cambria Math" w:eastAsia="等线" w:hAnsi="Cambria Math"/>
                          </w:rPr>
                          <m:t>q</m:t>
                        </m:r>
                      </m:e>
                      <m:sub>
                        <m:r>
                          <w:rPr>
                            <w:rFonts w:ascii="Cambria Math" w:eastAsia="等线" w:hAnsi="Cambria Math"/>
                          </w:rPr>
                          <m:t>i</m:t>
                        </m:r>
                        <m:r>
                          <w:rPr>
                            <w:rFonts w:ascii="Cambria Math" w:eastAsia="等线" w:hAnsi="Cambria Math"/>
                          </w:rPr>
                          <m:t>,</m:t>
                        </m:r>
                        <m:r>
                          <w:rPr>
                            <w:rFonts w:ascii="Cambria Math" w:eastAsia="等线" w:hAnsi="Cambria Math"/>
                          </w:rPr>
                          <m:t>ave</m:t>
                        </m:r>
                      </m:sub>
                      <m:sup>
                        <m:r>
                          <w:rPr>
                            <w:rFonts w:ascii="Cambria Math" w:eastAsia="等线" w:hAnsi="Cambria Math"/>
                          </w:rPr>
                          <m:t>''</m:t>
                        </m:r>
                      </m:sup>
                    </m:sSubSup>
                  </m:num>
                  <m:den>
                    <m:sSub>
                      <m:sSubPr>
                        <m:ctrlPr>
                          <w:rPr>
                            <w:rFonts w:ascii="Cambria Math" w:eastAsia="等线" w:hAnsi="Cambria Math"/>
                            <w:i/>
                          </w:rPr>
                        </m:ctrlPr>
                      </m:sSubPr>
                      <m:e>
                        <m:r>
                          <w:rPr>
                            <w:rFonts w:ascii="Cambria Math" w:eastAsia="等线" w:hAnsi="Cambria Math"/>
                          </w:rPr>
                          <m:t>T</m:t>
                        </m:r>
                      </m:e>
                      <m:sub>
                        <m:r>
                          <w:rPr>
                            <w:rFonts w:ascii="Cambria Math" w:eastAsia="等线" w:hAnsi="Cambria Math"/>
                          </w:rPr>
                          <m:t>wi</m:t>
                        </m:r>
                        <m:r>
                          <w:rPr>
                            <w:rFonts w:ascii="Cambria Math" w:eastAsia="等线" w:hAnsi="Cambria Math"/>
                          </w:rPr>
                          <m:t>,</m:t>
                        </m:r>
                        <m:r>
                          <w:rPr>
                            <w:rFonts w:ascii="Cambria Math" w:eastAsia="等线" w:hAnsi="Cambria Math"/>
                          </w:rPr>
                          <m:t>ave</m:t>
                        </m:r>
                      </m:sub>
                    </m:sSub>
                    <m:r>
                      <w:rPr>
                        <w:rFonts w:ascii="Cambria Math" w:eastAsia="等线" w:hAnsi="Cambria Math"/>
                      </w:rPr>
                      <m:t>-</m:t>
                    </m:r>
                    <m:sSub>
                      <m:sSubPr>
                        <m:ctrlPr>
                          <w:rPr>
                            <w:rFonts w:ascii="Cambria Math" w:eastAsia="等线" w:hAnsi="Cambria Math"/>
                            <w:i/>
                          </w:rPr>
                        </m:ctrlPr>
                      </m:sSubPr>
                      <m:e>
                        <m:r>
                          <w:rPr>
                            <w:rFonts w:ascii="Cambria Math" w:eastAsia="等线" w:hAnsi="Cambria Math"/>
                          </w:rPr>
                          <m:t>T</m:t>
                        </m:r>
                      </m:e>
                      <m:sub>
                        <m:r>
                          <w:rPr>
                            <w:rFonts w:ascii="Cambria Math" w:eastAsia="等线" w:hAnsi="Cambria Math"/>
                          </w:rPr>
                          <m:t>bulk</m:t>
                        </m:r>
                      </m:sub>
                    </m:sSub>
                  </m:den>
                </m:f>
              </m:oMath>
            </m:oMathPara>
          </w:p>
        </w:tc>
        <w:tc>
          <w:tcPr>
            <w:tcW w:w="507" w:type="pct"/>
            <w:vAlign w:val="center"/>
          </w:tcPr>
          <w:p w14:paraId="21D3B407" w14:textId="0777D2F2" w:rsidR="0045562B" w:rsidRPr="00FC71BE" w:rsidRDefault="0045562B">
            <w:pPr>
              <w:pStyle w:val="equation"/>
              <w:rPr>
                <w:i/>
                <w:color w:val="auto"/>
              </w:rPr>
            </w:pPr>
            <w:bookmarkStart w:id="211" w:name="_Ref145961276"/>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15</w:t>
            </w:r>
            <w:r w:rsidR="002839C4" w:rsidRPr="00FC71BE">
              <w:rPr>
                <w:color w:val="auto"/>
              </w:rPr>
              <w:fldChar w:fldCharType="end"/>
            </w:r>
            <w:r w:rsidRPr="00FC71BE">
              <w:rPr>
                <w:color w:val="auto"/>
              </w:rPr>
              <w:t>)</w:t>
            </w:r>
            <w:bookmarkEnd w:id="211"/>
          </w:p>
        </w:tc>
      </w:tr>
    </w:tbl>
    <w:p w14:paraId="2254F239" w14:textId="77777777" w:rsidR="0045562B" w:rsidRPr="00FC71BE" w:rsidRDefault="0045562B" w:rsidP="0045562B">
      <w:pPr>
        <w:ind w:firstLine="0"/>
      </w:pPr>
      <w:r w:rsidRPr="00FC71BE">
        <w:rPr>
          <w:rFonts w:eastAsia="等线"/>
        </w:rPr>
        <w:t xml:space="preserve">where </w:t>
      </w:r>
      <m:oMath>
        <m:sSub>
          <m:sSubPr>
            <m:ctrlPr>
              <w:rPr>
                <w:rFonts w:ascii="Cambria Math" w:eastAsia="等线" w:hAnsi="Cambria Math"/>
                <w:i/>
              </w:rPr>
            </m:ctrlPr>
          </m:sSubPr>
          <m:e>
            <m:r>
              <w:rPr>
                <w:rFonts w:ascii="Cambria Math" w:eastAsia="等线" w:hAnsi="Cambria Math"/>
              </w:rPr>
              <m:t>T</m:t>
            </m:r>
          </m:e>
          <m:sub>
            <m:r>
              <w:rPr>
                <w:rFonts w:ascii="Cambria Math" w:eastAsia="等线" w:hAnsi="Cambria Math"/>
              </w:rPr>
              <m:t>bulk</m:t>
            </m:r>
          </m:sub>
        </m:sSub>
      </m:oMath>
      <w:r w:rsidRPr="00FC71BE">
        <w:rPr>
          <w:rFonts w:eastAsia="等线"/>
        </w:rPr>
        <w:t xml:space="preserve"> is the average temperature of air for the calculated region. This method (Method 2) will be employed to calculate the convection coefficients of the investigated machines in this chapter.</w:t>
      </w:r>
    </w:p>
    <w:p w14:paraId="2FDD2782" w14:textId="77777777" w:rsidR="0045562B" w:rsidRPr="00FC71BE" w:rsidRDefault="0045562B" w:rsidP="00B86C68">
      <w:pPr>
        <w:pStyle w:val="Heading2"/>
        <w:numPr>
          <w:ilvl w:val="1"/>
          <w:numId w:val="49"/>
        </w:numPr>
      </w:pPr>
      <w:bookmarkStart w:id="212" w:name="_Ref146102171"/>
      <w:bookmarkStart w:id="213" w:name="_Toc157695368"/>
      <w:r w:rsidRPr="00FC71BE">
        <w:lastRenderedPageBreak/>
        <w:t>Semi-Flooded Oil Cooling</w:t>
      </w:r>
      <w:bookmarkEnd w:id="212"/>
      <w:bookmarkEnd w:id="213"/>
    </w:p>
    <w:p w14:paraId="524185E9" w14:textId="4F5C605E" w:rsidR="0045562B" w:rsidRPr="00FC71BE" w:rsidRDefault="0045562B" w:rsidP="0045562B">
      <w:r w:rsidRPr="00FC71BE">
        <w:t xml:space="preserve">Compared with the conventional non-modular SPM machine, the flux gaps introduced in the modular SPM machine provides additional degree of freedom for cooling design. In this section, a semi-flooded oil cooling system is introduced for the modular SPM machine. The machine specification is the same as that used in </w:t>
      </w:r>
      <w:r w:rsidR="008C6AA7" w:rsidRPr="00FC71BE">
        <w:fldChar w:fldCharType="begin"/>
      </w:r>
      <w:r w:rsidR="008C6AA7" w:rsidRPr="00FC71BE">
        <w:instrText xml:space="preserve"> REF _Ref148287969 \r \h </w:instrText>
      </w:r>
      <w:r w:rsidR="008C6AA7" w:rsidRPr="00FC71BE">
        <w:fldChar w:fldCharType="separate"/>
      </w:r>
      <w:r w:rsidR="007E62C1" w:rsidRPr="00FC71BE">
        <w:t>Chapter 3</w:t>
      </w:r>
      <w:r w:rsidR="008C6AA7" w:rsidRPr="00FC71BE">
        <w:fldChar w:fldCharType="end"/>
      </w:r>
      <w:r w:rsidR="008C6AA7" w:rsidRPr="00FC71BE">
        <w:t xml:space="preserve"> </w:t>
      </w:r>
      <w:r w:rsidRPr="00FC71BE">
        <w:t xml:space="preserve">(see </w:t>
      </w:r>
      <w:r w:rsidR="008C6AA7" w:rsidRPr="00FC71BE">
        <w:fldChar w:fldCharType="begin"/>
      </w:r>
      <w:r w:rsidR="008C6AA7" w:rsidRPr="00FC71BE">
        <w:instrText xml:space="preserve"> REF _Ref148287986 \h </w:instrText>
      </w:r>
      <w:r w:rsidR="008C6AA7" w:rsidRPr="00FC71BE">
        <w:fldChar w:fldCharType="separate"/>
      </w:r>
      <w:r w:rsidR="007E62C1" w:rsidRPr="00FC71BE">
        <w:t xml:space="preserve">Table </w:t>
      </w:r>
      <w:r w:rsidR="007E62C1" w:rsidRPr="00FC71BE">
        <w:rPr>
          <w:noProof/>
        </w:rPr>
        <w:t>3</w:t>
      </w:r>
      <w:r w:rsidR="007E62C1" w:rsidRPr="00FC71BE">
        <w:t>.</w:t>
      </w:r>
      <w:r w:rsidR="007E62C1" w:rsidRPr="00FC71BE">
        <w:rPr>
          <w:noProof/>
        </w:rPr>
        <w:t>1</w:t>
      </w:r>
      <w:r w:rsidR="008C6AA7" w:rsidRPr="00FC71BE">
        <w:fldChar w:fldCharType="end"/>
      </w:r>
      <w:r w:rsidRPr="00FC71BE">
        <w:t xml:space="preserve">). Twelve holes are positioned at the same locations on both endcaps, as shown in </w:t>
      </w:r>
      <w:r w:rsidRPr="00FC71BE">
        <w:fldChar w:fldCharType="begin"/>
      </w:r>
      <w:r w:rsidRPr="00FC71BE">
        <w:instrText xml:space="preserve"> REF _Ref145937937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w:t>
      </w:r>
      <w:r w:rsidRPr="00FC71BE">
        <w:fldChar w:fldCharType="end"/>
      </w:r>
      <w:r w:rsidRPr="00FC71BE">
        <w:t xml:space="preserve"> and </w:t>
      </w:r>
      <w:r w:rsidRPr="00FC71BE">
        <w:fldChar w:fldCharType="begin"/>
      </w:r>
      <w:r w:rsidRPr="00FC71BE">
        <w:instrText xml:space="preserve"> REF _Ref146567765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4</w:t>
      </w:r>
      <w:r w:rsidRPr="00FC71BE">
        <w:fldChar w:fldCharType="end"/>
      </w:r>
      <w:r w:rsidRPr="00FC71BE">
        <w:t xml:space="preserve"> (a). The disc-shaped shaft is designed as shown in </w:t>
      </w:r>
      <w:r w:rsidRPr="00FC71BE">
        <w:fldChar w:fldCharType="begin"/>
      </w:r>
      <w:r w:rsidRPr="00FC71BE">
        <w:instrText xml:space="preserve"> REF _Ref146567765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4</w:t>
      </w:r>
      <w:r w:rsidRPr="00FC71BE">
        <w:fldChar w:fldCharType="end"/>
      </w:r>
      <w:r w:rsidRPr="00FC71BE">
        <w:t xml:space="preserve"> (b). A polyether ether ketone (PEEK) is employed as sleeve to separate the machine into an oil-flooded stator part and an oil-free rotor part in order to avoid liquid leakage and friction losses. For the forced cooling systems, the gravitational effect has been neglected. Therefore, the circumferential symmetry of the modular SPM machine leads to a circumferentially symmetric distribution of flow field and heat transfer. Thus, a one-twelfth (</w:t>
      </w:r>
      <m:oMath>
        <m:r>
          <w:rPr>
            <w:rFonts w:ascii="Cambria Math" w:hAnsi="Cambria Math"/>
          </w:rPr>
          <m:t>30°</m:t>
        </m:r>
      </m:oMath>
      <w:r w:rsidRPr="00FC71BE">
        <w:t xml:space="preserve">) segment is simulated for three-dimensional CFD modelling as shown in </w:t>
      </w:r>
      <w:r w:rsidRPr="00FC71BE">
        <w:fldChar w:fldCharType="begin"/>
      </w:r>
      <w:r w:rsidRPr="00FC71BE">
        <w:instrText xml:space="preserve"> REF _Ref145938458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5</w:t>
      </w:r>
      <w:r w:rsidRPr="00FC71BE">
        <w:fldChar w:fldCharType="end"/>
      </w:r>
      <w:r w:rsidRPr="00FC71BE">
        <w:t xml:space="preserve">. It is worth noting that, the axial domain lengths both upstream and </w:t>
      </w:r>
      <w:r w:rsidRPr="00FC71BE" w:rsidDel="00257102">
        <w:t>downstream</w:t>
      </w:r>
      <w:r w:rsidRPr="00FC71BE">
        <w:t xml:space="preserve"> of the machine are around 2 times and 3.5 times the machine length to achieve a fully developing flow profile. This can prevent the model from experiencing unwanted ‘backflow’ that can cause poor convergency and inaccurate results.</w:t>
      </w:r>
    </w:p>
    <w:p w14:paraId="36BB13C3" w14:textId="77777777" w:rsidR="0045562B" w:rsidRPr="00FC71BE" w:rsidRDefault="0045562B" w:rsidP="0045562B">
      <w:pPr>
        <w:pStyle w:val="Figure"/>
        <w:rPr>
          <w:noProof w:val="0"/>
        </w:rPr>
      </w:pPr>
      <w:r w:rsidRPr="00FC71BE">
        <w:drawing>
          <wp:inline distT="0" distB="0" distL="0" distR="0" wp14:anchorId="066ED931" wp14:editId="658ED51C">
            <wp:extent cx="4406900" cy="3161386"/>
            <wp:effectExtent l="0" t="0" r="0" b="1270"/>
            <wp:docPr id="65279773" name="Picture 65279773" descr="A diagram of a machine&#10;&#10;Description automatically generated">
              <a:extLst xmlns:a="http://schemas.openxmlformats.org/drawingml/2006/main">
                <a:ext uri="{FF2B5EF4-FFF2-40B4-BE49-F238E27FC236}">
                  <a16:creationId xmlns:a16="http://schemas.microsoft.com/office/drawing/2014/main" id="{E9820C14-C804-4B97-8B9F-9E4A2F4FA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descr="A diagram of a machine&#10;&#10;Description automatically generated">
                      <a:extLst>
                        <a:ext uri="{FF2B5EF4-FFF2-40B4-BE49-F238E27FC236}">
                          <a16:creationId xmlns:a16="http://schemas.microsoft.com/office/drawing/2014/main" id="{E9820C14-C804-4B97-8B9F-9E4A2F4FA372}"/>
                        </a:ext>
                      </a:extLst>
                    </pic:cNvPr>
                    <pic:cNvPicPr>
                      <a:picLocks noChangeAspect="1"/>
                    </pic:cNvPicPr>
                  </pic:nvPicPr>
                  <pic:blipFill>
                    <a:blip r:embed="rId137"/>
                    <a:stretch>
                      <a:fillRect/>
                    </a:stretch>
                  </pic:blipFill>
                  <pic:spPr>
                    <a:xfrm>
                      <a:off x="0" y="0"/>
                      <a:ext cx="4421188" cy="3171636"/>
                    </a:xfrm>
                    <a:prstGeom prst="rect">
                      <a:avLst/>
                    </a:prstGeom>
                  </pic:spPr>
                </pic:pic>
              </a:graphicData>
            </a:graphic>
          </wp:inline>
        </w:drawing>
      </w:r>
    </w:p>
    <w:p w14:paraId="41F1EAB2" w14:textId="4E098C51" w:rsidR="0045562B" w:rsidRPr="00FC71BE" w:rsidRDefault="0045562B" w:rsidP="0045562B">
      <w:pPr>
        <w:pStyle w:val="FigureTitle"/>
      </w:pPr>
      <w:bookmarkStart w:id="214" w:name="_Ref145937937"/>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w:t>
        </w:r>
      </w:fldSimple>
      <w:bookmarkEnd w:id="214"/>
      <w:r w:rsidRPr="00FC71BE">
        <w:t>. Cut away view of the modular SPM machine with semi-flooded oil cooling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49F6525C" w14:textId="77777777">
        <w:tc>
          <w:tcPr>
            <w:tcW w:w="9016" w:type="dxa"/>
            <w:vAlign w:val="center"/>
          </w:tcPr>
          <w:p w14:paraId="78C573BF" w14:textId="77777777" w:rsidR="0045562B" w:rsidRPr="00FC71BE" w:rsidRDefault="0045562B">
            <w:pPr>
              <w:pStyle w:val="Figure"/>
              <w:rPr>
                <w:noProof w:val="0"/>
              </w:rPr>
            </w:pPr>
            <w:r w:rsidRPr="00FC71BE">
              <w:lastRenderedPageBreak/>
              <w:drawing>
                <wp:inline distT="0" distB="0" distL="0" distR="0" wp14:anchorId="339288BC" wp14:editId="17946DEA">
                  <wp:extent cx="2782540" cy="2412000"/>
                  <wp:effectExtent l="0" t="0" r="0" b="7620"/>
                  <wp:docPr id="1453885401" name="Picture 1453885401" descr="A diagram of a circular object&#10;&#10;Description automatically generated">
                    <a:extLst xmlns:a="http://schemas.openxmlformats.org/drawingml/2006/main">
                      <a:ext uri="{FF2B5EF4-FFF2-40B4-BE49-F238E27FC236}">
                        <a16:creationId xmlns:a16="http://schemas.microsoft.com/office/drawing/2014/main" id="{2C9678CE-5030-442F-89AC-026B9513B4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85401" name="Picture 1453885401" descr="A diagram of a circular object&#10;&#10;Description automatically generated">
                            <a:extLst>
                              <a:ext uri="{FF2B5EF4-FFF2-40B4-BE49-F238E27FC236}">
                                <a16:creationId xmlns:a16="http://schemas.microsoft.com/office/drawing/2014/main" id="{2C9678CE-5030-442F-89AC-026B9513B460}"/>
                              </a:ext>
                            </a:extLst>
                          </pic:cNvPr>
                          <pic:cNvPicPr>
                            <a:picLocks noChangeAspect="1"/>
                          </pic:cNvPicPr>
                        </pic:nvPicPr>
                        <pic:blipFill rotWithShape="1">
                          <a:blip r:embed="rId138"/>
                          <a:srcRect r="47472" b="11417"/>
                          <a:stretch/>
                        </pic:blipFill>
                        <pic:spPr>
                          <a:xfrm>
                            <a:off x="0" y="0"/>
                            <a:ext cx="2782540" cy="2412000"/>
                          </a:xfrm>
                          <a:prstGeom prst="rect">
                            <a:avLst/>
                          </a:prstGeom>
                        </pic:spPr>
                      </pic:pic>
                    </a:graphicData>
                  </a:graphic>
                </wp:inline>
              </w:drawing>
            </w:r>
          </w:p>
        </w:tc>
      </w:tr>
      <w:tr w:rsidR="00FC71BE" w:rsidRPr="00FC71BE" w14:paraId="0170C5D4" w14:textId="77777777">
        <w:tc>
          <w:tcPr>
            <w:tcW w:w="9016" w:type="dxa"/>
            <w:vAlign w:val="center"/>
          </w:tcPr>
          <w:p w14:paraId="09C26386" w14:textId="77777777" w:rsidR="0045562B" w:rsidRPr="00FC71BE" w:rsidRDefault="0045562B">
            <w:pPr>
              <w:pStyle w:val="Figure"/>
              <w:rPr>
                <w:noProof w:val="0"/>
              </w:rPr>
            </w:pPr>
            <w:r w:rsidRPr="00FC71BE">
              <w:rPr>
                <w:iCs/>
                <w:noProof w:val="0"/>
                <w:szCs w:val="18"/>
              </w:rPr>
              <w:t>(a</w:t>
            </w:r>
            <w:r w:rsidRPr="00FC71BE">
              <w:rPr>
                <w:noProof w:val="0"/>
              </w:rPr>
              <w:t>) Endcap and coolant inlet/outlet</w:t>
            </w:r>
          </w:p>
        </w:tc>
      </w:tr>
      <w:tr w:rsidR="00FC71BE" w:rsidRPr="00FC71BE" w14:paraId="71CDFB8C" w14:textId="77777777">
        <w:tc>
          <w:tcPr>
            <w:tcW w:w="9016" w:type="dxa"/>
            <w:vAlign w:val="center"/>
          </w:tcPr>
          <w:p w14:paraId="5E6207B1" w14:textId="77777777" w:rsidR="0045562B" w:rsidRPr="00FC71BE" w:rsidRDefault="0045562B">
            <w:pPr>
              <w:pStyle w:val="Figure"/>
              <w:rPr>
                <w:noProof w:val="0"/>
              </w:rPr>
            </w:pPr>
            <w:r w:rsidRPr="00FC71BE">
              <w:drawing>
                <wp:inline distT="0" distB="0" distL="0" distR="0" wp14:anchorId="344966C7" wp14:editId="7EF89FAE">
                  <wp:extent cx="2400993" cy="2245766"/>
                  <wp:effectExtent l="0" t="0" r="0" b="2540"/>
                  <wp:docPr id="1852220777" name="Picture 1852220777" descr="A diagram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20777" name="Picture 1852220777" descr="A diagram of a circular object&#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05669" cy="2250140"/>
                          </a:xfrm>
                          <a:prstGeom prst="rect">
                            <a:avLst/>
                          </a:prstGeom>
                          <a:noFill/>
                        </pic:spPr>
                      </pic:pic>
                    </a:graphicData>
                  </a:graphic>
                </wp:inline>
              </w:drawing>
            </w:r>
          </w:p>
        </w:tc>
      </w:tr>
      <w:tr w:rsidR="00FC71BE" w:rsidRPr="00FC71BE" w14:paraId="32EC228F" w14:textId="77777777">
        <w:tc>
          <w:tcPr>
            <w:tcW w:w="9016" w:type="dxa"/>
            <w:vAlign w:val="center"/>
          </w:tcPr>
          <w:p w14:paraId="063824E5" w14:textId="77777777" w:rsidR="0045562B" w:rsidRPr="00FC71BE" w:rsidRDefault="0045562B">
            <w:pPr>
              <w:pStyle w:val="Figure"/>
              <w:rPr>
                <w:noProof w:val="0"/>
              </w:rPr>
            </w:pPr>
            <w:r w:rsidRPr="00FC71BE">
              <w:rPr>
                <w:iCs/>
                <w:noProof w:val="0"/>
                <w:szCs w:val="18"/>
              </w:rPr>
              <w:t>(</w:t>
            </w:r>
            <w:r w:rsidRPr="00FC71BE">
              <w:rPr>
                <w:iCs/>
                <w:noProof w:val="0"/>
              </w:rPr>
              <w:t>b</w:t>
            </w:r>
            <w:r w:rsidRPr="00FC71BE">
              <w:rPr>
                <w:noProof w:val="0"/>
              </w:rPr>
              <w:t>) Shaft</w:t>
            </w:r>
          </w:p>
        </w:tc>
      </w:tr>
    </w:tbl>
    <w:p w14:paraId="27F698B9" w14:textId="656E6B5B" w:rsidR="0045562B" w:rsidRPr="00FC71BE" w:rsidRDefault="0045562B" w:rsidP="0045562B">
      <w:pPr>
        <w:pStyle w:val="FigureTitle"/>
      </w:pPr>
      <w:bookmarkStart w:id="215" w:name="_Ref146567765"/>
      <w:r w:rsidRPr="00FC71BE">
        <w:t xml:space="preserve">Fig. </w:t>
      </w:r>
      <w:fldSimple w:instr=" STYLEREF 1 \s ">
        <w:r w:rsidR="007E62C1" w:rsidRPr="00FC71BE">
          <w:rPr>
            <w:noProof/>
          </w:rPr>
          <w:t>4</w:t>
        </w:r>
      </w:fldSimple>
      <w:r w:rsidRPr="00FC71BE">
        <w:t>.</w:t>
      </w:r>
      <w:fldSimple w:instr=" SEQ Fig. \* ARABIC \s 1 ">
        <w:r w:rsidR="007E62C1" w:rsidRPr="00FC71BE">
          <w:rPr>
            <w:noProof/>
          </w:rPr>
          <w:t>4</w:t>
        </w:r>
      </w:fldSimple>
      <w:bookmarkEnd w:id="215"/>
      <w:r w:rsidRPr="00FC71BE">
        <w:t>. Topology of endcap and shaft for the investigated modular machine with semi-flooded oil cooling system.</w:t>
      </w:r>
    </w:p>
    <w:p w14:paraId="3A4DC3B4" w14:textId="77777777" w:rsidR="0045562B" w:rsidRPr="00FC71BE" w:rsidRDefault="0045562B" w:rsidP="0045562B">
      <w:pPr>
        <w:pStyle w:val="Figure"/>
        <w:rPr>
          <w:noProof w:val="0"/>
        </w:rPr>
      </w:pPr>
      <w:r w:rsidRPr="00FC71BE">
        <w:rPr>
          <w:noProof w:val="0"/>
          <w14:ligatures w14:val="standardContextual"/>
        </w:rPr>
        <w:t xml:space="preserve"> </w:t>
      </w:r>
      <w:r w:rsidRPr="00FC71BE">
        <w:drawing>
          <wp:inline distT="0" distB="0" distL="0" distR="0" wp14:anchorId="2312C9AD" wp14:editId="22CFC83E">
            <wp:extent cx="5286200" cy="2304000"/>
            <wp:effectExtent l="0" t="0" r="0" b="1270"/>
            <wp:docPr id="1284770542" name="Picture 1284770542" descr="A diagram of a structure&#10;&#10;Description automatically generated">
              <a:extLst xmlns:a="http://schemas.openxmlformats.org/drawingml/2006/main">
                <a:ext uri="{FF2B5EF4-FFF2-40B4-BE49-F238E27FC236}">
                  <a16:creationId xmlns:a16="http://schemas.microsoft.com/office/drawing/2014/main" id="{230104BA-3BFC-7FD3-4395-219F57291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A diagram of a structure&#10;&#10;Description automatically generated">
                      <a:extLst>
                        <a:ext uri="{FF2B5EF4-FFF2-40B4-BE49-F238E27FC236}">
                          <a16:creationId xmlns:a16="http://schemas.microsoft.com/office/drawing/2014/main" id="{230104BA-3BFC-7FD3-4395-219F5729111D}"/>
                        </a:ext>
                      </a:extLst>
                    </pic:cNvPr>
                    <pic:cNvPicPr>
                      <a:picLocks noChangeAspect="1"/>
                    </pic:cNvPicPr>
                  </pic:nvPicPr>
                  <pic:blipFill>
                    <a:blip r:embed="rId140"/>
                    <a:stretch>
                      <a:fillRect/>
                    </a:stretch>
                  </pic:blipFill>
                  <pic:spPr>
                    <a:xfrm>
                      <a:off x="0" y="0"/>
                      <a:ext cx="5286200" cy="2304000"/>
                    </a:xfrm>
                    <a:prstGeom prst="rect">
                      <a:avLst/>
                    </a:prstGeom>
                  </pic:spPr>
                </pic:pic>
              </a:graphicData>
            </a:graphic>
          </wp:inline>
        </w:drawing>
      </w:r>
    </w:p>
    <w:p w14:paraId="5459A9B4" w14:textId="32A1C2F7" w:rsidR="0045562B" w:rsidRPr="00FC71BE" w:rsidRDefault="0045562B" w:rsidP="0045562B">
      <w:pPr>
        <w:pStyle w:val="FigureTitle"/>
      </w:pPr>
      <w:bookmarkStart w:id="216" w:name="_Ref145938458"/>
      <w:r w:rsidRPr="00FC71BE">
        <w:t xml:space="preserve">Fig. </w:t>
      </w:r>
      <w:fldSimple w:instr=" STYLEREF 1 \s ">
        <w:r w:rsidR="007E62C1" w:rsidRPr="00FC71BE">
          <w:rPr>
            <w:noProof/>
          </w:rPr>
          <w:t>4</w:t>
        </w:r>
      </w:fldSimple>
      <w:r w:rsidRPr="00FC71BE">
        <w:t>.</w:t>
      </w:r>
      <w:fldSimple w:instr=" SEQ Fig. \* ARABIC \s 1 ">
        <w:r w:rsidR="007E62C1" w:rsidRPr="00FC71BE">
          <w:rPr>
            <w:noProof/>
          </w:rPr>
          <w:t>5</w:t>
        </w:r>
      </w:fldSimple>
      <w:bookmarkEnd w:id="216"/>
      <w:r w:rsidRPr="00FC71BE">
        <w:t>. CFD model of the modular SPM machine with semi-flooded oil cooling system.</w:t>
      </w:r>
    </w:p>
    <w:p w14:paraId="0ED04C04" w14:textId="31664FA8" w:rsidR="0045562B" w:rsidRPr="00FC71BE" w:rsidRDefault="0045562B" w:rsidP="0045562B">
      <w:r w:rsidRPr="00FC71BE">
        <w:t xml:space="preserve">The thermal properties of machine components are listed in </w:t>
      </w:r>
      <w:r w:rsidRPr="00FC71BE">
        <w:fldChar w:fldCharType="begin"/>
      </w:r>
      <w:r w:rsidRPr="00FC71BE">
        <w:instrText xml:space="preserve"> REF _Ref145941045 \h </w:instrText>
      </w:r>
      <w:r w:rsidRPr="00FC71BE">
        <w:fldChar w:fldCharType="separate"/>
      </w:r>
      <w:r w:rsidR="007E62C1" w:rsidRPr="00FC71BE">
        <w:t xml:space="preserve">Table </w:t>
      </w:r>
      <w:r w:rsidR="007E62C1" w:rsidRPr="00FC71BE">
        <w:rPr>
          <w:noProof/>
        </w:rPr>
        <w:t>4</w:t>
      </w:r>
      <w:r w:rsidR="007E62C1" w:rsidRPr="00FC71BE">
        <w:t>.</w:t>
      </w:r>
      <w:r w:rsidR="007E62C1" w:rsidRPr="00FC71BE">
        <w:rPr>
          <w:noProof/>
        </w:rPr>
        <w:t>1</w:t>
      </w:r>
      <w:r w:rsidRPr="00FC71BE">
        <w:fldChar w:fldCharType="end"/>
      </w:r>
      <w:r w:rsidRPr="00FC71BE">
        <w:t xml:space="preserve">, and the properties of coolant are listed in </w:t>
      </w:r>
      <w:r w:rsidRPr="00FC71BE">
        <w:fldChar w:fldCharType="begin"/>
      </w:r>
      <w:r w:rsidRPr="00FC71BE">
        <w:instrText xml:space="preserve"> REF _Ref145957105 \h </w:instrText>
      </w:r>
      <w:r w:rsidRPr="00FC71BE">
        <w:fldChar w:fldCharType="separate"/>
      </w:r>
      <w:r w:rsidR="007E62C1" w:rsidRPr="00FC71BE">
        <w:t xml:space="preserve">Table </w:t>
      </w:r>
      <w:r w:rsidR="007E62C1" w:rsidRPr="00FC71BE">
        <w:rPr>
          <w:noProof/>
        </w:rPr>
        <w:t>4</w:t>
      </w:r>
      <w:r w:rsidR="007E62C1" w:rsidRPr="00FC71BE">
        <w:t>.</w:t>
      </w:r>
      <w:r w:rsidR="007E62C1" w:rsidRPr="00FC71BE">
        <w:rPr>
          <w:noProof/>
        </w:rPr>
        <w:t>2</w:t>
      </w:r>
      <w:r w:rsidRPr="00FC71BE">
        <w:fldChar w:fldCharType="end"/>
      </w:r>
      <w:r w:rsidRPr="00FC71BE">
        <w:t xml:space="preserve">. To simplify the models, a thermal anisotropy material is </w:t>
      </w:r>
      <w:r w:rsidRPr="00FC71BE">
        <w:lastRenderedPageBreak/>
        <w:t xml:space="preserve">introduced for the coils to represent the mixture of copper and impregnation in stator slots. Hashin and Shtrikman approximation in </w:t>
      </w:r>
      <w:r w:rsidR="00E87C16" w:rsidRPr="00FC71BE">
        <w:fldChar w:fldCharType="begin"/>
      </w:r>
      <w:r w:rsidR="00E87C16" w:rsidRPr="00FC71BE">
        <w:instrText xml:space="preserve"> REF _Ref148299686 \h </w:instrText>
      </w:r>
      <w:r w:rsidR="00E87C16" w:rsidRPr="00FC71BE">
        <w:fldChar w:fldCharType="separate"/>
      </w:r>
      <w:r w:rsidR="007E62C1" w:rsidRPr="00FC71BE">
        <w:t>(</w:t>
      </w:r>
      <w:r w:rsidR="007E62C1" w:rsidRPr="00FC71BE">
        <w:rPr>
          <w:noProof/>
        </w:rPr>
        <w:t>3</w:t>
      </w:r>
      <w:r w:rsidR="007E62C1" w:rsidRPr="00FC71BE">
        <w:t>.</w:t>
      </w:r>
      <w:r w:rsidR="007E62C1" w:rsidRPr="00FC71BE">
        <w:rPr>
          <w:noProof/>
        </w:rPr>
        <w:t>15</w:t>
      </w:r>
      <w:r w:rsidR="007E62C1" w:rsidRPr="00FC71BE">
        <w:t>)</w:t>
      </w:r>
      <w:r w:rsidR="00E87C16" w:rsidRPr="00FC71BE">
        <w:fldChar w:fldCharType="end"/>
      </w:r>
      <w:r w:rsidRPr="00FC71BE">
        <w:t xml:space="preserve"> is also employed to calculate the anisotropic thermal conductivity of this material. The slot fill factor is assumed to be 0.4 for all the investigated machines and the conductivity that is vertical to the current direction is 0.65</w:t>
      </w:r>
      <m:oMath>
        <m:f>
          <m:fPr>
            <m:type m:val="lin"/>
            <m:ctrlPr>
              <w:rPr>
                <w:rFonts w:ascii="Cambria Math" w:hAnsi="Cambria Math"/>
              </w:rPr>
            </m:ctrlPr>
          </m:fPr>
          <m:num>
            <m:r>
              <m:rPr>
                <m:sty m:val="p"/>
              </m:rPr>
              <w:rPr>
                <w:rFonts w:ascii="Cambria Math" w:hAnsi="Cambria Math"/>
              </w:rPr>
              <m:t>W</m:t>
            </m:r>
          </m:num>
          <m:den>
            <m:r>
              <m:rPr>
                <m:sty m:val="p"/>
              </m:rPr>
              <w:rPr>
                <w:rFonts w:ascii="Cambria Math" w:hAnsi="Cambria Math"/>
              </w:rPr>
              <m:t>m/K</m:t>
            </m:r>
          </m:den>
        </m:f>
      </m:oMath>
      <w:r w:rsidRPr="00FC71BE">
        <w:t>, while the conductivity that is parallel to the current direction is 160</w:t>
      </w:r>
      <m:oMath>
        <m:f>
          <m:fPr>
            <m:type m:val="lin"/>
            <m:ctrlPr>
              <w:rPr>
                <w:rFonts w:ascii="Cambria Math" w:hAnsi="Cambria Math"/>
              </w:rPr>
            </m:ctrlPr>
          </m:fPr>
          <m:num>
            <m:r>
              <m:rPr>
                <m:sty m:val="p"/>
              </m:rPr>
              <w:rPr>
                <w:rFonts w:ascii="Cambria Math" w:hAnsi="Cambria Math"/>
              </w:rPr>
              <m:t>W</m:t>
            </m:r>
          </m:num>
          <m:den>
            <m:r>
              <m:rPr>
                <m:sty m:val="p"/>
              </m:rPr>
              <w:rPr>
                <w:rFonts w:ascii="Cambria Math" w:hAnsi="Cambria Math"/>
              </w:rPr>
              <m:t>m/K</m:t>
            </m:r>
          </m:den>
        </m:f>
      </m:oMath>
      <w:r w:rsidRPr="00FC71BE">
        <w:t>. The average density is 4269</w:t>
      </w:r>
      <m:oMath>
        <m:f>
          <m:fPr>
            <m:type m:val="lin"/>
            <m:ctrlPr>
              <w:rPr>
                <w:rFonts w:ascii="Cambria Math" w:hAnsi="Cambria Math"/>
              </w:rPr>
            </m:ctrlPr>
          </m:fPr>
          <m:num>
            <m:r>
              <m:rPr>
                <m:sty m:val="p"/>
              </m:rPr>
              <w:rPr>
                <w:rFonts w:ascii="Cambria Math" w:hAnsi="Cambria Math"/>
              </w:rPr>
              <m:t>kg</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den>
        </m:f>
      </m:oMath>
      <w:r w:rsidRPr="00FC71BE">
        <w:t xml:space="preserve"> and the average specific heat capacity is 1174</w:t>
      </w:r>
      <m:oMath>
        <m:f>
          <m:fPr>
            <m:type m:val="lin"/>
            <m:ctrlPr>
              <w:rPr>
                <w:rFonts w:ascii="Cambria Math" w:hAnsi="Cambria Math" w:cs="Times New Roman"/>
              </w:rPr>
            </m:ctrlPr>
          </m:fPr>
          <m:num>
            <m:r>
              <m:rPr>
                <m:sty m:val="p"/>
              </m:rPr>
              <w:rPr>
                <w:rFonts w:ascii="Cambria Math" w:hAnsi="Cambria Math" w:cs="Times New Roman"/>
              </w:rPr>
              <m:t>J</m:t>
            </m:r>
          </m:num>
          <m:den>
            <m:r>
              <m:rPr>
                <m:sty m:val="p"/>
              </m:rPr>
              <w:rPr>
                <w:rFonts w:ascii="Cambria Math" w:hAnsi="Cambria Math" w:cs="Times New Roman"/>
              </w:rPr>
              <m:t>kg/K</m:t>
            </m:r>
          </m:den>
        </m:f>
      </m:oMath>
      <w:r w:rsidRPr="00FC71BE">
        <w:t>.</w:t>
      </w:r>
    </w:p>
    <w:p w14:paraId="6800DEF6" w14:textId="459D0DB4" w:rsidR="0045562B" w:rsidRPr="00FC71BE" w:rsidRDefault="0045562B" w:rsidP="0045562B">
      <w:pPr>
        <w:pStyle w:val="Tabletitle"/>
        <w:rPr>
          <w:color w:val="auto"/>
        </w:rPr>
      </w:pPr>
      <w:bookmarkStart w:id="217" w:name="_Ref145941045"/>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1</w:t>
      </w:r>
      <w:r w:rsidR="002839C4" w:rsidRPr="00FC71BE">
        <w:rPr>
          <w:color w:val="auto"/>
        </w:rPr>
        <w:fldChar w:fldCharType="end"/>
      </w:r>
      <w:bookmarkEnd w:id="217"/>
      <w:r w:rsidRPr="00FC71BE">
        <w:rPr>
          <w:color w:val="auto"/>
        </w:rPr>
        <w:t xml:space="preserve">  Properties of Machine Solid Components </w:t>
      </w:r>
      <w:r w:rsidRPr="00FC71BE">
        <w:rPr>
          <w:color w:val="auto"/>
        </w:rPr>
        <w:fldChar w:fldCharType="begin"/>
      </w:r>
      <w:r w:rsidR="00BA33ED" w:rsidRPr="00FC71BE">
        <w:rPr>
          <w:color w:val="auto"/>
        </w:rPr>
        <w:instrText xml:space="preserve"> ADDIN EN.CITE &lt;EndNote&gt;&lt;Cite ExcludeAuth="1"&gt;&lt;Author&gt;ANSYS Motor Design Ltd.&lt;/Author&gt;&lt;RecNum&gt;328&lt;/RecNum&gt;&lt;DisplayText&gt;[179]&lt;/DisplayText&gt;&lt;record&gt;&lt;rec-number&gt;328&lt;/rec-number&gt;&lt;foreign-keys&gt;&lt;key app="EN" db-id="p00pasffqrr5wvef0f35etrrr0xzp0wptrtd" timestamp="1695045350" guid="13f574d6-9007-4c78-9b1b-b630920eb7ac"&gt;328&lt;/key&gt;&lt;/foreign-keys&gt;&lt;ref-type name="Online Database"&gt;45&lt;/ref-type&gt;&lt;contributors&gt;&lt;authors&gt;&lt;author&gt;ANSYS Motor Design Ltd.,&lt;/author&gt;&lt;/authors&gt;&lt;/contributors&gt;&lt;titles&gt;&lt;title&gt;, 2022, &amp;quot;ANSYS Motor-CAD material database&amp;quot;, Software built-in database, Wrexham.&lt;/title&gt;&lt;/titles&gt;&lt;dates&gt;&lt;/dates&gt;&lt;pub-location&gt;Software built-in database, Wrexham&lt;/pub-location&gt;&lt;urls&gt;&lt;related-urls&gt;&lt;url&gt;www.motor-design.com&lt;/url&gt;&lt;/related-urls&gt;&lt;/urls&gt;&lt;remote-database-name&gt;ANSYS Motor-CAD material database&lt;/remote-database-name&gt;&lt;remote-database-provider&gt;ANSYS Motor Design Limited&lt;/remote-database-provider&gt;&lt;/record&gt;&lt;/Cite&gt;&lt;/EndNote&gt;</w:instrText>
      </w:r>
      <w:r w:rsidRPr="00FC71BE">
        <w:rPr>
          <w:color w:val="auto"/>
        </w:rPr>
        <w:fldChar w:fldCharType="separate"/>
      </w:r>
      <w:r w:rsidR="00BA33ED" w:rsidRPr="00FC71BE">
        <w:rPr>
          <w:color w:val="auto"/>
        </w:rPr>
        <w:t>[179]</w:t>
      </w:r>
      <w:r w:rsidRPr="00FC71BE">
        <w:rPr>
          <w:color w:val="auto"/>
        </w:rPr>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2"/>
        <w:gridCol w:w="1034"/>
        <w:gridCol w:w="726"/>
        <w:gridCol w:w="1408"/>
        <w:gridCol w:w="953"/>
        <w:gridCol w:w="1513"/>
      </w:tblGrid>
      <w:tr w:rsidR="00FC71BE" w:rsidRPr="00FC71BE" w14:paraId="43325C87" w14:textId="77777777">
        <w:tc>
          <w:tcPr>
            <w:tcW w:w="1879" w:type="pct"/>
            <w:tcBorders>
              <w:top w:val="double" w:sz="4" w:space="0" w:color="auto"/>
            </w:tcBorders>
          </w:tcPr>
          <w:p w14:paraId="04767556" w14:textId="77777777" w:rsidR="0045562B" w:rsidRPr="00FC71BE" w:rsidRDefault="0045562B">
            <w:pPr>
              <w:ind w:firstLine="0"/>
            </w:pPr>
          </w:p>
        </w:tc>
        <w:tc>
          <w:tcPr>
            <w:tcW w:w="573" w:type="pct"/>
            <w:tcBorders>
              <w:top w:val="double" w:sz="4" w:space="0" w:color="auto"/>
            </w:tcBorders>
          </w:tcPr>
          <w:p w14:paraId="4F802248" w14:textId="77777777" w:rsidR="0045562B" w:rsidRPr="00FC71BE" w:rsidRDefault="0045562B">
            <w:pPr>
              <w:ind w:firstLine="0"/>
            </w:pPr>
            <w:r w:rsidRPr="00FC71BE">
              <w:t>Housing</w:t>
            </w:r>
          </w:p>
        </w:tc>
        <w:tc>
          <w:tcPr>
            <w:tcW w:w="402" w:type="pct"/>
            <w:tcBorders>
              <w:top w:val="double" w:sz="4" w:space="0" w:color="auto"/>
            </w:tcBorders>
          </w:tcPr>
          <w:p w14:paraId="01B00D49" w14:textId="77777777" w:rsidR="0045562B" w:rsidRPr="00FC71BE" w:rsidRDefault="0045562B">
            <w:pPr>
              <w:ind w:firstLine="0"/>
            </w:pPr>
            <w:r w:rsidRPr="00FC71BE">
              <w:t>Shaft</w:t>
            </w:r>
          </w:p>
        </w:tc>
        <w:tc>
          <w:tcPr>
            <w:tcW w:w="780" w:type="pct"/>
            <w:tcBorders>
              <w:top w:val="double" w:sz="4" w:space="0" w:color="auto"/>
            </w:tcBorders>
          </w:tcPr>
          <w:p w14:paraId="59FA56ED" w14:textId="77777777" w:rsidR="0045562B" w:rsidRPr="00FC71BE" w:rsidRDefault="0045562B">
            <w:pPr>
              <w:ind w:firstLine="0"/>
            </w:pPr>
            <w:r w:rsidRPr="00FC71BE">
              <w:t>Rotor/Stator</w:t>
            </w:r>
          </w:p>
        </w:tc>
        <w:tc>
          <w:tcPr>
            <w:tcW w:w="528" w:type="pct"/>
            <w:tcBorders>
              <w:top w:val="double" w:sz="4" w:space="0" w:color="auto"/>
            </w:tcBorders>
          </w:tcPr>
          <w:p w14:paraId="73E59EC9" w14:textId="77777777" w:rsidR="0045562B" w:rsidRPr="00FC71BE" w:rsidRDefault="0045562B">
            <w:pPr>
              <w:ind w:firstLine="0"/>
            </w:pPr>
            <w:r w:rsidRPr="00FC71BE">
              <w:t>Magnet</w:t>
            </w:r>
          </w:p>
        </w:tc>
        <w:tc>
          <w:tcPr>
            <w:tcW w:w="839" w:type="pct"/>
            <w:tcBorders>
              <w:top w:val="double" w:sz="4" w:space="0" w:color="auto"/>
            </w:tcBorders>
          </w:tcPr>
          <w:p w14:paraId="4B0969F3" w14:textId="77777777" w:rsidR="0045562B" w:rsidRPr="00FC71BE" w:rsidRDefault="0045562B">
            <w:pPr>
              <w:ind w:firstLine="0"/>
            </w:pPr>
            <w:r w:rsidRPr="00FC71BE">
              <w:t>Impregnation</w:t>
            </w:r>
          </w:p>
        </w:tc>
      </w:tr>
      <w:tr w:rsidR="00FC71BE" w:rsidRPr="00FC71BE" w14:paraId="1026BB5C" w14:textId="77777777">
        <w:tc>
          <w:tcPr>
            <w:tcW w:w="1879" w:type="pct"/>
            <w:vAlign w:val="center"/>
          </w:tcPr>
          <w:p w14:paraId="7E148B4B" w14:textId="77777777" w:rsidR="0045562B" w:rsidRPr="00FC71BE" w:rsidRDefault="0045562B">
            <w:pPr>
              <w:ind w:firstLine="0"/>
            </w:pPr>
            <w:r w:rsidRPr="00FC71BE">
              <w:t>Density (</w:t>
            </w:r>
            <m:oMath>
              <m:f>
                <m:fPr>
                  <m:type m:val="lin"/>
                  <m:ctrlPr>
                    <w:rPr>
                      <w:rFonts w:ascii="Cambria Math" w:hAnsi="Cambria Math"/>
                    </w:rPr>
                  </m:ctrlPr>
                </m:fPr>
                <m:num>
                  <m:r>
                    <m:rPr>
                      <m:sty m:val="p"/>
                    </m:rPr>
                    <w:rPr>
                      <w:rFonts w:ascii="Cambria Math" w:hAnsi="Cambria Math"/>
                    </w:rPr>
                    <m:t>kg</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den>
              </m:f>
            </m:oMath>
            <w:r w:rsidRPr="00FC71BE">
              <w:t>)</w:t>
            </w:r>
          </w:p>
        </w:tc>
        <w:tc>
          <w:tcPr>
            <w:tcW w:w="573" w:type="pct"/>
          </w:tcPr>
          <w:p w14:paraId="7530BDCB" w14:textId="77777777" w:rsidR="0045562B" w:rsidRPr="00FC71BE" w:rsidRDefault="0045562B">
            <w:pPr>
              <w:ind w:firstLine="0"/>
            </w:pPr>
            <w:r w:rsidRPr="00FC71BE">
              <w:t>2790</w:t>
            </w:r>
          </w:p>
        </w:tc>
        <w:tc>
          <w:tcPr>
            <w:tcW w:w="402" w:type="pct"/>
          </w:tcPr>
          <w:p w14:paraId="69EE1732" w14:textId="77777777" w:rsidR="0045562B" w:rsidRPr="00FC71BE" w:rsidRDefault="0045562B">
            <w:pPr>
              <w:ind w:firstLine="0"/>
            </w:pPr>
            <w:r w:rsidRPr="00FC71BE">
              <w:t>7800</w:t>
            </w:r>
          </w:p>
        </w:tc>
        <w:tc>
          <w:tcPr>
            <w:tcW w:w="780" w:type="pct"/>
          </w:tcPr>
          <w:p w14:paraId="6DFCBC24" w14:textId="77777777" w:rsidR="0045562B" w:rsidRPr="00FC71BE" w:rsidRDefault="0045562B">
            <w:pPr>
              <w:ind w:firstLine="0"/>
            </w:pPr>
            <w:r w:rsidRPr="00FC71BE">
              <w:t>7650</w:t>
            </w:r>
          </w:p>
        </w:tc>
        <w:tc>
          <w:tcPr>
            <w:tcW w:w="528" w:type="pct"/>
          </w:tcPr>
          <w:p w14:paraId="13CAAF43" w14:textId="77777777" w:rsidR="0045562B" w:rsidRPr="00FC71BE" w:rsidRDefault="0045562B">
            <w:pPr>
              <w:ind w:firstLine="0"/>
            </w:pPr>
            <w:r w:rsidRPr="00FC71BE">
              <w:t>7500</w:t>
            </w:r>
          </w:p>
        </w:tc>
        <w:tc>
          <w:tcPr>
            <w:tcW w:w="839" w:type="pct"/>
          </w:tcPr>
          <w:p w14:paraId="61B24C51" w14:textId="77777777" w:rsidR="0045562B" w:rsidRPr="00FC71BE" w:rsidRDefault="0045562B">
            <w:pPr>
              <w:ind w:firstLine="0"/>
            </w:pPr>
            <w:r w:rsidRPr="00FC71BE">
              <w:t>1160</w:t>
            </w:r>
          </w:p>
        </w:tc>
      </w:tr>
      <w:tr w:rsidR="00FC71BE" w:rsidRPr="00FC71BE" w14:paraId="05431400" w14:textId="77777777">
        <w:tc>
          <w:tcPr>
            <w:tcW w:w="1879" w:type="pct"/>
            <w:vAlign w:val="center"/>
          </w:tcPr>
          <w:p w14:paraId="38EE7C88" w14:textId="77777777" w:rsidR="0045562B" w:rsidRPr="00FC71BE" w:rsidRDefault="0045562B">
            <w:pPr>
              <w:ind w:firstLine="0"/>
            </w:pPr>
            <w:r w:rsidRPr="00FC71BE">
              <w:t>Thermal conductivity (</w:t>
            </w:r>
            <m:oMath>
              <m:f>
                <m:fPr>
                  <m:type m:val="lin"/>
                  <m:ctrlPr>
                    <w:rPr>
                      <w:rFonts w:ascii="Cambria Math" w:hAnsi="Cambria Math"/>
                    </w:rPr>
                  </m:ctrlPr>
                </m:fPr>
                <m:num>
                  <m:r>
                    <m:rPr>
                      <m:sty m:val="p"/>
                    </m:rPr>
                    <w:rPr>
                      <w:rFonts w:ascii="Cambria Math" w:hAnsi="Cambria Math"/>
                    </w:rPr>
                    <m:t>W</m:t>
                  </m:r>
                </m:num>
                <m:den>
                  <m:r>
                    <m:rPr>
                      <m:sty m:val="p"/>
                    </m:rPr>
                    <w:rPr>
                      <w:rFonts w:ascii="Cambria Math" w:hAnsi="Cambria Math"/>
                    </w:rPr>
                    <m:t>m/K</m:t>
                  </m:r>
                </m:den>
              </m:f>
            </m:oMath>
            <w:r w:rsidRPr="00FC71BE">
              <w:t>)</w:t>
            </w:r>
          </w:p>
        </w:tc>
        <w:tc>
          <w:tcPr>
            <w:tcW w:w="573" w:type="pct"/>
          </w:tcPr>
          <w:p w14:paraId="302C4B84" w14:textId="77777777" w:rsidR="0045562B" w:rsidRPr="00FC71BE" w:rsidRDefault="0045562B">
            <w:pPr>
              <w:ind w:firstLine="0"/>
            </w:pPr>
            <w:r w:rsidRPr="00FC71BE">
              <w:t>168</w:t>
            </w:r>
          </w:p>
        </w:tc>
        <w:tc>
          <w:tcPr>
            <w:tcW w:w="402" w:type="pct"/>
          </w:tcPr>
          <w:p w14:paraId="2E59E630" w14:textId="77777777" w:rsidR="0045562B" w:rsidRPr="00FC71BE" w:rsidRDefault="0045562B">
            <w:pPr>
              <w:ind w:firstLine="0"/>
            </w:pPr>
            <w:r w:rsidRPr="00FC71BE">
              <w:t>52</w:t>
            </w:r>
          </w:p>
        </w:tc>
        <w:tc>
          <w:tcPr>
            <w:tcW w:w="780" w:type="pct"/>
          </w:tcPr>
          <w:p w14:paraId="49E0941B" w14:textId="77777777" w:rsidR="0045562B" w:rsidRPr="00FC71BE" w:rsidRDefault="0045562B">
            <w:pPr>
              <w:ind w:firstLine="0"/>
            </w:pPr>
            <w:r w:rsidRPr="00FC71BE">
              <w:t>30</w:t>
            </w:r>
          </w:p>
        </w:tc>
        <w:tc>
          <w:tcPr>
            <w:tcW w:w="528" w:type="pct"/>
          </w:tcPr>
          <w:p w14:paraId="479EB363" w14:textId="77777777" w:rsidR="0045562B" w:rsidRPr="00FC71BE" w:rsidRDefault="0045562B">
            <w:pPr>
              <w:ind w:firstLine="0"/>
            </w:pPr>
            <w:r w:rsidRPr="00FC71BE">
              <w:t>7.6</w:t>
            </w:r>
          </w:p>
        </w:tc>
        <w:tc>
          <w:tcPr>
            <w:tcW w:w="839" w:type="pct"/>
          </w:tcPr>
          <w:p w14:paraId="2E54C62A" w14:textId="77777777" w:rsidR="0045562B" w:rsidRPr="00FC71BE" w:rsidRDefault="0045562B">
            <w:pPr>
              <w:ind w:firstLine="0"/>
            </w:pPr>
            <w:r w:rsidRPr="00FC71BE">
              <w:t>0.28</w:t>
            </w:r>
          </w:p>
        </w:tc>
      </w:tr>
      <w:tr w:rsidR="00FC71BE" w:rsidRPr="00FC71BE" w14:paraId="143547C7" w14:textId="77777777">
        <w:tc>
          <w:tcPr>
            <w:tcW w:w="1879" w:type="pct"/>
            <w:tcBorders>
              <w:bottom w:val="double" w:sz="4" w:space="0" w:color="auto"/>
            </w:tcBorders>
          </w:tcPr>
          <w:p w14:paraId="7962F633" w14:textId="77777777" w:rsidR="0045562B" w:rsidRPr="00FC71BE" w:rsidRDefault="0045562B">
            <w:pPr>
              <w:ind w:firstLine="0"/>
            </w:pPr>
            <w:r w:rsidRPr="00FC71BE">
              <w:t>Specific heat capacity (</w:t>
            </w:r>
            <m:oMath>
              <m:f>
                <m:fPr>
                  <m:type m:val="lin"/>
                  <m:ctrlPr>
                    <w:rPr>
                      <w:rFonts w:ascii="Cambria Math" w:hAnsi="Cambria Math" w:cs="Times New Roman"/>
                    </w:rPr>
                  </m:ctrlPr>
                </m:fPr>
                <m:num>
                  <m:r>
                    <m:rPr>
                      <m:sty m:val="p"/>
                    </m:rPr>
                    <w:rPr>
                      <w:rFonts w:ascii="Cambria Math" w:hAnsi="Cambria Math" w:cs="Times New Roman"/>
                    </w:rPr>
                    <m:t>J</m:t>
                  </m:r>
                </m:num>
                <m:den>
                  <m:r>
                    <m:rPr>
                      <m:sty m:val="p"/>
                    </m:rPr>
                    <w:rPr>
                      <w:rFonts w:ascii="Cambria Math" w:hAnsi="Cambria Math" w:cs="Times New Roman"/>
                    </w:rPr>
                    <m:t>kg/K</m:t>
                  </m:r>
                </m:den>
              </m:f>
            </m:oMath>
            <w:r w:rsidRPr="00FC71BE">
              <w:t>)</w:t>
            </w:r>
          </w:p>
        </w:tc>
        <w:tc>
          <w:tcPr>
            <w:tcW w:w="573" w:type="pct"/>
            <w:tcBorders>
              <w:bottom w:val="double" w:sz="4" w:space="0" w:color="auto"/>
            </w:tcBorders>
          </w:tcPr>
          <w:p w14:paraId="648BF730" w14:textId="77777777" w:rsidR="0045562B" w:rsidRPr="00FC71BE" w:rsidRDefault="0045562B">
            <w:pPr>
              <w:ind w:firstLine="0"/>
            </w:pPr>
            <w:r w:rsidRPr="00FC71BE">
              <w:t>833</w:t>
            </w:r>
          </w:p>
        </w:tc>
        <w:tc>
          <w:tcPr>
            <w:tcW w:w="402" w:type="pct"/>
            <w:tcBorders>
              <w:bottom w:val="double" w:sz="4" w:space="0" w:color="auto"/>
            </w:tcBorders>
          </w:tcPr>
          <w:p w14:paraId="6896E598" w14:textId="77777777" w:rsidR="0045562B" w:rsidRPr="00FC71BE" w:rsidRDefault="0045562B">
            <w:pPr>
              <w:ind w:firstLine="0"/>
            </w:pPr>
            <w:r w:rsidRPr="00FC71BE">
              <w:t>460</w:t>
            </w:r>
          </w:p>
        </w:tc>
        <w:tc>
          <w:tcPr>
            <w:tcW w:w="780" w:type="pct"/>
            <w:tcBorders>
              <w:bottom w:val="double" w:sz="4" w:space="0" w:color="auto"/>
            </w:tcBorders>
          </w:tcPr>
          <w:p w14:paraId="7FF2ED67" w14:textId="77777777" w:rsidR="0045562B" w:rsidRPr="00FC71BE" w:rsidRDefault="0045562B">
            <w:pPr>
              <w:ind w:firstLine="0"/>
            </w:pPr>
            <w:r w:rsidRPr="00FC71BE">
              <w:t>460</w:t>
            </w:r>
          </w:p>
        </w:tc>
        <w:tc>
          <w:tcPr>
            <w:tcW w:w="528" w:type="pct"/>
            <w:tcBorders>
              <w:bottom w:val="double" w:sz="4" w:space="0" w:color="auto"/>
            </w:tcBorders>
          </w:tcPr>
          <w:p w14:paraId="258A8BEB" w14:textId="77777777" w:rsidR="0045562B" w:rsidRPr="00FC71BE" w:rsidRDefault="0045562B">
            <w:pPr>
              <w:ind w:firstLine="0"/>
            </w:pPr>
            <w:r w:rsidRPr="00FC71BE">
              <w:t>7500</w:t>
            </w:r>
          </w:p>
        </w:tc>
        <w:tc>
          <w:tcPr>
            <w:tcW w:w="839" w:type="pct"/>
            <w:tcBorders>
              <w:bottom w:val="double" w:sz="4" w:space="0" w:color="auto"/>
            </w:tcBorders>
          </w:tcPr>
          <w:p w14:paraId="4F2687D1" w14:textId="77777777" w:rsidR="0045562B" w:rsidRPr="00FC71BE" w:rsidRDefault="0045562B">
            <w:pPr>
              <w:ind w:firstLine="0"/>
            </w:pPr>
            <w:r w:rsidRPr="00FC71BE">
              <w:t>1700</w:t>
            </w:r>
          </w:p>
        </w:tc>
      </w:tr>
    </w:tbl>
    <w:p w14:paraId="5B0F5184" w14:textId="29E2FA18" w:rsidR="0045562B" w:rsidRPr="00FC71BE" w:rsidRDefault="0045562B" w:rsidP="0045562B">
      <w:pPr>
        <w:pStyle w:val="Tabletitle"/>
        <w:rPr>
          <w:color w:val="auto"/>
        </w:rPr>
      </w:pPr>
      <w:bookmarkStart w:id="218" w:name="_Ref145957105"/>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bookmarkEnd w:id="218"/>
      <w:r w:rsidRPr="00FC71BE">
        <w:rPr>
          <w:color w:val="auto"/>
        </w:rPr>
        <w:t xml:space="preserve">  Properties of the Coolant</w:t>
      </w:r>
    </w:p>
    <w:tbl>
      <w:tblPr>
        <w:tblStyle w:val="TableGrid1"/>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4825"/>
        <w:gridCol w:w="4201"/>
      </w:tblGrid>
      <w:tr w:rsidR="00FC71BE" w:rsidRPr="00FC71BE" w14:paraId="03EDD98E" w14:textId="77777777">
        <w:tc>
          <w:tcPr>
            <w:tcW w:w="2673" w:type="pct"/>
            <w:vAlign w:val="center"/>
          </w:tcPr>
          <w:p w14:paraId="75B725F1" w14:textId="77777777" w:rsidR="0045562B" w:rsidRPr="00FC71BE" w:rsidRDefault="0045562B" w:rsidP="0063293D">
            <w:pPr>
              <w:pStyle w:val="Table"/>
              <w:rPr>
                <w:color w:val="auto"/>
              </w:rPr>
            </w:pPr>
            <w:r w:rsidRPr="00FC71BE">
              <w:rPr>
                <w:color w:val="auto"/>
              </w:rPr>
              <w:t>Density (</w:t>
            </w:r>
            <m:oMath>
              <m:f>
                <m:fPr>
                  <m:type m:val="lin"/>
                  <m:ctrlPr>
                    <w:rPr>
                      <w:rFonts w:ascii="Cambria Math" w:hAnsi="Cambria Math"/>
                      <w:color w:val="auto"/>
                      <w:lang w:eastAsia="zh-CN"/>
                    </w:rPr>
                  </m:ctrlPr>
                </m:fPr>
                <m:num>
                  <m:r>
                    <m:rPr>
                      <m:sty m:val="p"/>
                    </m:rPr>
                    <w:rPr>
                      <w:rFonts w:ascii="Cambria Math" w:hAnsi="Cambria Math"/>
                      <w:color w:val="auto"/>
                      <w:lang w:eastAsia="zh-CN"/>
                    </w:rPr>
                    <m:t>kg</m:t>
                  </m:r>
                </m:num>
                <m:den>
                  <m:sSup>
                    <m:sSupPr>
                      <m:ctrlPr>
                        <w:rPr>
                          <w:rFonts w:ascii="Cambria Math" w:hAnsi="Cambria Math"/>
                          <w:color w:val="auto"/>
                          <w:lang w:eastAsia="zh-CN"/>
                        </w:rPr>
                      </m:ctrlPr>
                    </m:sSupPr>
                    <m:e>
                      <m:r>
                        <m:rPr>
                          <m:sty m:val="p"/>
                        </m:rPr>
                        <w:rPr>
                          <w:rFonts w:ascii="Cambria Math" w:hAnsi="Cambria Math"/>
                          <w:color w:val="auto"/>
                          <w:lang w:eastAsia="zh-CN"/>
                        </w:rPr>
                        <m:t>m</m:t>
                      </m:r>
                    </m:e>
                    <m:sup>
                      <m:r>
                        <m:rPr>
                          <m:sty m:val="p"/>
                        </m:rPr>
                        <w:rPr>
                          <w:rFonts w:ascii="Cambria Math" w:hAnsi="Cambria Math"/>
                          <w:color w:val="auto"/>
                          <w:lang w:eastAsia="zh-CN"/>
                        </w:rPr>
                        <m:t>3</m:t>
                      </m:r>
                    </m:sup>
                  </m:sSup>
                </m:den>
              </m:f>
            </m:oMath>
            <w:r w:rsidRPr="00FC71BE">
              <w:rPr>
                <w:color w:val="auto"/>
              </w:rPr>
              <w:t>)</w:t>
            </w:r>
          </w:p>
        </w:tc>
        <w:tc>
          <w:tcPr>
            <w:tcW w:w="2327" w:type="pct"/>
            <w:vAlign w:val="center"/>
          </w:tcPr>
          <w:p w14:paraId="0E378B76" w14:textId="77777777" w:rsidR="0045562B" w:rsidRPr="00FC71BE" w:rsidRDefault="0045562B" w:rsidP="0063293D">
            <w:pPr>
              <w:pStyle w:val="Table"/>
              <w:rPr>
                <w:color w:val="auto"/>
              </w:rPr>
            </w:pPr>
            <w:r w:rsidRPr="00FC71BE">
              <w:rPr>
                <w:color w:val="auto"/>
              </w:rPr>
              <w:t>879</w:t>
            </w:r>
          </w:p>
        </w:tc>
      </w:tr>
      <w:tr w:rsidR="00FC71BE" w:rsidRPr="00FC71BE" w14:paraId="4666CD3B" w14:textId="77777777">
        <w:tc>
          <w:tcPr>
            <w:tcW w:w="2673" w:type="pct"/>
            <w:vAlign w:val="center"/>
          </w:tcPr>
          <w:p w14:paraId="56BFCC17" w14:textId="77777777" w:rsidR="0045562B" w:rsidRPr="00FC71BE" w:rsidRDefault="0045562B" w:rsidP="0063293D">
            <w:pPr>
              <w:pStyle w:val="Table"/>
              <w:rPr>
                <w:color w:val="auto"/>
              </w:rPr>
            </w:pPr>
            <w:r w:rsidRPr="00FC71BE">
              <w:rPr>
                <w:color w:val="auto"/>
              </w:rPr>
              <w:t>Thermal conductivity (</w:t>
            </w:r>
            <m:oMath>
              <m:f>
                <m:fPr>
                  <m:type m:val="lin"/>
                  <m:ctrlPr>
                    <w:rPr>
                      <w:rFonts w:ascii="Cambria Math" w:hAnsi="Cambria Math"/>
                      <w:color w:val="auto"/>
                      <w:lang w:eastAsia="zh-CN"/>
                    </w:rPr>
                  </m:ctrlPr>
                </m:fPr>
                <m:num>
                  <m:r>
                    <m:rPr>
                      <m:sty m:val="p"/>
                    </m:rPr>
                    <w:rPr>
                      <w:rFonts w:ascii="Cambria Math" w:hAnsi="Cambria Math"/>
                      <w:color w:val="auto"/>
                      <w:lang w:eastAsia="zh-CN"/>
                    </w:rPr>
                    <m:t>W</m:t>
                  </m:r>
                </m:num>
                <m:den>
                  <m:r>
                    <m:rPr>
                      <m:sty m:val="p"/>
                    </m:rPr>
                    <w:rPr>
                      <w:rFonts w:ascii="Cambria Math" w:hAnsi="Cambria Math"/>
                      <w:color w:val="auto"/>
                      <w:lang w:eastAsia="zh-CN"/>
                    </w:rPr>
                    <m:t>m∙K</m:t>
                  </m:r>
                </m:den>
              </m:f>
            </m:oMath>
            <w:r w:rsidRPr="00FC71BE">
              <w:rPr>
                <w:color w:val="auto"/>
              </w:rPr>
              <w:t>)</w:t>
            </w:r>
          </w:p>
        </w:tc>
        <w:tc>
          <w:tcPr>
            <w:tcW w:w="2327" w:type="pct"/>
            <w:vAlign w:val="center"/>
          </w:tcPr>
          <w:p w14:paraId="17056E57" w14:textId="77777777" w:rsidR="0045562B" w:rsidRPr="00FC71BE" w:rsidRDefault="0045562B" w:rsidP="0063293D">
            <w:pPr>
              <w:pStyle w:val="Table"/>
              <w:rPr>
                <w:color w:val="auto"/>
              </w:rPr>
            </w:pPr>
            <w:r w:rsidRPr="00FC71BE">
              <w:rPr>
                <w:color w:val="auto"/>
              </w:rPr>
              <w:t>0.1731</w:t>
            </w:r>
          </w:p>
        </w:tc>
      </w:tr>
      <w:tr w:rsidR="00FC71BE" w:rsidRPr="00FC71BE" w14:paraId="076F79EE" w14:textId="77777777">
        <w:tc>
          <w:tcPr>
            <w:tcW w:w="2673" w:type="pct"/>
            <w:tcBorders>
              <w:bottom w:val="nil"/>
            </w:tcBorders>
            <w:vAlign w:val="center"/>
          </w:tcPr>
          <w:p w14:paraId="70DC312A" w14:textId="77777777" w:rsidR="0045562B" w:rsidRPr="00FC71BE" w:rsidRDefault="0045562B" w:rsidP="0063293D">
            <w:pPr>
              <w:pStyle w:val="Table"/>
              <w:rPr>
                <w:color w:val="auto"/>
              </w:rPr>
            </w:pPr>
            <w:r w:rsidRPr="00FC71BE">
              <w:rPr>
                <w:color w:val="auto"/>
              </w:rPr>
              <w:t>Dynamic viscosity (</w:t>
            </w:r>
            <m:oMath>
              <m:r>
                <m:rPr>
                  <m:sty m:val="p"/>
                </m:rPr>
                <w:rPr>
                  <w:rFonts w:ascii="Cambria Math" w:hAnsi="Cambria Math"/>
                  <w:color w:val="auto"/>
                  <w:lang w:eastAsia="zh-CN"/>
                </w:rPr>
                <m:t>Pa∙s</m:t>
              </m:r>
            </m:oMath>
            <w:r w:rsidRPr="00FC71BE">
              <w:rPr>
                <w:color w:val="auto"/>
              </w:rPr>
              <w:t>)</w:t>
            </w:r>
          </w:p>
        </w:tc>
        <w:tc>
          <w:tcPr>
            <w:tcW w:w="2327" w:type="pct"/>
            <w:tcBorders>
              <w:bottom w:val="nil"/>
            </w:tcBorders>
            <w:vAlign w:val="center"/>
          </w:tcPr>
          <w:p w14:paraId="4A570534" w14:textId="77777777" w:rsidR="0045562B" w:rsidRPr="00FC71BE" w:rsidRDefault="0045562B" w:rsidP="0063293D">
            <w:pPr>
              <w:pStyle w:val="Table"/>
              <w:rPr>
                <w:color w:val="auto"/>
              </w:rPr>
            </w:pPr>
            <w:r w:rsidRPr="00FC71BE">
              <w:rPr>
                <w:color w:val="auto"/>
              </w:rPr>
              <w:t>0.046</w:t>
            </w:r>
          </w:p>
        </w:tc>
      </w:tr>
      <w:tr w:rsidR="005E3DFE" w:rsidRPr="00FC71BE" w14:paraId="15272B9C" w14:textId="77777777">
        <w:tc>
          <w:tcPr>
            <w:tcW w:w="2673" w:type="pct"/>
            <w:tcBorders>
              <w:top w:val="nil"/>
              <w:bottom w:val="double" w:sz="4" w:space="0" w:color="auto"/>
            </w:tcBorders>
            <w:vAlign w:val="center"/>
          </w:tcPr>
          <w:p w14:paraId="5AA5515D" w14:textId="77777777" w:rsidR="0045562B" w:rsidRPr="00FC71BE" w:rsidRDefault="0045562B" w:rsidP="0063293D">
            <w:pPr>
              <w:pStyle w:val="Table"/>
              <w:rPr>
                <w:color w:val="auto"/>
              </w:rPr>
            </w:pPr>
            <w:r w:rsidRPr="00FC71BE">
              <w:rPr>
                <w:color w:val="auto"/>
                <w:lang w:eastAsia="zh-CN"/>
              </w:rPr>
              <w:t>Specific heat capacity (</w:t>
            </w:r>
            <m:oMath>
              <m:f>
                <m:fPr>
                  <m:type m:val="lin"/>
                  <m:ctrlPr>
                    <w:rPr>
                      <w:rFonts w:ascii="Cambria Math" w:hAnsi="Cambria Math" w:cs="Times New Roman"/>
                      <w:color w:val="auto"/>
                      <w:lang w:eastAsia="zh-CN"/>
                    </w:rPr>
                  </m:ctrlPr>
                </m:fPr>
                <m:num>
                  <m:r>
                    <m:rPr>
                      <m:sty m:val="p"/>
                    </m:rPr>
                    <w:rPr>
                      <w:rFonts w:ascii="Cambria Math" w:hAnsi="Cambria Math" w:cs="Times New Roman"/>
                      <w:color w:val="auto"/>
                      <w:lang w:eastAsia="zh-CN"/>
                    </w:rPr>
                    <m:t>J</m:t>
                  </m:r>
                </m:num>
                <m:den>
                  <m:r>
                    <m:rPr>
                      <m:sty m:val="p"/>
                    </m:rPr>
                    <w:rPr>
                      <w:rFonts w:ascii="Cambria Math" w:hAnsi="Cambria Math" w:cs="Times New Roman"/>
                      <w:color w:val="auto"/>
                      <w:lang w:eastAsia="zh-CN"/>
                    </w:rPr>
                    <m:t>kg/K</m:t>
                  </m:r>
                </m:den>
              </m:f>
            </m:oMath>
            <w:r w:rsidRPr="00FC71BE">
              <w:rPr>
                <w:color w:val="auto"/>
                <w:lang w:eastAsia="zh-CN"/>
              </w:rPr>
              <w:t>)</w:t>
            </w:r>
          </w:p>
        </w:tc>
        <w:tc>
          <w:tcPr>
            <w:tcW w:w="2327" w:type="pct"/>
            <w:tcBorders>
              <w:top w:val="nil"/>
              <w:bottom w:val="double" w:sz="4" w:space="0" w:color="auto"/>
            </w:tcBorders>
            <w:vAlign w:val="center"/>
          </w:tcPr>
          <w:p w14:paraId="132F3594" w14:textId="77777777" w:rsidR="0045562B" w:rsidRPr="00FC71BE" w:rsidRDefault="0045562B" w:rsidP="0063293D">
            <w:pPr>
              <w:pStyle w:val="Table"/>
              <w:rPr>
                <w:color w:val="auto"/>
              </w:rPr>
            </w:pPr>
            <w:r w:rsidRPr="00FC71BE">
              <w:rPr>
                <w:color w:val="auto"/>
                <w:lang w:eastAsia="zh-CN"/>
              </w:rPr>
              <w:t>1.685</w:t>
            </w:r>
            <m:oMath>
              <m:r>
                <m:rPr>
                  <m:sty m:val="p"/>
                </m:rPr>
                <w:rPr>
                  <w:rFonts w:ascii="Cambria Math" w:hAnsi="Cambria Math" w:cs="Times New Roman"/>
                  <w:color w:val="auto"/>
                  <w:lang w:eastAsia="zh-CN"/>
                </w:rPr>
                <m:t>×</m:t>
              </m:r>
              <m:sSup>
                <m:sSupPr>
                  <m:ctrlPr>
                    <w:rPr>
                      <w:rFonts w:ascii="Cambria Math" w:hAnsi="Cambria Math" w:cs="Times New Roman"/>
                      <w:color w:val="auto"/>
                      <w:lang w:eastAsia="zh-CN"/>
                    </w:rPr>
                  </m:ctrlPr>
                </m:sSupPr>
                <m:e>
                  <m:r>
                    <m:rPr>
                      <m:sty m:val="p"/>
                    </m:rPr>
                    <w:rPr>
                      <w:rFonts w:ascii="Cambria Math" w:hAnsi="Cambria Math" w:cs="Times New Roman"/>
                      <w:color w:val="auto"/>
                      <w:lang w:eastAsia="zh-CN"/>
                    </w:rPr>
                    <m:t>10</m:t>
                  </m:r>
                </m:e>
                <m:sup>
                  <m:r>
                    <m:rPr>
                      <m:sty m:val="p"/>
                    </m:rPr>
                    <w:rPr>
                      <w:rFonts w:ascii="Cambria Math" w:hAnsi="Cambria Math" w:cs="Times New Roman"/>
                      <w:color w:val="auto"/>
                      <w:lang w:eastAsia="zh-CN"/>
                    </w:rPr>
                    <m:t>3</m:t>
                  </m:r>
                </m:sup>
              </m:sSup>
            </m:oMath>
          </w:p>
        </w:tc>
      </w:tr>
    </w:tbl>
    <w:p w14:paraId="1AC0C608" w14:textId="77777777" w:rsidR="0045562B" w:rsidRPr="00FC71BE" w:rsidRDefault="0045562B" w:rsidP="0045562B"/>
    <w:p w14:paraId="7079E9E2" w14:textId="77777777" w:rsidR="0045562B" w:rsidRPr="00FC71BE" w:rsidRDefault="0045562B" w:rsidP="00B86C68">
      <w:pPr>
        <w:pStyle w:val="Heading3"/>
        <w:numPr>
          <w:ilvl w:val="2"/>
          <w:numId w:val="49"/>
        </w:numPr>
      </w:pPr>
      <w:bookmarkStart w:id="219" w:name="_Toc157695369"/>
      <w:r w:rsidRPr="00FC71BE">
        <w:t>CFD Results for the Modular Machine</w:t>
      </w:r>
      <w:bookmarkEnd w:id="219"/>
    </w:p>
    <w:p w14:paraId="100E8029" w14:textId="06CAAFB3" w:rsidR="0045562B" w:rsidRPr="00FC71BE" w:rsidRDefault="0045562B" w:rsidP="0045562B">
      <w:r w:rsidRPr="00FC71BE">
        <w:t xml:space="preserve">Based on the conditions and assumptions detailed in previous sections, a CFD model for the modular SPM machine with semi-flooded oil cooling system has been established. It is worth noting that, the convection coefficient at outer surface of the housing, endcaps and shaft are identified as 8 </w:t>
      </w:r>
      <m:oMath>
        <m:r>
          <m:rPr>
            <m:sty m:val="p"/>
          </m:rPr>
          <w:rPr>
            <w:rFonts w:ascii="Cambria Math" w:hAnsi="Cambria Math"/>
          </w:rPr>
          <m:t>W/</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/K</m:t>
        </m:r>
      </m:oMath>
      <w:r w:rsidRPr="00FC71BE">
        <w:rPr>
          <w:iCs/>
        </w:rPr>
        <w:t xml:space="preserve">, while the reference </w:t>
      </w:r>
      <w:r w:rsidRPr="00FC71BE">
        <w:t>temperature</w:t>
      </w:r>
      <w:r w:rsidRPr="00FC71BE">
        <w:rPr>
          <w:iCs/>
        </w:rPr>
        <w:t xml:space="preserve"> for those surfaces is </w:t>
      </w:r>
      <w:r w:rsidRPr="00FC71BE">
        <w:t>20</w:t>
      </w:r>
      <m:oMath>
        <m:r>
          <w:rPr>
            <w:rFonts w:ascii="Cambria Math" w:hAnsi="Cambria Math"/>
          </w:rPr>
          <m:t>℃</m:t>
        </m:r>
      </m:oMath>
      <w:r w:rsidRPr="00FC71BE">
        <w:t>. A constant pressure loss between the inlet and outlet is 1000Pa and the inlet coolant temperature is 65</w:t>
      </w:r>
      <m:oMath>
        <m:r>
          <w:rPr>
            <w:rFonts w:ascii="Cambria Math" w:hAnsi="Cambria Math"/>
          </w:rPr>
          <m:t>℃</m:t>
        </m:r>
      </m:oMath>
      <w:r w:rsidRPr="00FC71BE">
        <w:t>, which is similar to the mainstream coolant temperature used in electrical vehicles (EV). A smooth and no-slip wall is identified for the whole machine surface.</w:t>
      </w:r>
    </w:p>
    <w:p w14:paraId="17575E84" w14:textId="6FCA5E34" w:rsidR="0045562B" w:rsidRPr="00FC71BE" w:rsidRDefault="0045562B" w:rsidP="0045562B">
      <w:r w:rsidRPr="00FC71BE">
        <w:t xml:space="preserve">The coolant velocity distribution and temperature distribution are shown in </w:t>
      </w:r>
      <w:r w:rsidRPr="00FC71BE">
        <w:fldChar w:fldCharType="begin"/>
      </w:r>
      <w:r w:rsidRPr="00FC71BE">
        <w:instrText xml:space="preserve"> REF _Ref145957406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6</w:t>
      </w:r>
      <w:r w:rsidRPr="00FC71BE">
        <w:fldChar w:fldCharType="end"/>
      </w:r>
      <w:r w:rsidRPr="00FC71BE">
        <w:t xml:space="preserve"> and </w:t>
      </w:r>
      <w:r w:rsidRPr="00FC71BE">
        <w:fldChar w:fldCharType="begin"/>
      </w:r>
      <w:r w:rsidRPr="00FC71BE">
        <w:instrText xml:space="preserve"> REF _Ref145957408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7</w:t>
      </w:r>
      <w:r w:rsidRPr="00FC71BE">
        <w:fldChar w:fldCharType="end"/>
      </w:r>
      <w:r w:rsidRPr="00FC71BE">
        <w:t>. Due to its circumferential symmetry, one-fourth (90</w:t>
      </w:r>
      <m:oMath>
        <m:r>
          <w:rPr>
            <w:rFonts w:ascii="Cambria Math" w:hAnsi="Cambria Math"/>
          </w:rPr>
          <m:t>°</m:t>
        </m:r>
      </m:oMath>
      <w:r w:rsidRPr="00FC71BE">
        <w:t xml:space="preserve">) segment is used to show the flow and thermal profiles. The fluid friction and flow condition change (expansions, contractions, and bends) inside the machine result in variation of coolant flow velocity in different machine regions. The coolant velocity in the endspace inlet and outlet regions (see </w:t>
      </w:r>
      <w:r w:rsidRPr="00FC71BE">
        <w:fldChar w:fldCharType="begin"/>
      </w:r>
      <w:r w:rsidRPr="00FC71BE">
        <w:instrText xml:space="preserve"> REF _Ref145938458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5</w:t>
      </w:r>
      <w:r w:rsidRPr="00FC71BE">
        <w:fldChar w:fldCharType="end"/>
      </w:r>
      <w:r w:rsidRPr="00FC71BE" w:rsidDel="005B7D90">
        <w:t xml:space="preserve">) </w:t>
      </w:r>
      <w:r w:rsidRPr="00FC71BE">
        <w:t>is low</w:t>
      </w:r>
      <w:r w:rsidRPr="00FC71BE" w:rsidDel="00152691">
        <w:t>,</w:t>
      </w:r>
      <w:r w:rsidRPr="00FC71BE">
        <w:t xml:space="preserve"> but higher velocity can be observed in flux gaps region, as shown in </w:t>
      </w:r>
      <w:r w:rsidRPr="00FC71BE">
        <w:fldChar w:fldCharType="begin"/>
      </w:r>
      <w:r w:rsidRPr="00FC71BE">
        <w:instrText xml:space="preserve"> REF _Ref145957406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6</w:t>
      </w:r>
      <w:r w:rsidRPr="00FC71BE">
        <w:fldChar w:fldCharType="end"/>
      </w:r>
      <w:r w:rsidRPr="00FC71BE">
        <w:t>. The heat generated by the windings (copper loss) and the stator iron core (iron losses) is directly removed by the coolant oil.</w:t>
      </w:r>
      <w:r w:rsidRPr="00FC71BE" w:rsidDel="007741ED">
        <w:t xml:space="preserve"> </w:t>
      </w:r>
      <w:r w:rsidRPr="00FC71BE">
        <w:t xml:space="preserve">However, the heat generated by the rotor PMs can only be dissipated by the </w:t>
      </w:r>
      <w:r w:rsidRPr="00FC71BE">
        <w:lastRenderedPageBreak/>
        <w:t xml:space="preserve">convection through the airgap (to the stator) and by conduction through the shaft (to the environment). Significant temperature reductions for the stator iron core and the windings can be achieved by the semi-flooded cooling technology, as shown in </w:t>
      </w:r>
      <w:r w:rsidRPr="00FC71BE">
        <w:fldChar w:fldCharType="begin"/>
      </w:r>
      <w:r w:rsidRPr="00FC71BE">
        <w:instrText xml:space="preserve"> REF _Ref145957408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7</w:t>
      </w:r>
      <w:r w:rsidRPr="00FC71BE">
        <w:fldChar w:fldCharType="end"/>
      </w:r>
      <w:r w:rsidRPr="00FC71BE">
        <w:t>. For example, compared with oil-immersed cooling (no oil pump to provide axial flow), employing semi-flooded cooling technology can reduce the maximum winding temperature by around 100</w:t>
      </w:r>
      <m:oMath>
        <m:r>
          <w:rPr>
            <w:rFonts w:ascii="Cambria Math" w:hAnsi="Cambria Math"/>
          </w:rPr>
          <m:t>℃</m:t>
        </m:r>
      </m:oMath>
      <w:r w:rsidRPr="00FC71BE">
        <w:t xml:space="preserve">. Based on </w:t>
      </w:r>
      <w:r w:rsidRPr="00FC71BE">
        <w:fldChar w:fldCharType="begin"/>
      </w:r>
      <w:r w:rsidRPr="00FC71BE">
        <w:instrText xml:space="preserve"> REF _Ref145960265 \h </w:instrText>
      </w:r>
      <w:r w:rsidRPr="00FC71BE">
        <w:fldChar w:fldCharType="separate"/>
      </w:r>
      <w:r w:rsidR="007E62C1" w:rsidRPr="00FC71BE">
        <w:t>(</w:t>
      </w:r>
      <w:r w:rsidR="007E62C1" w:rsidRPr="00FC71BE">
        <w:rPr>
          <w:noProof/>
        </w:rPr>
        <w:t>4</w:t>
      </w:r>
      <w:r w:rsidR="007E62C1" w:rsidRPr="00FC71BE">
        <w:t>.</w:t>
      </w:r>
      <w:r w:rsidR="007E62C1" w:rsidRPr="00FC71BE">
        <w:rPr>
          <w:noProof/>
        </w:rPr>
        <w:t>14</w:t>
      </w:r>
      <w:r w:rsidR="007E62C1" w:rsidRPr="00FC71BE">
        <w:t>)</w:t>
      </w:r>
      <w:r w:rsidRPr="00FC71BE">
        <w:fldChar w:fldCharType="end"/>
      </w:r>
      <w:r w:rsidRPr="00FC71BE">
        <w:t xml:space="preserve">, the convection coefficient distribution on the surfaces of the stator and end-winding are shown in </w:t>
      </w:r>
      <w:r w:rsidRPr="00FC71BE">
        <w:fldChar w:fldCharType="begin"/>
      </w:r>
      <w:r w:rsidRPr="00FC71BE">
        <w:instrText xml:space="preserve"> REF _Ref145960322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8</w:t>
      </w:r>
      <w:r w:rsidRPr="00FC71BE">
        <w:fldChar w:fldCharType="end"/>
      </w:r>
      <w:r w:rsidRPr="00FC71BE">
        <w:t>. It is worth noting that, the reference temperature (</w:t>
      </w:r>
      <m:oMath>
        <m:sSub>
          <m:sSubPr>
            <m:ctrlPr>
              <w:rPr>
                <w:rFonts w:ascii="Cambria Math" w:eastAsia="等线" w:hAnsi="Cambria Math"/>
                <w:i/>
              </w:rPr>
            </m:ctrlPr>
          </m:sSubPr>
          <m:e>
            <m:r>
              <w:rPr>
                <w:rFonts w:ascii="Cambria Math" w:eastAsia="等线" w:hAnsi="Cambria Math"/>
              </w:rPr>
              <m:t>T</m:t>
            </m:r>
          </m:e>
          <m:sub>
            <m:sSub>
              <m:sSubPr>
                <m:ctrlPr>
                  <w:rPr>
                    <w:rFonts w:ascii="Cambria Math" w:eastAsia="等线" w:hAnsi="Cambria Math"/>
                    <w:i/>
                  </w:rPr>
                </m:ctrlPr>
              </m:sSubPr>
              <m:e>
                <m:r>
                  <w:rPr>
                    <w:rFonts w:ascii="Cambria Math" w:eastAsia="等线" w:hAnsi="Cambria Math"/>
                  </w:rPr>
                  <m:t>bulk</m:t>
                </m:r>
              </m:e>
              <m:sub>
                <m:r>
                  <w:rPr>
                    <w:rFonts w:ascii="Cambria Math" w:eastAsia="等线" w:hAnsi="Cambria Math"/>
                  </w:rPr>
                  <m:t>i</m:t>
                </m:r>
              </m:sub>
            </m:sSub>
          </m:sub>
        </m:sSub>
      </m:oMath>
      <w:r w:rsidRPr="00FC71BE">
        <w:t>) of the coolant is 65</w:t>
      </w:r>
      <m:oMath>
        <m:r>
          <w:rPr>
            <w:rFonts w:ascii="Cambria Math" w:hAnsi="Cambria Math"/>
          </w:rPr>
          <m:t>℃</m:t>
        </m:r>
      </m:oMath>
      <w:r w:rsidRPr="00FC71BE">
        <w:t>.</w:t>
      </w:r>
    </w:p>
    <w:p w14:paraId="0DD1BB95" w14:textId="77777777" w:rsidR="0045562B" w:rsidRPr="00FC71BE" w:rsidRDefault="0045562B" w:rsidP="0045562B">
      <w:pPr>
        <w:pStyle w:val="Figure"/>
        <w:rPr>
          <w:noProof w:val="0"/>
        </w:rPr>
      </w:pPr>
      <w:r w:rsidRPr="00FC71BE">
        <w:drawing>
          <wp:inline distT="0" distB="0" distL="0" distR="0" wp14:anchorId="1841B690" wp14:editId="259064C5">
            <wp:extent cx="4658808" cy="2700000"/>
            <wp:effectExtent l="0" t="0" r="8890" b="5715"/>
            <wp:docPr id="33" name="Picture 33" descr="A diagram of a machine&#10;&#10;Description automatically generated">
              <a:extLst xmlns:a="http://schemas.openxmlformats.org/drawingml/2006/main">
                <a:ext uri="{FF2B5EF4-FFF2-40B4-BE49-F238E27FC236}">
                  <a16:creationId xmlns:a16="http://schemas.microsoft.com/office/drawing/2014/main" id="{7705E70A-EC09-4143-A757-C071D22D7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A diagram of a machine&#10;&#10;Description automatically generated">
                      <a:extLst>
                        <a:ext uri="{FF2B5EF4-FFF2-40B4-BE49-F238E27FC236}">
                          <a16:creationId xmlns:a16="http://schemas.microsoft.com/office/drawing/2014/main" id="{7705E70A-EC09-4143-A757-C071D22D72B7}"/>
                        </a:ext>
                      </a:extLst>
                    </pic:cNvPr>
                    <pic:cNvPicPr>
                      <a:picLocks noChangeAspect="1"/>
                    </pic:cNvPicPr>
                  </pic:nvPicPr>
                  <pic:blipFill>
                    <a:blip r:embed="rId141"/>
                    <a:stretch>
                      <a:fillRect/>
                    </a:stretch>
                  </pic:blipFill>
                  <pic:spPr>
                    <a:xfrm>
                      <a:off x="0" y="0"/>
                      <a:ext cx="4658808" cy="2700000"/>
                    </a:xfrm>
                    <a:prstGeom prst="rect">
                      <a:avLst/>
                    </a:prstGeom>
                  </pic:spPr>
                </pic:pic>
              </a:graphicData>
            </a:graphic>
          </wp:inline>
        </w:drawing>
      </w:r>
    </w:p>
    <w:p w14:paraId="4215FD80" w14:textId="475B34FC" w:rsidR="0045562B" w:rsidRPr="00FC71BE" w:rsidRDefault="0045562B" w:rsidP="0045562B">
      <w:pPr>
        <w:pStyle w:val="FigureTitle"/>
      </w:pPr>
      <w:bookmarkStart w:id="220" w:name="_Ref145957406"/>
      <w:r w:rsidRPr="00FC71BE">
        <w:t xml:space="preserve">Fig. </w:t>
      </w:r>
      <w:fldSimple w:instr=" STYLEREF 1 \s ">
        <w:r w:rsidR="007E62C1" w:rsidRPr="00FC71BE">
          <w:rPr>
            <w:noProof/>
          </w:rPr>
          <w:t>4</w:t>
        </w:r>
      </w:fldSimple>
      <w:r w:rsidRPr="00FC71BE">
        <w:t>.</w:t>
      </w:r>
      <w:fldSimple w:instr=" SEQ Fig. \* ARABIC \s 1 ">
        <w:r w:rsidR="007E62C1" w:rsidRPr="00FC71BE">
          <w:rPr>
            <w:noProof/>
          </w:rPr>
          <w:t>6</w:t>
        </w:r>
      </w:fldSimple>
      <w:bookmarkEnd w:id="220"/>
      <w:r w:rsidRPr="00FC71BE">
        <w:t>. Coolant velocity streamline of the modular SPM machine with a flux gap width of 10mm.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1616A984" w14:textId="77777777">
        <w:tc>
          <w:tcPr>
            <w:tcW w:w="9016" w:type="dxa"/>
          </w:tcPr>
          <w:p w14:paraId="60AADE15" w14:textId="77777777" w:rsidR="0045562B" w:rsidRPr="00FC71BE" w:rsidRDefault="0045562B">
            <w:pPr>
              <w:pStyle w:val="Figure"/>
              <w:rPr>
                <w:noProof w:val="0"/>
              </w:rPr>
            </w:pPr>
            <w:r w:rsidRPr="00FC71BE">
              <w:drawing>
                <wp:inline distT="0" distB="0" distL="0" distR="0" wp14:anchorId="65B74CB5" wp14:editId="27F543E7">
                  <wp:extent cx="4683662" cy="3060000"/>
                  <wp:effectExtent l="0" t="0" r="3175" b="7620"/>
                  <wp:docPr id="10" name="Picture 10" descr="A diagram of a machine&#10;&#10;Description automatically generated">
                    <a:extLst xmlns:a="http://schemas.openxmlformats.org/drawingml/2006/main">
                      <a:ext uri="{FF2B5EF4-FFF2-40B4-BE49-F238E27FC236}">
                        <a16:creationId xmlns:a16="http://schemas.microsoft.com/office/drawing/2014/main" id="{012F9F11-1BFE-40A4-9E64-B919E724E5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diagram of a machine&#10;&#10;Description automatically generated">
                            <a:extLst>
                              <a:ext uri="{FF2B5EF4-FFF2-40B4-BE49-F238E27FC236}">
                                <a16:creationId xmlns:a16="http://schemas.microsoft.com/office/drawing/2014/main" id="{012F9F11-1BFE-40A4-9E64-B919E724E58F}"/>
                              </a:ext>
                            </a:extLst>
                          </pic:cNvPr>
                          <pic:cNvPicPr>
                            <a:picLocks noChangeAspect="1"/>
                          </pic:cNvPicPr>
                        </pic:nvPicPr>
                        <pic:blipFill>
                          <a:blip r:embed="rId142"/>
                          <a:stretch>
                            <a:fillRect/>
                          </a:stretch>
                        </pic:blipFill>
                        <pic:spPr>
                          <a:xfrm>
                            <a:off x="0" y="0"/>
                            <a:ext cx="4683662" cy="3060000"/>
                          </a:xfrm>
                          <a:prstGeom prst="rect">
                            <a:avLst/>
                          </a:prstGeom>
                        </pic:spPr>
                      </pic:pic>
                    </a:graphicData>
                  </a:graphic>
                </wp:inline>
              </w:drawing>
            </w:r>
          </w:p>
        </w:tc>
      </w:tr>
      <w:tr w:rsidR="00FC71BE" w:rsidRPr="00FC71BE" w14:paraId="7528662F" w14:textId="77777777">
        <w:tc>
          <w:tcPr>
            <w:tcW w:w="9016" w:type="dxa"/>
          </w:tcPr>
          <w:p w14:paraId="7E71F747" w14:textId="77777777" w:rsidR="0045562B" w:rsidRPr="00FC71BE" w:rsidRDefault="0045562B">
            <w:pPr>
              <w:pStyle w:val="Figure"/>
              <w:rPr>
                <w:noProof w:val="0"/>
              </w:rPr>
            </w:pPr>
            <w:r w:rsidRPr="00FC71BE">
              <w:rPr>
                <w:noProof w:val="0"/>
              </w:rPr>
              <w:t>(a) Temperature distribution of different machine components</w:t>
            </w:r>
          </w:p>
        </w:tc>
      </w:tr>
      <w:tr w:rsidR="00FC71BE" w:rsidRPr="00FC71BE" w14:paraId="5654FB89" w14:textId="77777777">
        <w:tc>
          <w:tcPr>
            <w:tcW w:w="9016" w:type="dxa"/>
          </w:tcPr>
          <w:p w14:paraId="29E521F8" w14:textId="77777777" w:rsidR="0045562B" w:rsidRPr="00FC71BE" w:rsidRDefault="0045562B">
            <w:pPr>
              <w:pStyle w:val="Figure"/>
              <w:rPr>
                <w:noProof w:val="0"/>
              </w:rPr>
            </w:pPr>
            <w:r w:rsidRPr="00FC71BE">
              <w:lastRenderedPageBreak/>
              <w:drawing>
                <wp:inline distT="0" distB="0" distL="0" distR="0" wp14:anchorId="5090C13F" wp14:editId="1D9CCDAD">
                  <wp:extent cx="4774404" cy="2461260"/>
                  <wp:effectExtent l="0" t="0" r="7620" b="0"/>
                  <wp:docPr id="1440144633" name="Picture 1440144633" descr="A rainbow colored object with a curved e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44633" name="Picture 1440144633" descr="A rainbow colored object with a curved end&#10;&#10;Description automatically generated with medium confidence"/>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8821"/>
                          <a:stretch/>
                        </pic:blipFill>
                        <pic:spPr bwMode="auto">
                          <a:xfrm>
                            <a:off x="0" y="0"/>
                            <a:ext cx="4775492" cy="24618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71BE" w:rsidRPr="00FC71BE" w14:paraId="39C5F366" w14:textId="77777777">
        <w:tc>
          <w:tcPr>
            <w:tcW w:w="9016" w:type="dxa"/>
          </w:tcPr>
          <w:p w14:paraId="1542ABCF" w14:textId="77777777" w:rsidR="0045562B" w:rsidRPr="00FC71BE" w:rsidRDefault="0045562B">
            <w:pPr>
              <w:pStyle w:val="Figure"/>
              <w:rPr>
                <w:noProof w:val="0"/>
              </w:rPr>
            </w:pPr>
            <w:r w:rsidRPr="00FC71BE">
              <w:rPr>
                <w:noProof w:val="0"/>
              </w:rPr>
              <w:t>(b) Temperature of one coil</w:t>
            </w:r>
          </w:p>
        </w:tc>
      </w:tr>
      <w:tr w:rsidR="00FC71BE" w:rsidRPr="00FC71BE" w14:paraId="6F3DA840" w14:textId="77777777">
        <w:tc>
          <w:tcPr>
            <w:tcW w:w="9016" w:type="dxa"/>
          </w:tcPr>
          <w:p w14:paraId="7A1769AA" w14:textId="77777777" w:rsidR="0045562B" w:rsidRPr="00FC71BE" w:rsidRDefault="0045562B">
            <w:pPr>
              <w:pStyle w:val="Figure"/>
              <w:rPr>
                <w:noProof w:val="0"/>
              </w:rPr>
            </w:pPr>
            <w:r w:rsidRPr="00FC71BE">
              <w:drawing>
                <wp:inline distT="0" distB="0" distL="0" distR="0" wp14:anchorId="60062061" wp14:editId="5873B37D">
                  <wp:extent cx="4707401" cy="2700000"/>
                  <wp:effectExtent l="0" t="0" r="0" b="5715"/>
                  <wp:docPr id="407008751" name="Picture 407008751" descr="A colorful rectangular object with red and yellow stripes&#10;&#10;Description automatically generated">
                    <a:extLst xmlns:a="http://schemas.openxmlformats.org/drawingml/2006/main">
                      <a:ext uri="{FF2B5EF4-FFF2-40B4-BE49-F238E27FC236}">
                        <a16:creationId xmlns:a16="http://schemas.microsoft.com/office/drawing/2014/main" id="{06F1A430-9248-0E09-F1F9-F52D3A93E6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08751" name="Picture 407008751" descr="A colorful rectangular object with red and yellow stripes&#10;&#10;Description automatically generated">
                            <a:extLst>
                              <a:ext uri="{FF2B5EF4-FFF2-40B4-BE49-F238E27FC236}">
                                <a16:creationId xmlns:a16="http://schemas.microsoft.com/office/drawing/2014/main" id="{06F1A430-9248-0E09-F1F9-F52D3A93E694}"/>
                              </a:ext>
                            </a:extLst>
                          </pic:cNvPr>
                          <pic:cNvPicPr>
                            <a:picLocks noChangeAspect="1"/>
                          </pic:cNvPicPr>
                        </pic:nvPicPr>
                        <pic:blipFill>
                          <a:blip r:embed="rId144"/>
                          <a:stretch>
                            <a:fillRect/>
                          </a:stretch>
                        </pic:blipFill>
                        <pic:spPr>
                          <a:xfrm>
                            <a:off x="0" y="0"/>
                            <a:ext cx="4707401" cy="2700000"/>
                          </a:xfrm>
                          <a:prstGeom prst="rect">
                            <a:avLst/>
                          </a:prstGeom>
                        </pic:spPr>
                      </pic:pic>
                    </a:graphicData>
                  </a:graphic>
                </wp:inline>
              </w:drawing>
            </w:r>
          </w:p>
        </w:tc>
      </w:tr>
      <w:tr w:rsidR="00FC71BE" w:rsidRPr="00FC71BE" w14:paraId="7D3A2468" w14:textId="77777777">
        <w:tc>
          <w:tcPr>
            <w:tcW w:w="9016" w:type="dxa"/>
          </w:tcPr>
          <w:p w14:paraId="2B6C8514" w14:textId="77777777" w:rsidR="0045562B" w:rsidRPr="00FC71BE" w:rsidRDefault="0045562B">
            <w:pPr>
              <w:pStyle w:val="Figure"/>
              <w:rPr>
                <w:noProof w:val="0"/>
              </w:rPr>
            </w:pPr>
            <w:r w:rsidRPr="00FC71BE">
              <w:rPr>
                <w:noProof w:val="0"/>
              </w:rPr>
              <w:t>(c) Temperature of one stator segment</w:t>
            </w:r>
          </w:p>
        </w:tc>
      </w:tr>
      <w:tr w:rsidR="00FC71BE" w:rsidRPr="00FC71BE" w14:paraId="4DD31B88" w14:textId="77777777">
        <w:tc>
          <w:tcPr>
            <w:tcW w:w="9016" w:type="dxa"/>
          </w:tcPr>
          <w:p w14:paraId="3A93A94F" w14:textId="77777777" w:rsidR="0045562B" w:rsidRPr="00FC71BE" w:rsidRDefault="0045562B">
            <w:pPr>
              <w:pStyle w:val="Figure"/>
              <w:rPr>
                <w:noProof w:val="0"/>
              </w:rPr>
            </w:pPr>
            <w:r w:rsidRPr="00FC71BE">
              <w:drawing>
                <wp:inline distT="0" distB="0" distL="0" distR="0" wp14:anchorId="51968BBE" wp14:editId="2337FA85">
                  <wp:extent cx="4183372" cy="2752725"/>
                  <wp:effectExtent l="0" t="0" r="8255" b="0"/>
                  <wp:docPr id="729479153" name="Picture 729479153" descr="A diagram of a bar&#10;&#10;Description automatically generated">
                    <a:extLst xmlns:a="http://schemas.openxmlformats.org/drawingml/2006/main">
                      <a:ext uri="{FF2B5EF4-FFF2-40B4-BE49-F238E27FC236}">
                        <a16:creationId xmlns:a16="http://schemas.microsoft.com/office/drawing/2014/main" id="{0AD8DB4D-595B-F475-6184-9E1C787300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479153" name="Picture 729479153" descr="A diagram of a bar&#10;&#10;Description automatically generated">
                            <a:extLst>
                              <a:ext uri="{FF2B5EF4-FFF2-40B4-BE49-F238E27FC236}">
                                <a16:creationId xmlns:a16="http://schemas.microsoft.com/office/drawing/2014/main" id="{0AD8DB4D-595B-F475-6184-9E1C7873005C}"/>
                              </a:ext>
                            </a:extLst>
                          </pic:cNvPr>
                          <pic:cNvPicPr>
                            <a:picLocks noChangeAspect="1"/>
                          </pic:cNvPicPr>
                        </pic:nvPicPr>
                        <pic:blipFill rotWithShape="1">
                          <a:blip r:embed="rId145"/>
                          <a:srcRect b="10025"/>
                          <a:stretch/>
                        </pic:blipFill>
                        <pic:spPr bwMode="auto">
                          <a:xfrm>
                            <a:off x="0" y="0"/>
                            <a:ext cx="4184151" cy="2753238"/>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016E6F7C" w14:textId="77777777">
        <w:tc>
          <w:tcPr>
            <w:tcW w:w="9016" w:type="dxa"/>
          </w:tcPr>
          <w:p w14:paraId="36D41676" w14:textId="77777777" w:rsidR="0045562B" w:rsidRPr="00FC71BE" w:rsidRDefault="0045562B">
            <w:pPr>
              <w:pStyle w:val="Figure"/>
              <w:rPr>
                <w:noProof w:val="0"/>
              </w:rPr>
            </w:pPr>
            <w:r w:rsidRPr="00FC71BE">
              <w:rPr>
                <w:noProof w:val="0"/>
              </w:rPr>
              <w:t>(d) Temperature of the rotor</w:t>
            </w:r>
          </w:p>
        </w:tc>
      </w:tr>
    </w:tbl>
    <w:p w14:paraId="04B78785" w14:textId="27C0C404" w:rsidR="0045562B" w:rsidRPr="00FC71BE" w:rsidRDefault="0045562B" w:rsidP="0045562B">
      <w:pPr>
        <w:pStyle w:val="FigureTitle"/>
      </w:pPr>
      <w:bookmarkStart w:id="221" w:name="_Ref145957408"/>
      <w:r w:rsidRPr="00FC71BE">
        <w:t xml:space="preserve">Fig. </w:t>
      </w:r>
      <w:fldSimple w:instr=" STYLEREF 1 \s ">
        <w:r w:rsidR="007E62C1" w:rsidRPr="00FC71BE">
          <w:rPr>
            <w:noProof/>
          </w:rPr>
          <w:t>4</w:t>
        </w:r>
      </w:fldSimple>
      <w:r w:rsidRPr="00FC71BE">
        <w:t>.</w:t>
      </w:r>
      <w:fldSimple w:instr=" SEQ Fig. \* ARABIC \s 1 ">
        <w:r w:rsidR="007E62C1" w:rsidRPr="00FC71BE">
          <w:rPr>
            <w:noProof/>
          </w:rPr>
          <w:t>7</w:t>
        </w:r>
      </w:fldSimple>
      <w:bookmarkEnd w:id="221"/>
      <w:r w:rsidRPr="00FC71BE">
        <w:t>. Temperature distribution of the modular SPM machine with a flux gap width of 10mm.</w:t>
      </w:r>
    </w:p>
    <w:p w14:paraId="0FD6B7E3" w14:textId="77777777" w:rsidR="0045562B" w:rsidRPr="00FC71BE" w:rsidRDefault="0045562B" w:rsidP="0045562B">
      <w:pPr>
        <w:pStyle w:val="Figure"/>
        <w:rPr>
          <w:noProof w:val="0"/>
        </w:rPr>
      </w:pPr>
      <w:r w:rsidRPr="00FC71BE">
        <w:lastRenderedPageBreak/>
        <w:drawing>
          <wp:inline distT="0" distB="0" distL="0" distR="0" wp14:anchorId="07763733" wp14:editId="5D304477">
            <wp:extent cx="4648860" cy="3406039"/>
            <wp:effectExtent l="0" t="0" r="0" b="4445"/>
            <wp:docPr id="23765377" name="Picture 23765377" descr="A diagram of a jet engine&#10;&#10;Description automatically generated">
              <a:extLst xmlns:a="http://schemas.openxmlformats.org/drawingml/2006/main">
                <a:ext uri="{FF2B5EF4-FFF2-40B4-BE49-F238E27FC236}">
                  <a16:creationId xmlns:a16="http://schemas.microsoft.com/office/drawing/2014/main" id="{4FA16236-A354-406F-9D73-9A62ACD23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diagram of a jet engine&#10;&#10;Description automatically generated">
                      <a:extLst>
                        <a:ext uri="{FF2B5EF4-FFF2-40B4-BE49-F238E27FC236}">
                          <a16:creationId xmlns:a16="http://schemas.microsoft.com/office/drawing/2014/main" id="{4FA16236-A354-406F-9D73-9A62ACD2376B}"/>
                        </a:ext>
                      </a:extLst>
                    </pic:cNvPr>
                    <pic:cNvPicPr>
                      <a:picLocks noChangeAspect="1"/>
                    </pic:cNvPicPr>
                  </pic:nvPicPr>
                  <pic:blipFill>
                    <a:blip r:embed="rId146"/>
                    <a:stretch>
                      <a:fillRect/>
                    </a:stretch>
                  </pic:blipFill>
                  <pic:spPr>
                    <a:xfrm>
                      <a:off x="0" y="0"/>
                      <a:ext cx="4652478" cy="3408689"/>
                    </a:xfrm>
                    <a:prstGeom prst="rect">
                      <a:avLst/>
                    </a:prstGeom>
                  </pic:spPr>
                </pic:pic>
              </a:graphicData>
            </a:graphic>
          </wp:inline>
        </w:drawing>
      </w:r>
    </w:p>
    <w:p w14:paraId="3B5931C6" w14:textId="315C4657" w:rsidR="0045562B" w:rsidRPr="00FC71BE" w:rsidRDefault="0045562B" w:rsidP="0045562B">
      <w:pPr>
        <w:pStyle w:val="FigureTitle"/>
      </w:pPr>
      <w:bookmarkStart w:id="222" w:name="_Ref145960322"/>
      <w:r w:rsidRPr="00FC71BE">
        <w:t xml:space="preserve">Fig. </w:t>
      </w:r>
      <w:fldSimple w:instr=" STYLEREF 1 \s ">
        <w:r w:rsidR="007E62C1" w:rsidRPr="00FC71BE">
          <w:rPr>
            <w:noProof/>
          </w:rPr>
          <w:t>4</w:t>
        </w:r>
      </w:fldSimple>
      <w:r w:rsidRPr="00FC71BE">
        <w:t>.</w:t>
      </w:r>
      <w:fldSimple w:instr=" SEQ Fig. \* ARABIC \s 1 ">
        <w:r w:rsidR="007E62C1" w:rsidRPr="00FC71BE">
          <w:rPr>
            <w:noProof/>
          </w:rPr>
          <w:t>8</w:t>
        </w:r>
      </w:fldSimple>
      <w:bookmarkEnd w:id="222"/>
      <w:r w:rsidRPr="00FC71BE">
        <w:t>. Convection coefficient distribution at the surfaces in contact with the coolant oil for the modular SPM machine with a flux gap width of 10mm.</w:t>
      </w:r>
    </w:p>
    <w:p w14:paraId="67D75D3D" w14:textId="77777777" w:rsidR="0045562B" w:rsidRPr="00FC71BE" w:rsidRDefault="0045562B" w:rsidP="00B86C68">
      <w:pPr>
        <w:pStyle w:val="Heading3"/>
        <w:numPr>
          <w:ilvl w:val="2"/>
          <w:numId w:val="49"/>
        </w:numPr>
      </w:pPr>
      <w:bookmarkStart w:id="223" w:name="_Toc157695370"/>
      <w:r w:rsidRPr="00FC71BE">
        <w:t>Influence of Flux Gap Width</w:t>
      </w:r>
      <w:bookmarkEnd w:id="223"/>
    </w:p>
    <w:p w14:paraId="4C20D72F" w14:textId="4346F48E" w:rsidR="0045562B" w:rsidRPr="00FC71BE" w:rsidRDefault="0045562B" w:rsidP="0045562B">
      <w:r w:rsidRPr="00FC71BE">
        <w:t xml:space="preserve">According to </w:t>
      </w:r>
      <w:r w:rsidRPr="00FC71BE">
        <w:fldChar w:fldCharType="begin"/>
      </w:r>
      <w:r w:rsidRPr="00FC71BE">
        <w:instrText xml:space="preserve"> REF _Ref145960490 \h </w:instrText>
      </w:r>
      <w:r w:rsidRPr="00FC71BE">
        <w:fldChar w:fldCharType="separate"/>
      </w:r>
      <w:r w:rsidR="007E62C1" w:rsidRPr="00FC71BE">
        <w:t>(</w:t>
      </w:r>
      <w:r w:rsidR="007E62C1" w:rsidRPr="00FC71BE">
        <w:rPr>
          <w:noProof/>
        </w:rPr>
        <w:t>4</w:t>
      </w:r>
      <w:r w:rsidR="007E62C1" w:rsidRPr="00FC71BE">
        <w:t>.</w:t>
      </w:r>
      <w:r w:rsidR="007E62C1" w:rsidRPr="00FC71BE">
        <w:rPr>
          <w:noProof/>
        </w:rPr>
        <w:t>2</w:t>
      </w:r>
      <w:r w:rsidR="007E62C1" w:rsidRPr="00FC71BE">
        <w:t>)</w:t>
      </w:r>
      <w:r w:rsidRPr="00FC71BE">
        <w:fldChar w:fldCharType="end"/>
      </w:r>
      <w:r w:rsidRPr="00FC71BE">
        <w:t>, the increase of cross-sectional area of the coolant path can significantly reduce the system flow resistance. This means that, the width of the flux gap can directly affect the cooling efficiency of the semi-flooded cooling system. Thus, the influence of flux gap width on flow profile has been investigated in this section. It is worth noting that, to understand the influence of the flux gap width, the heat sources in the stator iron, windings and PMs for different flux gap widths will be kept the</w:t>
      </w:r>
      <w:r w:rsidRPr="00FC71BE" w:rsidDel="00360FEF">
        <w:t xml:space="preserve"> </w:t>
      </w:r>
      <w:r w:rsidRPr="00FC71BE">
        <w:t>same. A constant pressure loss of 1000Pa between inlet and outlet</w:t>
      </w:r>
      <w:r w:rsidRPr="00FC71BE" w:rsidDel="00F40286">
        <w:t xml:space="preserve"> </w:t>
      </w:r>
      <w:r w:rsidRPr="00FC71BE">
        <w:t>will be maintained for different flux gap widths. It is worth noting that, the flux gaps are the only coolant path for semi-flooded cooling system that designed in this section. Therefore, the coolant will be fully obstructed when flux gap width is 0mm, corresponding to a non-modular machine. Hence, the cooling system is considered to be an oil-immersed cooling system when the flux gap width is 0mm. In this chapter, considering the manufacturing complexity and tolerance, a minimum flux gap width of 3mm for the modular machines has been selected. It is therefore worth noting that the semi-flooded oil cooling system designed in this chapter may not be suitable for modular machines with narrower flux gaps unless higher pressure loss is acceptable.</w:t>
      </w:r>
    </w:p>
    <w:p w14:paraId="22EC00BD" w14:textId="245E9CDB" w:rsidR="0045562B" w:rsidRPr="00FC71BE" w:rsidRDefault="0045562B" w:rsidP="0045562B">
      <w:r w:rsidRPr="00FC71BE">
        <w:t xml:space="preserve">The change of system flow resistance affects the relationship between the pressure loss and the flow rate as described by </w:t>
      </w:r>
      <w:r w:rsidRPr="00FC71BE">
        <w:fldChar w:fldCharType="begin"/>
      </w:r>
      <w:r w:rsidRPr="00FC71BE">
        <w:instrText xml:space="preserve"> REF _Ref145960884 \h </w:instrText>
      </w:r>
      <w:r w:rsidRPr="00FC71BE">
        <w:fldChar w:fldCharType="separate"/>
      </w:r>
      <w:r w:rsidR="007E62C1" w:rsidRPr="00FC71BE">
        <w:t>(</w:t>
      </w:r>
      <w:r w:rsidR="007E62C1" w:rsidRPr="00FC71BE">
        <w:rPr>
          <w:noProof/>
        </w:rPr>
        <w:t>4</w:t>
      </w:r>
      <w:r w:rsidR="007E62C1" w:rsidRPr="00FC71BE">
        <w:t>.</w:t>
      </w:r>
      <w:r w:rsidR="007E62C1" w:rsidRPr="00FC71BE">
        <w:rPr>
          <w:noProof/>
        </w:rPr>
        <w:t>1</w:t>
      </w:r>
      <w:r w:rsidR="007E62C1" w:rsidRPr="00FC71BE">
        <w:t>)</w:t>
      </w:r>
      <w:r w:rsidRPr="00FC71BE">
        <w:fldChar w:fldCharType="end"/>
      </w:r>
      <w:r w:rsidRPr="00FC71BE">
        <w:t xml:space="preserve">. If the pressure loss is constant, increasing flux gap width </w:t>
      </w:r>
      <w:r w:rsidRPr="00FC71BE">
        <w:lastRenderedPageBreak/>
        <w:t xml:space="preserve">can reduce the flow resistance and improve the volumetric flow rate as shown in </w:t>
      </w:r>
      <w:r w:rsidRPr="00FC71BE">
        <w:fldChar w:fldCharType="begin"/>
      </w:r>
      <w:r w:rsidRPr="00FC71BE">
        <w:instrText xml:space="preserve"> REF _Ref145960962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9</w:t>
      </w:r>
      <w:r w:rsidRPr="00FC71BE">
        <w:fldChar w:fldCharType="end"/>
      </w:r>
      <w:r w:rsidRPr="00FC71BE">
        <w:t>. However, this improvement becomes gradually insignificant when the flux gap width keeps increasing.</w:t>
      </w:r>
    </w:p>
    <w:p w14:paraId="52E52442" w14:textId="77777777" w:rsidR="0045562B" w:rsidRPr="00FC71BE" w:rsidRDefault="0045562B" w:rsidP="0045562B">
      <w:pPr>
        <w:pStyle w:val="Figure"/>
        <w:rPr>
          <w:noProof w:val="0"/>
        </w:rPr>
      </w:pPr>
      <w:r w:rsidRPr="00FC71BE">
        <w:drawing>
          <wp:inline distT="0" distB="0" distL="0" distR="0" wp14:anchorId="1FBF7820" wp14:editId="571A0E20">
            <wp:extent cx="4363200" cy="2620496"/>
            <wp:effectExtent l="0" t="0" r="0" b="8890"/>
            <wp:docPr id="356253477" name="Picture 356253477" descr="A graph of a heat exch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53477" name="Picture 356253477" descr="A graph of a heat exchanger&#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63200" cy="2620496"/>
                    </a:xfrm>
                    <a:prstGeom prst="rect">
                      <a:avLst/>
                    </a:prstGeom>
                    <a:noFill/>
                  </pic:spPr>
                </pic:pic>
              </a:graphicData>
            </a:graphic>
          </wp:inline>
        </w:drawing>
      </w:r>
    </w:p>
    <w:p w14:paraId="3BACCA66" w14:textId="06E1F0D3" w:rsidR="0045562B" w:rsidRPr="00FC71BE" w:rsidRDefault="0045562B" w:rsidP="0045562B">
      <w:pPr>
        <w:pStyle w:val="FigureTitle"/>
      </w:pPr>
      <w:bookmarkStart w:id="224" w:name="_Ref145960962"/>
      <w:r w:rsidRPr="00FC71BE">
        <w:t xml:space="preserve">Fig. </w:t>
      </w:r>
      <w:fldSimple w:instr=" STYLEREF 1 \s ">
        <w:r w:rsidR="007E62C1" w:rsidRPr="00FC71BE">
          <w:rPr>
            <w:noProof/>
          </w:rPr>
          <w:t>4</w:t>
        </w:r>
      </w:fldSimple>
      <w:r w:rsidRPr="00FC71BE">
        <w:t>.</w:t>
      </w:r>
      <w:fldSimple w:instr=" SEQ Fig. \* ARABIC \s 1 ">
        <w:r w:rsidR="007E62C1" w:rsidRPr="00FC71BE">
          <w:rPr>
            <w:noProof/>
          </w:rPr>
          <w:t>9</w:t>
        </w:r>
      </w:fldSimple>
      <w:bookmarkEnd w:id="224"/>
      <w:r w:rsidRPr="00FC71BE">
        <w:t xml:space="preserve">. Flow rate </w:t>
      </w:r>
      <w:r w:rsidRPr="00FC71BE">
        <w:rPr>
          <w:i/>
          <w:iCs w:val="0"/>
        </w:rPr>
        <w:t>vs</w:t>
      </w:r>
      <w:r w:rsidRPr="00FC71BE">
        <w:t xml:space="preserve"> different flux gap widths for the investigated modular machines.</w:t>
      </w:r>
    </w:p>
    <w:p w14:paraId="6EDD7D66" w14:textId="1772A256" w:rsidR="0045562B" w:rsidRPr="00FC71BE" w:rsidRDefault="0045562B" w:rsidP="0045562B">
      <w:r w:rsidRPr="00FC71BE">
        <w:t xml:space="preserve">When the flux gap width increases, the coolant velocity changes as shown in </w:t>
      </w:r>
      <w:r w:rsidRPr="00FC71BE">
        <w:fldChar w:fldCharType="begin"/>
      </w:r>
      <w:r w:rsidRPr="00FC71BE">
        <w:instrText xml:space="preserve"> REF _Ref146023547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10</w:t>
      </w:r>
      <w:r w:rsidRPr="00FC71BE">
        <w:fldChar w:fldCharType="end"/>
      </w:r>
      <w:r w:rsidRPr="00FC71BE">
        <w:t xml:space="preserve">. Benefited from the rapid increase of volumetric flow rate as shown in </w:t>
      </w:r>
      <w:r w:rsidRPr="00FC71BE">
        <w:fldChar w:fldCharType="begin"/>
      </w:r>
      <w:r w:rsidRPr="00FC71BE">
        <w:instrText xml:space="preserve"> REF _Ref145960962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9</w:t>
      </w:r>
      <w:r w:rsidRPr="00FC71BE">
        <w:fldChar w:fldCharType="end"/>
      </w:r>
      <w:r w:rsidRPr="00FC71BE">
        <w:t>, the coolant velocity in the flux gap region also increases when the flux gap width increases until it reaches 8mm. However, increased flux gap width also leads to larger cross-sectional area, which has negative impact on the coolant velocity. Thus, when the flux gap width is larger than 8mm, this negative impact becomes more dominant</w:t>
      </w:r>
      <w:r w:rsidRPr="00FC71BE" w:rsidDel="00B116E3">
        <w:t xml:space="preserve"> </w:t>
      </w:r>
      <w:r w:rsidRPr="00FC71BE">
        <w:t>and the coolant velocity in the flux gaps gradually reduces.</w:t>
      </w:r>
    </w:p>
    <w:p w14:paraId="4220A3CC" w14:textId="77777777" w:rsidR="0045562B" w:rsidRPr="00FC71BE" w:rsidRDefault="0045562B" w:rsidP="0045562B">
      <w:pPr>
        <w:pStyle w:val="Figure"/>
        <w:rPr>
          <w:noProof w:val="0"/>
        </w:rPr>
      </w:pPr>
      <w:r w:rsidRPr="00FC71BE">
        <w:drawing>
          <wp:inline distT="0" distB="0" distL="0" distR="0" wp14:anchorId="5EF5DB48" wp14:editId="579A5775">
            <wp:extent cx="4363200" cy="2620496"/>
            <wp:effectExtent l="0" t="0" r="0" b="8890"/>
            <wp:docPr id="1286642699" name="Picture 1286642699" descr="A graph of a graph showing the value of o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42699" name="Picture 1286642699" descr="A graph of a graph showing the value of oil&#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363200" cy="2620496"/>
                    </a:xfrm>
                    <a:prstGeom prst="rect">
                      <a:avLst/>
                    </a:prstGeom>
                    <a:noFill/>
                  </pic:spPr>
                </pic:pic>
              </a:graphicData>
            </a:graphic>
          </wp:inline>
        </w:drawing>
      </w:r>
    </w:p>
    <w:p w14:paraId="793898C1" w14:textId="3CCD75BB" w:rsidR="0045562B" w:rsidRPr="00FC71BE" w:rsidRDefault="0045562B" w:rsidP="0045562B">
      <w:pPr>
        <w:pStyle w:val="FigureTitle"/>
      </w:pPr>
      <w:bookmarkStart w:id="225" w:name="_Ref146023547"/>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10</w:t>
        </w:r>
      </w:fldSimple>
      <w:bookmarkEnd w:id="225"/>
      <w:r w:rsidRPr="00FC71BE">
        <w:t xml:space="preserve">. Coolant velocity </w:t>
      </w:r>
      <w:r w:rsidRPr="00FC71BE" w:rsidDel="00807599">
        <w:t>at</w:t>
      </w:r>
      <w:r w:rsidRPr="00FC71BE">
        <w:t xml:space="preserve"> the centre of flux gap </w:t>
      </w:r>
      <w:r w:rsidRPr="00FC71BE">
        <w:rPr>
          <w:i/>
          <w:iCs w:val="0"/>
        </w:rPr>
        <w:t>vs</w:t>
      </w:r>
      <w:r w:rsidRPr="00FC71BE">
        <w:t xml:space="preserve"> different flux gap widths.</w:t>
      </w:r>
    </w:p>
    <w:p w14:paraId="0B49278B" w14:textId="0EC539AF" w:rsidR="0045562B" w:rsidRPr="00FC71BE" w:rsidRDefault="0045562B" w:rsidP="0045562B">
      <w:r w:rsidRPr="00FC71BE">
        <w:lastRenderedPageBreak/>
        <w:t xml:space="preserve">The machine has been divided in to three regions, i.e., end-space inlet region, end-space outlet region and active part, as shown in </w:t>
      </w:r>
      <w:r w:rsidRPr="00FC71BE">
        <w:fldChar w:fldCharType="begin"/>
      </w:r>
      <w:r w:rsidRPr="00FC71BE">
        <w:instrText xml:space="preserve"> REF _Ref145938458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5</w:t>
      </w:r>
      <w:r w:rsidRPr="00FC71BE">
        <w:fldChar w:fldCharType="end"/>
      </w:r>
      <w:r w:rsidRPr="00FC71BE">
        <w:t xml:space="preserve">. The total pressure loss for the whole system is the sum of all pressure losses in each region. The pressure losses at each region are shown in </w:t>
      </w:r>
      <w:r w:rsidRPr="00FC71BE">
        <w:fldChar w:fldCharType="begin"/>
      </w:r>
      <w:r w:rsidRPr="00FC71BE">
        <w:instrText xml:space="preserve"> REF _Ref146025676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11</w:t>
      </w:r>
      <w:r w:rsidRPr="00FC71BE">
        <w:fldChar w:fldCharType="end"/>
      </w:r>
      <w:r w:rsidRPr="00FC71BE">
        <w:t xml:space="preserve">. When the flux gap width is small, the dimensionless pressure loss coefficient at the active part, i.e., flux gaps region, is much larger than those in the other two regions. According to the flow network analysis, most pressure loss is in the flux gaps region. When the flux gap width increases, the dimensionless pressure loss coefficient significantly reduces. As a result, more pressure loss comes from the end-space regions. It is worth noting that, the dimensionless pressure loss coefficients for the fluid channel expansions and contractions are different </w:t>
      </w:r>
      <w:r w:rsidRPr="00FC71BE">
        <w:fldChar w:fldCharType="begin"/>
      </w:r>
      <w:r w:rsidR="0000133B" w:rsidRPr="00FC71BE">
        <w:instrText xml:space="preserve"> ADDIN EN.CITE &lt;EndNote&gt;&lt;Cite&gt;&lt;Author&gt;Staton&lt;/Author&gt;&lt;Year&gt;2008&lt;/Year&gt;&lt;RecNum&gt;163&lt;/RecNum&gt;&lt;DisplayText&gt;[89]&lt;/DisplayText&gt;&lt;record&gt;&lt;rec-number&gt;163&lt;/rec-number&gt;&lt;foreign-keys&gt;&lt;key app="EN" db-id="rf2p5e05jx0x9jep00uvx0s1fvaww2dfa0r9" timestamp="1696596793"&gt;163&lt;/key&gt;&lt;/foreign-keys&gt;&lt;ref-type name="Journal Article"&gt;17&lt;/ref-type&gt;&lt;contributors&gt;&lt;authors&gt;&lt;author&gt;Staton, David A&lt;/author&gt;&lt;author&gt;Cavagnino, Andrea&lt;/author&gt;&lt;/authors&gt;&lt;/contributors&gt;&lt;titles&gt;&lt;title&gt;Convection heat transfer and flow calculations suitable for electric machines thermal models&lt;/title&gt;&lt;secondary-title&gt;IEEE transactions on industrial electronics&lt;/secondary-title&gt;&lt;/titles&gt;&lt;periodical&gt;&lt;full-title&gt;IEEE Transactions on Industrial Electronics&lt;/full-title&gt;&lt;/periodical&gt;&lt;pages&gt;3509-3516&lt;/pages&gt;&lt;volume&gt;55&lt;/volume&gt;&lt;number&gt;10&lt;/number&gt;&lt;dates&gt;&lt;year&gt;2008&lt;/year&gt;&lt;/dates&gt;&lt;isbn&gt;0278-0046&lt;/isbn&gt;&lt;urls&gt;&lt;/urls&gt;&lt;/record&gt;&lt;/Cite&gt;&lt;/EndNote&gt;</w:instrText>
      </w:r>
      <w:r w:rsidRPr="00FC71BE">
        <w:fldChar w:fldCharType="separate"/>
      </w:r>
      <w:r w:rsidR="0000133B" w:rsidRPr="00FC71BE">
        <w:t>[89]</w:t>
      </w:r>
      <w:r w:rsidRPr="00FC71BE">
        <w:fldChar w:fldCharType="end"/>
      </w:r>
      <w:r w:rsidRPr="00FC71BE">
        <w:t xml:space="preserve"> as shown in </w:t>
      </w:r>
      <w:r w:rsidRPr="00FC71BE">
        <w:fldChar w:fldCharType="begin"/>
      </w:r>
      <w:r w:rsidRPr="00FC71BE">
        <w:instrText xml:space="preserve"> REF _Ref146028895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14</w:t>
      </w:r>
      <w:r w:rsidRPr="00FC71BE">
        <w:fldChar w:fldCharType="end"/>
      </w:r>
      <w:r w:rsidRPr="00FC71BE">
        <w:t xml:space="preserve">, and the pressure losses in the end-space inlet region and outlet region are not the same. More details about the dimensionless pressure loss coefficients for expansion and contractions can be seen in section </w:t>
      </w:r>
      <w:r w:rsidRPr="00FC71BE">
        <w:fldChar w:fldCharType="begin"/>
      </w:r>
      <w:r w:rsidRPr="00FC71BE">
        <w:instrText xml:space="preserve"> REF _Ref145970257 \r \h </w:instrText>
      </w:r>
      <w:r w:rsidRPr="00FC71BE">
        <w:fldChar w:fldCharType="separate"/>
      </w:r>
      <w:r w:rsidR="007E62C1" w:rsidRPr="00FC71BE">
        <w:t>4.3.3</w:t>
      </w:r>
      <w:r w:rsidRPr="00FC71BE">
        <w:fldChar w:fldCharType="end"/>
      </w:r>
      <w:r w:rsidRPr="00FC71BE">
        <w:t>.</w:t>
      </w:r>
    </w:p>
    <w:p w14:paraId="107EA3B1" w14:textId="77777777" w:rsidR="0045562B" w:rsidRPr="00FC71BE" w:rsidRDefault="0045562B" w:rsidP="0045562B">
      <w:pPr>
        <w:pStyle w:val="Figure"/>
        <w:rPr>
          <w:noProof w:val="0"/>
        </w:rPr>
      </w:pPr>
      <w:r w:rsidRPr="00FC71BE">
        <w:drawing>
          <wp:inline distT="0" distB="0" distL="0" distR="0" wp14:anchorId="6E3CD514" wp14:editId="55233ADE">
            <wp:extent cx="4363200" cy="2620495"/>
            <wp:effectExtent l="0" t="0" r="0" b="8890"/>
            <wp:docPr id="1963122114" name="Picture 1963122114" descr="A graph of a graph showing different types of coo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22114" name="Picture 1963122114" descr="A graph of a graph showing different types of cooling&#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63200" cy="2620495"/>
                    </a:xfrm>
                    <a:prstGeom prst="rect">
                      <a:avLst/>
                    </a:prstGeom>
                    <a:noFill/>
                  </pic:spPr>
                </pic:pic>
              </a:graphicData>
            </a:graphic>
          </wp:inline>
        </w:drawing>
      </w:r>
    </w:p>
    <w:p w14:paraId="655A6682" w14:textId="0B971EE0" w:rsidR="0045562B" w:rsidRPr="00FC71BE" w:rsidRDefault="0045562B" w:rsidP="0045562B">
      <w:pPr>
        <w:pStyle w:val="FigureTitle"/>
      </w:pPr>
      <w:bookmarkStart w:id="226" w:name="_Ref146025676"/>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11</w:t>
        </w:r>
      </w:fldSimple>
      <w:bookmarkEnd w:id="226"/>
      <w:r w:rsidRPr="00FC71BE">
        <w:t xml:space="preserve">. Pressure losses at different machine components (end-space inlet region, end-space outlet region, active part) </w:t>
      </w:r>
      <w:r w:rsidRPr="00FC71BE">
        <w:rPr>
          <w:i/>
        </w:rPr>
        <w:t>vs</w:t>
      </w:r>
      <w:r w:rsidRPr="00FC71BE">
        <w:t xml:space="preserve"> flux gap widths for the investigated modular machines. The total pressure drop is 1000Pa.</w:t>
      </w:r>
    </w:p>
    <w:p w14:paraId="581B85AE" w14:textId="0E8A40A3" w:rsidR="0045562B" w:rsidRPr="00FC71BE" w:rsidRDefault="0045562B" w:rsidP="0045562B">
      <w:r w:rsidRPr="00FC71BE">
        <w:t>The average convection coefficients at the surfaces of flux gaps, inlet and outlet end-winding have been</w:t>
      </w:r>
      <w:r w:rsidRPr="00FC71BE" w:rsidDel="00200F35">
        <w:t xml:space="preserve"> </w:t>
      </w:r>
      <w:r w:rsidRPr="00FC71BE">
        <w:t xml:space="preserve">calculated by </w:t>
      </w:r>
      <w:r w:rsidRPr="00FC71BE">
        <w:fldChar w:fldCharType="begin"/>
      </w:r>
      <w:r w:rsidRPr="00FC71BE">
        <w:instrText xml:space="preserve"> REF _Ref145961276 \h </w:instrText>
      </w:r>
      <w:r w:rsidRPr="00FC71BE">
        <w:fldChar w:fldCharType="separate"/>
      </w:r>
      <w:r w:rsidR="007E62C1" w:rsidRPr="00FC71BE">
        <w:t>(</w:t>
      </w:r>
      <w:r w:rsidR="007E62C1" w:rsidRPr="00FC71BE">
        <w:rPr>
          <w:noProof/>
        </w:rPr>
        <w:t>4</w:t>
      </w:r>
      <w:r w:rsidR="007E62C1" w:rsidRPr="00FC71BE">
        <w:t>.</w:t>
      </w:r>
      <w:r w:rsidR="007E62C1" w:rsidRPr="00FC71BE">
        <w:rPr>
          <w:noProof/>
        </w:rPr>
        <w:t>15</w:t>
      </w:r>
      <w:r w:rsidR="007E62C1" w:rsidRPr="00FC71BE">
        <w:t>)</w:t>
      </w:r>
      <w:r w:rsidRPr="00FC71BE">
        <w:fldChar w:fldCharType="end"/>
      </w:r>
      <w:r w:rsidRPr="00FC71BE">
        <w:t xml:space="preserve"> for different flux gap widths, as shown in </w:t>
      </w:r>
      <w:r w:rsidRPr="00FC71BE">
        <w:fldChar w:fldCharType="begin"/>
      </w:r>
      <w:r w:rsidRPr="00FC71BE">
        <w:instrText xml:space="preserve"> REF _Ref145961333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12</w:t>
      </w:r>
      <w:r w:rsidRPr="00FC71BE">
        <w:fldChar w:fldCharType="end"/>
      </w:r>
      <w:r w:rsidRPr="00FC71BE">
        <w:t xml:space="preserve">. It demonstrates that, when flux gap width increases, the convection coefficient in the flux gaps increases slightly first, as shown in </w:t>
      </w:r>
      <w:r w:rsidRPr="00FC71BE">
        <w:fldChar w:fldCharType="begin"/>
      </w:r>
      <w:r w:rsidRPr="00FC71BE">
        <w:instrText xml:space="preserve"> REF _Ref145960962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9</w:t>
      </w:r>
      <w:r w:rsidRPr="00FC71BE">
        <w:fldChar w:fldCharType="end"/>
      </w:r>
      <w:r w:rsidRPr="00FC71BE">
        <w:t>. This is because a</w:t>
      </w:r>
      <w:r w:rsidRPr="00FC71BE" w:rsidDel="00D91156">
        <w:t xml:space="preserve"> </w:t>
      </w:r>
      <w:r w:rsidRPr="00FC71BE">
        <w:t xml:space="preserve">larger coolant velocity is available. However, when the flux gap width increases further, the convection coefficient reduces due to lower coolant velocity caused by larger cross-sectional area. In the meantime, more pressure loss occurs in the end-space regions, which leads to increase of convection </w:t>
      </w:r>
      <w:r w:rsidRPr="00FC71BE">
        <w:lastRenderedPageBreak/>
        <w:t>coefficient in the end-space region, particularly at the surface of inlet winding which directly faces the inlet flow.</w:t>
      </w:r>
    </w:p>
    <w:p w14:paraId="32E4591A" w14:textId="77777777" w:rsidR="0045562B" w:rsidRPr="00FC71BE" w:rsidRDefault="0045562B" w:rsidP="0045562B">
      <w:pPr>
        <w:pStyle w:val="Figure"/>
        <w:rPr>
          <w:noProof w:val="0"/>
        </w:rPr>
      </w:pPr>
      <w:r w:rsidRPr="00FC71BE">
        <w:drawing>
          <wp:inline distT="0" distB="0" distL="0" distR="0" wp14:anchorId="3023407B" wp14:editId="5EA40366">
            <wp:extent cx="4363200" cy="2616341"/>
            <wp:effectExtent l="0" t="0" r="0" b="0"/>
            <wp:docPr id="2066464663" name="Picture 2066464663" descr="A graph of a graph showing the difference between a heating and a heating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64663" name="Picture 2066464663" descr="A graph of a graph showing the difference between a heating and a heating system&#10;&#10;Description automatically generated with medium confidenc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63200" cy="2616341"/>
                    </a:xfrm>
                    <a:prstGeom prst="rect">
                      <a:avLst/>
                    </a:prstGeom>
                    <a:noFill/>
                  </pic:spPr>
                </pic:pic>
              </a:graphicData>
            </a:graphic>
          </wp:inline>
        </w:drawing>
      </w:r>
    </w:p>
    <w:p w14:paraId="7D3AFBB4" w14:textId="13B5D4FE" w:rsidR="0045562B" w:rsidRPr="00FC71BE" w:rsidRDefault="0045562B" w:rsidP="0045562B">
      <w:pPr>
        <w:pStyle w:val="FigureTitle"/>
      </w:pPr>
      <w:bookmarkStart w:id="227" w:name="_Ref145961333"/>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12</w:t>
        </w:r>
      </w:fldSimple>
      <w:bookmarkEnd w:id="227"/>
      <w:r w:rsidRPr="00FC71BE">
        <w:t xml:space="preserve">. Convection coefficients on different machine surfaces (end-winding in end-space inlet region, end-winding in end-space outlet region and flux gap region) </w:t>
      </w:r>
      <w:r w:rsidRPr="00FC71BE">
        <w:rPr>
          <w:i/>
          <w:iCs w:val="0"/>
        </w:rPr>
        <w:t>vs</w:t>
      </w:r>
      <w:r w:rsidRPr="00FC71BE">
        <w:t xml:space="preserve"> different flux gap widths for the investigated modular machines.</w:t>
      </w:r>
    </w:p>
    <w:p w14:paraId="5AD7309C" w14:textId="25E52F61" w:rsidR="0045562B" w:rsidRPr="00FC71BE" w:rsidRDefault="0045562B" w:rsidP="0045562B">
      <w:r w:rsidRPr="00FC71BE">
        <w:t xml:space="preserve">The maximum temperatures of the end-windings in the inlet or outlet regions, active coil and PM are shown in </w:t>
      </w:r>
      <w:r w:rsidRPr="00FC71BE">
        <w:fldChar w:fldCharType="begin"/>
      </w:r>
      <w:r w:rsidRPr="00FC71BE">
        <w:instrText xml:space="preserve"> REF _Ref146029011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13</w:t>
      </w:r>
      <w:r w:rsidRPr="00FC71BE">
        <w:fldChar w:fldCharType="end"/>
      </w:r>
      <w:r w:rsidRPr="00FC71BE">
        <w:t>. The stationary components, i.e., end-windings in inlet or outlet regions, and active coil, benefit much more from the semi-flooded cooling technology than the rotating components, i.e., PM. Same as the flow rate, the machine temperature reduces when the flux gap width increases. However, the reduction rate of temperature</w:t>
      </w:r>
      <w:r w:rsidRPr="00FC71BE" w:rsidDel="00EE2371">
        <w:t xml:space="preserve"> </w:t>
      </w:r>
      <w:r w:rsidRPr="00FC71BE">
        <w:t>becomes smaller when the flux gap width is large.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5A97A642" w14:textId="77777777">
        <w:tc>
          <w:tcPr>
            <w:tcW w:w="9016" w:type="dxa"/>
          </w:tcPr>
          <w:p w14:paraId="0C70B335" w14:textId="77777777" w:rsidR="0045562B" w:rsidRPr="00FC71BE" w:rsidRDefault="0045562B">
            <w:pPr>
              <w:pStyle w:val="Figure"/>
              <w:rPr>
                <w:noProof w:val="0"/>
              </w:rPr>
            </w:pPr>
            <w:r w:rsidRPr="00FC71BE">
              <w:drawing>
                <wp:inline distT="0" distB="0" distL="0" distR="0" wp14:anchorId="2C7FE9D4" wp14:editId="423A2642">
                  <wp:extent cx="4363200" cy="2620047"/>
                  <wp:effectExtent l="0" t="0" r="0" b="8890"/>
                  <wp:docPr id="2073853250" name="Picture 2073853250" descr="A graph of a graph showing the value of oil and oil&#10;&#10;Description automatically generated with medium confidence">
                    <a:extLst xmlns:a="http://schemas.openxmlformats.org/drawingml/2006/main">
                      <a:ext uri="{FF2B5EF4-FFF2-40B4-BE49-F238E27FC236}">
                        <a16:creationId xmlns:a16="http://schemas.microsoft.com/office/drawing/2014/main" id="{C5FD343E-D129-277E-D43C-DF24BF004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853250" name="Picture 2073853250" descr="A graph of a graph showing the value of oil and oil&#10;&#10;Description automatically generated with medium confidence">
                            <a:extLst>
                              <a:ext uri="{FF2B5EF4-FFF2-40B4-BE49-F238E27FC236}">
                                <a16:creationId xmlns:a16="http://schemas.microsoft.com/office/drawing/2014/main" id="{C5FD343E-D129-277E-D43C-DF24BF0040B5}"/>
                              </a:ext>
                            </a:extLst>
                          </pic:cNvPr>
                          <pic:cNvPicPr>
                            <a:picLocks noChangeAspect="1"/>
                          </pic:cNvPicPr>
                        </pic:nvPicPr>
                        <pic:blipFill>
                          <a:blip r:embed="rId151"/>
                          <a:stretch>
                            <a:fillRect/>
                          </a:stretch>
                        </pic:blipFill>
                        <pic:spPr>
                          <a:xfrm>
                            <a:off x="0" y="0"/>
                            <a:ext cx="4363200" cy="2620047"/>
                          </a:xfrm>
                          <a:prstGeom prst="rect">
                            <a:avLst/>
                          </a:prstGeom>
                        </pic:spPr>
                      </pic:pic>
                    </a:graphicData>
                  </a:graphic>
                </wp:inline>
              </w:drawing>
            </w:r>
          </w:p>
        </w:tc>
      </w:tr>
      <w:tr w:rsidR="00FC71BE" w:rsidRPr="00FC71BE" w14:paraId="46243FAE" w14:textId="77777777">
        <w:tc>
          <w:tcPr>
            <w:tcW w:w="9016" w:type="dxa"/>
          </w:tcPr>
          <w:p w14:paraId="06D2200D" w14:textId="77777777" w:rsidR="0045562B" w:rsidRPr="00FC71BE" w:rsidRDefault="0045562B">
            <w:pPr>
              <w:pStyle w:val="Figure"/>
              <w:rPr>
                <w:noProof w:val="0"/>
              </w:rPr>
            </w:pPr>
            <w:r w:rsidRPr="00FC71BE">
              <w:rPr>
                <w:noProof w:val="0"/>
              </w:rPr>
              <w:t>(a) Temperature variations for all machine components</w:t>
            </w:r>
          </w:p>
        </w:tc>
      </w:tr>
      <w:tr w:rsidR="00FC71BE" w:rsidRPr="00FC71BE" w14:paraId="1542556F" w14:textId="77777777">
        <w:tc>
          <w:tcPr>
            <w:tcW w:w="9016" w:type="dxa"/>
          </w:tcPr>
          <w:p w14:paraId="77ABCF73" w14:textId="77777777" w:rsidR="0045562B" w:rsidRPr="00FC71BE" w:rsidRDefault="0045562B">
            <w:pPr>
              <w:pStyle w:val="Figure"/>
              <w:rPr>
                <w:noProof w:val="0"/>
              </w:rPr>
            </w:pPr>
            <w:r w:rsidRPr="00FC71BE">
              <w:lastRenderedPageBreak/>
              <w:drawing>
                <wp:inline distT="0" distB="0" distL="0" distR="0" wp14:anchorId="4BDA8D50" wp14:editId="1A6C2004">
                  <wp:extent cx="4363200" cy="2609896"/>
                  <wp:effectExtent l="0" t="0" r="0" b="0"/>
                  <wp:docPr id="1759421728" name="Picture 1759421728" descr="A graph of a graph showing the value of a wire&#10;&#10;Description automatically generated with medium confidence">
                    <a:extLst xmlns:a="http://schemas.openxmlformats.org/drawingml/2006/main">
                      <a:ext uri="{FF2B5EF4-FFF2-40B4-BE49-F238E27FC236}">
                        <a16:creationId xmlns:a16="http://schemas.microsoft.com/office/drawing/2014/main" id="{406214E2-B101-BABC-E5DD-26C0C180C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aph of a graph showing the value of a wire&#10;&#10;Description automatically generated with medium confidence">
                            <a:extLst>
                              <a:ext uri="{FF2B5EF4-FFF2-40B4-BE49-F238E27FC236}">
                                <a16:creationId xmlns:a16="http://schemas.microsoft.com/office/drawing/2014/main" id="{406214E2-B101-BABC-E5DD-26C0C180CCC3}"/>
                              </a:ext>
                            </a:extLst>
                          </pic:cNvPr>
                          <pic:cNvPicPr>
                            <a:picLocks noChangeAspect="1"/>
                          </pic:cNvPicPr>
                        </pic:nvPicPr>
                        <pic:blipFill rotWithShape="1">
                          <a:blip r:embed="rId152">
                            <a:extLst>
                              <a:ext uri="{28A0092B-C50C-407E-A947-70E740481C1C}">
                                <a14:useLocalDpi xmlns:a14="http://schemas.microsoft.com/office/drawing/2010/main" val="0"/>
                              </a:ext>
                            </a:extLst>
                          </a:blip>
                          <a:srcRect l="-33" t="1" r="-1" b="268"/>
                          <a:stretch/>
                        </pic:blipFill>
                        <pic:spPr>
                          <a:xfrm>
                            <a:off x="0" y="0"/>
                            <a:ext cx="4363200" cy="2609896"/>
                          </a:xfrm>
                          <a:prstGeom prst="rect">
                            <a:avLst/>
                          </a:prstGeom>
                        </pic:spPr>
                      </pic:pic>
                    </a:graphicData>
                  </a:graphic>
                </wp:inline>
              </w:drawing>
            </w:r>
          </w:p>
        </w:tc>
      </w:tr>
      <w:tr w:rsidR="00FC71BE" w:rsidRPr="00FC71BE" w14:paraId="636CB1F9" w14:textId="77777777">
        <w:tc>
          <w:tcPr>
            <w:tcW w:w="9016" w:type="dxa"/>
          </w:tcPr>
          <w:p w14:paraId="2CD4311B" w14:textId="77777777" w:rsidR="0045562B" w:rsidRPr="00FC71BE" w:rsidRDefault="0045562B">
            <w:pPr>
              <w:pStyle w:val="Figure"/>
              <w:rPr>
                <w:noProof w:val="0"/>
              </w:rPr>
            </w:pPr>
            <w:r w:rsidRPr="00FC71BE">
              <w:rPr>
                <w:noProof w:val="0"/>
              </w:rPr>
              <w:t>(b) zoom-in view of the stationary components</w:t>
            </w:r>
          </w:p>
        </w:tc>
      </w:tr>
    </w:tbl>
    <w:p w14:paraId="5BF47D24" w14:textId="5940B219" w:rsidR="0045562B" w:rsidRPr="00FC71BE" w:rsidRDefault="0045562B" w:rsidP="0045562B">
      <w:pPr>
        <w:pStyle w:val="FigureTitle"/>
      </w:pPr>
      <w:bookmarkStart w:id="228" w:name="_Ref146029011"/>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13</w:t>
        </w:r>
      </w:fldSimple>
      <w:bookmarkEnd w:id="228"/>
      <w:r w:rsidRPr="00FC71BE">
        <w:t xml:space="preserve">. Maximum temperatures at different machine components (end-windings in end-space inlet and outlet regions, active coil and PM) </w:t>
      </w:r>
      <w:r w:rsidRPr="00FC71BE">
        <w:rPr>
          <w:i/>
          <w:iCs w:val="0"/>
        </w:rPr>
        <w:t>vs</w:t>
      </w:r>
      <w:r w:rsidRPr="00FC71BE">
        <w:t xml:space="preserve"> different flux gap widths.</w:t>
      </w:r>
    </w:p>
    <w:p w14:paraId="4D71A631" w14:textId="77777777" w:rsidR="0045562B" w:rsidRPr="00FC71BE" w:rsidRDefault="0045562B" w:rsidP="00B86C68">
      <w:pPr>
        <w:pStyle w:val="Heading3"/>
        <w:numPr>
          <w:ilvl w:val="2"/>
          <w:numId w:val="49"/>
        </w:numPr>
      </w:pPr>
      <w:bookmarkStart w:id="229" w:name="_Ref145970257"/>
      <w:bookmarkStart w:id="230" w:name="_Toc157695371"/>
      <w:r w:rsidRPr="00FC71BE">
        <w:t>Influence of Inlet/Outlet Area</w:t>
      </w:r>
      <w:bookmarkEnd w:id="229"/>
      <w:bookmarkEnd w:id="230"/>
    </w:p>
    <w:p w14:paraId="1C019705" w14:textId="64FFB063" w:rsidR="0045562B" w:rsidRPr="00FC71BE" w:rsidRDefault="0045562B" w:rsidP="0045562B">
      <w:pPr>
        <w:rPr>
          <w:iCs/>
        </w:rPr>
      </w:pPr>
      <w:r w:rsidRPr="00FC71BE">
        <w:t>According to flow network analysis, the expansions and contractions of fluid lead to additional pressure losses</w:t>
      </w:r>
      <w:r w:rsidRPr="00FC71BE">
        <w:rPr>
          <w:iCs/>
        </w:rPr>
        <w:t xml:space="preserve">. These pressure losses also follow the pressure loss equation described by </w:t>
      </w:r>
      <w:r w:rsidRPr="00FC71BE">
        <w:rPr>
          <w:iCs/>
        </w:rPr>
        <w:fldChar w:fldCharType="begin"/>
      </w:r>
      <w:r w:rsidRPr="00FC71BE">
        <w:rPr>
          <w:iCs/>
        </w:rPr>
        <w:instrText xml:space="preserve"> REF _Ref145960884 \h </w:instrText>
      </w:r>
      <w:r w:rsidRPr="00FC71BE">
        <w:rPr>
          <w:iCs/>
        </w:rPr>
      </w:r>
      <w:r w:rsidRPr="00FC71BE">
        <w:rPr>
          <w:iCs/>
        </w:rPr>
        <w:fldChar w:fldCharType="separate"/>
      </w:r>
      <w:r w:rsidR="007E62C1" w:rsidRPr="00FC71BE">
        <w:t>(</w:t>
      </w:r>
      <w:r w:rsidR="007E62C1" w:rsidRPr="00FC71BE">
        <w:rPr>
          <w:noProof/>
        </w:rPr>
        <w:t>4</w:t>
      </w:r>
      <w:r w:rsidR="007E62C1" w:rsidRPr="00FC71BE">
        <w:t>.</w:t>
      </w:r>
      <w:r w:rsidR="007E62C1" w:rsidRPr="00FC71BE">
        <w:rPr>
          <w:noProof/>
        </w:rPr>
        <w:t>1</w:t>
      </w:r>
      <w:r w:rsidR="007E62C1" w:rsidRPr="00FC71BE">
        <w:t>)</w:t>
      </w:r>
      <w:r w:rsidRPr="00FC71BE">
        <w:rPr>
          <w:iCs/>
        </w:rPr>
        <w:fldChar w:fldCharType="end"/>
      </w:r>
      <w:r w:rsidRPr="00FC71BE">
        <w:rPr>
          <w:iCs/>
        </w:rPr>
        <w:t xml:space="preserve"> and </w:t>
      </w:r>
      <w:r w:rsidRPr="00FC71BE">
        <w:rPr>
          <w:iCs/>
        </w:rPr>
        <w:fldChar w:fldCharType="begin"/>
      </w:r>
      <w:r w:rsidRPr="00FC71BE">
        <w:rPr>
          <w:iCs/>
        </w:rPr>
        <w:instrText xml:space="preserve"> REF _Ref145960490 \h </w:instrText>
      </w:r>
      <w:r w:rsidRPr="00FC71BE">
        <w:rPr>
          <w:iCs/>
        </w:rPr>
      </w:r>
      <w:r w:rsidRPr="00FC71BE">
        <w:rPr>
          <w:iCs/>
        </w:rPr>
        <w:fldChar w:fldCharType="separate"/>
      </w:r>
      <w:r w:rsidR="007E62C1" w:rsidRPr="00FC71BE">
        <w:t>(</w:t>
      </w:r>
      <w:r w:rsidR="007E62C1" w:rsidRPr="00FC71BE">
        <w:rPr>
          <w:noProof/>
        </w:rPr>
        <w:t>4</w:t>
      </w:r>
      <w:r w:rsidR="007E62C1" w:rsidRPr="00FC71BE">
        <w:t>.</w:t>
      </w:r>
      <w:r w:rsidR="007E62C1" w:rsidRPr="00FC71BE">
        <w:rPr>
          <w:noProof/>
        </w:rPr>
        <w:t>2</w:t>
      </w:r>
      <w:r w:rsidR="007E62C1" w:rsidRPr="00FC71BE">
        <w:t>)</w:t>
      </w:r>
      <w:r w:rsidRPr="00FC71BE">
        <w:rPr>
          <w:iCs/>
        </w:rPr>
        <w:fldChar w:fldCharType="end"/>
      </w:r>
      <w:r w:rsidRPr="00FC71BE">
        <w:rPr>
          <w:iCs/>
        </w:rPr>
        <w:t xml:space="preserve">. The dimensionless pressure loss coefficient for sudden expansions and contractions are calculated by </w:t>
      </w:r>
      <w:r w:rsidRPr="00FC71BE">
        <w:fldChar w:fldCharType="begin"/>
      </w:r>
      <w:r w:rsidR="0000133B" w:rsidRPr="00FC71BE">
        <w:instrText xml:space="preserve"> ADDIN EN.CITE &lt;EndNote&gt;&lt;Cite&gt;&lt;Author&gt;Staton&lt;/Author&gt;&lt;Year&gt;2008&lt;/Year&gt;&lt;RecNum&gt;163&lt;/RecNum&gt;&lt;DisplayText&gt;[89]&lt;/DisplayText&gt;&lt;record&gt;&lt;rec-number&gt;163&lt;/rec-number&gt;&lt;foreign-keys&gt;&lt;key app="EN" db-id="rf2p5e05jx0x9jep00uvx0s1fvaww2dfa0r9" timestamp="1696596793"&gt;163&lt;/key&gt;&lt;/foreign-keys&gt;&lt;ref-type name="Journal Article"&gt;17&lt;/ref-type&gt;&lt;contributors&gt;&lt;authors&gt;&lt;author&gt;Staton, David A&lt;/author&gt;&lt;author&gt;Cavagnino, Andrea&lt;/author&gt;&lt;/authors&gt;&lt;/contributors&gt;&lt;titles&gt;&lt;title&gt;Convection heat transfer and flow calculations suitable for electric machines thermal models&lt;/title&gt;&lt;secondary-title&gt;IEEE transactions on industrial electronics&lt;/secondary-title&gt;&lt;/titles&gt;&lt;periodical&gt;&lt;full-title&gt;IEEE Transactions on Industrial Electronics&lt;/full-title&gt;&lt;/periodical&gt;&lt;pages&gt;3509-3516&lt;/pages&gt;&lt;volume&gt;55&lt;/volume&gt;&lt;number&gt;10&lt;/number&gt;&lt;dates&gt;&lt;year&gt;2008&lt;/year&gt;&lt;/dates&gt;&lt;isbn&gt;0278-0046&lt;/isbn&gt;&lt;urls&gt;&lt;/urls&gt;&lt;/record&gt;&lt;/Cite&gt;&lt;/EndNote&gt;</w:instrText>
      </w:r>
      <w:r w:rsidRPr="00FC71BE">
        <w:fldChar w:fldCharType="separate"/>
      </w:r>
      <w:r w:rsidR="0000133B" w:rsidRPr="00FC71BE">
        <w:t>[89]</w:t>
      </w:r>
      <w:r w:rsidRPr="00FC71BE">
        <w:fldChar w:fldCharType="end"/>
      </w:r>
      <w:r w:rsidRPr="00FC71BE">
        <w:rPr>
          <w:iC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7"/>
        <w:gridCol w:w="2273"/>
        <w:gridCol w:w="796"/>
      </w:tblGrid>
      <w:tr w:rsidR="00FC71BE" w:rsidRPr="00FC71BE" w14:paraId="526EFAB7" w14:textId="77777777">
        <w:trPr>
          <w:trHeight w:val="850"/>
        </w:trPr>
        <w:tc>
          <w:tcPr>
            <w:tcW w:w="3299" w:type="pct"/>
            <w:vMerge w:val="restart"/>
          </w:tcPr>
          <w:p w14:paraId="040B5FE7" w14:textId="77777777" w:rsidR="0045562B" w:rsidRPr="00FC71BE" w:rsidRDefault="002143AD">
            <w:pPr>
              <w:pStyle w:val="equation"/>
              <w:rPr>
                <w:rFonts w:eastAsia="等线"/>
                <w:color w:val="auto"/>
              </w:rPr>
            </w:pPr>
            <m:oMathPara>
              <m:oMath>
                <m:sSub>
                  <m:sSubPr>
                    <m:ctrlPr>
                      <w:rPr>
                        <w:rFonts w:ascii="Cambria Math" w:hAnsi="Cambria Math"/>
                        <w:color w:val="auto"/>
                      </w:rPr>
                    </m:ctrlPr>
                  </m:sSubPr>
                  <m:e>
                    <m:r>
                      <w:rPr>
                        <w:rFonts w:ascii="Cambria Math" w:hAnsi="Cambria Math"/>
                        <w:color w:val="auto"/>
                      </w:rPr>
                      <m:t>k</m:t>
                    </m:r>
                  </m:e>
                  <m:sub>
                    <m:r>
                      <w:rPr>
                        <w:rFonts w:ascii="Cambria Math" w:hAnsi="Cambria Math"/>
                        <w:color w:val="auto"/>
                      </w:rPr>
                      <m:t>f</m:t>
                    </m:r>
                  </m:sub>
                </m:sSub>
                <m:r>
                  <m:rPr>
                    <m:sty m:val="p"/>
                  </m:rPr>
                  <w:rPr>
                    <w:rFonts w:ascii="Cambria Math" w:hAnsi="Cambria Math"/>
                    <w:color w:val="auto"/>
                  </w:rPr>
                  <m:t xml:space="preserve">= </m:t>
                </m:r>
                <m:d>
                  <m:dPr>
                    <m:begChr m:val="{"/>
                    <m:endChr m:val=""/>
                    <m:ctrlPr>
                      <w:rPr>
                        <w:rFonts w:ascii="Cambria Math" w:eastAsiaTheme="minorEastAsia" w:hAnsi="Cambria Math" w:cstheme="minorBidi"/>
                        <w:color w:val="auto"/>
                        <w:lang w:eastAsia="zh-CN"/>
                      </w:rPr>
                    </m:ctrlPr>
                  </m:dPr>
                  <m:e>
                    <m:eqArr>
                      <m:eqArrPr>
                        <m:ctrlPr>
                          <w:rPr>
                            <w:rFonts w:ascii="Cambria Math" w:eastAsiaTheme="minorEastAsia" w:hAnsi="Cambria Math" w:cstheme="minorBidi"/>
                            <w:color w:val="auto"/>
                            <w:lang w:eastAsia="zh-CN"/>
                          </w:rPr>
                        </m:ctrlPr>
                      </m:eqArrPr>
                      <m:e>
                        <m:sSup>
                          <m:sSupPr>
                            <m:ctrlPr>
                              <w:rPr>
                                <w:rFonts w:ascii="Cambria Math" w:hAnsi="Cambria Math"/>
                                <w:color w:val="auto"/>
                              </w:rPr>
                            </m:ctrlPr>
                          </m:sSupPr>
                          <m:e>
                            <m:d>
                              <m:dPr>
                                <m:ctrlPr>
                                  <w:rPr>
                                    <w:rFonts w:ascii="Cambria Math" w:hAnsi="Cambria Math"/>
                                    <w:color w:val="auto"/>
                                  </w:rPr>
                                </m:ctrlPr>
                              </m:dPr>
                              <m:e>
                                <m:r>
                                  <m:rPr>
                                    <m:sty m:val="p"/>
                                  </m:rPr>
                                  <w:rPr>
                                    <w:rFonts w:ascii="Cambria Math" w:hAnsi="Cambria Math"/>
                                    <w:color w:val="auto"/>
                                  </w:rPr>
                                  <m:t>1-</m:t>
                                </m:r>
                                <m:f>
                                  <m:fPr>
                                    <m:ctrlPr>
                                      <w:rPr>
                                        <w:rFonts w:ascii="Cambria Math" w:hAnsi="Cambria Math"/>
                                        <w:color w:val="auto"/>
                                      </w:rPr>
                                    </m:ctrlPr>
                                  </m:fPr>
                                  <m:num>
                                    <m:sSub>
                                      <m:sSubPr>
                                        <m:ctrlPr>
                                          <w:rPr>
                                            <w:rFonts w:ascii="Cambria Math" w:hAnsi="Cambria Math"/>
                                            <w:iCs/>
                                            <w:color w:val="auto"/>
                                          </w:rPr>
                                        </m:ctrlPr>
                                      </m:sSubPr>
                                      <m:e>
                                        <m:r>
                                          <m:rPr>
                                            <m:sty m:val="p"/>
                                          </m:rPr>
                                          <w:rPr>
                                            <w:rFonts w:ascii="Cambria Math" w:hAnsi="Cambria Math"/>
                                            <w:color w:val="auto"/>
                                          </w:rPr>
                                          <m:t>Area</m:t>
                                        </m:r>
                                      </m:e>
                                      <m:sub>
                                        <m:r>
                                          <m:rPr>
                                            <m:sty m:val="p"/>
                                          </m:rPr>
                                          <w:rPr>
                                            <w:rFonts w:ascii="Cambria Math" w:hAnsi="Cambria Math"/>
                                            <w:color w:val="auto"/>
                                          </w:rPr>
                                          <m:t>i</m:t>
                                        </m:r>
                                      </m:sub>
                                    </m:sSub>
                                  </m:num>
                                  <m:den>
                                    <m:sSub>
                                      <m:sSubPr>
                                        <m:ctrlPr>
                                          <w:rPr>
                                            <w:rFonts w:ascii="Cambria Math" w:hAnsi="Cambria Math"/>
                                            <w:iCs/>
                                            <w:color w:val="auto"/>
                                          </w:rPr>
                                        </m:ctrlPr>
                                      </m:sSubPr>
                                      <m:e>
                                        <m:r>
                                          <m:rPr>
                                            <m:sty m:val="p"/>
                                          </m:rPr>
                                          <w:rPr>
                                            <w:rFonts w:ascii="Cambria Math" w:hAnsi="Cambria Math"/>
                                            <w:color w:val="auto"/>
                                          </w:rPr>
                                          <m:t>Area</m:t>
                                        </m:r>
                                      </m:e>
                                      <m:sub>
                                        <m:r>
                                          <m:rPr>
                                            <m:sty m:val="p"/>
                                          </m:rPr>
                                          <w:rPr>
                                            <w:rFonts w:ascii="Cambria Math" w:hAnsi="Cambria Math"/>
                                            <w:color w:val="auto"/>
                                          </w:rPr>
                                          <m:t>o</m:t>
                                        </m:r>
                                      </m:sub>
                                    </m:sSub>
                                  </m:den>
                                </m:f>
                              </m:e>
                            </m:d>
                          </m:e>
                          <m:sup>
                            <m:r>
                              <m:rPr>
                                <m:sty m:val="p"/>
                              </m:rPr>
                              <w:rPr>
                                <w:rFonts w:ascii="Cambria Math" w:hAnsi="Cambria Math"/>
                                <w:color w:val="auto"/>
                              </w:rPr>
                              <m:t>2</m:t>
                            </m:r>
                          </m:sup>
                        </m:sSup>
                      </m:e>
                      <m:e>
                        <m:sSup>
                          <m:sSupPr>
                            <m:ctrlPr>
                              <w:rPr>
                                <w:rFonts w:ascii="Cambria Math" w:hAnsi="Cambria Math"/>
                                <w:color w:val="auto"/>
                              </w:rPr>
                            </m:ctrlPr>
                          </m:sSupPr>
                          <m:e>
                            <m:r>
                              <m:rPr>
                                <m:sty m:val="p"/>
                              </m:rPr>
                              <w:rPr>
                                <w:rFonts w:ascii="Cambria Math" w:hAnsi="Cambria Math"/>
                                <w:color w:val="auto"/>
                              </w:rPr>
                              <m:t>0.5∙</m:t>
                            </m:r>
                            <m:d>
                              <m:dPr>
                                <m:ctrlPr>
                                  <w:rPr>
                                    <w:rFonts w:ascii="Cambria Math" w:hAnsi="Cambria Math"/>
                                    <w:color w:val="auto"/>
                                  </w:rPr>
                                </m:ctrlPr>
                              </m:dPr>
                              <m:e>
                                <m:r>
                                  <m:rPr>
                                    <m:sty m:val="p"/>
                                  </m:rPr>
                                  <w:rPr>
                                    <w:rFonts w:ascii="Cambria Math" w:hAnsi="Cambria Math"/>
                                    <w:color w:val="auto"/>
                                  </w:rPr>
                                  <m:t>1-</m:t>
                                </m:r>
                                <m:f>
                                  <m:fPr>
                                    <m:ctrlPr>
                                      <w:rPr>
                                        <w:rFonts w:ascii="Cambria Math" w:hAnsi="Cambria Math"/>
                                        <w:color w:val="auto"/>
                                      </w:rPr>
                                    </m:ctrlPr>
                                  </m:fPr>
                                  <m:num>
                                    <m:sSub>
                                      <m:sSubPr>
                                        <m:ctrlPr>
                                          <w:rPr>
                                            <w:rFonts w:ascii="Cambria Math" w:hAnsi="Cambria Math"/>
                                            <w:color w:val="auto"/>
                                          </w:rPr>
                                        </m:ctrlPr>
                                      </m:sSubPr>
                                      <m:e>
                                        <m:r>
                                          <m:rPr>
                                            <m:sty m:val="p"/>
                                          </m:rPr>
                                          <w:rPr>
                                            <w:rFonts w:ascii="Cambria Math" w:hAnsi="Cambria Math"/>
                                            <w:color w:val="auto"/>
                                          </w:rPr>
                                          <m:t>Area</m:t>
                                        </m:r>
                                      </m:e>
                                      <m:sub>
                                        <m:r>
                                          <m:rPr>
                                            <m:sty m:val="p"/>
                                          </m:rPr>
                                          <w:rPr>
                                            <w:rFonts w:ascii="Cambria Math" w:hAnsi="Cambria Math"/>
                                            <w:color w:val="auto"/>
                                          </w:rPr>
                                          <m:t>o</m:t>
                                        </m:r>
                                      </m:sub>
                                    </m:sSub>
                                  </m:num>
                                  <m:den>
                                    <m:sSub>
                                      <m:sSubPr>
                                        <m:ctrlPr>
                                          <w:rPr>
                                            <w:rFonts w:ascii="Cambria Math" w:hAnsi="Cambria Math"/>
                                            <w:color w:val="auto"/>
                                          </w:rPr>
                                        </m:ctrlPr>
                                      </m:sSubPr>
                                      <m:e>
                                        <m:r>
                                          <m:rPr>
                                            <m:sty m:val="p"/>
                                          </m:rPr>
                                          <w:rPr>
                                            <w:rFonts w:ascii="Cambria Math" w:hAnsi="Cambria Math"/>
                                            <w:color w:val="auto"/>
                                          </w:rPr>
                                          <m:t>Area</m:t>
                                        </m:r>
                                      </m:e>
                                      <m:sub>
                                        <m:r>
                                          <m:rPr>
                                            <m:sty m:val="p"/>
                                          </m:rPr>
                                          <w:rPr>
                                            <w:rFonts w:ascii="Cambria Math" w:hAnsi="Cambria Math"/>
                                            <w:color w:val="auto"/>
                                          </w:rPr>
                                          <m:t>i</m:t>
                                        </m:r>
                                      </m:sub>
                                    </m:sSub>
                                  </m:den>
                                </m:f>
                              </m:e>
                            </m:d>
                          </m:e>
                          <m:sup>
                            <m:r>
                              <m:rPr>
                                <m:sty m:val="p"/>
                              </m:rPr>
                              <w:rPr>
                                <w:rFonts w:ascii="Cambria Math" w:hAnsi="Cambria Math"/>
                                <w:color w:val="auto"/>
                              </w:rPr>
                              <m:t>0.75</m:t>
                            </m:r>
                          </m:sup>
                        </m:sSup>
                      </m:e>
                    </m:eqArr>
                  </m:e>
                </m:d>
              </m:oMath>
            </m:oMathPara>
          </w:p>
        </w:tc>
        <w:tc>
          <w:tcPr>
            <w:tcW w:w="1259" w:type="pct"/>
            <w:vAlign w:val="center"/>
          </w:tcPr>
          <w:p w14:paraId="436AE687" w14:textId="77777777" w:rsidR="0045562B" w:rsidRPr="00FC71BE" w:rsidRDefault="0045562B">
            <w:pPr>
              <w:pStyle w:val="equation"/>
              <w:rPr>
                <w:color w:val="auto"/>
              </w:rPr>
            </w:pPr>
            <m:oMathPara>
              <m:oMath>
                <m:r>
                  <w:rPr>
                    <w:rFonts w:ascii="Cambria Math" w:hAnsi="Cambria Math"/>
                    <w:color w:val="auto"/>
                  </w:rPr>
                  <m:t xml:space="preserve"> </m:t>
                </m:r>
                <m:sSub>
                  <m:sSubPr>
                    <m:ctrlPr>
                      <w:rPr>
                        <w:rFonts w:ascii="Cambria Math" w:hAnsi="Cambria Math"/>
                        <w:color w:val="auto"/>
                      </w:rPr>
                    </m:ctrlPr>
                  </m:sSubPr>
                  <m:e>
                    <m:r>
                      <m:rPr>
                        <m:sty m:val="p"/>
                      </m:rPr>
                      <w:rPr>
                        <w:rFonts w:ascii="Cambria Math" w:hAnsi="Cambria Math"/>
                        <w:color w:val="auto"/>
                      </w:rPr>
                      <m:t>Area</m:t>
                    </m:r>
                  </m:e>
                  <m:sub>
                    <m:r>
                      <m:rPr>
                        <m:sty m:val="p"/>
                      </m:rPr>
                      <w:rPr>
                        <w:rFonts w:ascii="Cambria Math" w:hAnsi="Cambria Math"/>
                        <w:color w:val="auto"/>
                      </w:rPr>
                      <m:t>i</m:t>
                    </m:r>
                  </m:sub>
                </m:sSub>
                <m:r>
                  <w:rPr>
                    <w:rFonts w:ascii="Cambria Math" w:hAnsi="Cambria Math"/>
                    <w:color w:val="auto"/>
                  </w:rPr>
                  <m:t>&lt;</m:t>
                </m:r>
                <m:sSub>
                  <m:sSubPr>
                    <m:ctrlPr>
                      <w:rPr>
                        <w:rFonts w:ascii="Cambria Math" w:hAnsi="Cambria Math"/>
                        <w:color w:val="auto"/>
                      </w:rPr>
                    </m:ctrlPr>
                  </m:sSubPr>
                  <m:e>
                    <m:r>
                      <m:rPr>
                        <m:sty m:val="p"/>
                      </m:rPr>
                      <w:rPr>
                        <w:rFonts w:ascii="Cambria Math" w:hAnsi="Cambria Math"/>
                        <w:color w:val="auto"/>
                      </w:rPr>
                      <m:t>Area</m:t>
                    </m:r>
                  </m:e>
                  <m:sub>
                    <m:r>
                      <m:rPr>
                        <m:sty m:val="p"/>
                      </m:rPr>
                      <w:rPr>
                        <w:rFonts w:ascii="Cambria Math" w:hAnsi="Cambria Math"/>
                        <w:color w:val="auto"/>
                      </w:rPr>
                      <m:t>o</m:t>
                    </m:r>
                  </m:sub>
                </m:sSub>
              </m:oMath>
            </m:oMathPara>
          </w:p>
        </w:tc>
        <w:tc>
          <w:tcPr>
            <w:tcW w:w="441" w:type="pct"/>
            <w:vMerge w:val="restart"/>
            <w:vAlign w:val="center"/>
          </w:tcPr>
          <w:p w14:paraId="771A9910" w14:textId="095346FF" w:rsidR="0045562B" w:rsidRPr="00FC71BE" w:rsidRDefault="0045562B">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16</w:t>
            </w:r>
            <w:r w:rsidR="002839C4" w:rsidRPr="00FC71BE">
              <w:rPr>
                <w:color w:val="auto"/>
              </w:rPr>
              <w:fldChar w:fldCharType="end"/>
            </w:r>
            <w:r w:rsidRPr="00FC71BE">
              <w:rPr>
                <w:color w:val="auto"/>
              </w:rPr>
              <w:t>)</w:t>
            </w:r>
          </w:p>
        </w:tc>
      </w:tr>
      <w:tr w:rsidR="00FC71BE" w:rsidRPr="00FC71BE" w14:paraId="3F36CBB1" w14:textId="77777777">
        <w:trPr>
          <w:trHeight w:val="850"/>
        </w:trPr>
        <w:tc>
          <w:tcPr>
            <w:tcW w:w="3299" w:type="pct"/>
            <w:vMerge/>
            <w:vAlign w:val="center"/>
          </w:tcPr>
          <w:p w14:paraId="06951AB9" w14:textId="77777777" w:rsidR="0045562B" w:rsidRPr="00FC71BE" w:rsidRDefault="0045562B">
            <w:pPr>
              <w:pStyle w:val="equation"/>
              <w:rPr>
                <w:color w:val="auto"/>
              </w:rPr>
            </w:pPr>
          </w:p>
        </w:tc>
        <w:tc>
          <w:tcPr>
            <w:tcW w:w="1259" w:type="pct"/>
            <w:vAlign w:val="center"/>
          </w:tcPr>
          <w:p w14:paraId="212ECF53" w14:textId="77777777" w:rsidR="0045562B" w:rsidRPr="00FC71BE" w:rsidRDefault="0045562B">
            <w:pPr>
              <w:pStyle w:val="equation"/>
              <w:rPr>
                <w:rFonts w:eastAsia="等线"/>
                <w:color w:val="auto"/>
              </w:rPr>
            </w:pPr>
            <m:oMathPara>
              <m:oMath>
                <m:r>
                  <w:rPr>
                    <w:rFonts w:ascii="Cambria Math" w:hAnsi="Cambria Math"/>
                    <w:color w:val="auto"/>
                  </w:rPr>
                  <m:t xml:space="preserve"> </m:t>
                </m:r>
                <m:sSub>
                  <m:sSubPr>
                    <m:ctrlPr>
                      <w:rPr>
                        <w:rFonts w:ascii="Cambria Math" w:hAnsi="Cambria Math"/>
                        <w:color w:val="auto"/>
                      </w:rPr>
                    </m:ctrlPr>
                  </m:sSubPr>
                  <m:e>
                    <m:r>
                      <m:rPr>
                        <m:sty m:val="p"/>
                      </m:rPr>
                      <w:rPr>
                        <w:rFonts w:ascii="Cambria Math" w:hAnsi="Cambria Math"/>
                        <w:color w:val="auto"/>
                      </w:rPr>
                      <m:t>Area</m:t>
                    </m:r>
                  </m:e>
                  <m:sub>
                    <m:r>
                      <m:rPr>
                        <m:sty m:val="p"/>
                      </m:rPr>
                      <w:rPr>
                        <w:rFonts w:ascii="Cambria Math" w:hAnsi="Cambria Math"/>
                        <w:color w:val="auto"/>
                      </w:rPr>
                      <m:t>i</m:t>
                    </m:r>
                  </m:sub>
                </m:sSub>
                <m:r>
                  <w:rPr>
                    <w:rFonts w:ascii="Cambria Math" w:hAnsi="Cambria Math"/>
                    <w:color w:val="auto"/>
                  </w:rPr>
                  <m:t>&gt;</m:t>
                </m:r>
                <m:sSub>
                  <m:sSubPr>
                    <m:ctrlPr>
                      <w:rPr>
                        <w:rFonts w:ascii="Cambria Math" w:hAnsi="Cambria Math"/>
                        <w:color w:val="auto"/>
                      </w:rPr>
                    </m:ctrlPr>
                  </m:sSubPr>
                  <m:e>
                    <m:r>
                      <m:rPr>
                        <m:sty m:val="p"/>
                      </m:rPr>
                      <w:rPr>
                        <w:rFonts w:ascii="Cambria Math" w:hAnsi="Cambria Math"/>
                        <w:color w:val="auto"/>
                      </w:rPr>
                      <m:t>Area</m:t>
                    </m:r>
                  </m:e>
                  <m:sub>
                    <m:r>
                      <m:rPr>
                        <m:sty m:val="p"/>
                      </m:rPr>
                      <w:rPr>
                        <w:rFonts w:ascii="Cambria Math" w:hAnsi="Cambria Math"/>
                        <w:color w:val="auto"/>
                      </w:rPr>
                      <m:t>o</m:t>
                    </m:r>
                  </m:sub>
                </m:sSub>
              </m:oMath>
            </m:oMathPara>
          </w:p>
        </w:tc>
        <w:tc>
          <w:tcPr>
            <w:tcW w:w="441" w:type="pct"/>
            <w:vMerge/>
            <w:vAlign w:val="center"/>
          </w:tcPr>
          <w:p w14:paraId="1BD46BC3" w14:textId="77777777" w:rsidR="0045562B" w:rsidRPr="00FC71BE" w:rsidRDefault="0045562B">
            <w:pPr>
              <w:pStyle w:val="equation"/>
              <w:rPr>
                <w:color w:val="auto"/>
              </w:rPr>
            </w:pPr>
          </w:p>
        </w:tc>
      </w:tr>
    </w:tbl>
    <w:p w14:paraId="34311374" w14:textId="6E26E8F0" w:rsidR="0045562B" w:rsidRPr="00FC71BE" w:rsidRDefault="0045562B" w:rsidP="0045562B">
      <w:pPr>
        <w:ind w:firstLine="0"/>
      </w:pPr>
      <w:r w:rsidRPr="00FC71BE">
        <w:t xml:space="preserve">where </w:t>
      </w:r>
      <m:oMath>
        <m:sSub>
          <m:sSubPr>
            <m:ctrlPr>
              <w:rPr>
                <w:rFonts w:ascii="Cambria Math" w:hAnsi="Cambria Math"/>
                <w:iCs/>
                <w:szCs w:val="18"/>
              </w:rPr>
            </m:ctrlPr>
          </m:sSubPr>
          <m:e>
            <m:r>
              <m:rPr>
                <m:sty m:val="p"/>
              </m:rPr>
              <w:rPr>
                <w:rFonts w:ascii="Cambria Math" w:hAnsi="Cambria Math"/>
              </w:rPr>
              <m:t>Area</m:t>
            </m:r>
          </m:e>
          <m:sub>
            <m:r>
              <m:rPr>
                <m:sty m:val="p"/>
              </m:rPr>
              <w:rPr>
                <w:rFonts w:ascii="Cambria Math" w:hAnsi="Cambria Math"/>
              </w:rPr>
              <m:t>i</m:t>
            </m:r>
          </m:sub>
        </m:sSub>
      </m:oMath>
      <w:r w:rsidRPr="00FC71BE">
        <w:t xml:space="preserve"> and </w:t>
      </w:r>
      <m:oMath>
        <m:sSub>
          <m:sSubPr>
            <m:ctrlPr>
              <w:rPr>
                <w:rFonts w:ascii="Cambria Math" w:hAnsi="Cambria Math"/>
                <w:iCs/>
                <w:szCs w:val="18"/>
              </w:rPr>
            </m:ctrlPr>
          </m:sSubPr>
          <m:e>
            <m:r>
              <m:rPr>
                <m:sty m:val="p"/>
              </m:rPr>
              <w:rPr>
                <w:rFonts w:ascii="Cambria Math" w:hAnsi="Cambria Math"/>
              </w:rPr>
              <m:t>Area</m:t>
            </m:r>
          </m:e>
          <m:sub>
            <m:r>
              <m:rPr>
                <m:sty m:val="p"/>
              </m:rPr>
              <w:rPr>
                <w:rFonts w:ascii="Cambria Math" w:hAnsi="Cambria Math"/>
              </w:rPr>
              <m:t>o</m:t>
            </m:r>
          </m:sub>
        </m:sSub>
      </m:oMath>
      <w:r w:rsidRPr="00FC71BE">
        <w:t xml:space="preserve"> denote the upstream and downstream areas of the fluid channel, as shown in </w:t>
      </w:r>
      <w:r w:rsidRPr="00FC71BE">
        <w:fldChar w:fldCharType="begin"/>
      </w:r>
      <w:r w:rsidRPr="00FC71BE">
        <w:instrText xml:space="preserve"> REF _Ref146028895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14</w:t>
      </w:r>
      <w:r w:rsidRPr="00FC71BE">
        <w:fldChar w:fldCharType="end"/>
      </w:r>
      <w:r w:rsidRPr="00FC71BE">
        <w:t>.</w:t>
      </w:r>
    </w:p>
    <w:p w14:paraId="59C40DEC" w14:textId="77777777" w:rsidR="0045562B" w:rsidRPr="00FC71BE" w:rsidRDefault="0045562B" w:rsidP="0045562B">
      <w:pPr>
        <w:pStyle w:val="Figure"/>
        <w:rPr>
          <w:noProof w:val="0"/>
        </w:rPr>
      </w:pPr>
      <w:r w:rsidRPr="00FC71BE">
        <w:lastRenderedPageBreak/>
        <w:drawing>
          <wp:inline distT="0" distB="0" distL="0" distR="0" wp14:anchorId="4114E6C9" wp14:editId="59E682BC">
            <wp:extent cx="4385310" cy="2649843"/>
            <wp:effectExtent l="0" t="0" r="0" b="0"/>
            <wp:docPr id="53" name="Picture 53" descr="A diagram of a function&#10;&#10;Description automatically generated">
              <a:extLst xmlns:a="http://schemas.openxmlformats.org/drawingml/2006/main">
                <a:ext uri="{FF2B5EF4-FFF2-40B4-BE49-F238E27FC236}">
                  <a16:creationId xmlns:a16="http://schemas.microsoft.com/office/drawing/2014/main" id="{5451AC16-7C01-9A35-4021-BF5EC563F4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descr="A diagram of a function&#10;&#10;Description automatically generated">
                      <a:extLst>
                        <a:ext uri="{FF2B5EF4-FFF2-40B4-BE49-F238E27FC236}">
                          <a16:creationId xmlns:a16="http://schemas.microsoft.com/office/drawing/2014/main" id="{5451AC16-7C01-9A35-4021-BF5EC563F42C}"/>
                        </a:ext>
                      </a:extLst>
                    </pic:cNvPr>
                    <pic:cNvPicPr>
                      <a:picLocks noChangeAspect="1"/>
                    </pic:cNvPicPr>
                  </pic:nvPicPr>
                  <pic:blipFill>
                    <a:blip r:embed="rId153"/>
                    <a:stretch>
                      <a:fillRect/>
                    </a:stretch>
                  </pic:blipFill>
                  <pic:spPr>
                    <a:xfrm>
                      <a:off x="0" y="0"/>
                      <a:ext cx="4389697" cy="2652494"/>
                    </a:xfrm>
                    <a:prstGeom prst="rect">
                      <a:avLst/>
                    </a:prstGeom>
                  </pic:spPr>
                </pic:pic>
              </a:graphicData>
            </a:graphic>
          </wp:inline>
        </w:drawing>
      </w:r>
    </w:p>
    <w:p w14:paraId="51570D32" w14:textId="27D99A2F" w:rsidR="0045562B" w:rsidRPr="00FC71BE" w:rsidRDefault="0045562B" w:rsidP="0045562B">
      <w:pPr>
        <w:pStyle w:val="FigureTitle"/>
      </w:pPr>
      <w:bookmarkStart w:id="231" w:name="_Ref146028895"/>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14</w:t>
        </w:r>
      </w:fldSimple>
      <w:bookmarkEnd w:id="231"/>
      <w:r w:rsidRPr="00FC71BE">
        <w:t>. Dimensionless pressure loss coefficient (</w:t>
      </w:r>
      <m:oMath>
        <m:sSub>
          <m:sSubPr>
            <m:ctrlPr>
              <w:rPr>
                <w:rFonts w:ascii="Cambria Math" w:hAnsi="Cambria Math"/>
                <w:i/>
              </w:rPr>
            </m:ctrlPr>
          </m:sSubPr>
          <m:e>
            <m:r>
              <w:rPr>
                <w:rFonts w:ascii="Cambria Math" w:hAnsi="Cambria Math"/>
              </w:rPr>
              <m:t>k</m:t>
            </m:r>
          </m:e>
          <m:sub>
            <m:r>
              <w:rPr>
                <w:rFonts w:ascii="Cambria Math" w:hAnsi="Cambria Math"/>
              </w:rPr>
              <m:t>f</m:t>
            </m:r>
          </m:sub>
        </m:sSub>
      </m:oMath>
      <w:r w:rsidRPr="00FC71BE">
        <w:t xml:space="preserve">) caused by sudden expansions or contractions of fluid channel </w:t>
      </w:r>
      <w:r w:rsidRPr="00FC71BE">
        <w:fldChar w:fldCharType="begin"/>
      </w:r>
      <w:r w:rsidR="0000133B" w:rsidRPr="00FC71BE">
        <w:instrText xml:space="preserve"> ADDIN EN.CITE &lt;EndNote&gt;&lt;Cite&gt;&lt;Author&gt;Staton&lt;/Author&gt;&lt;Year&gt;2008&lt;/Year&gt;&lt;RecNum&gt;163&lt;/RecNum&gt;&lt;DisplayText&gt;[89]&lt;/DisplayText&gt;&lt;record&gt;&lt;rec-number&gt;163&lt;/rec-number&gt;&lt;foreign-keys&gt;&lt;key app="EN" db-id="rf2p5e05jx0x9jep00uvx0s1fvaww2dfa0r9" timestamp="1696596793"&gt;163&lt;/key&gt;&lt;/foreign-keys&gt;&lt;ref-type name="Journal Article"&gt;17&lt;/ref-type&gt;&lt;contributors&gt;&lt;authors&gt;&lt;author&gt;Staton, David A&lt;/author&gt;&lt;author&gt;Cavagnino, Andrea&lt;/author&gt;&lt;/authors&gt;&lt;/contributors&gt;&lt;titles&gt;&lt;title&gt;Convection heat transfer and flow calculations suitable for electric machines thermal models&lt;/title&gt;&lt;secondary-title&gt;IEEE transactions on industrial electronics&lt;/secondary-title&gt;&lt;/titles&gt;&lt;periodical&gt;&lt;full-title&gt;IEEE Transactions on Industrial Electronics&lt;/full-title&gt;&lt;/periodical&gt;&lt;pages&gt;3509-3516&lt;/pages&gt;&lt;volume&gt;55&lt;/volume&gt;&lt;number&gt;10&lt;/number&gt;&lt;dates&gt;&lt;year&gt;2008&lt;/year&gt;&lt;/dates&gt;&lt;isbn&gt;0278-0046&lt;/isbn&gt;&lt;urls&gt;&lt;/urls&gt;&lt;/record&gt;&lt;/Cite&gt;&lt;/EndNote&gt;</w:instrText>
      </w:r>
      <w:r w:rsidRPr="00FC71BE">
        <w:fldChar w:fldCharType="separate"/>
      </w:r>
      <w:r w:rsidR="0000133B" w:rsidRPr="00FC71BE">
        <w:t>[89]</w:t>
      </w:r>
      <w:r w:rsidRPr="00FC71BE">
        <w:fldChar w:fldCharType="end"/>
      </w:r>
      <w:r w:rsidRPr="00FC71BE">
        <w:t>.</w:t>
      </w:r>
    </w:p>
    <w:p w14:paraId="13A217AD" w14:textId="27588326" w:rsidR="0045562B" w:rsidRPr="00FC71BE" w:rsidRDefault="0045562B" w:rsidP="0045562B">
      <w:r w:rsidRPr="00FC71BE">
        <w:t xml:space="preserve">Therefore, when the cross-sectional areas of the inlet and outlet increase and the machine inside region is constant, </w:t>
      </w:r>
      <m:oMath>
        <m:f>
          <m:fPr>
            <m:type m:val="lin"/>
            <m:ctrlPr>
              <w:rPr>
                <w:rFonts w:ascii="Cambria Math" w:hAnsi="Cambria Math"/>
                <w:i/>
              </w:rPr>
            </m:ctrlPr>
          </m:fPr>
          <m:num>
            <m:sSub>
              <m:sSubPr>
                <m:ctrlPr>
                  <w:rPr>
                    <w:rFonts w:ascii="Cambria Math" w:hAnsi="Cambria Math"/>
                    <w:iCs/>
                  </w:rPr>
                </m:ctrlPr>
              </m:sSubPr>
              <m:e>
                <m:r>
                  <m:rPr>
                    <m:sty m:val="p"/>
                  </m:rPr>
                  <w:rPr>
                    <w:rFonts w:ascii="Cambria Math" w:hAnsi="Cambria Math"/>
                  </w:rPr>
                  <m:t>Area</m:t>
                </m:r>
              </m:e>
              <m:sub>
                <m:r>
                  <m:rPr>
                    <m:sty m:val="p"/>
                  </m:rPr>
                  <w:rPr>
                    <w:rFonts w:ascii="Cambria Math" w:hAnsi="Cambria Math"/>
                  </w:rPr>
                  <m:t>i</m:t>
                </m:r>
              </m:sub>
            </m:sSub>
          </m:num>
          <m:den>
            <m:sSub>
              <m:sSubPr>
                <m:ctrlPr>
                  <w:rPr>
                    <w:rFonts w:ascii="Cambria Math" w:hAnsi="Cambria Math"/>
                  </w:rPr>
                </m:ctrlPr>
              </m:sSubPr>
              <m:e>
                <m:r>
                  <m:rPr>
                    <m:sty m:val="p"/>
                  </m:rPr>
                  <w:rPr>
                    <w:rFonts w:ascii="Cambria Math" w:hAnsi="Cambria Math"/>
                  </w:rPr>
                  <m:t>Area</m:t>
                </m:r>
              </m:e>
              <m:sub>
                <m:r>
                  <m:rPr>
                    <m:sty m:val="p"/>
                  </m:rPr>
                  <w:rPr>
                    <w:rFonts w:ascii="Cambria Math" w:hAnsi="Cambria Math"/>
                  </w:rPr>
                  <m:t>o</m:t>
                </m:r>
              </m:sub>
            </m:sSub>
          </m:den>
        </m:f>
      </m:oMath>
      <w:r w:rsidRPr="00FC71BE">
        <w:t xml:space="preserve"> for the end-space inlet region (expansion) and </w:t>
      </w:r>
      <m:oMath>
        <m:f>
          <m:fPr>
            <m:type m:val="lin"/>
            <m:ctrlPr>
              <w:rPr>
                <w:rFonts w:ascii="Cambria Math" w:hAnsi="Cambria Math"/>
                <w:i/>
              </w:rPr>
            </m:ctrlPr>
          </m:fPr>
          <m:num>
            <m:sSub>
              <m:sSubPr>
                <m:ctrlPr>
                  <w:rPr>
                    <w:rFonts w:ascii="Cambria Math" w:hAnsi="Cambria Math"/>
                    <w:iCs/>
                  </w:rPr>
                </m:ctrlPr>
              </m:sSubPr>
              <m:e>
                <m:r>
                  <m:rPr>
                    <m:sty m:val="p"/>
                  </m:rPr>
                  <w:rPr>
                    <w:rFonts w:ascii="Cambria Math" w:hAnsi="Cambria Math"/>
                  </w:rPr>
                  <m:t>Area</m:t>
                </m:r>
              </m:e>
              <m:sub>
                <m:r>
                  <w:rPr>
                    <w:rFonts w:ascii="Cambria Math" w:hAnsi="Cambria Math"/>
                  </w:rPr>
                  <m:t>o</m:t>
                </m:r>
              </m:sub>
            </m:sSub>
          </m:num>
          <m:den>
            <m:sSub>
              <m:sSubPr>
                <m:ctrlPr>
                  <w:rPr>
                    <w:rFonts w:ascii="Cambria Math" w:hAnsi="Cambria Math"/>
                  </w:rPr>
                </m:ctrlPr>
              </m:sSubPr>
              <m:e>
                <m:r>
                  <m:rPr>
                    <m:sty m:val="p"/>
                  </m:rPr>
                  <w:rPr>
                    <w:rFonts w:ascii="Cambria Math" w:hAnsi="Cambria Math"/>
                  </w:rPr>
                  <m:t>Area</m:t>
                </m:r>
              </m:e>
              <m:sub>
                <m:r>
                  <w:rPr>
                    <w:rFonts w:ascii="Cambria Math" w:hAnsi="Cambria Math"/>
                  </w:rPr>
                  <m:t>i</m:t>
                </m:r>
              </m:sub>
            </m:sSub>
          </m:den>
        </m:f>
      </m:oMath>
      <w:r w:rsidRPr="00FC71BE">
        <w:t xml:space="preserve"> for the end-space outlet region (contraction) both tend to be 1. Thus, </w:t>
      </w:r>
      <m:oMath>
        <m:sSub>
          <m:sSubPr>
            <m:ctrlPr>
              <w:rPr>
                <w:rFonts w:ascii="Cambria Math" w:hAnsi="Cambria Math"/>
                <w:i/>
              </w:rPr>
            </m:ctrlPr>
          </m:sSubPr>
          <m:e>
            <m:r>
              <w:rPr>
                <w:rFonts w:ascii="Cambria Math" w:hAnsi="Cambria Math"/>
              </w:rPr>
              <m:t>k</m:t>
            </m:r>
          </m:e>
          <m:sub>
            <m:r>
              <w:rPr>
                <w:rFonts w:ascii="Cambria Math" w:hAnsi="Cambria Math"/>
              </w:rPr>
              <m:t>f</m:t>
            </m:r>
          </m:sub>
        </m:sSub>
      </m:oMath>
      <w:r w:rsidRPr="00FC71BE">
        <w:t xml:space="preserve"> tends to be 0, as shown in </w:t>
      </w:r>
      <w:r w:rsidRPr="00FC71BE">
        <w:fldChar w:fldCharType="begin"/>
      </w:r>
      <w:r w:rsidRPr="00FC71BE">
        <w:instrText xml:space="preserve"> REF _Ref146028895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14</w:t>
      </w:r>
      <w:r w:rsidRPr="00FC71BE">
        <w:fldChar w:fldCharType="end"/>
      </w:r>
      <w:r w:rsidRPr="00FC71BE">
        <w:t xml:space="preserve">. As a result, increasing the cross-sectional area of the inlet/outlet results in lower pressure loss in inlet and outlet regions. And higher flow rate for the whole system can be achieved when the pressure loss is constant, as shown in </w:t>
      </w:r>
      <w:r w:rsidRPr="00FC71BE">
        <w:fldChar w:fldCharType="begin"/>
      </w:r>
      <w:r w:rsidRPr="00FC71BE">
        <w:instrText xml:space="preserve"> REF _Ref146031301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15</w:t>
      </w:r>
      <w:r w:rsidRPr="00FC71BE">
        <w:fldChar w:fldCharType="end"/>
      </w:r>
      <w:r w:rsidRPr="00FC71BE">
        <w:t>.</w:t>
      </w:r>
    </w:p>
    <w:p w14:paraId="4C72F986" w14:textId="77777777" w:rsidR="0045562B" w:rsidRPr="00FC71BE" w:rsidRDefault="0045562B" w:rsidP="0045562B">
      <w:pPr>
        <w:pStyle w:val="Figure"/>
        <w:rPr>
          <w:noProof w:val="0"/>
        </w:rPr>
      </w:pPr>
      <w:r w:rsidRPr="00FC71BE">
        <w:drawing>
          <wp:inline distT="0" distB="0" distL="0" distR="0" wp14:anchorId="7B325EB4" wp14:editId="56681B9F">
            <wp:extent cx="4363200" cy="2616419"/>
            <wp:effectExtent l="0" t="0" r="0" b="0"/>
            <wp:docPr id="1804966997" name="Picture 180496699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 line chart&#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63200" cy="2616419"/>
                    </a:xfrm>
                    <a:prstGeom prst="rect">
                      <a:avLst/>
                    </a:prstGeom>
                    <a:noFill/>
                    <a:ln>
                      <a:noFill/>
                    </a:ln>
                  </pic:spPr>
                </pic:pic>
              </a:graphicData>
            </a:graphic>
          </wp:inline>
        </w:drawing>
      </w:r>
    </w:p>
    <w:p w14:paraId="71DB73ED" w14:textId="3CAAE2C8" w:rsidR="0045562B" w:rsidRPr="00FC71BE" w:rsidRDefault="0045562B" w:rsidP="0045562B">
      <w:pPr>
        <w:pStyle w:val="FigureTitle"/>
      </w:pPr>
      <w:bookmarkStart w:id="232" w:name="_Ref146031301"/>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15</w:t>
        </w:r>
      </w:fldSimple>
      <w:bookmarkEnd w:id="232"/>
      <w:r w:rsidRPr="00FC71BE">
        <w:t xml:space="preserve">. Flow rate </w:t>
      </w:r>
      <w:r w:rsidRPr="00FC71BE">
        <w:rPr>
          <w:i/>
          <w:iCs w:val="0"/>
        </w:rPr>
        <w:t>vs</w:t>
      </w:r>
      <w:r w:rsidRPr="00FC71BE">
        <w:t xml:space="preserve"> different inlet or outlet areas.</w:t>
      </w:r>
    </w:p>
    <w:p w14:paraId="0AFB3AAB" w14:textId="53E27BCE" w:rsidR="0045562B" w:rsidRPr="00FC71BE" w:rsidRDefault="0045562B" w:rsidP="0045562B">
      <w:r w:rsidRPr="00FC71BE">
        <w:t xml:space="preserve">Due to the </w:t>
      </w:r>
      <w:r w:rsidRPr="00FC71BE">
        <w:rPr>
          <w:iCs/>
        </w:rPr>
        <w:t xml:space="preserve">influence </w:t>
      </w:r>
      <w:r w:rsidRPr="00FC71BE">
        <w:t xml:space="preserve">of inlet/outlet area </w:t>
      </w:r>
      <w:r w:rsidRPr="00FC71BE">
        <w:rPr>
          <w:iCs/>
        </w:rPr>
        <w:t>on</w:t>
      </w:r>
      <w:r w:rsidRPr="00FC71BE">
        <w:t xml:space="preserve"> the </w:t>
      </w:r>
      <w:r w:rsidRPr="00FC71BE">
        <w:rPr>
          <w:iCs/>
        </w:rPr>
        <w:t xml:space="preserve">flow rate, the convection coefficient and temperature </w:t>
      </w:r>
      <w:r w:rsidRPr="00FC71BE">
        <w:t>will also be</w:t>
      </w:r>
      <w:r w:rsidRPr="00FC71BE">
        <w:rPr>
          <w:iCs/>
        </w:rPr>
        <w:t xml:space="preserve"> affected by </w:t>
      </w:r>
      <w:r w:rsidRPr="00FC71BE">
        <w:t>the</w:t>
      </w:r>
      <w:r w:rsidRPr="00FC71BE">
        <w:rPr>
          <w:iCs/>
        </w:rPr>
        <w:t xml:space="preserve"> change in inlet/outlet area. </w:t>
      </w:r>
      <w:r w:rsidRPr="00FC71BE">
        <w:t>For example, the inlet and outlet areas increase,</w:t>
      </w:r>
      <w:r w:rsidRPr="00FC71BE">
        <w:rPr>
          <w:iCs/>
        </w:rPr>
        <w:t xml:space="preserve"> the convection coefficients on the surfaces of different machine </w:t>
      </w:r>
      <w:r w:rsidRPr="00FC71BE">
        <w:rPr>
          <w:iCs/>
        </w:rPr>
        <w:lastRenderedPageBreak/>
        <w:t xml:space="preserve">components all increase as shown in </w:t>
      </w:r>
      <w:r w:rsidRPr="00FC71BE">
        <w:rPr>
          <w:iCs/>
        </w:rPr>
        <w:fldChar w:fldCharType="begin"/>
      </w:r>
      <w:r w:rsidRPr="00FC71BE">
        <w:rPr>
          <w:iCs/>
        </w:rPr>
        <w:instrText xml:space="preserve"> REF _Ref146031498 \h </w:instrText>
      </w:r>
      <w:r w:rsidRPr="00FC71BE">
        <w:rPr>
          <w:iCs/>
        </w:rPr>
      </w:r>
      <w:r w:rsidRPr="00FC71BE">
        <w:rPr>
          <w:iCs/>
        </w:rPr>
        <w:fldChar w:fldCharType="separate"/>
      </w:r>
      <w:r w:rsidR="007E62C1" w:rsidRPr="00FC71BE">
        <w:t xml:space="preserve">Fig. </w:t>
      </w:r>
      <w:r w:rsidR="007E62C1" w:rsidRPr="00FC71BE">
        <w:rPr>
          <w:noProof/>
        </w:rPr>
        <w:t>4</w:t>
      </w:r>
      <w:r w:rsidR="007E62C1" w:rsidRPr="00FC71BE">
        <w:t>.</w:t>
      </w:r>
      <w:r w:rsidR="007E62C1" w:rsidRPr="00FC71BE">
        <w:rPr>
          <w:noProof/>
        </w:rPr>
        <w:t>16</w:t>
      </w:r>
      <w:r w:rsidRPr="00FC71BE">
        <w:rPr>
          <w:iCs/>
        </w:rPr>
        <w:fldChar w:fldCharType="end"/>
      </w:r>
      <w:r w:rsidRPr="00FC71BE">
        <w:rPr>
          <w:iCs/>
        </w:rPr>
        <w:t>. Additionally</w:t>
      </w:r>
      <w:r w:rsidRPr="00FC71BE">
        <w:t xml:space="preserve">, the temperatures on the surfaces of different machine components all reduce, as shown in </w:t>
      </w:r>
      <w:r w:rsidRPr="00FC71BE">
        <w:fldChar w:fldCharType="begin"/>
      </w:r>
      <w:r w:rsidRPr="00FC71BE">
        <w:instrText xml:space="preserve"> REF _Ref146031627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17</w:t>
      </w:r>
      <w:r w:rsidRPr="00FC71BE">
        <w:fldChar w:fldCharType="end"/>
      </w:r>
      <w:r w:rsidRPr="00FC71BE">
        <w:t xml:space="preserve">. It is also found that </w:t>
      </w:r>
      <w:r w:rsidRPr="00FC71BE">
        <w:rPr>
          <w:iCs/>
        </w:rPr>
        <w:t xml:space="preserve">the surface of the end-winding </w:t>
      </w:r>
      <w:r w:rsidRPr="00FC71BE">
        <w:t xml:space="preserve">facing </w:t>
      </w:r>
      <w:r w:rsidRPr="00FC71BE">
        <w:rPr>
          <w:iCs/>
        </w:rPr>
        <w:t>the</w:t>
      </w:r>
      <w:r w:rsidRPr="00FC71BE">
        <w:t xml:space="preserve"> </w:t>
      </w:r>
      <w:r w:rsidRPr="00FC71BE">
        <w:rPr>
          <w:iCs/>
        </w:rPr>
        <w:t xml:space="preserve">inlet flow benefits more from the </w:t>
      </w:r>
      <w:r w:rsidRPr="00FC71BE">
        <w:t xml:space="preserve">increase in </w:t>
      </w:r>
      <w:r w:rsidRPr="00FC71BE">
        <w:rPr>
          <w:iCs/>
        </w:rPr>
        <w:t>the</w:t>
      </w:r>
      <w:r w:rsidRPr="00FC71BE">
        <w:t xml:space="preserve"> </w:t>
      </w:r>
      <w:r w:rsidRPr="00FC71BE">
        <w:rPr>
          <w:iCs/>
        </w:rPr>
        <w:t>inlet/outlet area.</w:t>
      </w:r>
    </w:p>
    <w:p w14:paraId="6306776E" w14:textId="77777777" w:rsidR="0045562B" w:rsidRPr="00FC71BE" w:rsidRDefault="0045562B" w:rsidP="0045562B">
      <w:pPr>
        <w:pStyle w:val="Figure"/>
        <w:rPr>
          <w:noProof w:val="0"/>
        </w:rPr>
      </w:pPr>
      <w:r w:rsidRPr="00FC71BE">
        <w:drawing>
          <wp:inline distT="0" distB="0" distL="0" distR="0" wp14:anchorId="72F882E4" wp14:editId="42C266C1">
            <wp:extent cx="4363200" cy="2616419"/>
            <wp:effectExtent l="0" t="0" r="0" b="0"/>
            <wp:docPr id="54" name="Picture 54" descr="A graph of a graph showing the value of a gas outl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aph of a graph showing the value of a gas outlet&#10;&#10;Description automatically generated with medium confidenc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63200" cy="2616419"/>
                    </a:xfrm>
                    <a:prstGeom prst="rect">
                      <a:avLst/>
                    </a:prstGeom>
                    <a:noFill/>
                    <a:ln>
                      <a:noFill/>
                    </a:ln>
                  </pic:spPr>
                </pic:pic>
              </a:graphicData>
            </a:graphic>
          </wp:inline>
        </w:drawing>
      </w:r>
    </w:p>
    <w:p w14:paraId="0A20917A" w14:textId="0C1568DE" w:rsidR="0045562B" w:rsidRPr="00FC71BE" w:rsidRDefault="0045562B" w:rsidP="0045562B">
      <w:pPr>
        <w:pStyle w:val="FigureTitle"/>
      </w:pPr>
      <w:bookmarkStart w:id="233" w:name="_Ref146031498"/>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16</w:t>
        </w:r>
      </w:fldSimple>
      <w:bookmarkEnd w:id="233"/>
      <w:r w:rsidRPr="00FC71BE">
        <w:t>. Convection coefficients in different machine</w:t>
      </w:r>
      <w:r w:rsidRPr="00FC71BE" w:rsidDel="005E5217">
        <w:t xml:space="preserve"> </w:t>
      </w:r>
      <w:r w:rsidRPr="00FC71BE">
        <w:t xml:space="preserve">regions (end-windings in end-space inlet and outlet regions, and flux gap region) </w:t>
      </w:r>
      <w:r w:rsidRPr="00FC71BE">
        <w:rPr>
          <w:i/>
          <w:iCs w:val="0"/>
        </w:rPr>
        <w:t>vs</w:t>
      </w:r>
      <w:r w:rsidRPr="00FC71BE">
        <w:t xml:space="preserve"> different inlet or outlet areas.</w:t>
      </w:r>
    </w:p>
    <w:p w14:paraId="1E79B8FC" w14:textId="77777777" w:rsidR="0045562B" w:rsidRPr="00FC71BE" w:rsidRDefault="0045562B" w:rsidP="0045562B">
      <w:pPr>
        <w:pStyle w:val="Figure"/>
        <w:rPr>
          <w:noProof w:val="0"/>
        </w:rPr>
      </w:pPr>
      <w:r w:rsidRPr="00FC71BE">
        <w:drawing>
          <wp:inline distT="0" distB="0" distL="0" distR="0" wp14:anchorId="36ECD2C1" wp14:editId="365E0B62">
            <wp:extent cx="4363200" cy="2616664"/>
            <wp:effectExtent l="0" t="0" r="0" b="0"/>
            <wp:docPr id="17" name="Picture 17" descr="A graph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aph of two people&#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363200" cy="2616664"/>
                    </a:xfrm>
                    <a:prstGeom prst="rect">
                      <a:avLst/>
                    </a:prstGeom>
                    <a:noFill/>
                    <a:ln>
                      <a:noFill/>
                    </a:ln>
                  </pic:spPr>
                </pic:pic>
              </a:graphicData>
            </a:graphic>
          </wp:inline>
        </w:drawing>
      </w:r>
    </w:p>
    <w:p w14:paraId="3EBA4FD9" w14:textId="426AA306" w:rsidR="0045562B" w:rsidRPr="00FC71BE" w:rsidRDefault="0045562B" w:rsidP="0045562B">
      <w:pPr>
        <w:pStyle w:val="FigureTitle"/>
      </w:pPr>
      <w:bookmarkStart w:id="234" w:name="_Ref146031627"/>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17</w:t>
        </w:r>
      </w:fldSimple>
      <w:bookmarkEnd w:id="234"/>
      <w:r w:rsidRPr="00FC71BE">
        <w:t xml:space="preserve">. Maximum temperatures in different machine components (end-windings in end-space inlet and outlet regions, and active part) </w:t>
      </w:r>
      <w:r w:rsidRPr="00FC71BE">
        <w:rPr>
          <w:i/>
        </w:rPr>
        <w:t>vs</w:t>
      </w:r>
      <w:r w:rsidRPr="00FC71BE">
        <w:t xml:space="preserve"> different inlet or outlet areas.</w:t>
      </w:r>
    </w:p>
    <w:p w14:paraId="0C96096F" w14:textId="77777777" w:rsidR="0045562B" w:rsidRPr="00FC71BE" w:rsidRDefault="0045562B" w:rsidP="00B86C68">
      <w:pPr>
        <w:pStyle w:val="Heading2"/>
        <w:numPr>
          <w:ilvl w:val="1"/>
          <w:numId w:val="49"/>
        </w:numPr>
      </w:pPr>
      <w:bookmarkStart w:id="235" w:name="_Toc157695372"/>
      <w:r w:rsidRPr="00FC71BE">
        <w:t>Ventilation Cooling</w:t>
      </w:r>
      <w:bookmarkEnd w:id="235"/>
    </w:p>
    <w:p w14:paraId="72F49361" w14:textId="6087E807" w:rsidR="0045562B" w:rsidRPr="00FC71BE" w:rsidRDefault="0045562B" w:rsidP="0045562B">
      <w:r w:rsidRPr="00FC71BE">
        <w:t xml:space="preserve">In addition to the semi-flooded oil cooling system for the modular machine, another forced cooling system, namely the ventilation cooling system, has also been employed for the modular machine and its non-modular counterpart. For comparative analyses, eight machine models, </w:t>
      </w:r>
      <w:r w:rsidRPr="00FC71BE">
        <w:lastRenderedPageBreak/>
        <w:t xml:space="preserve">from model 1 to model 8, termed ‘M1’ to ‘M8’, as listed in </w:t>
      </w:r>
      <w:r w:rsidRPr="00FC71BE">
        <w:fldChar w:fldCharType="begin"/>
      </w:r>
      <w:r w:rsidRPr="00FC71BE">
        <w:instrText xml:space="preserve"> REF _Ref147241336 \h </w:instrText>
      </w:r>
      <w:r w:rsidRPr="00FC71BE">
        <w:fldChar w:fldCharType="separate"/>
      </w:r>
      <w:r w:rsidR="007E62C1" w:rsidRPr="00FC71BE">
        <w:t xml:space="preserve">Table </w:t>
      </w:r>
      <w:r w:rsidR="007E62C1" w:rsidRPr="00FC71BE">
        <w:rPr>
          <w:noProof/>
        </w:rPr>
        <w:t>4</w:t>
      </w:r>
      <w:r w:rsidR="007E62C1" w:rsidRPr="00FC71BE">
        <w:t>.</w:t>
      </w:r>
      <w:r w:rsidR="007E62C1" w:rsidRPr="00FC71BE">
        <w:rPr>
          <w:noProof/>
        </w:rPr>
        <w:t>3</w:t>
      </w:r>
      <w:r w:rsidRPr="00FC71BE">
        <w:fldChar w:fldCharType="end"/>
      </w:r>
      <w:r w:rsidRPr="00FC71BE">
        <w:t xml:space="preserve">, have been proposed and investigated. These machine models have different designs of endcaps, shafts and stators. </w:t>
      </w:r>
    </w:p>
    <w:p w14:paraId="2BC6E8F3" w14:textId="77777777" w:rsidR="0045562B" w:rsidRPr="00FC71BE" w:rsidRDefault="0045562B" w:rsidP="0045562B">
      <w:pPr>
        <w:pStyle w:val="Figure"/>
        <w:rPr>
          <w:noProof w:val="0"/>
        </w:rPr>
      </w:pPr>
      <w:r w:rsidRPr="00FC71BE">
        <w:drawing>
          <wp:inline distT="0" distB="0" distL="0" distR="0" wp14:anchorId="50E77D33" wp14:editId="5BBAFC1F">
            <wp:extent cx="4490628" cy="3312000"/>
            <wp:effectExtent l="0" t="0" r="5715" b="3175"/>
            <wp:docPr id="55" name="Picture 55" descr="A diagram of a machine&#10;&#10;Description automatically generated with medium confidence">
              <a:extLst xmlns:a="http://schemas.openxmlformats.org/drawingml/2006/main">
                <a:ext uri="{FF2B5EF4-FFF2-40B4-BE49-F238E27FC236}">
                  <a16:creationId xmlns:a16="http://schemas.microsoft.com/office/drawing/2014/main" id="{7AEB4F71-B702-5420-94CC-53BFF599B1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descr="A diagram of a machine&#10;&#10;Description automatically generated with medium confidence">
                      <a:extLst>
                        <a:ext uri="{FF2B5EF4-FFF2-40B4-BE49-F238E27FC236}">
                          <a16:creationId xmlns:a16="http://schemas.microsoft.com/office/drawing/2014/main" id="{7AEB4F71-B702-5420-94CC-53BFF599B1AA}"/>
                        </a:ext>
                      </a:extLst>
                    </pic:cNvPr>
                    <pic:cNvPicPr>
                      <a:picLocks noChangeAspect="1"/>
                    </pic:cNvPicPr>
                  </pic:nvPicPr>
                  <pic:blipFill>
                    <a:blip r:embed="rId157"/>
                    <a:stretch>
                      <a:fillRect/>
                    </a:stretch>
                  </pic:blipFill>
                  <pic:spPr>
                    <a:xfrm>
                      <a:off x="0" y="0"/>
                      <a:ext cx="4490628" cy="3312000"/>
                    </a:xfrm>
                    <a:prstGeom prst="rect">
                      <a:avLst/>
                    </a:prstGeom>
                  </pic:spPr>
                </pic:pic>
              </a:graphicData>
            </a:graphic>
          </wp:inline>
        </w:drawing>
      </w:r>
    </w:p>
    <w:p w14:paraId="08E37DBC" w14:textId="64FED42B" w:rsidR="0045562B" w:rsidRPr="00FC71BE" w:rsidRDefault="0045562B" w:rsidP="0045562B">
      <w:pPr>
        <w:pStyle w:val="FigureTitle"/>
      </w:pPr>
      <w:bookmarkStart w:id="236" w:name="_Ref147244118"/>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18</w:t>
        </w:r>
      </w:fldSimple>
      <w:bookmarkEnd w:id="236"/>
      <w:r w:rsidRPr="00FC71BE">
        <w:t>. The comparison between different models.</w:t>
      </w:r>
    </w:p>
    <w:p w14:paraId="1A5B4567" w14:textId="6B148C53" w:rsidR="0045562B" w:rsidRPr="00FC71BE" w:rsidRDefault="0045562B" w:rsidP="0045562B">
      <w:r w:rsidRPr="00FC71BE">
        <w:t xml:space="preserve">As shown in </w:t>
      </w:r>
      <w:r w:rsidRPr="00FC71BE">
        <w:fldChar w:fldCharType="begin"/>
      </w:r>
      <w:r w:rsidRPr="00FC71BE">
        <w:instrText xml:space="preserve"> REF _Ref147244118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18</w:t>
      </w:r>
      <w:r w:rsidRPr="00FC71BE">
        <w:fldChar w:fldCharType="end"/>
      </w:r>
      <w:r w:rsidRPr="00FC71BE">
        <w:t xml:space="preserve">, M1 is the original design previously discussed in section </w:t>
      </w:r>
      <w:r w:rsidRPr="00FC71BE">
        <w:fldChar w:fldCharType="begin"/>
      </w:r>
      <w:r w:rsidRPr="00FC71BE">
        <w:instrText xml:space="preserve"> REF _Ref146102171 \r \h </w:instrText>
      </w:r>
      <w:r w:rsidRPr="00FC71BE">
        <w:fldChar w:fldCharType="separate"/>
      </w:r>
      <w:r w:rsidR="007E62C1" w:rsidRPr="00FC71BE">
        <w:t>4.3</w:t>
      </w:r>
      <w:r w:rsidRPr="00FC71BE">
        <w:fldChar w:fldCharType="end"/>
      </w:r>
      <w:r w:rsidRPr="00FC71BE">
        <w:t xml:space="preserve">. M2 enlarges the cross-sectional area of the inlet and outlet of M1. For M1 and M2, both air and oil can be used as coolant materials due to the presence of a PEEK sleeve. M3 omits the sleeve from M1 and M2. Thus, the only permissible coolant is air, which does not require a sleeve to prevent coolant leakage. Once the sleeve is removed, the forced air cooling system can also be adopted for the non-modular machines since the flux gaps are not the exclusive fluid path for the coolant. This leads to the development of M4, which has the same endcaps and shaft as those of M3 but with continuous (non-modular) stator. A spoke-shape shaft can be used to provide additional coolant path for both modular and non-modular machines, termed M5 and M6, respectively. The further enlarged trapezoidal-shape inlet and outlet can be designed to align with the spoke-shape shaft, referred to as M7 and M8. Details of each machine component for different models are listed in </w:t>
      </w:r>
      <w:r w:rsidRPr="00FC71BE">
        <w:fldChar w:fldCharType="begin"/>
      </w:r>
      <w:r w:rsidRPr="00FC71BE">
        <w:instrText xml:space="preserve"> REF _Ref147241336 \h </w:instrText>
      </w:r>
      <w:r w:rsidRPr="00FC71BE">
        <w:fldChar w:fldCharType="separate"/>
      </w:r>
      <w:r w:rsidR="007E62C1" w:rsidRPr="00FC71BE">
        <w:t xml:space="preserve">Table </w:t>
      </w:r>
      <w:r w:rsidR="007E62C1" w:rsidRPr="00FC71BE">
        <w:rPr>
          <w:noProof/>
        </w:rPr>
        <w:t>4</w:t>
      </w:r>
      <w:r w:rsidR="007E62C1" w:rsidRPr="00FC71BE">
        <w:t>.</w:t>
      </w:r>
      <w:r w:rsidR="007E62C1" w:rsidRPr="00FC71BE">
        <w:rPr>
          <w:noProof/>
        </w:rPr>
        <w:t>3</w:t>
      </w:r>
      <w:r w:rsidRPr="00FC71BE">
        <w:fldChar w:fldCharType="end"/>
      </w:r>
      <w:r w:rsidRPr="00FC71BE">
        <w:t xml:space="preserve">-(A) and (B). More details can be seen in section </w:t>
      </w:r>
      <w:r w:rsidRPr="00FC71BE">
        <w:fldChar w:fldCharType="begin"/>
      </w:r>
      <w:r w:rsidRPr="00FC71BE">
        <w:instrText xml:space="preserve"> REF _Ref147246165 \r \h </w:instrText>
      </w:r>
      <w:r w:rsidRPr="00FC71BE">
        <w:fldChar w:fldCharType="separate"/>
      </w:r>
      <w:r w:rsidR="007E62C1" w:rsidRPr="00FC71BE">
        <w:t>4.4.1</w:t>
      </w:r>
      <w:r w:rsidRPr="00FC71BE">
        <w:fldChar w:fldCharType="end"/>
      </w:r>
      <w:r w:rsidRPr="00FC71BE">
        <w:t>.</w:t>
      </w:r>
    </w:p>
    <w:p w14:paraId="3A824B6C" w14:textId="77777777" w:rsidR="0045562B" w:rsidRPr="00FC71BE" w:rsidRDefault="0045562B" w:rsidP="0045562B">
      <w:pPr>
        <w:pStyle w:val="FigureTitle"/>
        <w:sectPr w:rsidR="0045562B" w:rsidRPr="00FC71BE" w:rsidSect="00230564">
          <w:pgSz w:w="11906" w:h="16838"/>
          <w:pgMar w:top="1440" w:right="1440" w:bottom="1440" w:left="1440" w:header="708" w:footer="708" w:gutter="0"/>
          <w:cols w:space="708"/>
          <w:docGrid w:linePitch="360"/>
        </w:sectPr>
      </w:pPr>
    </w:p>
    <w:p w14:paraId="33944142" w14:textId="7CFB2D0C" w:rsidR="0045562B" w:rsidRPr="00FC71BE" w:rsidRDefault="0045562B" w:rsidP="0045562B">
      <w:pPr>
        <w:pStyle w:val="Tabletitle"/>
        <w:rPr>
          <w:color w:val="auto"/>
        </w:rPr>
      </w:pPr>
      <w:bookmarkStart w:id="237" w:name="_Ref147241336"/>
      <w:r w:rsidRPr="00FC71BE">
        <w:rPr>
          <w:color w:val="auto"/>
        </w:rPr>
        <w:lastRenderedPageBreak/>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bookmarkEnd w:id="237"/>
      <w:r w:rsidRPr="00FC71BE">
        <w:rPr>
          <w:color w:val="auto"/>
        </w:rPr>
        <w:t>-(A) Topologies of Investigated Machines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2980"/>
        <w:gridCol w:w="2934"/>
        <w:gridCol w:w="2965"/>
        <w:gridCol w:w="2965"/>
      </w:tblGrid>
      <w:tr w:rsidR="00FC71BE" w:rsidRPr="00FC71BE" w14:paraId="055C340D" w14:textId="77777777">
        <w:tc>
          <w:tcPr>
            <w:tcW w:w="757" w:type="pct"/>
            <w:tcBorders>
              <w:top w:val="double" w:sz="4" w:space="0" w:color="auto"/>
            </w:tcBorders>
          </w:tcPr>
          <w:p w14:paraId="59983E57" w14:textId="77777777" w:rsidR="0045562B" w:rsidRPr="00FC71BE" w:rsidRDefault="0045562B">
            <w:pPr>
              <w:pStyle w:val="Table"/>
              <w:rPr>
                <w:color w:val="auto"/>
              </w:rPr>
            </w:pPr>
          </w:p>
        </w:tc>
        <w:tc>
          <w:tcPr>
            <w:tcW w:w="1067" w:type="pct"/>
            <w:tcBorders>
              <w:top w:val="double" w:sz="4" w:space="0" w:color="auto"/>
            </w:tcBorders>
            <w:vAlign w:val="center"/>
          </w:tcPr>
          <w:p w14:paraId="409C86BE" w14:textId="77777777" w:rsidR="0045562B" w:rsidRPr="00FC71BE" w:rsidRDefault="0045562B">
            <w:pPr>
              <w:pStyle w:val="Table"/>
              <w:rPr>
                <w:color w:val="auto"/>
              </w:rPr>
            </w:pPr>
            <w:r w:rsidRPr="00FC71BE">
              <w:rPr>
                <w:color w:val="auto"/>
              </w:rPr>
              <w:t>M1</w:t>
            </w:r>
          </w:p>
        </w:tc>
        <w:tc>
          <w:tcPr>
            <w:tcW w:w="1051" w:type="pct"/>
            <w:tcBorders>
              <w:top w:val="double" w:sz="4" w:space="0" w:color="auto"/>
            </w:tcBorders>
            <w:vAlign w:val="center"/>
          </w:tcPr>
          <w:p w14:paraId="4FE9F985" w14:textId="77777777" w:rsidR="0045562B" w:rsidRPr="00FC71BE" w:rsidRDefault="0045562B">
            <w:pPr>
              <w:pStyle w:val="Table"/>
              <w:rPr>
                <w:color w:val="auto"/>
              </w:rPr>
            </w:pPr>
            <w:r w:rsidRPr="00FC71BE">
              <w:rPr>
                <w:color w:val="auto"/>
              </w:rPr>
              <w:t>M2</w:t>
            </w:r>
          </w:p>
        </w:tc>
        <w:tc>
          <w:tcPr>
            <w:tcW w:w="1062" w:type="pct"/>
            <w:tcBorders>
              <w:top w:val="double" w:sz="4" w:space="0" w:color="auto"/>
            </w:tcBorders>
            <w:vAlign w:val="center"/>
          </w:tcPr>
          <w:p w14:paraId="5E163CA1" w14:textId="77777777" w:rsidR="0045562B" w:rsidRPr="00FC71BE" w:rsidRDefault="0045562B">
            <w:pPr>
              <w:pStyle w:val="Table"/>
              <w:rPr>
                <w:color w:val="auto"/>
              </w:rPr>
            </w:pPr>
            <w:r w:rsidRPr="00FC71BE">
              <w:rPr>
                <w:color w:val="auto"/>
              </w:rPr>
              <w:t>M3</w:t>
            </w:r>
          </w:p>
        </w:tc>
        <w:tc>
          <w:tcPr>
            <w:tcW w:w="1062" w:type="pct"/>
            <w:tcBorders>
              <w:top w:val="double" w:sz="4" w:space="0" w:color="auto"/>
            </w:tcBorders>
            <w:vAlign w:val="center"/>
          </w:tcPr>
          <w:p w14:paraId="1620DA1C" w14:textId="77777777" w:rsidR="0045562B" w:rsidRPr="00FC71BE" w:rsidRDefault="0045562B">
            <w:pPr>
              <w:pStyle w:val="Table"/>
              <w:rPr>
                <w:color w:val="auto"/>
              </w:rPr>
            </w:pPr>
            <w:r w:rsidRPr="00FC71BE">
              <w:rPr>
                <w:color w:val="auto"/>
              </w:rPr>
              <w:t>M4</w:t>
            </w:r>
          </w:p>
        </w:tc>
      </w:tr>
      <w:tr w:rsidR="00FC71BE" w:rsidRPr="00FC71BE" w14:paraId="4DFEB1FF" w14:textId="77777777">
        <w:tc>
          <w:tcPr>
            <w:tcW w:w="757" w:type="pct"/>
            <w:vAlign w:val="center"/>
          </w:tcPr>
          <w:p w14:paraId="3D457BF6" w14:textId="77777777" w:rsidR="0045562B" w:rsidRPr="00FC71BE" w:rsidRDefault="0045562B">
            <w:pPr>
              <w:pStyle w:val="Table"/>
              <w:rPr>
                <w:color w:val="auto"/>
              </w:rPr>
            </w:pPr>
            <w:r w:rsidRPr="00FC71BE">
              <w:rPr>
                <w:color w:val="auto"/>
              </w:rPr>
              <w:t>Endcaps</w:t>
            </w:r>
          </w:p>
        </w:tc>
        <w:tc>
          <w:tcPr>
            <w:tcW w:w="1067" w:type="pct"/>
          </w:tcPr>
          <w:p w14:paraId="2DB170C6" w14:textId="77777777" w:rsidR="0045562B" w:rsidRPr="00FC71BE" w:rsidRDefault="0045562B">
            <w:pPr>
              <w:pStyle w:val="Table"/>
              <w:rPr>
                <w:color w:val="auto"/>
              </w:rPr>
            </w:pPr>
            <w:r w:rsidRPr="00FC71BE">
              <w:rPr>
                <w:noProof/>
                <w:color w:val="auto"/>
              </w:rPr>
              <w:drawing>
                <wp:inline distT="0" distB="0" distL="0" distR="0" wp14:anchorId="2F670F00" wp14:editId="1FB72F65">
                  <wp:extent cx="1271481" cy="1260000"/>
                  <wp:effectExtent l="0" t="0" r="5080" b="0"/>
                  <wp:docPr id="564326823" name="Picture 564326823" descr="A circular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95960" name="Picture 1" descr="A circular object with holes&#10;&#10;Description automatically generated"/>
                          <pic:cNvPicPr/>
                        </pic:nvPicPr>
                        <pic:blipFill>
                          <a:blip r:embed="rId158"/>
                          <a:stretch>
                            <a:fillRect/>
                          </a:stretch>
                        </pic:blipFill>
                        <pic:spPr>
                          <a:xfrm>
                            <a:off x="0" y="0"/>
                            <a:ext cx="1271481" cy="1260000"/>
                          </a:xfrm>
                          <a:prstGeom prst="rect">
                            <a:avLst/>
                          </a:prstGeom>
                        </pic:spPr>
                      </pic:pic>
                    </a:graphicData>
                  </a:graphic>
                </wp:inline>
              </w:drawing>
            </w:r>
          </w:p>
        </w:tc>
        <w:tc>
          <w:tcPr>
            <w:tcW w:w="1051" w:type="pct"/>
          </w:tcPr>
          <w:p w14:paraId="0B401EB2" w14:textId="77777777" w:rsidR="0045562B" w:rsidRPr="00FC71BE" w:rsidRDefault="0045562B">
            <w:pPr>
              <w:pStyle w:val="Table"/>
              <w:rPr>
                <w:color w:val="auto"/>
              </w:rPr>
            </w:pPr>
            <w:r w:rsidRPr="00FC71BE">
              <w:rPr>
                <w:noProof/>
                <w:color w:val="auto"/>
              </w:rPr>
              <w:drawing>
                <wp:inline distT="0" distB="0" distL="0" distR="0" wp14:anchorId="51A1F89A" wp14:editId="4DCB0DA7">
                  <wp:extent cx="1245482" cy="1260000"/>
                  <wp:effectExtent l="0" t="0" r="0" b="0"/>
                  <wp:docPr id="255831976" name="Picture 255831976" descr="A circular object with a ho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86600" name="Picture 5" descr="A circular object with a hole in the center&#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45482" cy="1260000"/>
                          </a:xfrm>
                          <a:prstGeom prst="rect">
                            <a:avLst/>
                          </a:prstGeom>
                          <a:noFill/>
                        </pic:spPr>
                      </pic:pic>
                    </a:graphicData>
                  </a:graphic>
                </wp:inline>
              </w:drawing>
            </w:r>
          </w:p>
        </w:tc>
        <w:tc>
          <w:tcPr>
            <w:tcW w:w="1062" w:type="pct"/>
          </w:tcPr>
          <w:p w14:paraId="35E64012" w14:textId="77777777" w:rsidR="0045562B" w:rsidRPr="00FC71BE" w:rsidRDefault="0045562B">
            <w:pPr>
              <w:pStyle w:val="Table"/>
              <w:rPr>
                <w:color w:val="auto"/>
              </w:rPr>
            </w:pPr>
            <w:r w:rsidRPr="00FC71BE">
              <w:rPr>
                <w:noProof/>
                <w:color w:val="auto"/>
              </w:rPr>
              <w:drawing>
                <wp:inline distT="0" distB="0" distL="0" distR="0" wp14:anchorId="01D7941E" wp14:editId="78470511">
                  <wp:extent cx="1245482" cy="1260000"/>
                  <wp:effectExtent l="0" t="0" r="0" b="0"/>
                  <wp:docPr id="11155919" name="Picture 11155919" descr="A circular object with a ho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03680" name="Picture 1922303680" descr="A circular object with a hole in the center&#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45482" cy="1260000"/>
                          </a:xfrm>
                          <a:prstGeom prst="rect">
                            <a:avLst/>
                          </a:prstGeom>
                          <a:noFill/>
                        </pic:spPr>
                      </pic:pic>
                    </a:graphicData>
                  </a:graphic>
                </wp:inline>
              </w:drawing>
            </w:r>
          </w:p>
        </w:tc>
        <w:tc>
          <w:tcPr>
            <w:tcW w:w="1062" w:type="pct"/>
          </w:tcPr>
          <w:p w14:paraId="5D34CF39" w14:textId="77777777" w:rsidR="0045562B" w:rsidRPr="00FC71BE" w:rsidRDefault="0045562B">
            <w:pPr>
              <w:pStyle w:val="Table"/>
              <w:rPr>
                <w:color w:val="auto"/>
              </w:rPr>
            </w:pPr>
            <w:r w:rsidRPr="00FC71BE">
              <w:rPr>
                <w:noProof/>
                <w:color w:val="auto"/>
              </w:rPr>
              <w:drawing>
                <wp:inline distT="0" distB="0" distL="0" distR="0" wp14:anchorId="02A145D3" wp14:editId="0000538C">
                  <wp:extent cx="1245482" cy="1260000"/>
                  <wp:effectExtent l="0" t="0" r="0" b="0"/>
                  <wp:docPr id="1545453654" name="Picture 1545453654" descr="A circular object with a ho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27515" name="Picture 2112927515" descr="A circular object with a hole in the center&#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245482" cy="1260000"/>
                          </a:xfrm>
                          <a:prstGeom prst="rect">
                            <a:avLst/>
                          </a:prstGeom>
                          <a:noFill/>
                        </pic:spPr>
                      </pic:pic>
                    </a:graphicData>
                  </a:graphic>
                </wp:inline>
              </w:drawing>
            </w:r>
          </w:p>
        </w:tc>
      </w:tr>
      <w:tr w:rsidR="00FC71BE" w:rsidRPr="00FC71BE" w14:paraId="282A8B71" w14:textId="77777777">
        <w:tc>
          <w:tcPr>
            <w:tcW w:w="757" w:type="pct"/>
            <w:vAlign w:val="center"/>
          </w:tcPr>
          <w:p w14:paraId="3EFF59E1" w14:textId="77777777" w:rsidR="0045562B" w:rsidRPr="00FC71BE" w:rsidRDefault="0045562B">
            <w:pPr>
              <w:pStyle w:val="Table"/>
              <w:rPr>
                <w:color w:val="auto"/>
              </w:rPr>
            </w:pPr>
            <w:r w:rsidRPr="00FC71BE">
              <w:rPr>
                <w:color w:val="auto"/>
              </w:rPr>
              <w:t>Shaft</w:t>
            </w:r>
          </w:p>
        </w:tc>
        <w:tc>
          <w:tcPr>
            <w:tcW w:w="1067" w:type="pct"/>
          </w:tcPr>
          <w:p w14:paraId="6527E933" w14:textId="77777777" w:rsidR="0045562B" w:rsidRPr="00FC71BE" w:rsidRDefault="0045562B">
            <w:pPr>
              <w:pStyle w:val="Table"/>
              <w:rPr>
                <w:color w:val="auto"/>
              </w:rPr>
            </w:pPr>
            <w:r w:rsidRPr="00FC71BE">
              <w:rPr>
                <w:noProof/>
                <w:color w:val="auto"/>
              </w:rPr>
              <w:drawing>
                <wp:inline distT="0" distB="0" distL="0" distR="0" wp14:anchorId="2791D590" wp14:editId="20BACC87">
                  <wp:extent cx="1341778" cy="1260000"/>
                  <wp:effectExtent l="0" t="0" r="0" b="0"/>
                  <wp:docPr id="181237270" name="Picture 181237270" descr="A cylindrical object with a lo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1607" name="Picture 1" descr="A cylindrical object with a long stick&#10;&#10;Description automatically generated"/>
                          <pic:cNvPicPr/>
                        </pic:nvPicPr>
                        <pic:blipFill>
                          <a:blip r:embed="rId162"/>
                          <a:stretch>
                            <a:fillRect/>
                          </a:stretch>
                        </pic:blipFill>
                        <pic:spPr>
                          <a:xfrm>
                            <a:off x="0" y="0"/>
                            <a:ext cx="1341778" cy="1260000"/>
                          </a:xfrm>
                          <a:prstGeom prst="rect">
                            <a:avLst/>
                          </a:prstGeom>
                        </pic:spPr>
                      </pic:pic>
                    </a:graphicData>
                  </a:graphic>
                </wp:inline>
              </w:drawing>
            </w:r>
          </w:p>
        </w:tc>
        <w:tc>
          <w:tcPr>
            <w:tcW w:w="1051" w:type="pct"/>
          </w:tcPr>
          <w:p w14:paraId="472A28E9" w14:textId="77777777" w:rsidR="0045562B" w:rsidRPr="00FC71BE" w:rsidRDefault="0045562B">
            <w:pPr>
              <w:pStyle w:val="Table"/>
              <w:rPr>
                <w:color w:val="auto"/>
              </w:rPr>
            </w:pPr>
            <w:r w:rsidRPr="00FC71BE">
              <w:rPr>
                <w:noProof/>
                <w:color w:val="auto"/>
              </w:rPr>
              <w:drawing>
                <wp:inline distT="0" distB="0" distL="0" distR="0" wp14:anchorId="39450A2F" wp14:editId="28A47292">
                  <wp:extent cx="1341778" cy="1260000"/>
                  <wp:effectExtent l="0" t="0" r="0" b="0"/>
                  <wp:docPr id="1664990482" name="Picture 1664990482" descr="A cylindrical object with a lo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211633" name="Picture 2033211633" descr="A cylindrical object with a long stick&#10;&#10;Description automatically generated"/>
                          <pic:cNvPicPr/>
                        </pic:nvPicPr>
                        <pic:blipFill>
                          <a:blip r:embed="rId162"/>
                          <a:stretch>
                            <a:fillRect/>
                          </a:stretch>
                        </pic:blipFill>
                        <pic:spPr>
                          <a:xfrm>
                            <a:off x="0" y="0"/>
                            <a:ext cx="1341778" cy="1260000"/>
                          </a:xfrm>
                          <a:prstGeom prst="rect">
                            <a:avLst/>
                          </a:prstGeom>
                        </pic:spPr>
                      </pic:pic>
                    </a:graphicData>
                  </a:graphic>
                </wp:inline>
              </w:drawing>
            </w:r>
          </w:p>
        </w:tc>
        <w:tc>
          <w:tcPr>
            <w:tcW w:w="1062" w:type="pct"/>
          </w:tcPr>
          <w:p w14:paraId="37705540" w14:textId="77777777" w:rsidR="0045562B" w:rsidRPr="00FC71BE" w:rsidRDefault="0045562B">
            <w:pPr>
              <w:pStyle w:val="Table"/>
              <w:rPr>
                <w:color w:val="auto"/>
              </w:rPr>
            </w:pPr>
            <w:r w:rsidRPr="00FC71BE">
              <w:rPr>
                <w:noProof/>
                <w:color w:val="auto"/>
              </w:rPr>
              <w:drawing>
                <wp:inline distT="0" distB="0" distL="0" distR="0" wp14:anchorId="47CC23C1" wp14:editId="7D847F59">
                  <wp:extent cx="1341778" cy="1260000"/>
                  <wp:effectExtent l="0" t="0" r="0" b="0"/>
                  <wp:docPr id="1863243290" name="Picture 1863243290" descr="A cylindrical object with a lo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03451" name="Picture 1220703451" descr="A cylindrical object with a long stick&#10;&#10;Description automatically generated"/>
                          <pic:cNvPicPr/>
                        </pic:nvPicPr>
                        <pic:blipFill>
                          <a:blip r:embed="rId162"/>
                          <a:stretch>
                            <a:fillRect/>
                          </a:stretch>
                        </pic:blipFill>
                        <pic:spPr>
                          <a:xfrm>
                            <a:off x="0" y="0"/>
                            <a:ext cx="1341778" cy="1260000"/>
                          </a:xfrm>
                          <a:prstGeom prst="rect">
                            <a:avLst/>
                          </a:prstGeom>
                        </pic:spPr>
                      </pic:pic>
                    </a:graphicData>
                  </a:graphic>
                </wp:inline>
              </w:drawing>
            </w:r>
          </w:p>
        </w:tc>
        <w:tc>
          <w:tcPr>
            <w:tcW w:w="1062" w:type="pct"/>
          </w:tcPr>
          <w:p w14:paraId="6B835396" w14:textId="77777777" w:rsidR="0045562B" w:rsidRPr="00FC71BE" w:rsidRDefault="0045562B">
            <w:pPr>
              <w:pStyle w:val="Table"/>
              <w:rPr>
                <w:color w:val="auto"/>
              </w:rPr>
            </w:pPr>
            <w:r w:rsidRPr="00FC71BE">
              <w:rPr>
                <w:noProof/>
                <w:color w:val="auto"/>
              </w:rPr>
              <w:drawing>
                <wp:inline distT="0" distB="0" distL="0" distR="0" wp14:anchorId="5F166A2C" wp14:editId="79F4091A">
                  <wp:extent cx="1341778" cy="1260000"/>
                  <wp:effectExtent l="0" t="0" r="0" b="0"/>
                  <wp:docPr id="1235681722" name="Picture 1235681722" descr="A cylindrical object with a lo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06624" name="Picture 2094006624" descr="A cylindrical object with a long stick&#10;&#10;Description automatically generated"/>
                          <pic:cNvPicPr/>
                        </pic:nvPicPr>
                        <pic:blipFill>
                          <a:blip r:embed="rId162"/>
                          <a:stretch>
                            <a:fillRect/>
                          </a:stretch>
                        </pic:blipFill>
                        <pic:spPr>
                          <a:xfrm>
                            <a:off x="0" y="0"/>
                            <a:ext cx="1341778" cy="1260000"/>
                          </a:xfrm>
                          <a:prstGeom prst="rect">
                            <a:avLst/>
                          </a:prstGeom>
                        </pic:spPr>
                      </pic:pic>
                    </a:graphicData>
                  </a:graphic>
                </wp:inline>
              </w:drawing>
            </w:r>
          </w:p>
        </w:tc>
      </w:tr>
      <w:tr w:rsidR="00FC71BE" w:rsidRPr="00FC71BE" w14:paraId="0B3995C1" w14:textId="77777777">
        <w:tc>
          <w:tcPr>
            <w:tcW w:w="757" w:type="pct"/>
            <w:vAlign w:val="center"/>
          </w:tcPr>
          <w:p w14:paraId="033441E6" w14:textId="77777777" w:rsidR="0045562B" w:rsidRPr="00FC71BE" w:rsidRDefault="0045562B">
            <w:pPr>
              <w:pStyle w:val="Table"/>
              <w:rPr>
                <w:color w:val="auto"/>
              </w:rPr>
            </w:pPr>
            <w:r w:rsidRPr="00FC71BE">
              <w:rPr>
                <w:color w:val="auto"/>
              </w:rPr>
              <w:t>Stator Modularity</w:t>
            </w:r>
          </w:p>
        </w:tc>
        <w:tc>
          <w:tcPr>
            <w:tcW w:w="1067" w:type="pct"/>
            <w:vAlign w:val="center"/>
          </w:tcPr>
          <w:p w14:paraId="06D0D1DA" w14:textId="77777777" w:rsidR="0045562B" w:rsidRPr="00FC71BE" w:rsidRDefault="0045562B">
            <w:pPr>
              <w:pStyle w:val="Table"/>
              <w:rPr>
                <w:color w:val="auto"/>
              </w:rPr>
            </w:pPr>
            <w:r w:rsidRPr="00FC71BE">
              <w:rPr>
                <w:noProof/>
                <w:color w:val="auto"/>
              </w:rPr>
              <w:drawing>
                <wp:inline distT="0" distB="0" distL="0" distR="0" wp14:anchorId="220E1299" wp14:editId="10EC3DA5">
                  <wp:extent cx="1071264" cy="1080000"/>
                  <wp:effectExtent l="0" t="0" r="0" b="6350"/>
                  <wp:docPr id="492755698" name="Picture 492755698" descr="A red circular object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55698" name="Picture 1" descr="A red circular object with a white background&#10;&#10;Description automatically generated with medium confidence"/>
                          <pic:cNvPicPr/>
                        </pic:nvPicPr>
                        <pic:blipFill>
                          <a:blip r:embed="rId163"/>
                          <a:stretch>
                            <a:fillRect/>
                          </a:stretch>
                        </pic:blipFill>
                        <pic:spPr>
                          <a:xfrm>
                            <a:off x="0" y="0"/>
                            <a:ext cx="1071264" cy="1080000"/>
                          </a:xfrm>
                          <a:prstGeom prst="rect">
                            <a:avLst/>
                          </a:prstGeom>
                        </pic:spPr>
                      </pic:pic>
                    </a:graphicData>
                  </a:graphic>
                </wp:inline>
              </w:drawing>
            </w:r>
          </w:p>
        </w:tc>
        <w:tc>
          <w:tcPr>
            <w:tcW w:w="1051" w:type="pct"/>
            <w:vAlign w:val="center"/>
          </w:tcPr>
          <w:p w14:paraId="140F3BA4" w14:textId="77777777" w:rsidR="0045562B" w:rsidRPr="00FC71BE" w:rsidRDefault="0045562B">
            <w:pPr>
              <w:pStyle w:val="Table"/>
              <w:rPr>
                <w:color w:val="auto"/>
              </w:rPr>
            </w:pPr>
            <w:r w:rsidRPr="00FC71BE">
              <w:rPr>
                <w:noProof/>
                <w:color w:val="auto"/>
              </w:rPr>
              <w:drawing>
                <wp:inline distT="0" distB="0" distL="0" distR="0" wp14:anchorId="5205900C" wp14:editId="3A740389">
                  <wp:extent cx="1071264" cy="1080000"/>
                  <wp:effectExtent l="0" t="0" r="0" b="6350"/>
                  <wp:docPr id="1332830050" name="Picture 1332830050" descr="A red circular object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30050" name="Picture 1332830050" descr="A red circular object with a white background&#10;&#10;Description automatically generated with medium confidence"/>
                          <pic:cNvPicPr/>
                        </pic:nvPicPr>
                        <pic:blipFill>
                          <a:blip r:embed="rId163"/>
                          <a:stretch>
                            <a:fillRect/>
                          </a:stretch>
                        </pic:blipFill>
                        <pic:spPr>
                          <a:xfrm>
                            <a:off x="0" y="0"/>
                            <a:ext cx="1071264" cy="1080000"/>
                          </a:xfrm>
                          <a:prstGeom prst="rect">
                            <a:avLst/>
                          </a:prstGeom>
                        </pic:spPr>
                      </pic:pic>
                    </a:graphicData>
                  </a:graphic>
                </wp:inline>
              </w:drawing>
            </w:r>
          </w:p>
        </w:tc>
        <w:tc>
          <w:tcPr>
            <w:tcW w:w="1062" w:type="pct"/>
            <w:vAlign w:val="center"/>
          </w:tcPr>
          <w:p w14:paraId="276FC9D4" w14:textId="77777777" w:rsidR="0045562B" w:rsidRPr="00FC71BE" w:rsidRDefault="0045562B">
            <w:pPr>
              <w:pStyle w:val="Table"/>
              <w:rPr>
                <w:color w:val="auto"/>
              </w:rPr>
            </w:pPr>
            <w:r w:rsidRPr="00FC71BE">
              <w:rPr>
                <w:noProof/>
                <w:color w:val="auto"/>
              </w:rPr>
              <w:drawing>
                <wp:inline distT="0" distB="0" distL="0" distR="0" wp14:anchorId="0FB87D2F" wp14:editId="33A72275">
                  <wp:extent cx="1071264" cy="1080000"/>
                  <wp:effectExtent l="0" t="0" r="0" b="6350"/>
                  <wp:docPr id="1284648628" name="Picture 1284648628" descr="A red circular object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48628" name="Picture 1284648628" descr="A red circular object with a white background&#10;&#10;Description automatically generated with medium confidence"/>
                          <pic:cNvPicPr/>
                        </pic:nvPicPr>
                        <pic:blipFill>
                          <a:blip r:embed="rId163"/>
                          <a:stretch>
                            <a:fillRect/>
                          </a:stretch>
                        </pic:blipFill>
                        <pic:spPr>
                          <a:xfrm>
                            <a:off x="0" y="0"/>
                            <a:ext cx="1071264" cy="1080000"/>
                          </a:xfrm>
                          <a:prstGeom prst="rect">
                            <a:avLst/>
                          </a:prstGeom>
                        </pic:spPr>
                      </pic:pic>
                    </a:graphicData>
                  </a:graphic>
                </wp:inline>
              </w:drawing>
            </w:r>
          </w:p>
        </w:tc>
        <w:tc>
          <w:tcPr>
            <w:tcW w:w="1062" w:type="pct"/>
            <w:vAlign w:val="center"/>
          </w:tcPr>
          <w:p w14:paraId="069E8AA5" w14:textId="77777777" w:rsidR="0045562B" w:rsidRPr="00FC71BE" w:rsidRDefault="0045562B">
            <w:pPr>
              <w:pStyle w:val="Table"/>
              <w:rPr>
                <w:color w:val="auto"/>
              </w:rPr>
            </w:pPr>
            <w:r w:rsidRPr="00FC71BE">
              <w:rPr>
                <w:noProof/>
                <w:color w:val="auto"/>
              </w:rPr>
              <w:drawing>
                <wp:inline distT="0" distB="0" distL="0" distR="0" wp14:anchorId="2DE1A6B1" wp14:editId="44C49304">
                  <wp:extent cx="1083623" cy="1080000"/>
                  <wp:effectExtent l="0" t="0" r="2540" b="6350"/>
                  <wp:docPr id="1988264264" name="Picture 1988264264" descr="A red curved object with many small rectang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64264" name="Picture 1" descr="A red curved object with many small rectangles&#10;&#10;Description automatically generated with medium confidence"/>
                          <pic:cNvPicPr/>
                        </pic:nvPicPr>
                        <pic:blipFill>
                          <a:blip r:embed="rId164"/>
                          <a:stretch>
                            <a:fillRect/>
                          </a:stretch>
                        </pic:blipFill>
                        <pic:spPr>
                          <a:xfrm>
                            <a:off x="0" y="0"/>
                            <a:ext cx="1083623" cy="1080000"/>
                          </a:xfrm>
                          <a:prstGeom prst="rect">
                            <a:avLst/>
                          </a:prstGeom>
                        </pic:spPr>
                      </pic:pic>
                    </a:graphicData>
                  </a:graphic>
                </wp:inline>
              </w:drawing>
            </w:r>
          </w:p>
        </w:tc>
      </w:tr>
      <w:tr w:rsidR="00FC71BE" w:rsidRPr="00FC71BE" w14:paraId="2E433EA5" w14:textId="77777777">
        <w:tc>
          <w:tcPr>
            <w:tcW w:w="757" w:type="pct"/>
            <w:vAlign w:val="center"/>
          </w:tcPr>
          <w:p w14:paraId="3B32B29E" w14:textId="77777777" w:rsidR="0045562B" w:rsidRPr="00FC71BE" w:rsidRDefault="0045562B">
            <w:pPr>
              <w:pStyle w:val="Table"/>
              <w:rPr>
                <w:color w:val="auto"/>
              </w:rPr>
            </w:pPr>
            <w:r w:rsidRPr="00FC71BE">
              <w:rPr>
                <w:color w:val="auto"/>
              </w:rPr>
              <w:t>Sleeve</w:t>
            </w:r>
          </w:p>
        </w:tc>
        <w:tc>
          <w:tcPr>
            <w:tcW w:w="1067" w:type="pct"/>
            <w:vAlign w:val="center"/>
          </w:tcPr>
          <w:p w14:paraId="22FB1AA6" w14:textId="77777777" w:rsidR="0045562B" w:rsidRPr="00FC71BE" w:rsidRDefault="0045562B">
            <w:pPr>
              <w:pStyle w:val="Table"/>
              <w:rPr>
                <w:color w:val="auto"/>
              </w:rPr>
            </w:pPr>
            <m:oMathPara>
              <m:oMath>
                <m:r>
                  <m:rPr>
                    <m:sty m:val="p"/>
                  </m:rPr>
                  <w:rPr>
                    <w:rFonts w:ascii="Cambria Math" w:hAnsi="Cambria Math"/>
                    <w:color w:val="auto"/>
                  </w:rPr>
                  <m:t>√</m:t>
                </m:r>
              </m:oMath>
            </m:oMathPara>
          </w:p>
        </w:tc>
        <w:tc>
          <w:tcPr>
            <w:tcW w:w="1051" w:type="pct"/>
            <w:vAlign w:val="center"/>
          </w:tcPr>
          <w:p w14:paraId="163A19CA" w14:textId="77777777" w:rsidR="0045562B" w:rsidRPr="00FC71BE" w:rsidRDefault="0045562B">
            <w:pPr>
              <w:pStyle w:val="Table"/>
              <w:rPr>
                <w:color w:val="auto"/>
              </w:rPr>
            </w:pPr>
            <m:oMathPara>
              <m:oMath>
                <m:r>
                  <m:rPr>
                    <m:sty m:val="p"/>
                  </m:rPr>
                  <w:rPr>
                    <w:rFonts w:ascii="Cambria Math" w:hAnsi="Cambria Math"/>
                    <w:color w:val="auto"/>
                  </w:rPr>
                  <m:t>√</m:t>
                </m:r>
              </m:oMath>
            </m:oMathPara>
          </w:p>
        </w:tc>
        <w:tc>
          <w:tcPr>
            <w:tcW w:w="1062" w:type="pct"/>
            <w:vAlign w:val="center"/>
          </w:tcPr>
          <w:p w14:paraId="4DFC18CC" w14:textId="77777777" w:rsidR="0045562B" w:rsidRPr="00FC71BE" w:rsidRDefault="0045562B">
            <w:pPr>
              <w:pStyle w:val="Table"/>
              <w:rPr>
                <w:color w:val="auto"/>
              </w:rPr>
            </w:pPr>
            <m:oMathPara>
              <m:oMath>
                <m:r>
                  <m:rPr>
                    <m:sty m:val="p"/>
                  </m:rPr>
                  <w:rPr>
                    <w:rFonts w:ascii="Cambria Math" w:hAnsi="Cambria Math"/>
                    <w:color w:val="auto"/>
                  </w:rPr>
                  <m:t>×</m:t>
                </m:r>
              </m:oMath>
            </m:oMathPara>
          </w:p>
        </w:tc>
        <w:tc>
          <w:tcPr>
            <w:tcW w:w="1062" w:type="pct"/>
            <w:vAlign w:val="center"/>
          </w:tcPr>
          <w:p w14:paraId="5B502FB6" w14:textId="77777777" w:rsidR="0045562B" w:rsidRPr="00FC71BE" w:rsidRDefault="0045562B">
            <w:pPr>
              <w:pStyle w:val="Table"/>
              <w:rPr>
                <w:color w:val="auto"/>
              </w:rPr>
            </w:pPr>
            <m:oMathPara>
              <m:oMath>
                <m:r>
                  <m:rPr>
                    <m:sty m:val="p"/>
                  </m:rPr>
                  <w:rPr>
                    <w:rFonts w:ascii="Cambria Math" w:hAnsi="Cambria Math"/>
                    <w:color w:val="auto"/>
                  </w:rPr>
                  <m:t>×</m:t>
                </m:r>
              </m:oMath>
            </m:oMathPara>
          </w:p>
        </w:tc>
      </w:tr>
      <w:tr w:rsidR="005E3DFE" w:rsidRPr="00FC71BE" w14:paraId="7FB82A43" w14:textId="77777777">
        <w:tc>
          <w:tcPr>
            <w:tcW w:w="757" w:type="pct"/>
            <w:tcBorders>
              <w:bottom w:val="double" w:sz="4" w:space="0" w:color="auto"/>
            </w:tcBorders>
            <w:vAlign w:val="center"/>
          </w:tcPr>
          <w:p w14:paraId="64C71E80" w14:textId="77777777" w:rsidR="0045562B" w:rsidRPr="00FC71BE" w:rsidRDefault="0045562B">
            <w:pPr>
              <w:pStyle w:val="Table"/>
              <w:rPr>
                <w:color w:val="auto"/>
              </w:rPr>
            </w:pPr>
            <w:r w:rsidRPr="00FC71BE">
              <w:rPr>
                <w:color w:val="auto"/>
              </w:rPr>
              <w:t>Coolant materials</w:t>
            </w:r>
          </w:p>
        </w:tc>
        <w:tc>
          <w:tcPr>
            <w:tcW w:w="1067" w:type="pct"/>
            <w:tcBorders>
              <w:bottom w:val="double" w:sz="4" w:space="0" w:color="auto"/>
            </w:tcBorders>
            <w:vAlign w:val="center"/>
          </w:tcPr>
          <w:p w14:paraId="45E9F72E" w14:textId="77777777" w:rsidR="0045562B" w:rsidRPr="00FC71BE" w:rsidRDefault="0045562B">
            <w:pPr>
              <w:pStyle w:val="Table"/>
              <w:rPr>
                <w:color w:val="auto"/>
              </w:rPr>
            </w:pPr>
            <w:r w:rsidRPr="00FC71BE">
              <w:rPr>
                <w:color w:val="auto"/>
              </w:rPr>
              <w:t>Air &amp; Oil</w:t>
            </w:r>
          </w:p>
        </w:tc>
        <w:tc>
          <w:tcPr>
            <w:tcW w:w="1051" w:type="pct"/>
            <w:tcBorders>
              <w:bottom w:val="double" w:sz="4" w:space="0" w:color="auto"/>
            </w:tcBorders>
            <w:vAlign w:val="center"/>
          </w:tcPr>
          <w:p w14:paraId="3BBC8204" w14:textId="77777777" w:rsidR="0045562B" w:rsidRPr="00FC71BE" w:rsidRDefault="0045562B">
            <w:pPr>
              <w:pStyle w:val="Table"/>
              <w:rPr>
                <w:color w:val="auto"/>
              </w:rPr>
            </w:pPr>
            <w:r w:rsidRPr="00FC71BE">
              <w:rPr>
                <w:color w:val="auto"/>
              </w:rPr>
              <w:t>Air &amp; Oil</w:t>
            </w:r>
          </w:p>
        </w:tc>
        <w:tc>
          <w:tcPr>
            <w:tcW w:w="1062" w:type="pct"/>
            <w:tcBorders>
              <w:bottom w:val="double" w:sz="4" w:space="0" w:color="auto"/>
            </w:tcBorders>
            <w:vAlign w:val="center"/>
          </w:tcPr>
          <w:p w14:paraId="49D4B948" w14:textId="77777777" w:rsidR="0045562B" w:rsidRPr="00FC71BE" w:rsidRDefault="0045562B">
            <w:pPr>
              <w:pStyle w:val="Table"/>
              <w:rPr>
                <w:color w:val="auto"/>
              </w:rPr>
            </w:pPr>
            <w:r w:rsidRPr="00FC71BE">
              <w:rPr>
                <w:color w:val="auto"/>
              </w:rPr>
              <w:t>Air</w:t>
            </w:r>
          </w:p>
        </w:tc>
        <w:tc>
          <w:tcPr>
            <w:tcW w:w="1062" w:type="pct"/>
            <w:tcBorders>
              <w:bottom w:val="double" w:sz="4" w:space="0" w:color="auto"/>
            </w:tcBorders>
            <w:vAlign w:val="center"/>
          </w:tcPr>
          <w:p w14:paraId="00D4D33B" w14:textId="77777777" w:rsidR="0045562B" w:rsidRPr="00FC71BE" w:rsidRDefault="0045562B">
            <w:pPr>
              <w:pStyle w:val="Table"/>
              <w:rPr>
                <w:color w:val="auto"/>
              </w:rPr>
            </w:pPr>
            <w:r w:rsidRPr="00FC71BE">
              <w:rPr>
                <w:color w:val="auto"/>
              </w:rPr>
              <w:t>Air</w:t>
            </w:r>
          </w:p>
        </w:tc>
      </w:tr>
    </w:tbl>
    <w:p w14:paraId="573A5682" w14:textId="77777777" w:rsidR="0045562B" w:rsidRPr="00FC71BE" w:rsidRDefault="0045562B" w:rsidP="0045562B">
      <w:pPr>
        <w:pStyle w:val="FigureTitle"/>
        <w:rPr>
          <w:iCs w:val="0"/>
        </w:rPr>
      </w:pPr>
    </w:p>
    <w:p w14:paraId="74159C81" w14:textId="77777777" w:rsidR="0045562B" w:rsidRPr="00FC71BE" w:rsidRDefault="0045562B" w:rsidP="0045562B">
      <w:pPr>
        <w:spacing w:line="259" w:lineRule="auto"/>
        <w:ind w:firstLine="0"/>
        <w:jc w:val="left"/>
        <w:rPr>
          <w:szCs w:val="18"/>
        </w:rPr>
      </w:pPr>
      <w:r w:rsidRPr="00FC71BE">
        <w:rPr>
          <w:iCs/>
        </w:rPr>
        <w:br w:type="page"/>
      </w:r>
    </w:p>
    <w:p w14:paraId="7C21F48D" w14:textId="1A02E675" w:rsidR="0045562B" w:rsidRPr="00FC71BE" w:rsidRDefault="0045562B" w:rsidP="001171DA">
      <w:pPr>
        <w:pStyle w:val="Tabletitle"/>
        <w:rPr>
          <w:iCs/>
          <w:color w:val="auto"/>
        </w:rPr>
      </w:pPr>
      <w:r w:rsidRPr="00FC71BE">
        <w:rPr>
          <w:color w:val="auto"/>
        </w:rPr>
        <w:lastRenderedPageBreak/>
        <w:fldChar w:fldCharType="begin"/>
      </w:r>
      <w:r w:rsidRPr="00FC71BE">
        <w:rPr>
          <w:color w:val="auto"/>
        </w:rPr>
        <w:instrText xml:space="preserve"> REF _Ref147241336 \h </w:instrText>
      </w:r>
      <w:r w:rsidR="001171DA" w:rsidRPr="00FC71BE">
        <w:rPr>
          <w:color w:val="auto"/>
        </w:rPr>
        <w:instrText xml:space="preserve"> \* MERGEFORMAT </w:instrText>
      </w:r>
      <w:r w:rsidRPr="00FC71BE">
        <w:rPr>
          <w:color w:val="auto"/>
        </w:rPr>
      </w:r>
      <w:r w:rsidRPr="00FC71BE">
        <w:rPr>
          <w:color w:val="auto"/>
        </w:rPr>
        <w:fldChar w:fldCharType="separate"/>
      </w:r>
      <w:r w:rsidR="007E62C1" w:rsidRPr="00FC71BE">
        <w:rPr>
          <w:color w:val="auto"/>
        </w:rPr>
        <w:t>Table 4.3</w:t>
      </w:r>
      <w:r w:rsidRPr="00FC71BE">
        <w:rPr>
          <w:color w:val="auto"/>
        </w:rPr>
        <w:fldChar w:fldCharType="end"/>
      </w:r>
      <w:r w:rsidRPr="00FC71BE">
        <w:rPr>
          <w:color w:val="auto"/>
        </w:rPr>
        <w:t>-(B) Topologies of Investigated Machines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4"/>
        <w:gridCol w:w="2976"/>
        <w:gridCol w:w="2976"/>
        <w:gridCol w:w="2976"/>
        <w:gridCol w:w="2976"/>
      </w:tblGrid>
      <w:tr w:rsidR="00FC71BE" w:rsidRPr="00FC71BE" w14:paraId="41EF707B" w14:textId="77777777">
        <w:tc>
          <w:tcPr>
            <w:tcW w:w="736" w:type="pct"/>
            <w:tcBorders>
              <w:top w:val="double" w:sz="4" w:space="0" w:color="auto"/>
            </w:tcBorders>
          </w:tcPr>
          <w:p w14:paraId="3DAFB072" w14:textId="77777777" w:rsidR="0045562B" w:rsidRPr="00FC71BE" w:rsidRDefault="0045562B">
            <w:pPr>
              <w:pStyle w:val="Table"/>
              <w:rPr>
                <w:color w:val="auto"/>
              </w:rPr>
            </w:pPr>
          </w:p>
        </w:tc>
        <w:tc>
          <w:tcPr>
            <w:tcW w:w="1066" w:type="pct"/>
            <w:tcBorders>
              <w:top w:val="double" w:sz="4" w:space="0" w:color="auto"/>
            </w:tcBorders>
            <w:vAlign w:val="center"/>
          </w:tcPr>
          <w:p w14:paraId="1810DC8F" w14:textId="77777777" w:rsidR="0045562B" w:rsidRPr="00FC71BE" w:rsidRDefault="0045562B">
            <w:pPr>
              <w:pStyle w:val="Table"/>
              <w:rPr>
                <w:color w:val="auto"/>
              </w:rPr>
            </w:pPr>
            <w:r w:rsidRPr="00FC71BE">
              <w:rPr>
                <w:color w:val="auto"/>
              </w:rPr>
              <w:t>M5</w:t>
            </w:r>
          </w:p>
        </w:tc>
        <w:tc>
          <w:tcPr>
            <w:tcW w:w="1066" w:type="pct"/>
            <w:tcBorders>
              <w:top w:val="double" w:sz="4" w:space="0" w:color="auto"/>
            </w:tcBorders>
            <w:vAlign w:val="center"/>
          </w:tcPr>
          <w:p w14:paraId="59EA16F1" w14:textId="77777777" w:rsidR="0045562B" w:rsidRPr="00FC71BE" w:rsidRDefault="0045562B">
            <w:pPr>
              <w:pStyle w:val="Table"/>
              <w:rPr>
                <w:color w:val="auto"/>
              </w:rPr>
            </w:pPr>
            <w:r w:rsidRPr="00FC71BE">
              <w:rPr>
                <w:color w:val="auto"/>
              </w:rPr>
              <w:t>M6</w:t>
            </w:r>
          </w:p>
        </w:tc>
        <w:tc>
          <w:tcPr>
            <w:tcW w:w="1066" w:type="pct"/>
            <w:tcBorders>
              <w:top w:val="double" w:sz="4" w:space="0" w:color="auto"/>
            </w:tcBorders>
            <w:vAlign w:val="center"/>
          </w:tcPr>
          <w:p w14:paraId="047EEFD9" w14:textId="77777777" w:rsidR="0045562B" w:rsidRPr="00FC71BE" w:rsidRDefault="0045562B">
            <w:pPr>
              <w:pStyle w:val="Table"/>
              <w:rPr>
                <w:color w:val="auto"/>
              </w:rPr>
            </w:pPr>
            <w:r w:rsidRPr="00FC71BE">
              <w:rPr>
                <w:color w:val="auto"/>
              </w:rPr>
              <w:t>M7</w:t>
            </w:r>
          </w:p>
        </w:tc>
        <w:tc>
          <w:tcPr>
            <w:tcW w:w="1066" w:type="pct"/>
            <w:tcBorders>
              <w:top w:val="double" w:sz="4" w:space="0" w:color="auto"/>
            </w:tcBorders>
            <w:vAlign w:val="center"/>
          </w:tcPr>
          <w:p w14:paraId="14C41893" w14:textId="77777777" w:rsidR="0045562B" w:rsidRPr="00FC71BE" w:rsidRDefault="0045562B">
            <w:pPr>
              <w:pStyle w:val="Table"/>
              <w:rPr>
                <w:color w:val="auto"/>
              </w:rPr>
            </w:pPr>
            <w:r w:rsidRPr="00FC71BE">
              <w:rPr>
                <w:color w:val="auto"/>
              </w:rPr>
              <w:t>M8</w:t>
            </w:r>
          </w:p>
        </w:tc>
      </w:tr>
      <w:tr w:rsidR="00FC71BE" w:rsidRPr="00FC71BE" w14:paraId="41D90B47" w14:textId="77777777">
        <w:tc>
          <w:tcPr>
            <w:tcW w:w="736" w:type="pct"/>
            <w:vAlign w:val="center"/>
          </w:tcPr>
          <w:p w14:paraId="19BAF78D" w14:textId="77777777" w:rsidR="0045562B" w:rsidRPr="00FC71BE" w:rsidRDefault="0045562B">
            <w:pPr>
              <w:pStyle w:val="Table"/>
              <w:rPr>
                <w:color w:val="auto"/>
              </w:rPr>
            </w:pPr>
            <w:r w:rsidRPr="00FC71BE">
              <w:rPr>
                <w:color w:val="auto"/>
              </w:rPr>
              <w:t>Endcaps</w:t>
            </w:r>
          </w:p>
        </w:tc>
        <w:tc>
          <w:tcPr>
            <w:tcW w:w="1066" w:type="pct"/>
          </w:tcPr>
          <w:p w14:paraId="34B7A009" w14:textId="77777777" w:rsidR="0045562B" w:rsidRPr="00FC71BE" w:rsidRDefault="0045562B">
            <w:pPr>
              <w:pStyle w:val="Table"/>
              <w:rPr>
                <w:color w:val="auto"/>
              </w:rPr>
            </w:pPr>
            <w:r w:rsidRPr="00FC71BE">
              <w:rPr>
                <w:noProof/>
                <w:color w:val="auto"/>
              </w:rPr>
              <w:drawing>
                <wp:inline distT="0" distB="0" distL="0" distR="0" wp14:anchorId="4448DB91" wp14:editId="3A1C1EB8">
                  <wp:extent cx="1245481" cy="1260000"/>
                  <wp:effectExtent l="0" t="0" r="0" b="0"/>
                  <wp:docPr id="1258862555" name="Picture 1258862555" descr="A circular object with a ho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95904" name="Picture 441795904" descr="A circular object with a hole in the center&#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45481" cy="1260000"/>
                          </a:xfrm>
                          <a:prstGeom prst="rect">
                            <a:avLst/>
                          </a:prstGeom>
                          <a:noFill/>
                        </pic:spPr>
                      </pic:pic>
                    </a:graphicData>
                  </a:graphic>
                </wp:inline>
              </w:drawing>
            </w:r>
          </w:p>
        </w:tc>
        <w:tc>
          <w:tcPr>
            <w:tcW w:w="1066" w:type="pct"/>
          </w:tcPr>
          <w:p w14:paraId="03833B83" w14:textId="77777777" w:rsidR="0045562B" w:rsidRPr="00FC71BE" w:rsidRDefault="0045562B">
            <w:pPr>
              <w:pStyle w:val="Table"/>
              <w:rPr>
                <w:color w:val="auto"/>
              </w:rPr>
            </w:pPr>
            <w:r w:rsidRPr="00FC71BE">
              <w:rPr>
                <w:noProof/>
                <w:color w:val="auto"/>
              </w:rPr>
              <w:drawing>
                <wp:inline distT="0" distB="0" distL="0" distR="0" wp14:anchorId="63D358E6" wp14:editId="3E066A83">
                  <wp:extent cx="1245481" cy="1260000"/>
                  <wp:effectExtent l="0" t="0" r="0" b="0"/>
                  <wp:docPr id="681721899" name="Picture 681721899" descr="A circular object with a ho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08711" name="Picture 1725608711" descr="A circular object with a hole in the center&#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45481" cy="1260000"/>
                          </a:xfrm>
                          <a:prstGeom prst="rect">
                            <a:avLst/>
                          </a:prstGeom>
                          <a:noFill/>
                        </pic:spPr>
                      </pic:pic>
                    </a:graphicData>
                  </a:graphic>
                </wp:inline>
              </w:drawing>
            </w:r>
          </w:p>
        </w:tc>
        <w:tc>
          <w:tcPr>
            <w:tcW w:w="1066" w:type="pct"/>
          </w:tcPr>
          <w:p w14:paraId="5C8EB394" w14:textId="77777777" w:rsidR="0045562B" w:rsidRPr="00FC71BE" w:rsidRDefault="0045562B">
            <w:pPr>
              <w:pStyle w:val="Table"/>
              <w:rPr>
                <w:color w:val="auto"/>
              </w:rPr>
            </w:pPr>
            <w:r w:rsidRPr="00FC71BE">
              <w:rPr>
                <w:noProof/>
                <w:color w:val="auto"/>
              </w:rPr>
              <w:drawing>
                <wp:inline distT="0" distB="0" distL="0" distR="0" wp14:anchorId="17310034" wp14:editId="4DE191D9">
                  <wp:extent cx="1262877" cy="1260000"/>
                  <wp:effectExtent l="0" t="0" r="0" b="0"/>
                  <wp:docPr id="864439949" name="Picture 864439949" descr="A white wheel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611565" name="Picture 1" descr="A white wheel with a hole in it&#10;&#10;Description automatically generated"/>
                          <pic:cNvPicPr/>
                        </pic:nvPicPr>
                        <pic:blipFill>
                          <a:blip r:embed="rId165"/>
                          <a:stretch>
                            <a:fillRect/>
                          </a:stretch>
                        </pic:blipFill>
                        <pic:spPr>
                          <a:xfrm>
                            <a:off x="0" y="0"/>
                            <a:ext cx="1262877" cy="1260000"/>
                          </a:xfrm>
                          <a:prstGeom prst="rect">
                            <a:avLst/>
                          </a:prstGeom>
                        </pic:spPr>
                      </pic:pic>
                    </a:graphicData>
                  </a:graphic>
                </wp:inline>
              </w:drawing>
            </w:r>
          </w:p>
        </w:tc>
        <w:tc>
          <w:tcPr>
            <w:tcW w:w="1066" w:type="pct"/>
          </w:tcPr>
          <w:p w14:paraId="698C2E4C" w14:textId="77777777" w:rsidR="0045562B" w:rsidRPr="00FC71BE" w:rsidRDefault="0045562B">
            <w:pPr>
              <w:pStyle w:val="Table"/>
              <w:rPr>
                <w:color w:val="auto"/>
              </w:rPr>
            </w:pPr>
            <w:r w:rsidRPr="00FC71BE">
              <w:rPr>
                <w:noProof/>
                <w:color w:val="auto"/>
              </w:rPr>
              <w:drawing>
                <wp:inline distT="0" distB="0" distL="0" distR="0" wp14:anchorId="61A50C32" wp14:editId="13D1B641">
                  <wp:extent cx="1262877" cy="1260000"/>
                  <wp:effectExtent l="0" t="0" r="0" b="0"/>
                  <wp:docPr id="987916563" name="Picture 987916563" descr="A white wheel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68799" name="Picture 1591868799" descr="A white wheel with a hole in it&#10;&#10;Description automatically generated"/>
                          <pic:cNvPicPr/>
                        </pic:nvPicPr>
                        <pic:blipFill>
                          <a:blip r:embed="rId165"/>
                          <a:stretch>
                            <a:fillRect/>
                          </a:stretch>
                        </pic:blipFill>
                        <pic:spPr>
                          <a:xfrm>
                            <a:off x="0" y="0"/>
                            <a:ext cx="1262877" cy="1260000"/>
                          </a:xfrm>
                          <a:prstGeom prst="rect">
                            <a:avLst/>
                          </a:prstGeom>
                        </pic:spPr>
                      </pic:pic>
                    </a:graphicData>
                  </a:graphic>
                </wp:inline>
              </w:drawing>
            </w:r>
          </w:p>
        </w:tc>
      </w:tr>
      <w:tr w:rsidR="00FC71BE" w:rsidRPr="00FC71BE" w14:paraId="6255EF97" w14:textId="77777777">
        <w:tc>
          <w:tcPr>
            <w:tcW w:w="736" w:type="pct"/>
            <w:vAlign w:val="center"/>
          </w:tcPr>
          <w:p w14:paraId="3E926B53" w14:textId="77777777" w:rsidR="0045562B" w:rsidRPr="00FC71BE" w:rsidRDefault="0045562B">
            <w:pPr>
              <w:pStyle w:val="Table"/>
              <w:rPr>
                <w:color w:val="auto"/>
              </w:rPr>
            </w:pPr>
            <w:r w:rsidRPr="00FC71BE">
              <w:rPr>
                <w:color w:val="auto"/>
              </w:rPr>
              <w:t>Shaft</w:t>
            </w:r>
          </w:p>
        </w:tc>
        <w:tc>
          <w:tcPr>
            <w:tcW w:w="1066" w:type="pct"/>
          </w:tcPr>
          <w:p w14:paraId="122C2267" w14:textId="77777777" w:rsidR="0045562B" w:rsidRPr="00FC71BE" w:rsidRDefault="0045562B">
            <w:pPr>
              <w:pStyle w:val="Table"/>
              <w:rPr>
                <w:color w:val="auto"/>
              </w:rPr>
            </w:pPr>
            <w:r w:rsidRPr="00FC71BE">
              <w:rPr>
                <w:noProof/>
                <w:color w:val="auto"/>
              </w:rPr>
              <w:drawing>
                <wp:inline distT="0" distB="0" distL="0" distR="0" wp14:anchorId="6F499827" wp14:editId="755F0760">
                  <wp:extent cx="1360683" cy="1260000"/>
                  <wp:effectExtent l="0" t="0" r="0" b="0"/>
                  <wp:docPr id="2029912863" name="Picture 2029912863" descr="A grey cylinder with a metal han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85897" name="Picture 1" descr="A grey cylinder with a metal handle&#10;&#10;Description automatically generated with medium confidence"/>
                          <pic:cNvPicPr/>
                        </pic:nvPicPr>
                        <pic:blipFill>
                          <a:blip r:embed="rId166"/>
                          <a:stretch>
                            <a:fillRect/>
                          </a:stretch>
                        </pic:blipFill>
                        <pic:spPr>
                          <a:xfrm>
                            <a:off x="0" y="0"/>
                            <a:ext cx="1360683" cy="1260000"/>
                          </a:xfrm>
                          <a:prstGeom prst="rect">
                            <a:avLst/>
                          </a:prstGeom>
                        </pic:spPr>
                      </pic:pic>
                    </a:graphicData>
                  </a:graphic>
                </wp:inline>
              </w:drawing>
            </w:r>
          </w:p>
        </w:tc>
        <w:tc>
          <w:tcPr>
            <w:tcW w:w="1066" w:type="pct"/>
          </w:tcPr>
          <w:p w14:paraId="42307553" w14:textId="77777777" w:rsidR="0045562B" w:rsidRPr="00FC71BE" w:rsidRDefault="0045562B">
            <w:pPr>
              <w:pStyle w:val="Table"/>
              <w:rPr>
                <w:color w:val="auto"/>
              </w:rPr>
            </w:pPr>
            <w:r w:rsidRPr="00FC71BE">
              <w:rPr>
                <w:noProof/>
                <w:color w:val="auto"/>
              </w:rPr>
              <w:drawing>
                <wp:inline distT="0" distB="0" distL="0" distR="0" wp14:anchorId="59AAEDC7" wp14:editId="0D70C788">
                  <wp:extent cx="1360683" cy="1260000"/>
                  <wp:effectExtent l="0" t="0" r="0" b="0"/>
                  <wp:docPr id="5461819" name="Picture 5461819" descr="A grey cylinder with a metal han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268202" name="Picture 1018268202" descr="A grey cylinder with a metal handle&#10;&#10;Description automatically generated with medium confidence"/>
                          <pic:cNvPicPr/>
                        </pic:nvPicPr>
                        <pic:blipFill>
                          <a:blip r:embed="rId166"/>
                          <a:stretch>
                            <a:fillRect/>
                          </a:stretch>
                        </pic:blipFill>
                        <pic:spPr>
                          <a:xfrm>
                            <a:off x="0" y="0"/>
                            <a:ext cx="1360683" cy="1260000"/>
                          </a:xfrm>
                          <a:prstGeom prst="rect">
                            <a:avLst/>
                          </a:prstGeom>
                        </pic:spPr>
                      </pic:pic>
                    </a:graphicData>
                  </a:graphic>
                </wp:inline>
              </w:drawing>
            </w:r>
          </w:p>
        </w:tc>
        <w:tc>
          <w:tcPr>
            <w:tcW w:w="1066" w:type="pct"/>
          </w:tcPr>
          <w:p w14:paraId="5811DBED" w14:textId="77777777" w:rsidR="0045562B" w:rsidRPr="00FC71BE" w:rsidRDefault="0045562B">
            <w:pPr>
              <w:pStyle w:val="Table"/>
              <w:rPr>
                <w:color w:val="auto"/>
              </w:rPr>
            </w:pPr>
            <w:r w:rsidRPr="00FC71BE">
              <w:rPr>
                <w:noProof/>
                <w:color w:val="auto"/>
              </w:rPr>
              <w:drawing>
                <wp:inline distT="0" distB="0" distL="0" distR="0" wp14:anchorId="3AA376E3" wp14:editId="2C14AB12">
                  <wp:extent cx="1360683" cy="1260000"/>
                  <wp:effectExtent l="0" t="0" r="0" b="0"/>
                  <wp:docPr id="1169573212" name="Picture 1169573212" descr="A grey cylinder with a metal han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01712" name="Picture 739001712" descr="A grey cylinder with a metal handle&#10;&#10;Description automatically generated with medium confidence"/>
                          <pic:cNvPicPr/>
                        </pic:nvPicPr>
                        <pic:blipFill>
                          <a:blip r:embed="rId166"/>
                          <a:stretch>
                            <a:fillRect/>
                          </a:stretch>
                        </pic:blipFill>
                        <pic:spPr>
                          <a:xfrm>
                            <a:off x="0" y="0"/>
                            <a:ext cx="1360683" cy="1260000"/>
                          </a:xfrm>
                          <a:prstGeom prst="rect">
                            <a:avLst/>
                          </a:prstGeom>
                        </pic:spPr>
                      </pic:pic>
                    </a:graphicData>
                  </a:graphic>
                </wp:inline>
              </w:drawing>
            </w:r>
          </w:p>
        </w:tc>
        <w:tc>
          <w:tcPr>
            <w:tcW w:w="1066" w:type="pct"/>
          </w:tcPr>
          <w:p w14:paraId="402EE6B8" w14:textId="77777777" w:rsidR="0045562B" w:rsidRPr="00FC71BE" w:rsidRDefault="0045562B">
            <w:pPr>
              <w:pStyle w:val="Table"/>
              <w:rPr>
                <w:color w:val="auto"/>
              </w:rPr>
            </w:pPr>
            <w:r w:rsidRPr="00FC71BE">
              <w:rPr>
                <w:noProof/>
                <w:color w:val="auto"/>
              </w:rPr>
              <w:drawing>
                <wp:inline distT="0" distB="0" distL="0" distR="0" wp14:anchorId="2FF3ABC1" wp14:editId="3210D944">
                  <wp:extent cx="1360683" cy="1260000"/>
                  <wp:effectExtent l="0" t="0" r="0" b="0"/>
                  <wp:docPr id="877516205" name="Picture 877516205" descr="A grey cylinder with a metal han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73255" name="Picture 2136773255" descr="A grey cylinder with a metal handle&#10;&#10;Description automatically generated with medium confidence"/>
                          <pic:cNvPicPr/>
                        </pic:nvPicPr>
                        <pic:blipFill>
                          <a:blip r:embed="rId166"/>
                          <a:stretch>
                            <a:fillRect/>
                          </a:stretch>
                        </pic:blipFill>
                        <pic:spPr>
                          <a:xfrm>
                            <a:off x="0" y="0"/>
                            <a:ext cx="1360683" cy="1260000"/>
                          </a:xfrm>
                          <a:prstGeom prst="rect">
                            <a:avLst/>
                          </a:prstGeom>
                        </pic:spPr>
                      </pic:pic>
                    </a:graphicData>
                  </a:graphic>
                </wp:inline>
              </w:drawing>
            </w:r>
          </w:p>
        </w:tc>
      </w:tr>
      <w:tr w:rsidR="00FC71BE" w:rsidRPr="00FC71BE" w14:paraId="2AD29C7A" w14:textId="77777777">
        <w:tc>
          <w:tcPr>
            <w:tcW w:w="736" w:type="pct"/>
            <w:vAlign w:val="center"/>
          </w:tcPr>
          <w:p w14:paraId="15D57064" w14:textId="77777777" w:rsidR="0045562B" w:rsidRPr="00FC71BE" w:rsidRDefault="0045562B">
            <w:pPr>
              <w:pStyle w:val="Table"/>
              <w:rPr>
                <w:color w:val="auto"/>
              </w:rPr>
            </w:pPr>
            <w:r w:rsidRPr="00FC71BE">
              <w:rPr>
                <w:color w:val="auto"/>
              </w:rPr>
              <w:t>Stator Modularity</w:t>
            </w:r>
          </w:p>
        </w:tc>
        <w:tc>
          <w:tcPr>
            <w:tcW w:w="1066" w:type="pct"/>
            <w:vAlign w:val="center"/>
          </w:tcPr>
          <w:p w14:paraId="38455B75" w14:textId="77777777" w:rsidR="0045562B" w:rsidRPr="00FC71BE" w:rsidRDefault="0045562B">
            <w:pPr>
              <w:pStyle w:val="Table"/>
              <w:rPr>
                <w:color w:val="auto"/>
              </w:rPr>
            </w:pPr>
            <w:r w:rsidRPr="00FC71BE">
              <w:rPr>
                <w:noProof/>
                <w:color w:val="auto"/>
              </w:rPr>
              <w:drawing>
                <wp:inline distT="0" distB="0" distL="0" distR="0" wp14:anchorId="4B6BCA7D" wp14:editId="0143ED83">
                  <wp:extent cx="1071264" cy="1080000"/>
                  <wp:effectExtent l="0" t="0" r="0" b="6350"/>
                  <wp:docPr id="1752810549" name="Picture 1752810549" descr="A red circular object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10549" name="Picture 1752810549" descr="A red circular object with a white background&#10;&#10;Description automatically generated with medium confidence"/>
                          <pic:cNvPicPr/>
                        </pic:nvPicPr>
                        <pic:blipFill>
                          <a:blip r:embed="rId163"/>
                          <a:stretch>
                            <a:fillRect/>
                          </a:stretch>
                        </pic:blipFill>
                        <pic:spPr>
                          <a:xfrm>
                            <a:off x="0" y="0"/>
                            <a:ext cx="1071264" cy="1080000"/>
                          </a:xfrm>
                          <a:prstGeom prst="rect">
                            <a:avLst/>
                          </a:prstGeom>
                        </pic:spPr>
                      </pic:pic>
                    </a:graphicData>
                  </a:graphic>
                </wp:inline>
              </w:drawing>
            </w:r>
          </w:p>
        </w:tc>
        <w:tc>
          <w:tcPr>
            <w:tcW w:w="1066" w:type="pct"/>
            <w:vAlign w:val="center"/>
          </w:tcPr>
          <w:p w14:paraId="57D27B02" w14:textId="77777777" w:rsidR="0045562B" w:rsidRPr="00FC71BE" w:rsidRDefault="0045562B">
            <w:pPr>
              <w:pStyle w:val="Table"/>
              <w:rPr>
                <w:color w:val="auto"/>
              </w:rPr>
            </w:pPr>
            <w:r w:rsidRPr="00FC71BE">
              <w:rPr>
                <w:noProof/>
                <w:color w:val="auto"/>
              </w:rPr>
              <w:drawing>
                <wp:inline distT="0" distB="0" distL="0" distR="0" wp14:anchorId="25FB74BC" wp14:editId="3ABA2857">
                  <wp:extent cx="1083623" cy="1080000"/>
                  <wp:effectExtent l="0" t="0" r="2540" b="6350"/>
                  <wp:docPr id="1662108496" name="Picture 1662108496" descr="A red curved object with many small rectang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08496" name="Picture 1662108496" descr="A red curved object with many small rectangles&#10;&#10;Description automatically generated with medium confidence"/>
                          <pic:cNvPicPr/>
                        </pic:nvPicPr>
                        <pic:blipFill>
                          <a:blip r:embed="rId164"/>
                          <a:stretch>
                            <a:fillRect/>
                          </a:stretch>
                        </pic:blipFill>
                        <pic:spPr>
                          <a:xfrm>
                            <a:off x="0" y="0"/>
                            <a:ext cx="1083623" cy="1080000"/>
                          </a:xfrm>
                          <a:prstGeom prst="rect">
                            <a:avLst/>
                          </a:prstGeom>
                        </pic:spPr>
                      </pic:pic>
                    </a:graphicData>
                  </a:graphic>
                </wp:inline>
              </w:drawing>
            </w:r>
          </w:p>
        </w:tc>
        <w:tc>
          <w:tcPr>
            <w:tcW w:w="1066" w:type="pct"/>
            <w:vAlign w:val="center"/>
          </w:tcPr>
          <w:p w14:paraId="40C5DDF5" w14:textId="77777777" w:rsidR="0045562B" w:rsidRPr="00FC71BE" w:rsidRDefault="0045562B">
            <w:pPr>
              <w:pStyle w:val="Table"/>
              <w:rPr>
                <w:color w:val="auto"/>
              </w:rPr>
            </w:pPr>
            <w:r w:rsidRPr="00FC71BE">
              <w:rPr>
                <w:noProof/>
                <w:color w:val="auto"/>
              </w:rPr>
              <w:drawing>
                <wp:inline distT="0" distB="0" distL="0" distR="0" wp14:anchorId="12AA60FF" wp14:editId="2D57C817">
                  <wp:extent cx="1071264" cy="1080000"/>
                  <wp:effectExtent l="0" t="0" r="0" b="6350"/>
                  <wp:docPr id="1000632778" name="Picture 1000632778" descr="A red circular object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2778" name="Picture 1000632778" descr="A red circular object with a white background&#10;&#10;Description automatically generated with medium confidence"/>
                          <pic:cNvPicPr/>
                        </pic:nvPicPr>
                        <pic:blipFill>
                          <a:blip r:embed="rId163"/>
                          <a:stretch>
                            <a:fillRect/>
                          </a:stretch>
                        </pic:blipFill>
                        <pic:spPr>
                          <a:xfrm>
                            <a:off x="0" y="0"/>
                            <a:ext cx="1071264" cy="1080000"/>
                          </a:xfrm>
                          <a:prstGeom prst="rect">
                            <a:avLst/>
                          </a:prstGeom>
                        </pic:spPr>
                      </pic:pic>
                    </a:graphicData>
                  </a:graphic>
                </wp:inline>
              </w:drawing>
            </w:r>
          </w:p>
        </w:tc>
        <w:tc>
          <w:tcPr>
            <w:tcW w:w="1066" w:type="pct"/>
            <w:vAlign w:val="center"/>
          </w:tcPr>
          <w:p w14:paraId="01E0DEDE" w14:textId="77777777" w:rsidR="0045562B" w:rsidRPr="00FC71BE" w:rsidRDefault="0045562B">
            <w:pPr>
              <w:pStyle w:val="Table"/>
              <w:rPr>
                <w:color w:val="auto"/>
              </w:rPr>
            </w:pPr>
            <w:r w:rsidRPr="00FC71BE">
              <w:rPr>
                <w:noProof/>
                <w:color w:val="auto"/>
              </w:rPr>
              <w:drawing>
                <wp:inline distT="0" distB="0" distL="0" distR="0" wp14:anchorId="1BA3EFB4" wp14:editId="7B2F7B98">
                  <wp:extent cx="1083623" cy="1080000"/>
                  <wp:effectExtent l="0" t="0" r="2540" b="6350"/>
                  <wp:docPr id="1796363135" name="Picture 1796363135" descr="A red curved object with many small rectang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63135" name="Picture 1796363135" descr="A red curved object with many small rectangles&#10;&#10;Description automatically generated with medium confidence"/>
                          <pic:cNvPicPr/>
                        </pic:nvPicPr>
                        <pic:blipFill>
                          <a:blip r:embed="rId164"/>
                          <a:stretch>
                            <a:fillRect/>
                          </a:stretch>
                        </pic:blipFill>
                        <pic:spPr>
                          <a:xfrm>
                            <a:off x="0" y="0"/>
                            <a:ext cx="1083623" cy="1080000"/>
                          </a:xfrm>
                          <a:prstGeom prst="rect">
                            <a:avLst/>
                          </a:prstGeom>
                        </pic:spPr>
                      </pic:pic>
                    </a:graphicData>
                  </a:graphic>
                </wp:inline>
              </w:drawing>
            </w:r>
          </w:p>
        </w:tc>
      </w:tr>
      <w:tr w:rsidR="00FC71BE" w:rsidRPr="00FC71BE" w14:paraId="0730DCAA" w14:textId="77777777">
        <w:tc>
          <w:tcPr>
            <w:tcW w:w="736" w:type="pct"/>
            <w:tcBorders>
              <w:bottom w:val="double" w:sz="4" w:space="0" w:color="auto"/>
            </w:tcBorders>
            <w:vAlign w:val="center"/>
          </w:tcPr>
          <w:p w14:paraId="6CC9C624" w14:textId="77777777" w:rsidR="0045562B" w:rsidRPr="00FC71BE" w:rsidRDefault="0045562B">
            <w:pPr>
              <w:pStyle w:val="Table"/>
              <w:rPr>
                <w:color w:val="auto"/>
              </w:rPr>
            </w:pPr>
            <w:r w:rsidRPr="00FC71BE">
              <w:rPr>
                <w:color w:val="auto"/>
              </w:rPr>
              <w:t>Coolant materials</w:t>
            </w:r>
          </w:p>
        </w:tc>
        <w:tc>
          <w:tcPr>
            <w:tcW w:w="1066" w:type="pct"/>
            <w:tcBorders>
              <w:bottom w:val="double" w:sz="4" w:space="0" w:color="auto"/>
            </w:tcBorders>
            <w:vAlign w:val="center"/>
          </w:tcPr>
          <w:p w14:paraId="13C35169" w14:textId="77777777" w:rsidR="0045562B" w:rsidRPr="00FC71BE" w:rsidRDefault="0045562B">
            <w:pPr>
              <w:pStyle w:val="Table"/>
              <w:rPr>
                <w:color w:val="auto"/>
              </w:rPr>
            </w:pPr>
            <w:r w:rsidRPr="00FC71BE">
              <w:rPr>
                <w:color w:val="auto"/>
              </w:rPr>
              <w:t>Air</w:t>
            </w:r>
          </w:p>
        </w:tc>
        <w:tc>
          <w:tcPr>
            <w:tcW w:w="1066" w:type="pct"/>
            <w:tcBorders>
              <w:bottom w:val="double" w:sz="4" w:space="0" w:color="auto"/>
            </w:tcBorders>
            <w:vAlign w:val="center"/>
          </w:tcPr>
          <w:p w14:paraId="4716E636" w14:textId="77777777" w:rsidR="0045562B" w:rsidRPr="00FC71BE" w:rsidRDefault="0045562B">
            <w:pPr>
              <w:pStyle w:val="Table"/>
              <w:rPr>
                <w:color w:val="auto"/>
              </w:rPr>
            </w:pPr>
            <w:r w:rsidRPr="00FC71BE">
              <w:rPr>
                <w:color w:val="auto"/>
              </w:rPr>
              <w:t>Air</w:t>
            </w:r>
          </w:p>
        </w:tc>
        <w:tc>
          <w:tcPr>
            <w:tcW w:w="1066" w:type="pct"/>
            <w:tcBorders>
              <w:bottom w:val="double" w:sz="4" w:space="0" w:color="auto"/>
            </w:tcBorders>
            <w:vAlign w:val="center"/>
          </w:tcPr>
          <w:p w14:paraId="548A80E1" w14:textId="77777777" w:rsidR="0045562B" w:rsidRPr="00FC71BE" w:rsidRDefault="0045562B">
            <w:pPr>
              <w:pStyle w:val="Table"/>
              <w:rPr>
                <w:color w:val="auto"/>
              </w:rPr>
            </w:pPr>
            <w:r w:rsidRPr="00FC71BE">
              <w:rPr>
                <w:color w:val="auto"/>
              </w:rPr>
              <w:t>Air</w:t>
            </w:r>
          </w:p>
        </w:tc>
        <w:tc>
          <w:tcPr>
            <w:tcW w:w="1066" w:type="pct"/>
            <w:tcBorders>
              <w:bottom w:val="double" w:sz="4" w:space="0" w:color="auto"/>
            </w:tcBorders>
            <w:vAlign w:val="center"/>
          </w:tcPr>
          <w:p w14:paraId="607F1AB8" w14:textId="77777777" w:rsidR="0045562B" w:rsidRPr="00FC71BE" w:rsidRDefault="0045562B">
            <w:pPr>
              <w:pStyle w:val="Table"/>
              <w:rPr>
                <w:color w:val="auto"/>
              </w:rPr>
            </w:pPr>
            <w:r w:rsidRPr="00FC71BE">
              <w:rPr>
                <w:color w:val="auto"/>
              </w:rPr>
              <w:t>Air</w:t>
            </w:r>
          </w:p>
        </w:tc>
      </w:tr>
    </w:tbl>
    <w:p w14:paraId="788E14BC" w14:textId="77777777" w:rsidR="0045562B" w:rsidRPr="00FC71BE" w:rsidRDefault="0045562B" w:rsidP="0045562B">
      <w:pPr>
        <w:pStyle w:val="FigureTitle"/>
        <w:rPr>
          <w:iCs w:val="0"/>
        </w:rPr>
      </w:pPr>
      <w:r w:rsidRPr="00FC71BE">
        <w:rPr>
          <w:iCs w:val="0"/>
        </w:rPr>
        <w:t>Notes: for all the topologies, no sleeve has been used.</w:t>
      </w:r>
    </w:p>
    <w:p w14:paraId="7DBE6C3A" w14:textId="77777777" w:rsidR="0045562B" w:rsidRPr="00FC71BE" w:rsidRDefault="0045562B" w:rsidP="0045562B">
      <w:pPr>
        <w:pStyle w:val="FigureTitle"/>
        <w:rPr>
          <w:iCs w:val="0"/>
        </w:rPr>
      </w:pPr>
    </w:p>
    <w:p w14:paraId="0D4AD7B2" w14:textId="77777777" w:rsidR="0045562B" w:rsidRPr="00FC71BE" w:rsidRDefault="0045562B" w:rsidP="0045562B">
      <w:pPr>
        <w:pStyle w:val="FigureTitle"/>
        <w:rPr>
          <w:iCs w:val="0"/>
        </w:rPr>
        <w:sectPr w:rsidR="0045562B" w:rsidRPr="00FC71BE" w:rsidSect="00230564">
          <w:pgSz w:w="16838" w:h="11906" w:orient="landscape"/>
          <w:pgMar w:top="1440" w:right="1440" w:bottom="1440" w:left="1440" w:header="708" w:footer="708" w:gutter="0"/>
          <w:cols w:space="708"/>
          <w:docGrid w:linePitch="360"/>
        </w:sectPr>
      </w:pPr>
    </w:p>
    <w:p w14:paraId="0B418D6D" w14:textId="77777777" w:rsidR="0045562B" w:rsidRPr="00FC71BE" w:rsidRDefault="0045562B" w:rsidP="00B86C68">
      <w:pPr>
        <w:pStyle w:val="Heading3"/>
        <w:numPr>
          <w:ilvl w:val="2"/>
          <w:numId w:val="49"/>
        </w:numPr>
      </w:pPr>
      <w:bookmarkStart w:id="238" w:name="_Ref147246165"/>
      <w:bookmarkStart w:id="239" w:name="_Toc157695373"/>
      <w:r w:rsidRPr="00FC71BE">
        <w:lastRenderedPageBreak/>
        <w:t>Comparative Analysis of Different Models</w:t>
      </w:r>
      <w:bookmarkEnd w:id="238"/>
      <w:bookmarkEnd w:id="239"/>
    </w:p>
    <w:p w14:paraId="6CDB4631" w14:textId="2017E4EA" w:rsidR="0045562B" w:rsidRPr="00FC71BE" w:rsidRDefault="0045562B" w:rsidP="0045562B">
      <w:r w:rsidRPr="00FC71BE">
        <w:t xml:space="preserve">M1, which was previously introduced in section </w:t>
      </w:r>
      <w:r w:rsidRPr="00FC71BE">
        <w:fldChar w:fldCharType="begin"/>
      </w:r>
      <w:r w:rsidRPr="00FC71BE">
        <w:instrText xml:space="preserve"> REF _Ref146102171 \r \h </w:instrText>
      </w:r>
      <w:r w:rsidRPr="00FC71BE">
        <w:fldChar w:fldCharType="separate"/>
      </w:r>
      <w:r w:rsidR="007E62C1" w:rsidRPr="00FC71BE">
        <w:t>4.3</w:t>
      </w:r>
      <w:r w:rsidRPr="00FC71BE">
        <w:fldChar w:fldCharType="end"/>
      </w:r>
      <w:r w:rsidRPr="00FC71BE">
        <w:t xml:space="preserve"> for forced-oil cooling, will be used at the beginning of this section for investigating the ventilation cooling system. Here, air will be used as coolant, and its cooling performance will be compared against that of the same machine with forced oil cooling. </w:t>
      </w:r>
    </w:p>
    <w:p w14:paraId="3320BD76" w14:textId="13F0A9FE" w:rsidR="0045562B" w:rsidRPr="00FC71BE" w:rsidRDefault="0045562B" w:rsidP="0045562B">
      <w:pPr>
        <w:pStyle w:val="Tabletitle"/>
        <w:rPr>
          <w:color w:val="auto"/>
        </w:rPr>
      </w:pPr>
      <w:bookmarkStart w:id="240" w:name="_Ref147236249"/>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4</w:t>
      </w:r>
      <w:r w:rsidR="002839C4" w:rsidRPr="00FC71BE">
        <w:rPr>
          <w:color w:val="auto"/>
        </w:rPr>
        <w:fldChar w:fldCharType="end"/>
      </w:r>
      <w:bookmarkEnd w:id="240"/>
      <w:r w:rsidRPr="00FC71BE">
        <w:rPr>
          <w:color w:val="auto"/>
        </w:rPr>
        <w:t xml:space="preserve">  Properties of Air</w:t>
      </w:r>
    </w:p>
    <w:tbl>
      <w:tblPr>
        <w:tblStyle w:val="TableGrid1"/>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4825"/>
        <w:gridCol w:w="4201"/>
      </w:tblGrid>
      <w:tr w:rsidR="00FC71BE" w:rsidRPr="00FC71BE" w14:paraId="259F9466" w14:textId="77777777">
        <w:tc>
          <w:tcPr>
            <w:tcW w:w="2673" w:type="pct"/>
            <w:vAlign w:val="center"/>
          </w:tcPr>
          <w:p w14:paraId="0A1134DB" w14:textId="77777777" w:rsidR="0045562B" w:rsidRPr="00FC71BE" w:rsidRDefault="0045562B" w:rsidP="00C52900">
            <w:pPr>
              <w:pStyle w:val="Table"/>
              <w:rPr>
                <w:color w:val="auto"/>
              </w:rPr>
            </w:pPr>
            <w:r w:rsidRPr="00FC71BE">
              <w:rPr>
                <w:color w:val="auto"/>
              </w:rPr>
              <w:t>Density (</w:t>
            </w:r>
            <m:oMath>
              <m:f>
                <m:fPr>
                  <m:type m:val="lin"/>
                  <m:ctrlPr>
                    <w:rPr>
                      <w:rFonts w:ascii="Cambria Math" w:hAnsi="Cambria Math"/>
                      <w:color w:val="auto"/>
                      <w:lang w:eastAsia="zh-CN"/>
                    </w:rPr>
                  </m:ctrlPr>
                </m:fPr>
                <m:num>
                  <m:r>
                    <m:rPr>
                      <m:sty m:val="p"/>
                    </m:rPr>
                    <w:rPr>
                      <w:rFonts w:ascii="Cambria Math" w:hAnsi="Cambria Math"/>
                      <w:color w:val="auto"/>
                      <w:lang w:eastAsia="zh-CN"/>
                    </w:rPr>
                    <m:t>kg</m:t>
                  </m:r>
                </m:num>
                <m:den>
                  <m:sSup>
                    <m:sSupPr>
                      <m:ctrlPr>
                        <w:rPr>
                          <w:rFonts w:ascii="Cambria Math" w:hAnsi="Cambria Math"/>
                          <w:color w:val="auto"/>
                          <w:lang w:eastAsia="zh-CN"/>
                        </w:rPr>
                      </m:ctrlPr>
                    </m:sSupPr>
                    <m:e>
                      <m:r>
                        <m:rPr>
                          <m:sty m:val="p"/>
                        </m:rPr>
                        <w:rPr>
                          <w:rFonts w:ascii="Cambria Math" w:hAnsi="Cambria Math"/>
                          <w:color w:val="auto"/>
                          <w:lang w:eastAsia="zh-CN"/>
                        </w:rPr>
                        <m:t>m</m:t>
                      </m:r>
                    </m:e>
                    <m:sup>
                      <m:r>
                        <m:rPr>
                          <m:sty m:val="p"/>
                        </m:rPr>
                        <w:rPr>
                          <w:rFonts w:ascii="Cambria Math" w:hAnsi="Cambria Math"/>
                          <w:color w:val="auto"/>
                          <w:lang w:eastAsia="zh-CN"/>
                        </w:rPr>
                        <m:t>3</m:t>
                      </m:r>
                    </m:sup>
                  </m:sSup>
                </m:den>
              </m:f>
            </m:oMath>
            <w:r w:rsidRPr="00FC71BE">
              <w:rPr>
                <w:color w:val="auto"/>
              </w:rPr>
              <w:t>)</w:t>
            </w:r>
          </w:p>
        </w:tc>
        <w:tc>
          <w:tcPr>
            <w:tcW w:w="2327" w:type="pct"/>
            <w:vAlign w:val="center"/>
          </w:tcPr>
          <w:p w14:paraId="512578FE" w14:textId="77777777" w:rsidR="0045562B" w:rsidRPr="00FC71BE" w:rsidRDefault="0045562B" w:rsidP="00C52900">
            <w:pPr>
              <w:pStyle w:val="Table"/>
              <w:rPr>
                <w:color w:val="auto"/>
              </w:rPr>
            </w:pPr>
            <w:r w:rsidRPr="00FC71BE">
              <w:rPr>
                <w:color w:val="auto"/>
              </w:rPr>
              <w:t>1.185</w:t>
            </w:r>
          </w:p>
        </w:tc>
      </w:tr>
      <w:tr w:rsidR="00FC71BE" w:rsidRPr="00FC71BE" w14:paraId="6E94DFB7" w14:textId="77777777">
        <w:tc>
          <w:tcPr>
            <w:tcW w:w="2673" w:type="pct"/>
            <w:vAlign w:val="center"/>
          </w:tcPr>
          <w:p w14:paraId="760CC4A6" w14:textId="77777777" w:rsidR="0045562B" w:rsidRPr="00FC71BE" w:rsidRDefault="0045562B" w:rsidP="00C52900">
            <w:pPr>
              <w:pStyle w:val="Table"/>
              <w:rPr>
                <w:color w:val="auto"/>
              </w:rPr>
            </w:pPr>
            <w:r w:rsidRPr="00FC71BE">
              <w:rPr>
                <w:color w:val="auto"/>
              </w:rPr>
              <w:t>Thermal conductivity (</w:t>
            </w:r>
            <m:oMath>
              <m:f>
                <m:fPr>
                  <m:type m:val="lin"/>
                  <m:ctrlPr>
                    <w:rPr>
                      <w:rFonts w:ascii="Cambria Math" w:hAnsi="Cambria Math"/>
                      <w:color w:val="auto"/>
                      <w:lang w:eastAsia="zh-CN"/>
                    </w:rPr>
                  </m:ctrlPr>
                </m:fPr>
                <m:num>
                  <m:r>
                    <m:rPr>
                      <m:sty m:val="p"/>
                    </m:rPr>
                    <w:rPr>
                      <w:rFonts w:ascii="Cambria Math" w:hAnsi="Cambria Math"/>
                      <w:color w:val="auto"/>
                      <w:lang w:eastAsia="zh-CN"/>
                    </w:rPr>
                    <m:t>W</m:t>
                  </m:r>
                </m:num>
                <m:den>
                  <m:r>
                    <m:rPr>
                      <m:sty m:val="p"/>
                    </m:rPr>
                    <w:rPr>
                      <w:rFonts w:ascii="Cambria Math" w:hAnsi="Cambria Math"/>
                      <w:color w:val="auto"/>
                      <w:lang w:eastAsia="zh-CN"/>
                    </w:rPr>
                    <m:t>m∙K</m:t>
                  </m:r>
                </m:den>
              </m:f>
            </m:oMath>
            <w:r w:rsidRPr="00FC71BE">
              <w:rPr>
                <w:color w:val="auto"/>
              </w:rPr>
              <w:t>)</w:t>
            </w:r>
          </w:p>
        </w:tc>
        <w:tc>
          <w:tcPr>
            <w:tcW w:w="2327" w:type="pct"/>
            <w:vAlign w:val="center"/>
          </w:tcPr>
          <w:p w14:paraId="62E10BF7" w14:textId="77777777" w:rsidR="0045562B" w:rsidRPr="00FC71BE" w:rsidRDefault="0045562B" w:rsidP="00C52900">
            <w:pPr>
              <w:pStyle w:val="Table"/>
              <w:rPr>
                <w:color w:val="auto"/>
              </w:rPr>
            </w:pPr>
            <w:r w:rsidRPr="00FC71BE">
              <w:rPr>
                <w:color w:val="auto"/>
              </w:rPr>
              <w:t>0.0261</w:t>
            </w:r>
          </w:p>
        </w:tc>
      </w:tr>
      <w:tr w:rsidR="00FC71BE" w:rsidRPr="00FC71BE" w14:paraId="7A42C2F7" w14:textId="77777777">
        <w:tc>
          <w:tcPr>
            <w:tcW w:w="2673" w:type="pct"/>
            <w:tcBorders>
              <w:bottom w:val="nil"/>
            </w:tcBorders>
            <w:vAlign w:val="center"/>
          </w:tcPr>
          <w:p w14:paraId="60575947" w14:textId="77777777" w:rsidR="0045562B" w:rsidRPr="00FC71BE" w:rsidRDefault="0045562B" w:rsidP="00C52900">
            <w:pPr>
              <w:pStyle w:val="Table"/>
              <w:rPr>
                <w:color w:val="auto"/>
              </w:rPr>
            </w:pPr>
            <w:r w:rsidRPr="00FC71BE">
              <w:rPr>
                <w:color w:val="auto"/>
              </w:rPr>
              <w:t>Dynamic viscosity (</w:t>
            </w:r>
            <m:oMath>
              <m:r>
                <m:rPr>
                  <m:sty m:val="p"/>
                </m:rPr>
                <w:rPr>
                  <w:rFonts w:ascii="Cambria Math" w:hAnsi="Cambria Math"/>
                  <w:color w:val="auto"/>
                  <w:lang w:eastAsia="zh-CN"/>
                </w:rPr>
                <m:t>Pa∙s</m:t>
              </m:r>
            </m:oMath>
            <w:r w:rsidRPr="00FC71BE">
              <w:rPr>
                <w:color w:val="auto"/>
              </w:rPr>
              <w:t>)</w:t>
            </w:r>
          </w:p>
        </w:tc>
        <w:tc>
          <w:tcPr>
            <w:tcW w:w="2327" w:type="pct"/>
            <w:tcBorders>
              <w:bottom w:val="nil"/>
            </w:tcBorders>
            <w:vAlign w:val="center"/>
          </w:tcPr>
          <w:p w14:paraId="1208E4EB" w14:textId="77777777" w:rsidR="0045562B" w:rsidRPr="00FC71BE" w:rsidRDefault="0045562B" w:rsidP="00C52900">
            <w:pPr>
              <w:pStyle w:val="Table"/>
              <w:rPr>
                <w:color w:val="auto"/>
              </w:rPr>
            </w:pPr>
            <w:r w:rsidRPr="00FC71BE">
              <w:rPr>
                <w:color w:val="auto"/>
              </w:rPr>
              <w:t>1.831</w:t>
            </w:r>
            <m:oMath>
              <m:r>
                <m:rPr>
                  <m:sty m:val="p"/>
                </m:rPr>
                <w:rPr>
                  <w:rFonts w:ascii="Cambria Math" w:hAnsi="Cambria Math" w:cs="Times New Roman"/>
                  <w:color w:val="auto"/>
                  <w:lang w:eastAsia="zh-CN"/>
                </w:rPr>
                <m:t>×</m:t>
              </m:r>
              <m:sSup>
                <m:sSupPr>
                  <m:ctrlPr>
                    <w:rPr>
                      <w:rFonts w:ascii="Cambria Math" w:hAnsi="Cambria Math" w:cs="Times New Roman"/>
                      <w:color w:val="auto"/>
                      <w:lang w:eastAsia="zh-CN"/>
                    </w:rPr>
                  </m:ctrlPr>
                </m:sSupPr>
                <m:e>
                  <m:r>
                    <m:rPr>
                      <m:sty m:val="p"/>
                    </m:rPr>
                    <w:rPr>
                      <w:rFonts w:ascii="Cambria Math" w:hAnsi="Cambria Math" w:cs="Times New Roman"/>
                      <w:color w:val="auto"/>
                      <w:lang w:eastAsia="zh-CN"/>
                    </w:rPr>
                    <m:t>10</m:t>
                  </m:r>
                </m:e>
                <m:sup>
                  <m:r>
                    <w:rPr>
                      <w:rFonts w:ascii="Cambria Math" w:hAnsi="Cambria Math" w:cs="Times New Roman"/>
                      <w:color w:val="auto"/>
                      <w:lang w:eastAsia="zh-CN"/>
                    </w:rPr>
                    <m:t>-5</m:t>
                  </m:r>
                </m:sup>
              </m:sSup>
            </m:oMath>
          </w:p>
        </w:tc>
      </w:tr>
      <w:tr w:rsidR="005E3DFE" w:rsidRPr="00FC71BE" w14:paraId="0CD798F1" w14:textId="77777777">
        <w:tc>
          <w:tcPr>
            <w:tcW w:w="2673" w:type="pct"/>
            <w:tcBorders>
              <w:top w:val="nil"/>
              <w:bottom w:val="double" w:sz="4" w:space="0" w:color="auto"/>
            </w:tcBorders>
            <w:vAlign w:val="center"/>
          </w:tcPr>
          <w:p w14:paraId="6E3E7563" w14:textId="77777777" w:rsidR="0045562B" w:rsidRPr="00FC71BE" w:rsidRDefault="0045562B" w:rsidP="00C52900">
            <w:pPr>
              <w:pStyle w:val="Table"/>
              <w:rPr>
                <w:color w:val="auto"/>
              </w:rPr>
            </w:pPr>
            <w:r w:rsidRPr="00FC71BE">
              <w:rPr>
                <w:color w:val="auto"/>
                <w:lang w:eastAsia="zh-CN"/>
              </w:rPr>
              <w:t>Specific heat capacity (</w:t>
            </w:r>
            <m:oMath>
              <m:f>
                <m:fPr>
                  <m:type m:val="lin"/>
                  <m:ctrlPr>
                    <w:rPr>
                      <w:rFonts w:ascii="Cambria Math" w:hAnsi="Cambria Math" w:cs="Times New Roman"/>
                      <w:color w:val="auto"/>
                      <w:lang w:eastAsia="zh-CN"/>
                    </w:rPr>
                  </m:ctrlPr>
                </m:fPr>
                <m:num>
                  <m:r>
                    <m:rPr>
                      <m:sty m:val="p"/>
                    </m:rPr>
                    <w:rPr>
                      <w:rFonts w:ascii="Cambria Math" w:hAnsi="Cambria Math" w:cs="Times New Roman"/>
                      <w:color w:val="auto"/>
                      <w:lang w:eastAsia="zh-CN"/>
                    </w:rPr>
                    <m:t>J</m:t>
                  </m:r>
                </m:num>
                <m:den>
                  <m:r>
                    <m:rPr>
                      <m:sty m:val="p"/>
                    </m:rPr>
                    <w:rPr>
                      <w:rFonts w:ascii="Cambria Math" w:hAnsi="Cambria Math" w:cs="Times New Roman"/>
                      <w:color w:val="auto"/>
                      <w:lang w:eastAsia="zh-CN"/>
                    </w:rPr>
                    <m:t>kg/K</m:t>
                  </m:r>
                </m:den>
              </m:f>
            </m:oMath>
            <w:r w:rsidRPr="00FC71BE">
              <w:rPr>
                <w:color w:val="auto"/>
                <w:lang w:eastAsia="zh-CN"/>
              </w:rPr>
              <w:t>)</w:t>
            </w:r>
          </w:p>
        </w:tc>
        <w:tc>
          <w:tcPr>
            <w:tcW w:w="2327" w:type="pct"/>
            <w:tcBorders>
              <w:top w:val="nil"/>
              <w:bottom w:val="double" w:sz="4" w:space="0" w:color="auto"/>
            </w:tcBorders>
            <w:vAlign w:val="center"/>
          </w:tcPr>
          <w:p w14:paraId="6D2A5A50" w14:textId="77777777" w:rsidR="0045562B" w:rsidRPr="00FC71BE" w:rsidRDefault="0045562B" w:rsidP="00C52900">
            <w:pPr>
              <w:pStyle w:val="Table"/>
              <w:rPr>
                <w:color w:val="auto"/>
              </w:rPr>
            </w:pPr>
            <w:r w:rsidRPr="00FC71BE">
              <w:rPr>
                <w:color w:val="auto"/>
                <w:lang w:eastAsia="zh-CN"/>
              </w:rPr>
              <w:t>1.004</w:t>
            </w:r>
            <m:oMath>
              <m:r>
                <m:rPr>
                  <m:sty m:val="p"/>
                </m:rPr>
                <w:rPr>
                  <w:rFonts w:ascii="Cambria Math" w:hAnsi="Cambria Math" w:cs="Times New Roman"/>
                  <w:color w:val="auto"/>
                  <w:lang w:eastAsia="zh-CN"/>
                </w:rPr>
                <m:t>×</m:t>
              </m:r>
              <m:sSup>
                <m:sSupPr>
                  <m:ctrlPr>
                    <w:rPr>
                      <w:rFonts w:ascii="Cambria Math" w:hAnsi="Cambria Math" w:cs="Times New Roman"/>
                      <w:color w:val="auto"/>
                      <w:lang w:eastAsia="zh-CN"/>
                    </w:rPr>
                  </m:ctrlPr>
                </m:sSupPr>
                <m:e>
                  <m:r>
                    <m:rPr>
                      <m:sty m:val="p"/>
                    </m:rPr>
                    <w:rPr>
                      <w:rFonts w:ascii="Cambria Math" w:hAnsi="Cambria Math" w:cs="Times New Roman"/>
                      <w:color w:val="auto"/>
                      <w:lang w:eastAsia="zh-CN"/>
                    </w:rPr>
                    <m:t>10</m:t>
                  </m:r>
                </m:e>
                <m:sup>
                  <m:r>
                    <m:rPr>
                      <m:sty m:val="p"/>
                    </m:rPr>
                    <w:rPr>
                      <w:rFonts w:ascii="Cambria Math" w:hAnsi="Cambria Math" w:cs="Times New Roman"/>
                      <w:color w:val="auto"/>
                      <w:lang w:eastAsia="zh-CN"/>
                    </w:rPr>
                    <m:t>3</m:t>
                  </m:r>
                </m:sup>
              </m:sSup>
            </m:oMath>
          </w:p>
        </w:tc>
      </w:tr>
    </w:tbl>
    <w:p w14:paraId="4612FBFD" w14:textId="77777777" w:rsidR="0045562B" w:rsidRPr="00FC71BE" w:rsidRDefault="0045562B" w:rsidP="0045562B"/>
    <w:p w14:paraId="6159F9B7" w14:textId="2E5E1F80" w:rsidR="0045562B" w:rsidRPr="00FC71BE" w:rsidRDefault="0045562B" w:rsidP="0045562B">
      <w:pPr>
        <w:rPr>
          <w:iCs/>
        </w:rPr>
      </w:pPr>
      <w:r w:rsidRPr="00FC71BE">
        <w:t xml:space="preserve">The thermal properties of the machine solid components are the same as those used in section </w:t>
      </w:r>
      <w:r w:rsidRPr="00FC71BE">
        <w:fldChar w:fldCharType="begin"/>
      </w:r>
      <w:r w:rsidRPr="00FC71BE">
        <w:instrText xml:space="preserve"> REF _Ref146102171 \r \h </w:instrText>
      </w:r>
      <w:r w:rsidRPr="00FC71BE">
        <w:fldChar w:fldCharType="separate"/>
      </w:r>
      <w:r w:rsidR="007E62C1" w:rsidRPr="00FC71BE">
        <w:t>4.3</w:t>
      </w:r>
      <w:r w:rsidRPr="00FC71BE">
        <w:fldChar w:fldCharType="end"/>
      </w:r>
      <w:r w:rsidRPr="00FC71BE">
        <w:t xml:space="preserve">. The properties of air are also listed in </w:t>
      </w:r>
      <w:r w:rsidRPr="00FC71BE">
        <w:fldChar w:fldCharType="begin"/>
      </w:r>
      <w:r w:rsidRPr="00FC71BE">
        <w:instrText xml:space="preserve"> REF _Ref147236249 \h </w:instrText>
      </w:r>
      <w:r w:rsidRPr="00FC71BE">
        <w:fldChar w:fldCharType="separate"/>
      </w:r>
      <w:r w:rsidR="007E62C1" w:rsidRPr="00FC71BE">
        <w:t xml:space="preserve">Table </w:t>
      </w:r>
      <w:r w:rsidR="007E62C1" w:rsidRPr="00FC71BE">
        <w:rPr>
          <w:noProof/>
        </w:rPr>
        <w:t>4</w:t>
      </w:r>
      <w:r w:rsidR="007E62C1" w:rsidRPr="00FC71BE">
        <w:t>.</w:t>
      </w:r>
      <w:r w:rsidR="007E62C1" w:rsidRPr="00FC71BE">
        <w:rPr>
          <w:noProof/>
        </w:rPr>
        <w:t>4</w:t>
      </w:r>
      <w:r w:rsidRPr="00FC71BE">
        <w:fldChar w:fldCharType="end"/>
      </w:r>
      <w:r w:rsidRPr="00FC71BE">
        <w:t>. It is worth noting that, since the forced cooling system is employed, the temperature varying properties (especially the density and dynamic viscosity) can be neglected. In addition, during the research of the cooling design for the electrical machines, the Mach number (</w:t>
      </w:r>
      <m:oMath>
        <m:r>
          <w:rPr>
            <w:rFonts w:ascii="Cambria Math" w:hAnsi="Cambria Math"/>
          </w:rPr>
          <m:t>M=</m:t>
        </m:r>
        <m:f>
          <m:fPr>
            <m:type m:val="lin"/>
            <m:ctrlPr>
              <w:rPr>
                <w:rFonts w:ascii="Cambria Math" w:hAnsi="Cambria Math"/>
                <w:i/>
              </w:rPr>
            </m:ctrlPr>
          </m:fPr>
          <m:num>
            <m:r>
              <w:rPr>
                <w:rFonts w:ascii="Cambria Math" w:hAnsi="Cambria Math"/>
              </w:rPr>
              <m:t>u</m:t>
            </m:r>
          </m:num>
          <m:den>
            <m:sSub>
              <m:sSubPr>
                <m:ctrlPr>
                  <w:rPr>
                    <w:rFonts w:ascii="Cambria Math" w:hAnsi="Cambria Math"/>
                    <w:i/>
                  </w:rPr>
                </m:ctrlPr>
              </m:sSubPr>
              <m:e>
                <m:r>
                  <w:rPr>
                    <w:rFonts w:ascii="Cambria Math" w:hAnsi="Cambria Math"/>
                  </w:rPr>
                  <m:t>u</m:t>
                </m:r>
              </m:e>
              <m:sub>
                <m:r>
                  <w:rPr>
                    <w:rFonts w:ascii="Cambria Math" w:hAnsi="Cambria Math"/>
                  </w:rPr>
                  <m:t>c</m:t>
                </m:r>
              </m:sub>
            </m:sSub>
          </m:den>
        </m:f>
      </m:oMath>
      <w:r w:rsidRPr="00FC71BE">
        <w:t xml:space="preserve">, where </w:t>
      </w:r>
      <m:oMath>
        <m:r>
          <w:rPr>
            <w:rFonts w:ascii="Cambria Math" w:hAnsi="Cambria Math"/>
          </w:rPr>
          <m:t>u</m:t>
        </m:r>
      </m:oMath>
      <w:r w:rsidRPr="00FC71BE">
        <w:t xml:space="preserve"> is the coolant velocity and </w:t>
      </w:r>
      <m:oMath>
        <m:sSub>
          <m:sSubPr>
            <m:ctrlPr>
              <w:rPr>
                <w:rFonts w:ascii="Cambria Math" w:hAnsi="Cambria Math"/>
                <w:i/>
              </w:rPr>
            </m:ctrlPr>
          </m:sSubPr>
          <m:e>
            <m:r>
              <w:rPr>
                <w:rFonts w:ascii="Cambria Math" w:hAnsi="Cambria Math"/>
              </w:rPr>
              <m:t>u</m:t>
            </m:r>
          </m:e>
          <m:sub>
            <m:r>
              <w:rPr>
                <w:rFonts w:ascii="Cambria Math" w:hAnsi="Cambria Math"/>
              </w:rPr>
              <m:t>c</m:t>
            </m:r>
          </m:sub>
        </m:sSub>
      </m:oMath>
      <w:r w:rsidRPr="00FC71BE">
        <w:t xml:space="preserve"> is the speed of sound in the medium) of the coolant is always lower than 0.3, i.e., 100</w:t>
      </w:r>
      <m:oMath>
        <m:r>
          <m:rPr>
            <m:sty m:val="p"/>
          </m:rPr>
          <w:rPr>
            <w:rFonts w:ascii="Cambria Math" w:hAnsi="Cambria Math"/>
          </w:rPr>
          <m:t>m/s</m:t>
        </m:r>
      </m:oMath>
      <w:r w:rsidRPr="00FC71BE">
        <w:t>. Therefore, the compressibility of air is negligible. A uniform, fully developed airflow is introduced into the investigated modular machines with</w:t>
      </w:r>
      <w:r w:rsidRPr="00FC71BE" w:rsidDel="0054524F">
        <w:t xml:space="preserve"> </w:t>
      </w:r>
      <w:r w:rsidRPr="00FC71BE">
        <w:t>a mass flow rate of 0.48</w:t>
      </w:r>
      <m:oMath>
        <m:f>
          <m:fPr>
            <m:type m:val="lin"/>
            <m:ctrlPr>
              <w:rPr>
                <w:rFonts w:ascii="Cambria Math" w:hAnsi="Cambria Math"/>
                <w:iCs/>
              </w:rPr>
            </m:ctrlPr>
          </m:fPr>
          <m:num>
            <m:r>
              <m:rPr>
                <m:sty m:val="p"/>
              </m:rPr>
              <w:rPr>
                <w:rFonts w:ascii="Cambria Math" w:hAnsi="Cambria Math"/>
              </w:rPr>
              <m:t>kg</m:t>
            </m:r>
          </m:num>
          <m:den>
            <m:r>
              <m:rPr>
                <m:sty m:val="p"/>
              </m:rPr>
              <w:rPr>
                <w:rFonts w:ascii="Cambria Math" w:hAnsi="Cambria Math"/>
              </w:rPr>
              <m:t>s</m:t>
            </m:r>
          </m:den>
        </m:f>
      </m:oMath>
      <w:r w:rsidRPr="00FC71BE">
        <w:rPr>
          <w:iCs/>
        </w:rPr>
        <w:t>, i.e., 0.04</w:t>
      </w:r>
      <m:oMath>
        <m:f>
          <m:fPr>
            <m:type m:val="lin"/>
            <m:ctrlPr>
              <w:rPr>
                <w:rFonts w:ascii="Cambria Math" w:hAnsi="Cambria Math"/>
                <w:iCs/>
              </w:rPr>
            </m:ctrlPr>
          </m:fPr>
          <m:num>
            <m:r>
              <m:rPr>
                <m:sty m:val="p"/>
              </m:rPr>
              <w:rPr>
                <w:rFonts w:ascii="Cambria Math" w:hAnsi="Cambria Math"/>
              </w:rPr>
              <m:t>kg</m:t>
            </m:r>
          </m:num>
          <m:den>
            <m:r>
              <m:rPr>
                <m:sty m:val="p"/>
              </m:rPr>
              <w:rPr>
                <w:rFonts w:ascii="Cambria Math" w:hAnsi="Cambria Math"/>
              </w:rPr>
              <m:t>s</m:t>
            </m:r>
          </m:den>
        </m:f>
      </m:oMath>
      <w:r w:rsidRPr="00FC71BE">
        <w:rPr>
          <w:iCs/>
        </w:rPr>
        <w:t xml:space="preserve"> or 0.034</w:t>
      </w:r>
      <m:oMath>
        <m:f>
          <m:fPr>
            <m:type m:val="lin"/>
            <m:ctrlPr>
              <w:rPr>
                <w:rFonts w:ascii="Cambria Math" w:hAnsi="Cambria Math"/>
              </w:rPr>
            </m:ctrlPr>
          </m:fPr>
          <m:num>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num>
          <m:den>
            <m:r>
              <m:rPr>
                <m:sty m:val="p"/>
              </m:rPr>
              <w:rPr>
                <w:rFonts w:ascii="Cambria Math" w:hAnsi="Cambria Math"/>
              </w:rPr>
              <m:t>s</m:t>
            </m:r>
          </m:den>
        </m:f>
      </m:oMath>
      <w:r w:rsidRPr="00FC71BE">
        <w:t xml:space="preserve"> for each segment</w:t>
      </w:r>
      <w:r w:rsidRPr="00FC71BE">
        <w:rPr>
          <w:iCs/>
        </w:rPr>
        <w:t xml:space="preserve">, and </w:t>
      </w:r>
      <w:r w:rsidRPr="00FC71BE">
        <w:t>an</w:t>
      </w:r>
      <w:r w:rsidRPr="00FC71BE">
        <w:rPr>
          <w:iCs/>
        </w:rPr>
        <w:t xml:space="preserve"> inlet temperature of 20</w:t>
      </w:r>
      <m:oMath>
        <m:r>
          <w:rPr>
            <w:rFonts w:ascii="Cambria Math" w:hAnsi="Cambria Math"/>
          </w:rPr>
          <m:t>℃</m:t>
        </m:r>
      </m:oMath>
      <w:r w:rsidRPr="00FC71BE">
        <w:rPr>
          <w:iCs/>
        </w:rPr>
        <w:t>.</w:t>
      </w:r>
    </w:p>
    <w:p w14:paraId="53CDD565" w14:textId="6809AF34" w:rsidR="0045562B" w:rsidRPr="00FC71BE" w:rsidRDefault="0045562B" w:rsidP="0045562B">
      <w:r w:rsidRPr="00FC71BE">
        <w:t>For comparative analyses, an equal mass flow rate of oil as that of air has also been introduced to investigate the cooling performance. Since the mass flow rate is the same for both coolants (air and oil), the volumetric flow rate of oil is around 2.1</w:t>
      </w:r>
      <m:oMath>
        <m:f>
          <m:fPr>
            <m:type m:val="lin"/>
            <m:ctrlPr>
              <w:rPr>
                <w:rFonts w:ascii="Cambria Math" w:hAnsi="Cambria Math"/>
                <w:iCs/>
              </w:rPr>
            </m:ctrlPr>
          </m:fPr>
          <m:num>
            <m:r>
              <m:rPr>
                <m:sty m:val="p"/>
              </m:rPr>
              <w:rPr>
                <w:rFonts w:ascii="Cambria Math" w:hAnsi="Cambria Math"/>
              </w:rPr>
              <m:t>L</m:t>
            </m:r>
          </m:num>
          <m:den>
            <m:r>
              <m:rPr>
                <m:sty m:val="p"/>
              </m:rPr>
              <w:rPr>
                <w:rFonts w:ascii="Cambria Math" w:hAnsi="Cambria Math"/>
              </w:rPr>
              <m:t>min</m:t>
            </m:r>
          </m:den>
        </m:f>
      </m:oMath>
      <w:r w:rsidRPr="00FC71BE">
        <w:rPr>
          <w:iCs/>
        </w:rPr>
        <w:t xml:space="preserve">. It is worth noting that this oil volumetric flow rate is approximately </w:t>
      </w:r>
      <m:oMath>
        <m:f>
          <m:fPr>
            <m:type m:val="lin"/>
            <m:ctrlPr>
              <w:rPr>
                <w:rFonts w:ascii="Cambria Math" w:hAnsi="Cambria Math"/>
                <w:i/>
                <w:iCs/>
              </w:rPr>
            </m:ctrlPr>
          </m:fPr>
          <m:num>
            <m:r>
              <w:rPr>
                <w:rFonts w:ascii="Cambria Math" w:hAnsi="Cambria Math"/>
              </w:rPr>
              <m:t>1</m:t>
            </m:r>
          </m:num>
          <m:den>
            <m:r>
              <w:rPr>
                <w:rFonts w:ascii="Cambria Math" w:hAnsi="Cambria Math"/>
              </w:rPr>
              <m:t>980</m:t>
            </m:r>
          </m:den>
        </m:f>
        <m:r>
          <m:rPr>
            <m:sty m:val="p"/>
          </m:rPr>
          <w:rPr>
            <w:rFonts w:ascii="Cambria Math" w:hAnsi="Cambria Math"/>
          </w:rPr>
          <m:t>th</m:t>
        </m:r>
      </m:oMath>
      <w:r w:rsidRPr="00FC71BE">
        <w:rPr>
          <w:iCs/>
        </w:rPr>
        <w:t xml:space="preserve"> of that of</w:t>
      </w:r>
      <w:r w:rsidRPr="00FC71BE">
        <w:t xml:space="preserve"> air. This significantly reduced volumetric flow rate leads to substantially lower coolant velocity as illustrated in </w:t>
      </w:r>
      <w:r w:rsidRPr="00FC71BE">
        <w:fldChar w:fldCharType="begin"/>
      </w:r>
      <w:r w:rsidRPr="00FC71BE">
        <w:instrText xml:space="preserve"> REF _Ref146887387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19</w:t>
      </w:r>
      <w:r w:rsidRPr="00FC71BE">
        <w:fldChar w:fldCharType="end"/>
      </w:r>
      <w:r w:rsidRPr="00FC71BE">
        <w:t>. Despite its significantly lower volumetric flow rate compared to air, oil cooling achieves similar cooling efficiency, due to its higher thermal conductivity. Thus, machines with both air and oil cooling exhibit comparable cooling performance. For example, the maximum winding temperatures are 68.5</w:t>
      </w:r>
      <m:oMath>
        <m:r>
          <w:rPr>
            <w:rFonts w:ascii="Cambria Math" w:hAnsi="Cambria Math"/>
          </w:rPr>
          <m:t>℃</m:t>
        </m:r>
      </m:oMath>
      <w:r w:rsidRPr="00FC71BE">
        <w:t xml:space="preserve"> for air cooling and 67.4</w:t>
      </w:r>
      <m:oMath>
        <m:r>
          <w:rPr>
            <w:rFonts w:ascii="Cambria Math" w:hAnsi="Cambria Math"/>
          </w:rPr>
          <m:t>℃</m:t>
        </m:r>
      </m:oMath>
      <w:r w:rsidRPr="00FC71BE">
        <w:t xml:space="preserve"> for oil cooling, while the maximum PM temperatures are 110</w:t>
      </w:r>
      <m:oMath>
        <m:r>
          <w:rPr>
            <w:rFonts w:ascii="Cambria Math" w:hAnsi="Cambria Math"/>
          </w:rPr>
          <m:t>℃</m:t>
        </m:r>
      </m:oMath>
      <w:r w:rsidRPr="00FC71BE">
        <w:t xml:space="preserve"> and 107</w:t>
      </w:r>
      <m:oMath>
        <m:r>
          <w:rPr>
            <w:rFonts w:ascii="Cambria Math" w:hAnsi="Cambria Math"/>
          </w:rPr>
          <m:t>℃</m:t>
        </m:r>
      </m:oMath>
      <w:r w:rsidRPr="00FC71BE">
        <w:t xml:space="preserve">, respectively. The temperature distribution of the winding and rotor for machines with different cooling methods are also shown in </w:t>
      </w:r>
      <w:r w:rsidRPr="00FC71BE">
        <w:fldChar w:fldCharType="begin"/>
      </w:r>
      <w:r w:rsidRPr="00FC71BE">
        <w:instrText xml:space="preserve"> REF _Ref146902357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20</w:t>
      </w:r>
      <w:r w:rsidRPr="00FC71BE">
        <w:fldChar w:fldCharType="end"/>
      </w:r>
      <w:r w:rsidRPr="00FC71BE">
        <w:t xml:space="preserve"> and </w:t>
      </w:r>
      <w:r w:rsidRPr="00FC71BE">
        <w:fldChar w:fldCharType="begin"/>
      </w:r>
      <w:r w:rsidRPr="00FC71BE">
        <w:instrText xml:space="preserve"> REF _Ref146902358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21</w:t>
      </w:r>
      <w:r w:rsidRPr="00FC71BE">
        <w:fldChar w:fldCharType="end"/>
      </w:r>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498E1C35" w14:textId="77777777">
        <w:tc>
          <w:tcPr>
            <w:tcW w:w="9016" w:type="dxa"/>
          </w:tcPr>
          <w:p w14:paraId="1A805D75" w14:textId="77777777" w:rsidR="0045562B" w:rsidRPr="00FC71BE" w:rsidRDefault="0045562B">
            <w:pPr>
              <w:pStyle w:val="Figure"/>
              <w:rPr>
                <w:noProof w:val="0"/>
              </w:rPr>
            </w:pPr>
            <w:r w:rsidRPr="00FC71BE">
              <w:lastRenderedPageBreak/>
              <w:drawing>
                <wp:inline distT="0" distB="0" distL="0" distR="0" wp14:anchorId="67A560B1" wp14:editId="4E7B447C">
                  <wp:extent cx="4324120" cy="1980000"/>
                  <wp:effectExtent l="0" t="0" r="635" b="0"/>
                  <wp:docPr id="896149293" name="Picture 89614929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49293" name="Picture 896149293" descr="A screen shot of a computer&#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324120" cy="1980000"/>
                          </a:xfrm>
                          <a:prstGeom prst="rect">
                            <a:avLst/>
                          </a:prstGeom>
                          <a:noFill/>
                        </pic:spPr>
                      </pic:pic>
                    </a:graphicData>
                  </a:graphic>
                </wp:inline>
              </w:drawing>
            </w:r>
          </w:p>
        </w:tc>
      </w:tr>
      <w:tr w:rsidR="00FC71BE" w:rsidRPr="00FC71BE" w14:paraId="178CFF0E" w14:textId="77777777">
        <w:tc>
          <w:tcPr>
            <w:tcW w:w="9016" w:type="dxa"/>
          </w:tcPr>
          <w:p w14:paraId="6BDCFAC3" w14:textId="77777777" w:rsidR="0045562B" w:rsidRPr="00FC71BE" w:rsidRDefault="0045562B">
            <w:pPr>
              <w:pStyle w:val="Figure"/>
              <w:rPr>
                <w:noProof w:val="0"/>
              </w:rPr>
            </w:pPr>
            <w:r w:rsidRPr="00FC71BE">
              <w:rPr>
                <w:noProof w:val="0"/>
              </w:rPr>
              <w:t>(a) Coolant: Air</w:t>
            </w:r>
          </w:p>
        </w:tc>
      </w:tr>
      <w:tr w:rsidR="00FC71BE" w:rsidRPr="00FC71BE" w14:paraId="7CEF08DF" w14:textId="77777777">
        <w:tc>
          <w:tcPr>
            <w:tcW w:w="9016" w:type="dxa"/>
          </w:tcPr>
          <w:p w14:paraId="17218B70" w14:textId="77777777" w:rsidR="0045562B" w:rsidRPr="00FC71BE" w:rsidRDefault="0045562B">
            <w:pPr>
              <w:pStyle w:val="Figure"/>
              <w:rPr>
                <w:noProof w:val="0"/>
              </w:rPr>
            </w:pPr>
            <w:r w:rsidRPr="00FC71BE">
              <w:drawing>
                <wp:inline distT="0" distB="0" distL="0" distR="0" wp14:anchorId="69FF2F3F" wp14:editId="7DC47ACB">
                  <wp:extent cx="3956687" cy="1944000"/>
                  <wp:effectExtent l="0" t="0" r="5715" b="0"/>
                  <wp:docPr id="1336725056" name="Picture 1336725056" descr="A rainbow colored lines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25056" name="Picture 1336725056" descr="A rainbow colored lines on a white background&#10;&#10;Description automatically generated with medium confidenc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956687" cy="1944000"/>
                          </a:xfrm>
                          <a:prstGeom prst="rect">
                            <a:avLst/>
                          </a:prstGeom>
                          <a:noFill/>
                        </pic:spPr>
                      </pic:pic>
                    </a:graphicData>
                  </a:graphic>
                </wp:inline>
              </w:drawing>
            </w:r>
          </w:p>
        </w:tc>
      </w:tr>
      <w:tr w:rsidR="00FC71BE" w:rsidRPr="00FC71BE" w14:paraId="679174EA" w14:textId="77777777">
        <w:tc>
          <w:tcPr>
            <w:tcW w:w="9016" w:type="dxa"/>
          </w:tcPr>
          <w:p w14:paraId="79345443" w14:textId="77777777" w:rsidR="0045562B" w:rsidRPr="00FC71BE" w:rsidRDefault="0045562B">
            <w:pPr>
              <w:pStyle w:val="Figure"/>
              <w:rPr>
                <w:noProof w:val="0"/>
              </w:rPr>
            </w:pPr>
            <w:r w:rsidRPr="00FC71BE">
              <w:rPr>
                <w:noProof w:val="0"/>
              </w:rPr>
              <w:t>(b) Coolant: Oil</w:t>
            </w:r>
          </w:p>
        </w:tc>
      </w:tr>
    </w:tbl>
    <w:p w14:paraId="523F2879" w14:textId="60AB266D" w:rsidR="0045562B" w:rsidRPr="00FC71BE" w:rsidRDefault="0045562B" w:rsidP="0045562B">
      <w:pPr>
        <w:pStyle w:val="FigureTitle"/>
        <w:rPr>
          <w:iCs w:val="0"/>
        </w:rPr>
      </w:pPr>
      <w:bookmarkStart w:id="241" w:name="_Ref146887387"/>
      <w:r w:rsidRPr="00FC71BE">
        <w:t xml:space="preserve">Fig. </w:t>
      </w:r>
      <w:fldSimple w:instr=" STYLEREF 1 \s ">
        <w:r w:rsidR="007E62C1" w:rsidRPr="00FC71BE">
          <w:rPr>
            <w:noProof/>
          </w:rPr>
          <w:t>4</w:t>
        </w:r>
      </w:fldSimple>
      <w:r w:rsidRPr="00FC71BE">
        <w:t>.</w:t>
      </w:r>
      <w:fldSimple w:instr=" SEQ Fig. \* ARABIC \s 1 ">
        <w:r w:rsidR="007E62C1" w:rsidRPr="00FC71BE">
          <w:rPr>
            <w:noProof/>
          </w:rPr>
          <w:t>19</w:t>
        </w:r>
      </w:fldSimple>
      <w:bookmarkEnd w:id="241"/>
      <w:r w:rsidRPr="00FC71BE">
        <w:t>. Coolant velocity streamlines of the modular SPM machine with a flux gap width of 10mm.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1A45E0DD" w14:textId="77777777">
        <w:tc>
          <w:tcPr>
            <w:tcW w:w="9016" w:type="dxa"/>
          </w:tcPr>
          <w:p w14:paraId="5C008046" w14:textId="77777777" w:rsidR="0045562B" w:rsidRPr="00FC71BE" w:rsidRDefault="0045562B">
            <w:pPr>
              <w:pStyle w:val="Figure"/>
              <w:rPr>
                <w:noProof w:val="0"/>
              </w:rPr>
            </w:pPr>
            <w:r w:rsidRPr="00FC71BE">
              <w:drawing>
                <wp:inline distT="0" distB="0" distL="0" distR="0" wp14:anchorId="75A7C810" wp14:editId="40B2F3A4">
                  <wp:extent cx="4522358" cy="2536166"/>
                  <wp:effectExtent l="0" t="0" r="0" b="0"/>
                  <wp:docPr id="140875564" name="Picture 140875564" descr="A green and blue penc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5564" name="Picture 140875564" descr="A green and blue pencil&#10;&#10;Description automatically generated with medium confidence"/>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538699" cy="2545330"/>
                          </a:xfrm>
                          <a:prstGeom prst="rect">
                            <a:avLst/>
                          </a:prstGeom>
                          <a:noFill/>
                        </pic:spPr>
                      </pic:pic>
                    </a:graphicData>
                  </a:graphic>
                </wp:inline>
              </w:drawing>
            </w:r>
          </w:p>
        </w:tc>
      </w:tr>
      <w:tr w:rsidR="00FC71BE" w:rsidRPr="00FC71BE" w14:paraId="1F48750F" w14:textId="77777777">
        <w:tc>
          <w:tcPr>
            <w:tcW w:w="9016" w:type="dxa"/>
          </w:tcPr>
          <w:p w14:paraId="05D03330" w14:textId="77777777" w:rsidR="0045562B" w:rsidRPr="00FC71BE" w:rsidRDefault="0045562B">
            <w:pPr>
              <w:pStyle w:val="Figure"/>
              <w:rPr>
                <w:noProof w:val="0"/>
              </w:rPr>
            </w:pPr>
            <w:r w:rsidRPr="00FC71BE">
              <w:rPr>
                <w:noProof w:val="0"/>
              </w:rPr>
              <w:t>(a) Coolant: Air</w:t>
            </w:r>
          </w:p>
        </w:tc>
      </w:tr>
      <w:tr w:rsidR="00FC71BE" w:rsidRPr="00FC71BE" w14:paraId="00818044" w14:textId="77777777">
        <w:tc>
          <w:tcPr>
            <w:tcW w:w="9016" w:type="dxa"/>
          </w:tcPr>
          <w:p w14:paraId="39BF71E7" w14:textId="77777777" w:rsidR="0045562B" w:rsidRPr="00FC71BE" w:rsidRDefault="0045562B">
            <w:pPr>
              <w:pStyle w:val="Figure"/>
              <w:rPr>
                <w:noProof w:val="0"/>
              </w:rPr>
            </w:pPr>
            <w:r w:rsidRPr="00FC71BE">
              <w:lastRenderedPageBreak/>
              <w:drawing>
                <wp:inline distT="0" distB="0" distL="0" distR="0" wp14:anchorId="2C39AEB9" wp14:editId="3BF0C85F">
                  <wp:extent cx="4156443" cy="2389517"/>
                  <wp:effectExtent l="0" t="0" r="0" b="0"/>
                  <wp:docPr id="1249133418" name="Picture 1249133418" descr="A green and blue rectangular object&#10;&#10;Description automatically generated">
                    <a:extLst xmlns:a="http://schemas.openxmlformats.org/drawingml/2006/main">
                      <a:ext uri="{FF2B5EF4-FFF2-40B4-BE49-F238E27FC236}">
                        <a16:creationId xmlns:a16="http://schemas.microsoft.com/office/drawing/2014/main" id="{B354C20C-4333-20CD-ACC5-86E700282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133418" name="Picture 1249133418" descr="A green and blue rectangular object&#10;&#10;Description automatically generated">
                            <a:extLst>
                              <a:ext uri="{FF2B5EF4-FFF2-40B4-BE49-F238E27FC236}">
                                <a16:creationId xmlns:a16="http://schemas.microsoft.com/office/drawing/2014/main" id="{B354C20C-4333-20CD-ACC5-86E700282D98}"/>
                              </a:ext>
                            </a:extLst>
                          </pic:cNvPr>
                          <pic:cNvPicPr>
                            <a:picLocks noChangeAspect="1"/>
                          </pic:cNvPicPr>
                        </pic:nvPicPr>
                        <pic:blipFill>
                          <a:blip r:embed="rId170"/>
                          <a:stretch>
                            <a:fillRect/>
                          </a:stretch>
                        </pic:blipFill>
                        <pic:spPr>
                          <a:xfrm>
                            <a:off x="0" y="0"/>
                            <a:ext cx="4175582" cy="2400520"/>
                          </a:xfrm>
                          <a:prstGeom prst="rect">
                            <a:avLst/>
                          </a:prstGeom>
                        </pic:spPr>
                      </pic:pic>
                    </a:graphicData>
                  </a:graphic>
                </wp:inline>
              </w:drawing>
            </w:r>
          </w:p>
        </w:tc>
      </w:tr>
      <w:tr w:rsidR="00FC71BE" w:rsidRPr="00FC71BE" w14:paraId="58C631C1" w14:textId="77777777">
        <w:tc>
          <w:tcPr>
            <w:tcW w:w="9016" w:type="dxa"/>
          </w:tcPr>
          <w:p w14:paraId="03225FE9" w14:textId="77777777" w:rsidR="0045562B" w:rsidRPr="00FC71BE" w:rsidRDefault="0045562B">
            <w:pPr>
              <w:pStyle w:val="Figure"/>
              <w:rPr>
                <w:noProof w:val="0"/>
              </w:rPr>
            </w:pPr>
            <w:r w:rsidRPr="00FC71BE">
              <w:rPr>
                <w:noProof w:val="0"/>
              </w:rPr>
              <w:t>(b) Coolant: Oil</w:t>
            </w:r>
          </w:p>
        </w:tc>
      </w:tr>
    </w:tbl>
    <w:p w14:paraId="466FA2B9" w14:textId="2DB4281E" w:rsidR="0045562B" w:rsidRPr="00FC71BE" w:rsidRDefault="0045562B" w:rsidP="0045562B">
      <w:pPr>
        <w:pStyle w:val="FigureTitle"/>
        <w:rPr>
          <w:iCs w:val="0"/>
        </w:rPr>
      </w:pPr>
      <w:bookmarkStart w:id="242" w:name="_Ref146902357"/>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20</w:t>
        </w:r>
      </w:fldSimple>
      <w:bookmarkEnd w:id="242"/>
      <w:r w:rsidRPr="00FC71BE">
        <w:t>. Winding temperature distribution for the modular SPM machine with a flux gap width of 10mm.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146E1C14" w14:textId="77777777">
        <w:tc>
          <w:tcPr>
            <w:tcW w:w="9016" w:type="dxa"/>
          </w:tcPr>
          <w:p w14:paraId="43C26A20" w14:textId="77777777" w:rsidR="0045562B" w:rsidRPr="00FC71BE" w:rsidRDefault="0045562B">
            <w:pPr>
              <w:pStyle w:val="Figure"/>
              <w:rPr>
                <w:noProof w:val="0"/>
              </w:rPr>
            </w:pPr>
            <w:r w:rsidRPr="00FC71BE">
              <w:drawing>
                <wp:inline distT="0" distB="0" distL="0" distR="0" wp14:anchorId="1F43C433" wp14:editId="05CA8A49">
                  <wp:extent cx="3724853" cy="2916000"/>
                  <wp:effectExtent l="0" t="0" r="9525" b="0"/>
                  <wp:docPr id="1173533805" name="Picture 1173533805" descr="A rainbow colored object with numbers&#10;&#10;Description automatically generated">
                    <a:extLst xmlns:a="http://schemas.openxmlformats.org/drawingml/2006/main">
                      <a:ext uri="{FF2B5EF4-FFF2-40B4-BE49-F238E27FC236}">
                        <a16:creationId xmlns:a16="http://schemas.microsoft.com/office/drawing/2014/main" id="{73153801-74EE-727D-594B-68CEB0D937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33805" name="Picture 1173533805" descr="A rainbow colored object with numbers&#10;&#10;Description automatically generated">
                            <a:extLst>
                              <a:ext uri="{FF2B5EF4-FFF2-40B4-BE49-F238E27FC236}">
                                <a16:creationId xmlns:a16="http://schemas.microsoft.com/office/drawing/2014/main" id="{73153801-74EE-727D-594B-68CEB0D93757}"/>
                              </a:ext>
                            </a:extLst>
                          </pic:cNvPr>
                          <pic:cNvPicPr>
                            <a:picLocks noChangeAspect="1"/>
                          </pic:cNvPicPr>
                        </pic:nvPicPr>
                        <pic:blipFill>
                          <a:blip r:embed="rId171"/>
                          <a:stretch>
                            <a:fillRect/>
                          </a:stretch>
                        </pic:blipFill>
                        <pic:spPr>
                          <a:xfrm>
                            <a:off x="0" y="0"/>
                            <a:ext cx="3724853" cy="2916000"/>
                          </a:xfrm>
                          <a:prstGeom prst="rect">
                            <a:avLst/>
                          </a:prstGeom>
                        </pic:spPr>
                      </pic:pic>
                    </a:graphicData>
                  </a:graphic>
                </wp:inline>
              </w:drawing>
            </w:r>
          </w:p>
        </w:tc>
      </w:tr>
      <w:tr w:rsidR="00FC71BE" w:rsidRPr="00FC71BE" w14:paraId="7E6E84EC" w14:textId="77777777">
        <w:tc>
          <w:tcPr>
            <w:tcW w:w="9016" w:type="dxa"/>
          </w:tcPr>
          <w:p w14:paraId="5F37E58F" w14:textId="77777777" w:rsidR="0045562B" w:rsidRPr="00FC71BE" w:rsidRDefault="0045562B">
            <w:pPr>
              <w:pStyle w:val="Figure"/>
              <w:rPr>
                <w:noProof w:val="0"/>
              </w:rPr>
            </w:pPr>
            <w:r w:rsidRPr="00FC71BE">
              <w:rPr>
                <w:noProof w:val="0"/>
              </w:rPr>
              <w:t>(a) Coolant: Air</w:t>
            </w:r>
          </w:p>
        </w:tc>
      </w:tr>
      <w:tr w:rsidR="00FC71BE" w:rsidRPr="00FC71BE" w14:paraId="030387C4" w14:textId="77777777">
        <w:tc>
          <w:tcPr>
            <w:tcW w:w="9016" w:type="dxa"/>
          </w:tcPr>
          <w:p w14:paraId="70EE5A1A" w14:textId="77777777" w:rsidR="0045562B" w:rsidRPr="00FC71BE" w:rsidRDefault="0045562B">
            <w:pPr>
              <w:pStyle w:val="Figure"/>
              <w:rPr>
                <w:noProof w:val="0"/>
              </w:rPr>
            </w:pPr>
            <w:r w:rsidRPr="00FC71BE">
              <w:lastRenderedPageBreak/>
              <w:drawing>
                <wp:inline distT="0" distB="0" distL="0" distR="0" wp14:anchorId="4627B702" wp14:editId="7CA4B32C">
                  <wp:extent cx="3882390" cy="2628900"/>
                  <wp:effectExtent l="0" t="0" r="3810" b="0"/>
                  <wp:docPr id="78044945" name="Picture 78044945" descr="A rainbow colored bar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945" name="Picture 78044945" descr="A rainbow colored bar with numbers&#10;&#10;Description automatically generated with medium confidence"/>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2870" b="9132"/>
                          <a:stretch/>
                        </pic:blipFill>
                        <pic:spPr bwMode="auto">
                          <a:xfrm>
                            <a:off x="0" y="0"/>
                            <a:ext cx="3883087" cy="26293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71BE" w:rsidRPr="00FC71BE" w14:paraId="6B295B43" w14:textId="77777777">
        <w:tc>
          <w:tcPr>
            <w:tcW w:w="9016" w:type="dxa"/>
          </w:tcPr>
          <w:p w14:paraId="397C2878" w14:textId="77777777" w:rsidR="0045562B" w:rsidRPr="00FC71BE" w:rsidRDefault="0045562B">
            <w:pPr>
              <w:pStyle w:val="Figure"/>
              <w:rPr>
                <w:noProof w:val="0"/>
              </w:rPr>
            </w:pPr>
            <w:r w:rsidRPr="00FC71BE">
              <w:rPr>
                <w:noProof w:val="0"/>
              </w:rPr>
              <w:t>(b) Coolant: Oil</w:t>
            </w:r>
          </w:p>
        </w:tc>
      </w:tr>
    </w:tbl>
    <w:p w14:paraId="2C9EF7C0" w14:textId="35200C8A" w:rsidR="0045562B" w:rsidRPr="00FC71BE" w:rsidRDefault="0045562B" w:rsidP="0045562B">
      <w:pPr>
        <w:pStyle w:val="FigureTitle"/>
      </w:pPr>
      <w:bookmarkStart w:id="243" w:name="_Ref146902358"/>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21</w:t>
        </w:r>
      </w:fldSimple>
      <w:bookmarkEnd w:id="243"/>
      <w:r w:rsidRPr="00FC71BE">
        <w:t>. Rotor temperature distribution for the modular SPM machine with a flux gap width of 10mm.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4097"/>
      </w:tblGrid>
      <w:tr w:rsidR="00FC71BE" w:rsidRPr="00FC71BE" w14:paraId="435D07DE" w14:textId="77777777">
        <w:tc>
          <w:tcPr>
            <w:tcW w:w="4929" w:type="dxa"/>
          </w:tcPr>
          <w:p w14:paraId="6993557E" w14:textId="77777777" w:rsidR="0045562B" w:rsidRPr="00FC71BE" w:rsidRDefault="0045562B">
            <w:pPr>
              <w:pStyle w:val="Figure"/>
              <w:rPr>
                <w:noProof w:val="0"/>
              </w:rPr>
            </w:pPr>
            <w:r w:rsidRPr="00FC71BE">
              <w:drawing>
                <wp:inline distT="0" distB="0" distL="0" distR="0" wp14:anchorId="557A8AF4" wp14:editId="5931A91A">
                  <wp:extent cx="2425812" cy="2052000"/>
                  <wp:effectExtent l="0" t="0" r="0" b="5715"/>
                  <wp:docPr id="18" name="Picture 18" descr="A diagram of a circular object with text&#10;&#10;Description automatically generated">
                    <a:extLst xmlns:a="http://schemas.openxmlformats.org/drawingml/2006/main">
                      <a:ext uri="{FF2B5EF4-FFF2-40B4-BE49-F238E27FC236}">
                        <a16:creationId xmlns:a16="http://schemas.microsoft.com/office/drawing/2014/main" id="{1DF5C5E0-563C-46F5-AEF9-468FCC1A6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descr="A diagram of a circular object with text&#10;&#10;Description automatically generated">
                            <a:extLst>
                              <a:ext uri="{FF2B5EF4-FFF2-40B4-BE49-F238E27FC236}">
                                <a16:creationId xmlns:a16="http://schemas.microsoft.com/office/drawing/2014/main" id="{1DF5C5E0-563C-46F5-AEF9-468FCC1A6AAF}"/>
                              </a:ext>
                            </a:extLst>
                          </pic:cNvPr>
                          <pic:cNvPicPr>
                            <a:picLocks noChangeAspect="1"/>
                          </pic:cNvPicPr>
                        </pic:nvPicPr>
                        <pic:blipFill>
                          <a:blip r:embed="rId173"/>
                          <a:stretch>
                            <a:fillRect/>
                          </a:stretch>
                        </pic:blipFill>
                        <pic:spPr>
                          <a:xfrm>
                            <a:off x="0" y="0"/>
                            <a:ext cx="2425812" cy="2052000"/>
                          </a:xfrm>
                          <a:prstGeom prst="rect">
                            <a:avLst/>
                          </a:prstGeom>
                        </pic:spPr>
                      </pic:pic>
                    </a:graphicData>
                  </a:graphic>
                </wp:inline>
              </w:drawing>
            </w:r>
          </w:p>
        </w:tc>
        <w:tc>
          <w:tcPr>
            <w:tcW w:w="4097" w:type="dxa"/>
          </w:tcPr>
          <w:p w14:paraId="5443AD52" w14:textId="77777777" w:rsidR="0045562B" w:rsidRPr="00FC71BE" w:rsidRDefault="0045562B">
            <w:pPr>
              <w:pStyle w:val="Figure"/>
              <w:rPr>
                <w:noProof w:val="0"/>
              </w:rPr>
            </w:pPr>
            <w:r w:rsidRPr="00FC71BE">
              <w:drawing>
                <wp:inline distT="0" distB="0" distL="0" distR="0" wp14:anchorId="61312AF4" wp14:editId="3649AAAF">
                  <wp:extent cx="2265977" cy="2052000"/>
                  <wp:effectExtent l="0" t="0" r="1270" b="5715"/>
                  <wp:docPr id="2061042487" name="Picture 2061042487" descr="A diagram of a wheel with a number of wheels&#10;&#10;Description automatically generated with medium confidence">
                    <a:extLst xmlns:a="http://schemas.openxmlformats.org/drawingml/2006/main">
                      <a:ext uri="{FF2B5EF4-FFF2-40B4-BE49-F238E27FC236}">
                        <a16:creationId xmlns:a16="http://schemas.microsoft.com/office/drawing/2014/main" id="{1BECC364-CC4F-42D9-9CD3-DD07F5C8ED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6" descr="A diagram of a wheel with a number of wheels&#10;&#10;Description automatically generated with medium confidence">
                            <a:extLst>
                              <a:ext uri="{FF2B5EF4-FFF2-40B4-BE49-F238E27FC236}">
                                <a16:creationId xmlns:a16="http://schemas.microsoft.com/office/drawing/2014/main" id="{1BECC364-CC4F-42D9-9CD3-DD07F5C8EDE7}"/>
                              </a:ext>
                            </a:extLst>
                          </pic:cNvPr>
                          <pic:cNvPicPr>
                            <a:picLocks noChangeAspect="1"/>
                          </pic:cNvPicPr>
                        </pic:nvPicPr>
                        <pic:blipFill rotWithShape="1">
                          <a:blip r:embed="rId174"/>
                          <a:srcRect r="42482"/>
                          <a:stretch/>
                        </pic:blipFill>
                        <pic:spPr>
                          <a:xfrm>
                            <a:off x="0" y="0"/>
                            <a:ext cx="2265977" cy="2052000"/>
                          </a:xfrm>
                          <a:prstGeom prst="rect">
                            <a:avLst/>
                          </a:prstGeom>
                        </pic:spPr>
                      </pic:pic>
                    </a:graphicData>
                  </a:graphic>
                </wp:inline>
              </w:drawing>
            </w:r>
          </w:p>
        </w:tc>
      </w:tr>
      <w:tr w:rsidR="00FC71BE" w:rsidRPr="00FC71BE" w14:paraId="7FC5F128" w14:textId="77777777">
        <w:tc>
          <w:tcPr>
            <w:tcW w:w="4929" w:type="dxa"/>
          </w:tcPr>
          <w:p w14:paraId="6303AAC2" w14:textId="77777777" w:rsidR="0045562B" w:rsidRPr="00FC71BE" w:rsidRDefault="0045562B">
            <w:pPr>
              <w:pStyle w:val="Figure"/>
              <w:rPr>
                <w:noProof w:val="0"/>
              </w:rPr>
            </w:pPr>
            <w:r w:rsidRPr="00FC71BE">
              <w:rPr>
                <w:noProof w:val="0"/>
              </w:rPr>
              <w:t>(a) Topology of endcap</w:t>
            </w:r>
          </w:p>
        </w:tc>
        <w:tc>
          <w:tcPr>
            <w:tcW w:w="4097" w:type="dxa"/>
          </w:tcPr>
          <w:p w14:paraId="1EBACFE3" w14:textId="77777777" w:rsidR="0045562B" w:rsidRPr="00FC71BE" w:rsidRDefault="0045562B">
            <w:pPr>
              <w:pStyle w:val="Figure"/>
              <w:rPr>
                <w:noProof w:val="0"/>
              </w:rPr>
            </w:pPr>
            <w:r w:rsidRPr="00FC71BE">
              <w:rPr>
                <w:noProof w:val="0"/>
              </w:rPr>
              <w:t>(b) Topology of endcap</w:t>
            </w:r>
          </w:p>
        </w:tc>
      </w:tr>
      <w:tr w:rsidR="00FC71BE" w:rsidRPr="00FC71BE" w14:paraId="76FAFB01" w14:textId="77777777">
        <w:tc>
          <w:tcPr>
            <w:tcW w:w="4929" w:type="dxa"/>
          </w:tcPr>
          <w:p w14:paraId="67C1867D" w14:textId="77777777" w:rsidR="0045562B" w:rsidRPr="00FC71BE" w:rsidRDefault="0045562B">
            <w:pPr>
              <w:pStyle w:val="Figure"/>
              <w:rPr>
                <w:noProof w:val="0"/>
              </w:rPr>
            </w:pPr>
            <w:r w:rsidRPr="00FC71BE">
              <w:drawing>
                <wp:inline distT="0" distB="0" distL="0" distR="0" wp14:anchorId="4325BF76" wp14:editId="1A2EDB13">
                  <wp:extent cx="2484000" cy="1851341"/>
                  <wp:effectExtent l="0" t="0" r="0" b="0"/>
                  <wp:docPr id="1073942706" name="Picture 1073942706" descr="A diagram of a wheel with a number of wheels&#10;&#10;Description automatically generated with medium confidence">
                    <a:extLst xmlns:a="http://schemas.openxmlformats.org/drawingml/2006/main">
                      <a:ext uri="{FF2B5EF4-FFF2-40B4-BE49-F238E27FC236}">
                        <a16:creationId xmlns:a16="http://schemas.microsoft.com/office/drawing/2014/main" id="{F212ACAD-94A5-4CDF-AD55-CB2F866D8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A diagram of a wheel with a number of wheels&#10;&#10;Description automatically generated with medium confidence">
                            <a:extLst>
                              <a:ext uri="{FF2B5EF4-FFF2-40B4-BE49-F238E27FC236}">
                                <a16:creationId xmlns:a16="http://schemas.microsoft.com/office/drawing/2014/main" id="{F212ACAD-94A5-4CDF-AD55-CB2F866D8F9D}"/>
                              </a:ext>
                            </a:extLst>
                          </pic:cNvPr>
                          <pic:cNvPicPr>
                            <a:picLocks noChangeAspect="1"/>
                          </pic:cNvPicPr>
                        </pic:nvPicPr>
                        <pic:blipFill rotWithShape="1">
                          <a:blip r:embed="rId174"/>
                          <a:srcRect l="57996" t="27203" r="-1370" b="10733"/>
                          <a:stretch/>
                        </pic:blipFill>
                        <pic:spPr>
                          <a:xfrm>
                            <a:off x="0" y="0"/>
                            <a:ext cx="2484000" cy="1851341"/>
                          </a:xfrm>
                          <a:prstGeom prst="rect">
                            <a:avLst/>
                          </a:prstGeom>
                        </pic:spPr>
                      </pic:pic>
                    </a:graphicData>
                  </a:graphic>
                </wp:inline>
              </w:drawing>
            </w:r>
          </w:p>
        </w:tc>
        <w:tc>
          <w:tcPr>
            <w:tcW w:w="4097" w:type="dxa"/>
          </w:tcPr>
          <w:p w14:paraId="0651461A" w14:textId="77777777" w:rsidR="0045562B" w:rsidRPr="00FC71BE" w:rsidRDefault="0045562B">
            <w:pPr>
              <w:pStyle w:val="Figure"/>
              <w:rPr>
                <w:noProof w:val="0"/>
              </w:rPr>
            </w:pPr>
          </w:p>
        </w:tc>
      </w:tr>
      <w:tr w:rsidR="00FC71BE" w:rsidRPr="00FC71BE" w14:paraId="7E9DCDD6" w14:textId="77777777">
        <w:tc>
          <w:tcPr>
            <w:tcW w:w="4929" w:type="dxa"/>
          </w:tcPr>
          <w:p w14:paraId="157C51F9" w14:textId="77777777" w:rsidR="0045562B" w:rsidRPr="00FC71BE" w:rsidRDefault="0045562B">
            <w:pPr>
              <w:pStyle w:val="Figure"/>
              <w:rPr>
                <w:noProof w:val="0"/>
              </w:rPr>
            </w:pPr>
            <w:r w:rsidRPr="00FC71BE">
              <w:rPr>
                <w:noProof w:val="0"/>
              </w:rPr>
              <w:t>(c) Spoke-shape shaft</w:t>
            </w:r>
          </w:p>
        </w:tc>
        <w:tc>
          <w:tcPr>
            <w:tcW w:w="4097" w:type="dxa"/>
          </w:tcPr>
          <w:p w14:paraId="5D6173A1" w14:textId="77777777" w:rsidR="0045562B" w:rsidRPr="00FC71BE" w:rsidRDefault="0045562B">
            <w:pPr>
              <w:pStyle w:val="Figure"/>
              <w:rPr>
                <w:noProof w:val="0"/>
              </w:rPr>
            </w:pPr>
          </w:p>
        </w:tc>
      </w:tr>
    </w:tbl>
    <w:p w14:paraId="06EE8F98" w14:textId="585A2406" w:rsidR="0045562B" w:rsidRPr="00FC71BE" w:rsidRDefault="0045562B" w:rsidP="0045562B">
      <w:pPr>
        <w:pStyle w:val="FigureTitle"/>
      </w:pPr>
      <w:bookmarkStart w:id="244" w:name="_Ref146614209"/>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22</w:t>
        </w:r>
      </w:fldSimple>
      <w:bookmarkEnd w:id="244"/>
      <w:r w:rsidRPr="00FC71BE">
        <w:t>. Topologies of endcap and shaft for the investigated modular machine with ventilation cooling.</w:t>
      </w:r>
    </w:p>
    <w:p w14:paraId="09076FA5" w14:textId="598E87FF" w:rsidR="0045562B" w:rsidRPr="00FC71BE" w:rsidRDefault="0045562B" w:rsidP="0045562B">
      <w:r w:rsidRPr="00FC71BE">
        <w:t xml:space="preserve">A design featuring non-circular inlet and outlet shape, as shown in </w:t>
      </w:r>
      <w:r w:rsidRPr="00FC71BE">
        <w:fldChar w:fldCharType="begin"/>
      </w:r>
      <w:r w:rsidRPr="00FC71BE">
        <w:instrText xml:space="preserve"> REF _Ref146614209 \h  \* MERGEFORMAT </w:instrText>
      </w:r>
      <w:r w:rsidRPr="00FC71BE">
        <w:fldChar w:fldCharType="separate"/>
      </w:r>
      <w:r w:rsidR="007E62C1" w:rsidRPr="00FC71BE">
        <w:t>Fig. 4.22</w:t>
      </w:r>
      <w:r w:rsidRPr="00FC71BE">
        <w:fldChar w:fldCharType="end"/>
      </w:r>
      <w:r w:rsidRPr="00FC71BE">
        <w:t xml:space="preserve"> (a), has been adopted to enhance the performance of this cooling technology as discussed in section </w:t>
      </w:r>
      <w:r w:rsidRPr="00FC71BE">
        <w:fldChar w:fldCharType="begin"/>
      </w:r>
      <w:r w:rsidRPr="00FC71BE">
        <w:instrText xml:space="preserve"> REF _Ref145970257 \r \h  \* MERGEFORMAT </w:instrText>
      </w:r>
      <w:r w:rsidRPr="00FC71BE">
        <w:fldChar w:fldCharType="separate"/>
      </w:r>
      <w:r w:rsidR="007E62C1" w:rsidRPr="00FC71BE">
        <w:t>4.3.3</w:t>
      </w:r>
      <w:r w:rsidRPr="00FC71BE">
        <w:fldChar w:fldCharType="end"/>
      </w:r>
      <w:r w:rsidRPr="00FC71BE">
        <w:t xml:space="preserve">. </w:t>
      </w:r>
      <w:r w:rsidRPr="00FC71BE">
        <w:lastRenderedPageBreak/>
        <w:t>This configuration is termed M2. Compared with M1, the cross-sectional area has been increased from 174</w:t>
      </w:r>
      <m:oMath>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oMath>
      <w:r w:rsidRPr="00FC71BE">
        <w:rPr>
          <w:iCs/>
        </w:rPr>
        <w:t xml:space="preserve"> </w:t>
      </w:r>
      <w:r w:rsidRPr="00FC71BE">
        <w:t>to 728</w:t>
      </w:r>
      <m:oMath>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oMath>
      <w:r w:rsidRPr="00FC71BE">
        <w:t xml:space="preserve">. A substantial reduction of dimensionless pressure loss coefficient </w:t>
      </w:r>
      <w:r w:rsidRPr="00FC71BE">
        <w:rPr>
          <w:iCs/>
        </w:rPr>
        <w:t>for sudden expansions and contractions</w:t>
      </w:r>
      <w:r w:rsidRPr="00FC71BE">
        <w:t xml:space="preserve"> is achieved, leading to a significant reduction of pressure losses, as shown in </w:t>
      </w:r>
      <w:r w:rsidRPr="00FC71BE">
        <w:fldChar w:fldCharType="begin"/>
      </w:r>
      <w:r w:rsidRPr="00FC71BE">
        <w:instrText xml:space="preserve"> REF _Ref146903637 \h  \* MERGEFORMAT </w:instrText>
      </w:r>
      <w:r w:rsidRPr="00FC71BE">
        <w:fldChar w:fldCharType="separate"/>
      </w:r>
      <w:r w:rsidR="007E62C1" w:rsidRPr="00FC71BE">
        <w:t>Fig. 4.23</w:t>
      </w:r>
      <w:r w:rsidRPr="00FC71BE">
        <w:fldChar w:fldCharType="end"/>
      </w:r>
      <w:r w:rsidRPr="00FC71BE">
        <w:t>. It is worth noting that this level of pressure loss reduction can also be achievable if the coolant is oil.</w:t>
      </w:r>
    </w:p>
    <w:p w14:paraId="7D52D3F8" w14:textId="77777777" w:rsidR="0045562B" w:rsidRPr="00FC71BE" w:rsidRDefault="0045562B" w:rsidP="0045562B">
      <w:pPr>
        <w:pStyle w:val="Figure"/>
        <w:rPr>
          <w:noProof w:val="0"/>
        </w:rPr>
      </w:pPr>
      <w:r w:rsidRPr="00FC71BE">
        <w:drawing>
          <wp:inline distT="0" distB="0" distL="0" distR="0" wp14:anchorId="12972D24" wp14:editId="4CAB6B42">
            <wp:extent cx="4363200" cy="2694491"/>
            <wp:effectExtent l="0" t="0" r="0" b="0"/>
            <wp:docPr id="1205368028" name="Picture 1205368028" descr="A graph with numbers and a red rectangle&#10;&#10;Description automatically generated">
              <a:extLst xmlns:a="http://schemas.openxmlformats.org/drawingml/2006/main">
                <a:ext uri="{FF2B5EF4-FFF2-40B4-BE49-F238E27FC236}">
                  <a16:creationId xmlns:a16="http://schemas.microsoft.com/office/drawing/2014/main" id="{03C0C4E5-8B3A-0189-5AC9-39CCDF2A54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68028" name="Picture 1205368028" descr="A graph with numbers and a red rectangle&#10;&#10;Description automatically generated">
                      <a:extLst>
                        <a:ext uri="{FF2B5EF4-FFF2-40B4-BE49-F238E27FC236}">
                          <a16:creationId xmlns:a16="http://schemas.microsoft.com/office/drawing/2014/main" id="{03C0C4E5-8B3A-0189-5AC9-39CCDF2A5464}"/>
                        </a:ext>
                      </a:extLst>
                    </pic:cNvPr>
                    <pic:cNvPicPr>
                      <a:picLocks noChangeAspect="1"/>
                    </pic:cNvPicPr>
                  </pic:nvPicPr>
                  <pic:blipFill>
                    <a:blip r:embed="rId175"/>
                    <a:stretch>
                      <a:fillRect/>
                    </a:stretch>
                  </pic:blipFill>
                  <pic:spPr>
                    <a:xfrm>
                      <a:off x="0" y="0"/>
                      <a:ext cx="4363200" cy="2694491"/>
                    </a:xfrm>
                    <a:prstGeom prst="rect">
                      <a:avLst/>
                    </a:prstGeom>
                  </pic:spPr>
                </pic:pic>
              </a:graphicData>
            </a:graphic>
          </wp:inline>
        </w:drawing>
      </w:r>
    </w:p>
    <w:p w14:paraId="6D9AD8C9" w14:textId="04D135D7" w:rsidR="0045562B" w:rsidRPr="00FC71BE" w:rsidRDefault="0045562B" w:rsidP="0045562B">
      <w:pPr>
        <w:pStyle w:val="FigureTitle"/>
      </w:pPr>
      <w:bookmarkStart w:id="245" w:name="_Ref146903637"/>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23</w:t>
        </w:r>
      </w:fldSimple>
      <w:bookmarkEnd w:id="245"/>
      <w:r w:rsidRPr="00FC71BE">
        <w:t>. Pressure losses for different machine configurations with ventilation cooling.</w:t>
      </w:r>
    </w:p>
    <w:p w14:paraId="687B956C" w14:textId="4A475D4D" w:rsidR="0045562B" w:rsidRPr="00FC71BE" w:rsidRDefault="0045562B" w:rsidP="0045562B">
      <w:r w:rsidRPr="00FC71BE">
        <w:t xml:space="preserve">Moreover, when oil is replaced by air, the coolant leakage issue can be eliminated. In addition, the PEEK sleeve that used in semi-flooded oil cooling method is no longer needed. This also means that airgap now can be used as an additional fluid path for the cooling systems. This kind of machine topology is termed ‘M3’. A significant pressure reduction can be achieved, as shown in </w:t>
      </w:r>
      <w:r w:rsidRPr="00FC71BE">
        <w:fldChar w:fldCharType="begin"/>
      </w:r>
      <w:r w:rsidRPr="00FC71BE">
        <w:instrText xml:space="preserve"> REF _Ref146903637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23</w:t>
      </w:r>
      <w:r w:rsidRPr="00FC71BE">
        <w:fldChar w:fldCharType="end"/>
      </w:r>
      <w:r w:rsidRPr="00FC71BE">
        <w:t xml:space="preserve">. In addition, after removing the sleeve, the coolant directly contacts the machine rotating component, especially the PMs. This results in a significant temperature reduction in rotor region, as shown in </w:t>
      </w:r>
      <w:r w:rsidRPr="00FC71BE">
        <w:fldChar w:fldCharType="begin"/>
      </w:r>
      <w:r w:rsidRPr="00FC71BE">
        <w:instrText xml:space="preserve"> REF _Ref146904212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24</w:t>
      </w:r>
      <w:r w:rsidRPr="00FC71BE">
        <w:fldChar w:fldCharType="end"/>
      </w:r>
      <w:r w:rsidRPr="00FC71BE">
        <w:t xml:space="preserve">, as well as a winding temperature reduction, as shown in </w:t>
      </w:r>
      <w:r w:rsidRPr="00FC71BE">
        <w:fldChar w:fldCharType="begin"/>
      </w:r>
      <w:r w:rsidRPr="00FC71BE">
        <w:instrText xml:space="preserve"> REF _Ref146904285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25</w:t>
      </w:r>
      <w:r w:rsidRPr="00FC71BE">
        <w:fldChar w:fldCharType="end"/>
      </w:r>
      <w:r w:rsidRPr="00FC71BE">
        <w:t>.</w:t>
      </w:r>
    </w:p>
    <w:p w14:paraId="68203A8E" w14:textId="77777777" w:rsidR="0045562B" w:rsidRPr="00FC71BE" w:rsidRDefault="0045562B" w:rsidP="0045562B">
      <w:pPr>
        <w:pStyle w:val="Figure"/>
        <w:rPr>
          <w:noProof w:val="0"/>
        </w:rPr>
      </w:pPr>
      <w:r w:rsidRPr="00FC71BE">
        <w:lastRenderedPageBreak/>
        <w:drawing>
          <wp:inline distT="0" distB="0" distL="0" distR="0" wp14:anchorId="673EB11E" wp14:editId="6B1DCC8C">
            <wp:extent cx="4363200" cy="2619564"/>
            <wp:effectExtent l="0" t="0" r="0" b="9525"/>
            <wp:docPr id="1433948420" name="Picture 1433948420" descr="A graph of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48420" name="Picture 2" descr="A graph of number of people&#10;&#10;Description automatically generated with medium confidenc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63200" cy="2619564"/>
                    </a:xfrm>
                    <a:prstGeom prst="rect">
                      <a:avLst/>
                    </a:prstGeom>
                    <a:noFill/>
                    <a:ln>
                      <a:noFill/>
                    </a:ln>
                  </pic:spPr>
                </pic:pic>
              </a:graphicData>
            </a:graphic>
          </wp:inline>
        </w:drawing>
      </w:r>
    </w:p>
    <w:p w14:paraId="37735020" w14:textId="3A263BEA" w:rsidR="0045562B" w:rsidRPr="00FC71BE" w:rsidRDefault="0045562B" w:rsidP="0045562B">
      <w:pPr>
        <w:pStyle w:val="FigureTitle"/>
      </w:pPr>
      <w:bookmarkStart w:id="246" w:name="_Ref146904212"/>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24</w:t>
        </w:r>
      </w:fldSimple>
      <w:bookmarkEnd w:id="246"/>
      <w:r w:rsidRPr="00FC71BE">
        <w:t>. Maximum PM temperatures for different machine configurations with ventilation cooling.</w:t>
      </w:r>
    </w:p>
    <w:p w14:paraId="5DD59CBC" w14:textId="77777777" w:rsidR="0045562B" w:rsidRPr="00FC71BE" w:rsidRDefault="0045562B" w:rsidP="0045562B">
      <w:pPr>
        <w:pStyle w:val="Figure"/>
        <w:rPr>
          <w:noProof w:val="0"/>
        </w:rPr>
      </w:pPr>
      <w:r w:rsidRPr="00FC71BE">
        <w:drawing>
          <wp:inline distT="0" distB="0" distL="0" distR="0" wp14:anchorId="713D1257" wp14:editId="4EF57AA2">
            <wp:extent cx="4363200" cy="2619564"/>
            <wp:effectExtent l="0" t="0" r="0" b="9525"/>
            <wp:docPr id="2056789595" name="Picture 2056789595" descr="A graph of numbers and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89595" name="Picture 3" descr="A graph of numbers and a number of people&#10;&#10;Description automatically generated with medium confidenc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63200" cy="2619564"/>
                    </a:xfrm>
                    <a:prstGeom prst="rect">
                      <a:avLst/>
                    </a:prstGeom>
                    <a:noFill/>
                    <a:ln>
                      <a:noFill/>
                    </a:ln>
                  </pic:spPr>
                </pic:pic>
              </a:graphicData>
            </a:graphic>
          </wp:inline>
        </w:drawing>
      </w:r>
    </w:p>
    <w:p w14:paraId="66EAD294" w14:textId="516DE1BA" w:rsidR="0045562B" w:rsidRPr="00FC71BE" w:rsidRDefault="0045562B" w:rsidP="0045562B">
      <w:pPr>
        <w:pStyle w:val="FigureTitle"/>
      </w:pPr>
      <w:bookmarkStart w:id="247" w:name="_Ref146904285"/>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25</w:t>
        </w:r>
      </w:fldSimple>
      <w:bookmarkEnd w:id="247"/>
      <w:r w:rsidRPr="00FC71BE">
        <w:t>. Maximum windings temperatures for different machine with ventilation cooling.</w:t>
      </w:r>
    </w:p>
    <w:p w14:paraId="599D6263" w14:textId="404C9C40" w:rsidR="0045562B" w:rsidRPr="00FC71BE" w:rsidRDefault="0045562B" w:rsidP="0045562B">
      <w:r w:rsidRPr="00FC71BE">
        <w:t xml:space="preserve">When the PEEK sleeve is removed, it is important to note that the machine’s airgap can serve as an addition fluid path. As a result, non-modular machines can also employ ventilation cooling. This machine configuration is labelled ‘M4’. However, it's worth mentioning that, at the same flow rate, the pressure loss for the M4 machine is much higher than the other models, as shown in </w:t>
      </w:r>
      <w:r w:rsidRPr="00FC71BE">
        <w:fldChar w:fldCharType="begin"/>
      </w:r>
      <w:r w:rsidRPr="00FC71BE">
        <w:instrText xml:space="preserve"> REF _Ref146903637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23</w:t>
      </w:r>
      <w:r w:rsidRPr="00FC71BE">
        <w:fldChar w:fldCharType="end"/>
      </w:r>
      <w:r w:rsidRPr="00FC71BE">
        <w:t xml:space="preserve">. Even though the airgap can offer a flow path, its small cross-sectional area leads to an exceedingly high dimensionless pressure loss coefficient, resulting in substantial pressure losses. To be more specific, the pressure loss within the machine active part is 101.6kPa, slightly exceeds the total pressure loss between the inlet and outlet, as indicated by the blue box in </w:t>
      </w:r>
      <w:r w:rsidRPr="00FC71BE">
        <w:fldChar w:fldCharType="begin"/>
      </w:r>
      <w:r w:rsidRPr="00FC71BE">
        <w:instrText xml:space="preserve"> REF _Ref146903637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23</w:t>
      </w:r>
      <w:r w:rsidRPr="00FC71BE">
        <w:fldChar w:fldCharType="end"/>
      </w:r>
      <w:r w:rsidRPr="00FC71BE">
        <w:t xml:space="preserve">. It illustrates that the narrower gaps result in a </w:t>
      </w:r>
      <w:r w:rsidRPr="00FC71BE">
        <w:lastRenderedPageBreak/>
        <w:t>substantially lower absolute pressure within the machine’s downstream part, causing air to be drawn back into the machine from the outlet.</w:t>
      </w:r>
    </w:p>
    <w:p w14:paraId="05D45C04" w14:textId="36D66BA4" w:rsidR="0045562B" w:rsidRPr="00FC71BE" w:rsidRDefault="0045562B" w:rsidP="0045562B">
      <w:r w:rsidRPr="00FC71BE">
        <w:t xml:space="preserve">The shafts for all previous designs (from M1 to M4) are disc-shaped and do not have holes for airflow. However, this can be modified to a spoke shape, as shown in </w:t>
      </w:r>
      <w:r w:rsidRPr="00FC71BE">
        <w:fldChar w:fldCharType="begin"/>
      </w:r>
      <w:r w:rsidRPr="00FC71BE">
        <w:instrText xml:space="preserve"> REF _Ref146614209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22</w:t>
      </w:r>
      <w:r w:rsidRPr="00FC71BE">
        <w:fldChar w:fldCharType="end"/>
      </w:r>
      <w:r w:rsidRPr="00FC71BE">
        <w:t xml:space="preserve"> (c). This spoke-shape shaft incorporates 12 spokes connecting the hub and the rotor, introducing an additional fluid path for both modular and non-modular machines. This design enhancement results in a substantial improvement in reducing pressure loss within the cooling system. For the modular machines with a spoke-shape shaft, they are termed ‘M5’. For comparative analysis, the spoke shape shaft is also used in the non-modular machines, which is termed ‘M6’. When compared to M3 and M4 configurations, both of these two topologies achieve an effective reduction in pressure losses, largely due to the introduction of rotor ducts, as shown in </w:t>
      </w:r>
      <w:r w:rsidRPr="00FC71BE">
        <w:fldChar w:fldCharType="begin"/>
      </w:r>
      <w:r w:rsidRPr="00FC71BE">
        <w:instrText xml:space="preserve"> REF _Ref146903637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23</w:t>
      </w:r>
      <w:r w:rsidRPr="00FC71BE">
        <w:fldChar w:fldCharType="end"/>
      </w:r>
      <w:r w:rsidRPr="00FC71BE">
        <w:t>.</w:t>
      </w:r>
    </w:p>
    <w:p w14:paraId="3EDAB615" w14:textId="5A8F0B14" w:rsidR="0045562B" w:rsidRPr="00FC71BE" w:rsidRDefault="0045562B" w:rsidP="0045562B">
      <w:r w:rsidRPr="00FC71BE">
        <w:t xml:space="preserve">Additionally, the inlet and outlet areas can be extended to align with the rotating region, as shown in </w:t>
      </w:r>
      <w:r w:rsidRPr="00FC71BE">
        <w:fldChar w:fldCharType="begin"/>
      </w:r>
      <w:r w:rsidRPr="00FC71BE">
        <w:instrText xml:space="preserve"> REF _Ref146614209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22</w:t>
      </w:r>
      <w:r w:rsidRPr="00FC71BE">
        <w:fldChar w:fldCharType="end"/>
      </w:r>
      <w:r w:rsidRPr="00FC71BE">
        <w:t xml:space="preserve"> (b). This leads to the development of new topologies for both the modular and non-modular machines, designated ‘M7’ and ‘M8’, respectively. These modifications have resulted in a further reduction in pressure losses, as shown in </w:t>
      </w:r>
      <w:r w:rsidRPr="00FC71BE">
        <w:fldChar w:fldCharType="begin"/>
      </w:r>
      <w:r w:rsidRPr="00FC71BE">
        <w:instrText xml:space="preserve"> REF _Ref146903637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23</w:t>
      </w:r>
      <w:r w:rsidRPr="00FC71BE">
        <w:fldChar w:fldCharType="end"/>
      </w:r>
      <w:r w:rsidRPr="00FC71BE">
        <w:t xml:space="preserve">. While the temperature reductions for these two configurations may not be as significant when compared to other machine topologies, their exceptionally low system dimensionless pressure loss coefficients allow for much higher flow rates, meeting the requirements of external pumps. When considering the trade-off between the cooling efficiency and the requirement of pump pressure, it becomes evident that M7 and M8 configurations exhibit the most optimal performance for machine cooling. Further research in the followed sections will be centred around these two machine configurations. The final design of M7 is shown as </w:t>
      </w:r>
      <w:r w:rsidRPr="00FC71BE">
        <w:fldChar w:fldCharType="begin"/>
      </w:r>
      <w:r w:rsidRPr="00FC71BE">
        <w:instrText xml:space="preserve"> REF _Ref146921440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26</w:t>
      </w:r>
      <w:r w:rsidRPr="00FC71BE">
        <w:fldChar w:fldCharType="end"/>
      </w:r>
      <w:r w:rsidRPr="00FC71BE">
        <w:t>, which will be used for further investigations in the following sections.</w:t>
      </w:r>
    </w:p>
    <w:p w14:paraId="6788190C" w14:textId="77777777" w:rsidR="0045562B" w:rsidRPr="00FC71BE" w:rsidRDefault="0045562B" w:rsidP="0045562B">
      <w:pPr>
        <w:pStyle w:val="Figure"/>
        <w:rPr>
          <w:noProof w:val="0"/>
        </w:rPr>
      </w:pPr>
      <w:r w:rsidRPr="00FC71BE">
        <w:lastRenderedPageBreak/>
        <w:drawing>
          <wp:inline distT="0" distB="0" distL="0" distR="0" wp14:anchorId="3A6E6966" wp14:editId="38CE5203">
            <wp:extent cx="3309791" cy="3193274"/>
            <wp:effectExtent l="0" t="0" r="0" b="7620"/>
            <wp:docPr id="1665729049" name="Picture 1665729049" descr="A diagram of a turbine&#10;&#10;Description automatically generated with medium confidence">
              <a:extLst xmlns:a="http://schemas.openxmlformats.org/drawingml/2006/main">
                <a:ext uri="{FF2B5EF4-FFF2-40B4-BE49-F238E27FC236}">
                  <a16:creationId xmlns:a16="http://schemas.microsoft.com/office/drawing/2014/main" id="{041DDB5C-9EF8-C634-B165-4D819F6099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 diagram of a turbine&#10;&#10;Description automatically generated with medium confidence">
                      <a:extLst>
                        <a:ext uri="{FF2B5EF4-FFF2-40B4-BE49-F238E27FC236}">
                          <a16:creationId xmlns:a16="http://schemas.microsoft.com/office/drawing/2014/main" id="{041DDB5C-9EF8-C634-B165-4D819F609961}"/>
                        </a:ext>
                      </a:extLst>
                    </pic:cNvPr>
                    <pic:cNvPicPr>
                      <a:picLocks noChangeAspect="1"/>
                    </pic:cNvPicPr>
                  </pic:nvPicPr>
                  <pic:blipFill>
                    <a:blip r:embed="rId178"/>
                    <a:stretch>
                      <a:fillRect/>
                    </a:stretch>
                  </pic:blipFill>
                  <pic:spPr>
                    <a:xfrm>
                      <a:off x="0" y="0"/>
                      <a:ext cx="3327676" cy="3210530"/>
                    </a:xfrm>
                    <a:prstGeom prst="rect">
                      <a:avLst/>
                    </a:prstGeom>
                  </pic:spPr>
                </pic:pic>
              </a:graphicData>
            </a:graphic>
          </wp:inline>
        </w:drawing>
      </w:r>
    </w:p>
    <w:p w14:paraId="6B35BDE5" w14:textId="245E04C5" w:rsidR="0045562B" w:rsidRPr="00FC71BE" w:rsidRDefault="0045562B" w:rsidP="0045562B">
      <w:pPr>
        <w:pStyle w:val="FigureTitle"/>
      </w:pPr>
      <w:bookmarkStart w:id="248" w:name="_Ref146921440"/>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26</w:t>
        </w:r>
      </w:fldSimple>
      <w:bookmarkEnd w:id="248"/>
      <w:r w:rsidRPr="00FC71BE">
        <w:t>. Cut away view of the modular SPM machine with ventilation cooling system.</w:t>
      </w:r>
    </w:p>
    <w:p w14:paraId="07C2E08C" w14:textId="77777777" w:rsidR="0045562B" w:rsidRPr="00FC71BE" w:rsidRDefault="0045562B" w:rsidP="00B86C68">
      <w:pPr>
        <w:pStyle w:val="Heading3"/>
        <w:numPr>
          <w:ilvl w:val="2"/>
          <w:numId w:val="49"/>
        </w:numPr>
      </w:pPr>
      <w:bookmarkStart w:id="249" w:name="_Toc157695374"/>
      <w:r w:rsidRPr="00FC71BE">
        <w:t>Influence of Rotor Speed</w:t>
      </w:r>
      <w:bookmarkEnd w:id="249"/>
    </w:p>
    <w:p w14:paraId="5A2D1321" w14:textId="72BAAA87" w:rsidR="0045562B" w:rsidRPr="00FC71BE" w:rsidRDefault="0045562B" w:rsidP="0045562B">
      <w:r w:rsidRPr="00FC71BE">
        <w:t>As mentioned above, for the investigated non-modular machines with ventilation cooling, the flow paths for the ventilated air are mainly the airgap and rotor ducts (spoke-shape shaft). However, for the modular machines, the introduced flux gaps can be considered as additional stator ducts for the air flow. The influences of rotor speed on the flow resistances for those flow paths are essential. The rotor rotation introduces additional pressure losses because the direction of coolant is significantly</w:t>
      </w:r>
      <w:r w:rsidRPr="00FC71BE" w:rsidDel="00411381">
        <w:t xml:space="preserve"> </w:t>
      </w:r>
      <w:r w:rsidRPr="00FC71BE">
        <w:t xml:space="preserve">changed when it </w:t>
      </w:r>
      <w:r w:rsidRPr="00FC71BE" w:rsidDel="00182879">
        <w:t xml:space="preserve">enters </w:t>
      </w:r>
      <w:r w:rsidRPr="00FC71BE">
        <w:t xml:space="preserve">the rotating ducts in the rotor iron core or shaft. This kind of pressure losses is named as shock losses </w:t>
      </w:r>
      <w:r w:rsidRPr="00FC71BE">
        <w:fldChar w:fldCharType="begin"/>
      </w:r>
      <w:r w:rsidR="00BA33ED" w:rsidRPr="00FC71BE">
        <w:instrText xml:space="preserve"> ADDIN EN.CITE &lt;EndNote&gt;&lt;Cite&gt;&lt;Author&gt;Webb&lt;/Author&gt;&lt;Year&gt;1964&lt;/Year&gt;&lt;RecNum&gt;331&lt;/RecNum&gt;&lt;DisplayText&gt;[180]&lt;/DisplayText&gt;&lt;record&gt;&lt;rec-number&gt;331&lt;/rec-number&gt;&lt;foreign-keys&gt;&lt;key app="EN" db-id="p00pasffqrr5wvef0f35etrrr0xzp0wptrtd" timestamp="1695324221" guid="09568382-3edf-4e2b-9d2a-ab98ed057c3d"&gt;331&lt;/key&gt;&lt;/foreign-keys&gt;&lt;ref-type name="Journal Article"&gt;17&lt;/ref-type&gt;&lt;contributors&gt;&lt;authors&gt;&lt;author&gt;Webb, J D&lt;/author&gt;&lt;/authors&gt;&lt;/contributors&gt;&lt;titles&gt;&lt;title&gt;The flow of air through axial cooling ducts in a rotor&lt;/title&gt;&lt;secondary-title&gt;The English Electric Company Ltd. Department Mechanical Engineering Laboratory, Whetstone, Report No. W/M (2A) p&lt;/secondary-title&gt;&lt;/titles&gt;&lt;periodical&gt;&lt;full-title&gt;The English Electric Company Ltd. Department Mechanical Engineering Laboratory, Whetstone, Report No. W/M (2A) p&lt;/full-title&gt;&lt;/periodical&gt;&lt;volume&gt;85&lt;/volume&gt;&lt;dates&gt;&lt;year&gt;1964&lt;/year&gt;&lt;/dates&gt;&lt;urls&gt;&lt;/urls&gt;&lt;/record&gt;&lt;/Cite&gt;&lt;/EndNote&gt;</w:instrText>
      </w:r>
      <w:r w:rsidRPr="00FC71BE">
        <w:fldChar w:fldCharType="separate"/>
      </w:r>
      <w:r w:rsidR="00BA33ED" w:rsidRPr="00FC71BE">
        <w:t>[180]</w:t>
      </w:r>
      <w:r w:rsidRPr="00FC71BE">
        <w:fldChar w:fldCharType="end"/>
      </w:r>
      <w:r w:rsidRPr="00FC71BE">
        <w:t xml:space="preserve">. In addition, the rotor rotation may also cause additional pressure loss due to friction loss variation and combining flow phenomenon </w:t>
      </w:r>
      <w:r w:rsidRPr="00FC71BE">
        <w:fldChar w:fldCharType="begin"/>
      </w:r>
      <w:r w:rsidR="00BA33ED" w:rsidRPr="00FC71BE">
        <w:instrText xml:space="preserve"> ADDIN EN.CITE &lt;EndNote&gt;&lt;Cite&gt;&lt;Author&gt;Chong&lt;/Author&gt;&lt;Year&gt;2015&lt;/Year&gt;&lt;RecNum&gt;281&lt;/RecNum&gt;&lt;DisplayText&gt;[146]&lt;/DisplayText&gt;&lt;record&gt;&lt;rec-number&gt;281&lt;/rec-number&gt;&lt;foreign-keys&gt;&lt;key app="EN" db-id="p00pasffqrr5wvef0f35etrrr0xzp0wptrtd" timestamp="1694550628" guid="e62aeca4-f63e-423f-ba03-e3f957f91dae"&gt;281&lt;/key&gt;&lt;/foreign-keys&gt;&lt;ref-type name="Thesis"&gt;32&lt;/ref-type&gt;&lt;contributors&gt;&lt;authors&gt;&lt;author&gt;Chong, Yew Chuan&lt;/author&gt;&lt;/authors&gt;&lt;/contributors&gt;&lt;titles&gt;&lt;title&gt;Thermal analysis and air flow modelling of electrical machines&lt;/title&gt;&lt;secondary-title&gt;Dept. Mech. Eng.&lt;/secondary-title&gt;&lt;/titles&gt;&lt;dates&gt;&lt;year&gt;2015&lt;/year&gt;&lt;/dates&gt;&lt;pub-location&gt;Edinburgh, U.K.&lt;/pub-location&gt;&lt;publisher&gt;Edinburgh Univ.&lt;/publisher&gt;&lt;work-type&gt;Ph.D. dissertation&lt;/work-type&gt;&lt;urls&gt;&lt;/urls&gt;&lt;/record&gt;&lt;/Cite&gt;&lt;/EndNote&gt;</w:instrText>
      </w:r>
      <w:r w:rsidRPr="00FC71BE">
        <w:fldChar w:fldCharType="separate"/>
      </w:r>
      <w:r w:rsidR="00BA33ED" w:rsidRPr="00FC71BE">
        <w:t>[146]</w:t>
      </w:r>
      <w:r w:rsidRPr="00FC71BE">
        <w:fldChar w:fldCharType="end"/>
      </w:r>
      <w:r w:rsidRPr="00FC71BE">
        <w:t>.</w:t>
      </w:r>
    </w:p>
    <w:p w14:paraId="0E43C2A4" w14:textId="77777777" w:rsidR="0045562B" w:rsidRPr="00FC71BE" w:rsidRDefault="0045562B" w:rsidP="0045562B">
      <w:r w:rsidRPr="00FC71BE">
        <w:t>To meet the requirements of flow network analysis, additional correction factor (</w:t>
      </w:r>
      <m:oMath>
        <m:sSub>
          <m:sSubPr>
            <m:ctrlPr>
              <w:rPr>
                <w:rFonts w:ascii="Cambria Math" w:hAnsi="Cambria Math"/>
                <w:i/>
              </w:rPr>
            </m:ctrlPr>
          </m:sSubPr>
          <m:e>
            <m:r>
              <w:rPr>
                <w:rFonts w:ascii="Cambria Math" w:hAnsi="Cambria Math"/>
              </w:rPr>
              <m:t>k</m:t>
            </m:r>
          </m:e>
          <m:sub>
            <m:r>
              <w:rPr>
                <w:rFonts w:ascii="Cambria Math" w:hAnsi="Cambria Math"/>
              </w:rPr>
              <m:t>r</m:t>
            </m:r>
          </m:sub>
        </m:sSub>
      </m:oMath>
      <w:r w:rsidRPr="00FC71BE">
        <w:t>) should be introduced to adjust the dimensionless pressure loss coefficient (</w:t>
      </w:r>
      <m:oMath>
        <m:sSub>
          <m:sSubPr>
            <m:ctrlPr>
              <w:rPr>
                <w:rFonts w:ascii="Cambria Math" w:hAnsi="Cambria Math"/>
                <w:i/>
              </w:rPr>
            </m:ctrlPr>
          </m:sSubPr>
          <m:e>
            <m:r>
              <w:rPr>
                <w:rFonts w:ascii="Cambria Math" w:hAnsi="Cambria Math"/>
              </w:rPr>
              <m:t>k</m:t>
            </m:r>
          </m:e>
          <m:sub>
            <m:r>
              <w:rPr>
                <w:rFonts w:ascii="Cambria Math" w:hAnsi="Cambria Math"/>
              </w:rPr>
              <m:t>f</m:t>
            </m:r>
          </m:sub>
        </m:sSub>
      </m:oMath>
      <w:r w:rsidRPr="00FC71BE">
        <w:t xml:space="preserve">). </w:t>
      </w:r>
      <m:oMath>
        <m:sSub>
          <m:sSubPr>
            <m:ctrlPr>
              <w:rPr>
                <w:rFonts w:ascii="Cambria Math" w:hAnsi="Cambria Math"/>
                <w:i/>
              </w:rPr>
            </m:ctrlPr>
          </m:sSubPr>
          <m:e>
            <m:r>
              <w:rPr>
                <w:rFonts w:ascii="Cambria Math" w:hAnsi="Cambria Math"/>
              </w:rPr>
              <m:t>k</m:t>
            </m:r>
          </m:e>
          <m:sub>
            <m:r>
              <w:rPr>
                <w:rFonts w:ascii="Cambria Math" w:hAnsi="Cambria Math"/>
              </w:rPr>
              <m:t>fs</m:t>
            </m:r>
          </m:sub>
        </m:sSub>
      </m:oMath>
      <w:r w:rsidRPr="00FC71BE">
        <w:t xml:space="preserve"> is used for the stationary system and </w:t>
      </w:r>
      <m:oMath>
        <m:sSub>
          <m:sSubPr>
            <m:ctrlPr>
              <w:rPr>
                <w:rFonts w:ascii="Cambria Math" w:hAnsi="Cambria Math"/>
                <w:i/>
              </w:rPr>
            </m:ctrlPr>
          </m:sSubPr>
          <m:e>
            <m:r>
              <w:rPr>
                <w:rFonts w:ascii="Cambria Math" w:hAnsi="Cambria Math"/>
              </w:rPr>
              <m:t>k</m:t>
            </m:r>
          </m:e>
          <m:sub>
            <m:r>
              <w:rPr>
                <w:rFonts w:ascii="Cambria Math" w:hAnsi="Cambria Math"/>
              </w:rPr>
              <m:t>fr</m:t>
            </m:r>
          </m:sub>
        </m:sSub>
      </m:oMath>
      <w:r w:rsidRPr="00FC71BE">
        <w:t xml:space="preserve"> is used for rotating system, and the correction coefficient is described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DD77487" w14:textId="77777777">
        <w:tc>
          <w:tcPr>
            <w:tcW w:w="4493" w:type="pct"/>
            <w:vAlign w:val="center"/>
          </w:tcPr>
          <w:p w14:paraId="588EC566" w14:textId="77777777" w:rsidR="0045562B" w:rsidRPr="00FC71BE" w:rsidRDefault="002143AD">
            <w:pPr>
              <w:rPr>
                <w:rFonts w:eastAsia="等线"/>
              </w:rPr>
            </w:pPr>
            <m:oMathPara>
              <m:oMath>
                <m:sSub>
                  <m:sSubPr>
                    <m:ctrlPr>
                      <w:rPr>
                        <w:rFonts w:ascii="Cambria Math" w:hAnsi="Cambria Math"/>
                      </w:rPr>
                    </m:ctrlPr>
                  </m:sSubPr>
                  <m:e>
                    <m:r>
                      <w:rPr>
                        <w:rFonts w:ascii="Cambria Math" w:hAnsi="Cambria Math"/>
                      </w:rPr>
                      <m:t>k</m:t>
                    </m:r>
                  </m:e>
                  <m:sub>
                    <m:r>
                      <w:rPr>
                        <w:rFonts w:ascii="Cambria Math"/>
                      </w:rPr>
                      <m:t>r</m:t>
                    </m:r>
                  </m:sub>
                </m:sSub>
                <m:r>
                  <w:rPr>
                    <w:rFonts w:asci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fr</m:t>
                        </m:r>
                      </m:sub>
                    </m:sSub>
                  </m:num>
                  <m:den>
                    <m:sSub>
                      <m:sSubPr>
                        <m:ctrlPr>
                          <w:rPr>
                            <w:rFonts w:ascii="Cambria Math" w:hAnsi="Cambria Math"/>
                            <w:i/>
                          </w:rPr>
                        </m:ctrlPr>
                      </m:sSubPr>
                      <m:e>
                        <m:r>
                          <w:rPr>
                            <w:rFonts w:ascii="Cambria Math" w:hAnsi="Cambria Math"/>
                          </w:rPr>
                          <m:t>k</m:t>
                        </m:r>
                      </m:e>
                      <m:sub>
                        <m:r>
                          <w:rPr>
                            <w:rFonts w:ascii="Cambria Math" w:hAnsi="Cambria Math"/>
                          </w:rPr>
                          <m:t>fs</m:t>
                        </m:r>
                      </m:sub>
                    </m:sSub>
                  </m:den>
                </m:f>
              </m:oMath>
            </m:oMathPara>
          </w:p>
        </w:tc>
        <w:tc>
          <w:tcPr>
            <w:tcW w:w="507" w:type="pct"/>
            <w:vAlign w:val="center"/>
          </w:tcPr>
          <w:p w14:paraId="7837C041" w14:textId="4FF9FC2D" w:rsidR="0045562B" w:rsidRPr="00FC71BE" w:rsidRDefault="0045562B">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17</w:t>
            </w:r>
            <w:r w:rsidR="002839C4" w:rsidRPr="00FC71BE">
              <w:rPr>
                <w:color w:val="auto"/>
              </w:rPr>
              <w:fldChar w:fldCharType="end"/>
            </w:r>
            <w:r w:rsidRPr="00FC71BE">
              <w:rPr>
                <w:color w:val="auto"/>
              </w:rPr>
              <w:t>)</w:t>
            </w:r>
          </w:p>
        </w:tc>
      </w:tr>
    </w:tbl>
    <w:p w14:paraId="1D9E1CB6" w14:textId="73A7305D" w:rsidR="0045562B" w:rsidRPr="00FC71BE" w:rsidRDefault="0045562B" w:rsidP="0045562B">
      <w:r w:rsidRPr="00FC71BE">
        <w:t xml:space="preserve">Chong 2014 </w:t>
      </w:r>
      <w:r w:rsidRPr="00FC71BE">
        <w:fldChar w:fldCharType="begin"/>
      </w:r>
      <w:r w:rsidR="00BA33ED" w:rsidRPr="00FC71BE">
        <w:instrText xml:space="preserve"> ADDIN EN.CITE &lt;EndNote&gt;&lt;Cite&gt;&lt;Author&gt;Chong&lt;/Author&gt;&lt;Year&gt;2014&lt;/Year&gt;&lt;RecNum&gt;332&lt;/RecNum&gt;&lt;DisplayText&gt;[181]&lt;/DisplayText&gt;&lt;record&gt;&lt;rec-number&gt;332&lt;/rec-number&gt;&lt;foreign-keys&gt;&lt;key app="EN" db-id="p00pasffqrr5wvef0f35etrrr0xzp0wptrtd" timestamp="1695324250" guid="cba87821-705e-41d2-beb2-7f2d732d014b"&gt;332&lt;/key&gt;&lt;/foreign-keys&gt;&lt;ref-type name="Conference Proceedings"&gt;10&lt;/ref-type&gt;&lt;contributors&gt;&lt;authors&gt;&lt;author&gt;Chong, Yew Chuan&lt;/author&gt;&lt;author&gt;Staton, David A&lt;/author&gt;&lt;author&gt;Mueller, MA&lt;/author&gt;&lt;author&gt;Chick, John&lt;/author&gt;&lt;/authors&gt;&lt;/contributors&gt;&lt;titles&gt;&lt;title&gt;Pressure loss measurement in rotor-stator gap of radial flux electrical machines&lt;/title&gt;&lt;secondary-title&gt;2014 International Conference on Electrical Machines (ICEM)&lt;/secondary-title&gt;&lt;/titles&gt;&lt;pages&gt;2172-2178&lt;/pages&gt;&lt;dates&gt;&lt;year&gt;2014&lt;/year&gt;&lt;/dates&gt;&lt;publisher&gt;IEEE&lt;/publisher&gt;&lt;isbn&gt;1479943894&lt;/isbn&gt;&lt;urls&gt;&lt;/urls&gt;&lt;/record&gt;&lt;/Cite&gt;&lt;/EndNote&gt;</w:instrText>
      </w:r>
      <w:r w:rsidRPr="00FC71BE">
        <w:fldChar w:fldCharType="separate"/>
      </w:r>
      <w:r w:rsidR="00BA33ED" w:rsidRPr="00FC71BE">
        <w:t>[181]</w:t>
      </w:r>
      <w:r w:rsidRPr="00FC71BE">
        <w:fldChar w:fldCharType="end"/>
      </w:r>
      <w:r w:rsidRPr="00FC71BE">
        <w:t xml:space="preserve"> proposed some empirical fitness functions for </w:t>
      </w:r>
      <m:oMath>
        <m:sSub>
          <m:sSubPr>
            <m:ctrlPr>
              <w:rPr>
                <w:rFonts w:ascii="Cambria Math" w:hAnsi="Cambria Math"/>
                <w:i/>
              </w:rPr>
            </m:ctrlPr>
          </m:sSubPr>
          <m:e>
            <m:r>
              <w:rPr>
                <w:rFonts w:ascii="Cambria Math" w:hAnsi="Cambria Math"/>
              </w:rPr>
              <m:t>k</m:t>
            </m:r>
          </m:e>
          <m:sub>
            <m:r>
              <w:rPr>
                <w:rFonts w:ascii="Cambria Math" w:hAnsi="Cambria Math"/>
              </w:rPr>
              <m:t>r</m:t>
            </m:r>
          </m:sub>
        </m:sSub>
      </m:oMath>
      <w:r w:rsidRPr="00FC71BE">
        <w:t xml:space="preserve"> caused by the shock losses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8E51BC7" w14:textId="77777777">
        <w:tc>
          <w:tcPr>
            <w:tcW w:w="4493" w:type="pct"/>
            <w:vAlign w:val="center"/>
          </w:tcPr>
          <w:p w14:paraId="55C03866" w14:textId="77777777" w:rsidR="0045562B" w:rsidRPr="00FC71BE" w:rsidRDefault="002143AD">
            <m:oMathPara>
              <m:oMath>
                <m:sSub>
                  <m:sSubPr>
                    <m:ctrlPr>
                      <w:rPr>
                        <w:rFonts w:ascii="Cambria Math" w:hAnsi="Cambria Math"/>
                        <w:i/>
                      </w:rPr>
                    </m:ctrlPr>
                  </m:sSubPr>
                  <m:e>
                    <m:r>
                      <w:rPr>
                        <w:rFonts w:ascii="Cambria Math" w:hAnsi="Cambria Math"/>
                      </w:rPr>
                      <m:t>k</m:t>
                    </m:r>
                  </m:e>
                  <m:sub>
                    <m:r>
                      <w:rPr>
                        <w:rFonts w:ascii="Cambria Math" w:hAnsi="Cambria Math"/>
                      </w:rPr>
                      <m:t>r</m:t>
                    </m:r>
                    <m:r>
                      <w:rPr>
                        <w:rFonts w:ascii="Cambria Math" w:hAnsi="Cambria Math"/>
                      </w:rPr>
                      <m:t>,</m:t>
                    </m:r>
                    <m:r>
                      <w:rPr>
                        <w:rFonts w:ascii="Cambria Math" w:hAnsi="Cambria Math"/>
                      </w:rPr>
                      <m:t>s</m:t>
                    </m:r>
                    <m:r>
                      <w:rPr>
                        <w:rFonts w:ascii="Cambria Math" w:hAnsi="Cambria Math"/>
                      </w:rPr>
                      <m:t>h</m:t>
                    </m:r>
                    <m:r>
                      <w:rPr>
                        <w:rFonts w:ascii="Cambria Math" w:hAnsi="Cambria Math"/>
                      </w:rPr>
                      <m:t>ock</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a</m:t>
                        </m:r>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U</m:t>
                                    </m:r>
                                  </m:den>
                                </m:f>
                              </m:e>
                            </m:d>
                          </m:e>
                          <m:sup>
                            <m:r>
                              <w:rPr>
                                <w:rFonts w:ascii="Cambria Math" w:hAnsi="Cambria Math"/>
                              </w:rPr>
                              <m:t>2</m:t>
                            </m:r>
                          </m:sup>
                        </m:sSup>
                        <m:r>
                          <w:rPr>
                            <w:rFonts w:ascii="Cambria Math" w:hAnsi="Cambria Math"/>
                          </w:rPr>
                          <m:t>+</m:t>
                        </m:r>
                        <m:r>
                          <w:rPr>
                            <w:rFonts w:ascii="Cambria Math" w:hAnsi="Cambria Math"/>
                          </w:rPr>
                          <m:t>b</m:t>
                        </m:r>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U</m:t>
                            </m:r>
                          </m:den>
                        </m:f>
                        <m:r>
                          <w:rPr>
                            <w:rFonts w:ascii="Cambria Math" w:hAnsi="Cambria Math"/>
                          </w:rPr>
                          <m:t xml:space="preserve"> </m:t>
                        </m:r>
                        <m:r>
                          <m:rPr>
                            <m:sty m:val="p"/>
                          </m:rPr>
                          <w:rPr>
                            <w:rFonts w:ascii="Cambria Math" w:hAnsi="Cambria Math"/>
                          </w:rPr>
                          <m:t xml:space="preserve">,        for rotor ducts        </m:t>
                        </m:r>
                      </m:e>
                      <m:e>
                        <m:r>
                          <w:rPr>
                            <w:rFonts w:ascii="Cambria Math" w:hAnsi="Cambria Math"/>
                          </w:rPr>
                          <m:t>c</m:t>
                        </m:r>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U</m:t>
                                    </m:r>
                                  </m:den>
                                </m:f>
                              </m:e>
                            </m:d>
                          </m:e>
                          <m:sup>
                            <m:r>
                              <w:rPr>
                                <w:rFonts w:ascii="Cambria Math" w:hAnsi="Cambria Math"/>
                              </w:rPr>
                              <m:t>2</m:t>
                            </m:r>
                          </m:sup>
                        </m:sSup>
                        <m:r>
                          <m:rPr>
                            <m:sty m:val="p"/>
                          </m:rPr>
                          <w:rPr>
                            <w:rFonts w:ascii="Cambria Math" w:hAnsi="Cambria Math"/>
                          </w:rPr>
                          <m:t xml:space="preserve">, for stator-rotor annular gap </m:t>
                        </m:r>
                      </m:e>
                    </m:eqArr>
                  </m:e>
                </m:d>
              </m:oMath>
            </m:oMathPara>
          </w:p>
        </w:tc>
        <w:tc>
          <w:tcPr>
            <w:tcW w:w="507" w:type="pct"/>
            <w:vAlign w:val="center"/>
          </w:tcPr>
          <w:p w14:paraId="4A40896E" w14:textId="62110BD1" w:rsidR="0045562B" w:rsidRPr="00FC71BE" w:rsidRDefault="0045562B">
            <w:pPr>
              <w:pStyle w:val="equation"/>
              <w:rPr>
                <w:i/>
                <w:color w:val="auto"/>
              </w:rPr>
            </w:pPr>
            <w:bookmarkStart w:id="250" w:name="_Ref146119126"/>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18</w:t>
            </w:r>
            <w:r w:rsidR="002839C4" w:rsidRPr="00FC71BE">
              <w:rPr>
                <w:color w:val="auto"/>
              </w:rPr>
              <w:fldChar w:fldCharType="end"/>
            </w:r>
            <w:r w:rsidRPr="00FC71BE">
              <w:rPr>
                <w:color w:val="auto"/>
              </w:rPr>
              <w:t>)</w:t>
            </w:r>
            <w:bookmarkEnd w:id="250"/>
          </w:p>
        </w:tc>
      </w:tr>
    </w:tbl>
    <w:p w14:paraId="78675A76" w14:textId="77777777" w:rsidR="0045562B" w:rsidRPr="00FC71BE" w:rsidRDefault="0045562B" w:rsidP="0045562B">
      <w:pPr>
        <w:ind w:firstLine="0"/>
      </w:pPr>
      <w:r w:rsidRPr="00FC71BE">
        <w:t xml:space="preserve">where </w:t>
      </w:r>
      <m:oMath>
        <m:r>
          <w:rPr>
            <w:rFonts w:ascii="Cambria Math" w:hAnsi="Cambria Math"/>
          </w:rPr>
          <m:t>a</m:t>
        </m:r>
      </m:oMath>
      <w:r w:rsidRPr="00FC71BE">
        <w:t xml:space="preserve">, </w:t>
      </w:r>
      <m:oMath>
        <m:r>
          <w:rPr>
            <w:rFonts w:ascii="Cambria Math" w:hAnsi="Cambria Math"/>
          </w:rPr>
          <m:t>b</m:t>
        </m:r>
      </m:oMath>
      <w:r w:rsidRPr="00FC71BE">
        <w:t xml:space="preserve"> and </w:t>
      </w:r>
      <m:oMath>
        <m:r>
          <w:rPr>
            <w:rFonts w:ascii="Cambria Math" w:hAnsi="Cambria Math"/>
          </w:rPr>
          <m:t>c</m:t>
        </m:r>
      </m:oMath>
      <w:r w:rsidRPr="00FC71BE">
        <w:t xml:space="preserve"> are constants that are determined by experiments, which are related to the topologies of rotating components. The rotation ratio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U</m:t>
            </m:r>
          </m:den>
        </m:f>
      </m:oMath>
      <w:r w:rsidRPr="00FC71BE">
        <w:t>) is a ratio of the tangential velocity to the axial velocity.</w:t>
      </w:r>
    </w:p>
    <w:p w14:paraId="30065169" w14:textId="3EEF7E0F" w:rsidR="0045562B" w:rsidRPr="00FC71BE" w:rsidRDefault="0045562B" w:rsidP="0045562B">
      <w:r w:rsidRPr="00FC71BE">
        <w:t xml:space="preserve">Yamada 1962 </w:t>
      </w:r>
      <w:r w:rsidRPr="00FC71BE">
        <w:fldChar w:fldCharType="begin"/>
      </w:r>
      <w:r w:rsidR="00BA33ED" w:rsidRPr="00FC71BE">
        <w:instrText xml:space="preserve"> ADDIN EN.CITE &lt;EndNote&gt;&lt;Cite&gt;&lt;Author&gt;Yamada&lt;/Author&gt;&lt;Year&gt;1962&lt;/Year&gt;&lt;RecNum&gt;333&lt;/RecNum&gt;&lt;DisplayText&gt;[182]&lt;/DisplayText&gt;&lt;record&gt;&lt;rec-number&gt;333&lt;/rec-number&gt;&lt;foreign-keys&gt;&lt;key app="EN" db-id="p00pasffqrr5wvef0f35etrrr0xzp0wptrtd" timestamp="1695324277" guid="0aa64891-af31-4514-b4a1-538b87cd7d04"&gt;333&lt;/key&gt;&lt;/foreign-keys&gt;&lt;ref-type name="Journal Article"&gt;17&lt;/ref-type&gt;&lt;contributors&gt;&lt;authors&gt;&lt;author&gt;Yamada, Yutaka&lt;/author&gt;&lt;/authors&gt;&lt;/contributors&gt;&lt;titles&gt;&lt;title&gt;Resistance of a flow through an annulus with an inner rotating cylinder&lt;/title&gt;&lt;secondary-title&gt;Bulletin of JSME&lt;/secondary-title&gt;&lt;/titles&gt;&lt;periodical&gt;&lt;full-title&gt;Bulletin of JSME&lt;/full-title&gt;&lt;/periodical&gt;&lt;pages&gt;302-310&lt;/pages&gt;&lt;volume&gt;5&lt;/volume&gt;&lt;number&gt;18&lt;/number&gt;&lt;dates&gt;&lt;year&gt;1962&lt;/year&gt;&lt;/dates&gt;&lt;isbn&gt;0021-3764&lt;/isbn&gt;&lt;urls&gt;&lt;/urls&gt;&lt;/record&gt;&lt;/Cite&gt;&lt;/EndNote&gt;</w:instrText>
      </w:r>
      <w:r w:rsidRPr="00FC71BE">
        <w:fldChar w:fldCharType="separate"/>
      </w:r>
      <w:r w:rsidR="00BA33ED" w:rsidRPr="00FC71BE">
        <w:t>[182]</w:t>
      </w:r>
      <w:r w:rsidRPr="00FC71BE">
        <w:fldChar w:fldCharType="end"/>
      </w:r>
      <w:r w:rsidRPr="00FC71BE">
        <w:t xml:space="preserve"> proposed the correction factor that caused by friction loss variation: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47388A81" w14:textId="77777777">
        <w:tc>
          <w:tcPr>
            <w:tcW w:w="4493" w:type="pct"/>
            <w:vAlign w:val="center"/>
          </w:tcPr>
          <w:p w14:paraId="7D6DFC63" w14:textId="77777777" w:rsidR="0045562B" w:rsidRPr="00FC71BE" w:rsidRDefault="002143AD">
            <w:pPr>
              <w:rPr>
                <w:rFonts w:eastAsia="等线"/>
              </w:rPr>
            </w:pPr>
            <m:oMathPara>
              <m:oMath>
                <m:sSub>
                  <m:sSubPr>
                    <m:ctrlPr>
                      <w:rPr>
                        <w:rFonts w:ascii="Cambria Math" w:hAnsi="Cambria Math"/>
                      </w:rPr>
                    </m:ctrlPr>
                  </m:sSubPr>
                  <m:e>
                    <m:r>
                      <w:rPr>
                        <w:rFonts w:ascii="Cambria Math" w:hAnsi="Cambria Math"/>
                      </w:rPr>
                      <m:t>k</m:t>
                    </m:r>
                  </m:e>
                  <m:sub>
                    <m:r>
                      <w:rPr>
                        <w:rFonts w:ascii="Cambria Math"/>
                      </w:rPr>
                      <m:t>r</m:t>
                    </m:r>
                    <m:r>
                      <w:rPr>
                        <w:rFonts w:ascii="Cambria Math"/>
                      </w:rPr>
                      <m:t>,</m:t>
                    </m:r>
                    <m:r>
                      <w:rPr>
                        <w:rFonts w:ascii="Cambria Math"/>
                      </w:rPr>
                      <m:t>friction</m:t>
                    </m:r>
                  </m:sub>
                </m:sSub>
                <m:r>
                  <w:rPr>
                    <w:rFonts w:asci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rPr>
                          <m:t>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7</m:t>
                                    </m:r>
                                  </m:num>
                                  <m:den>
                                    <m:r>
                                      <w:rPr>
                                        <w:rFonts w:ascii="Cambria Math"/>
                                      </w:rPr>
                                      <m:t>8</m:t>
                                    </m:r>
                                  </m:den>
                                </m:f>
                              </m:e>
                            </m:d>
                          </m:e>
                          <m:sup>
                            <m:r>
                              <w:rPr>
                                <w:rFonts w:ascii="Cambria Math"/>
                              </w:rPr>
                              <m:t>2</m:t>
                            </m:r>
                          </m:sup>
                        </m:sSup>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2</m:t>
                                    </m:r>
                                    <m:r>
                                      <w:rPr>
                                        <w:rFonts w:ascii="Cambria Math" w:hAnsi="Cambria Math"/>
                                      </w:rPr>
                                      <m:t>U</m:t>
                                    </m:r>
                                  </m:den>
                                </m:f>
                              </m:e>
                            </m:d>
                          </m:e>
                          <m:sup>
                            <m:r>
                              <w:rPr>
                                <w:rFonts w:ascii="Cambria Math"/>
                              </w:rPr>
                              <m:t>2</m:t>
                            </m:r>
                          </m:sup>
                        </m:sSup>
                      </m:e>
                    </m:d>
                  </m:e>
                  <m:sup>
                    <m:r>
                      <w:rPr>
                        <w:rFonts w:ascii="Cambria Math"/>
                      </w:rPr>
                      <m:t>0.38</m:t>
                    </m:r>
                  </m:sup>
                </m:sSup>
              </m:oMath>
            </m:oMathPara>
          </w:p>
        </w:tc>
        <w:tc>
          <w:tcPr>
            <w:tcW w:w="507" w:type="pct"/>
            <w:vAlign w:val="center"/>
          </w:tcPr>
          <w:p w14:paraId="7F785A99" w14:textId="28D27B9A" w:rsidR="0045562B" w:rsidRPr="00FC71BE" w:rsidRDefault="0045562B">
            <w:pPr>
              <w:pStyle w:val="equation"/>
              <w:rPr>
                <w:i/>
                <w:color w:val="auto"/>
              </w:rPr>
            </w:pPr>
            <w:bookmarkStart w:id="251" w:name="_Ref146119128"/>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19</w:t>
            </w:r>
            <w:r w:rsidR="002839C4" w:rsidRPr="00FC71BE">
              <w:rPr>
                <w:color w:val="auto"/>
              </w:rPr>
              <w:fldChar w:fldCharType="end"/>
            </w:r>
            <w:r w:rsidRPr="00FC71BE">
              <w:rPr>
                <w:color w:val="auto"/>
              </w:rPr>
              <w:t>)</w:t>
            </w:r>
            <w:bookmarkEnd w:id="251"/>
          </w:p>
        </w:tc>
      </w:tr>
    </w:tbl>
    <w:p w14:paraId="5F26587E" w14:textId="72ED4ED4" w:rsidR="0045562B" w:rsidRPr="00FC71BE" w:rsidRDefault="0045562B" w:rsidP="0045562B">
      <w:r w:rsidRPr="00FC71BE">
        <w:t xml:space="preserve">According to </w:t>
      </w:r>
      <w:r w:rsidRPr="00FC71BE">
        <w:fldChar w:fldCharType="begin"/>
      </w:r>
      <w:r w:rsidRPr="00FC71BE">
        <w:instrText xml:space="preserve"> REF _Ref146119126 \h </w:instrText>
      </w:r>
      <w:r w:rsidRPr="00FC71BE">
        <w:fldChar w:fldCharType="separate"/>
      </w:r>
      <w:r w:rsidR="007E62C1" w:rsidRPr="00FC71BE">
        <w:t>(</w:t>
      </w:r>
      <w:r w:rsidR="007E62C1" w:rsidRPr="00FC71BE">
        <w:rPr>
          <w:noProof/>
        </w:rPr>
        <w:t>4</w:t>
      </w:r>
      <w:r w:rsidR="007E62C1" w:rsidRPr="00FC71BE">
        <w:t>.</w:t>
      </w:r>
      <w:r w:rsidR="007E62C1" w:rsidRPr="00FC71BE">
        <w:rPr>
          <w:noProof/>
        </w:rPr>
        <w:t>18</w:t>
      </w:r>
      <w:r w:rsidR="007E62C1" w:rsidRPr="00FC71BE">
        <w:t>)</w:t>
      </w:r>
      <w:r w:rsidRPr="00FC71BE">
        <w:fldChar w:fldCharType="end"/>
      </w:r>
      <w:r w:rsidRPr="00FC71BE">
        <w:t xml:space="preserve"> and </w:t>
      </w:r>
      <w:r w:rsidRPr="00FC71BE">
        <w:fldChar w:fldCharType="begin"/>
      </w:r>
      <w:r w:rsidRPr="00FC71BE">
        <w:instrText xml:space="preserve"> REF _Ref146119128 \h </w:instrText>
      </w:r>
      <w:r w:rsidRPr="00FC71BE">
        <w:fldChar w:fldCharType="separate"/>
      </w:r>
      <w:r w:rsidR="007E62C1" w:rsidRPr="00FC71BE">
        <w:t>(</w:t>
      </w:r>
      <w:r w:rsidR="007E62C1" w:rsidRPr="00FC71BE">
        <w:rPr>
          <w:noProof/>
        </w:rPr>
        <w:t>4</w:t>
      </w:r>
      <w:r w:rsidR="007E62C1" w:rsidRPr="00FC71BE">
        <w:t>.</w:t>
      </w:r>
      <w:r w:rsidR="007E62C1" w:rsidRPr="00FC71BE">
        <w:rPr>
          <w:noProof/>
        </w:rPr>
        <w:t>19</w:t>
      </w:r>
      <w:r w:rsidR="007E62C1" w:rsidRPr="00FC71BE">
        <w:t>)</w:t>
      </w:r>
      <w:r w:rsidRPr="00FC71BE">
        <w:fldChar w:fldCharType="end"/>
      </w:r>
      <w:r w:rsidRPr="00FC71BE">
        <w:t xml:space="preserve">, rotation introduces additional pressure losses components and the rotating pressure losses are significant when the rotor speed is high. The pressure losses in different machine region for the investigated machine have been simulated using CFD models, as shown in figures from </w:t>
      </w:r>
      <w:r w:rsidRPr="00FC71BE">
        <w:fldChar w:fldCharType="begin"/>
      </w:r>
      <w:r w:rsidRPr="00FC71BE">
        <w:instrText xml:space="preserve"> REF _Ref146213280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27</w:t>
      </w:r>
      <w:r w:rsidRPr="00FC71BE">
        <w:fldChar w:fldCharType="end"/>
      </w:r>
      <w:r w:rsidRPr="00FC71BE">
        <w:t xml:space="preserve"> to </w:t>
      </w:r>
      <w:r w:rsidRPr="00FC71BE">
        <w:fldChar w:fldCharType="begin"/>
      </w:r>
      <w:r w:rsidRPr="00FC71BE">
        <w:instrText xml:space="preserve"> REF _Ref146119412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29</w:t>
      </w:r>
      <w:r w:rsidRPr="00FC71BE">
        <w:fldChar w:fldCharType="end"/>
      </w:r>
      <w:r w:rsidRPr="00FC71BE">
        <w:t>. The results demonstrate that the pressure losses in the end-space inlet and the rotor ducts increase with increased rotor speed. It is noticed that the pressure losses in the airgap and flux gaps reduce when</w:t>
      </w:r>
      <w:r w:rsidRPr="00FC71BE" w:rsidDel="009E42C9">
        <w:t xml:space="preserve"> </w:t>
      </w:r>
      <w:r w:rsidRPr="00FC71BE">
        <w:t xml:space="preserve">the rotor speed increases. This is caused by the combining flow phenomenon, which affects the pressure drop in the airgap and flux gaps. The combining flow phenomenon will be introduced in more details in section </w:t>
      </w:r>
      <w:r w:rsidRPr="00FC71BE">
        <w:fldChar w:fldCharType="begin"/>
      </w:r>
      <w:r w:rsidRPr="00FC71BE">
        <w:instrText xml:space="preserve"> REF _Ref146214024 \r \h </w:instrText>
      </w:r>
      <w:r w:rsidRPr="00FC71BE">
        <w:fldChar w:fldCharType="separate"/>
      </w:r>
      <w:r w:rsidR="007E62C1" w:rsidRPr="00FC71BE">
        <w:t>4.4.3</w:t>
      </w:r>
      <w:r w:rsidRPr="00FC71BE">
        <w:fldChar w:fldCharType="end"/>
      </w:r>
      <w:r w:rsidRPr="00FC71BE">
        <w:t>.</w:t>
      </w:r>
    </w:p>
    <w:p w14:paraId="5D1DCD9C" w14:textId="77777777" w:rsidR="0045562B" w:rsidRPr="00FC71BE" w:rsidRDefault="0045562B" w:rsidP="0045562B">
      <w:r w:rsidRPr="00FC71BE">
        <w:t>As both the modular and non-modular machines use the same rotor ducts and inlets/outlets, their pressure losses through the rotor ducts and end-space are similar. However, the pressure losses in the airgap and flux gap are very much different. A significant pressure loss reduction is achieved after introducing the flux gaps. However, this reduction is less significant when the rotor speed increases. This is also caused by the combining flow phenomenon.</w:t>
      </w:r>
    </w:p>
    <w:p w14:paraId="5B65D2D4" w14:textId="77777777" w:rsidR="0045562B" w:rsidRPr="00FC71BE" w:rsidRDefault="0045562B" w:rsidP="0045562B">
      <w:pPr>
        <w:pStyle w:val="Figure"/>
        <w:rPr>
          <w:noProof w:val="0"/>
        </w:rPr>
      </w:pPr>
      <w:r w:rsidRPr="00FC71BE">
        <w:lastRenderedPageBreak/>
        <w:drawing>
          <wp:inline distT="0" distB="0" distL="0" distR="0" wp14:anchorId="5E2CFC67" wp14:editId="2EC28A79">
            <wp:extent cx="4363200" cy="2615696"/>
            <wp:effectExtent l="0" t="0" r="0" b="0"/>
            <wp:docPr id="1906606401" name="Picture 1906606401" descr="A graph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606401" name="Picture 1" descr="A graph of a machine&#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363200" cy="2615696"/>
                    </a:xfrm>
                    <a:prstGeom prst="rect">
                      <a:avLst/>
                    </a:prstGeom>
                    <a:noFill/>
                    <a:ln>
                      <a:noFill/>
                    </a:ln>
                  </pic:spPr>
                </pic:pic>
              </a:graphicData>
            </a:graphic>
          </wp:inline>
        </w:drawing>
      </w:r>
    </w:p>
    <w:p w14:paraId="6C560433" w14:textId="58F4E4AB" w:rsidR="0045562B" w:rsidRPr="00FC71BE" w:rsidRDefault="0045562B" w:rsidP="0045562B">
      <w:pPr>
        <w:pStyle w:val="FigureTitle"/>
      </w:pPr>
      <w:bookmarkStart w:id="252" w:name="_Ref146213280"/>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27</w:t>
        </w:r>
      </w:fldSimple>
      <w:bookmarkEnd w:id="252"/>
      <w:r w:rsidRPr="00FC71BE">
        <w:t>. Pressure losses in the end-space inlet region</w:t>
      </w:r>
      <w:r w:rsidR="00490C75" w:rsidRPr="00FC71BE">
        <w:t xml:space="preserve"> of M7 and M8</w:t>
      </w:r>
      <w:r w:rsidRPr="00FC71BE">
        <w:t xml:space="preserve"> </w:t>
      </w:r>
      <w:r w:rsidRPr="00FC71BE">
        <w:rPr>
          <w:i/>
        </w:rPr>
        <w:t>vs</w:t>
      </w:r>
      <w:r w:rsidRPr="00FC71BE">
        <w:t xml:space="preserve"> rotor speed.</w:t>
      </w:r>
    </w:p>
    <w:p w14:paraId="3AEC1C07" w14:textId="77777777" w:rsidR="0045562B" w:rsidRPr="00FC71BE" w:rsidRDefault="0045562B" w:rsidP="0045562B">
      <w:pPr>
        <w:pStyle w:val="Figure"/>
        <w:rPr>
          <w:noProof w:val="0"/>
        </w:rPr>
      </w:pPr>
      <w:r w:rsidRPr="00FC71BE">
        <w:drawing>
          <wp:inline distT="0" distB="0" distL="0" distR="0" wp14:anchorId="555CD672" wp14:editId="7C60F5CC">
            <wp:extent cx="4363200" cy="2616663"/>
            <wp:effectExtent l="0" t="0" r="0" b="0"/>
            <wp:docPr id="1764358861" name="Picture 1764358861" descr="A graph of a number of mach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58861" name="Picture 4" descr="A graph of a number of machines&#10;&#10;Description automatically generated with medium confidence"/>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363200" cy="2616663"/>
                    </a:xfrm>
                    <a:prstGeom prst="rect">
                      <a:avLst/>
                    </a:prstGeom>
                    <a:noFill/>
                    <a:ln>
                      <a:noFill/>
                    </a:ln>
                  </pic:spPr>
                </pic:pic>
              </a:graphicData>
            </a:graphic>
          </wp:inline>
        </w:drawing>
      </w:r>
    </w:p>
    <w:p w14:paraId="0EFC09FE" w14:textId="3F8552BC" w:rsidR="0045562B" w:rsidRPr="00FC71BE" w:rsidRDefault="0045562B" w:rsidP="0045562B">
      <w:pPr>
        <w:pStyle w:val="FigureTitle"/>
      </w:pPr>
      <w:r w:rsidRPr="00FC71BE">
        <w:t xml:space="preserve">Fig. </w:t>
      </w:r>
      <w:fldSimple w:instr=" STYLEREF 1 \s ">
        <w:r w:rsidR="007E62C1" w:rsidRPr="00FC71BE">
          <w:rPr>
            <w:noProof/>
          </w:rPr>
          <w:t>4</w:t>
        </w:r>
      </w:fldSimple>
      <w:r w:rsidRPr="00FC71BE">
        <w:t>.</w:t>
      </w:r>
      <w:fldSimple w:instr=" SEQ Fig. \* ARABIC \s 1 ">
        <w:r w:rsidR="007E62C1" w:rsidRPr="00FC71BE">
          <w:rPr>
            <w:noProof/>
          </w:rPr>
          <w:t>28</w:t>
        </w:r>
      </w:fldSimple>
      <w:r w:rsidRPr="00FC71BE">
        <w:t>. Pressure losses in</w:t>
      </w:r>
      <w:r w:rsidRPr="00FC71BE" w:rsidDel="0097683A">
        <w:t xml:space="preserve"> </w:t>
      </w:r>
      <w:r w:rsidRPr="00FC71BE">
        <w:t>rotor ducts</w:t>
      </w:r>
      <w:r w:rsidR="00490C75" w:rsidRPr="00FC71BE">
        <w:t xml:space="preserve"> of M7 and M8</w:t>
      </w:r>
      <w:r w:rsidRPr="00FC71BE">
        <w:t xml:space="preserve"> </w:t>
      </w:r>
      <w:r w:rsidRPr="00FC71BE">
        <w:rPr>
          <w:i/>
        </w:rPr>
        <w:t>vs</w:t>
      </w:r>
      <w:r w:rsidRPr="00FC71BE">
        <w:t xml:space="preserve"> rotor speed.</w:t>
      </w:r>
    </w:p>
    <w:p w14:paraId="761819C1" w14:textId="77777777" w:rsidR="0045562B" w:rsidRPr="00FC71BE" w:rsidRDefault="0045562B" w:rsidP="0045562B">
      <w:pPr>
        <w:pStyle w:val="Figure"/>
        <w:rPr>
          <w:noProof w:val="0"/>
        </w:rPr>
      </w:pPr>
      <w:r w:rsidRPr="00FC71BE">
        <w:drawing>
          <wp:inline distT="0" distB="0" distL="0" distR="0" wp14:anchorId="21B6D840" wp14:editId="5A5EA807">
            <wp:extent cx="4363200" cy="2616663"/>
            <wp:effectExtent l="0" t="0" r="0" b="0"/>
            <wp:docPr id="842069847" name="Picture 842069847" descr="A graph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69847" name="Picture 3" descr="A graph of a machine&#10;&#10;Description automatically generated with medium confidence"/>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363200" cy="2616663"/>
                    </a:xfrm>
                    <a:prstGeom prst="rect">
                      <a:avLst/>
                    </a:prstGeom>
                    <a:noFill/>
                    <a:ln>
                      <a:noFill/>
                    </a:ln>
                  </pic:spPr>
                </pic:pic>
              </a:graphicData>
            </a:graphic>
          </wp:inline>
        </w:drawing>
      </w:r>
    </w:p>
    <w:p w14:paraId="15A10211" w14:textId="78C3C6FE" w:rsidR="0045562B" w:rsidRPr="00FC71BE" w:rsidRDefault="0045562B" w:rsidP="0045562B">
      <w:pPr>
        <w:pStyle w:val="FigureTitle"/>
      </w:pPr>
      <w:bookmarkStart w:id="253" w:name="_Ref146119412"/>
      <w:r w:rsidRPr="00FC71BE">
        <w:lastRenderedPageBreak/>
        <w:t xml:space="preserve">Fig. </w:t>
      </w:r>
      <w:fldSimple w:instr=" STYLEREF 1 \s ">
        <w:r w:rsidR="007E62C1" w:rsidRPr="00FC71BE">
          <w:rPr>
            <w:noProof/>
          </w:rPr>
          <w:t>4</w:t>
        </w:r>
      </w:fldSimple>
      <w:r w:rsidRPr="00FC71BE">
        <w:t>.</w:t>
      </w:r>
      <w:fldSimple w:instr=" SEQ Fig. \* ARABIC \s 1 ">
        <w:r w:rsidR="007E62C1" w:rsidRPr="00FC71BE">
          <w:rPr>
            <w:noProof/>
          </w:rPr>
          <w:t>29</w:t>
        </w:r>
      </w:fldSimple>
      <w:bookmarkEnd w:id="253"/>
      <w:r w:rsidRPr="00FC71BE">
        <w:t xml:space="preserve">. Pressure losses in the airgap and flux gaps (for modular machines) </w:t>
      </w:r>
      <w:r w:rsidR="00490C75" w:rsidRPr="00FC71BE">
        <w:t xml:space="preserve">of M7 and M8 </w:t>
      </w:r>
      <w:r w:rsidRPr="00FC71BE">
        <w:rPr>
          <w:i/>
        </w:rPr>
        <w:t>vs</w:t>
      </w:r>
      <w:r w:rsidRPr="00FC71BE">
        <w:t xml:space="preserve"> rotor speed.</w:t>
      </w:r>
    </w:p>
    <w:p w14:paraId="5CD910E1" w14:textId="77777777" w:rsidR="0045562B" w:rsidRPr="00FC71BE" w:rsidRDefault="0045562B" w:rsidP="00B86C68">
      <w:pPr>
        <w:pStyle w:val="Heading3"/>
        <w:numPr>
          <w:ilvl w:val="2"/>
          <w:numId w:val="49"/>
        </w:numPr>
      </w:pPr>
      <w:bookmarkStart w:id="254" w:name="_Ref146214024"/>
      <w:bookmarkStart w:id="255" w:name="_Toc157695375"/>
      <w:r w:rsidRPr="00FC71BE">
        <w:t>Combining Flow Phenomenon</w:t>
      </w:r>
      <w:bookmarkEnd w:id="254"/>
      <w:bookmarkEnd w:id="255"/>
    </w:p>
    <w:p w14:paraId="0E696541" w14:textId="37593E8F" w:rsidR="0045562B" w:rsidRPr="00FC71BE" w:rsidRDefault="0045562B" w:rsidP="0045562B">
      <w:r w:rsidRPr="00FC71BE">
        <w:t xml:space="preserve">Combining flow phenomenon is another reason for the increased pressure loss in the machine cooling systems. The flow is deflected when it exits from the rotor ducts due to the centrifugal effect. The deflected flow will mix with the flow through the airgap (and the flow through the flux gaps for the modular machines). The flow separation at upstream and the flow combination at downstream result in additional pressure loss, which is named as combining flow loss. It is worth noting that, combining flow phenomenon only occur in turbulent flow. Chong 2015 </w:t>
      </w:r>
      <w:r w:rsidRPr="00FC71BE">
        <w:fldChar w:fldCharType="begin"/>
      </w:r>
      <w:r w:rsidR="00BA33ED" w:rsidRPr="00FC71BE">
        <w:instrText xml:space="preserve"> ADDIN EN.CITE &lt;EndNote&gt;&lt;Cite&gt;&lt;Author&gt;Chong&lt;/Author&gt;&lt;Year&gt;2015&lt;/Year&gt;&lt;RecNum&gt;281&lt;/RecNum&gt;&lt;DisplayText&gt;[146]&lt;/DisplayText&gt;&lt;record&gt;&lt;rec-number&gt;281&lt;/rec-number&gt;&lt;foreign-keys&gt;&lt;key app="EN" db-id="p00pasffqrr5wvef0f35etrrr0xzp0wptrtd" timestamp="1694550628" guid="e62aeca4-f63e-423f-ba03-e3f957f91dae"&gt;281&lt;/key&gt;&lt;/foreign-keys&gt;&lt;ref-type name="Thesis"&gt;32&lt;/ref-type&gt;&lt;contributors&gt;&lt;authors&gt;&lt;author&gt;Chong, Yew Chuan&lt;/author&gt;&lt;/authors&gt;&lt;/contributors&gt;&lt;titles&gt;&lt;title&gt;Thermal analysis and air flow modelling of electrical machines&lt;/title&gt;&lt;secondary-title&gt;Dept. Mech. Eng.&lt;/secondary-title&gt;&lt;/titles&gt;&lt;dates&gt;&lt;year&gt;2015&lt;/year&gt;&lt;/dates&gt;&lt;pub-location&gt;Edinburgh, U.K.&lt;/pub-location&gt;&lt;publisher&gt;Edinburgh Univ.&lt;/publisher&gt;&lt;work-type&gt;Ph.D. dissertation&lt;/work-type&gt;&lt;urls&gt;&lt;/urls&gt;&lt;/record&gt;&lt;/Cite&gt;&lt;/EndNote&gt;</w:instrText>
      </w:r>
      <w:r w:rsidRPr="00FC71BE">
        <w:fldChar w:fldCharType="separate"/>
      </w:r>
      <w:r w:rsidR="00BA33ED" w:rsidRPr="00FC71BE">
        <w:t>[146]</w:t>
      </w:r>
      <w:r w:rsidRPr="00FC71BE">
        <w:fldChar w:fldCharType="end"/>
      </w:r>
      <w:r w:rsidRPr="00FC71BE">
        <w:t xml:space="preserve"> proposed some empirical fitness functions for </w:t>
      </w:r>
      <m:oMath>
        <m:sSub>
          <m:sSubPr>
            <m:ctrlPr>
              <w:rPr>
                <w:rFonts w:ascii="Cambria Math" w:hAnsi="Cambria Math"/>
                <w:i/>
              </w:rPr>
            </m:ctrlPr>
          </m:sSubPr>
          <m:e>
            <m:r>
              <w:rPr>
                <w:rFonts w:ascii="Cambria Math" w:hAnsi="Cambria Math"/>
              </w:rPr>
              <m:t>k</m:t>
            </m:r>
          </m:e>
          <m:sub>
            <m:r>
              <w:rPr>
                <w:rFonts w:ascii="Cambria Math" w:hAnsi="Cambria Math"/>
              </w:rPr>
              <m:t>r</m:t>
            </m:r>
          </m:sub>
        </m:sSub>
      </m:oMath>
      <w:r w:rsidRPr="00FC71BE">
        <w:t xml:space="preserve"> caused by combining flow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710F1D93" w14:textId="77777777">
        <w:tc>
          <w:tcPr>
            <w:tcW w:w="4493" w:type="pct"/>
            <w:vAlign w:val="center"/>
          </w:tcPr>
          <w:p w14:paraId="7C5E1619" w14:textId="77777777" w:rsidR="0045562B" w:rsidRPr="00FC71BE" w:rsidRDefault="002143AD">
            <m:oMathPara>
              <m:oMath>
                <m:sSub>
                  <m:sSubPr>
                    <m:ctrlPr>
                      <w:rPr>
                        <w:rFonts w:ascii="Cambria Math" w:hAnsi="Cambria Math"/>
                        <w:i/>
                      </w:rPr>
                    </m:ctrlPr>
                  </m:sSubPr>
                  <m:e>
                    <m:r>
                      <w:rPr>
                        <w:rFonts w:ascii="Cambria Math" w:hAnsi="Cambria Math"/>
                      </w:rPr>
                      <m:t>k</m:t>
                    </m:r>
                  </m:e>
                  <m:sub>
                    <m:r>
                      <w:rPr>
                        <w:rFonts w:ascii="Cambria Math" w:hAnsi="Cambria Math"/>
                      </w:rPr>
                      <m:t>r</m:t>
                    </m:r>
                    <m:r>
                      <w:rPr>
                        <w:rFonts w:ascii="Cambria Math" w:hAnsi="Cambria Math"/>
                      </w:rPr>
                      <m:t>,</m:t>
                    </m:r>
                    <m:r>
                      <w:rPr>
                        <w:rFonts w:ascii="Cambria Math" w:hAnsi="Cambria Math"/>
                      </w:rPr>
                      <m:t>CF</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a</m:t>
                        </m:r>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U</m:t>
                                    </m:r>
                                  </m:den>
                                </m:f>
                              </m:e>
                            </m:d>
                          </m:e>
                          <m:sup>
                            <m:r>
                              <w:rPr>
                                <w:rFonts w:ascii="Cambria Math" w:hAnsi="Cambria Math"/>
                              </w:rPr>
                              <m:t>2</m:t>
                            </m:r>
                          </m:sup>
                        </m:sSup>
                        <m:r>
                          <w:rPr>
                            <w:rFonts w:ascii="Cambria Math" w:hAnsi="Cambria Math"/>
                          </w:rPr>
                          <m:t>+</m:t>
                        </m:r>
                        <m:r>
                          <w:rPr>
                            <w:rFonts w:ascii="Cambria Math" w:hAnsi="Cambria Math"/>
                          </w:rPr>
                          <m:t>b</m:t>
                        </m:r>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U</m:t>
                            </m:r>
                          </m:den>
                        </m:f>
                        <m:r>
                          <w:rPr>
                            <w:rFonts w:ascii="Cambria Math" w:hAnsi="Cambria Math"/>
                          </w:rPr>
                          <m:t>+</m:t>
                        </m:r>
                        <m:r>
                          <w:rPr>
                            <w:rFonts w:ascii="Cambria Math" w:hAnsi="Cambria Math"/>
                          </w:rPr>
                          <m:t>c</m:t>
                        </m:r>
                        <m:r>
                          <w:rPr>
                            <w:rFonts w:ascii="Cambria Math" w:hAnsi="Cambria Math"/>
                          </w:rPr>
                          <m:t xml:space="preserve">   </m:t>
                        </m:r>
                        <m:r>
                          <m:rPr>
                            <m:sty m:val="p"/>
                          </m:rPr>
                          <w:rPr>
                            <w:rFonts w:ascii="Cambria Math" w:hAnsi="Cambria Math"/>
                          </w:rPr>
                          <m:t xml:space="preserve">when </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U</m:t>
                            </m:r>
                          </m:den>
                        </m:f>
                        <m:r>
                          <w:rPr>
                            <w:rFonts w:ascii="Cambria Math" w:hAnsi="Cambria Math"/>
                          </w:rPr>
                          <m:t>&gt;</m:t>
                        </m:r>
                        <m:sSub>
                          <m:sSubPr>
                            <m:ctrlPr>
                              <w:rPr>
                                <w:rFonts w:ascii="Cambria Math" w:hAnsi="Cambria Math"/>
                                <w:i/>
                              </w:rPr>
                            </m:ctrlPr>
                          </m:sSubPr>
                          <m:e>
                            <m:r>
                              <w:rPr>
                                <w:rFonts w:ascii="Cambria Math" w:hAnsi="Cambria Math"/>
                              </w:rPr>
                              <m:t>k</m:t>
                            </m:r>
                          </m:e>
                          <m:sub>
                            <m:r>
                              <w:rPr>
                                <w:rFonts w:ascii="Cambria Math" w:hAnsi="Cambria Math"/>
                              </w:rPr>
                              <m:t>c</m:t>
                            </m:r>
                          </m:sub>
                        </m:sSub>
                      </m:e>
                      <m:e>
                        <m:r>
                          <w:rPr>
                            <w:rFonts w:ascii="Cambria Math" w:hAnsi="Cambria Math"/>
                          </w:rPr>
                          <m:t xml:space="preserve">0                                        </m:t>
                        </m:r>
                        <m:r>
                          <m:rPr>
                            <m:sty m:val="p"/>
                          </m:rPr>
                          <w:rPr>
                            <w:rFonts w:ascii="Cambria Math" w:hAnsi="Cambria Math"/>
                          </w:rPr>
                          <m:t xml:space="preserve">when </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m:t>
                                </m:r>
                              </m:sub>
                            </m:sSub>
                          </m:num>
                          <m:den>
                            <m:r>
                              <w:rPr>
                                <w:rFonts w:ascii="Cambria Math" w:hAnsi="Cambria Math"/>
                              </w:rPr>
                              <m:t>U</m:t>
                            </m:r>
                          </m:den>
                        </m:f>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c</m:t>
                            </m:r>
                          </m:sub>
                        </m:sSub>
                        <m:r>
                          <m:rPr>
                            <m:sty m:val="p"/>
                          </m:rPr>
                          <w:rPr>
                            <w:rFonts w:ascii="Cambria Math" w:hAnsi="Cambria Math"/>
                          </w:rPr>
                          <m:t xml:space="preserve"> </m:t>
                        </m:r>
                      </m:e>
                    </m:eqArr>
                  </m:e>
                </m:d>
              </m:oMath>
            </m:oMathPara>
          </w:p>
        </w:tc>
        <w:tc>
          <w:tcPr>
            <w:tcW w:w="507" w:type="pct"/>
            <w:vAlign w:val="center"/>
          </w:tcPr>
          <w:p w14:paraId="4082B2B8" w14:textId="30E88D78" w:rsidR="0045562B" w:rsidRPr="00FC71BE" w:rsidRDefault="0045562B">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20</w:t>
            </w:r>
            <w:r w:rsidR="002839C4" w:rsidRPr="00FC71BE">
              <w:rPr>
                <w:color w:val="auto"/>
              </w:rPr>
              <w:fldChar w:fldCharType="end"/>
            </w:r>
            <w:r w:rsidRPr="00FC71BE">
              <w:rPr>
                <w:color w:val="auto"/>
              </w:rPr>
              <w:t>)</w:t>
            </w:r>
          </w:p>
        </w:tc>
      </w:tr>
    </w:tbl>
    <w:p w14:paraId="6BEE7D59" w14:textId="0B12750E" w:rsidR="0045562B" w:rsidRPr="00FC71BE" w:rsidRDefault="0045562B" w:rsidP="0045562B">
      <w:r w:rsidRPr="00FC71BE">
        <w:t xml:space="preserve">The flow velocity streamlines for the modular and non-modular machines at different rotor speeds are shown in </w:t>
      </w:r>
      <w:r w:rsidRPr="00FC71BE">
        <w:fldChar w:fldCharType="begin"/>
      </w:r>
      <w:r w:rsidRPr="00FC71BE">
        <w:instrText xml:space="preserve"> REF _Ref146216622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30</w:t>
      </w:r>
      <w:r w:rsidRPr="00FC71BE">
        <w:fldChar w:fldCharType="end"/>
      </w:r>
      <w:r w:rsidRPr="00FC71BE">
        <w:t xml:space="preserve"> and </w:t>
      </w:r>
      <w:r w:rsidRPr="00FC71BE">
        <w:fldChar w:fldCharType="begin"/>
      </w:r>
      <w:r w:rsidRPr="00FC71BE">
        <w:instrText xml:space="preserve"> REF _Ref146187763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31</w:t>
      </w:r>
      <w:r w:rsidRPr="00FC71BE">
        <w:fldChar w:fldCharType="end"/>
      </w:r>
      <w:r w:rsidRPr="00FC71BE">
        <w:t xml:space="preserve">. When the inlet volumetric flow rate is constant, the air velocity increases with rotor speed. The combining flow phenomenon will occur and aggravate with higher rotor speed. The combining flow also </w:t>
      </w:r>
      <w:bookmarkStart w:id="256" w:name="_Hlk146558909"/>
      <w:r w:rsidRPr="00FC71BE">
        <w:t xml:space="preserve">blocks the fluid flow in the flux gaps </w:t>
      </w:r>
      <w:bookmarkEnd w:id="256"/>
      <w:r w:rsidRPr="00FC71BE">
        <w:t xml:space="preserve">as shown in </w:t>
      </w:r>
      <w:r w:rsidRPr="00FC71BE">
        <w:fldChar w:fldCharType="begin"/>
      </w:r>
      <w:r w:rsidRPr="00FC71BE">
        <w:instrText xml:space="preserve"> REF _Ref146187763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31</w:t>
      </w:r>
      <w:r w:rsidRPr="00FC71BE">
        <w:fldChar w:fldCharType="end"/>
      </w:r>
      <w:r w:rsidRPr="00FC71BE">
        <w:t xml:space="preserve">. When the machine is stationary, the air flows through the flux gaps, resulting in significant reduction in pressure loss. However, as the speed increases, the streamline in the flux gaps thins out. For example, the air barely flows through the flux gaps when the rotor speed is 3000rpm, as shown in </w:t>
      </w:r>
      <w:r w:rsidRPr="00FC71BE">
        <w:fldChar w:fldCharType="begin"/>
      </w:r>
      <w:r w:rsidRPr="00FC71BE">
        <w:instrText xml:space="preserve"> REF _Ref146187763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31</w:t>
      </w:r>
      <w:r w:rsidRPr="00FC71BE">
        <w:fldChar w:fldCharType="end"/>
      </w:r>
      <w:r w:rsidRPr="00FC71BE">
        <w:t xml:space="preserve"> (c).</w:t>
      </w:r>
      <w:r w:rsidRPr="00FC71BE">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6AE0F77D" w14:textId="77777777">
        <w:tc>
          <w:tcPr>
            <w:tcW w:w="9016" w:type="dxa"/>
          </w:tcPr>
          <w:p w14:paraId="374B9D5E" w14:textId="77777777" w:rsidR="0045562B" w:rsidRPr="00FC71BE" w:rsidRDefault="0045562B">
            <w:pPr>
              <w:pStyle w:val="Figure"/>
              <w:rPr>
                <w:noProof w:val="0"/>
              </w:rPr>
            </w:pPr>
            <w:r w:rsidRPr="00FC71BE">
              <w:lastRenderedPageBreak/>
              <w:drawing>
                <wp:inline distT="0" distB="0" distL="0" distR="0" wp14:anchorId="631C3F03" wp14:editId="4DAA3985">
                  <wp:extent cx="5040000" cy="2239634"/>
                  <wp:effectExtent l="0" t="0" r="0" b="0"/>
                  <wp:docPr id="1774100489" name="Picture 1774100489" descr="A diagram of a heat wave&#10;&#10;Description automatically generated">
                    <a:extLst xmlns:a="http://schemas.openxmlformats.org/drawingml/2006/main">
                      <a:ext uri="{FF2B5EF4-FFF2-40B4-BE49-F238E27FC236}">
                        <a16:creationId xmlns:a16="http://schemas.microsoft.com/office/drawing/2014/main" id="{F43C89CD-4E74-19E2-5D5D-7C41ECD1E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00489" name="Picture 1774100489" descr="A diagram of a heat wave&#10;&#10;Description automatically generated">
                            <a:extLst>
                              <a:ext uri="{FF2B5EF4-FFF2-40B4-BE49-F238E27FC236}">
                                <a16:creationId xmlns:a16="http://schemas.microsoft.com/office/drawing/2014/main" id="{F43C89CD-4E74-19E2-5D5D-7C41ECD1EFC8}"/>
                              </a:ext>
                            </a:extLst>
                          </pic:cNvPr>
                          <pic:cNvPicPr>
                            <a:picLocks noChangeAspect="1"/>
                          </pic:cNvPicPr>
                        </pic:nvPicPr>
                        <pic:blipFill rotWithShape="1">
                          <a:blip r:embed="rId182"/>
                          <a:srcRect r="1867"/>
                          <a:stretch/>
                        </pic:blipFill>
                        <pic:spPr bwMode="auto">
                          <a:xfrm>
                            <a:off x="0" y="0"/>
                            <a:ext cx="5040000" cy="2239634"/>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708D8EDA" w14:textId="77777777">
        <w:tc>
          <w:tcPr>
            <w:tcW w:w="9016" w:type="dxa"/>
          </w:tcPr>
          <w:p w14:paraId="5383562B" w14:textId="77777777" w:rsidR="0045562B" w:rsidRPr="00FC71BE" w:rsidRDefault="0045562B">
            <w:pPr>
              <w:pStyle w:val="Figure"/>
              <w:rPr>
                <w:noProof w:val="0"/>
              </w:rPr>
            </w:pPr>
            <w:r w:rsidRPr="00FC71BE">
              <w:rPr>
                <w:noProof w:val="0"/>
              </w:rPr>
              <w:t>(a) Stationary</w:t>
            </w:r>
          </w:p>
        </w:tc>
      </w:tr>
      <w:tr w:rsidR="00FC71BE" w:rsidRPr="00FC71BE" w14:paraId="144960CE" w14:textId="77777777">
        <w:tc>
          <w:tcPr>
            <w:tcW w:w="9016" w:type="dxa"/>
          </w:tcPr>
          <w:p w14:paraId="01AE3C3B" w14:textId="77777777" w:rsidR="0045562B" w:rsidRPr="00FC71BE" w:rsidRDefault="0045562B">
            <w:pPr>
              <w:pStyle w:val="Figure"/>
              <w:rPr>
                <w:noProof w:val="0"/>
              </w:rPr>
            </w:pPr>
            <w:r w:rsidRPr="00FC71BE">
              <w:drawing>
                <wp:inline distT="0" distB="0" distL="0" distR="0" wp14:anchorId="166D7E95" wp14:editId="019DD6C0">
                  <wp:extent cx="5040000" cy="2212889"/>
                  <wp:effectExtent l="0" t="0" r="8255" b="0"/>
                  <wp:docPr id="990280480" name="Picture 990280480" descr="A computer screen with a rainbow of colors&#10;&#10;Description automatically generated">
                    <a:extLst xmlns:a="http://schemas.openxmlformats.org/drawingml/2006/main">
                      <a:ext uri="{FF2B5EF4-FFF2-40B4-BE49-F238E27FC236}">
                        <a16:creationId xmlns:a16="http://schemas.microsoft.com/office/drawing/2014/main" id="{74F41475-51B2-4EAF-51D2-48829A7594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80480" name="Picture 990280480" descr="A computer screen with a rainbow of colors&#10;&#10;Description automatically generated">
                            <a:extLst>
                              <a:ext uri="{FF2B5EF4-FFF2-40B4-BE49-F238E27FC236}">
                                <a16:creationId xmlns:a16="http://schemas.microsoft.com/office/drawing/2014/main" id="{74F41475-51B2-4EAF-51D2-48829A759480}"/>
                              </a:ext>
                            </a:extLst>
                          </pic:cNvPr>
                          <pic:cNvPicPr>
                            <a:picLocks noChangeAspect="1"/>
                          </pic:cNvPicPr>
                        </pic:nvPicPr>
                        <pic:blipFill>
                          <a:blip r:embed="rId183"/>
                          <a:stretch>
                            <a:fillRect/>
                          </a:stretch>
                        </pic:blipFill>
                        <pic:spPr>
                          <a:xfrm>
                            <a:off x="0" y="0"/>
                            <a:ext cx="5040000" cy="2212889"/>
                          </a:xfrm>
                          <a:prstGeom prst="rect">
                            <a:avLst/>
                          </a:prstGeom>
                        </pic:spPr>
                      </pic:pic>
                    </a:graphicData>
                  </a:graphic>
                </wp:inline>
              </w:drawing>
            </w:r>
          </w:p>
        </w:tc>
      </w:tr>
      <w:tr w:rsidR="00FC71BE" w:rsidRPr="00FC71BE" w14:paraId="29B97F63" w14:textId="77777777">
        <w:tc>
          <w:tcPr>
            <w:tcW w:w="9016" w:type="dxa"/>
          </w:tcPr>
          <w:p w14:paraId="5E13693F" w14:textId="77777777" w:rsidR="0045562B" w:rsidRPr="00FC71BE" w:rsidRDefault="0045562B">
            <w:pPr>
              <w:pStyle w:val="Figure"/>
              <w:rPr>
                <w:noProof w:val="0"/>
              </w:rPr>
            </w:pPr>
            <w:r w:rsidRPr="00FC71BE">
              <w:rPr>
                <w:noProof w:val="0"/>
              </w:rPr>
              <w:t>(b) Rotor speed: 1500rpm</w:t>
            </w:r>
          </w:p>
        </w:tc>
      </w:tr>
      <w:tr w:rsidR="00FC71BE" w:rsidRPr="00FC71BE" w14:paraId="052C0B11" w14:textId="77777777">
        <w:tc>
          <w:tcPr>
            <w:tcW w:w="9016" w:type="dxa"/>
          </w:tcPr>
          <w:p w14:paraId="4C58C936" w14:textId="77777777" w:rsidR="0045562B" w:rsidRPr="00FC71BE" w:rsidRDefault="0045562B">
            <w:pPr>
              <w:pStyle w:val="Figure"/>
              <w:rPr>
                <w:noProof w:val="0"/>
              </w:rPr>
            </w:pPr>
            <w:r w:rsidRPr="00FC71BE">
              <w:drawing>
                <wp:inline distT="0" distB="0" distL="0" distR="0" wp14:anchorId="1F443534" wp14:editId="16B9E13D">
                  <wp:extent cx="5040000" cy="2140296"/>
                  <wp:effectExtent l="0" t="0" r="8255" b="0"/>
                  <wp:docPr id="1192895758" name="Picture 1192895758" descr="A diagram of a heat wave&#10;&#10;Description automatically generated">
                    <a:extLst xmlns:a="http://schemas.openxmlformats.org/drawingml/2006/main">
                      <a:ext uri="{FF2B5EF4-FFF2-40B4-BE49-F238E27FC236}">
                        <a16:creationId xmlns:a16="http://schemas.microsoft.com/office/drawing/2014/main" id="{FEC0BA14-7C8C-BC81-A8A0-3920C0B646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895758" name="Picture 1192895758" descr="A diagram of a heat wave&#10;&#10;Description automatically generated">
                            <a:extLst>
                              <a:ext uri="{FF2B5EF4-FFF2-40B4-BE49-F238E27FC236}">
                                <a16:creationId xmlns:a16="http://schemas.microsoft.com/office/drawing/2014/main" id="{FEC0BA14-7C8C-BC81-A8A0-3920C0B64624}"/>
                              </a:ext>
                            </a:extLst>
                          </pic:cNvPr>
                          <pic:cNvPicPr>
                            <a:picLocks noChangeAspect="1"/>
                          </pic:cNvPicPr>
                        </pic:nvPicPr>
                        <pic:blipFill>
                          <a:blip r:embed="rId184"/>
                          <a:stretch>
                            <a:fillRect/>
                          </a:stretch>
                        </pic:blipFill>
                        <pic:spPr>
                          <a:xfrm>
                            <a:off x="0" y="0"/>
                            <a:ext cx="5040000" cy="2140296"/>
                          </a:xfrm>
                          <a:prstGeom prst="rect">
                            <a:avLst/>
                          </a:prstGeom>
                        </pic:spPr>
                      </pic:pic>
                    </a:graphicData>
                  </a:graphic>
                </wp:inline>
              </w:drawing>
            </w:r>
          </w:p>
        </w:tc>
      </w:tr>
      <w:tr w:rsidR="00FC71BE" w:rsidRPr="00FC71BE" w14:paraId="7A3C2FAB" w14:textId="77777777">
        <w:tc>
          <w:tcPr>
            <w:tcW w:w="9016" w:type="dxa"/>
          </w:tcPr>
          <w:p w14:paraId="05B1349D" w14:textId="77777777" w:rsidR="0045562B" w:rsidRPr="00FC71BE" w:rsidRDefault="0045562B">
            <w:pPr>
              <w:pStyle w:val="Figure"/>
              <w:rPr>
                <w:noProof w:val="0"/>
              </w:rPr>
            </w:pPr>
            <w:r w:rsidRPr="00FC71BE">
              <w:rPr>
                <w:noProof w:val="0"/>
              </w:rPr>
              <w:t>(c) Rotor speed: 3000rpm</w:t>
            </w:r>
          </w:p>
        </w:tc>
      </w:tr>
    </w:tbl>
    <w:p w14:paraId="71FD9BA5" w14:textId="518B76D2" w:rsidR="0045562B" w:rsidRPr="00FC71BE" w:rsidRDefault="0045562B" w:rsidP="0045562B">
      <w:pPr>
        <w:pStyle w:val="FigureTitle"/>
        <w:rPr>
          <w:iCs w:val="0"/>
        </w:rPr>
      </w:pPr>
      <w:bookmarkStart w:id="257" w:name="_Ref146216622"/>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30</w:t>
        </w:r>
      </w:fldSimple>
      <w:bookmarkEnd w:id="257"/>
      <w:r w:rsidRPr="00FC71BE">
        <w:t>. Air velocity streamline distributions for the non-modular machine</w:t>
      </w:r>
      <w:r w:rsidR="00490C75" w:rsidRPr="00FC71BE">
        <w:t xml:space="preserve"> (M8)</w:t>
      </w:r>
      <w:r w:rsidRPr="00FC71BE">
        <w:t xml:space="preserve"> with different rotor speeds.</w:t>
      </w:r>
      <w:r w:rsidRPr="00FC71BE">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6E6FCA89" w14:textId="77777777">
        <w:tc>
          <w:tcPr>
            <w:tcW w:w="9016" w:type="dxa"/>
          </w:tcPr>
          <w:p w14:paraId="2948F1C5" w14:textId="77777777" w:rsidR="0045562B" w:rsidRPr="00FC71BE" w:rsidRDefault="0045562B">
            <w:pPr>
              <w:pStyle w:val="Figure"/>
              <w:rPr>
                <w:noProof w:val="0"/>
              </w:rPr>
            </w:pPr>
            <w:r w:rsidRPr="00FC71BE">
              <w:lastRenderedPageBreak/>
              <w:drawing>
                <wp:inline distT="0" distB="0" distL="0" distR="0" wp14:anchorId="74029BDD" wp14:editId="23226669">
                  <wp:extent cx="4968000" cy="2432262"/>
                  <wp:effectExtent l="0" t="0" r="4445" b="0"/>
                  <wp:docPr id="1473344660" name="Picture 1473344660" descr="A diagram of a heat wave&#10;&#10;Description automatically generated">
                    <a:extLst xmlns:a="http://schemas.openxmlformats.org/drawingml/2006/main">
                      <a:ext uri="{FF2B5EF4-FFF2-40B4-BE49-F238E27FC236}">
                        <a16:creationId xmlns:a16="http://schemas.microsoft.com/office/drawing/2014/main" id="{FCF8D81C-9EBB-B85D-6800-834E8B41C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344660" name="Picture 1473344660" descr="A diagram of a heat wave&#10;&#10;Description automatically generated">
                            <a:extLst>
                              <a:ext uri="{FF2B5EF4-FFF2-40B4-BE49-F238E27FC236}">
                                <a16:creationId xmlns:a16="http://schemas.microsoft.com/office/drawing/2014/main" id="{FCF8D81C-9EBB-B85D-6800-834E8B41C24B}"/>
                              </a:ext>
                            </a:extLst>
                          </pic:cNvPr>
                          <pic:cNvPicPr>
                            <a:picLocks noChangeAspect="1"/>
                          </pic:cNvPicPr>
                        </pic:nvPicPr>
                        <pic:blipFill>
                          <a:blip r:embed="rId185"/>
                          <a:stretch>
                            <a:fillRect/>
                          </a:stretch>
                        </pic:blipFill>
                        <pic:spPr>
                          <a:xfrm>
                            <a:off x="0" y="0"/>
                            <a:ext cx="4968000" cy="2432262"/>
                          </a:xfrm>
                          <a:prstGeom prst="rect">
                            <a:avLst/>
                          </a:prstGeom>
                        </pic:spPr>
                      </pic:pic>
                    </a:graphicData>
                  </a:graphic>
                </wp:inline>
              </w:drawing>
            </w:r>
          </w:p>
        </w:tc>
      </w:tr>
      <w:tr w:rsidR="00FC71BE" w:rsidRPr="00FC71BE" w14:paraId="6282FC19" w14:textId="77777777">
        <w:tc>
          <w:tcPr>
            <w:tcW w:w="9016" w:type="dxa"/>
          </w:tcPr>
          <w:p w14:paraId="51B9DDE8" w14:textId="77777777" w:rsidR="0045562B" w:rsidRPr="00FC71BE" w:rsidRDefault="0045562B">
            <w:pPr>
              <w:pStyle w:val="Figure"/>
              <w:rPr>
                <w:noProof w:val="0"/>
              </w:rPr>
            </w:pPr>
            <w:r w:rsidRPr="00FC71BE">
              <w:rPr>
                <w:noProof w:val="0"/>
              </w:rPr>
              <w:t>(a) Stationary</w:t>
            </w:r>
          </w:p>
        </w:tc>
      </w:tr>
      <w:tr w:rsidR="00FC71BE" w:rsidRPr="00FC71BE" w14:paraId="7B62B899" w14:textId="77777777">
        <w:tc>
          <w:tcPr>
            <w:tcW w:w="9016" w:type="dxa"/>
          </w:tcPr>
          <w:p w14:paraId="560E3DB9" w14:textId="77777777" w:rsidR="0045562B" w:rsidRPr="00FC71BE" w:rsidRDefault="0045562B">
            <w:pPr>
              <w:pStyle w:val="Figure"/>
              <w:rPr>
                <w:noProof w:val="0"/>
              </w:rPr>
            </w:pPr>
            <w:r w:rsidRPr="00FC71BE">
              <w:drawing>
                <wp:inline distT="0" distB="0" distL="0" distR="0" wp14:anchorId="79BF826A" wp14:editId="42FB0628">
                  <wp:extent cx="4968000" cy="2410244"/>
                  <wp:effectExtent l="0" t="0" r="4445" b="0"/>
                  <wp:docPr id="595514157" name="Picture 595514157" descr="A diagram of a heat wave&#10;&#10;Description automatically generated">
                    <a:extLst xmlns:a="http://schemas.openxmlformats.org/drawingml/2006/main">
                      <a:ext uri="{FF2B5EF4-FFF2-40B4-BE49-F238E27FC236}">
                        <a16:creationId xmlns:a16="http://schemas.microsoft.com/office/drawing/2014/main" id="{9766C781-D2B2-9964-5109-4FC30E814C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14157" name="Picture 595514157" descr="A diagram of a heat wave&#10;&#10;Description automatically generated">
                            <a:extLst>
                              <a:ext uri="{FF2B5EF4-FFF2-40B4-BE49-F238E27FC236}">
                                <a16:creationId xmlns:a16="http://schemas.microsoft.com/office/drawing/2014/main" id="{9766C781-D2B2-9964-5109-4FC30E814C7E}"/>
                              </a:ext>
                            </a:extLst>
                          </pic:cNvPr>
                          <pic:cNvPicPr>
                            <a:picLocks noChangeAspect="1"/>
                          </pic:cNvPicPr>
                        </pic:nvPicPr>
                        <pic:blipFill>
                          <a:blip r:embed="rId186"/>
                          <a:stretch>
                            <a:fillRect/>
                          </a:stretch>
                        </pic:blipFill>
                        <pic:spPr>
                          <a:xfrm>
                            <a:off x="0" y="0"/>
                            <a:ext cx="4968000" cy="2410244"/>
                          </a:xfrm>
                          <a:prstGeom prst="rect">
                            <a:avLst/>
                          </a:prstGeom>
                        </pic:spPr>
                      </pic:pic>
                    </a:graphicData>
                  </a:graphic>
                </wp:inline>
              </w:drawing>
            </w:r>
          </w:p>
        </w:tc>
      </w:tr>
      <w:tr w:rsidR="00FC71BE" w:rsidRPr="00FC71BE" w14:paraId="537C0753" w14:textId="77777777">
        <w:tc>
          <w:tcPr>
            <w:tcW w:w="9016" w:type="dxa"/>
          </w:tcPr>
          <w:p w14:paraId="1550AFFC" w14:textId="77777777" w:rsidR="0045562B" w:rsidRPr="00FC71BE" w:rsidRDefault="0045562B">
            <w:pPr>
              <w:pStyle w:val="Figure"/>
              <w:rPr>
                <w:noProof w:val="0"/>
              </w:rPr>
            </w:pPr>
            <w:r w:rsidRPr="00FC71BE">
              <w:rPr>
                <w:noProof w:val="0"/>
              </w:rPr>
              <w:t>(b) Rotor speed: 1500rpm</w:t>
            </w:r>
          </w:p>
        </w:tc>
      </w:tr>
      <w:tr w:rsidR="00FC71BE" w:rsidRPr="00FC71BE" w14:paraId="0C31F586" w14:textId="77777777">
        <w:tc>
          <w:tcPr>
            <w:tcW w:w="9016" w:type="dxa"/>
          </w:tcPr>
          <w:p w14:paraId="5831DE82" w14:textId="77777777" w:rsidR="0045562B" w:rsidRPr="00FC71BE" w:rsidRDefault="0045562B">
            <w:pPr>
              <w:pStyle w:val="Figure"/>
              <w:rPr>
                <w:noProof w:val="0"/>
              </w:rPr>
            </w:pPr>
            <w:r w:rsidRPr="00FC71BE">
              <w:drawing>
                <wp:inline distT="0" distB="0" distL="0" distR="0" wp14:anchorId="33280ADE" wp14:editId="2235B46D">
                  <wp:extent cx="5040000" cy="2370910"/>
                  <wp:effectExtent l="0" t="0" r="8255" b="0"/>
                  <wp:docPr id="2036484545" name="Picture 2036484545" descr="A computer screen with a rainbow of colors&#10;&#10;Description automatically generated with medium confidence">
                    <a:extLst xmlns:a="http://schemas.openxmlformats.org/drawingml/2006/main">
                      <a:ext uri="{FF2B5EF4-FFF2-40B4-BE49-F238E27FC236}">
                        <a16:creationId xmlns:a16="http://schemas.microsoft.com/office/drawing/2014/main" id="{0C6A63B2-288B-F15E-65A3-DF7A563B42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84545" name="Picture 2036484545" descr="A computer screen with a rainbow of colors&#10;&#10;Description automatically generated with medium confidence">
                            <a:extLst>
                              <a:ext uri="{FF2B5EF4-FFF2-40B4-BE49-F238E27FC236}">
                                <a16:creationId xmlns:a16="http://schemas.microsoft.com/office/drawing/2014/main" id="{0C6A63B2-288B-F15E-65A3-DF7A563B426E}"/>
                              </a:ext>
                            </a:extLst>
                          </pic:cNvPr>
                          <pic:cNvPicPr>
                            <a:picLocks noChangeAspect="1"/>
                          </pic:cNvPicPr>
                        </pic:nvPicPr>
                        <pic:blipFill>
                          <a:blip r:embed="rId187"/>
                          <a:stretch>
                            <a:fillRect/>
                          </a:stretch>
                        </pic:blipFill>
                        <pic:spPr>
                          <a:xfrm>
                            <a:off x="0" y="0"/>
                            <a:ext cx="5040000" cy="2370910"/>
                          </a:xfrm>
                          <a:prstGeom prst="rect">
                            <a:avLst/>
                          </a:prstGeom>
                        </pic:spPr>
                      </pic:pic>
                    </a:graphicData>
                  </a:graphic>
                </wp:inline>
              </w:drawing>
            </w:r>
          </w:p>
        </w:tc>
      </w:tr>
      <w:tr w:rsidR="00FC71BE" w:rsidRPr="00FC71BE" w14:paraId="15C29E51" w14:textId="77777777">
        <w:tc>
          <w:tcPr>
            <w:tcW w:w="9016" w:type="dxa"/>
          </w:tcPr>
          <w:p w14:paraId="73A4D66A" w14:textId="77777777" w:rsidR="0045562B" w:rsidRPr="00FC71BE" w:rsidRDefault="0045562B">
            <w:pPr>
              <w:pStyle w:val="Figure"/>
              <w:rPr>
                <w:noProof w:val="0"/>
              </w:rPr>
            </w:pPr>
            <w:r w:rsidRPr="00FC71BE">
              <w:rPr>
                <w:noProof w:val="0"/>
              </w:rPr>
              <w:t>(c) Rotor speed: 3000rpm</w:t>
            </w:r>
          </w:p>
        </w:tc>
      </w:tr>
    </w:tbl>
    <w:p w14:paraId="66403C00" w14:textId="0B614B3A" w:rsidR="0045562B" w:rsidRPr="00FC71BE" w:rsidRDefault="0045562B" w:rsidP="0045562B">
      <w:pPr>
        <w:pStyle w:val="FigureTitle"/>
      </w:pPr>
      <w:bookmarkStart w:id="258" w:name="_Ref146187763"/>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31</w:t>
        </w:r>
      </w:fldSimple>
      <w:bookmarkEnd w:id="258"/>
      <w:r w:rsidRPr="00FC71BE">
        <w:t>. Air velocity streamline distributions of the modular machine</w:t>
      </w:r>
      <w:r w:rsidR="00490C75" w:rsidRPr="00FC71BE">
        <w:t xml:space="preserve"> (M7)</w:t>
      </w:r>
      <w:r w:rsidRPr="00FC71BE">
        <w:t xml:space="preserve"> with different rotor speeds. Red boxes highlight the air velocity streamlines in the flux gap regions.</w:t>
      </w:r>
      <w:r w:rsidRPr="00FC71BE">
        <w:br w:type="page"/>
      </w:r>
    </w:p>
    <w:p w14:paraId="494ABD24" w14:textId="0A88E45F" w:rsidR="0045562B" w:rsidRPr="00FC71BE" w:rsidRDefault="0045562B" w:rsidP="0045562B">
      <w:r w:rsidRPr="00FC71BE">
        <w:lastRenderedPageBreak/>
        <w:t xml:space="preserve">The air velocity vector distributions of the modular machine with different rotor speeds are also shown in </w:t>
      </w:r>
      <w:r w:rsidRPr="00FC71BE">
        <w:fldChar w:fldCharType="begin"/>
      </w:r>
      <w:r w:rsidRPr="00FC71BE">
        <w:instrText xml:space="preserve"> REF _Ref146558482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32</w:t>
      </w:r>
      <w:r w:rsidRPr="00FC71BE">
        <w:fldChar w:fldCharType="end"/>
      </w:r>
      <w:r w:rsidRPr="00FC71BE">
        <w:t>. When the rotor is stationary or the rotor speed is relatively low, e.g., 1500rpm, the ventilated air passes through the flux gaps. However, at a higher rotor speed, i.e., 3000rpm, a combining flow phenomenon occurs, resulting in backflows in the flux gaps regions and blocking the fluid that flows through the flux gaps. This is why air barely flows through the flux gaps when the rotor speed is 3000rpm.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FC71BE" w:rsidRPr="00FC71BE" w14:paraId="63D421AD" w14:textId="77777777">
        <w:tc>
          <w:tcPr>
            <w:tcW w:w="9016" w:type="dxa"/>
          </w:tcPr>
          <w:p w14:paraId="5346F28E" w14:textId="77777777" w:rsidR="0045562B" w:rsidRPr="00FC71BE" w:rsidRDefault="0045562B">
            <w:pPr>
              <w:pStyle w:val="Figure"/>
              <w:rPr>
                <w:noProof w:val="0"/>
              </w:rPr>
            </w:pPr>
            <w:r w:rsidRPr="00FC71BE">
              <w:drawing>
                <wp:inline distT="0" distB="0" distL="0" distR="0" wp14:anchorId="015781E8" wp14:editId="151F5FA0">
                  <wp:extent cx="5731510" cy="866140"/>
                  <wp:effectExtent l="0" t="0" r="2540" b="0"/>
                  <wp:docPr id="1949383359" name="Picture 1949383359" descr="A close-up of a keyboard&#10;&#10;Description automatically generated">
                    <a:extLst xmlns:a="http://schemas.openxmlformats.org/drawingml/2006/main">
                      <a:ext uri="{FF2B5EF4-FFF2-40B4-BE49-F238E27FC236}">
                        <a16:creationId xmlns:a16="http://schemas.microsoft.com/office/drawing/2014/main" id="{EDDFB2F4-D01F-A641-30D6-95FACC4F2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83359" name="Picture 1949383359" descr="A close-up of a keyboard&#10;&#10;Description automatically generated">
                            <a:extLst>
                              <a:ext uri="{FF2B5EF4-FFF2-40B4-BE49-F238E27FC236}">
                                <a16:creationId xmlns:a16="http://schemas.microsoft.com/office/drawing/2014/main" id="{EDDFB2F4-D01F-A641-30D6-95FACC4F25F7}"/>
                              </a:ext>
                            </a:extLst>
                          </pic:cNvPr>
                          <pic:cNvPicPr>
                            <a:picLocks noChangeAspect="1"/>
                          </pic:cNvPicPr>
                        </pic:nvPicPr>
                        <pic:blipFill>
                          <a:blip r:embed="rId188"/>
                          <a:stretch>
                            <a:fillRect/>
                          </a:stretch>
                        </pic:blipFill>
                        <pic:spPr>
                          <a:xfrm>
                            <a:off x="0" y="0"/>
                            <a:ext cx="5731510" cy="866140"/>
                          </a:xfrm>
                          <a:prstGeom prst="rect">
                            <a:avLst/>
                          </a:prstGeom>
                        </pic:spPr>
                      </pic:pic>
                    </a:graphicData>
                  </a:graphic>
                </wp:inline>
              </w:drawing>
            </w:r>
          </w:p>
        </w:tc>
      </w:tr>
      <w:tr w:rsidR="00FC71BE" w:rsidRPr="00FC71BE" w14:paraId="5AC4D7FB" w14:textId="77777777">
        <w:tc>
          <w:tcPr>
            <w:tcW w:w="9016" w:type="dxa"/>
          </w:tcPr>
          <w:p w14:paraId="5C1CDFDC" w14:textId="77777777" w:rsidR="0045562B" w:rsidRPr="00FC71BE" w:rsidRDefault="0045562B">
            <w:pPr>
              <w:pStyle w:val="Figure"/>
              <w:rPr>
                <w:noProof w:val="0"/>
              </w:rPr>
            </w:pPr>
            <w:r w:rsidRPr="00FC71BE">
              <w:rPr>
                <w:noProof w:val="0"/>
              </w:rPr>
              <w:t>(a) Stationary</w:t>
            </w:r>
          </w:p>
        </w:tc>
      </w:tr>
      <w:tr w:rsidR="00FC71BE" w:rsidRPr="00FC71BE" w14:paraId="7DC45A46" w14:textId="77777777">
        <w:tc>
          <w:tcPr>
            <w:tcW w:w="9016" w:type="dxa"/>
          </w:tcPr>
          <w:p w14:paraId="4C9EA8F3" w14:textId="77777777" w:rsidR="0045562B" w:rsidRPr="00FC71BE" w:rsidRDefault="0045562B">
            <w:pPr>
              <w:pStyle w:val="Figure"/>
              <w:rPr>
                <w:noProof w:val="0"/>
              </w:rPr>
            </w:pPr>
            <w:r w:rsidRPr="00FC71BE">
              <w:drawing>
                <wp:inline distT="0" distB="0" distL="0" distR="0" wp14:anchorId="6FA43565" wp14:editId="09A158D8">
                  <wp:extent cx="5731510" cy="777875"/>
                  <wp:effectExtent l="0" t="0" r="2540" b="3175"/>
                  <wp:docPr id="1881577229" name="Picture 1881577229" descr="A grey and black brick wall&#10;&#10;Description automatically generated with medium confidence">
                    <a:extLst xmlns:a="http://schemas.openxmlformats.org/drawingml/2006/main">
                      <a:ext uri="{FF2B5EF4-FFF2-40B4-BE49-F238E27FC236}">
                        <a16:creationId xmlns:a16="http://schemas.microsoft.com/office/drawing/2014/main" id="{3284B133-F585-D255-A471-45385A04F9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77229" name="Picture 1881577229" descr="A grey and black brick wall&#10;&#10;Description automatically generated with medium confidence">
                            <a:extLst>
                              <a:ext uri="{FF2B5EF4-FFF2-40B4-BE49-F238E27FC236}">
                                <a16:creationId xmlns:a16="http://schemas.microsoft.com/office/drawing/2014/main" id="{3284B133-F585-D255-A471-45385A04F973}"/>
                              </a:ext>
                            </a:extLst>
                          </pic:cNvPr>
                          <pic:cNvPicPr>
                            <a:picLocks noChangeAspect="1"/>
                          </pic:cNvPicPr>
                        </pic:nvPicPr>
                        <pic:blipFill>
                          <a:blip r:embed="rId189"/>
                          <a:stretch>
                            <a:fillRect/>
                          </a:stretch>
                        </pic:blipFill>
                        <pic:spPr>
                          <a:xfrm>
                            <a:off x="0" y="0"/>
                            <a:ext cx="5731510" cy="777875"/>
                          </a:xfrm>
                          <a:prstGeom prst="rect">
                            <a:avLst/>
                          </a:prstGeom>
                        </pic:spPr>
                      </pic:pic>
                    </a:graphicData>
                  </a:graphic>
                </wp:inline>
              </w:drawing>
            </w:r>
          </w:p>
        </w:tc>
      </w:tr>
      <w:tr w:rsidR="00FC71BE" w:rsidRPr="00FC71BE" w14:paraId="4B84A3D7" w14:textId="77777777">
        <w:tc>
          <w:tcPr>
            <w:tcW w:w="9016" w:type="dxa"/>
          </w:tcPr>
          <w:p w14:paraId="70C83420" w14:textId="77777777" w:rsidR="0045562B" w:rsidRPr="00FC71BE" w:rsidRDefault="0045562B">
            <w:pPr>
              <w:pStyle w:val="Figure"/>
              <w:rPr>
                <w:noProof w:val="0"/>
              </w:rPr>
            </w:pPr>
            <w:r w:rsidRPr="00FC71BE">
              <w:rPr>
                <w:noProof w:val="0"/>
              </w:rPr>
              <w:t>(b) Rotor speed: 1500rpm</w:t>
            </w:r>
          </w:p>
        </w:tc>
      </w:tr>
      <w:tr w:rsidR="00FC71BE" w:rsidRPr="00FC71BE" w14:paraId="7DFECFB0" w14:textId="77777777">
        <w:tc>
          <w:tcPr>
            <w:tcW w:w="9016" w:type="dxa"/>
          </w:tcPr>
          <w:p w14:paraId="3A8E3E75" w14:textId="77777777" w:rsidR="0045562B" w:rsidRPr="00FC71BE" w:rsidRDefault="0045562B">
            <w:pPr>
              <w:pStyle w:val="Figure"/>
              <w:rPr>
                <w:noProof w:val="0"/>
              </w:rPr>
            </w:pPr>
            <w:r w:rsidRPr="00FC71BE">
              <w:drawing>
                <wp:inline distT="0" distB="0" distL="0" distR="0" wp14:anchorId="0DDA1CFB" wp14:editId="039679BE">
                  <wp:extent cx="5731510" cy="808990"/>
                  <wp:effectExtent l="0" t="0" r="0" b="0"/>
                  <wp:docPr id="1336745813" name="Picture 1336745813" descr="A computer screen with red lines&#10;&#10;Description automatically generated">
                    <a:extLst xmlns:a="http://schemas.openxmlformats.org/drawingml/2006/main">
                      <a:ext uri="{FF2B5EF4-FFF2-40B4-BE49-F238E27FC236}">
                        <a16:creationId xmlns:a16="http://schemas.microsoft.com/office/drawing/2014/main" id="{A90D5BD9-B5EB-484F-ACB5-9F0AFB0EB6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45813" name="Picture 1336745813" descr="A computer screen with red lines&#10;&#10;Description automatically generated">
                            <a:extLst>
                              <a:ext uri="{FF2B5EF4-FFF2-40B4-BE49-F238E27FC236}">
                                <a16:creationId xmlns:a16="http://schemas.microsoft.com/office/drawing/2014/main" id="{A90D5BD9-B5EB-484F-ACB5-9F0AFB0EB6C2}"/>
                              </a:ext>
                            </a:extLst>
                          </pic:cNvPr>
                          <pic:cNvPicPr>
                            <a:picLocks noChangeAspect="1"/>
                          </pic:cNvPicPr>
                        </pic:nvPicPr>
                        <pic:blipFill>
                          <a:blip r:embed="rId190"/>
                          <a:stretch>
                            <a:fillRect/>
                          </a:stretch>
                        </pic:blipFill>
                        <pic:spPr>
                          <a:xfrm>
                            <a:off x="0" y="0"/>
                            <a:ext cx="5731510" cy="808990"/>
                          </a:xfrm>
                          <a:prstGeom prst="rect">
                            <a:avLst/>
                          </a:prstGeom>
                        </pic:spPr>
                      </pic:pic>
                    </a:graphicData>
                  </a:graphic>
                </wp:inline>
              </w:drawing>
            </w:r>
          </w:p>
        </w:tc>
      </w:tr>
      <w:tr w:rsidR="00FC71BE" w:rsidRPr="00FC71BE" w14:paraId="4DABDC04" w14:textId="77777777">
        <w:tc>
          <w:tcPr>
            <w:tcW w:w="9016" w:type="dxa"/>
          </w:tcPr>
          <w:p w14:paraId="33729431" w14:textId="77777777" w:rsidR="0045562B" w:rsidRPr="00FC71BE" w:rsidRDefault="0045562B">
            <w:pPr>
              <w:pStyle w:val="Figure"/>
              <w:rPr>
                <w:noProof w:val="0"/>
              </w:rPr>
            </w:pPr>
            <w:r w:rsidRPr="00FC71BE">
              <w:rPr>
                <w:noProof w:val="0"/>
              </w:rPr>
              <w:t>(c) Rotor speed: 3000rpm</w:t>
            </w:r>
          </w:p>
        </w:tc>
      </w:tr>
    </w:tbl>
    <w:p w14:paraId="5524527A" w14:textId="759E6DC8" w:rsidR="0045562B" w:rsidRPr="00FC71BE" w:rsidRDefault="0045562B" w:rsidP="0045562B">
      <w:pPr>
        <w:pStyle w:val="FigureTitle"/>
      </w:pPr>
      <w:bookmarkStart w:id="259" w:name="_Ref146558482"/>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32</w:t>
        </w:r>
      </w:fldSimple>
      <w:bookmarkEnd w:id="259"/>
      <w:r w:rsidRPr="00FC71BE">
        <w:t xml:space="preserve">. Air velocity vector distributions in flux gaps of the modular machine </w:t>
      </w:r>
      <w:r w:rsidR="00490C75" w:rsidRPr="00FC71BE">
        <w:t xml:space="preserve">(M7) </w:t>
      </w:r>
      <w:r w:rsidRPr="00FC71BE">
        <w:t>with different rotor speeds.</w:t>
      </w:r>
    </w:p>
    <w:p w14:paraId="6D7D0808" w14:textId="77777777" w:rsidR="0045562B" w:rsidRPr="00FC71BE" w:rsidRDefault="0045562B" w:rsidP="00B86C68">
      <w:pPr>
        <w:pStyle w:val="Heading2"/>
        <w:numPr>
          <w:ilvl w:val="1"/>
          <w:numId w:val="49"/>
        </w:numPr>
      </w:pPr>
      <w:bookmarkStart w:id="260" w:name="_Toc157695376"/>
      <w:r w:rsidRPr="00FC71BE">
        <w:t>Experimental Validation</w:t>
      </w:r>
      <w:bookmarkEnd w:id="260"/>
    </w:p>
    <w:p w14:paraId="70AA0274" w14:textId="77777777" w:rsidR="0045562B" w:rsidRPr="00FC71BE" w:rsidRDefault="0045562B" w:rsidP="0045562B">
      <w:r w:rsidRPr="00FC71BE">
        <w:t>A series of experiments have been designed to validate the simulations and predictions carried out in this chapter.</w:t>
      </w:r>
    </w:p>
    <w:p w14:paraId="452D1D8B" w14:textId="77777777" w:rsidR="0045562B" w:rsidRPr="00FC71BE" w:rsidRDefault="0045562B" w:rsidP="00B86C68">
      <w:pPr>
        <w:pStyle w:val="Heading3"/>
        <w:numPr>
          <w:ilvl w:val="2"/>
          <w:numId w:val="49"/>
        </w:numPr>
      </w:pPr>
      <w:bookmarkStart w:id="261" w:name="_Toc157695377"/>
      <w:r w:rsidRPr="00FC71BE">
        <w:t>Semi-flooded Oil Cooling System</w:t>
      </w:r>
      <w:bookmarkEnd w:id="261"/>
    </w:p>
    <w:p w14:paraId="6ED32BA5" w14:textId="6C9488DF" w:rsidR="0045562B" w:rsidRPr="00FC71BE" w:rsidRDefault="0045562B" w:rsidP="0045562B">
      <w:r w:rsidRPr="00FC71BE">
        <w:t xml:space="preserve">In order to validate the predictions in section </w:t>
      </w:r>
      <w:r w:rsidRPr="00FC71BE">
        <w:fldChar w:fldCharType="begin"/>
      </w:r>
      <w:r w:rsidRPr="00FC71BE">
        <w:instrText xml:space="preserve"> REF _Ref146102171 \r \h </w:instrText>
      </w:r>
      <w:r w:rsidRPr="00FC71BE">
        <w:fldChar w:fldCharType="separate"/>
      </w:r>
      <w:r w:rsidR="007E62C1" w:rsidRPr="00FC71BE">
        <w:t>4.3</w:t>
      </w:r>
      <w:r w:rsidRPr="00FC71BE">
        <w:fldChar w:fldCharType="end"/>
      </w:r>
      <w:r w:rsidRPr="00FC71BE">
        <w:t xml:space="preserve">, a motorette representing the modular machine has been manufactured and tested, as shown in </w:t>
      </w:r>
      <w:r w:rsidRPr="00FC71BE">
        <w:fldChar w:fldCharType="begin"/>
      </w:r>
      <w:r w:rsidRPr="00FC71BE">
        <w:instrText xml:space="preserve"> REF _Ref146190106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33</w:t>
      </w:r>
      <w:r w:rsidRPr="00FC71BE">
        <w:fldChar w:fldCharType="end"/>
      </w:r>
      <w:r w:rsidRPr="00FC71BE">
        <w:t xml:space="preserve">. The complete test rig is shown in </w:t>
      </w:r>
      <w:r w:rsidRPr="00FC71BE">
        <w:fldChar w:fldCharType="begin"/>
      </w:r>
      <w:r w:rsidRPr="00FC71BE">
        <w:instrText xml:space="preserve"> REF _Ref146195804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34</w:t>
      </w:r>
      <w:r w:rsidRPr="00FC71BE">
        <w:fldChar w:fldCharType="end"/>
      </w:r>
      <w:r w:rsidRPr="00FC71BE">
        <w:t>. The flux gap width is adjustable and can be changed</w:t>
      </w:r>
      <w:r w:rsidRPr="00FC71BE" w:rsidDel="00AA2562">
        <w:t xml:space="preserve"> </w:t>
      </w:r>
      <w:r w:rsidRPr="00FC71BE">
        <w:t xml:space="preserve">from 2mm to 8mm. The motorette is connected to a forced oil pump system, and the fluid parameters like fluid temperature, flow rate and pressure are continuously monitored in real-time according to ultrasonic fluid meter SU7200 manufactured by IFM Electronic. The temperature variation of the windings is also continuously monitored in real-time using Pico Technology temperature data logger. </w:t>
      </w:r>
    </w:p>
    <w:p w14:paraId="363E4417" w14:textId="77777777" w:rsidR="0045562B" w:rsidRPr="00FC71BE" w:rsidRDefault="0045562B" w:rsidP="0045562B">
      <w:pPr>
        <w:pStyle w:val="Figure"/>
        <w:rPr>
          <w:noProof w:val="0"/>
        </w:rPr>
      </w:pPr>
      <w:r w:rsidRPr="00FC71BE">
        <w:lastRenderedPageBreak/>
        <w:drawing>
          <wp:inline distT="0" distB="0" distL="0" distR="0" wp14:anchorId="3EC9161C" wp14:editId="7E72E6AF">
            <wp:extent cx="4531894" cy="2880000"/>
            <wp:effectExtent l="0" t="0" r="2540" b="0"/>
            <wp:docPr id="71317582" name="Picture 71317582" descr="A metal box with wires and wires&#10;&#10;Description automatically generated with medium confidence">
              <a:extLst xmlns:a="http://schemas.openxmlformats.org/drawingml/2006/main">
                <a:ext uri="{FF2B5EF4-FFF2-40B4-BE49-F238E27FC236}">
                  <a16:creationId xmlns:a16="http://schemas.microsoft.com/office/drawing/2014/main" id="{22B6B1BB-E552-5BDB-E583-698AF3A7D7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metal box with wires and wires&#10;&#10;Description automatically generated with medium confidence">
                      <a:extLst>
                        <a:ext uri="{FF2B5EF4-FFF2-40B4-BE49-F238E27FC236}">
                          <a16:creationId xmlns:a16="http://schemas.microsoft.com/office/drawing/2014/main" id="{22B6B1BB-E552-5BDB-E583-698AF3A7D725}"/>
                        </a:ext>
                      </a:extLst>
                    </pic:cNvPr>
                    <pic:cNvPicPr>
                      <a:picLocks noChangeAspect="1"/>
                    </pic:cNvPicPr>
                  </pic:nvPicPr>
                  <pic:blipFill>
                    <a:blip r:embed="rId191"/>
                    <a:stretch>
                      <a:fillRect/>
                    </a:stretch>
                  </pic:blipFill>
                  <pic:spPr>
                    <a:xfrm>
                      <a:off x="0" y="0"/>
                      <a:ext cx="4531894" cy="2880000"/>
                    </a:xfrm>
                    <a:prstGeom prst="rect">
                      <a:avLst/>
                    </a:prstGeom>
                  </pic:spPr>
                </pic:pic>
              </a:graphicData>
            </a:graphic>
          </wp:inline>
        </w:drawing>
      </w:r>
    </w:p>
    <w:p w14:paraId="42A2801C" w14:textId="77777777" w:rsidR="0045562B" w:rsidRPr="00FC71BE" w:rsidRDefault="0045562B" w:rsidP="0045562B">
      <w:pPr>
        <w:pStyle w:val="FigureTitle"/>
      </w:pPr>
      <w:bookmarkStart w:id="262" w:name="_Ref146190106"/>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33</w:t>
        </w:r>
      </w:fldSimple>
      <w:bookmarkEnd w:id="262"/>
      <w:r w:rsidRPr="00FC71BE">
        <w:t>. The motorette representing the modular machine.</w:t>
      </w:r>
    </w:p>
    <w:p w14:paraId="24EF6064" w14:textId="77777777" w:rsidR="0045562B" w:rsidRPr="00FC71BE" w:rsidRDefault="0045562B" w:rsidP="0045562B">
      <w:pPr>
        <w:pStyle w:val="Figure"/>
        <w:rPr>
          <w:noProof w:val="0"/>
        </w:rPr>
      </w:pPr>
      <w:r w:rsidRPr="00FC71BE">
        <w:drawing>
          <wp:inline distT="0" distB="0" distL="0" distR="0" wp14:anchorId="242C7AFF" wp14:editId="55C45A85">
            <wp:extent cx="5709073" cy="3420000"/>
            <wp:effectExtent l="0" t="0" r="6350" b="9525"/>
            <wp:docPr id="617408808" name="Picture 617408808" descr="A close-up of a machine&#10;&#10;Description automatically generated">
              <a:extLst xmlns:a="http://schemas.openxmlformats.org/drawingml/2006/main">
                <a:ext uri="{FF2B5EF4-FFF2-40B4-BE49-F238E27FC236}">
                  <a16:creationId xmlns:a16="http://schemas.microsoft.com/office/drawing/2014/main" id="{54B66DC0-1008-84BA-00AC-625ABE3CF8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close-up of a machine&#10;&#10;Description automatically generated">
                      <a:extLst>
                        <a:ext uri="{FF2B5EF4-FFF2-40B4-BE49-F238E27FC236}">
                          <a16:creationId xmlns:a16="http://schemas.microsoft.com/office/drawing/2014/main" id="{54B66DC0-1008-84BA-00AC-625ABE3CF863}"/>
                        </a:ext>
                      </a:extLst>
                    </pic:cNvPr>
                    <pic:cNvPicPr>
                      <a:picLocks noChangeAspect="1"/>
                    </pic:cNvPicPr>
                  </pic:nvPicPr>
                  <pic:blipFill>
                    <a:blip r:embed="rId192"/>
                    <a:stretch>
                      <a:fillRect/>
                    </a:stretch>
                  </pic:blipFill>
                  <pic:spPr>
                    <a:xfrm>
                      <a:off x="0" y="0"/>
                      <a:ext cx="5709073" cy="3420000"/>
                    </a:xfrm>
                    <a:prstGeom prst="rect">
                      <a:avLst/>
                    </a:prstGeom>
                  </pic:spPr>
                </pic:pic>
              </a:graphicData>
            </a:graphic>
          </wp:inline>
        </w:drawing>
      </w:r>
    </w:p>
    <w:p w14:paraId="1425EA72" w14:textId="77777777" w:rsidR="0045562B" w:rsidRPr="00FC71BE" w:rsidRDefault="0045562B" w:rsidP="0045562B">
      <w:pPr>
        <w:pStyle w:val="FigureTitle"/>
      </w:pPr>
      <w:bookmarkStart w:id="263" w:name="_Ref146195804"/>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34</w:t>
        </w:r>
      </w:fldSimple>
      <w:bookmarkEnd w:id="263"/>
      <w:r w:rsidRPr="00FC71BE">
        <w:t>. The test rig for semi-flooded oil cooling machine with stator modularity.</w:t>
      </w:r>
    </w:p>
    <w:p w14:paraId="6E45329F" w14:textId="074825C2" w:rsidR="0045562B" w:rsidRPr="00FC71BE" w:rsidRDefault="0045562B" w:rsidP="0045562B">
      <w:r w:rsidRPr="00FC71BE">
        <w:t xml:space="preserve">Coolant oils with different volumetric flow rates have been pumped into the motorette and the pressure losses for different flux gap widths have been simulated and measured, as shown in </w:t>
      </w:r>
      <w:r w:rsidRPr="00FC71BE">
        <w:fldChar w:fldCharType="begin"/>
      </w:r>
      <w:r w:rsidRPr="00FC71BE">
        <w:instrText xml:space="preserve"> REF _Ref146195940 \h </w:instrText>
      </w:r>
      <w:r w:rsidRPr="00FC71BE">
        <w:fldChar w:fldCharType="separate"/>
      </w:r>
      <w:r w:rsidR="007E62C1" w:rsidRPr="00FC71BE">
        <w:t xml:space="preserve">Fig. </w:t>
      </w:r>
      <w:r w:rsidR="007E62C1" w:rsidRPr="00FC71BE">
        <w:rPr>
          <w:noProof/>
        </w:rPr>
        <w:t>4</w:t>
      </w:r>
      <w:r w:rsidR="007E62C1" w:rsidRPr="00FC71BE">
        <w:t>.</w:t>
      </w:r>
      <w:r w:rsidR="007E62C1" w:rsidRPr="00FC71BE">
        <w:rPr>
          <w:noProof/>
        </w:rPr>
        <w:t>35</w:t>
      </w:r>
      <w:r w:rsidRPr="00FC71BE">
        <w:fldChar w:fldCharType="end"/>
      </w:r>
      <w:r w:rsidRPr="00FC71BE">
        <w:t xml:space="preserve">. Good agreement between the measured and simulated results can be observed. It is worth noting that, the oil properties, particularly the dynamic viscosity, are temperature dependent. They significantly affect the flow rate and pressure drop for the cooling system. Therefore, the pressure losses for all tested objects were measured when the coolant </w:t>
      </w:r>
      <w:r w:rsidRPr="00FC71BE">
        <w:lastRenderedPageBreak/>
        <w:t>temperature is 20</w:t>
      </w:r>
      <m:oMath>
        <m:r>
          <w:rPr>
            <w:rFonts w:ascii="Cambria Math" w:hAnsi="Cambria Math"/>
          </w:rPr>
          <m:t>℃</m:t>
        </m:r>
      </m:oMath>
      <w:r w:rsidRPr="00FC71BE">
        <w:t>. The results also confirmed that the increase of flux gap width results in lower system flow resistance, therefore lower pressure losses.</w:t>
      </w:r>
    </w:p>
    <w:p w14:paraId="6FB3E649" w14:textId="77777777" w:rsidR="0045562B" w:rsidRPr="00FC71BE" w:rsidRDefault="0045562B" w:rsidP="0045562B">
      <w:pPr>
        <w:pStyle w:val="Figure"/>
        <w:rPr>
          <w:noProof w:val="0"/>
        </w:rPr>
      </w:pPr>
      <w:r w:rsidRPr="00FC71BE">
        <w:drawing>
          <wp:inline distT="0" distB="0" distL="0" distR="0" wp14:anchorId="4F83481C" wp14:editId="7A723EB9">
            <wp:extent cx="4363200" cy="2615213"/>
            <wp:effectExtent l="0" t="0" r="0" b="0"/>
            <wp:docPr id="243091129" name="Picture 243091129" descr="A graph of different colored lines&#10;&#10;Description automatically generated">
              <a:extLst xmlns:a="http://schemas.openxmlformats.org/drawingml/2006/main">
                <a:ext uri="{FF2B5EF4-FFF2-40B4-BE49-F238E27FC236}">
                  <a16:creationId xmlns:a16="http://schemas.microsoft.com/office/drawing/2014/main" id="{395ED9BD-C79C-5BEB-A061-4FE285CE5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91129" name="Picture 243091129" descr="A graph of different colored lines&#10;&#10;Description automatically generated">
                      <a:extLst>
                        <a:ext uri="{FF2B5EF4-FFF2-40B4-BE49-F238E27FC236}">
                          <a16:creationId xmlns:a16="http://schemas.microsoft.com/office/drawing/2014/main" id="{395ED9BD-C79C-5BEB-A061-4FE285CE5AE0}"/>
                        </a:ext>
                      </a:extLst>
                    </pic:cNvPr>
                    <pic:cNvPicPr>
                      <a:picLocks noChangeAspect="1"/>
                    </pic:cNvPicPr>
                  </pic:nvPicPr>
                  <pic:blipFill>
                    <a:blip r:embed="rId193"/>
                    <a:stretch>
                      <a:fillRect/>
                    </a:stretch>
                  </pic:blipFill>
                  <pic:spPr>
                    <a:xfrm>
                      <a:off x="0" y="0"/>
                      <a:ext cx="4363200" cy="2615213"/>
                    </a:xfrm>
                    <a:prstGeom prst="rect">
                      <a:avLst/>
                    </a:prstGeom>
                  </pic:spPr>
                </pic:pic>
              </a:graphicData>
            </a:graphic>
          </wp:inline>
        </w:drawing>
      </w:r>
    </w:p>
    <w:p w14:paraId="63966758" w14:textId="09D6FB0E" w:rsidR="0045562B" w:rsidRPr="00FC71BE" w:rsidRDefault="0045562B" w:rsidP="0045562B">
      <w:pPr>
        <w:pStyle w:val="FigureTitle"/>
      </w:pPr>
      <w:bookmarkStart w:id="264" w:name="_Ref146195940"/>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35</w:t>
        </w:r>
      </w:fldSimple>
      <w:bookmarkEnd w:id="264"/>
      <w:r w:rsidRPr="00FC71BE">
        <w:t>. Pressure losses of the whole cooling system for the motorette with different flux gap widths. It is worth noting that, the solid lines represent the simulated results, and the dots represent the experimental results.</w:t>
      </w:r>
    </w:p>
    <w:p w14:paraId="1C07794E" w14:textId="77777777" w:rsidR="0045562B" w:rsidRPr="00FC71BE" w:rsidRDefault="0045562B" w:rsidP="0045562B">
      <w:r w:rsidRPr="00FC71BE">
        <w:t>The winding temperature variations for the motorette with 2mm and 8mm flux gaps have also been measured to compare</w:t>
      </w:r>
      <w:r w:rsidRPr="00FC71BE" w:rsidDel="00EE6C20">
        <w:t xml:space="preserve"> </w:t>
      </w:r>
      <w:r w:rsidRPr="00FC71BE">
        <w:t>against the simulation results. To fully understand the influence of the flux gaps, the cooling system was operated at the same volumetric flow rate of 5L/min. The losses for the tests were generated by a dc power supply with a constant current of 10A. It is worth noting that the dynamic viscosity of the coolant changes over time due to temperature rise, causing variations in both the volumetric flow rate and the total pressure loss during the experiments. The test rig operated only until the coolant temperature reached 30</w:t>
      </w:r>
      <m:oMath>
        <m:r>
          <w:rPr>
            <w:rFonts w:ascii="Cambria Math" w:hAnsi="Cambria Math"/>
          </w:rPr>
          <m:t>℃</m:t>
        </m:r>
      </m:oMath>
      <w:r w:rsidRPr="00FC71BE">
        <w:t>, and the properties (including dynamic viscosity and thermal conductivity) of the oil are specified at a reference temperature of 30</w:t>
      </w:r>
      <m:oMath>
        <m:r>
          <w:rPr>
            <w:rFonts w:ascii="Cambria Math" w:hAnsi="Cambria Math"/>
          </w:rPr>
          <m:t xml:space="preserve">℃ </m:t>
        </m:r>
      </m:oMath>
      <w:r w:rsidRPr="00FC71BE">
        <w:t xml:space="preserve"> for the simulations. It is found that, the measured and simulated temperatures did not match closely, but similar temperature differences were noted for different flux gap widths. A lower winding temperature was found for the motorette with narrower flux gaps, attributed to the faster coolant velocity achieved in these flux gaps. It is worth noting that, the advantage of wider flux gaps was not fully achieved in this experiment. This is because the majority of the pressure loss occurs in other components of the cooling system, such as</w:t>
      </w:r>
      <w:r w:rsidRPr="00FC71BE" w:rsidDel="0068793F">
        <w:t xml:space="preserve"> </w:t>
      </w:r>
      <w:r w:rsidRPr="00FC71BE">
        <w:t xml:space="preserve">pipe connections, bent pipes, fluid meters, and heat exchangers, rather than in the motorette itself. Consequently, the reduced flow resistance in the motorette was not as significant as anticipated. However, in practice, the majority of the pressure loss should ideally </w:t>
      </w:r>
      <w:r w:rsidRPr="00FC71BE" w:rsidDel="00A41D67">
        <w:t>be</w:t>
      </w:r>
      <w:r w:rsidRPr="00FC71BE">
        <w:t xml:space="preserve"> situated within the </w:t>
      </w:r>
      <w:r w:rsidRPr="00FC71BE">
        <w:lastRenderedPageBreak/>
        <w:t>electrical machines to ensure efficient cooling and cost effectiveness. In such cases, the benefits of flux gaps in enhancing machine thermal performance would be more pronounced.</w:t>
      </w:r>
    </w:p>
    <w:p w14:paraId="65C5731C" w14:textId="77777777" w:rsidR="0045562B" w:rsidRPr="00FC71BE" w:rsidRDefault="0045562B" w:rsidP="0045562B">
      <w:pPr>
        <w:pStyle w:val="Figure"/>
        <w:rPr>
          <w:noProof w:val="0"/>
        </w:rPr>
      </w:pPr>
      <w:r w:rsidRPr="00FC71BE">
        <w:drawing>
          <wp:inline distT="0" distB="0" distL="0" distR="0" wp14:anchorId="0BDD3646" wp14:editId="4077C0AB">
            <wp:extent cx="4363200" cy="2619564"/>
            <wp:effectExtent l="0" t="0" r="0" b="9525"/>
            <wp:docPr id="1836908285" name="Picture 1836908285" descr="A graph of different sizes an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08285" name="Picture 5" descr="A graph of different sizes and colors&#10;&#10;Description automatically generate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63200" cy="2619564"/>
                    </a:xfrm>
                    <a:prstGeom prst="rect">
                      <a:avLst/>
                    </a:prstGeom>
                    <a:noFill/>
                    <a:ln>
                      <a:noFill/>
                    </a:ln>
                  </pic:spPr>
                </pic:pic>
              </a:graphicData>
            </a:graphic>
          </wp:inline>
        </w:drawing>
      </w:r>
    </w:p>
    <w:p w14:paraId="62DDE7D7" w14:textId="5DF47598" w:rsidR="0045562B" w:rsidRPr="00FC71BE" w:rsidRDefault="0045562B" w:rsidP="0045562B">
      <w:pPr>
        <w:pStyle w:val="FigureTitle"/>
      </w:pPr>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36</w:t>
        </w:r>
      </w:fldSimple>
      <w:r w:rsidRPr="00FC71BE">
        <w:t>. Simulated and measured winding temperatures of the motorette with 2mm and 8mm flux gaps.</w:t>
      </w:r>
    </w:p>
    <w:p w14:paraId="761407CE" w14:textId="77777777" w:rsidR="0045562B" w:rsidRPr="00FC71BE" w:rsidRDefault="0045562B" w:rsidP="00B86C68">
      <w:pPr>
        <w:pStyle w:val="Heading3"/>
        <w:numPr>
          <w:ilvl w:val="2"/>
          <w:numId w:val="49"/>
        </w:numPr>
      </w:pPr>
      <w:bookmarkStart w:id="265" w:name="_Toc157695378"/>
      <w:r w:rsidRPr="00FC71BE">
        <w:t>Ventilation Cooling</w:t>
      </w:r>
      <w:bookmarkEnd w:id="265"/>
    </w:p>
    <w:p w14:paraId="20725E5D" w14:textId="74A2C658" w:rsidR="006C5E48" w:rsidRPr="00FC71BE" w:rsidRDefault="00782218" w:rsidP="009F1FC5">
      <w:r w:rsidRPr="00FC71BE">
        <w:t>T</w:t>
      </w:r>
      <w:r w:rsidR="009F1FC5" w:rsidRPr="00FC71BE">
        <w:t xml:space="preserve">o validate the predictions in section </w:t>
      </w:r>
      <w:r w:rsidR="009F1FC5" w:rsidRPr="00FC71BE">
        <w:fldChar w:fldCharType="begin"/>
      </w:r>
      <w:r w:rsidR="009F1FC5" w:rsidRPr="00FC71BE">
        <w:instrText xml:space="preserve"> REF _Ref146102171 \r \h  \* MERGEFORMAT </w:instrText>
      </w:r>
      <w:r w:rsidR="009F1FC5" w:rsidRPr="00FC71BE">
        <w:fldChar w:fldCharType="separate"/>
      </w:r>
      <w:r w:rsidR="007E62C1" w:rsidRPr="00FC71BE">
        <w:t>4.3</w:t>
      </w:r>
      <w:r w:rsidR="009F1FC5" w:rsidRPr="00FC71BE">
        <w:fldChar w:fldCharType="end"/>
      </w:r>
      <w:r w:rsidR="009F1FC5" w:rsidRPr="00FC71BE">
        <w:t>, a</w:t>
      </w:r>
      <w:r w:rsidR="006B74FD" w:rsidRPr="00FC71BE">
        <w:t xml:space="preserve"> </w:t>
      </w:r>
      <w:r w:rsidR="009F1FC5" w:rsidRPr="00FC71BE">
        <w:t>modular</w:t>
      </w:r>
      <w:r w:rsidR="006B74FD" w:rsidRPr="00FC71BE">
        <w:t xml:space="preserve"> SPM</w:t>
      </w:r>
      <w:r w:rsidR="009F1FC5" w:rsidRPr="00FC71BE">
        <w:t xml:space="preserve"> machine with 2mm flux gaps</w:t>
      </w:r>
      <w:r w:rsidR="00FB4BCD" w:rsidRPr="00FC71BE">
        <w:t>, referred to as ‘Modular 1’</w:t>
      </w:r>
      <w:r w:rsidR="000466F8" w:rsidRPr="00FC71BE">
        <w:t xml:space="preserve"> (as shown in </w:t>
      </w:r>
      <w:r w:rsidR="000466F8" w:rsidRPr="00FC71BE">
        <w:fldChar w:fldCharType="begin"/>
      </w:r>
      <w:r w:rsidR="000466F8" w:rsidRPr="00FC71BE">
        <w:instrText xml:space="preserve"> REF _Ref149559934 \h </w:instrText>
      </w:r>
      <w:r w:rsidR="000466F8" w:rsidRPr="00FC71BE">
        <w:fldChar w:fldCharType="separate"/>
      </w:r>
      <w:r w:rsidR="007E62C1" w:rsidRPr="00FC71BE">
        <w:t xml:space="preserve">Fig. </w:t>
      </w:r>
      <w:r w:rsidR="007E62C1" w:rsidRPr="00FC71BE">
        <w:rPr>
          <w:noProof/>
        </w:rPr>
        <w:t>4</w:t>
      </w:r>
      <w:r w:rsidR="007E62C1" w:rsidRPr="00FC71BE">
        <w:t>.</w:t>
      </w:r>
      <w:r w:rsidR="007E62C1" w:rsidRPr="00FC71BE">
        <w:rPr>
          <w:noProof/>
        </w:rPr>
        <w:t>37</w:t>
      </w:r>
      <w:r w:rsidR="000466F8" w:rsidRPr="00FC71BE">
        <w:fldChar w:fldCharType="end"/>
      </w:r>
      <w:r w:rsidR="000466F8" w:rsidRPr="00FC71BE">
        <w:t>)</w:t>
      </w:r>
      <w:r w:rsidR="00FB4BCD" w:rsidRPr="00FC71BE">
        <w:t>,</w:t>
      </w:r>
      <w:r w:rsidR="009F1FC5" w:rsidRPr="00FC71BE">
        <w:t xml:space="preserve"> </w:t>
      </w:r>
      <w:r w:rsidR="000466F8" w:rsidRPr="00FC71BE">
        <w:t>was</w:t>
      </w:r>
      <w:r w:rsidR="009F1FC5" w:rsidRPr="00FC71BE">
        <w:t xml:space="preserve"> </w:t>
      </w:r>
      <w:r w:rsidR="000466F8" w:rsidRPr="00FC71BE">
        <w:t>fabricated and subjected to testing</w:t>
      </w:r>
      <w:r w:rsidR="009F1FC5" w:rsidRPr="00FC71BE">
        <w:t xml:space="preserve">. The </w:t>
      </w:r>
      <w:r w:rsidR="000B0064" w:rsidRPr="00FC71BE">
        <w:t>comprehensive specifications of this machine</w:t>
      </w:r>
      <w:r w:rsidR="009F1FC5" w:rsidRPr="00FC71BE">
        <w:t xml:space="preserve"> are listed in </w:t>
      </w:r>
      <w:r w:rsidR="009F1FC5" w:rsidRPr="00FC71BE">
        <w:fldChar w:fldCharType="begin"/>
      </w:r>
      <w:r w:rsidR="009F1FC5" w:rsidRPr="00FC71BE">
        <w:instrText xml:space="preserve"> REF _Ref139891933 \h </w:instrText>
      </w:r>
      <w:r w:rsidR="009F1FC5" w:rsidRPr="00FC71BE">
        <w:fldChar w:fldCharType="separate"/>
      </w:r>
      <w:r w:rsidR="007E62C1" w:rsidRPr="00FC71BE">
        <w:t xml:space="preserve">Table </w:t>
      </w:r>
      <w:r w:rsidR="007E62C1" w:rsidRPr="00FC71BE">
        <w:rPr>
          <w:noProof/>
        </w:rPr>
        <w:t>2</w:t>
      </w:r>
      <w:r w:rsidR="007E62C1" w:rsidRPr="00FC71BE">
        <w:t>.</w:t>
      </w:r>
      <w:r w:rsidR="007E62C1" w:rsidRPr="00FC71BE">
        <w:rPr>
          <w:noProof/>
        </w:rPr>
        <w:t>7</w:t>
      </w:r>
      <w:r w:rsidR="009F1FC5" w:rsidRPr="00FC71BE">
        <w:fldChar w:fldCharType="end"/>
      </w:r>
      <w:r w:rsidR="009F1FC5" w:rsidRPr="00FC71BE">
        <w:t>.</w:t>
      </w:r>
      <w:r w:rsidR="00A454A9" w:rsidRPr="00FC71BE">
        <w:t xml:space="preserve"> </w:t>
      </w:r>
      <w:r w:rsidR="006A452C" w:rsidRPr="00FC71BE">
        <w:t>To conduct a comparative analysis,</w:t>
      </w:r>
      <w:r w:rsidR="00A454A9" w:rsidRPr="00FC71BE">
        <w:t xml:space="preserve"> its nonmodular counterpart</w:t>
      </w:r>
      <w:r w:rsidR="006A452C" w:rsidRPr="00FC71BE">
        <w:t xml:space="preserve">, </w:t>
      </w:r>
      <w:r w:rsidR="00BB204B" w:rsidRPr="00FC71BE">
        <w:t xml:space="preserve">named ‘Nonmodular’ </w:t>
      </w:r>
      <w:r w:rsidR="006A452C" w:rsidRPr="00FC71BE">
        <w:t>(</w:t>
      </w:r>
      <w:r w:rsidR="001112C8" w:rsidRPr="00FC71BE">
        <w:t xml:space="preserve">shown in </w:t>
      </w:r>
      <w:r w:rsidR="003E76B9" w:rsidRPr="00FC71BE">
        <w:fldChar w:fldCharType="begin"/>
      </w:r>
      <w:r w:rsidR="003E76B9" w:rsidRPr="00FC71BE">
        <w:instrText xml:space="preserve"> REF _Ref149563338 \h </w:instrText>
      </w:r>
      <w:r w:rsidR="003E76B9" w:rsidRPr="00FC71BE">
        <w:fldChar w:fldCharType="separate"/>
      </w:r>
      <w:r w:rsidR="007E62C1" w:rsidRPr="00FC71BE">
        <w:t xml:space="preserve">Fig. </w:t>
      </w:r>
      <w:r w:rsidR="007E62C1" w:rsidRPr="00FC71BE">
        <w:rPr>
          <w:noProof/>
        </w:rPr>
        <w:t>4</w:t>
      </w:r>
      <w:r w:rsidR="007E62C1" w:rsidRPr="00FC71BE">
        <w:t>.</w:t>
      </w:r>
      <w:r w:rsidR="007E62C1" w:rsidRPr="00FC71BE">
        <w:rPr>
          <w:noProof/>
        </w:rPr>
        <w:t>38</w:t>
      </w:r>
      <w:r w:rsidR="003E76B9" w:rsidRPr="00FC71BE">
        <w:fldChar w:fldCharType="end"/>
      </w:r>
      <w:r w:rsidR="001112C8" w:rsidRPr="00FC71BE">
        <w:t xml:space="preserve">) </w:t>
      </w:r>
      <w:r w:rsidR="006A452C" w:rsidRPr="00FC71BE">
        <w:t>wa</w:t>
      </w:r>
      <w:r w:rsidR="007265D3" w:rsidRPr="00FC71BE">
        <w:t>s also</w:t>
      </w:r>
      <w:r w:rsidR="00F71CD6" w:rsidRPr="00FC71BE">
        <w:t xml:space="preserve"> tested </w:t>
      </w:r>
      <w:r w:rsidR="001112C8" w:rsidRPr="00FC71BE">
        <w:t xml:space="preserve">to </w:t>
      </w:r>
      <w:r w:rsidR="006C5E48" w:rsidRPr="00FC71BE">
        <w:t>ascertain</w:t>
      </w:r>
      <w:r w:rsidR="001112C8" w:rsidRPr="00FC71BE">
        <w:t xml:space="preserve"> the influence of flux gaps on machine cooling.</w:t>
      </w:r>
    </w:p>
    <w:p w14:paraId="2C3E3792" w14:textId="0A8462C3" w:rsidR="009F1FC5" w:rsidRPr="00FC71BE" w:rsidRDefault="003E76B9" w:rsidP="009F1FC5">
      <w:r w:rsidRPr="00FC71BE">
        <w:t xml:space="preserve">Sleeves </w:t>
      </w:r>
      <w:r w:rsidR="00297590" w:rsidRPr="00FC71BE">
        <w:t>were</w:t>
      </w:r>
      <w:r w:rsidRPr="00FC71BE">
        <w:t xml:space="preserve"> inserted into the flux gaps to </w:t>
      </w:r>
      <w:r w:rsidR="00FD7162" w:rsidRPr="00FC71BE">
        <w:t xml:space="preserve">impede the ingress of air into </w:t>
      </w:r>
      <w:r w:rsidRPr="00FC71BE">
        <w:t>the flux gaps.</w:t>
      </w:r>
      <w:r w:rsidR="00221C9A" w:rsidRPr="00FC71BE">
        <w:t xml:space="preserve"> Ventilation cooling experiments were performed using </w:t>
      </w:r>
      <w:r w:rsidR="00BE7883" w:rsidRPr="00FC71BE">
        <w:t>endcap</w:t>
      </w:r>
      <w:r w:rsidR="00C67277" w:rsidRPr="00FC71BE">
        <w:t>s,</w:t>
      </w:r>
      <w:r w:rsidR="00BE7883" w:rsidRPr="00FC71BE">
        <w:t xml:space="preserve"> </w:t>
      </w:r>
      <w:r w:rsidR="00C67277" w:rsidRPr="00FC71BE">
        <w:t>as</w:t>
      </w:r>
      <w:r w:rsidR="00BE7883" w:rsidRPr="00FC71BE">
        <w:t xml:space="preserve"> shown in </w:t>
      </w:r>
      <w:r w:rsidR="00BE7883" w:rsidRPr="00FC71BE">
        <w:fldChar w:fldCharType="begin"/>
      </w:r>
      <w:r w:rsidR="00BE7883" w:rsidRPr="00FC71BE">
        <w:instrText xml:space="preserve"> REF _Ref149563569 \h </w:instrText>
      </w:r>
      <w:r w:rsidR="00BE7883" w:rsidRPr="00FC71BE">
        <w:fldChar w:fldCharType="separate"/>
      </w:r>
      <w:r w:rsidR="007E62C1" w:rsidRPr="00FC71BE">
        <w:t xml:space="preserve">Fig. </w:t>
      </w:r>
      <w:r w:rsidR="007E62C1" w:rsidRPr="00FC71BE">
        <w:rPr>
          <w:noProof/>
        </w:rPr>
        <w:t>4</w:t>
      </w:r>
      <w:r w:rsidR="007E62C1" w:rsidRPr="00FC71BE">
        <w:t>.</w:t>
      </w:r>
      <w:r w:rsidR="007E62C1" w:rsidRPr="00FC71BE">
        <w:rPr>
          <w:noProof/>
        </w:rPr>
        <w:t>39</w:t>
      </w:r>
      <w:r w:rsidR="00BE7883" w:rsidRPr="00FC71BE">
        <w:fldChar w:fldCharType="end"/>
      </w:r>
      <w:r w:rsidR="00BE7883" w:rsidRPr="00FC71BE">
        <w:t xml:space="preserve"> (a)</w:t>
      </w:r>
      <w:r w:rsidR="00C67277" w:rsidRPr="00FC71BE">
        <w:t xml:space="preserve">, </w:t>
      </w:r>
      <w:r w:rsidR="00221C9A" w:rsidRPr="00FC71BE">
        <w:t xml:space="preserve">equipped </w:t>
      </w:r>
      <w:r w:rsidR="00C67277" w:rsidRPr="00FC71BE">
        <w:t>with 6 trapezoidal inlet and outlet holes</w:t>
      </w:r>
      <w:r w:rsidR="0053420B" w:rsidRPr="00FC71BE">
        <w:t xml:space="preserve">. </w:t>
      </w:r>
      <w:r w:rsidR="00325163" w:rsidRPr="00FC71BE">
        <w:t>F</w:t>
      </w:r>
      <w:r w:rsidR="00874612" w:rsidRPr="00FC71BE">
        <w:t xml:space="preserve">urthermore, </w:t>
      </w:r>
      <w:r w:rsidR="00006DC1" w:rsidRPr="00FC71BE">
        <w:t>to evaluate</w:t>
      </w:r>
      <w:r w:rsidR="00874612" w:rsidRPr="00FC71BE">
        <w:t xml:space="preserve"> </w:t>
      </w:r>
      <w:r w:rsidR="0007543C" w:rsidRPr="00FC71BE">
        <w:t xml:space="preserve">the influence of </w:t>
      </w:r>
      <w:r w:rsidR="00EA3698" w:rsidRPr="00FC71BE">
        <w:t>inlet and outlet</w:t>
      </w:r>
      <w:r w:rsidR="005504DF" w:rsidRPr="00FC71BE">
        <w:t xml:space="preserve"> areas</w:t>
      </w:r>
      <w:r w:rsidR="00EA3698" w:rsidRPr="00FC71BE">
        <w:t xml:space="preserve"> on machine cooling, </w:t>
      </w:r>
      <w:r w:rsidR="00B302FD" w:rsidRPr="00FC71BE">
        <w:t>two</w:t>
      </w:r>
      <w:r w:rsidR="00A3748F" w:rsidRPr="00FC71BE">
        <w:t xml:space="preserve"> </w:t>
      </w:r>
      <w:r w:rsidR="00B302FD" w:rsidRPr="00FC71BE">
        <w:t xml:space="preserve">plastic </w:t>
      </w:r>
      <w:r w:rsidR="00A3748F" w:rsidRPr="00FC71BE">
        <w:t>sheet</w:t>
      </w:r>
      <w:r w:rsidR="00B302FD" w:rsidRPr="00FC71BE">
        <w:t>s</w:t>
      </w:r>
      <w:r w:rsidR="00A3748F" w:rsidRPr="00FC71BE">
        <w:t xml:space="preserve"> with smal</w:t>
      </w:r>
      <w:r w:rsidR="005712B7" w:rsidRPr="00FC71BE">
        <w:t>ler</w:t>
      </w:r>
      <w:r w:rsidR="005504DF" w:rsidRPr="00FC71BE">
        <w:t>,</w:t>
      </w:r>
      <w:r w:rsidR="00A3748F" w:rsidRPr="00FC71BE">
        <w:t xml:space="preserve"> </w:t>
      </w:r>
      <w:r w:rsidR="00143C07" w:rsidRPr="00FC71BE">
        <w:t xml:space="preserve">round-shaped </w:t>
      </w:r>
      <w:r w:rsidR="002862A0" w:rsidRPr="00FC71BE">
        <w:t>holes</w:t>
      </w:r>
      <w:r w:rsidR="00143C07" w:rsidRPr="00FC71BE">
        <w:t xml:space="preserve"> </w:t>
      </w:r>
      <w:r w:rsidR="005504DF" w:rsidRPr="00FC71BE">
        <w:t>was</w:t>
      </w:r>
      <w:r w:rsidR="00A3748F" w:rsidRPr="00FC71BE">
        <w:t xml:space="preserve"> </w:t>
      </w:r>
      <w:r w:rsidR="00C421F0" w:rsidRPr="00FC71BE">
        <w:t>devised</w:t>
      </w:r>
      <w:r w:rsidR="00A3748F" w:rsidRPr="00FC71BE">
        <w:t xml:space="preserve"> </w:t>
      </w:r>
      <w:r w:rsidR="00841FAE" w:rsidRPr="00FC71BE">
        <w:t>to cover</w:t>
      </w:r>
      <w:r w:rsidR="002862A0" w:rsidRPr="00FC71BE">
        <w:t xml:space="preserve"> the</w:t>
      </w:r>
      <w:r w:rsidR="00C421F0" w:rsidRPr="00FC71BE">
        <w:t xml:space="preserve"> aforementioned</w:t>
      </w:r>
      <w:r w:rsidR="002862A0" w:rsidRPr="00FC71BE">
        <w:t xml:space="preserve"> endcap</w:t>
      </w:r>
      <w:r w:rsidR="00B302FD" w:rsidRPr="00FC71BE">
        <w:t>s</w:t>
      </w:r>
      <w:r w:rsidR="002862A0" w:rsidRPr="00FC71BE">
        <w:t xml:space="preserve"> as shown in </w:t>
      </w:r>
      <w:r w:rsidR="002862A0" w:rsidRPr="00FC71BE">
        <w:fldChar w:fldCharType="begin"/>
      </w:r>
      <w:r w:rsidR="002862A0" w:rsidRPr="00FC71BE">
        <w:instrText xml:space="preserve"> REF _Ref149563569 \h </w:instrText>
      </w:r>
      <w:r w:rsidR="002862A0" w:rsidRPr="00FC71BE">
        <w:fldChar w:fldCharType="separate"/>
      </w:r>
      <w:r w:rsidR="007E62C1" w:rsidRPr="00FC71BE">
        <w:t xml:space="preserve">Fig. </w:t>
      </w:r>
      <w:r w:rsidR="007E62C1" w:rsidRPr="00FC71BE">
        <w:rPr>
          <w:noProof/>
        </w:rPr>
        <w:t>4</w:t>
      </w:r>
      <w:r w:rsidR="007E62C1" w:rsidRPr="00FC71BE">
        <w:t>.</w:t>
      </w:r>
      <w:r w:rsidR="007E62C1" w:rsidRPr="00FC71BE">
        <w:rPr>
          <w:noProof/>
        </w:rPr>
        <w:t>39</w:t>
      </w:r>
      <w:r w:rsidR="002862A0" w:rsidRPr="00FC71BE">
        <w:fldChar w:fldCharType="end"/>
      </w:r>
      <w:r w:rsidR="002862A0" w:rsidRPr="00FC71BE">
        <w:t xml:space="preserve"> (b)</w:t>
      </w:r>
      <w:r w:rsidR="00251D0A" w:rsidRPr="00FC71BE">
        <w:t xml:space="preserve">. </w:t>
      </w:r>
      <w:r w:rsidR="00F54995" w:rsidRPr="00FC71BE">
        <w:t>This alteration established a reduced area for inlet and outlet for the machines</w:t>
      </w:r>
      <w:r w:rsidR="00BB204B" w:rsidRPr="00FC71BE">
        <w:t xml:space="preserve">, </w:t>
      </w:r>
      <w:r w:rsidR="00F54995" w:rsidRPr="00FC71BE">
        <w:t>denoted</w:t>
      </w:r>
      <w:r w:rsidR="00731B1D" w:rsidRPr="00FC71BE">
        <w:t xml:space="preserve"> as ‘Modular 2’</w:t>
      </w:r>
      <w:r w:rsidR="00BB204B" w:rsidRPr="00FC71BE">
        <w:t xml:space="preserve">, </w:t>
      </w:r>
      <w:r w:rsidR="000D5EB7" w:rsidRPr="00FC71BE">
        <w:t xml:space="preserve">specifically designed </w:t>
      </w:r>
      <w:r w:rsidR="005712B7" w:rsidRPr="00FC71BE">
        <w:t xml:space="preserve">for ventilation cooling </w:t>
      </w:r>
      <w:r w:rsidR="000D5EB7" w:rsidRPr="00FC71BE">
        <w:t>experiments</w:t>
      </w:r>
      <w:r w:rsidR="005712B7"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4E45C1AF" w14:textId="77777777" w:rsidTr="001F0980">
        <w:tc>
          <w:tcPr>
            <w:tcW w:w="4508" w:type="dxa"/>
            <w:vAlign w:val="center"/>
          </w:tcPr>
          <w:p w14:paraId="18C41705" w14:textId="4F166D00" w:rsidR="00140B1E" w:rsidRPr="00FC71BE" w:rsidRDefault="00872FD5" w:rsidP="001F0980">
            <w:pPr>
              <w:pStyle w:val="Figure"/>
            </w:pPr>
            <w:r w:rsidRPr="00FC71BE">
              <w:lastRenderedPageBreak/>
              <w:drawing>
                <wp:inline distT="0" distB="0" distL="0" distR="0" wp14:anchorId="2EA5FAA1" wp14:editId="128D861C">
                  <wp:extent cx="1754705" cy="2124000"/>
                  <wp:effectExtent l="0" t="0" r="0" b="0"/>
                  <wp:docPr id="1454516205" name="Picture 1454516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26498" t="11843" r="37708" b="30374"/>
                          <a:stretch/>
                        </pic:blipFill>
                        <pic:spPr bwMode="auto">
                          <a:xfrm>
                            <a:off x="0" y="0"/>
                            <a:ext cx="1754705" cy="21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vAlign w:val="center"/>
          </w:tcPr>
          <w:p w14:paraId="35B3D02B" w14:textId="3651EAAD" w:rsidR="00140B1E" w:rsidRPr="00FC71BE" w:rsidRDefault="00B10BD3" w:rsidP="001F0980">
            <w:pPr>
              <w:pStyle w:val="Figure"/>
            </w:pPr>
            <w:r w:rsidRPr="00FC71BE">
              <w:drawing>
                <wp:inline distT="0" distB="0" distL="0" distR="0" wp14:anchorId="37522092" wp14:editId="36EF519B">
                  <wp:extent cx="2160846" cy="2160000"/>
                  <wp:effectExtent l="0" t="0" r="0" b="0"/>
                  <wp:docPr id="258243069" name="Picture 25824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3928" r="11059"/>
                          <a:stretch/>
                        </pic:blipFill>
                        <pic:spPr bwMode="auto">
                          <a:xfrm>
                            <a:off x="0" y="0"/>
                            <a:ext cx="2160846"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71BE" w:rsidRPr="00FC71BE" w14:paraId="6CB4EF27" w14:textId="77777777" w:rsidTr="001F0980">
        <w:tc>
          <w:tcPr>
            <w:tcW w:w="4508" w:type="dxa"/>
            <w:vAlign w:val="center"/>
          </w:tcPr>
          <w:p w14:paraId="65243C06" w14:textId="2EE4598D" w:rsidR="00140B1E" w:rsidRPr="00FC71BE" w:rsidRDefault="00872FD5" w:rsidP="001F0980">
            <w:pPr>
              <w:pStyle w:val="Figure"/>
            </w:pPr>
            <w:r w:rsidRPr="00FC71BE">
              <w:t xml:space="preserve">(a) </w:t>
            </w:r>
            <w:r w:rsidR="001F0980" w:rsidRPr="00FC71BE">
              <w:t>Surface-mounted PM rotor</w:t>
            </w:r>
          </w:p>
        </w:tc>
        <w:tc>
          <w:tcPr>
            <w:tcW w:w="4508" w:type="dxa"/>
            <w:vAlign w:val="center"/>
          </w:tcPr>
          <w:p w14:paraId="3A1FB023" w14:textId="4CDA3415" w:rsidR="00140B1E" w:rsidRPr="00FC71BE" w:rsidRDefault="00872FD5" w:rsidP="001F0980">
            <w:pPr>
              <w:pStyle w:val="Figure"/>
            </w:pPr>
            <w:r w:rsidRPr="00FC71BE">
              <w:t>(b) Stator with stator modularity</w:t>
            </w:r>
          </w:p>
        </w:tc>
      </w:tr>
    </w:tbl>
    <w:p w14:paraId="1121D3D6" w14:textId="2A4C172D" w:rsidR="00273224" w:rsidRPr="00FC71BE" w:rsidRDefault="00273224" w:rsidP="00273224">
      <w:pPr>
        <w:pStyle w:val="FigureTitle"/>
      </w:pPr>
      <w:bookmarkStart w:id="266" w:name="_Ref149559934"/>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37</w:t>
        </w:r>
      </w:fldSimple>
      <w:bookmarkEnd w:id="266"/>
      <w:r w:rsidRPr="00FC71BE">
        <w:t xml:space="preserve">. </w:t>
      </w:r>
      <w:r w:rsidR="00180C8E" w:rsidRPr="00FC71BE">
        <w:t xml:space="preserve">12-slot/10-pole </w:t>
      </w:r>
      <w:r w:rsidR="002844EC" w:rsidRPr="00FC71BE">
        <w:t>Modular</w:t>
      </w:r>
      <w:r w:rsidR="006B74FD" w:rsidRPr="00FC71BE">
        <w:t xml:space="preserve"> SPM</w:t>
      </w:r>
      <w:r w:rsidR="002844EC" w:rsidRPr="00FC71BE">
        <w:t xml:space="preserve"> </w:t>
      </w:r>
      <w:r w:rsidR="009316A1" w:rsidRPr="00FC71BE">
        <w:t xml:space="preserve">prototype </w:t>
      </w:r>
      <w:r w:rsidR="002844EC" w:rsidRPr="00FC71BE">
        <w:t>m</w:t>
      </w:r>
      <w:r w:rsidRPr="00FC71BE">
        <w:t>achine</w:t>
      </w:r>
      <w:r w:rsidR="002844EC" w:rsidRPr="00FC71BE">
        <w:t>.</w:t>
      </w:r>
    </w:p>
    <w:p w14:paraId="2F7A49A2" w14:textId="4E97C638" w:rsidR="00273224" w:rsidRPr="00FC71BE" w:rsidRDefault="00273224" w:rsidP="00273224">
      <w:pPr>
        <w:pStyle w:val="Figure"/>
      </w:pPr>
      <w:r w:rsidRPr="00FC71BE">
        <w:drawing>
          <wp:inline distT="0" distB="0" distL="0" distR="0" wp14:anchorId="2F9C4390" wp14:editId="7FFC3392">
            <wp:extent cx="2729069" cy="2628000"/>
            <wp:effectExtent l="0" t="0" r="0" b="1270"/>
            <wp:docPr id="537903975" name="Picture 537903975"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975" name="Picture 7" descr="A close up of a machine&#10;&#10;Description automatically generated"/>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b="27809"/>
                    <a:stretch/>
                  </pic:blipFill>
                  <pic:spPr bwMode="auto">
                    <a:xfrm>
                      <a:off x="0" y="0"/>
                      <a:ext cx="2729069" cy="2628000"/>
                    </a:xfrm>
                    <a:prstGeom prst="rect">
                      <a:avLst/>
                    </a:prstGeom>
                    <a:noFill/>
                    <a:ln>
                      <a:noFill/>
                    </a:ln>
                    <a:extLst>
                      <a:ext uri="{53640926-AAD7-44D8-BBD7-CCE9431645EC}">
                        <a14:shadowObscured xmlns:a14="http://schemas.microsoft.com/office/drawing/2010/main"/>
                      </a:ext>
                    </a:extLst>
                  </pic:spPr>
                </pic:pic>
              </a:graphicData>
            </a:graphic>
          </wp:inline>
        </w:drawing>
      </w:r>
    </w:p>
    <w:p w14:paraId="16A34885" w14:textId="01FEFE14" w:rsidR="00273224" w:rsidRPr="00FC71BE" w:rsidRDefault="00273224" w:rsidP="00273224">
      <w:pPr>
        <w:pStyle w:val="FigureTitle"/>
      </w:pPr>
      <w:bookmarkStart w:id="267" w:name="_Ref149563338"/>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38</w:t>
        </w:r>
      </w:fldSimple>
      <w:bookmarkEnd w:id="267"/>
      <w:r w:rsidRPr="00FC71BE">
        <w:t xml:space="preserve">. </w:t>
      </w:r>
      <w:r w:rsidR="002844EC" w:rsidRPr="00FC71BE">
        <w:t>Stator of modular machine with sheets within flux gaps.</w:t>
      </w:r>
      <w:r w:rsidR="002A0E36" w:rsidRPr="00FC71BE">
        <w:t xml:space="preserve"> This removes the flux gaps, leading to an equivalent non-modular machine in</w:t>
      </w:r>
      <w:r w:rsidR="00215FDE" w:rsidRPr="00FC71BE">
        <w:t xml:space="preserve"> a</w:t>
      </w:r>
      <w:r w:rsidR="002A0E36" w:rsidRPr="00FC71BE">
        <w:t xml:space="preserve"> thermal context.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523A635A" w14:textId="77777777" w:rsidTr="001F0980">
        <w:tc>
          <w:tcPr>
            <w:tcW w:w="4508" w:type="dxa"/>
            <w:vAlign w:val="center"/>
          </w:tcPr>
          <w:p w14:paraId="11DA53D9" w14:textId="612E8644" w:rsidR="00FA0527" w:rsidRPr="00FC71BE" w:rsidRDefault="00FA0527" w:rsidP="001F0980">
            <w:pPr>
              <w:pStyle w:val="Figure"/>
            </w:pPr>
            <w:r w:rsidRPr="00FC71BE">
              <w:drawing>
                <wp:inline distT="0" distB="0" distL="0" distR="0" wp14:anchorId="50A8411E" wp14:editId="03F736D0">
                  <wp:extent cx="2199588" cy="2304000"/>
                  <wp:effectExtent l="0" t="0" r="0" b="1270"/>
                  <wp:docPr id="63548766" name="Picture 6354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15051" r="17065" b="46694"/>
                          <a:stretch/>
                        </pic:blipFill>
                        <pic:spPr bwMode="auto">
                          <a:xfrm>
                            <a:off x="0" y="0"/>
                            <a:ext cx="2199588" cy="23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vAlign w:val="center"/>
          </w:tcPr>
          <w:p w14:paraId="7FCF63F3" w14:textId="7DB48752" w:rsidR="00FA0527" w:rsidRPr="00FC71BE" w:rsidRDefault="00FA0527" w:rsidP="001F0980">
            <w:pPr>
              <w:pStyle w:val="Figure"/>
            </w:pPr>
            <w:r w:rsidRPr="00FC71BE">
              <w:drawing>
                <wp:inline distT="0" distB="0" distL="0" distR="0" wp14:anchorId="0E7D7EE3" wp14:editId="5C68B799">
                  <wp:extent cx="2212042" cy="2304000"/>
                  <wp:effectExtent l="0" t="0" r="0" b="1270"/>
                  <wp:docPr id="491805159" name="Picture 49180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5298" r="12733"/>
                          <a:stretch/>
                        </pic:blipFill>
                        <pic:spPr bwMode="auto">
                          <a:xfrm>
                            <a:off x="0" y="0"/>
                            <a:ext cx="2212042" cy="23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71BE" w:rsidRPr="00FC71BE" w14:paraId="7C4E1011" w14:textId="77777777" w:rsidTr="001F0980">
        <w:tc>
          <w:tcPr>
            <w:tcW w:w="4508" w:type="dxa"/>
            <w:vAlign w:val="center"/>
          </w:tcPr>
          <w:p w14:paraId="25025A20" w14:textId="1C3272CF" w:rsidR="00FA0527" w:rsidRPr="00FC71BE" w:rsidRDefault="00E30672" w:rsidP="001F0980">
            <w:pPr>
              <w:pStyle w:val="Figure"/>
            </w:pPr>
            <w:r w:rsidRPr="00FC71BE">
              <w:t xml:space="preserve">(a) </w:t>
            </w:r>
            <w:r w:rsidR="00140B1E" w:rsidRPr="00FC71BE">
              <w:t>Large trapezoidal inlet and outlet</w:t>
            </w:r>
          </w:p>
        </w:tc>
        <w:tc>
          <w:tcPr>
            <w:tcW w:w="4508" w:type="dxa"/>
            <w:vAlign w:val="center"/>
          </w:tcPr>
          <w:p w14:paraId="66483CB6" w14:textId="20D279D6" w:rsidR="00FA0527" w:rsidRPr="00FC71BE" w:rsidRDefault="00E30672" w:rsidP="001F0980">
            <w:pPr>
              <w:pStyle w:val="Figure"/>
            </w:pPr>
            <w:r w:rsidRPr="00FC71BE">
              <w:t>(b)</w:t>
            </w:r>
            <w:r w:rsidR="00140B1E" w:rsidRPr="00FC71BE">
              <w:t xml:space="preserve"> Small round inlet and outlet</w:t>
            </w:r>
          </w:p>
        </w:tc>
      </w:tr>
    </w:tbl>
    <w:p w14:paraId="6F4E8111" w14:textId="5A9B05E0" w:rsidR="00273224" w:rsidRPr="00FC71BE" w:rsidRDefault="00273224" w:rsidP="00273224">
      <w:pPr>
        <w:pStyle w:val="FigureTitle"/>
      </w:pPr>
      <w:bookmarkStart w:id="268" w:name="_Ref149563569"/>
      <w:r w:rsidRPr="00FC71BE">
        <w:t xml:space="preserve">Fig. </w:t>
      </w:r>
      <w:fldSimple w:instr=" STYLEREF 1 \s ">
        <w:r w:rsidR="007E62C1" w:rsidRPr="00FC71BE">
          <w:rPr>
            <w:noProof/>
          </w:rPr>
          <w:t>4</w:t>
        </w:r>
      </w:fldSimple>
      <w:r w:rsidRPr="00FC71BE">
        <w:t>.</w:t>
      </w:r>
      <w:fldSimple w:instr=" SEQ Fig. \* ARABIC \s 1 ">
        <w:r w:rsidR="007E62C1" w:rsidRPr="00FC71BE">
          <w:rPr>
            <w:noProof/>
          </w:rPr>
          <w:t>39</w:t>
        </w:r>
      </w:fldSimple>
      <w:bookmarkEnd w:id="268"/>
      <w:r w:rsidRPr="00FC71BE">
        <w:t xml:space="preserve">. </w:t>
      </w:r>
      <w:r w:rsidR="00CC2CCB" w:rsidRPr="00FC71BE">
        <w:t>Configurations of different endcap design</w:t>
      </w:r>
      <w:r w:rsidR="00215FDE" w:rsidRPr="00FC71BE">
        <w:t>s</w:t>
      </w:r>
      <w:r w:rsidR="00CC2CCB" w:rsidRPr="00FC71BE">
        <w:t>.</w:t>
      </w:r>
    </w:p>
    <w:p w14:paraId="1CF02574" w14:textId="1AE5F1C5" w:rsidR="00CE342A" w:rsidRPr="00FC71BE" w:rsidRDefault="008B68F0" w:rsidP="00BB1038">
      <w:r w:rsidRPr="00FC71BE">
        <w:lastRenderedPageBreak/>
        <w:t>A ventilation cooling test rig</w:t>
      </w:r>
      <w:r w:rsidR="009040A4" w:rsidRPr="00FC71BE">
        <w:t>,</w:t>
      </w:r>
      <w:r w:rsidR="00BB6682" w:rsidRPr="00FC71BE">
        <w:t xml:space="preserve"> </w:t>
      </w:r>
      <w:r w:rsidR="009040A4" w:rsidRPr="00FC71BE">
        <w:t xml:space="preserve">as shown in </w:t>
      </w:r>
      <w:r w:rsidR="009040A4" w:rsidRPr="00FC71BE">
        <w:fldChar w:fldCharType="begin"/>
      </w:r>
      <w:r w:rsidR="009040A4" w:rsidRPr="00FC71BE">
        <w:instrText xml:space="preserve"> REF _Ref149564199 \h </w:instrText>
      </w:r>
      <w:r w:rsidR="009040A4" w:rsidRPr="00FC71BE">
        <w:fldChar w:fldCharType="separate"/>
      </w:r>
      <w:r w:rsidR="007E62C1" w:rsidRPr="00FC71BE">
        <w:t xml:space="preserve">Fig. </w:t>
      </w:r>
      <w:r w:rsidR="007E62C1" w:rsidRPr="00FC71BE">
        <w:rPr>
          <w:noProof/>
        </w:rPr>
        <w:t>4</w:t>
      </w:r>
      <w:r w:rsidR="007E62C1" w:rsidRPr="00FC71BE">
        <w:t>.</w:t>
      </w:r>
      <w:r w:rsidR="007E62C1" w:rsidRPr="00FC71BE">
        <w:rPr>
          <w:noProof/>
        </w:rPr>
        <w:t>40</w:t>
      </w:r>
      <w:r w:rsidR="009040A4" w:rsidRPr="00FC71BE">
        <w:fldChar w:fldCharType="end"/>
      </w:r>
      <w:r w:rsidR="009040A4" w:rsidRPr="00FC71BE">
        <w:t xml:space="preserve">, </w:t>
      </w:r>
      <w:r w:rsidR="00215FDE" w:rsidRPr="00FC71BE">
        <w:t>has been</w:t>
      </w:r>
      <w:r w:rsidR="00BB6682" w:rsidRPr="00FC71BE">
        <w:t xml:space="preserve"> </w:t>
      </w:r>
      <w:r w:rsidR="00215FDE" w:rsidRPr="00FC71BE">
        <w:t xml:space="preserve">built </w:t>
      </w:r>
      <w:r w:rsidR="009040A4" w:rsidRPr="00FC71BE">
        <w:t xml:space="preserve">to </w:t>
      </w:r>
      <w:r w:rsidR="00DA79DA" w:rsidRPr="00FC71BE">
        <w:t>investigate</w:t>
      </w:r>
      <w:r w:rsidR="009040A4" w:rsidRPr="00FC71BE">
        <w:t xml:space="preserve"> the</w:t>
      </w:r>
      <w:r w:rsidR="00BB6682" w:rsidRPr="00FC71BE">
        <w:t xml:space="preserve"> </w:t>
      </w:r>
      <w:r w:rsidR="00DA79DA" w:rsidRPr="00FC71BE">
        <w:t>various</w:t>
      </w:r>
      <w:r w:rsidR="00BB6682" w:rsidRPr="00FC71BE">
        <w:t xml:space="preserve"> machine configurations.</w:t>
      </w:r>
      <w:r w:rsidR="004C1E4A" w:rsidRPr="00FC71BE">
        <w:t xml:space="preserve"> </w:t>
      </w:r>
      <w:r w:rsidR="006E4C42" w:rsidRPr="00FC71BE">
        <w:t>The tested machine is driv</w:t>
      </w:r>
      <w:r w:rsidR="000E20D2" w:rsidRPr="00FC71BE">
        <w:t>en</w:t>
      </w:r>
      <w:r w:rsidR="006E4C42" w:rsidRPr="00FC71BE">
        <w:t xml:space="preserve"> by a </w:t>
      </w:r>
      <w:r w:rsidR="008F7826" w:rsidRPr="00FC71BE">
        <w:t>dyno</w:t>
      </w:r>
      <w:r w:rsidR="00435F3F" w:rsidRPr="00FC71BE">
        <w:t>-</w:t>
      </w:r>
      <w:r w:rsidR="006E4C42" w:rsidRPr="00FC71BE">
        <w:t>motor</w:t>
      </w:r>
      <w:r w:rsidR="00947806" w:rsidRPr="00FC71BE">
        <w:t xml:space="preserve">, </w:t>
      </w:r>
      <w:r w:rsidR="00DA79DA" w:rsidRPr="00FC71BE">
        <w:t>while</w:t>
      </w:r>
      <w:r w:rsidR="00947806" w:rsidRPr="00FC71BE">
        <w:t xml:space="preserve"> ventilated air is </w:t>
      </w:r>
      <w:r w:rsidR="00DA79DA" w:rsidRPr="00FC71BE">
        <w:t>produced</w:t>
      </w:r>
      <w:r w:rsidR="00352570" w:rsidRPr="00FC71BE">
        <w:t xml:space="preserve"> by an adjustable</w:t>
      </w:r>
      <w:r w:rsidR="008D7E70" w:rsidRPr="00FC71BE">
        <w:t xml:space="preserve"> </w:t>
      </w:r>
      <w:r w:rsidR="00352570" w:rsidRPr="00FC71BE">
        <w:t xml:space="preserve">speed fan. </w:t>
      </w:r>
      <w:r w:rsidR="0072138C" w:rsidRPr="00FC71BE">
        <w:t xml:space="preserve">Essential </w:t>
      </w:r>
      <w:r w:rsidR="00435F3F" w:rsidRPr="00FC71BE">
        <w:t xml:space="preserve">parameters </w:t>
      </w:r>
      <w:r w:rsidR="0072138C" w:rsidRPr="00FC71BE">
        <w:t xml:space="preserve">such as </w:t>
      </w:r>
      <w:r w:rsidR="00352570" w:rsidRPr="00FC71BE">
        <w:t xml:space="preserve">pressure </w:t>
      </w:r>
      <w:r w:rsidR="000C08F8" w:rsidRPr="00FC71BE">
        <w:t>losses</w:t>
      </w:r>
      <w:r w:rsidR="00D94050" w:rsidRPr="00FC71BE">
        <w:t>, air velocity and machine temperatures</w:t>
      </w:r>
      <w:r w:rsidR="000C08F8" w:rsidRPr="00FC71BE">
        <w:t xml:space="preserve"> </w:t>
      </w:r>
      <w:r w:rsidR="00D94050" w:rsidRPr="00FC71BE">
        <w:t>are</w:t>
      </w:r>
      <w:r w:rsidR="000C08F8" w:rsidRPr="00FC71BE">
        <w:t xml:space="preserve"> </w:t>
      </w:r>
      <w:r w:rsidR="00DD7F78" w:rsidRPr="00FC71BE">
        <w:t>meticulously gauged</w:t>
      </w:r>
      <w:r w:rsidR="000C08F8" w:rsidRPr="00FC71BE">
        <w:t xml:space="preserve"> </w:t>
      </w:r>
      <w:r w:rsidR="00DD7F78" w:rsidRPr="00FC71BE">
        <w:t>using</w:t>
      </w:r>
      <w:r w:rsidR="000C08F8" w:rsidRPr="00FC71BE">
        <w:t xml:space="preserve"> differential pressure tran</w:t>
      </w:r>
      <w:r w:rsidR="00D94050" w:rsidRPr="00FC71BE">
        <w:t xml:space="preserve">sducer, </w:t>
      </w:r>
      <w:r w:rsidR="00BB2344" w:rsidRPr="00FC71BE">
        <w:t>hot-wire anemometer and T-type thermocouples</w:t>
      </w:r>
      <w:r w:rsidR="00E07827" w:rsidRPr="00FC71BE">
        <w:t>, respectively</w:t>
      </w:r>
      <w:r w:rsidR="00BB2344" w:rsidRPr="00FC71BE">
        <w:t>.</w:t>
      </w:r>
    </w:p>
    <w:p w14:paraId="709AF023" w14:textId="1229D343" w:rsidR="000A2F7A" w:rsidRPr="00FC71BE" w:rsidRDefault="00372240" w:rsidP="00BE77FE">
      <w:pPr>
        <w:pStyle w:val="Figure"/>
      </w:pPr>
      <w:r w:rsidRPr="00FC71BE">
        <w:drawing>
          <wp:inline distT="0" distB="0" distL="0" distR="0" wp14:anchorId="699A5B86" wp14:editId="603ADA68">
            <wp:extent cx="5731510" cy="3314700"/>
            <wp:effectExtent l="0" t="0" r="2540" b="0"/>
            <wp:docPr id="1131948168" name="Picture 1131948168" descr="A diagram of a machine&#10;&#10;Description automatically generated">
              <a:extLst xmlns:a="http://schemas.openxmlformats.org/drawingml/2006/main">
                <a:ext uri="{FF2B5EF4-FFF2-40B4-BE49-F238E27FC236}">
                  <a16:creationId xmlns:a16="http://schemas.microsoft.com/office/drawing/2014/main" id="{6E698762-F1BF-D352-16FA-E03C3E049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48168" name="Picture 1131948168" descr="A diagram of a machine&#10;&#10;Description automatically generated">
                      <a:extLst>
                        <a:ext uri="{FF2B5EF4-FFF2-40B4-BE49-F238E27FC236}">
                          <a16:creationId xmlns:a16="http://schemas.microsoft.com/office/drawing/2014/main" id="{6E698762-F1BF-D352-16FA-E03C3E0496E8}"/>
                        </a:ext>
                      </a:extLst>
                    </pic:cNvPr>
                    <pic:cNvPicPr>
                      <a:picLocks noChangeAspect="1"/>
                    </pic:cNvPicPr>
                  </pic:nvPicPr>
                  <pic:blipFill>
                    <a:blip r:embed="rId200"/>
                    <a:stretch>
                      <a:fillRect/>
                    </a:stretch>
                  </pic:blipFill>
                  <pic:spPr>
                    <a:xfrm>
                      <a:off x="0" y="0"/>
                      <a:ext cx="5731510" cy="3314700"/>
                    </a:xfrm>
                    <a:prstGeom prst="rect">
                      <a:avLst/>
                    </a:prstGeom>
                  </pic:spPr>
                </pic:pic>
              </a:graphicData>
            </a:graphic>
          </wp:inline>
        </w:drawing>
      </w:r>
    </w:p>
    <w:p w14:paraId="597BC926" w14:textId="50216435" w:rsidR="000A2F7A" w:rsidRPr="00FC71BE" w:rsidRDefault="000A2F7A" w:rsidP="000A2F7A">
      <w:pPr>
        <w:pStyle w:val="FigureTitle"/>
      </w:pPr>
      <w:bookmarkStart w:id="269" w:name="_Ref149564199"/>
      <w:r w:rsidRPr="00FC71BE">
        <w:t xml:space="preserve">Fig. </w:t>
      </w:r>
      <w:fldSimple w:instr=" STYLEREF 1 \s ">
        <w:r w:rsidR="007E62C1" w:rsidRPr="00FC71BE">
          <w:rPr>
            <w:noProof/>
          </w:rPr>
          <w:t>4</w:t>
        </w:r>
      </w:fldSimple>
      <w:r w:rsidRPr="00FC71BE">
        <w:t>.</w:t>
      </w:r>
      <w:fldSimple w:instr=" SEQ Fig. \* ARABIC \s 1 ">
        <w:r w:rsidR="007E62C1" w:rsidRPr="00FC71BE">
          <w:rPr>
            <w:noProof/>
          </w:rPr>
          <w:t>40</w:t>
        </w:r>
      </w:fldSimple>
      <w:bookmarkEnd w:id="269"/>
      <w:r w:rsidRPr="00FC71BE">
        <w:t>. Tested rig for ventilation cooling</w:t>
      </w:r>
      <w:r w:rsidR="007F65F5" w:rsidRPr="00FC71BE">
        <w:t>.</w:t>
      </w:r>
    </w:p>
    <w:p w14:paraId="6E842165" w14:textId="591F9FD1" w:rsidR="00A1023E" w:rsidRPr="00FC71BE" w:rsidRDefault="00A1023E" w:rsidP="00A1023E">
      <w:pPr>
        <w:pStyle w:val="Figure"/>
      </w:pPr>
      <w:r w:rsidRPr="00FC71BE">
        <w:drawing>
          <wp:inline distT="0" distB="0" distL="0" distR="0" wp14:anchorId="2D42E780" wp14:editId="5D3D87A9">
            <wp:extent cx="3513882" cy="3013132"/>
            <wp:effectExtent l="0" t="0" r="0" b="0"/>
            <wp:docPr id="296229032" name="Picture 296229032" descr="A blue machine with a pipe&#10;&#10;Description automatically generated">
              <a:extLst xmlns:a="http://schemas.openxmlformats.org/drawingml/2006/main">
                <a:ext uri="{FF2B5EF4-FFF2-40B4-BE49-F238E27FC236}">
                  <a16:creationId xmlns:a16="http://schemas.microsoft.com/office/drawing/2014/main" id="{6D13ECF1-1349-ADD9-CCCE-50CD5EC9AC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29032" name="Picture 296229032" descr="A blue machine with a pipe&#10;&#10;Description automatically generated">
                      <a:extLst>
                        <a:ext uri="{FF2B5EF4-FFF2-40B4-BE49-F238E27FC236}">
                          <a16:creationId xmlns:a16="http://schemas.microsoft.com/office/drawing/2014/main" id="{6D13ECF1-1349-ADD9-CCCE-50CD5EC9AC96}"/>
                        </a:ext>
                      </a:extLst>
                    </pic:cNvPr>
                    <pic:cNvPicPr>
                      <a:picLocks noChangeAspect="1"/>
                    </pic:cNvPicPr>
                  </pic:nvPicPr>
                  <pic:blipFill>
                    <a:blip r:embed="rId201"/>
                    <a:stretch>
                      <a:fillRect/>
                    </a:stretch>
                  </pic:blipFill>
                  <pic:spPr>
                    <a:xfrm>
                      <a:off x="0" y="0"/>
                      <a:ext cx="3517563" cy="3016289"/>
                    </a:xfrm>
                    <a:prstGeom prst="rect">
                      <a:avLst/>
                    </a:prstGeom>
                  </pic:spPr>
                </pic:pic>
              </a:graphicData>
            </a:graphic>
          </wp:inline>
        </w:drawing>
      </w:r>
    </w:p>
    <w:p w14:paraId="76F9E847" w14:textId="67575E50" w:rsidR="00281301" w:rsidRPr="00FC71BE" w:rsidRDefault="00281301" w:rsidP="00281301">
      <w:pPr>
        <w:pStyle w:val="FigureTitle"/>
      </w:pPr>
      <w:bookmarkStart w:id="270" w:name="_Ref149565377"/>
      <w:r w:rsidRPr="00FC71BE">
        <w:t xml:space="preserve">Fig. </w:t>
      </w:r>
      <w:fldSimple w:instr=" STYLEREF 1 \s ">
        <w:r w:rsidR="007E62C1" w:rsidRPr="00FC71BE">
          <w:rPr>
            <w:noProof/>
          </w:rPr>
          <w:t>4</w:t>
        </w:r>
      </w:fldSimple>
      <w:r w:rsidRPr="00FC71BE">
        <w:t>.</w:t>
      </w:r>
      <w:fldSimple w:instr=" SEQ Fig. \* ARABIC \s 1 ">
        <w:r w:rsidR="007E62C1" w:rsidRPr="00FC71BE">
          <w:rPr>
            <w:noProof/>
          </w:rPr>
          <w:t>41</w:t>
        </w:r>
      </w:fldSimple>
      <w:bookmarkEnd w:id="270"/>
      <w:r w:rsidRPr="00FC71BE">
        <w:t>. Adjustable speed fan.</w:t>
      </w:r>
    </w:p>
    <w:p w14:paraId="712265DF" w14:textId="77777777" w:rsidR="00164749" w:rsidRPr="00FC71BE" w:rsidRDefault="00164749" w:rsidP="008470FA"/>
    <w:p w14:paraId="6ACE3246" w14:textId="77777777" w:rsidR="00164749" w:rsidRPr="00FC71BE" w:rsidRDefault="00164749" w:rsidP="00164749">
      <w:r w:rsidRPr="00FC71BE">
        <w:lastRenderedPageBreak/>
        <w:t xml:space="preserve">The adjustable speed fan is a centrifugal fan (L-28-E), manufactured by B.O.B Stevenson Ltd as shown in </w:t>
      </w:r>
      <w:r w:rsidRPr="00FC71BE">
        <w:fldChar w:fldCharType="begin"/>
      </w:r>
      <w:r w:rsidRPr="00FC71BE">
        <w:instrText xml:space="preserve"> REF _Ref149565377 \h </w:instrText>
      </w:r>
      <w:r w:rsidRPr="00FC71BE">
        <w:fldChar w:fldCharType="separate"/>
      </w:r>
      <w:r w:rsidRPr="00FC71BE">
        <w:t xml:space="preserve">Fig. </w:t>
      </w:r>
      <w:r w:rsidRPr="00FC71BE">
        <w:rPr>
          <w:noProof/>
        </w:rPr>
        <w:t>4</w:t>
      </w:r>
      <w:r w:rsidRPr="00FC71BE">
        <w:t>.</w:t>
      </w:r>
      <w:r w:rsidRPr="00FC71BE">
        <w:rPr>
          <w:noProof/>
        </w:rPr>
        <w:t>41</w:t>
      </w:r>
      <w:r w:rsidRPr="00FC71BE">
        <w:fldChar w:fldCharType="end"/>
      </w:r>
      <w:r w:rsidRPr="00FC71BE">
        <w:t>. At ambient temperature of 20</w:t>
      </w:r>
      <m:oMath>
        <m:r>
          <w:rPr>
            <w:rFonts w:ascii="Cambria Math" w:hAnsi="Cambria Math"/>
          </w:rPr>
          <m:t>℃</m:t>
        </m:r>
      </m:oMath>
      <w:r w:rsidRPr="00FC71BE">
        <w:t>, the fan can provide a flow rate of 0.14</w:t>
      </w:r>
      <m:oMath>
        <m:f>
          <m:fPr>
            <m:type m:val="lin"/>
            <m:ctrlPr>
              <w:rPr>
                <w:rFonts w:ascii="Cambria Math" w:hAnsi="Cambria Math"/>
                <w:iCs/>
              </w:rPr>
            </m:ctrlPr>
          </m:fPr>
          <m:num>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num>
          <m:den>
            <m:r>
              <m:rPr>
                <m:sty m:val="p"/>
              </m:rPr>
              <w:rPr>
                <w:rFonts w:ascii="Cambria Math" w:hAnsi="Cambria Math"/>
              </w:rPr>
              <m:t>s</m:t>
            </m:r>
          </m:den>
        </m:f>
      </m:oMath>
      <w:r w:rsidRPr="00FC71BE">
        <w:rPr>
          <w:iCs/>
        </w:rPr>
        <w:t xml:space="preserve"> (i.e., 300 cfm) at its operating static pressure of 500Pa. Its speed is controlled via an inverter, allowing for adjustable fan speeds ranging from 0rpm to 2500rpm.</w:t>
      </w:r>
    </w:p>
    <w:p w14:paraId="56936A58" w14:textId="6B0F04A0" w:rsidR="00A1793F" w:rsidRPr="00FC71BE" w:rsidRDefault="00660444" w:rsidP="008470FA">
      <w:r w:rsidRPr="00FC71BE">
        <w:t xml:space="preserve">Some measurement devices </w:t>
      </w:r>
      <w:r w:rsidR="00B127A7" w:rsidRPr="00FC71BE">
        <w:t>were incorporated for</w:t>
      </w:r>
      <w:r w:rsidR="00BC4ABB" w:rsidRPr="00FC71BE">
        <w:t xml:space="preserve"> the</w:t>
      </w:r>
      <w:r w:rsidRPr="00FC71BE">
        <w:t xml:space="preserve"> ventilation cooling test. </w:t>
      </w:r>
      <w:r w:rsidR="00EA65B1" w:rsidRPr="00FC71BE">
        <w:t>The differential pressure transducer, Omega PX277-05D5V, was utilized to measure the pressure variances between the upstream and downstream of the tested machines</w:t>
      </w:r>
      <w:r w:rsidR="00BA1404" w:rsidRPr="00FC71BE">
        <w:t>. The location of measure</w:t>
      </w:r>
      <w:r w:rsidR="00AE363F" w:rsidRPr="00FC71BE">
        <w:t>d</w:t>
      </w:r>
      <w:r w:rsidR="00BA1404" w:rsidRPr="00FC71BE">
        <w:t xml:space="preserve"> point</w:t>
      </w:r>
      <w:r w:rsidR="006C3377" w:rsidRPr="00FC71BE">
        <w:t xml:space="preserve"> for upstream</w:t>
      </w:r>
      <w:r w:rsidR="009525D3" w:rsidRPr="00FC71BE">
        <w:t xml:space="preserve"> flow</w:t>
      </w:r>
      <w:r w:rsidR="004F13C8" w:rsidRPr="00FC71BE">
        <w:t xml:space="preserve"> is </w:t>
      </w:r>
      <w:r w:rsidR="006C3377" w:rsidRPr="00FC71BE">
        <w:t>illustrated</w:t>
      </w:r>
      <w:r w:rsidR="004F13C8" w:rsidRPr="00FC71BE">
        <w:t xml:space="preserve"> in </w:t>
      </w:r>
      <w:r w:rsidR="004F13C8" w:rsidRPr="00FC71BE">
        <w:fldChar w:fldCharType="begin"/>
      </w:r>
      <w:r w:rsidR="004F13C8" w:rsidRPr="00FC71BE">
        <w:instrText xml:space="preserve"> REF _Ref149566256 \h </w:instrText>
      </w:r>
      <w:r w:rsidR="004F13C8" w:rsidRPr="00FC71BE">
        <w:fldChar w:fldCharType="separate"/>
      </w:r>
      <w:r w:rsidR="007E62C1" w:rsidRPr="00FC71BE">
        <w:t xml:space="preserve">Fig. </w:t>
      </w:r>
      <w:r w:rsidR="007E62C1" w:rsidRPr="00FC71BE">
        <w:rPr>
          <w:noProof/>
        </w:rPr>
        <w:t>4</w:t>
      </w:r>
      <w:r w:rsidR="007E62C1" w:rsidRPr="00FC71BE">
        <w:t>.</w:t>
      </w:r>
      <w:r w:rsidR="007E62C1" w:rsidRPr="00FC71BE">
        <w:rPr>
          <w:noProof/>
        </w:rPr>
        <w:t>42</w:t>
      </w:r>
      <w:r w:rsidR="004F13C8" w:rsidRPr="00FC71BE">
        <w:fldChar w:fldCharType="end"/>
      </w:r>
      <w:r w:rsidR="004F13C8" w:rsidRPr="00FC71BE">
        <w:t xml:space="preserve"> (a). The </w:t>
      </w:r>
      <w:r w:rsidR="000570AA" w:rsidRPr="00FC71BE">
        <w:t xml:space="preserve">downstream pressure </w:t>
      </w:r>
      <w:r w:rsidR="000B784F" w:rsidRPr="00FC71BE">
        <w:t>was maintained at</w:t>
      </w:r>
      <w:r w:rsidR="000570AA" w:rsidRPr="00FC71BE">
        <w:t xml:space="preserve"> ambient </w:t>
      </w:r>
      <w:r w:rsidR="009F77D2" w:rsidRPr="00FC71BE">
        <w:t>pressure (</w:t>
      </w:r>
      <m:oMath>
        <m:r>
          <w:rPr>
            <w:rFonts w:ascii="Cambria Math" w:hAnsi="Cambria Math"/>
          </w:rPr>
          <m:t>≈</m:t>
        </m:r>
        <m:r>
          <m:rPr>
            <m:sty m:val="p"/>
          </m:rPr>
          <w:rPr>
            <w:rFonts w:ascii="Cambria Math" w:hAnsi="Cambria Math"/>
          </w:rPr>
          <m:t>1 bar</m:t>
        </m:r>
      </m:oMath>
      <w:r w:rsidR="009F77D2" w:rsidRPr="00FC71BE">
        <w:t xml:space="preserve">). </w:t>
      </w:r>
      <w:r w:rsidR="009E7005" w:rsidRPr="00FC71BE">
        <w:t xml:space="preserve">The air velocity at upstream of </w:t>
      </w:r>
      <w:r w:rsidR="0080530B" w:rsidRPr="00FC71BE">
        <w:t xml:space="preserve">the </w:t>
      </w:r>
      <w:r w:rsidR="009E7005" w:rsidRPr="00FC71BE">
        <w:t xml:space="preserve">tested machine </w:t>
      </w:r>
      <w:r w:rsidR="003E4937" w:rsidRPr="00FC71BE">
        <w:t>was determined</w:t>
      </w:r>
      <w:r w:rsidR="009E7005" w:rsidRPr="00FC71BE">
        <w:t xml:space="preserve"> </w:t>
      </w:r>
      <w:r w:rsidR="003E4937" w:rsidRPr="00FC71BE">
        <w:t>using</w:t>
      </w:r>
      <w:r w:rsidR="009E7005" w:rsidRPr="00FC71BE">
        <w:t xml:space="preserve"> a hot-wire anemometer</w:t>
      </w:r>
      <w:r w:rsidR="00AE363F" w:rsidRPr="00FC71BE">
        <w:t xml:space="preserve">, </w:t>
      </w:r>
      <w:r w:rsidR="00264CBC" w:rsidRPr="00FC71BE">
        <w:t>with</w:t>
      </w:r>
      <w:r w:rsidR="00AE363F" w:rsidRPr="00FC71BE">
        <w:t xml:space="preserve"> the </w:t>
      </w:r>
      <w:r w:rsidR="00264CBC" w:rsidRPr="00FC71BE">
        <w:t xml:space="preserve">specific </w:t>
      </w:r>
      <w:r w:rsidR="00AE363F" w:rsidRPr="00FC71BE">
        <w:t>measure</w:t>
      </w:r>
      <w:r w:rsidR="00264CBC" w:rsidRPr="00FC71BE">
        <w:t>ment</w:t>
      </w:r>
      <w:r w:rsidR="00AE363F" w:rsidRPr="00FC71BE">
        <w:t xml:space="preserve"> point shown in </w:t>
      </w:r>
      <w:r w:rsidR="00AE363F" w:rsidRPr="00FC71BE">
        <w:fldChar w:fldCharType="begin"/>
      </w:r>
      <w:r w:rsidR="00AE363F" w:rsidRPr="00FC71BE">
        <w:instrText xml:space="preserve"> REF _Ref149566256 \h </w:instrText>
      </w:r>
      <w:r w:rsidR="00AE363F" w:rsidRPr="00FC71BE">
        <w:fldChar w:fldCharType="separate"/>
      </w:r>
      <w:r w:rsidR="007E62C1" w:rsidRPr="00FC71BE">
        <w:t xml:space="preserve">Fig. </w:t>
      </w:r>
      <w:r w:rsidR="007E62C1" w:rsidRPr="00FC71BE">
        <w:rPr>
          <w:noProof/>
        </w:rPr>
        <w:t>4</w:t>
      </w:r>
      <w:r w:rsidR="007E62C1" w:rsidRPr="00FC71BE">
        <w:t>.</w:t>
      </w:r>
      <w:r w:rsidR="007E62C1" w:rsidRPr="00FC71BE">
        <w:rPr>
          <w:noProof/>
        </w:rPr>
        <w:t>42</w:t>
      </w:r>
      <w:r w:rsidR="00AE363F" w:rsidRPr="00FC71BE">
        <w:fldChar w:fldCharType="end"/>
      </w:r>
      <w:r w:rsidR="00AE363F" w:rsidRPr="00FC71BE">
        <w:t xml:space="preserve"> (b). It is worth noting that, </w:t>
      </w:r>
      <w:r w:rsidR="00B20CFF" w:rsidRPr="00FC71BE">
        <w:t xml:space="preserve">the hot-wire anemometer </w:t>
      </w:r>
      <w:r w:rsidR="006307C3" w:rsidRPr="00FC71BE">
        <w:t>assesses</w:t>
      </w:r>
      <w:r w:rsidR="00C85C4D" w:rsidRPr="00FC71BE">
        <w:t xml:space="preserve"> gas velocity by detecting</w:t>
      </w:r>
      <w:r w:rsidR="00641265" w:rsidRPr="00FC71BE">
        <w:t xml:space="preserve"> variation </w:t>
      </w:r>
      <w:r w:rsidR="00AD57B8" w:rsidRPr="00FC71BE">
        <w:t>in the</w:t>
      </w:r>
      <w:r w:rsidR="00A35165" w:rsidRPr="00FC71BE">
        <w:t xml:space="preserve"> electrical resistance </w:t>
      </w:r>
      <w:r w:rsidR="00E05118" w:rsidRPr="00FC71BE">
        <w:t>of</w:t>
      </w:r>
      <w:r w:rsidR="00A35165" w:rsidRPr="00FC71BE">
        <w:t xml:space="preserve"> </w:t>
      </w:r>
      <w:r w:rsidR="00E05118" w:rsidRPr="00FC71BE">
        <w:t xml:space="preserve">its </w:t>
      </w:r>
      <w:r w:rsidR="00A35165" w:rsidRPr="00FC71BE">
        <w:t>heated wire</w:t>
      </w:r>
      <w:r w:rsidR="001F4CD2" w:rsidRPr="00FC71BE">
        <w:t xml:space="preserve">, which changes with the </w:t>
      </w:r>
      <w:r w:rsidR="00C52929" w:rsidRPr="00FC71BE">
        <w:t>pass</w:t>
      </w:r>
      <w:r w:rsidR="001F4CD2" w:rsidRPr="00FC71BE">
        <w:t>age</w:t>
      </w:r>
      <w:r w:rsidR="001C61D2" w:rsidRPr="00FC71BE">
        <w:t xml:space="preserve"> of gas</w:t>
      </w:r>
      <w:r w:rsidR="00FF4F62" w:rsidRPr="00FC71BE">
        <w:t xml:space="preserve"> </w:t>
      </w:r>
      <w:r w:rsidR="00F921A1" w:rsidRPr="00FC71BE">
        <w:t>through it</w:t>
      </w:r>
      <w:r w:rsidR="00FF4F62" w:rsidRPr="00FC71BE">
        <w:t xml:space="preserve">. </w:t>
      </w:r>
      <w:r w:rsidR="000D366B" w:rsidRPr="00FC71BE">
        <w:t xml:space="preserve">Moreover, the temperatures of coils within the tested machines </w:t>
      </w:r>
      <w:r w:rsidR="003B6375" w:rsidRPr="00FC71BE">
        <w:t>were monitored</w:t>
      </w:r>
      <w:r w:rsidR="000D366B" w:rsidRPr="00FC71BE">
        <w:t xml:space="preserve"> </w:t>
      </w:r>
      <w:r w:rsidR="003B6375" w:rsidRPr="00FC71BE">
        <w:t>using</w:t>
      </w:r>
      <w:r w:rsidR="000D366B" w:rsidRPr="00FC71BE">
        <w:t xml:space="preserve"> </w:t>
      </w:r>
      <w:r w:rsidR="00F57CC6" w:rsidRPr="00FC71BE">
        <w:t>T-type thermocouples</w:t>
      </w:r>
      <w:r w:rsidR="00E14E41" w:rsidRPr="00FC71BE">
        <w:t>,</w:t>
      </w:r>
      <w:r w:rsidR="00F57CC6" w:rsidRPr="00FC71BE">
        <w:t xml:space="preserve"> and the </w:t>
      </w:r>
      <w:r w:rsidR="00E14E41" w:rsidRPr="00FC71BE">
        <w:t xml:space="preserve">recorded </w:t>
      </w:r>
      <w:r w:rsidR="00F57CC6" w:rsidRPr="00FC71BE">
        <w:t xml:space="preserve">data </w:t>
      </w:r>
      <w:r w:rsidR="00E14E41" w:rsidRPr="00FC71BE">
        <w:t>was</w:t>
      </w:r>
      <w:r w:rsidR="00F57CC6" w:rsidRPr="00FC71BE">
        <w:t xml:space="preserve"> </w:t>
      </w:r>
      <w:r w:rsidR="00E14E41" w:rsidRPr="00FC71BE">
        <w:t>logged</w:t>
      </w:r>
      <w:r w:rsidR="00F57CC6" w:rsidRPr="00FC71BE">
        <w:t xml:space="preserve"> by</w:t>
      </w:r>
      <w:r w:rsidR="008470FA" w:rsidRPr="00FC71BE">
        <w:t xml:space="preserve"> </w:t>
      </w:r>
      <w:r w:rsidR="00E14E41" w:rsidRPr="00FC71BE">
        <w:t xml:space="preserve">a </w:t>
      </w:r>
      <w:r w:rsidR="008470FA" w:rsidRPr="00FC71BE">
        <w:t>temperature data logger.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138FBB6D" w14:textId="77777777" w:rsidTr="00E15C83">
        <w:tc>
          <w:tcPr>
            <w:tcW w:w="4508" w:type="dxa"/>
            <w:vAlign w:val="center"/>
          </w:tcPr>
          <w:p w14:paraId="5DC46670" w14:textId="190EA060" w:rsidR="009836B5" w:rsidRPr="00FC71BE" w:rsidRDefault="00A90A14" w:rsidP="009836B5">
            <w:pPr>
              <w:pStyle w:val="Figure"/>
            </w:pPr>
            <w:r w:rsidRPr="00FC71BE">
              <w:drawing>
                <wp:inline distT="0" distB="0" distL="0" distR="0" wp14:anchorId="612B42DD" wp14:editId="6353D125">
                  <wp:extent cx="2671915" cy="3561498"/>
                  <wp:effectExtent l="0" t="0" r="0" b="1270"/>
                  <wp:docPr id="1198251685" name="Picture 1198251685">
                    <a:extLst xmlns:a="http://schemas.openxmlformats.org/drawingml/2006/main">
                      <a:ext uri="{FF2B5EF4-FFF2-40B4-BE49-F238E27FC236}">
                        <a16:creationId xmlns:a16="http://schemas.microsoft.com/office/drawing/2014/main" id="{7958B58E-C1E4-976D-F20F-1F88B1CC72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958B58E-C1E4-976D-F20F-1F88B1CC7215}"/>
                              </a:ext>
                            </a:extLst>
                          </pic:cNvPr>
                          <pic:cNvPicPr>
                            <a:picLocks noChangeAspect="1"/>
                          </pic:cNvPicPr>
                        </pic:nvPicPr>
                        <pic:blipFill>
                          <a:blip r:embed="rId202"/>
                          <a:stretch>
                            <a:fillRect/>
                          </a:stretch>
                        </pic:blipFill>
                        <pic:spPr>
                          <a:xfrm>
                            <a:off x="0" y="0"/>
                            <a:ext cx="2677340" cy="3568729"/>
                          </a:xfrm>
                          <a:prstGeom prst="rect">
                            <a:avLst/>
                          </a:prstGeom>
                        </pic:spPr>
                      </pic:pic>
                    </a:graphicData>
                  </a:graphic>
                </wp:inline>
              </w:drawing>
            </w:r>
          </w:p>
        </w:tc>
        <w:tc>
          <w:tcPr>
            <w:tcW w:w="4508" w:type="dxa"/>
            <w:vAlign w:val="center"/>
          </w:tcPr>
          <w:p w14:paraId="529AB146" w14:textId="3E0ADD6D" w:rsidR="009836B5" w:rsidRPr="00FC71BE" w:rsidRDefault="00CD59E1" w:rsidP="009836B5">
            <w:pPr>
              <w:pStyle w:val="Figure"/>
            </w:pPr>
            <w:r w:rsidRPr="00FC71BE">
              <w:drawing>
                <wp:inline distT="0" distB="0" distL="0" distR="0" wp14:anchorId="41DD83C0" wp14:editId="35E32469">
                  <wp:extent cx="2648569" cy="3530379"/>
                  <wp:effectExtent l="0" t="0" r="0" b="0"/>
                  <wp:docPr id="1989098572" name="Picture 1989098572">
                    <a:extLst xmlns:a="http://schemas.openxmlformats.org/drawingml/2006/main">
                      <a:ext uri="{FF2B5EF4-FFF2-40B4-BE49-F238E27FC236}">
                        <a16:creationId xmlns:a16="http://schemas.microsoft.com/office/drawing/2014/main" id="{62181346-20E6-9F71-6BB9-4C977277EC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2181346-20E6-9F71-6BB9-4C977277ECD0}"/>
                              </a:ext>
                            </a:extLst>
                          </pic:cNvPr>
                          <pic:cNvPicPr>
                            <a:picLocks noChangeAspect="1"/>
                          </pic:cNvPicPr>
                        </pic:nvPicPr>
                        <pic:blipFill>
                          <a:blip r:embed="rId203"/>
                          <a:stretch>
                            <a:fillRect/>
                          </a:stretch>
                        </pic:blipFill>
                        <pic:spPr>
                          <a:xfrm>
                            <a:off x="0" y="0"/>
                            <a:ext cx="2658053" cy="3543021"/>
                          </a:xfrm>
                          <a:prstGeom prst="rect">
                            <a:avLst/>
                          </a:prstGeom>
                        </pic:spPr>
                      </pic:pic>
                    </a:graphicData>
                  </a:graphic>
                </wp:inline>
              </w:drawing>
            </w:r>
          </w:p>
        </w:tc>
      </w:tr>
      <w:tr w:rsidR="00FC71BE" w:rsidRPr="00FC71BE" w14:paraId="0C4D279B" w14:textId="77777777" w:rsidTr="00E15C83">
        <w:tc>
          <w:tcPr>
            <w:tcW w:w="4508" w:type="dxa"/>
            <w:vAlign w:val="center"/>
          </w:tcPr>
          <w:p w14:paraId="0C15F4C8" w14:textId="2F4EE0AB" w:rsidR="009836B5" w:rsidRPr="00FC71BE" w:rsidRDefault="00B63147" w:rsidP="00B63147">
            <w:pPr>
              <w:pStyle w:val="Figure"/>
            </w:pPr>
            <w:r w:rsidRPr="00FC71BE">
              <w:t>(a) Hot-wire anemometer</w:t>
            </w:r>
          </w:p>
        </w:tc>
        <w:tc>
          <w:tcPr>
            <w:tcW w:w="4508" w:type="dxa"/>
            <w:vAlign w:val="center"/>
          </w:tcPr>
          <w:p w14:paraId="415C4844" w14:textId="50038977" w:rsidR="009836B5" w:rsidRPr="00FC71BE" w:rsidRDefault="00B63147" w:rsidP="009836B5">
            <w:pPr>
              <w:pStyle w:val="Figure"/>
            </w:pPr>
            <w:r w:rsidRPr="00FC71BE">
              <w:t xml:space="preserve">(b) </w:t>
            </w:r>
            <w:r w:rsidR="006A2DAE" w:rsidRPr="00FC71BE">
              <w:t>Differential pressure transducer</w:t>
            </w:r>
          </w:p>
        </w:tc>
      </w:tr>
    </w:tbl>
    <w:p w14:paraId="66C9BE3F" w14:textId="5BC0062E" w:rsidR="00281301" w:rsidRPr="00FC71BE" w:rsidRDefault="00281301" w:rsidP="00281301">
      <w:pPr>
        <w:pStyle w:val="FigureTitle"/>
      </w:pPr>
      <w:bookmarkStart w:id="271" w:name="_Ref149566256"/>
      <w:r w:rsidRPr="00FC71BE">
        <w:t xml:space="preserve">Fig. </w:t>
      </w:r>
      <w:fldSimple w:instr=" STYLEREF 1 \s ">
        <w:r w:rsidR="007E62C1" w:rsidRPr="00FC71BE">
          <w:rPr>
            <w:noProof/>
          </w:rPr>
          <w:t>4</w:t>
        </w:r>
      </w:fldSimple>
      <w:r w:rsidRPr="00FC71BE">
        <w:t>.</w:t>
      </w:r>
      <w:fldSimple w:instr=" SEQ Fig. \* ARABIC \s 1 ">
        <w:r w:rsidR="007E62C1" w:rsidRPr="00FC71BE">
          <w:rPr>
            <w:noProof/>
          </w:rPr>
          <w:t>42</w:t>
        </w:r>
      </w:fldSimple>
      <w:bookmarkEnd w:id="271"/>
      <w:r w:rsidRPr="00FC71BE">
        <w:t xml:space="preserve">. </w:t>
      </w:r>
      <w:r w:rsidR="006A2DAE" w:rsidRPr="00FC71BE">
        <w:t xml:space="preserve">Measurement </w:t>
      </w:r>
      <w:r w:rsidR="00E15C83" w:rsidRPr="00FC71BE">
        <w:t>devices</w:t>
      </w:r>
      <w:r w:rsidRPr="00FC71BE">
        <w:t>.</w:t>
      </w:r>
    </w:p>
    <w:p w14:paraId="462AA523" w14:textId="137AAE56" w:rsidR="00C97838" w:rsidRPr="00FC71BE" w:rsidRDefault="00731B1D" w:rsidP="00A90A14">
      <w:r w:rsidRPr="00FC71BE">
        <w:t xml:space="preserve">The </w:t>
      </w:r>
      <w:r w:rsidR="004B5192" w:rsidRPr="00FC71BE">
        <w:t xml:space="preserve">air </w:t>
      </w:r>
      <w:r w:rsidR="009257F2" w:rsidRPr="00FC71BE">
        <w:t>velocity</w:t>
      </w:r>
      <w:r w:rsidRPr="00FC71BE">
        <w:t xml:space="preserve"> for different machine configurations </w:t>
      </w:r>
      <w:r w:rsidR="00C51E1B" w:rsidRPr="00FC71BE">
        <w:t>was</w:t>
      </w:r>
      <w:r w:rsidR="009257F2" w:rsidRPr="00FC71BE">
        <w:t xml:space="preserve"> </w:t>
      </w:r>
      <w:r w:rsidR="000C1B23" w:rsidRPr="00FC71BE">
        <w:t xml:space="preserve">measured </w:t>
      </w:r>
      <w:r w:rsidR="008436F5" w:rsidRPr="00FC71BE">
        <w:t>at</w:t>
      </w:r>
      <w:r w:rsidR="000C1B23" w:rsidRPr="00FC71BE">
        <w:t xml:space="preserve"> different </w:t>
      </w:r>
      <w:r w:rsidR="004B5192" w:rsidRPr="00FC71BE">
        <w:t>fan speed</w:t>
      </w:r>
      <w:r w:rsidR="00BC1E22" w:rsidRPr="00FC71BE">
        <w:t>s</w:t>
      </w:r>
      <w:r w:rsidR="00267EB0" w:rsidRPr="00FC71BE">
        <w:t>. The</w:t>
      </w:r>
      <w:r w:rsidR="00B034CA" w:rsidRPr="00FC71BE">
        <w:t xml:space="preserve"> ‘</w:t>
      </w:r>
      <w:r w:rsidR="00267EB0" w:rsidRPr="00FC71BE">
        <w:t>Modular 1</w:t>
      </w:r>
      <w:r w:rsidR="00B034CA" w:rsidRPr="00FC71BE">
        <w:t>’</w:t>
      </w:r>
      <w:r w:rsidR="00267EB0" w:rsidRPr="00FC71BE">
        <w:t xml:space="preserve"> </w:t>
      </w:r>
      <w:r w:rsidR="005857E8" w:rsidRPr="00FC71BE">
        <w:t xml:space="preserve">configuration, </w:t>
      </w:r>
      <w:r w:rsidR="00655B40" w:rsidRPr="00FC71BE">
        <w:t>characterized by</w:t>
      </w:r>
      <w:r w:rsidR="00B034CA" w:rsidRPr="00FC71BE">
        <w:t xml:space="preserve"> both flux gaps and larger trapezoidal inlet and outlet area</w:t>
      </w:r>
      <w:r w:rsidR="00201D46" w:rsidRPr="00FC71BE">
        <w:t>s</w:t>
      </w:r>
      <w:r w:rsidR="007C43B5" w:rsidRPr="00FC71BE">
        <w:t xml:space="preserve">, </w:t>
      </w:r>
      <w:r w:rsidR="00201D46" w:rsidRPr="00FC71BE">
        <w:t>exhibited</w:t>
      </w:r>
      <w:r w:rsidR="009D35EC" w:rsidRPr="00FC71BE">
        <w:t xml:space="preserve"> higher air velocity</w:t>
      </w:r>
      <w:r w:rsidR="00201D46" w:rsidRPr="00FC71BE">
        <w:t xml:space="preserve"> compared to</w:t>
      </w:r>
      <w:r w:rsidR="009D35EC" w:rsidRPr="00FC71BE">
        <w:t xml:space="preserve"> other machine configurations</w:t>
      </w:r>
      <w:r w:rsidR="00DE4902" w:rsidRPr="00FC71BE">
        <w:t xml:space="preserve">. </w:t>
      </w:r>
      <w:r w:rsidR="006D1B09" w:rsidRPr="00FC71BE">
        <w:t xml:space="preserve">However, </w:t>
      </w:r>
      <w:r w:rsidR="003B2AC6" w:rsidRPr="00FC71BE">
        <w:lastRenderedPageBreak/>
        <w:t>upon</w:t>
      </w:r>
      <w:r w:rsidR="00DE4902" w:rsidRPr="00FC71BE">
        <w:t xml:space="preserve"> insert</w:t>
      </w:r>
      <w:r w:rsidR="003B2AC6" w:rsidRPr="00FC71BE">
        <w:t>ing</w:t>
      </w:r>
      <w:r w:rsidR="00DE4902" w:rsidRPr="00FC71BE">
        <w:t xml:space="preserve"> sheets within flux gaps</w:t>
      </w:r>
      <w:r w:rsidR="00C4771F" w:rsidRPr="00FC71BE">
        <w:t xml:space="preserve">, the air flow </w:t>
      </w:r>
      <w:r w:rsidR="00B17589" w:rsidRPr="00FC71BE">
        <w:t>was obstructed, preventing it from passing through</w:t>
      </w:r>
      <w:r w:rsidR="00A833C5" w:rsidRPr="00FC71BE">
        <w:t xml:space="preserve"> </w:t>
      </w:r>
      <w:r w:rsidR="00C13426" w:rsidRPr="00FC71BE">
        <w:t>flux gaps</w:t>
      </w:r>
      <w:r w:rsidR="00AA3AC1" w:rsidRPr="00FC71BE">
        <w:t>.</w:t>
      </w:r>
      <w:r w:rsidR="00C4771F" w:rsidRPr="00FC71BE">
        <w:t xml:space="preserve"> </w:t>
      </w:r>
      <w:r w:rsidR="00AA3AC1" w:rsidRPr="00FC71BE">
        <w:t>T</w:t>
      </w:r>
      <w:r w:rsidR="00C4771F" w:rsidRPr="00FC71BE">
        <w:t xml:space="preserve">he </w:t>
      </w:r>
      <w:r w:rsidR="000246A2" w:rsidRPr="00FC71BE">
        <w:t>system flow resistance is increased</w:t>
      </w:r>
      <w:r w:rsidR="00AA3AC1" w:rsidRPr="00FC71BE">
        <w:t xml:space="preserve">, </w:t>
      </w:r>
      <w:r w:rsidR="00C77FE2" w:rsidRPr="00FC71BE">
        <w:t>resulting in a</w:t>
      </w:r>
      <w:r w:rsidR="00AA3AC1" w:rsidRPr="00FC71BE">
        <w:t xml:space="preserve"> slightly lower air velocity</w:t>
      </w:r>
      <w:r w:rsidR="008522AF" w:rsidRPr="00FC71BE">
        <w:t xml:space="preserve">. In addition, </w:t>
      </w:r>
      <w:r w:rsidR="00BA430E" w:rsidRPr="00FC71BE">
        <w:t xml:space="preserve">the </w:t>
      </w:r>
      <w:r w:rsidR="008522AF" w:rsidRPr="00FC71BE">
        <w:t>measured result of ‘Modular 2’ show</w:t>
      </w:r>
      <w:r w:rsidR="00872ED1" w:rsidRPr="00FC71BE">
        <w:t>ed a</w:t>
      </w:r>
      <w:r w:rsidR="008522AF" w:rsidRPr="00FC71BE">
        <w:t xml:space="preserve"> </w:t>
      </w:r>
      <w:r w:rsidR="00357255" w:rsidRPr="00FC71BE">
        <w:t>notab</w:t>
      </w:r>
      <w:r w:rsidR="00872ED1" w:rsidRPr="00FC71BE">
        <w:t>ly reduced air velocity</w:t>
      </w:r>
      <w:r w:rsidR="00357255" w:rsidRPr="00FC71BE">
        <w:t>. This reduction</w:t>
      </w:r>
      <w:r w:rsidR="00A46B0D" w:rsidRPr="00FC71BE">
        <w:t xml:space="preserve"> was attributed</w:t>
      </w:r>
      <w:r w:rsidR="00872ED1" w:rsidRPr="00FC71BE">
        <w:t xml:space="preserve"> to </w:t>
      </w:r>
      <w:r w:rsidR="009C6D18" w:rsidRPr="00FC71BE">
        <w:t>very high flow resistance</w:t>
      </w:r>
      <w:r w:rsidR="00297EE8" w:rsidRPr="00FC71BE">
        <w:t xml:space="preserve"> for this configuration,</w:t>
      </w:r>
      <w:r w:rsidR="009C6D18" w:rsidRPr="00FC71BE">
        <w:t xml:space="preserve"> </w:t>
      </w:r>
      <w:r w:rsidR="00E264DA" w:rsidRPr="00FC71BE">
        <w:t>stemming from</w:t>
      </w:r>
      <w:r w:rsidR="0066447D" w:rsidRPr="00FC71BE">
        <w:t xml:space="preserve"> the</w:t>
      </w:r>
      <w:r w:rsidR="009C6D18" w:rsidRPr="00FC71BE">
        <w:t xml:space="preserve"> reduc</w:t>
      </w:r>
      <w:r w:rsidR="0066447D" w:rsidRPr="00FC71BE">
        <w:t>tion in the</w:t>
      </w:r>
      <w:r w:rsidR="009C6D18" w:rsidRPr="00FC71BE">
        <w:t xml:space="preserve"> inlet and outlet area (</w:t>
      </w:r>
      <w:r w:rsidR="009E0C0D" w:rsidRPr="00FC71BE">
        <w:t xml:space="preserve">reduced from </w:t>
      </w:r>
      <w:r w:rsidR="00CA7515" w:rsidRPr="00FC71BE">
        <w:t>426.38mm</w:t>
      </w:r>
      <w:r w:rsidR="00CA7515" w:rsidRPr="00FC71BE">
        <w:rPr>
          <w:vertAlign w:val="superscript"/>
        </w:rPr>
        <w:t>2</w:t>
      </w:r>
      <w:r w:rsidR="00CA7515" w:rsidRPr="00FC71BE">
        <w:t xml:space="preserve"> to </w:t>
      </w:r>
      <w:r w:rsidR="006D2DE9" w:rsidRPr="00FC71BE">
        <w:t>78.53mm</w:t>
      </w:r>
      <w:r w:rsidR="006D2DE9" w:rsidRPr="00FC71BE">
        <w:rPr>
          <w:vertAlign w:val="superscript"/>
        </w:rPr>
        <w:t>2</w:t>
      </w:r>
      <w:r w:rsidR="009C6D18" w:rsidRPr="00FC71BE">
        <w:t>)</w:t>
      </w:r>
      <w:r w:rsidR="00334858" w:rsidRPr="00FC71BE">
        <w:t>.</w:t>
      </w:r>
    </w:p>
    <w:p w14:paraId="0E0137F3" w14:textId="0AE70B85" w:rsidR="006330DE" w:rsidRPr="00FC71BE" w:rsidRDefault="007F6629" w:rsidP="007F6629">
      <w:pPr>
        <w:pStyle w:val="Figure"/>
      </w:pPr>
      <w:r w:rsidRPr="00FC71BE">
        <w:drawing>
          <wp:inline distT="0" distB="0" distL="0" distR="0" wp14:anchorId="5CB1A4D6" wp14:editId="37D40697">
            <wp:extent cx="4363200" cy="2618113"/>
            <wp:effectExtent l="0" t="0" r="0" b="0"/>
            <wp:docPr id="375901894" name="Picture 375901894" descr="A graph of a fan speed&#10;&#10;Description automatically generated">
              <a:extLst xmlns:a="http://schemas.openxmlformats.org/drawingml/2006/main">
                <a:ext uri="{FF2B5EF4-FFF2-40B4-BE49-F238E27FC236}">
                  <a16:creationId xmlns:a16="http://schemas.microsoft.com/office/drawing/2014/main" id="{7626BA53-C405-415A-B157-EA3BBBC7CF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aph of a fan speed&#10;&#10;Description automatically generated">
                      <a:extLst>
                        <a:ext uri="{FF2B5EF4-FFF2-40B4-BE49-F238E27FC236}">
                          <a16:creationId xmlns:a16="http://schemas.microsoft.com/office/drawing/2014/main" id="{7626BA53-C405-415A-B157-EA3BBBC7CF3C}"/>
                        </a:ext>
                      </a:extLst>
                    </pic:cNvPr>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4363200" cy="2618113"/>
                    </a:xfrm>
                    <a:prstGeom prst="rect">
                      <a:avLst/>
                    </a:prstGeom>
                  </pic:spPr>
                </pic:pic>
              </a:graphicData>
            </a:graphic>
          </wp:inline>
        </w:drawing>
      </w:r>
    </w:p>
    <w:p w14:paraId="3F40CBC7" w14:textId="3BBD5936" w:rsidR="007F6629" w:rsidRPr="00FC71BE" w:rsidRDefault="007F6629" w:rsidP="007F6629">
      <w:pPr>
        <w:pStyle w:val="FigureTitle"/>
      </w:pPr>
      <w:r w:rsidRPr="00FC71BE">
        <w:t xml:space="preserve">Fig. </w:t>
      </w:r>
      <w:fldSimple w:instr=" STYLEREF 1 \s ">
        <w:r w:rsidR="007E62C1" w:rsidRPr="00FC71BE">
          <w:rPr>
            <w:noProof/>
          </w:rPr>
          <w:t>4</w:t>
        </w:r>
      </w:fldSimple>
      <w:r w:rsidRPr="00FC71BE">
        <w:t>.</w:t>
      </w:r>
      <w:fldSimple w:instr=" SEQ Fig. \* ARABIC \s 1 ">
        <w:r w:rsidR="007E62C1" w:rsidRPr="00FC71BE">
          <w:rPr>
            <w:noProof/>
          </w:rPr>
          <w:t>43</w:t>
        </w:r>
      </w:fldSimple>
      <w:r w:rsidRPr="00FC71BE">
        <w:t xml:space="preserve">. </w:t>
      </w:r>
      <w:r w:rsidR="004B5192" w:rsidRPr="00FC71BE">
        <w:t>Measured a</w:t>
      </w:r>
      <w:r w:rsidRPr="00FC71BE">
        <w:t>ir velocity at different fan speed</w:t>
      </w:r>
      <w:r w:rsidR="004B5192" w:rsidRPr="00FC71BE">
        <w:t>s</w:t>
      </w:r>
      <w:r w:rsidRPr="00FC71BE">
        <w:t xml:space="preserve"> for various </w:t>
      </w:r>
      <w:r w:rsidR="004B5192" w:rsidRPr="00FC71BE">
        <w:t>machine configurations.</w:t>
      </w:r>
    </w:p>
    <w:p w14:paraId="7FC2CCBC" w14:textId="36AF37CF" w:rsidR="006234B5" w:rsidRPr="00FC71BE" w:rsidRDefault="00F54A3D" w:rsidP="00C24194">
      <w:pPr>
        <w:pStyle w:val="Figure"/>
      </w:pPr>
      <w:r w:rsidRPr="00FC71BE">
        <w:drawing>
          <wp:inline distT="0" distB="0" distL="0" distR="0" wp14:anchorId="7AFCC175" wp14:editId="0742E6B6">
            <wp:extent cx="4363200" cy="2803740"/>
            <wp:effectExtent l="0" t="0" r="0" b="0"/>
            <wp:docPr id="1755606920" name="Picture 1755606920" descr="A graph of a graph showing a measured curve&#10;&#10;Description automatically generated with medium confidence">
              <a:extLst xmlns:a="http://schemas.openxmlformats.org/drawingml/2006/main">
                <a:ext uri="{FF2B5EF4-FFF2-40B4-BE49-F238E27FC236}">
                  <a16:creationId xmlns:a16="http://schemas.microsoft.com/office/drawing/2014/main" id="{20FC5E9F-E8D2-BFDB-0086-4EEAAA1E7D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06920" name="Picture 1755606920" descr="A graph of a graph showing a measured curve&#10;&#10;Description automatically generated with medium confidence">
                      <a:extLst>
                        <a:ext uri="{FF2B5EF4-FFF2-40B4-BE49-F238E27FC236}">
                          <a16:creationId xmlns:a16="http://schemas.microsoft.com/office/drawing/2014/main" id="{20FC5E9F-E8D2-BFDB-0086-4EEAAA1E7D74}"/>
                        </a:ext>
                      </a:extLst>
                    </pic:cNvPr>
                    <pic:cNvPicPr>
                      <a:picLocks noChangeAspect="1"/>
                    </pic:cNvPicPr>
                  </pic:nvPicPr>
                  <pic:blipFill>
                    <a:blip r:embed="rId205"/>
                    <a:stretch>
                      <a:fillRect/>
                    </a:stretch>
                  </pic:blipFill>
                  <pic:spPr>
                    <a:xfrm>
                      <a:off x="0" y="0"/>
                      <a:ext cx="4363200" cy="2803740"/>
                    </a:xfrm>
                    <a:prstGeom prst="rect">
                      <a:avLst/>
                    </a:prstGeom>
                  </pic:spPr>
                </pic:pic>
              </a:graphicData>
            </a:graphic>
          </wp:inline>
        </w:drawing>
      </w:r>
    </w:p>
    <w:p w14:paraId="539B202E" w14:textId="30E4B013" w:rsidR="003B5D95" w:rsidRPr="00FC71BE" w:rsidRDefault="003B5D95" w:rsidP="003B5D95">
      <w:pPr>
        <w:pStyle w:val="FigureTitle"/>
      </w:pPr>
      <w:bookmarkStart w:id="272" w:name="_Ref149574103"/>
      <w:r w:rsidRPr="00FC71BE">
        <w:t xml:space="preserve">Fig. </w:t>
      </w:r>
      <w:fldSimple w:instr=" STYLEREF 1 \s ">
        <w:r w:rsidR="007E62C1" w:rsidRPr="00FC71BE">
          <w:rPr>
            <w:noProof/>
          </w:rPr>
          <w:t>4</w:t>
        </w:r>
      </w:fldSimple>
      <w:r w:rsidRPr="00FC71BE">
        <w:t>.</w:t>
      </w:r>
      <w:fldSimple w:instr=" SEQ Fig. \* ARABIC \s 1 ">
        <w:r w:rsidR="007E62C1" w:rsidRPr="00FC71BE">
          <w:rPr>
            <w:noProof/>
          </w:rPr>
          <w:t>44</w:t>
        </w:r>
      </w:fldSimple>
      <w:bookmarkEnd w:id="272"/>
      <w:r w:rsidRPr="00FC71BE">
        <w:t>. Simulated and measured pressure loss</w:t>
      </w:r>
      <w:r w:rsidR="00133B9A" w:rsidRPr="00FC71BE">
        <w:t>es for different machine stator</w:t>
      </w:r>
      <w:r w:rsidR="00A337B8" w:rsidRPr="00FC71BE">
        <w:t>s</w:t>
      </w:r>
      <w:r w:rsidR="00133B9A" w:rsidRPr="00FC71BE">
        <w:t xml:space="preserve"> and inlet and outlet area combinations</w:t>
      </w:r>
      <w:r w:rsidRPr="00FC71BE">
        <w:t>.</w:t>
      </w:r>
    </w:p>
    <w:p w14:paraId="50438DFC" w14:textId="26DBEDD1" w:rsidR="00CD31B4" w:rsidRPr="00FC71BE" w:rsidRDefault="00CD31B4" w:rsidP="00CD31B4">
      <w:r w:rsidRPr="00FC71BE">
        <w:t xml:space="preserve">The measured and simulated results of pressure losses for all machine configurations at different air velocity are shown in </w:t>
      </w:r>
      <w:r w:rsidRPr="00FC71BE">
        <w:fldChar w:fldCharType="begin"/>
      </w:r>
      <w:r w:rsidRPr="00FC71BE">
        <w:instrText xml:space="preserve"> REF _Ref149574103 \h </w:instrText>
      </w:r>
      <w:r w:rsidRPr="00FC71BE">
        <w:fldChar w:fldCharType="separate"/>
      </w:r>
      <w:r w:rsidRPr="00FC71BE">
        <w:t xml:space="preserve">Fig. </w:t>
      </w:r>
      <w:r w:rsidRPr="00FC71BE">
        <w:rPr>
          <w:noProof/>
        </w:rPr>
        <w:t>4</w:t>
      </w:r>
      <w:r w:rsidRPr="00FC71BE">
        <w:t>.</w:t>
      </w:r>
      <w:r w:rsidRPr="00FC71BE">
        <w:rPr>
          <w:noProof/>
        </w:rPr>
        <w:t>44</w:t>
      </w:r>
      <w:r w:rsidRPr="00FC71BE">
        <w:fldChar w:fldCharType="end"/>
      </w:r>
      <w:r w:rsidRPr="00FC71BE">
        <w:t xml:space="preserve">. Observably, the pressure losses consistently increased as the air velocity rose. Under the same air velocity conditions, the modular machine featuring larger inlet and outlet areas necessitated less pressure due to its reduced system flow </w:t>
      </w:r>
      <w:r w:rsidRPr="00FC71BE">
        <w:lastRenderedPageBreak/>
        <w:t xml:space="preserve">resistance. However, it is important to highlight that due to the manufacturing tolerances, the sheets inserted within the flux gaps did not entirely fill the flux gaps, allowing for a slight passage of airflow. Therefore, the actual flow resistance for this candidate was lower than anticipated, leading to overestimated pressure losses in the simulation, as shown in </w:t>
      </w:r>
      <w:r w:rsidRPr="00FC71BE">
        <w:fldChar w:fldCharType="begin"/>
      </w:r>
      <w:r w:rsidRPr="00FC71BE">
        <w:instrText xml:space="preserve"> REF _Ref149574103 \h </w:instrText>
      </w:r>
      <w:r w:rsidRPr="00FC71BE">
        <w:fldChar w:fldCharType="separate"/>
      </w:r>
      <w:r w:rsidRPr="00FC71BE">
        <w:t xml:space="preserve">Fig. </w:t>
      </w:r>
      <w:r w:rsidRPr="00FC71BE">
        <w:rPr>
          <w:noProof/>
        </w:rPr>
        <w:t>4</w:t>
      </w:r>
      <w:r w:rsidRPr="00FC71BE">
        <w:t>.</w:t>
      </w:r>
      <w:r w:rsidRPr="00FC71BE">
        <w:rPr>
          <w:noProof/>
        </w:rPr>
        <w:t>44</w:t>
      </w:r>
      <w:r w:rsidRPr="00FC71BE">
        <w:fldChar w:fldCharType="end"/>
      </w:r>
      <w:r w:rsidRPr="00FC71BE">
        <w:t>. Moreover, discrepancies between the measured and simulated results were noticeable for the 'Modular 2' configuration. This variance can be attributed to the accuracy limitations of the anemometer and differential pressure transducer. The discrepancy notably decreased with increased fan speeds.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FC71BE" w:rsidRPr="00FC71BE" w14:paraId="3C34D4E6" w14:textId="77777777" w:rsidTr="00133B9A">
        <w:tc>
          <w:tcPr>
            <w:tcW w:w="9026" w:type="dxa"/>
          </w:tcPr>
          <w:p w14:paraId="3A6B29F1" w14:textId="61D5F45A" w:rsidR="006234B5" w:rsidRPr="00FC71BE" w:rsidRDefault="00EF03CE" w:rsidP="00BC48F0">
            <w:pPr>
              <w:pStyle w:val="Figure"/>
            </w:pPr>
            <w:r w:rsidRPr="00FC71BE">
              <w:drawing>
                <wp:inline distT="0" distB="0" distL="0" distR="0" wp14:anchorId="680C12E2" wp14:editId="19A21072">
                  <wp:extent cx="4363200" cy="2618113"/>
                  <wp:effectExtent l="0" t="0" r="0" b="0"/>
                  <wp:docPr id="189364918" name="Picture 189364918" descr="A graph of a graph showing a graph of a graph&#10;&#10;Description automatically generated with medium confidence">
                    <a:extLst xmlns:a="http://schemas.openxmlformats.org/drawingml/2006/main">
                      <a:ext uri="{FF2B5EF4-FFF2-40B4-BE49-F238E27FC236}">
                        <a16:creationId xmlns:a16="http://schemas.microsoft.com/office/drawing/2014/main" id="{8E992714-38A2-4DAB-A685-9B009D48C0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aph of a graph showing a graph of a graph&#10;&#10;Description automatically generated with medium confidence">
                            <a:extLst>
                              <a:ext uri="{FF2B5EF4-FFF2-40B4-BE49-F238E27FC236}">
                                <a16:creationId xmlns:a16="http://schemas.microsoft.com/office/drawing/2014/main" id="{8E992714-38A2-4DAB-A685-9B009D48C085}"/>
                              </a:ext>
                            </a:extLst>
                          </pic:cNvPr>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4363200" cy="2618113"/>
                          </a:xfrm>
                          <a:prstGeom prst="rect">
                            <a:avLst/>
                          </a:prstGeom>
                        </pic:spPr>
                      </pic:pic>
                    </a:graphicData>
                  </a:graphic>
                </wp:inline>
              </w:drawing>
            </w:r>
          </w:p>
        </w:tc>
      </w:tr>
      <w:tr w:rsidR="00FC71BE" w:rsidRPr="00FC71BE" w14:paraId="7498869E" w14:textId="77777777" w:rsidTr="00133B9A">
        <w:tc>
          <w:tcPr>
            <w:tcW w:w="9026" w:type="dxa"/>
          </w:tcPr>
          <w:p w14:paraId="51D85DEF" w14:textId="403EF6CA" w:rsidR="006234B5" w:rsidRPr="00FC71BE" w:rsidRDefault="00B146AA" w:rsidP="00BC48F0">
            <w:pPr>
              <w:pStyle w:val="Figure"/>
            </w:pPr>
            <w:r w:rsidRPr="00FC71BE">
              <w:t xml:space="preserve">(a) </w:t>
            </w:r>
            <w:r w:rsidR="00D5622C" w:rsidRPr="00FC71BE">
              <w:t>over</w:t>
            </w:r>
            <w:r w:rsidRPr="00FC71BE">
              <w:t xml:space="preserve">view of </w:t>
            </w:r>
            <w:r w:rsidR="00D5622C" w:rsidRPr="00FC71BE">
              <w:t xml:space="preserve">full </w:t>
            </w:r>
            <w:r w:rsidR="00F674DD" w:rsidRPr="00FC71BE">
              <w:t>coolant speed range</w:t>
            </w:r>
          </w:p>
        </w:tc>
      </w:tr>
      <w:tr w:rsidR="00FC71BE" w:rsidRPr="00FC71BE" w14:paraId="085885C4" w14:textId="77777777" w:rsidTr="00133B9A">
        <w:tc>
          <w:tcPr>
            <w:tcW w:w="9026" w:type="dxa"/>
          </w:tcPr>
          <w:p w14:paraId="1A7151B6" w14:textId="662719E3" w:rsidR="006234B5" w:rsidRPr="00FC71BE" w:rsidRDefault="009B4931" w:rsidP="00BC48F0">
            <w:pPr>
              <w:pStyle w:val="Figure"/>
            </w:pPr>
            <w:r w:rsidRPr="00FC71BE">
              <w:drawing>
                <wp:inline distT="0" distB="0" distL="0" distR="0" wp14:anchorId="051906F0" wp14:editId="7C5E4679">
                  <wp:extent cx="4363200" cy="2618113"/>
                  <wp:effectExtent l="0" t="0" r="0" b="0"/>
                  <wp:docPr id="1923519900" name="Picture 1923519900" descr="A graph of a graph showing a graph of a graph&#10;&#10;Description automatically generated with medium confidence">
                    <a:extLst xmlns:a="http://schemas.openxmlformats.org/drawingml/2006/main">
                      <a:ext uri="{FF2B5EF4-FFF2-40B4-BE49-F238E27FC236}">
                        <a16:creationId xmlns:a16="http://schemas.microsoft.com/office/drawing/2014/main" id="{6671DDB0-B096-45FC-8F9C-89D2199ABA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aph of a graph showing a graph of a graph&#10;&#10;Description automatically generated with medium confidence">
                            <a:extLst>
                              <a:ext uri="{FF2B5EF4-FFF2-40B4-BE49-F238E27FC236}">
                                <a16:creationId xmlns:a16="http://schemas.microsoft.com/office/drawing/2014/main" id="{6671DDB0-B096-45FC-8F9C-89D2199ABADE}"/>
                              </a:ext>
                            </a:extLst>
                          </pic:cNvPr>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4363200" cy="2618113"/>
                          </a:xfrm>
                          <a:prstGeom prst="rect">
                            <a:avLst/>
                          </a:prstGeom>
                        </pic:spPr>
                      </pic:pic>
                    </a:graphicData>
                  </a:graphic>
                </wp:inline>
              </w:drawing>
            </w:r>
          </w:p>
        </w:tc>
      </w:tr>
      <w:tr w:rsidR="00FC71BE" w:rsidRPr="00FC71BE" w14:paraId="5CCF64BB" w14:textId="77777777" w:rsidTr="00133B9A">
        <w:tc>
          <w:tcPr>
            <w:tcW w:w="9026" w:type="dxa"/>
          </w:tcPr>
          <w:p w14:paraId="47107117" w14:textId="1FC6C944" w:rsidR="006234B5" w:rsidRPr="00FC71BE" w:rsidRDefault="00133B9A" w:rsidP="00BC48F0">
            <w:pPr>
              <w:pStyle w:val="Figure"/>
            </w:pPr>
            <w:r w:rsidRPr="00FC71BE">
              <w:t xml:space="preserve">(b) </w:t>
            </w:r>
            <w:r w:rsidR="00E05AF2" w:rsidRPr="00FC71BE">
              <w:rPr>
                <w:noProof w:val="0"/>
              </w:rPr>
              <w:t xml:space="preserve">zoom-in view of the </w:t>
            </w:r>
            <w:r w:rsidR="00B146AA" w:rsidRPr="00FC71BE">
              <w:rPr>
                <w:noProof w:val="0"/>
              </w:rPr>
              <w:t>high coolant velocity</w:t>
            </w:r>
          </w:p>
        </w:tc>
      </w:tr>
    </w:tbl>
    <w:p w14:paraId="58B88795" w14:textId="3314F04C" w:rsidR="00133B9A" w:rsidRPr="00FC71BE" w:rsidRDefault="00133B9A" w:rsidP="00133B9A">
      <w:pPr>
        <w:pStyle w:val="FigureTitle"/>
      </w:pPr>
      <w:bookmarkStart w:id="273" w:name="_Ref149640657"/>
      <w:bookmarkStart w:id="274" w:name="_Ref149640647"/>
      <w:r w:rsidRPr="00FC71BE">
        <w:t xml:space="preserve">Fig. </w:t>
      </w:r>
      <w:fldSimple w:instr=" STYLEREF 1 \s ">
        <w:r w:rsidR="007E62C1" w:rsidRPr="00FC71BE">
          <w:rPr>
            <w:noProof/>
          </w:rPr>
          <w:t>4</w:t>
        </w:r>
      </w:fldSimple>
      <w:r w:rsidRPr="00FC71BE">
        <w:t>.</w:t>
      </w:r>
      <w:fldSimple w:instr=" SEQ Fig. \* ARABIC \s 1 ">
        <w:r w:rsidR="007E62C1" w:rsidRPr="00FC71BE">
          <w:rPr>
            <w:noProof/>
          </w:rPr>
          <w:t>45</w:t>
        </w:r>
      </w:fldSimple>
      <w:bookmarkEnd w:id="273"/>
      <w:r w:rsidRPr="00FC71BE">
        <w:t>. Simulated and measured machine temperatures for modular machine with large trapezoidal inlet and outlet.</w:t>
      </w:r>
      <w:bookmarkEnd w:id="274"/>
    </w:p>
    <w:p w14:paraId="4553679B" w14:textId="57FA59D7" w:rsidR="00FF0D7A" w:rsidRPr="00FC71BE" w:rsidRDefault="00FF0D7A" w:rsidP="004D7857">
      <w:r w:rsidRPr="00FC71BE">
        <w:lastRenderedPageBreak/>
        <w:t xml:space="preserve">The temperatures of various machine configurations are measured to compare with the simulated results, as shown </w:t>
      </w:r>
      <w:r w:rsidRPr="00FC71BE">
        <w:fldChar w:fldCharType="begin"/>
      </w:r>
      <w:r w:rsidRPr="00FC71BE">
        <w:instrText xml:space="preserve"> REF _Ref149640657 \h  \* MERGEFORMAT </w:instrText>
      </w:r>
      <w:r w:rsidRPr="00FC71BE">
        <w:fldChar w:fldCharType="separate"/>
      </w:r>
      <w:r w:rsidRPr="00FC71BE">
        <w:t xml:space="preserve">Fig. </w:t>
      </w:r>
      <w:r w:rsidRPr="00FC71BE">
        <w:rPr>
          <w:noProof/>
        </w:rPr>
        <w:t>4.45</w:t>
      </w:r>
      <w:r w:rsidRPr="00FC71BE">
        <w:fldChar w:fldCharType="end"/>
      </w:r>
      <w:r w:rsidRPr="00FC71BE">
        <w:t xml:space="preserve"> and </w:t>
      </w:r>
      <w:r w:rsidRPr="00FC71BE">
        <w:fldChar w:fldCharType="begin"/>
      </w:r>
      <w:r w:rsidRPr="00FC71BE">
        <w:instrText xml:space="preserve"> REF _Ref149640658 \h  \* MERGEFORMAT </w:instrText>
      </w:r>
      <w:r w:rsidRPr="00FC71BE">
        <w:fldChar w:fldCharType="separate"/>
      </w:r>
      <w:r w:rsidRPr="00FC71BE">
        <w:t xml:space="preserve">Fig. </w:t>
      </w:r>
      <w:r w:rsidRPr="00FC71BE">
        <w:rPr>
          <w:noProof/>
        </w:rPr>
        <w:t>4.46</w:t>
      </w:r>
      <w:r w:rsidRPr="00FC71BE">
        <w:fldChar w:fldCharType="end"/>
      </w:r>
      <w:r w:rsidRPr="00FC71BE">
        <w:t>. The simulated results indicated that without ventilation cooling, the machine temperature was around 186</w:t>
      </w:r>
      <m:oMath>
        <m:r>
          <w:rPr>
            <w:rFonts w:ascii="Cambria Math" w:hAnsi="Cambria Math"/>
          </w:rPr>
          <m:t>℃</m:t>
        </m:r>
      </m:oMath>
      <w:r w:rsidRPr="00FC71BE">
        <w:t>. However, upon the introduction of ventilated air, the machine temperature reduced significantly to around 50</w:t>
      </w:r>
      <m:oMath>
        <m:r>
          <w:rPr>
            <w:rFonts w:ascii="Cambria Math" w:hAnsi="Cambria Math"/>
          </w:rPr>
          <m:t>℃</m:t>
        </m:r>
      </m:oMath>
      <w:r w:rsidRPr="00FC71BE">
        <w:t xml:space="preserve">. Furthermore, consistently increase air velocity contributed to further reductions in machine temperature for both modular and nonmodular machine configurations. Notably, a strong correlation between the measured and simulated results was evident. It is worth noting that, due to the passage of air resulting from manufacturing tolerances, the measured temperatures were slightly lower than expected, as shown in </w:t>
      </w:r>
      <w:r w:rsidRPr="00FC71BE">
        <w:fldChar w:fldCharType="begin"/>
      </w:r>
      <w:r w:rsidRPr="00FC71BE">
        <w:instrText xml:space="preserve"> REF _Ref149640658 \h  \* MERGEFORMAT </w:instrText>
      </w:r>
      <w:r w:rsidRPr="00FC71BE">
        <w:fldChar w:fldCharType="separate"/>
      </w:r>
      <w:r w:rsidRPr="00FC71BE">
        <w:t xml:space="preserve">Fig. </w:t>
      </w:r>
      <w:r w:rsidRPr="00FC71BE">
        <w:rPr>
          <w:noProof/>
        </w:rPr>
        <w:t>4.46</w:t>
      </w:r>
      <w:r w:rsidRPr="00FC71BE">
        <w:fldChar w:fldCharType="end"/>
      </w:r>
      <w:r w:rsidRPr="00FC71BE">
        <w:t>.</w:t>
      </w:r>
    </w:p>
    <w:p w14:paraId="48CDAAAA" w14:textId="2BD1A12D" w:rsidR="00BB1038" w:rsidRPr="00FC71BE" w:rsidRDefault="002B79DE" w:rsidP="00F674DD">
      <w:pPr>
        <w:pStyle w:val="Figure"/>
      </w:pPr>
      <w:r w:rsidRPr="00FC71BE">
        <w:drawing>
          <wp:inline distT="0" distB="0" distL="0" distR="0" wp14:anchorId="2421096D" wp14:editId="37310394">
            <wp:extent cx="4363200" cy="2618113"/>
            <wp:effectExtent l="0" t="0" r="0" b="0"/>
            <wp:docPr id="1941578845" name="Picture 1941578845" descr="A graph of a graph showing a graph of a graph&#10;&#10;Description automatically generated with medium confidence">
              <a:extLst xmlns:a="http://schemas.openxmlformats.org/drawingml/2006/main">
                <a:ext uri="{FF2B5EF4-FFF2-40B4-BE49-F238E27FC236}">
                  <a16:creationId xmlns:a16="http://schemas.microsoft.com/office/drawing/2014/main" id="{0B8E1755-B789-421F-AF0A-156F60BAE9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aph of a graph showing a graph of a graph&#10;&#10;Description automatically generated with medium confidence">
                      <a:extLst>
                        <a:ext uri="{FF2B5EF4-FFF2-40B4-BE49-F238E27FC236}">
                          <a16:creationId xmlns:a16="http://schemas.microsoft.com/office/drawing/2014/main" id="{0B8E1755-B789-421F-AF0A-156F60BAE9C8}"/>
                        </a:ext>
                      </a:extLst>
                    </pic:cNvPr>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4363200" cy="2618113"/>
                    </a:xfrm>
                    <a:prstGeom prst="rect">
                      <a:avLst/>
                    </a:prstGeom>
                  </pic:spPr>
                </pic:pic>
              </a:graphicData>
            </a:graphic>
          </wp:inline>
        </w:drawing>
      </w:r>
    </w:p>
    <w:p w14:paraId="53938089" w14:textId="0CECD943" w:rsidR="00F674DD" w:rsidRPr="00FC71BE" w:rsidRDefault="00F674DD" w:rsidP="00F674DD">
      <w:pPr>
        <w:pStyle w:val="FigureTitle"/>
      </w:pPr>
      <w:bookmarkStart w:id="275" w:name="_Ref149640658"/>
      <w:bookmarkStart w:id="276" w:name="_Ref149640649"/>
      <w:r w:rsidRPr="00FC71BE">
        <w:t xml:space="preserve">Fig. </w:t>
      </w:r>
      <w:fldSimple w:instr=" STYLEREF 1 \s ">
        <w:r w:rsidR="007E62C1" w:rsidRPr="00FC71BE">
          <w:rPr>
            <w:noProof/>
          </w:rPr>
          <w:t>4</w:t>
        </w:r>
      </w:fldSimple>
      <w:r w:rsidRPr="00FC71BE">
        <w:t>.</w:t>
      </w:r>
      <w:fldSimple w:instr=" SEQ Fig. \* ARABIC \s 1 ">
        <w:r w:rsidR="007E62C1" w:rsidRPr="00FC71BE">
          <w:rPr>
            <w:noProof/>
          </w:rPr>
          <w:t>46</w:t>
        </w:r>
      </w:fldSimple>
      <w:bookmarkEnd w:id="275"/>
      <w:r w:rsidRPr="00FC71BE">
        <w:t>. Simulated and measured machine temperatures for nonmodular machine with large trapezoidal inlet and outlet.</w:t>
      </w:r>
      <w:bookmarkEnd w:id="276"/>
    </w:p>
    <w:p w14:paraId="67C70A1D" w14:textId="77777777" w:rsidR="0045562B" w:rsidRPr="00FC71BE" w:rsidRDefault="0045562B" w:rsidP="00B86C68">
      <w:pPr>
        <w:pStyle w:val="Heading2"/>
        <w:numPr>
          <w:ilvl w:val="1"/>
          <w:numId w:val="49"/>
        </w:numPr>
      </w:pPr>
      <w:bookmarkStart w:id="277" w:name="_Toc157695379"/>
      <w:r w:rsidRPr="00FC71BE">
        <w:t>Conclusion</w:t>
      </w:r>
      <w:bookmarkEnd w:id="277"/>
    </w:p>
    <w:p w14:paraId="59DBEFCC" w14:textId="77777777" w:rsidR="0045562B" w:rsidRPr="00FC71BE" w:rsidRDefault="0045562B" w:rsidP="0045562B">
      <w:r w:rsidRPr="00FC71BE">
        <w:t>In this chapter, two</w:t>
      </w:r>
      <w:r w:rsidRPr="00FC71BE" w:rsidDel="000A272F">
        <w:t xml:space="preserve"> </w:t>
      </w:r>
      <w:r w:rsidRPr="00FC71BE">
        <w:t>types of forced cooling technologies, i.e., semi-flooded oil cooling and ventilation cooling, have been employed for the modular SPM machine and its non-modular counterpart. To investigate the cooling efficiencies of these technologies, understand the flow profiles and the heat transfers, a series of three dimensional CFD modelling has been carried out. The governing equations, fluid models, and boundary conditions are introduced. The flow network analysis is also presented</w:t>
      </w:r>
      <w:r w:rsidRPr="00FC71BE" w:rsidDel="002664E0">
        <w:t xml:space="preserve"> </w:t>
      </w:r>
      <w:r w:rsidRPr="00FC71BE">
        <w:t>in this chapter to illustrate the behaviours of fluid within the investigated machines.</w:t>
      </w:r>
    </w:p>
    <w:p w14:paraId="658B4936" w14:textId="77777777" w:rsidR="0045562B" w:rsidRPr="00FC71BE" w:rsidRDefault="0045562B" w:rsidP="0045562B">
      <w:r w:rsidRPr="00FC71BE">
        <w:t xml:space="preserve">The investigations revealed that the semi-flooded oil cooling system significantly reduces the machine temperatures, especially in the stationary components. The influence of flux gaps on machine cooling has also been discussed. Due to their additional flow path, larger surface </w:t>
      </w:r>
      <w:r w:rsidRPr="00FC71BE">
        <w:lastRenderedPageBreak/>
        <w:t>area of immersed solid, and lower flow resistance, the flux gaps result in lower pressure losses, higher convection coefficient, higher flow rate, and reduced</w:t>
      </w:r>
      <w:r w:rsidRPr="00FC71BE" w:rsidDel="00F15E99">
        <w:t xml:space="preserve"> </w:t>
      </w:r>
      <w:r w:rsidRPr="00FC71BE">
        <w:t>machine temperature for the modular machines. These advantages are amplified when the flux gap width increases. The influences of the cross-sections area of the inlet and outlet for forced cooling technologies have also been investigated. An increased cross-sectional area significantly reduces the dimensionless pressure loss coefficient caused by sudden expansions and contractions. It results in higher flow rate and convection coefficient, and reduced machine temperature. Consequently, a larger cross-sectional area is preferred, provided that the mechanical reliability is not compromised.</w:t>
      </w:r>
    </w:p>
    <w:p w14:paraId="1F5460E8" w14:textId="77777777" w:rsidR="0045562B" w:rsidRPr="00FC71BE" w:rsidRDefault="0045562B" w:rsidP="0045562B">
      <w:r w:rsidRPr="00FC71BE">
        <w:t>The influence of rotor rotation on ventilation cooling efficiency has also been investigated. Due to additional pressure losses caused by shock</w:t>
      </w:r>
      <w:r w:rsidRPr="00FC71BE" w:rsidDel="003221A2">
        <w:t xml:space="preserve"> </w:t>
      </w:r>
      <w:r w:rsidRPr="00FC71BE">
        <w:t>and friction, a rotating machine results in higher pressure loss compared to the stationary case. Increased rotor speed leads to higher pressure losses and may introduce the combining flow phenomenon in</w:t>
      </w:r>
      <w:r w:rsidRPr="00FC71BE" w:rsidDel="00610D80">
        <w:t xml:space="preserve"> </w:t>
      </w:r>
      <w:r w:rsidRPr="00FC71BE">
        <w:t>the machines with rotor ducts. This phenomenon further increases the pressure losses for the entire machine cooling system. While the flux gaps in the modular machine result in lower pressure loss, which is the same as the semi-flooded cooling</w:t>
      </w:r>
      <w:r w:rsidRPr="00FC71BE" w:rsidDel="00E20DC4">
        <w:t xml:space="preserve">, </w:t>
      </w:r>
      <w:r w:rsidRPr="00FC71BE">
        <w:t>the reduction of pressure loss is affected by the combining flow phenomenon. Thus, the benefits of flux gaps in improving cooling efficiency of ventilation cooling system may be diminished at higher rotor speed. The simulation models and conclusions in this chapter have been validated by a series of tests using a motorette that represents the investigated modular machines.</w:t>
      </w:r>
    </w:p>
    <w:p w14:paraId="0DEEDF99" w14:textId="77777777" w:rsidR="00480340" w:rsidRPr="00FC71BE" w:rsidRDefault="00480340" w:rsidP="0045562B"/>
    <w:p w14:paraId="4EEEE139" w14:textId="77777777" w:rsidR="00480340" w:rsidRPr="00FC71BE" w:rsidRDefault="00480340" w:rsidP="0045562B">
      <w:pPr>
        <w:sectPr w:rsidR="00480340" w:rsidRPr="00FC71BE" w:rsidSect="00230564">
          <w:pgSz w:w="11906" w:h="16838"/>
          <w:pgMar w:top="1440" w:right="1440" w:bottom="1440" w:left="1440" w:header="708" w:footer="708" w:gutter="0"/>
          <w:cols w:space="708"/>
          <w:docGrid w:linePitch="360"/>
        </w:sectPr>
      </w:pPr>
    </w:p>
    <w:p w14:paraId="39B57648" w14:textId="77777777" w:rsidR="00406EF8" w:rsidRPr="00FC71BE" w:rsidRDefault="00406EF8" w:rsidP="00B86C68">
      <w:pPr>
        <w:pStyle w:val="Heading1"/>
        <w:numPr>
          <w:ilvl w:val="0"/>
          <w:numId w:val="49"/>
        </w:numPr>
        <w:rPr>
          <w:color w:val="auto"/>
        </w:rPr>
      </w:pPr>
      <w:bookmarkStart w:id="278" w:name="_Toc157695380"/>
      <w:r w:rsidRPr="00FC71BE">
        <w:rPr>
          <w:color w:val="auto"/>
        </w:rPr>
        <w:lastRenderedPageBreak/>
        <w:t>Ferrofluid Cooling for the Modular SPM Machines</w:t>
      </w:r>
      <w:bookmarkEnd w:id="278"/>
    </w:p>
    <w:p w14:paraId="0187824D" w14:textId="77777777" w:rsidR="00406EF8" w:rsidRPr="00FC71BE" w:rsidRDefault="00406EF8" w:rsidP="00406EF8">
      <w:r w:rsidRPr="00FC71BE">
        <w:t xml:space="preserve">Forced cooling systems, including the ventilation cooling and semi-flooded oil cooling has been studied in previous chapters. In this chapter, an advanced thermal management method adopting ferrofluid for improving the end-winding cooling of permanent magnet (PM) machines has been investigated. An oil-based liquid with nano-sized ferromagnetic particles (which is known as ferrofluid) is used to fill in the cavity around the end-windings. This is to establish an effective heat flux path between the end-winding that is often regarded as hot spot in electrical machines and the external cooling system, i.e., water jacket, to improve the cooling performance of the PM machines. This improvement does not only result from the higher thermal conductivity and thermal expansion of the nanofluid with metal particles, but also from strong thermomagnetic convection generated by the magnetic body force of the ferromagnetic particles within the ferrofluid. Multiphysics models considering the interaction between the electromagnetic field, the heat transfer and the fluid dynamics have been built to study the thermal performances of a PM machine under different load conditions. Several factors affecting the thermomagnetic convection such as the temperature dependent magnetization curve of the ferrofluid, the concentration and different ferromagnetic materials as well as different current densities have been investigated to analyse their influences on cooling performance. One major finding is that, compared with other coolant without magnetic body force, the ferrofluid can significantly reduce machine peak temperature, e.g., by around </w:t>
      </w:r>
      <m:oMath>
        <m:r>
          <m:rPr>
            <m:sty m:val="p"/>
          </m:rPr>
          <w:rPr>
            <w:rFonts w:ascii="Cambria Math" w:hAnsi="Cambria Math"/>
          </w:rPr>
          <m:t>36.4 ℃</m:t>
        </m:r>
      </m:oMath>
      <w:r w:rsidRPr="00FC71BE">
        <w:t xml:space="preserve"> when the current density is </w:t>
      </w:r>
      <m:oMath>
        <m:r>
          <m:rPr>
            <m:sty m:val="p"/>
          </m:rPr>
          <w:rPr>
            <w:rFonts w:ascii="Cambria Math" w:hAnsi="Cambria Math"/>
          </w:rPr>
          <m:t>22.1</m:t>
        </m:r>
        <m:f>
          <m:fPr>
            <m:type m:val="lin"/>
            <m:ctrlPr>
              <w:rPr>
                <w:rFonts w:ascii="Cambria Math" w:hAnsi="Cambria Math"/>
                <w:bCs/>
                <w:iCs/>
              </w:rPr>
            </m:ctrlPr>
          </m:fPr>
          <m:num>
            <m:r>
              <m:rPr>
                <m:sty m:val="p"/>
              </m:rPr>
              <w:rPr>
                <w:rFonts w:ascii="Cambria Math" w:hAnsi="Cambria Math"/>
              </w:rPr>
              <m:t>A</m:t>
            </m:r>
          </m:num>
          <m:den>
            <m:sSup>
              <m:sSupPr>
                <m:ctrlPr>
                  <w:rPr>
                    <w:rFonts w:ascii="Cambria Math" w:hAnsi="Cambria Math"/>
                    <w:bCs/>
                    <w:iCs/>
                  </w:rPr>
                </m:ctrlPr>
              </m:sSupPr>
              <m:e>
                <m:r>
                  <m:rPr>
                    <m:sty m:val="p"/>
                  </m:rPr>
                  <w:rPr>
                    <w:rFonts w:ascii="Cambria Math" w:hAnsi="Cambria Math"/>
                  </w:rPr>
                  <m:t>mm</m:t>
                </m:r>
              </m:e>
              <m:sup>
                <m:r>
                  <m:rPr>
                    <m:sty m:val="p"/>
                  </m:rPr>
                  <w:rPr>
                    <w:rFonts w:ascii="Cambria Math" w:hAnsi="Cambria Math"/>
                  </w:rPr>
                  <m:t>2</m:t>
                </m:r>
              </m:sup>
            </m:sSup>
          </m:den>
        </m:f>
      </m:oMath>
      <w:r w:rsidRPr="00FC71BE">
        <w:t>.</w:t>
      </w:r>
    </w:p>
    <w:p w14:paraId="469E64CB" w14:textId="77777777" w:rsidR="00406EF8" w:rsidRPr="00FC71BE" w:rsidRDefault="00406EF8" w:rsidP="00406EF8">
      <w:pPr>
        <w:ind w:firstLine="0"/>
      </w:pPr>
      <w:r w:rsidRPr="00FC71BE">
        <w:t>Publications related to this chapters are listed below:</w:t>
      </w:r>
    </w:p>
    <w:p w14:paraId="458D88A7" w14:textId="0C5768E1" w:rsidR="00406EF8" w:rsidRPr="00FC71BE" w:rsidRDefault="00B11CCE" w:rsidP="00406EF8">
      <w:pPr>
        <w:ind w:firstLine="0"/>
      </w:pPr>
      <w:r w:rsidRPr="00FC71BE">
        <w:t>1.</w:t>
      </w:r>
      <w:r w:rsidR="00406EF8" w:rsidRPr="00FC71BE">
        <w:t xml:space="preserve"> W. Zhang, G. J. Li, B. Ren, Y. C. Chong, M. Michon, "Investigation of Ferrofluid Cooling for High Power Density Permanent Magnet Machines.", </w:t>
      </w:r>
      <w:r w:rsidR="00406EF8" w:rsidRPr="00FC71BE">
        <w:rPr>
          <w:i/>
          <w:iCs/>
        </w:rPr>
        <w:t>IEEE Trans. Magn.</w:t>
      </w:r>
      <w:r w:rsidR="00406EF8" w:rsidRPr="00FC71BE">
        <w:t>, vol. 59, no. 1, pp. 1-11, 2022.</w:t>
      </w:r>
    </w:p>
    <w:p w14:paraId="61C049DB" w14:textId="73877048" w:rsidR="00406EF8" w:rsidRPr="00FC71BE" w:rsidRDefault="00B11CCE" w:rsidP="00406EF8">
      <w:pPr>
        <w:ind w:firstLine="0"/>
      </w:pPr>
      <w:r w:rsidRPr="00FC71BE">
        <w:t>2.</w:t>
      </w:r>
      <w:r w:rsidR="003C5F72" w:rsidRPr="00FC71BE">
        <w:t xml:space="preserve"> </w:t>
      </w:r>
      <w:r w:rsidR="00406EF8" w:rsidRPr="00FC71BE">
        <w:t xml:space="preserve">W. Zhang, G. J. Li, Z. Q. Zhu, B. Ren, Y. C. Chong, M. Michon, "Investigation of Ferrofluid Cooling in Modular Permanent Magnet Machines.", </w:t>
      </w:r>
      <w:r w:rsidR="00406EF8" w:rsidRPr="00FC71BE">
        <w:rPr>
          <w:i/>
          <w:iCs/>
        </w:rPr>
        <w:t>IEEE Trans. Magn.</w:t>
      </w:r>
      <w:r w:rsidR="00406EF8" w:rsidRPr="00FC71BE">
        <w:t>, 2023.</w:t>
      </w:r>
    </w:p>
    <w:p w14:paraId="28DE3293" w14:textId="1811D8ED" w:rsidR="00406EF8" w:rsidRPr="00FC71BE" w:rsidRDefault="00B11CCE" w:rsidP="00406EF8">
      <w:pPr>
        <w:ind w:firstLine="0"/>
      </w:pPr>
      <w:r w:rsidRPr="00FC71BE">
        <w:t>3.</w:t>
      </w:r>
      <w:r w:rsidR="003C5F72" w:rsidRPr="00FC71BE">
        <w:t xml:space="preserve"> </w:t>
      </w:r>
      <w:r w:rsidR="000406E3" w:rsidRPr="00FC71BE">
        <w:t xml:space="preserve">W. Zhang, G. J. Li, </w:t>
      </w:r>
      <w:r w:rsidR="001C19A9" w:rsidRPr="00FC71BE">
        <w:t>and Y. Qin</w:t>
      </w:r>
      <w:r w:rsidR="000406E3" w:rsidRPr="00FC71BE">
        <w:t xml:space="preserve">, "Comparative Study of Ferrofluid Cooling for Permanent Magnet Machines with Different Winding Structures." </w:t>
      </w:r>
      <w:r w:rsidR="000406E3" w:rsidRPr="00FC71BE">
        <w:rPr>
          <w:i/>
          <w:iCs/>
        </w:rPr>
        <w:t xml:space="preserve">IEEE </w:t>
      </w:r>
      <w:r w:rsidR="008B1328" w:rsidRPr="00FC71BE">
        <w:rPr>
          <w:i/>
          <w:iCs/>
        </w:rPr>
        <w:t>Access</w:t>
      </w:r>
      <w:r w:rsidR="001C19A9" w:rsidRPr="00FC71BE">
        <w:rPr>
          <w:i/>
          <w:iCs/>
        </w:rPr>
        <w:t xml:space="preserve"> 2024</w:t>
      </w:r>
      <w:r w:rsidR="00C65583" w:rsidRPr="00FC71BE">
        <w:rPr>
          <w:i/>
          <w:iCs/>
        </w:rPr>
        <w:t>.</w:t>
      </w:r>
      <w:r w:rsidR="000406E3" w:rsidRPr="00FC71BE">
        <w:t xml:space="preserve"> (</w:t>
      </w:r>
      <w:r w:rsidR="007A7E6E" w:rsidRPr="00FC71BE">
        <w:t>Accepted</w:t>
      </w:r>
      <w:r w:rsidR="000406E3" w:rsidRPr="00FC71BE">
        <w:t>).</w:t>
      </w:r>
    </w:p>
    <w:p w14:paraId="6F46E6F9" w14:textId="75EC09E4" w:rsidR="00406EF8" w:rsidRPr="00FC71BE" w:rsidRDefault="00B11CCE" w:rsidP="00406EF8">
      <w:pPr>
        <w:ind w:firstLine="0"/>
      </w:pPr>
      <w:r w:rsidRPr="00FC71BE">
        <w:lastRenderedPageBreak/>
        <w:t>4.</w:t>
      </w:r>
      <w:r w:rsidR="003C5F72" w:rsidRPr="00FC71BE">
        <w:t xml:space="preserve"> </w:t>
      </w:r>
      <w:r w:rsidR="00406EF8" w:rsidRPr="00FC71BE">
        <w:t xml:space="preserve">G. J. Li, Y.F. Zhang, W. Zhang, N. Morley, Z. Q. Zhu, "Thermomagnetic Cooling for High Power Density Electrical Machines.", in </w:t>
      </w:r>
      <w:r w:rsidR="00406EF8" w:rsidRPr="00FC71BE">
        <w:rPr>
          <w:i/>
          <w:iCs/>
        </w:rPr>
        <w:t>2022 IEEE Energy Conversion Congress and Exposition</w:t>
      </w:r>
      <w:r w:rsidR="00406EF8" w:rsidRPr="00FC71BE">
        <w:t xml:space="preserve"> (ECCE), 2022: IEEE, pp. 1-7.</w:t>
      </w:r>
    </w:p>
    <w:p w14:paraId="0E17D9CB" w14:textId="77777777" w:rsidR="00406EF8" w:rsidRPr="00FC71BE" w:rsidRDefault="00406EF8" w:rsidP="00406EF8">
      <w:pPr>
        <w:spacing w:line="259" w:lineRule="auto"/>
        <w:ind w:firstLine="0"/>
        <w:jc w:val="left"/>
      </w:pPr>
      <w:r w:rsidRPr="00FC71BE">
        <w:br w:type="page"/>
      </w:r>
    </w:p>
    <w:p w14:paraId="440AF39F" w14:textId="77777777" w:rsidR="00406EF8" w:rsidRPr="00FC71BE" w:rsidRDefault="00406EF8" w:rsidP="00B86C68">
      <w:pPr>
        <w:pStyle w:val="Heading2"/>
        <w:numPr>
          <w:ilvl w:val="1"/>
          <w:numId w:val="49"/>
        </w:numPr>
      </w:pPr>
      <w:bookmarkStart w:id="279" w:name="_Toc157695381"/>
      <w:r w:rsidRPr="00FC71BE">
        <w:lastRenderedPageBreak/>
        <w:t>Introduction</w:t>
      </w:r>
      <w:bookmarkEnd w:id="279"/>
    </w:p>
    <w:p w14:paraId="73310169" w14:textId="2AEE3D3D" w:rsidR="00406EF8" w:rsidRPr="00FC71BE" w:rsidRDefault="00406EF8" w:rsidP="00406EF8">
      <w:r w:rsidRPr="00FC71BE">
        <w:t xml:space="preserve">Previous chapters introduced some active cooling technologies, i.e., the ventilation cooling and semi-flooded oil cooling, other more “passive” cooling technologies such as potting materials with high thermal conductivity can also be used to replace the air in the end-winding regions to establish an effective heat removal path between the end-windings and the housing water jacket </w:t>
      </w:r>
      <w:r w:rsidRPr="00FC71BE">
        <w:fldChar w:fldCharType="begin"/>
      </w:r>
      <w:r w:rsidR="0000133B" w:rsidRPr="00FC71BE">
        <w:instrText xml:space="preserve"> ADDIN EN.CITE &lt;EndNote&gt;&lt;Cite&gt;&lt;Author&gt;Polikarpova&lt;/Author&gt;&lt;Year&gt;2015&lt;/Year&gt;&lt;RecNum&gt;47&lt;/RecNum&gt;&lt;DisplayText&gt;[74]&lt;/DisplayText&gt;&lt;record&gt;&lt;rec-number&gt;47&lt;/rec-number&gt;&lt;foreign-keys&gt;&lt;key app="EN" db-id="rf2p5e05jx0x9jep00uvx0s1fvaww2dfa0r9" timestamp="1690835972"&gt;47&lt;/key&gt;&lt;/foreign-keys&gt;&lt;ref-type name="Journal Article"&gt;17&lt;/ref-type&gt;&lt;contributors&gt;&lt;authors&gt;&lt;author&gt;Polikarpova, Maria&lt;/author&gt;&lt;author&gt;Ponomarev, Pavel&lt;/author&gt;&lt;author&gt;Lindh, Pia&lt;/author&gt;&lt;author&gt;Petrov, Ilya&lt;/author&gt;&lt;author&gt;Jara, Werner&lt;/author&gt;&lt;author&gt;Naumanen, V&lt;/author&gt;&lt;author&gt;Tapia, Juan A&lt;/author&gt;&lt;author&gt;Pyrhönen, J&lt;/author&gt;&lt;/authors&gt;&lt;/contributors&gt;&lt;titles&gt;&lt;title&gt;Hybrid cooling method of axial-flux permanent-magnet machines for vehicle applications&lt;/title&gt;&lt;secondary-title&gt;IEEE Transactions on Industrial Electronics&lt;/secondary-title&gt;&lt;/titles&gt;&lt;periodical&gt;&lt;full-title&gt;IEEE Transactions on Industrial Electronics&lt;/full-title&gt;&lt;/periodical&gt;&lt;pages&gt;7382-7390&lt;/pages&gt;&lt;volume&gt;62&lt;/volume&gt;&lt;number&gt;12&lt;/number&gt;&lt;dates&gt;&lt;year&gt;2015&lt;/year&gt;&lt;/dates&gt;&lt;isbn&gt;0278-0046&lt;/isbn&gt;&lt;urls&gt;&lt;/urls&gt;&lt;/record&gt;&lt;/Cite&gt;&lt;/EndNote&gt;</w:instrText>
      </w:r>
      <w:r w:rsidRPr="00FC71BE">
        <w:fldChar w:fldCharType="separate"/>
      </w:r>
      <w:r w:rsidR="0000133B" w:rsidRPr="00FC71BE">
        <w:t>[74]</w:t>
      </w:r>
      <w:r w:rsidRPr="00FC71BE">
        <w:fldChar w:fldCharType="end"/>
      </w:r>
      <w:r w:rsidRPr="00FC71BE">
        <w:t xml:space="preserve">. In recent years, another passive cooling technology based on ferrofluid (FF) has been proposed. Ferrofluid can be driven by external magnetic field, leading to the self-circulation of the coolant and a phenomenon called thermomagnetic convection. This means that </w:t>
      </w:r>
      <w:r w:rsidRPr="00FC71BE">
        <w:rPr>
          <w:rFonts w:cs="Arial"/>
          <w:iCs/>
          <w:lang w:eastAsia="en-GB"/>
        </w:rPr>
        <w:t>the closed-circuit liquid supply equipped with mechanical pumps, filters, etc. used in the active cooling systems will not be needed, leading to reduced capital and operating costs.</w:t>
      </w:r>
      <w:r w:rsidRPr="00FC71BE">
        <w:t xml:space="preserve"> Because of the above advantages, ferrofluid has initially been used for power electronics device cooling </w:t>
      </w:r>
      <w:r w:rsidRPr="00FC71BE">
        <w:fldChar w:fldCharType="begin"/>
      </w:r>
      <w:r w:rsidR="00BA33ED" w:rsidRPr="00FC71BE">
        <w:instrText xml:space="preserve"> ADDIN EN.CITE &lt;EndNote&gt;&lt;Cite&gt;&lt;Author&gt;Lian&lt;/Author&gt;&lt;Year&gt;2009&lt;/Year&gt;&lt;RecNum&gt;48&lt;/RecNum&gt;&lt;DisplayText&gt;[183, 184]&lt;/DisplayText&gt;&lt;record&gt;&lt;rec-number&gt;48&lt;/rec-number&gt;&lt;foreign-keys&gt;&lt;key app="EN" db-id="rf2p5e05jx0x9jep00uvx0s1fvaww2dfa0r9" timestamp="1690836100"&gt;48&lt;/key&gt;&lt;/foreign-keys&gt;&lt;ref-type name="Journal Article"&gt;17&lt;/ref-type&gt;&lt;contributors&gt;&lt;authors&gt;&lt;author&gt;Lian, W&lt;/author&gt;&lt;author&gt;Xuan, Y&lt;/author&gt;&lt;author&gt;Li, Q&lt;/author&gt;&lt;/authors&gt;&lt;/contributors&gt;&lt;titles&gt;&lt;title&gt;Characterization of miniature automatic energy transport devices based on the thermomagnetic effect&lt;/title&gt;&lt;secondary-title&gt;Energy Conversion and management&lt;/secondary-title&gt;&lt;/titles&gt;&lt;periodical&gt;&lt;full-title&gt;Energy Conversion and management&lt;/full-title&gt;&lt;/periodical&gt;&lt;pages&gt;35-42&lt;/pages&gt;&lt;volume&gt;50&lt;/volume&gt;&lt;number&gt;1&lt;/number&gt;&lt;dates&gt;&lt;year&gt;2009&lt;/year&gt;&lt;/dates&gt;&lt;isbn&gt;0196-8904&lt;/isbn&gt;&lt;urls&gt;&lt;/urls&gt;&lt;/record&gt;&lt;/Cite&gt;&lt;Cite&gt;&lt;Author&gt;Petit&lt;/Author&gt;&lt;Year&gt;2014&lt;/Year&gt;&lt;RecNum&gt;49&lt;/RecNum&gt;&lt;record&gt;&lt;rec-number&gt;49&lt;/rec-number&gt;&lt;foreign-keys&gt;&lt;key app="EN" db-id="rf2p5e05jx0x9jep00uvx0s1fvaww2dfa0r9" timestamp="1690836151"&gt;49&lt;/key&gt;&lt;/foreign-keys&gt;&lt;ref-type name="Journal Article"&gt;17&lt;/ref-type&gt;&lt;contributors&gt;&lt;authors&gt;&lt;author&gt;Petit, Mickaël&lt;/author&gt;&lt;author&gt;Avenas, Yvan&lt;/author&gt;&lt;author&gt;Kedous-Lebouc, Afef&lt;/author&gt;&lt;author&gt;Cherief, Wahid&lt;/author&gt;&lt;author&gt;Rullière, Elisabeth&lt;/author&gt;&lt;/authors&gt;&lt;/contributors&gt;&lt;titles&gt;&lt;title&gt;Experimental study of a static system based on a magneto-thermal coupling in ferrofluids&lt;/title&gt;&lt;secondary-title&gt;International journal of refrigeration&lt;/secondary-title&gt;&lt;/titles&gt;&lt;periodical&gt;&lt;full-title&gt;International journal of refrigeration&lt;/full-title&gt;&lt;/periodical&gt;&lt;pages&gt;201-208&lt;/pages&gt;&lt;volume&gt;37&lt;/volume&gt;&lt;dates&gt;&lt;year&gt;2014&lt;/year&gt;&lt;/dates&gt;&lt;isbn&gt;0140-7007&lt;/isbn&gt;&lt;urls&gt;&lt;/urls&gt;&lt;/record&gt;&lt;/Cite&gt;&lt;/EndNote&gt;</w:instrText>
      </w:r>
      <w:r w:rsidRPr="00FC71BE">
        <w:fldChar w:fldCharType="separate"/>
      </w:r>
      <w:r w:rsidR="00BA33ED" w:rsidRPr="00FC71BE">
        <w:t>[183, 184]</w:t>
      </w:r>
      <w:r w:rsidRPr="00FC71BE">
        <w:fldChar w:fldCharType="end"/>
      </w:r>
      <w:r w:rsidRPr="00FC71BE">
        <w:t xml:space="preserve"> and transformer cooling </w:t>
      </w:r>
      <w:r w:rsidRPr="00FC71BE">
        <w:fldChar w:fldCharType="begin">
          <w:fldData xml:space="preserve">PEVuZE5vdGU+PENpdGU+PEF1dGhvcj5FbCBEaW5lPC9BdXRob3I+PFllYXI+MjAxOTwvWWVhcj48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</w:fldData>
        </w:fldChar>
      </w:r>
      <w:r w:rsidR="00BA33ED" w:rsidRPr="00FC71BE">
        <w:instrText xml:space="preserve"> ADDIN EN.CITE </w:instrText>
      </w:r>
      <w:r w:rsidR="00BA33ED" w:rsidRPr="00FC71BE">
        <w:fldChar w:fldCharType="begin">
          <w:fldData xml:space="preserve">PEVuZE5vdGU+PENpdGU+PEF1dGhvcj5FbCBEaW5lPC9BdXRob3I+PFllYXI+MjAxOTwvWWVhcj48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</w:fldData>
        </w:fldChar>
      </w:r>
      <w:r w:rsidR="00BA33ED" w:rsidRPr="00FC71BE">
        <w:instrText xml:space="preserve"> ADDIN EN.CITE.DATA </w:instrText>
      </w:r>
      <w:r w:rsidR="00BA33ED" w:rsidRPr="00FC71BE">
        <w:fldChar w:fldCharType="end"/>
      </w:r>
      <w:r w:rsidRPr="00FC71BE">
        <w:fldChar w:fldCharType="separate"/>
      </w:r>
      <w:r w:rsidR="00BA33ED" w:rsidRPr="00FC71BE">
        <w:t>[185-188]</w:t>
      </w:r>
      <w:r w:rsidRPr="00FC71BE">
        <w:fldChar w:fldCharType="end"/>
      </w:r>
      <w:r w:rsidRPr="00FC71BE">
        <w:t xml:space="preserve">. Then, some prior works have been carried out to investigate the feasibility of adopting ferrofluid for cooling the end-windings of electrical machines </w:t>
      </w:r>
      <w:r w:rsidRPr="00FC71BE">
        <w:fldChar w:fldCharType="begin"/>
      </w:r>
      <w:r w:rsidR="00103B0D" w:rsidRPr="00FC71BE">
        <w:instrText xml:space="preserve"> ADDIN EN.CITE &lt;EndNote&gt;&lt;Cite&gt;&lt;Author&gt;Karimi Moghaddam&lt;/Author&gt;&lt;Year&gt;2014&lt;/Year&gt;&lt;RecNum&gt;54&lt;/RecNum&gt;&lt;DisplayText&gt;[68]&lt;/DisplayText&gt;&lt;record&gt;&lt;rec-number&gt;54&lt;/rec-number&gt;&lt;foreign-keys&gt;&lt;key app="EN" db-id="rf2p5e05jx0x9jep00uvx0s1fvaww2dfa0r9" timestamp="1690837634"&gt;54&lt;/key&gt;&lt;/foreign-keys&gt;&lt;ref-type name="Conference Proceedings"&gt;10&lt;/ref-type&gt;&lt;contributors&gt;&lt;authors&gt;&lt;author&gt;Karimi Moghaddam, Giti&lt;/author&gt;&lt;author&gt;Gould, Richard D&lt;/author&gt;&lt;author&gt;Bhattacharya, Subhashish&lt;/author&gt;&lt;author&gt;Tremelling, Darren D&lt;/author&gt;&lt;/authors&gt;&lt;/contributors&gt;&lt;titles&gt;&lt;title&gt;Thermomagnetic liquid cooling: A novel electric machine thermal management solution&lt;/title&gt;&lt;secondary-title&gt;2014 IEEE Energy Conversion Congress and Exposition (ECCE)&lt;/secondary-title&gt;&lt;/titles&gt;&lt;pages&gt;1482-1489&lt;/pages&gt;&lt;dates&gt;&lt;year&gt;2014&lt;/year&gt;&lt;/dates&gt;&lt;publisher&gt;IEEE&lt;/publisher&gt;&lt;isbn&gt;1479957763&lt;/isbn&gt;&lt;urls&gt;&lt;/urls&gt;&lt;/record&gt;&lt;/Cite&gt;&lt;/EndNote&gt;</w:instrText>
      </w:r>
      <w:r w:rsidRPr="00FC71BE">
        <w:fldChar w:fldCharType="separate"/>
      </w:r>
      <w:r w:rsidR="0000133B" w:rsidRPr="00FC71BE">
        <w:t>[68]</w:t>
      </w:r>
      <w:r w:rsidRPr="00FC71BE">
        <w:fldChar w:fldCharType="end"/>
      </w:r>
      <w:r w:rsidRPr="00FC71BE">
        <w:t xml:space="preserve">. It is worth noting that, the model in </w:t>
      </w:r>
      <w:r w:rsidRPr="00FC71BE">
        <w:fldChar w:fldCharType="begin"/>
      </w:r>
      <w:r w:rsidR="00103B0D" w:rsidRPr="00FC71BE">
        <w:instrText xml:space="preserve"> ADDIN EN.CITE &lt;EndNote&gt;&lt;Cite&gt;&lt;Author&gt;Karimi Moghaddam&lt;/Author&gt;&lt;Year&gt;2014&lt;/Year&gt;&lt;RecNum&gt;54&lt;/RecNum&gt;&lt;DisplayText&gt;[68]&lt;/DisplayText&gt;&lt;record&gt;&lt;rec-number&gt;54&lt;/rec-number&gt;&lt;foreign-keys&gt;&lt;key app="EN" db-id="rf2p5e05jx0x9jep00uvx0s1fvaww2dfa0r9" timestamp="1690837634"&gt;54&lt;/key&gt;&lt;/foreign-keys&gt;&lt;ref-type name="Conference Proceedings"&gt;10&lt;/ref-type&gt;&lt;contributors&gt;&lt;authors&gt;&lt;author&gt;Karimi Moghaddam, Giti&lt;/author&gt;&lt;author&gt;Gould, Richard D&lt;/author&gt;&lt;author&gt;Bhattacharya, Subhashish&lt;/author&gt;&lt;author&gt;Tremelling, Darren D&lt;/author&gt;&lt;/authors&gt;&lt;/contributors&gt;&lt;titles&gt;&lt;title&gt;Thermomagnetic liquid cooling: A novel electric machine thermal management solution&lt;/title&gt;&lt;secondary-title&gt;2014 IEEE Energy Conversion Congress and Exposition (ECCE)&lt;/secondary-title&gt;&lt;/titles&gt;&lt;pages&gt;1482-1489&lt;/pages&gt;&lt;dates&gt;&lt;year&gt;2014&lt;/year&gt;&lt;/dates&gt;&lt;publisher&gt;IEEE&lt;/publisher&gt;&lt;isbn&gt;1479957763&lt;/isbn&gt;&lt;urls&gt;&lt;/urls&gt;&lt;/record&gt;&lt;/Cite&gt;&lt;/EndNote&gt;</w:instrText>
      </w:r>
      <w:r w:rsidRPr="00FC71BE">
        <w:fldChar w:fldCharType="separate"/>
      </w:r>
      <w:r w:rsidR="0000133B" w:rsidRPr="00FC71BE">
        <w:t>[68]</w:t>
      </w:r>
      <w:r w:rsidRPr="00FC71BE">
        <w:fldChar w:fldCharType="end"/>
      </w:r>
      <w:r w:rsidRPr="00FC71BE">
        <w:t xml:space="preserve"> did not account for the gravitational effect and temperature dependent properties of the ferrofluid, and hence has limited model accuracy. More accurate multiphysics models of PM machines with ferrofluid cooling will be developed in this chapter, which consider the strong coupling between the electromagnetic field, the fluid dynamics, and the heat transfer. Using these multiphysics models, the influence of ferrofluid properties such as concentration, magnetization, and Curie temperature as well as electrical loading on machine cooling performances will be studied.</w:t>
      </w:r>
    </w:p>
    <w:p w14:paraId="3A101381" w14:textId="6B54B571" w:rsidR="00406EF8" w:rsidRPr="00FC71BE" w:rsidRDefault="00406EF8" w:rsidP="00406EF8">
      <w:r w:rsidRPr="00FC71BE">
        <w:t xml:space="preserve">It is worth noting that, same as other passive cooling technologies such as the end-winding potting, the ferrofluid cooling can only improve the heat transfer inside the machine, particularly the end-winding region. Therefore, its efficiency will ultimately be limited by the cooling efficiency of the external cooling system, i.e., the heat transfer on the housing surface or inside the housing with water jacket, for example. To maximize the cooling efficiency of the ferrofluid cooling, this chapter proposes a hybrid cooling system, which includes a passive ferrofluid cooling system in the end-winding region and a housing water jacket, as shown in </w:t>
      </w:r>
      <w:r w:rsidR="00913D8B" w:rsidRPr="00FC71BE">
        <w:fldChar w:fldCharType="begin"/>
      </w:r>
      <w:r w:rsidR="00913D8B" w:rsidRPr="00FC71BE">
        <w:instrText xml:space="preserve"> REF _Ref148294221 \h </w:instrText>
      </w:r>
      <w:r w:rsidR="00913D8B" w:rsidRPr="00FC71BE">
        <w:fldChar w:fldCharType="separate"/>
      </w:r>
      <w:r w:rsidR="007E62C1" w:rsidRPr="00FC71BE">
        <w:t xml:space="preserve">Fig. </w:t>
      </w:r>
      <w:r w:rsidR="007E62C1" w:rsidRPr="00FC71BE">
        <w:rPr>
          <w:noProof/>
        </w:rPr>
        <w:t>5</w:t>
      </w:r>
      <w:r w:rsidR="007E62C1" w:rsidRPr="00FC71BE">
        <w:t>.</w:t>
      </w:r>
      <w:r w:rsidR="007E62C1" w:rsidRPr="00FC71BE">
        <w:rPr>
          <w:noProof/>
        </w:rPr>
        <w:t>1</w:t>
      </w:r>
      <w:r w:rsidR="00913D8B" w:rsidRPr="00FC71BE">
        <w:fldChar w:fldCharType="end"/>
      </w:r>
      <w:r w:rsidR="00913D8B" w:rsidRPr="00FC71BE">
        <w:t xml:space="preserve"> </w:t>
      </w:r>
      <w:r w:rsidRPr="00FC71BE">
        <w:t xml:space="preserve">(a). Here, a sleeve is used to </w:t>
      </w:r>
      <w:r w:rsidRPr="00FC71BE">
        <w:rPr>
          <w:rFonts w:cs="Times New Roman"/>
        </w:rPr>
        <w:t>separate the stator and rotor parts and it</w:t>
      </w:r>
      <w:r w:rsidRPr="00FC71BE">
        <w:t xml:space="preserve"> </w:t>
      </w:r>
      <w:r w:rsidRPr="00FC71BE">
        <w:rPr>
          <w:rFonts w:cs="Times New Roman"/>
        </w:rPr>
        <w:t>is located in the end-winding region. This helps prevent fluid leakage to the rotating rotor region</w:t>
      </w:r>
      <w:r w:rsidRPr="00FC71BE">
        <w:t>.</w:t>
      </w:r>
    </w:p>
    <w:p w14:paraId="15C9072B" w14:textId="670B2595" w:rsidR="00406EF8" w:rsidRPr="00FC71BE" w:rsidRDefault="00406EF8" w:rsidP="00406EF8">
      <w:r w:rsidRPr="00FC71BE">
        <w:t xml:space="preserve">This chapter also investigates the possibility of adopting ferrofluid for cooling the modular machine. In this study, ferrofluid will be used to fill in the cavity in both the end-space and flux gaps, as shown in </w:t>
      </w:r>
      <w:r w:rsidR="00913D8B" w:rsidRPr="00FC71BE">
        <w:fldChar w:fldCharType="begin"/>
      </w:r>
      <w:r w:rsidR="00913D8B" w:rsidRPr="00FC71BE">
        <w:instrText xml:space="preserve"> REF _Ref148294221 \h </w:instrText>
      </w:r>
      <w:r w:rsidR="00913D8B" w:rsidRPr="00FC71BE">
        <w:fldChar w:fldCharType="separate"/>
      </w:r>
      <w:r w:rsidR="007E62C1" w:rsidRPr="00FC71BE">
        <w:t xml:space="preserve">Fig. </w:t>
      </w:r>
      <w:r w:rsidR="007E62C1" w:rsidRPr="00FC71BE">
        <w:rPr>
          <w:noProof/>
        </w:rPr>
        <w:t>5</w:t>
      </w:r>
      <w:r w:rsidR="007E62C1" w:rsidRPr="00FC71BE">
        <w:t>.</w:t>
      </w:r>
      <w:r w:rsidR="007E62C1" w:rsidRPr="00FC71BE">
        <w:rPr>
          <w:noProof/>
        </w:rPr>
        <w:t>1</w:t>
      </w:r>
      <w:r w:rsidR="00913D8B" w:rsidRPr="00FC71BE">
        <w:fldChar w:fldCharType="end"/>
      </w:r>
      <w:r w:rsidRPr="00FC71BE">
        <w:t xml:space="preserve"> (b). The FGs in the modular machine can provide extra coolant </w:t>
      </w:r>
      <w:r w:rsidRPr="00FC71BE">
        <w:lastRenderedPageBreak/>
        <w:t>circulation of ferrofluid between the stator and the housing. This could help ferrofluid cooling to achieve a better cooling efficiency for the modular machine.</w:t>
      </w:r>
    </w:p>
    <w:p w14:paraId="5C24C526" w14:textId="77777777" w:rsidR="00406EF8" w:rsidRPr="00FC71BE" w:rsidRDefault="00406EF8" w:rsidP="00406EF8">
      <w:r w:rsidRPr="00FC71BE">
        <w:t>Furthermore, different winding topologies, such as single layer and double layer concentrated windings have different thermal performances, and their different winding structures can provide different distributions of magnetic field, as well different cooling efficiency for ferrofluid cooling. As a result, different winding topologies with ferrofluid cooling have also been compared in this chapter.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2F9680C8" w14:textId="77777777">
        <w:tc>
          <w:tcPr>
            <w:tcW w:w="9016" w:type="dxa"/>
          </w:tcPr>
          <w:p w14:paraId="09AC3C6B" w14:textId="77777777" w:rsidR="00406EF8" w:rsidRPr="00FC71BE" w:rsidRDefault="00406EF8">
            <w:pPr>
              <w:pStyle w:val="Figure"/>
              <w:rPr>
                <w:noProof w:val="0"/>
              </w:rPr>
            </w:pPr>
            <w:r w:rsidRPr="00FC71BE">
              <w:drawing>
                <wp:inline distT="0" distB="0" distL="0" distR="0" wp14:anchorId="3A9EB3EB" wp14:editId="7569124A">
                  <wp:extent cx="3245358" cy="2933700"/>
                  <wp:effectExtent l="0" t="0" r="0" b="0"/>
                  <wp:docPr id="1071701619" name="Picture 1071701619" descr="Diagram, polygon&#10;&#10;Description automatically generated with medium confidence">
                    <a:extLst xmlns:a="http://schemas.openxmlformats.org/drawingml/2006/main">
                      <a:ext uri="{FF2B5EF4-FFF2-40B4-BE49-F238E27FC236}">
                        <a16:creationId xmlns:a16="http://schemas.microsoft.com/office/drawing/2014/main" id="{E4957354-CB8B-493A-AEB5-D6C166D85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0" descr="Diagram, polygon&#10;&#10;Description automatically generated with medium confidence">
                            <a:extLst>
                              <a:ext uri="{FF2B5EF4-FFF2-40B4-BE49-F238E27FC236}">
                                <a16:creationId xmlns:a16="http://schemas.microsoft.com/office/drawing/2014/main" id="{E4957354-CB8B-493A-AEB5-D6C166D8570F}"/>
                              </a:ext>
                            </a:extLst>
                          </pic:cNvPr>
                          <pic:cNvPicPr>
                            <a:picLocks noChangeAspect="1"/>
                          </pic:cNvPicPr>
                        </pic:nvPicPr>
                        <pic:blipFill>
                          <a:blip r:embed="rId209"/>
                          <a:stretch>
                            <a:fillRect/>
                          </a:stretch>
                        </pic:blipFill>
                        <pic:spPr>
                          <a:xfrm>
                            <a:off x="0" y="0"/>
                            <a:ext cx="3269397" cy="2955430"/>
                          </a:xfrm>
                          <a:prstGeom prst="rect">
                            <a:avLst/>
                          </a:prstGeom>
                        </pic:spPr>
                      </pic:pic>
                    </a:graphicData>
                  </a:graphic>
                </wp:inline>
              </w:drawing>
            </w:r>
          </w:p>
        </w:tc>
      </w:tr>
      <w:tr w:rsidR="00FC71BE" w:rsidRPr="00FC71BE" w14:paraId="4B4E88CC" w14:textId="77777777">
        <w:tc>
          <w:tcPr>
            <w:tcW w:w="9016" w:type="dxa"/>
          </w:tcPr>
          <w:p w14:paraId="3BD73D11" w14:textId="77777777" w:rsidR="00406EF8" w:rsidRPr="00FC71BE" w:rsidRDefault="00406EF8">
            <w:pPr>
              <w:pStyle w:val="Figure"/>
              <w:rPr>
                <w:noProof w:val="0"/>
              </w:rPr>
            </w:pPr>
            <w:r w:rsidRPr="00FC71BE">
              <w:rPr>
                <w:noProof w:val="0"/>
              </w:rPr>
              <w:t>(a) Non-modular machine</w:t>
            </w:r>
          </w:p>
        </w:tc>
      </w:tr>
      <w:tr w:rsidR="00FC71BE" w:rsidRPr="00FC71BE" w14:paraId="7D407616" w14:textId="77777777">
        <w:tc>
          <w:tcPr>
            <w:tcW w:w="9016" w:type="dxa"/>
          </w:tcPr>
          <w:p w14:paraId="1EE2C8DD" w14:textId="77777777" w:rsidR="00406EF8" w:rsidRPr="00FC71BE" w:rsidRDefault="00406EF8">
            <w:pPr>
              <w:pStyle w:val="Figure"/>
              <w:rPr>
                <w:noProof w:val="0"/>
              </w:rPr>
            </w:pPr>
            <w:r w:rsidRPr="00FC71BE">
              <w:drawing>
                <wp:inline distT="0" distB="0" distL="0" distR="0" wp14:anchorId="5AEF8B81" wp14:editId="32C7BFFC">
                  <wp:extent cx="4116780" cy="2349500"/>
                  <wp:effectExtent l="0" t="0" r="0" b="0"/>
                  <wp:docPr id="1" name="Picture 1" descr="Graphical user interface,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diagram&#10;&#10;Description automatically generated with medium confidenc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131687" cy="2358008"/>
                          </a:xfrm>
                          <a:prstGeom prst="rect">
                            <a:avLst/>
                          </a:prstGeom>
                          <a:noFill/>
                        </pic:spPr>
                      </pic:pic>
                    </a:graphicData>
                  </a:graphic>
                </wp:inline>
              </w:drawing>
            </w:r>
          </w:p>
        </w:tc>
      </w:tr>
      <w:tr w:rsidR="00FC71BE" w:rsidRPr="00FC71BE" w14:paraId="535BD969" w14:textId="77777777">
        <w:tc>
          <w:tcPr>
            <w:tcW w:w="9016" w:type="dxa"/>
          </w:tcPr>
          <w:p w14:paraId="2CFF25DA" w14:textId="77777777" w:rsidR="00406EF8" w:rsidRPr="00FC71BE" w:rsidRDefault="00406EF8">
            <w:pPr>
              <w:pStyle w:val="Figure"/>
              <w:rPr>
                <w:noProof w:val="0"/>
              </w:rPr>
            </w:pPr>
            <w:r w:rsidRPr="00FC71BE">
              <w:rPr>
                <w:noProof w:val="0"/>
              </w:rPr>
              <w:t>(b) Modular machine</w:t>
            </w:r>
          </w:p>
        </w:tc>
      </w:tr>
    </w:tbl>
    <w:p w14:paraId="05B07A59" w14:textId="50B057B4" w:rsidR="00406EF8" w:rsidRPr="00FC71BE" w:rsidRDefault="00406EF8" w:rsidP="00406EF8">
      <w:pPr>
        <w:pStyle w:val="FigureTitle"/>
      </w:pPr>
      <w:bookmarkStart w:id="280" w:name="_Ref148294221"/>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w:t>
        </w:r>
      </w:fldSimple>
      <w:bookmarkEnd w:id="280"/>
      <w:r w:rsidRPr="00FC71BE">
        <w:t>. PM machine with ferrofluid around end-windings and water jacket embedded in the housing. FF stands for ferrofluid.</w:t>
      </w:r>
    </w:p>
    <w:p w14:paraId="5E525CB5" w14:textId="77777777" w:rsidR="00406EF8" w:rsidRPr="00FC71BE" w:rsidRDefault="00406EF8" w:rsidP="00B86C68">
      <w:pPr>
        <w:pStyle w:val="Heading2"/>
        <w:numPr>
          <w:ilvl w:val="1"/>
          <w:numId w:val="49"/>
        </w:numPr>
      </w:pPr>
      <w:bookmarkStart w:id="281" w:name="_Toc157695382"/>
      <w:r w:rsidRPr="00FC71BE">
        <w:lastRenderedPageBreak/>
        <w:t>Theoretical Background</w:t>
      </w:r>
      <w:bookmarkEnd w:id="281"/>
    </w:p>
    <w:p w14:paraId="18BB6452" w14:textId="62C36DD3" w:rsidR="00406EF8" w:rsidRPr="00FC71BE" w:rsidRDefault="00406EF8" w:rsidP="00406EF8">
      <w:r w:rsidRPr="00FC71BE">
        <w:t xml:space="preserve">Ferrofluid has seen a rapid development since it was first synthesized by Solomon Stephen Papell in 1963. It is often composed of nano-sized ferro- or ferrimagnetic particles and suspended in a liquid base. Typically, the diameter of nano-sized ferromagnetic particles is around </w:t>
      </w:r>
      <m:oMath>
        <m:r>
          <w:rPr>
            <w:rFonts w:ascii="Cambria Math" w:hAnsi="Cambria Math"/>
          </w:rPr>
          <m:t xml:space="preserve">3~15 </m:t>
        </m:r>
        <m:r>
          <m:rPr>
            <m:sty m:val="p"/>
          </m:rPr>
          <w:rPr>
            <w:rFonts w:ascii="Cambria Math" w:hAnsi="Cambria Math"/>
          </w:rPr>
          <m:t>nm</m:t>
        </m:r>
      </m:oMath>
      <w:r w:rsidRPr="00FC71BE">
        <w:t>. This is because larger size of nanoparticles can reduce the suspension stability whilst smaller size (</w:t>
      </w:r>
      <m:oMath>
        <m:r>
          <w:rPr>
            <w:rFonts w:ascii="Cambria Math" w:hAnsi="Cambria Math"/>
          </w:rPr>
          <m:t xml:space="preserve">1~2 </m:t>
        </m:r>
        <m:r>
          <m:rPr>
            <m:sty m:val="p"/>
          </m:rPr>
          <w:rPr>
            <w:rFonts w:ascii="Cambria Math" w:hAnsi="Cambria Math"/>
          </w:rPr>
          <m:t>nm</m:t>
        </m:r>
      </m:oMath>
      <w:r w:rsidRPr="00FC71BE">
        <w:t xml:space="preserve">) can suppress their magnetic properties </w:t>
      </w:r>
      <w:r w:rsidRPr="00FC71BE">
        <w:fldChar w:fldCharType="begin"/>
      </w:r>
      <w:r w:rsidR="00BA33ED" w:rsidRPr="00FC71BE">
        <w:instrText xml:space="preserve"> ADDIN EN.CITE &lt;EndNote&gt;&lt;Cite&gt;&lt;Author&gt;Rosensweig&lt;/Author&gt;&lt;Year&gt;2013&lt;/Year&gt;&lt;RecNum&gt;55&lt;/RecNum&gt;&lt;DisplayText&gt;[189-191]&lt;/DisplayText&gt;&lt;record&gt;&lt;rec-number&gt;55&lt;/rec-number&gt;&lt;foreign-keys&gt;&lt;key app="EN" db-id="rf2p5e05jx0x9jep00uvx0s1fvaww2dfa0r9" timestamp="1690837744"&gt;55&lt;/key&gt;&lt;/foreign-keys&gt;&lt;ref-type name="Book"&gt;6&lt;/ref-type&gt;&lt;contributors&gt;&lt;authors&gt;&lt;author&gt;Rosensweig, Ronald E&lt;/author&gt;&lt;/authors&gt;&lt;/contributors&gt;&lt;titles&gt;&lt;title&gt;Ferrohydrodynamics&lt;/title&gt;&lt;/titles&gt;&lt;dates&gt;&lt;year&gt;2013&lt;/year&gt;&lt;/dates&gt;&lt;publisher&gt;Courier Corporation&lt;/publisher&gt;&lt;isbn&gt;0486783006&lt;/isbn&gt;&lt;urls&gt;&lt;/urls&gt;&lt;/record&gt;&lt;/Cite&gt;&lt;Cite&gt;&lt;Author&gt;Berkovsky&lt;/Author&gt;&lt;Year&gt;1993&lt;/Year&gt;&lt;RecNum&gt;56&lt;/RecNum&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Cite&gt;&lt;Author&gt;Charles&lt;/Author&gt;&lt;Year&gt;2002&lt;/Year&gt;&lt;RecNum&gt;57&lt;/RecNum&gt;&lt;record&gt;&lt;rec-number&gt;57&lt;/rec-number&gt;&lt;foreign-keys&gt;&lt;key app="EN" db-id="rf2p5e05jx0x9jep00uvx0s1fvaww2dfa0r9" timestamp="1690837842"&gt;57&lt;/key&gt;&lt;/foreign-keys&gt;&lt;ref-type name="Journal Article"&gt;17&lt;/ref-type&gt;&lt;contributors&gt;&lt;authors&gt;&lt;author&gt;Charles, Stuart W&lt;/author&gt;&lt;/authors&gt;&lt;/contributors&gt;&lt;titles&gt;&lt;title&gt;The preparation of magnetic fluids&lt;/title&gt;&lt;secondary-title&gt;Ferrofluids: magnetically controllable fluids and their applications&lt;/secondary-title&gt;&lt;/titles&gt;&lt;periodical&gt;&lt;full-title&gt;Ferrofluids: magnetically controllable fluids and their applications&lt;/full-title&gt;&lt;/periodical&gt;&lt;pages&gt;3-18&lt;/pages&gt;&lt;dates&gt;&lt;year&gt;2002&lt;/year&gt;&lt;/dates&gt;&lt;isbn&gt;3540439781&lt;/isbn&gt;&lt;urls&gt;&lt;/urls&gt;&lt;/record&gt;&lt;/Cite&gt;&lt;/EndNote&gt;</w:instrText>
      </w:r>
      <w:r w:rsidRPr="00FC71BE">
        <w:fldChar w:fldCharType="separate"/>
      </w:r>
      <w:r w:rsidR="00BA33ED" w:rsidRPr="00FC71BE">
        <w:t>[189-191]</w:t>
      </w:r>
      <w:r w:rsidRPr="00FC71BE">
        <w:fldChar w:fldCharType="end"/>
      </w:r>
      <w:r w:rsidRPr="00FC71BE">
        <w:t>. The properties of ferrofluid vary with the size of the nanoparticles, the concentration, the temperature, and the applied external magnetic field. This will be detailed in the following sections.</w:t>
      </w:r>
    </w:p>
    <w:p w14:paraId="68046C16" w14:textId="77777777" w:rsidR="00406EF8" w:rsidRPr="00FC71BE" w:rsidRDefault="00406EF8" w:rsidP="00B86C68">
      <w:pPr>
        <w:pStyle w:val="Heading3"/>
        <w:numPr>
          <w:ilvl w:val="2"/>
          <w:numId w:val="49"/>
        </w:numPr>
      </w:pPr>
      <w:bookmarkStart w:id="282" w:name="_Toc157695383"/>
      <w:r w:rsidRPr="00FC71BE">
        <w:t>Properties of Ferrofluids</w:t>
      </w:r>
      <w:bookmarkEnd w:id="282"/>
      <w:r w:rsidRPr="00FC71BE">
        <w:t xml:space="preserve"> </w:t>
      </w:r>
    </w:p>
    <w:p w14:paraId="0CB38114" w14:textId="77777777" w:rsidR="00406EF8" w:rsidRPr="00FC71BE" w:rsidRDefault="00406EF8" w:rsidP="00406EF8">
      <w:r w:rsidRPr="00FC71BE">
        <w:t>As mentioned above, one reason that the ferrofluids can be used in machine cooling is that under an external magnetic field (often produced by the end-windings), the nanoparticles in the ferrofluid are subjected to a magnetic body force. This magnetic body force will drive the coolant, leading to thermomagnetic convection, which helps cool the end-windings. It is generally true that increasing this magnetic body force can enhance the cooling efficiency of the ferrofluid. The magnetic body force mainly depends on the applied external magnetic field and the magnetization of the ferrofluids. The magnetization, the density, the thermal conductivity, and capacity, as well as the viscosity of ferrofluids are dependent on the temperature, the concentration and the intrinsic properties of the solvent and the solute. These properties need to be carefully investigated in order to maximize the potential of ferrofluids in machine cooling.</w:t>
      </w:r>
    </w:p>
    <w:p w14:paraId="5D6BA41F" w14:textId="77777777" w:rsidR="00406EF8" w:rsidRPr="00FC71BE" w:rsidRDefault="00406EF8" w:rsidP="006E6817">
      <w:pPr>
        <w:pStyle w:val="Heading4"/>
        <w:numPr>
          <w:ilvl w:val="0"/>
          <w:numId w:val="41"/>
        </w:numPr>
      </w:pPr>
      <w:r w:rsidRPr="00FC71BE">
        <w:t>Magnetization</w:t>
      </w:r>
    </w:p>
    <w:p w14:paraId="05841A86" w14:textId="13EF9F58" w:rsidR="00406EF8" w:rsidRPr="00FC71BE" w:rsidRDefault="00406EF8" w:rsidP="00406EF8">
      <w:r w:rsidRPr="00FC71BE">
        <w:t>The magnetization curve of ferrofluid is similar to that of a ferromagnet, one example is shown in</w:t>
      </w:r>
      <w:r w:rsidR="00913D8B" w:rsidRPr="00FC71BE">
        <w:t xml:space="preserve"> </w:t>
      </w:r>
      <w:r w:rsidR="00913D8B" w:rsidRPr="00FC71BE">
        <w:fldChar w:fldCharType="begin"/>
      </w:r>
      <w:r w:rsidR="00913D8B" w:rsidRPr="00FC71BE">
        <w:instrText xml:space="preserve"> REF _Ref148294250 \h </w:instrText>
      </w:r>
      <w:r w:rsidR="00913D8B" w:rsidRPr="00FC71BE">
        <w:fldChar w:fldCharType="separate"/>
      </w:r>
      <w:r w:rsidR="007E62C1" w:rsidRPr="00FC71BE">
        <w:t xml:space="preserve">Fig. </w:t>
      </w:r>
      <w:r w:rsidR="007E62C1" w:rsidRPr="00FC71BE">
        <w:rPr>
          <w:noProof/>
        </w:rPr>
        <w:t>5</w:t>
      </w:r>
      <w:r w:rsidR="007E62C1" w:rsidRPr="00FC71BE">
        <w:t>.</w:t>
      </w:r>
      <w:r w:rsidR="007E62C1" w:rsidRPr="00FC71BE">
        <w:rPr>
          <w:noProof/>
        </w:rPr>
        <w:t>2</w:t>
      </w:r>
      <w:r w:rsidR="00913D8B" w:rsidRPr="00FC71BE">
        <w:fldChar w:fldCharType="end"/>
      </w:r>
      <w:r w:rsidRPr="00FC71BE">
        <w:t>. Its magnetization increases with increased external magnetic field strength, while the slope gradually reduces to near 0 when it reaches the saturation magnetization (</w:t>
      </w:r>
      <m:oMath>
        <m:sSub>
          <m:sSubPr>
            <m:ctrlPr>
              <w:rPr>
                <w:rFonts w:ascii="Cambria Math" w:hAnsi="Cambria Math"/>
                <w:i/>
              </w:rPr>
            </m:ctrlPr>
          </m:sSubPr>
          <m:e>
            <m:r>
              <w:rPr>
                <w:rFonts w:ascii="Cambria Math" w:hAnsi="Cambria Math"/>
              </w:rPr>
              <m:t>M</m:t>
            </m:r>
          </m:e>
          <m:sub>
            <m:r>
              <w:rPr>
                <w:rFonts w:ascii="Cambria Math" w:hAnsi="Cambria Math"/>
              </w:rPr>
              <m:t>0</m:t>
            </m:r>
          </m:sub>
        </m:sSub>
      </m:oMath>
      <w:r w:rsidRPr="00FC71BE">
        <w:t>) where all the dipoles in the ferrofluid are aligned with the external magnetic field. However, since the ferrofluid is often placed under relatively weak magnetic fields, the Langevin argument (</w:t>
      </w:r>
      <m:oMath>
        <m:r>
          <w:rPr>
            <w:rFonts w:ascii="Cambria Math" w:hAnsi="Cambria Math"/>
          </w:rPr>
          <m:t>ξ</m:t>
        </m:r>
      </m:oMath>
      <w:r w:rsidRPr="00FC71BE">
        <w:t xml:space="preserve">) is much smaller than 1. In this case, the ferrofluid can be regarded as superparamagnetic fluid, the magnetization of which increases linearly with the magnetic field strength </w:t>
      </w:r>
      <w:r w:rsidRPr="00FC71BE">
        <w:fldChar w:fldCharType="begin"/>
      </w:r>
      <w:r w:rsidR="00BA33ED" w:rsidRPr="00FC71BE">
        <w:instrText xml:space="preserve"> ADDIN EN.CITE &lt;EndNote&gt;&lt;Cite&gt;&lt;Author&gt;Berkovsky&lt;/Author&gt;&lt;Year&gt;1993&lt;/Year&gt;&lt;RecNum&gt;56&lt;/RecNum&gt;&lt;DisplayText&gt;[190]&lt;/DisplayText&gt;&lt;record&gt;&lt;rec-number&gt;56&lt;/rec-number&gt;&lt;foreign-keys&gt;&lt;key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applications&lt;/title&gt;&lt;/titles&gt;&lt;dates&gt;&lt;year&gt;1993&lt;/year&gt;&lt;/dates&gt;&lt;urls&gt;&lt;/urls&gt;&lt;/record&gt;&lt;/Cite&gt;&lt;/EndNote&gt;</w:instrText>
      </w:r>
      <w:r w:rsidRPr="00FC71BE">
        <w:fldChar w:fldCharType="separate"/>
      </w:r>
      <w:r w:rsidR="00BA33ED" w:rsidRPr="00FC71BE">
        <w:t>[190]</w:t>
      </w:r>
      <w:r w:rsidRPr="00FC71BE">
        <w:fldChar w:fldCharType="end"/>
      </w:r>
      <w:r w:rsidRPr="00FC71BE">
        <w:t xml:space="preserve">. According to Brillouin and Langevin law, </w:t>
      </w:r>
      <m:oMath>
        <m:r>
          <w:rPr>
            <w:rFonts w:ascii="Cambria Math" w:hAnsi="Cambria Math"/>
          </w:rPr>
          <m:t>ξ</m:t>
        </m:r>
      </m:oMath>
      <w:r w:rsidRPr="00FC71BE">
        <w:t xml:space="preserve"> and the magnetization (</w:t>
      </w:r>
      <w:r w:rsidRPr="00FC71BE">
        <w:rPr>
          <w:i/>
          <w:iCs/>
        </w:rPr>
        <w:t>M</w:t>
      </w:r>
      <w:r w:rsidRPr="00FC71BE">
        <w:t xml:space="preserve">) of a paramagnet can be described by </w:t>
      </w:r>
      <w:r w:rsidRPr="00FC71BE">
        <w:fldChar w:fldCharType="begin"/>
      </w:r>
      <w:r w:rsidR="00BA33ED" w:rsidRPr="00FC71BE">
        <w:instrText xml:space="preserve"> ADDIN EN.CITE &lt;EndNote&gt;&lt;Cite&gt;&lt;Author&gt;Rosensweig&lt;/Author&gt;&lt;Year&gt;2013&lt;/Year&gt;&lt;RecNum&gt;55&lt;/RecNum&gt;&lt;DisplayText&gt;[189, 190, 192]&lt;/DisplayText&gt;&lt;record&gt;&lt;rec-number&gt;55&lt;/rec-number&gt;&lt;foreign-keys&gt;&lt;key app="EN" db-id="rf2p5e05jx0x9jep00uvx0s1fvaww2dfa0r9" timestamp="1690837744"&gt;55&lt;/key&gt;&lt;/foreign-keys&gt;&lt;ref-type name="Book"&gt;6&lt;/ref-type&gt;&lt;contributors&gt;&lt;authors&gt;&lt;author&gt;Rosensweig, Ronald E&lt;/author&gt;&lt;/authors&gt;&lt;/contributors&gt;&lt;titles&gt;&lt;title&gt;Ferrohydrodynamics&lt;/title&gt;&lt;/titles&gt;&lt;dates&gt;&lt;year&gt;2013&lt;/year&gt;&lt;/dates&gt;&lt;publisher&gt;Courier Corporation&lt;/publisher&gt;&lt;isbn&gt;0486783006&lt;/isbn&gt;&lt;urls&gt;&lt;/urls&gt;&lt;/record&gt;&lt;/Cite&gt;&lt;Cite&gt;&lt;Author&gt;Berkovsky&lt;/Author&gt;&lt;Year&gt;1993&lt;/Year&gt;&lt;RecNum&gt;56&lt;/RecNum&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Cite&gt;&lt;Author&gt;Chikazumi&lt;/Author&gt;&lt;Year&gt;1997&lt;/Year&gt;&lt;RecNum&gt;58&lt;/RecNum&gt;&lt;record&gt;&lt;rec-number&gt;58&lt;/rec-number&gt;&lt;foreign-keys&gt;&lt;key app="EN" db-id="rf2p5e05jx0x9jep00uvx0s1fvaww2dfa0r9" timestamp="1690976944"&gt;58&lt;/key&gt;&lt;/foreign-keys&gt;&lt;ref-type name="Book"&gt;6&lt;/ref-type&gt;&lt;contributors&gt;&lt;authors&gt;&lt;author&gt;Chikazumi, Sōshin&lt;/author&gt;&lt;/authors&gt;&lt;/contributors&gt;&lt;titles&gt;&lt;title&gt;Physics of ferromagnetism&lt;/title&gt;&lt;/titles&gt;&lt;number&gt;94&lt;/number&gt;&lt;dates&gt;&lt;year&gt;1997&lt;/year&gt;&lt;/dates&gt;&lt;publisher&gt;Oxford university press&lt;/publisher&gt;&lt;isbn&gt;0198517769&lt;/isbn&gt;&lt;urls&gt;&lt;/urls&gt;&lt;/record&gt;&lt;/Cite&gt;&lt;/EndNote&gt;</w:instrText>
      </w:r>
      <w:r w:rsidRPr="00FC71BE">
        <w:fldChar w:fldCharType="separate"/>
      </w:r>
      <w:r w:rsidR="00BA33ED" w:rsidRPr="00FC71BE">
        <w:t>[189, 190, 192]</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D9EEF2E" w14:textId="77777777">
        <w:tc>
          <w:tcPr>
            <w:tcW w:w="4493" w:type="pct"/>
            <w:vAlign w:val="center"/>
          </w:tcPr>
          <w:p w14:paraId="37FA3151" w14:textId="77777777" w:rsidR="00406EF8" w:rsidRPr="00FC71BE" w:rsidRDefault="00406EF8">
            <w:pPr>
              <w:pStyle w:val="equation"/>
              <w:rPr>
                <w:color w:val="auto"/>
              </w:rPr>
            </w:pPr>
            <m:oMathPara>
              <m:oMath>
                <m:r>
                  <w:rPr>
                    <w:rFonts w:ascii="Cambria Math" w:hAnsi="Cambria Math"/>
                    <w:color w:val="auto"/>
                  </w:rPr>
                  <w:lastRenderedPageBreak/>
                  <m:t>ξ</m:t>
                </m:r>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w:rPr>
                            <w:rFonts w:ascii="Cambria Math" w:hAnsi="Cambria Math"/>
                            <w:color w:val="auto"/>
                          </w:rPr>
                          <m:t>μ</m:t>
                        </m:r>
                      </m:e>
                      <m:sub>
                        <m:r>
                          <m:rPr>
                            <m:sty m:val="p"/>
                          </m:rPr>
                          <w:rPr>
                            <w:rFonts w:ascii="Cambria Math" w:hAnsi="Cambria Math"/>
                            <w:color w:val="auto"/>
                          </w:rPr>
                          <m:t>0</m:t>
                        </m:r>
                      </m:sub>
                    </m:sSub>
                    <m:r>
                      <w:rPr>
                        <w:rFonts w:ascii="Cambria Math" w:hAnsi="Cambria Math"/>
                        <w:color w:val="auto"/>
                      </w:rPr>
                      <m:t>mH</m:t>
                    </m:r>
                  </m:num>
                  <m:den>
                    <m:sSub>
                      <m:sSubPr>
                        <m:ctrlPr>
                          <w:rPr>
                            <w:rFonts w:ascii="Cambria Math" w:hAnsi="Cambria Math"/>
                            <w:i/>
                            <w:color w:val="auto"/>
                          </w:rPr>
                        </m:ctrlPr>
                      </m:sSubPr>
                      <m:e>
                        <m:r>
                          <w:rPr>
                            <w:rFonts w:ascii="Cambria Math" w:hAnsi="Cambria Math"/>
                            <w:color w:val="auto"/>
                          </w:rPr>
                          <m:t>k</m:t>
                        </m:r>
                      </m:e>
                      <m:sub>
                        <m:r>
                          <w:rPr>
                            <w:rFonts w:ascii="Cambria Math" w:hAnsi="Cambria Math"/>
                            <w:color w:val="auto"/>
                          </w:rPr>
                          <m:t>B</m:t>
                        </m:r>
                      </m:sub>
                    </m:sSub>
                    <m:r>
                      <w:rPr>
                        <w:rFonts w:ascii="Cambria Math" w:hAnsi="Cambria Math"/>
                        <w:color w:val="auto"/>
                      </w:rPr>
                      <m:t>T</m:t>
                    </m:r>
                  </m:den>
                </m:f>
              </m:oMath>
            </m:oMathPara>
          </w:p>
        </w:tc>
        <w:tc>
          <w:tcPr>
            <w:tcW w:w="507" w:type="pct"/>
            <w:vAlign w:val="center"/>
          </w:tcPr>
          <w:p w14:paraId="1442B177" w14:textId="2766948C" w:rsidR="00406EF8" w:rsidRPr="00FC71BE" w:rsidRDefault="00406EF8">
            <w:pPr>
              <w:pStyle w:val="equation"/>
              <w:rPr>
                <w:color w:val="auto"/>
              </w:rPr>
            </w:pPr>
            <w:bookmarkStart w:id="283" w:name="_Ref139370140"/>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w:t>
            </w:r>
            <w:r w:rsidR="002839C4" w:rsidRPr="00FC71BE">
              <w:rPr>
                <w:color w:val="auto"/>
              </w:rPr>
              <w:fldChar w:fldCharType="end"/>
            </w:r>
            <w:r w:rsidRPr="00FC71BE">
              <w:rPr>
                <w:color w:val="auto"/>
              </w:rPr>
              <w:t>)</w:t>
            </w:r>
            <w:bookmarkEnd w:id="283"/>
          </w:p>
        </w:tc>
      </w:tr>
      <w:tr w:rsidR="00FC71BE" w:rsidRPr="00FC71BE" w14:paraId="42C65513" w14:textId="77777777">
        <w:tc>
          <w:tcPr>
            <w:tcW w:w="4493" w:type="pct"/>
            <w:vAlign w:val="center"/>
          </w:tcPr>
          <w:p w14:paraId="354AA675" w14:textId="77777777" w:rsidR="00406EF8" w:rsidRPr="00FC71BE" w:rsidRDefault="00406EF8">
            <w:pPr>
              <w:pStyle w:val="equation"/>
              <w:rPr>
                <w:color w:val="auto"/>
              </w:rPr>
            </w:pPr>
            <m:oMathPara>
              <m:oMath>
                <m:r>
                  <w:rPr>
                    <w:rFonts w:ascii="Cambria Math" w:hAnsi="Cambria Math"/>
                    <w:color w:val="auto"/>
                  </w:rPr>
                  <m:t>M</m:t>
                </m:r>
                <m:r>
                  <m:rPr>
                    <m:sty m:val="p"/>
                  </m:rPr>
                  <w:rPr>
                    <w:rFonts w:ascii="Cambria Math" w:hAnsi="Cambria Math"/>
                    <w:color w:val="auto"/>
                  </w:rPr>
                  <m:t>=χ</m:t>
                </m:r>
                <m:r>
                  <w:rPr>
                    <w:rFonts w:ascii="Cambria Math" w:hAnsi="Cambria Math"/>
                    <w:color w:val="auto"/>
                  </w:rPr>
                  <m:t>H</m:t>
                </m:r>
              </m:oMath>
            </m:oMathPara>
          </w:p>
        </w:tc>
        <w:tc>
          <w:tcPr>
            <w:tcW w:w="507" w:type="pct"/>
            <w:vAlign w:val="center"/>
          </w:tcPr>
          <w:p w14:paraId="0BE09BD1" w14:textId="6003C4CD" w:rsidR="00406EF8" w:rsidRPr="00FC71BE" w:rsidRDefault="00406EF8">
            <w:pPr>
              <w:pStyle w:val="equation"/>
              <w:rPr>
                <w:color w:val="auto"/>
              </w:rPr>
            </w:pPr>
            <w:bookmarkStart w:id="284" w:name="_Ref141206726"/>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r w:rsidRPr="00FC71BE">
              <w:rPr>
                <w:color w:val="auto"/>
              </w:rPr>
              <w:t>)</w:t>
            </w:r>
            <w:bookmarkEnd w:id="284"/>
          </w:p>
        </w:tc>
      </w:tr>
    </w:tbl>
    <w:p w14:paraId="4DBAA3ED" w14:textId="77777777" w:rsidR="00406EF8" w:rsidRPr="00FC71BE" w:rsidRDefault="00406EF8" w:rsidP="00406EF8">
      <w:pPr>
        <w:ind w:firstLine="0"/>
      </w:pPr>
      <w:r w:rsidRPr="00FC71BE">
        <w:t xml:space="preserve">where </w:t>
      </w:r>
      <m:oMath>
        <m:r>
          <w:rPr>
            <w:rFonts w:ascii="Cambria Math" w:hAnsi="Cambria Math"/>
          </w:rPr>
          <m:t>χ</m:t>
        </m:r>
      </m:oMath>
      <w:r w:rsidRPr="00FC71BE">
        <w:t xml:space="preserve"> is the magnetic susceptibility, </w:t>
      </w:r>
      <m:oMath>
        <m:sSub>
          <m:sSubPr>
            <m:ctrlPr>
              <w:rPr>
                <w:rFonts w:ascii="Cambria Math" w:hAnsi="Cambria Math"/>
                <w:i/>
                <w:iCs/>
              </w:rPr>
            </m:ctrlPr>
          </m:sSubPr>
          <m:e>
            <m:r>
              <w:rPr>
                <w:rFonts w:ascii="Cambria Math" w:hAnsi="Cambria Math"/>
              </w:rPr>
              <m:t>μ</m:t>
            </m:r>
          </m:e>
          <m:sub>
            <m:r>
              <w:rPr>
                <w:rFonts w:ascii="Cambria Math" w:hAnsi="Cambria Math"/>
              </w:rPr>
              <m:t>0</m:t>
            </m:r>
          </m:sub>
        </m:sSub>
      </m:oMath>
      <w:r w:rsidRPr="00FC71BE">
        <w:rPr>
          <w:iCs/>
        </w:rPr>
        <w:t xml:space="preserve"> is the vacuum permeability, </w:t>
      </w:r>
      <m:oMath>
        <m:r>
          <w:rPr>
            <w:rFonts w:ascii="Cambria Math" w:hAnsi="Cambria Math"/>
          </w:rPr>
          <m:t>m</m:t>
        </m:r>
      </m:oMath>
      <w:r w:rsidRPr="00FC71BE">
        <w:t xml:space="preserve"> is the magnetic moment of solute, </w:t>
      </w:r>
      <m:oMath>
        <m:r>
          <w:rPr>
            <w:rFonts w:ascii="Cambria Math" w:hAnsi="Cambria Math"/>
          </w:rPr>
          <m:t>H</m:t>
        </m:r>
      </m:oMath>
      <w:r w:rsidRPr="00FC71BE">
        <w:t xml:space="preserve"> is the magnetic field strength, </w:t>
      </w:r>
      <m:oMath>
        <m:sSub>
          <m:sSubPr>
            <m:ctrlPr>
              <w:rPr>
                <w:rFonts w:ascii="Cambria Math" w:hAnsi="Cambria Math"/>
                <w:i/>
              </w:rPr>
            </m:ctrlPr>
          </m:sSubPr>
          <m:e>
            <m:r>
              <w:rPr>
                <w:rFonts w:ascii="Cambria Math" w:hAnsi="Cambria Math"/>
              </w:rPr>
              <m:t>k</m:t>
            </m:r>
          </m:e>
          <m:sub>
            <m:r>
              <w:rPr>
                <w:rFonts w:ascii="Cambria Math" w:hAnsi="Cambria Math"/>
              </w:rPr>
              <m:t>B</m:t>
            </m:r>
          </m:sub>
        </m:sSub>
      </m:oMath>
      <w:r w:rsidRPr="00FC71BE">
        <w:t xml:space="preserve"> </w:t>
      </w:r>
      <m:oMath>
        <m:r>
          <m:rPr>
            <m:sty m:val="p"/>
          </m:rPr>
          <w:rPr>
            <w:rFonts w:ascii="Cambria Math"/>
          </w:rPr>
          <m:t>=</m:t>
        </m:r>
        <m:r>
          <w:rPr>
            <w:rFonts w:ascii="Cambria Math" w:hAnsi="Cambria Math"/>
          </w:rPr>
          <m:t>1.38×</m:t>
        </m:r>
        <m:sSup>
          <m:sSupPr>
            <m:ctrlPr>
              <w:rPr>
                <w:rFonts w:ascii="Cambria Math" w:hAnsi="Cambria Math"/>
                <w:i/>
              </w:rPr>
            </m:ctrlPr>
          </m:sSupPr>
          <m:e>
            <m:r>
              <w:rPr>
                <w:rFonts w:ascii="Cambria Math" w:hAnsi="Cambria Math"/>
              </w:rPr>
              <m:t>10</m:t>
            </m:r>
          </m:e>
          <m:sup>
            <m:r>
              <w:rPr>
                <w:rFonts w:ascii="Cambria Math" w:hAnsi="Cambria Math"/>
              </w:rPr>
              <m:t>-23</m:t>
            </m:r>
          </m:sup>
        </m:sSup>
        <m:r>
          <w:rPr>
            <w:rFonts w:ascii="Cambria Math" w:hAnsi="Cambria Math"/>
          </w:rPr>
          <m:t xml:space="preserve"> </m:t>
        </m:r>
        <m:f>
          <m:fPr>
            <m:type m:val="lin"/>
            <m:ctrlPr>
              <w:rPr>
                <w:rFonts w:ascii="Cambria Math" w:hAnsi="Cambria Math"/>
              </w:rPr>
            </m:ctrlPr>
          </m:fPr>
          <m:num>
            <m:r>
              <m:rPr>
                <m:sty m:val="p"/>
              </m:rPr>
              <w:rPr>
                <w:rFonts w:ascii="Cambria Math" w:hAnsi="Cambria Math"/>
              </w:rPr>
              <m:t>J</m:t>
            </m:r>
          </m:num>
          <m:den>
            <m:r>
              <m:rPr>
                <m:sty m:val="p"/>
              </m:rPr>
              <w:rPr>
                <w:rFonts w:ascii="Cambria Math" w:hAnsi="Cambria Math"/>
              </w:rPr>
              <m:t>K</m:t>
            </m:r>
          </m:den>
        </m:f>
      </m:oMath>
      <w:r w:rsidRPr="00FC71BE">
        <w:t xml:space="preserve"> is the Boltzmann constant, and </w:t>
      </w:r>
      <m:oMath>
        <m:r>
          <w:rPr>
            <w:rFonts w:ascii="Cambria Math" w:hAnsi="Cambria Math"/>
          </w:rPr>
          <m:t>T</m:t>
        </m:r>
      </m:oMath>
      <w:r w:rsidRPr="00FC71BE">
        <w:t xml:space="preserve"> is the absolute temperature.</w:t>
      </w:r>
    </w:p>
    <w:p w14:paraId="0C2F95C4" w14:textId="77777777" w:rsidR="00406EF8" w:rsidRPr="00FC71BE" w:rsidRDefault="00406EF8" w:rsidP="00406EF8">
      <w:pPr>
        <w:pStyle w:val="Figure"/>
        <w:rPr>
          <w:noProof w:val="0"/>
        </w:rPr>
      </w:pPr>
      <w:r w:rsidRPr="00FC71BE">
        <w:drawing>
          <wp:inline distT="0" distB="0" distL="0" distR="0" wp14:anchorId="341D0482" wp14:editId="5842C086">
            <wp:extent cx="3744000" cy="2244914"/>
            <wp:effectExtent l="0" t="0" r="8890" b="3175"/>
            <wp:docPr id="1067584077" name="Picture 1067584077" descr="Chart, line chart&#10;&#10;Description automatically generated">
              <a:extLst xmlns:a="http://schemas.openxmlformats.org/drawingml/2006/main">
                <a:ext uri="{FF2B5EF4-FFF2-40B4-BE49-F238E27FC236}">
                  <a16:creationId xmlns:a16="http://schemas.microsoft.com/office/drawing/2014/main" id="{8222F47D-26A3-4778-9FB2-8B5B9B364F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4" descr="Chart, line chart&#10;&#10;Description automatically generated">
                      <a:extLst>
                        <a:ext uri="{FF2B5EF4-FFF2-40B4-BE49-F238E27FC236}">
                          <a16:creationId xmlns:a16="http://schemas.microsoft.com/office/drawing/2014/main" id="{8222F47D-26A3-4778-9FB2-8B5B9B364F89}"/>
                        </a:ext>
                      </a:extLst>
                    </pic:cNvPr>
                    <pic:cNvPicPr>
                      <a:picLocks noChangeAspect="1"/>
                    </pic:cNvPicPr>
                  </pic:nvPicPr>
                  <pic:blipFill>
                    <a:blip r:embed="rId211"/>
                    <a:stretch>
                      <a:fillRect/>
                    </a:stretch>
                  </pic:blipFill>
                  <pic:spPr>
                    <a:xfrm>
                      <a:off x="0" y="0"/>
                      <a:ext cx="3744000" cy="2244914"/>
                    </a:xfrm>
                    <a:prstGeom prst="rect">
                      <a:avLst/>
                    </a:prstGeom>
                  </pic:spPr>
                </pic:pic>
              </a:graphicData>
            </a:graphic>
          </wp:inline>
        </w:drawing>
      </w:r>
    </w:p>
    <w:p w14:paraId="18912B71" w14:textId="11F5565B" w:rsidR="00406EF8" w:rsidRPr="00FC71BE" w:rsidRDefault="00406EF8" w:rsidP="00406EF8">
      <w:pPr>
        <w:pStyle w:val="FigureTitle"/>
      </w:pPr>
      <w:bookmarkStart w:id="285" w:name="_Ref148294250"/>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w:t>
        </w:r>
      </w:fldSimple>
      <w:bookmarkEnd w:id="285"/>
      <w:r w:rsidRPr="00FC71BE">
        <w:t xml:space="preserve">. Magnetization curve of ferrofluids used in </w:t>
      </w:r>
      <w:r w:rsidRPr="00FC71BE">
        <w:rPr>
          <w:iCs w:val="0"/>
        </w:rPr>
        <w:fldChar w:fldCharType="begin"/>
      </w:r>
      <w:r w:rsidR="00BA33ED" w:rsidRPr="00FC71BE">
        <w:rPr>
          <w:iCs w:val="0"/>
        </w:rPr>
        <w:instrText xml:space="preserve"> ADDIN EN.CITE &lt;EndNote&gt;&lt;Cite&gt;&lt;Author&gt;Berkovsky&lt;/Author&gt;&lt;Year&gt;1993&lt;/Year&gt;&lt;RecNum&gt;56&lt;/RecNum&gt;&lt;DisplayText&gt;[190]&lt;/DisplayText&gt;&lt;record&gt;&lt;rec-number&gt;56&lt;/rec-number&gt;&lt;foreign-keys&gt;&lt;key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applications&lt;/title&gt;&lt;/titles&gt;&lt;dates&gt;&lt;year&gt;1993&lt;/year&gt;&lt;/dates&gt;&lt;urls&gt;&lt;/urls&gt;&lt;/record&gt;&lt;/Cite&gt;&lt;/EndNote&gt;</w:instrText>
      </w:r>
      <w:r w:rsidRPr="00FC71BE">
        <w:rPr>
          <w:iCs w:val="0"/>
        </w:rPr>
        <w:fldChar w:fldCharType="separate"/>
      </w:r>
      <w:r w:rsidR="00BA33ED" w:rsidRPr="00FC71BE">
        <w:rPr>
          <w:iCs w:val="0"/>
        </w:rPr>
        <w:t>[190]</w:t>
      </w:r>
      <w:r w:rsidRPr="00FC71BE">
        <w:rPr>
          <w:iCs w:val="0"/>
        </w:rPr>
        <w:fldChar w:fldCharType="end"/>
      </w:r>
      <w:r w:rsidRPr="00FC71BE">
        <w:rPr>
          <w:iCs w:val="0"/>
        </w:rPr>
        <w:t>.</w:t>
      </w:r>
    </w:p>
    <w:p w14:paraId="143C3A1D" w14:textId="67A675D9" w:rsidR="00406EF8" w:rsidRPr="00FC71BE" w:rsidRDefault="00406EF8" w:rsidP="00406EF8">
      <w:r w:rsidRPr="00FC71BE">
        <w:t xml:space="preserve">It can be found that </w:t>
      </w:r>
      <m:oMath>
        <m:r>
          <w:rPr>
            <w:rFonts w:ascii="Cambria Math" w:hAnsi="Cambria Math"/>
          </w:rPr>
          <m:t>χ</m:t>
        </m:r>
      </m:oMath>
      <w:r w:rsidRPr="00FC71BE">
        <w:t xml:space="preserve"> is an important parameter when evaluating the magnetization. It is very small for diamagnet (around </w:t>
      </w:r>
      <m:oMath>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oMath>
      <w:r w:rsidRPr="00FC71BE">
        <w:t xml:space="preserve">) and paramagnet (from </w:t>
      </w:r>
      <m:oMath>
        <m:sSup>
          <m:sSupPr>
            <m:ctrlPr>
              <w:rPr>
                <w:rFonts w:ascii="Cambria Math" w:hAnsi="Cambria Math" w:cs="Times New Roman"/>
                <w:iCs/>
              </w:rPr>
            </m:ctrlPr>
          </m:sSupPr>
          <m:e>
            <m:r>
              <m:rPr>
                <m:sty m:val="p"/>
              </m:rPr>
              <w:rPr>
                <w:rFonts w:ascii="Cambria Math" w:hAnsi="Cambria Math" w:cs="Times New Roman"/>
              </w:rPr>
              <m:t>10</m:t>
            </m:r>
          </m:e>
          <m:sup>
            <m:r>
              <m:rPr>
                <m:sty m:val="p"/>
              </m:rPr>
              <w:rPr>
                <w:rFonts w:ascii="Cambria Math" w:hAnsi="Cambria Math" w:cs="Times New Roman"/>
              </w:rPr>
              <m:t>-5</m:t>
            </m:r>
          </m:sup>
        </m:sSup>
      </m:oMath>
      <w:r w:rsidRPr="00FC71BE">
        <w:t xml:space="preserve"> to </w:t>
      </w:r>
      <m:oMath>
        <m:sSup>
          <m:sSupPr>
            <m:ctrlPr>
              <w:rPr>
                <w:rFonts w:ascii="Cambria Math" w:hAnsi="Cambria Math" w:cs="Times New Roman"/>
                <w:iCs/>
              </w:rPr>
            </m:ctrlPr>
          </m:sSupPr>
          <m:e>
            <m:r>
              <m:rPr>
                <m:sty m:val="p"/>
              </m:rPr>
              <w:rPr>
                <w:rFonts w:ascii="Cambria Math" w:hAnsi="Cambria Math" w:cs="Times New Roman"/>
              </w:rPr>
              <m:t>10</m:t>
            </m:r>
          </m:e>
          <m:sup>
            <m:r>
              <m:rPr>
                <m:sty m:val="p"/>
              </m:rPr>
              <w:rPr>
                <w:rFonts w:ascii="Cambria Math" w:hAnsi="Cambria Math" w:cs="Times New Roman"/>
              </w:rPr>
              <m:t>-2</m:t>
            </m:r>
          </m:sup>
        </m:sSup>
      </m:oMath>
      <w:r w:rsidRPr="00FC71BE">
        <w:t xml:space="preserve">) but it can be a relatively large positive value (sometimes &gt; 1000) for ferromagnet and ferrofluid. By approximating the Langevin function, </w:t>
      </w:r>
      <m:oMath>
        <m:r>
          <w:rPr>
            <w:rFonts w:ascii="Cambria Math" w:hAnsi="Cambria Math"/>
          </w:rPr>
          <m:t>χ</m:t>
        </m:r>
      </m:oMath>
      <w:r w:rsidRPr="00FC71BE">
        <w:t xml:space="preserve"> of ferrofluid is given as </w:t>
      </w:r>
      <w:r w:rsidRPr="00FC71BE">
        <w:fldChar w:fldCharType="begin"/>
      </w:r>
      <w:r w:rsidR="00BA33ED" w:rsidRPr="00FC71BE">
        <w:instrText xml:space="preserve"> ADDIN EN.CITE &lt;EndNote&gt;&lt;Cite&gt;&lt;Author&gt;Rosensweig&lt;/Author&gt;&lt;Year&gt;2013&lt;/Year&gt;&lt;RecNum&gt;55&lt;/RecNum&gt;&lt;DisplayText&gt;[189]&lt;/DisplayText&gt;&lt;record&gt;&lt;rec-number&gt;55&lt;/rec-number&gt;&lt;foreign-keys&gt;&lt;key app="EN" db-id="rf2p5e05jx0x9jep00uvx0s1fvaww2dfa0r9" timestamp="1690837744"&gt;55&lt;/key&gt;&lt;/foreign-keys&gt;&lt;ref-type name="Book"&gt;6&lt;/ref-type&gt;&lt;contributors&gt;&lt;authors&gt;&lt;author&gt;Rosensweig, Ronald E&lt;/author&gt;&lt;/authors&gt;&lt;/contributors&gt;&lt;titles&gt;&lt;title&gt;Ferrohydrodynamics&lt;/title&gt;&lt;/titles&gt;&lt;dates&gt;&lt;year&gt;2013&lt;/year&gt;&lt;/dates&gt;&lt;publisher&gt;Courier Corporation&lt;/publisher&gt;&lt;isbn&gt;0486783006&lt;/isbn&gt;&lt;urls&gt;&lt;/urls&gt;&lt;/record&gt;&lt;/Cite&gt;&lt;/EndNote&gt;</w:instrText>
      </w:r>
      <w:r w:rsidRPr="00FC71BE">
        <w:fldChar w:fldCharType="separate"/>
      </w:r>
      <w:r w:rsidR="00BA33ED" w:rsidRPr="00FC71BE">
        <w:t>[189]</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E4DF729" w14:textId="77777777">
        <w:tc>
          <w:tcPr>
            <w:tcW w:w="4493" w:type="pct"/>
            <w:vAlign w:val="center"/>
          </w:tcPr>
          <w:p w14:paraId="658E1684" w14:textId="77777777" w:rsidR="00406EF8" w:rsidRPr="00FC71BE" w:rsidRDefault="00406EF8">
            <w:pPr>
              <w:ind w:left="340" w:firstLine="0"/>
            </w:pPr>
            <m:oMathPara>
              <m:oMath>
                <m:r>
                  <w:rPr>
                    <w:rFonts w:ascii="Cambria Math" w:hAnsi="Cambria Math"/>
                  </w:rPr>
                  <m:t>χ=</m:t>
                </m:r>
                <m:f>
                  <m:fPr>
                    <m:ctrlPr>
                      <w:rPr>
                        <w:rFonts w:ascii="Cambria Math" w:hAnsi="Cambria Math"/>
                        <w:i/>
                      </w:rPr>
                    </m:ctrlPr>
                  </m:fPr>
                  <m:num>
                    <m:r>
                      <w:rPr>
                        <w:rFonts w:ascii="Cambria Math" w:hAnsi="Cambria Math"/>
                      </w:rPr>
                      <m:t>ϕ</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π</m:t>
                    </m:r>
                    <m:sSup>
                      <m:sSupPr>
                        <m:ctrlPr>
                          <w:rPr>
                            <w:rFonts w:ascii="Cambria Math" w:hAnsi="Cambria Math"/>
                            <w:i/>
                          </w:rPr>
                        </m:ctrlPr>
                      </m:sSupPr>
                      <m:e>
                        <m:r>
                          <w:rPr>
                            <w:rFonts w:ascii="Cambria Math" w:hAnsi="Cambria Math"/>
                          </w:rPr>
                          <m:t>d</m:t>
                        </m:r>
                      </m:e>
                      <m:sup>
                        <m:r>
                          <w:rPr>
                            <w:rFonts w:ascii="Cambria Math" w:hAnsi="Cambria Math"/>
                          </w:rPr>
                          <m:t>3</m:t>
                        </m:r>
                      </m:sup>
                    </m:sSup>
                    <m:sSup>
                      <m:sSupPr>
                        <m:ctrlPr>
                          <w:rPr>
                            <w:rFonts w:ascii="Cambria Math" w:hAnsi="Cambria Math"/>
                            <w:i/>
                          </w:rPr>
                        </m:ctrlPr>
                      </m:sSupPr>
                      <m:e>
                        <m:sSub>
                          <m:sSubPr>
                            <m:ctrlPr>
                              <w:rPr>
                                <w:rFonts w:ascii="Cambria Math" w:hAnsi="Cambria Math"/>
                                <w:i/>
                              </w:rPr>
                            </m:ctrlPr>
                          </m:sSubPr>
                          <m:e>
                            <m:r>
                              <w:rPr>
                                <w:rFonts w:ascii="Cambria Math" w:hAnsi="Cambria Math"/>
                              </w:rPr>
                              <m:t>M</m:t>
                            </m:r>
                          </m:e>
                          <m:sub>
                            <m:r>
                              <w:rPr>
                                <w:rFonts w:ascii="Cambria Math" w:hAnsi="Cambria Math"/>
                              </w:rPr>
                              <m:t>s,p</m:t>
                            </m:r>
                          </m:sub>
                        </m:sSub>
                        <m:r>
                          <w:rPr>
                            <w:rFonts w:ascii="Cambria Math" w:hAnsi="Cambria Math"/>
                          </w:rPr>
                          <m:t>(T)</m:t>
                        </m:r>
                      </m:e>
                      <m:sup>
                        <m:r>
                          <w:rPr>
                            <w:rFonts w:ascii="Cambria Math" w:hAnsi="Cambria Math"/>
                          </w:rPr>
                          <m:t>2</m:t>
                        </m:r>
                      </m:sup>
                    </m:sSup>
                  </m:num>
                  <m:den>
                    <m:r>
                      <w:rPr>
                        <w:rFonts w:ascii="Cambria Math" w:hAnsi="Cambria Math"/>
                      </w:rPr>
                      <m:t>18</m:t>
                    </m:r>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den>
                </m:f>
              </m:oMath>
            </m:oMathPara>
          </w:p>
        </w:tc>
        <w:tc>
          <w:tcPr>
            <w:tcW w:w="507" w:type="pct"/>
            <w:vAlign w:val="center"/>
          </w:tcPr>
          <w:p w14:paraId="1702B7B2" w14:textId="74B5001D"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r w:rsidRPr="00FC71BE">
              <w:rPr>
                <w:color w:val="auto"/>
              </w:rPr>
              <w:t>)</w:t>
            </w:r>
          </w:p>
        </w:tc>
      </w:tr>
    </w:tbl>
    <w:p w14:paraId="700FD561" w14:textId="3E5F04A3" w:rsidR="00406EF8" w:rsidRPr="00FC71BE" w:rsidRDefault="00406EF8" w:rsidP="00406EF8">
      <w:pPr>
        <w:ind w:firstLine="0"/>
      </w:pPr>
      <w:r w:rsidRPr="00FC71BE">
        <w:t xml:space="preserve">where </w:t>
      </w:r>
      <m:oMath>
        <m:r>
          <w:rPr>
            <w:rFonts w:ascii="Cambria Math" w:hAnsi="Cambria Math"/>
          </w:rPr>
          <m:t>ϕ</m:t>
        </m:r>
      </m:oMath>
      <w:r w:rsidRPr="00FC71BE">
        <w:t xml:space="preserve"> and </w:t>
      </w:r>
      <m:oMath>
        <m:r>
          <w:rPr>
            <w:rFonts w:ascii="Cambria Math" w:hAnsi="Cambria Math"/>
          </w:rPr>
          <m:t>d</m:t>
        </m:r>
      </m:oMath>
      <w:r w:rsidRPr="00FC71BE">
        <w:t xml:space="preserve"> are the volume fraction and average diameter of ferromagnetic particles, respectively. </w:t>
      </w:r>
      <m:oMath>
        <m:sSub>
          <m:sSubPr>
            <m:ctrlPr>
              <w:rPr>
                <w:rFonts w:ascii="Cambria Math" w:hAnsi="Cambria Math"/>
                <w:i/>
              </w:rPr>
            </m:ctrlPr>
          </m:sSubPr>
          <m:e>
            <m:r>
              <w:rPr>
                <w:rFonts w:ascii="Cambria Math" w:hAnsi="Cambria Math"/>
              </w:rPr>
              <m:t>M</m:t>
            </m:r>
          </m:e>
          <m:sub>
            <m:r>
              <w:rPr>
                <w:rFonts w:ascii="Cambria Math" w:hAnsi="Cambria Math"/>
              </w:rPr>
              <m:t>s,p</m:t>
            </m:r>
          </m:sub>
        </m:sSub>
        <m:r>
          <w:rPr>
            <w:rFonts w:ascii="Cambria Math" w:hAnsi="Cambria Math"/>
          </w:rPr>
          <m:t>(T)</m:t>
        </m:r>
      </m:oMath>
      <w:r w:rsidRPr="00FC71BE">
        <w:t xml:space="preserve"> is the temperature dependent saturation magnetization, which can be derived by Bloch’s law </w:t>
      </w:r>
      <w:r w:rsidRPr="00FC71BE">
        <w:fldChar w:fldCharType="begin"/>
      </w:r>
      <w:r w:rsidR="00BA33ED" w:rsidRPr="00FC71BE">
        <w:instrText xml:space="preserve"> ADDIN EN.CITE &lt;EndNote&gt;&lt;Cite&gt;&lt;Author&gt;Zanella&lt;/Author&gt;&lt;Year&gt;2021&lt;/Year&gt;&lt;RecNum&gt;51&lt;/RecNum&gt;&lt;DisplayText&gt;[186]&lt;/DisplayText&gt;&lt;record&gt;&lt;rec-number&gt;51&lt;/rec-number&gt;&lt;foreign-keys&gt;&lt;key app="EN" db-id="rf2p5e05jx0x9jep00uvx0s1fvaww2dfa0r9" timestamp="1690837276"&gt;51&lt;/key&gt;&lt;/foreign-keys&gt;&lt;ref-type name="Journal Article"&gt;17&lt;/ref-type&gt;&lt;contributors&gt;&lt;authors&gt;&lt;author&gt;Zanella, Raphaël&lt;/author&gt;&lt;author&gt;Nore, Caroline&lt;/author&gt;&lt;author&gt;Mininger, Xavier&lt;/author&gt;&lt;author&gt;Bouillault, Frédéric&lt;/author&gt;&lt;author&gt;Guermond, Jean-Luc&lt;/author&gt;&lt;/authors&gt;&lt;/contributors&gt;&lt;titles&gt;&lt;title&gt;Numerical study of cooling by ferrofluids in an electrical transformer using an axisymmetric model&lt;/title&gt;&lt;secondary-title&gt;IEEE Transactions on Magnetics&lt;/secondary-title&gt;&lt;/titles&gt;&lt;periodical&gt;&lt;full-title&gt;IEEE Transactions on Magnetics&lt;/full-title&gt;&lt;/periodical&gt;&lt;pages&gt;1-4&lt;/pages&gt;&lt;volume&gt;57&lt;/volume&gt;&lt;number&gt;7&lt;/number&gt;&lt;dates&gt;&lt;year&gt;2021&lt;/year&gt;&lt;/dates&gt;&lt;isbn&gt;0018-9464&lt;/isbn&gt;&lt;urls&gt;&lt;/urls&gt;&lt;/record&gt;&lt;/Cite&gt;&lt;/EndNote&gt;</w:instrText>
      </w:r>
      <w:r w:rsidRPr="00FC71BE">
        <w:fldChar w:fldCharType="separate"/>
      </w:r>
      <w:r w:rsidR="00BA33ED" w:rsidRPr="00FC71BE">
        <w:t>[186]</w:t>
      </w:r>
      <w:r w:rsidRPr="00FC71BE">
        <w:fldChar w:fldCharType="end"/>
      </w:r>
      <w:r w:rsidRPr="00FC71BE">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768D36F6" w14:textId="77777777">
        <w:tc>
          <w:tcPr>
            <w:tcW w:w="4493" w:type="pct"/>
            <w:vAlign w:val="center"/>
          </w:tcPr>
          <w:p w14:paraId="2A79E340" w14:textId="77777777" w:rsidR="00406EF8" w:rsidRPr="00FC71BE" w:rsidRDefault="002143AD">
            <w:pPr>
              <w:ind w:left="340" w:firstLine="0"/>
            </w:pPr>
            <m:oMathPara>
              <m:oMath>
                <m:sSub>
                  <m:sSubPr>
                    <m:ctrlPr>
                      <w:rPr>
                        <w:rFonts w:ascii="Cambria Math" w:hAnsi="Cambria Math"/>
                        <w:i/>
                      </w:rPr>
                    </m:ctrlPr>
                  </m:sSubPr>
                  <m:e>
                    <m:r>
                      <w:rPr>
                        <w:rFonts w:ascii="Cambria Math" w:hAnsi="Cambria Math"/>
                      </w:rPr>
                      <m:t>M</m:t>
                    </m:r>
                  </m:e>
                  <m:sub>
                    <m:r>
                      <w:rPr>
                        <w:rFonts w:ascii="Cambria Math" w:hAnsi="Cambria Math"/>
                      </w:rPr>
                      <m:t>s</m:t>
                    </m:r>
                    <m:r>
                      <w:rPr>
                        <w:rFonts w:ascii="Cambria Math" w:hAnsi="Cambria Math"/>
                      </w:rPr>
                      <m:t>,</m:t>
                    </m:r>
                    <m:r>
                      <w:rPr>
                        <w:rFonts w:ascii="Cambria Math" w:hAnsi="Cambria Math"/>
                      </w:rPr>
                      <m:t>p</m:t>
                    </m:r>
                  </m:sub>
                </m:sSub>
                <m:r>
                  <w:rPr>
                    <w:rFonts w:ascii="Cambria Math" w:hAnsi="Cambria Math"/>
                  </w:rPr>
                  <m:t>(</m:t>
                </m:r>
                <m:r>
                  <w:rPr>
                    <w:rFonts w:ascii="Cambria Math" w:hAnsi="Cambria Math"/>
                  </w:rPr>
                  <m:t>T</m:t>
                </m:r>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M</m:t>
                            </m:r>
                          </m:e>
                          <m:sub>
                            <m:r>
                              <w:rPr>
                                <w:rFonts w:ascii="Cambria Math" w:hAnsi="Cambria Math"/>
                              </w:rPr>
                              <m:t>0</m:t>
                            </m:r>
                          </m:sub>
                        </m:sSub>
                        <m:d>
                          <m:dPr>
                            <m:ctrlPr>
                              <w:rPr>
                                <w:rFonts w:ascii="Cambria Math" w:hAnsi="Cambria Math"/>
                                <w:i/>
                              </w:rPr>
                            </m:ctrlPr>
                          </m:dPr>
                          <m:e>
                            <m:r>
                              <w:rPr>
                                <w:rFonts w:ascii="Cambria Math" w:hAnsi="Cambria Math"/>
                              </w:rPr>
                              <m:t>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T</m:t>
                                        </m:r>
                                      </m:num>
                                      <m:den>
                                        <m:sSub>
                                          <m:sSubPr>
                                            <m:ctrlPr>
                                              <w:rPr>
                                                <w:rFonts w:ascii="Cambria Math" w:hAnsi="Cambria Math"/>
                                                <w:i/>
                                              </w:rPr>
                                            </m:ctrlPr>
                                          </m:sSubPr>
                                          <m:e>
                                            <m:r>
                                              <w:rPr>
                                                <w:rFonts w:ascii="Cambria Math" w:hAnsi="Cambria Math"/>
                                              </w:rPr>
                                              <m:t>T</m:t>
                                            </m:r>
                                          </m:e>
                                          <m:sub>
                                            <m:r>
                                              <w:rPr>
                                                <w:rFonts w:ascii="Cambria Math" w:hAnsi="Cambria Math"/>
                                              </w:rPr>
                                              <m:t>c</m:t>
                                            </m:r>
                                          </m:sub>
                                        </m:sSub>
                                      </m:den>
                                    </m:f>
                                  </m:e>
                                </m:d>
                              </m:e>
                              <m:sup>
                                <m:r>
                                  <w:rPr>
                                    <w:rFonts w:ascii="Cambria Math" w:hAnsi="Cambria Math"/>
                                  </w:rPr>
                                  <m:t>1.5</m:t>
                                </m:r>
                              </m:sup>
                            </m:sSup>
                          </m:e>
                        </m:d>
                        <m:r>
                          <w:rPr>
                            <w:rFonts w:ascii="Cambria Math" w:hAnsi="Cambria Math"/>
                          </w:rPr>
                          <m:t>,(</m:t>
                        </m:r>
                        <m:r>
                          <w:rPr>
                            <w:rFonts w:ascii="Cambria Math" w:hAnsi="Cambria Math"/>
                          </w:rPr>
                          <m:t>if</m:t>
                        </m:r>
                        <m:r>
                          <w:rPr>
                            <w:rFonts w:ascii="Cambria Math" w:hAnsi="Cambria Math"/>
                          </w:rPr>
                          <m:t xml:space="preserve"> </m:t>
                        </m:r>
                        <m:r>
                          <w:rPr>
                            <w:rFonts w:ascii="Cambria Math" w:hAnsi="Cambria Math"/>
                          </w:rPr>
                          <m:t>T</m:t>
                        </m:r>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m:t>
                            </m:r>
                          </m:sub>
                        </m:sSub>
                        <m:r>
                          <w:rPr>
                            <w:rFonts w:ascii="Cambria Math" w:hAnsi="Cambria Math"/>
                          </w:rPr>
                          <m:t xml:space="preserve">) </m:t>
                        </m:r>
                      </m:e>
                      <m:e>
                        <m:r>
                          <w:rPr>
                            <w:rFonts w:ascii="Cambria Math" w:hAnsi="Cambria Math"/>
                          </w:rPr>
                          <m:t>0,  (</m:t>
                        </m:r>
                        <m:r>
                          <w:rPr>
                            <w:rFonts w:ascii="Cambria Math" w:hAnsi="Cambria Math"/>
                          </w:rPr>
                          <m:t>if</m:t>
                        </m:r>
                        <m:r>
                          <w:rPr>
                            <w:rFonts w:ascii="Cambria Math" w:hAnsi="Cambria Math"/>
                          </w:rPr>
                          <m:t xml:space="preserve"> </m:t>
                        </m:r>
                        <m:r>
                          <w:rPr>
                            <w:rFonts w:ascii="Cambria Math" w:hAnsi="Cambria Math"/>
                          </w:rPr>
                          <m:t>T</m:t>
                        </m:r>
                        <m:r>
                          <w:rPr>
                            <w:rFonts w:ascii="Cambria Math" w:hAnsi="Cambria Math"/>
                          </w:rPr>
                          <m:t>&gt;</m:t>
                        </m:r>
                        <m:sSub>
                          <m:sSubPr>
                            <m:ctrlPr>
                              <w:rPr>
                                <w:rFonts w:ascii="Cambria Math" w:hAnsi="Cambria Math"/>
                                <w:i/>
                              </w:rPr>
                            </m:ctrlPr>
                          </m:sSubPr>
                          <m:e>
                            <m:r>
                              <w:rPr>
                                <w:rFonts w:ascii="Cambria Math" w:hAnsi="Cambria Math"/>
                              </w:rPr>
                              <m:t>T</m:t>
                            </m:r>
                          </m:e>
                          <m:sub>
                            <m:r>
                              <w:rPr>
                                <w:rFonts w:ascii="Cambria Math" w:hAnsi="Cambria Math"/>
                              </w:rPr>
                              <m:t>c</m:t>
                            </m:r>
                          </m:sub>
                        </m:sSub>
                        <m:r>
                          <w:rPr>
                            <w:rFonts w:ascii="Cambria Math" w:hAnsi="Cambria Math"/>
                          </w:rPr>
                          <m:t xml:space="preserve">) </m:t>
                        </m:r>
                      </m:e>
                    </m:eqArr>
                  </m:e>
                </m:d>
              </m:oMath>
            </m:oMathPara>
          </w:p>
        </w:tc>
        <w:tc>
          <w:tcPr>
            <w:tcW w:w="507" w:type="pct"/>
            <w:vAlign w:val="center"/>
          </w:tcPr>
          <w:p w14:paraId="210FCF37" w14:textId="4F638DE5" w:rsidR="00406EF8" w:rsidRPr="00FC71BE" w:rsidRDefault="00406EF8">
            <w:pPr>
              <w:pStyle w:val="equation"/>
              <w:rPr>
                <w:i/>
                <w:color w:val="auto"/>
              </w:rPr>
            </w:pPr>
            <w:bookmarkStart w:id="286" w:name="_Ref141126532"/>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4</w:t>
            </w:r>
            <w:r w:rsidR="002839C4" w:rsidRPr="00FC71BE">
              <w:rPr>
                <w:color w:val="auto"/>
              </w:rPr>
              <w:fldChar w:fldCharType="end"/>
            </w:r>
            <w:r w:rsidRPr="00FC71BE">
              <w:rPr>
                <w:color w:val="auto"/>
              </w:rPr>
              <w:t>)</w:t>
            </w:r>
            <w:bookmarkEnd w:id="286"/>
          </w:p>
        </w:tc>
      </w:tr>
    </w:tbl>
    <w:p w14:paraId="22826E3C" w14:textId="77777777" w:rsidR="00406EF8" w:rsidRPr="00FC71BE" w:rsidRDefault="00406EF8" w:rsidP="00406EF8">
      <w:pPr>
        <w:ind w:firstLine="0"/>
      </w:pPr>
      <w:r w:rsidRPr="00FC71BE">
        <w:t xml:space="preserve">where </w:t>
      </w:r>
      <m:oMath>
        <m:sSub>
          <m:sSubPr>
            <m:ctrlPr>
              <w:rPr>
                <w:rFonts w:ascii="Cambria Math" w:hAnsi="Cambria Math"/>
                <w:i/>
              </w:rPr>
            </m:ctrlPr>
          </m:sSubPr>
          <m:e>
            <m:r>
              <w:rPr>
                <w:rFonts w:ascii="Cambria Math" w:hAnsi="Cambria Math"/>
              </w:rPr>
              <m:t>M</m:t>
            </m:r>
          </m:e>
          <m:sub>
            <m:r>
              <w:rPr>
                <w:rFonts w:ascii="Cambria Math" w:hAnsi="Cambria Math"/>
              </w:rPr>
              <m:t>0</m:t>
            </m:r>
          </m:sub>
        </m:sSub>
      </m:oMath>
      <w:r w:rsidRPr="00FC71BE">
        <w:t xml:space="preserve"> and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rsidRPr="00FC71BE">
        <w:t xml:space="preserve"> are the saturation magnetization at absolute zero kelvins and the Curie temperature of the ferromagnetic particles in the ferrofluid.</w:t>
      </w:r>
    </w:p>
    <w:p w14:paraId="00CBB8CF" w14:textId="77777777" w:rsidR="00406EF8" w:rsidRPr="00FC71BE" w:rsidRDefault="00406EF8" w:rsidP="006E6817">
      <w:pPr>
        <w:pStyle w:val="Heading4"/>
      </w:pPr>
      <w:r w:rsidRPr="00FC71BE">
        <w:lastRenderedPageBreak/>
        <w:t>Viscosity</w:t>
      </w:r>
    </w:p>
    <w:p w14:paraId="227D9BD7" w14:textId="77777777" w:rsidR="00406EF8" w:rsidRPr="00FC71BE" w:rsidRDefault="00406EF8" w:rsidP="00406EF8">
      <w:r w:rsidRPr="00FC71BE">
        <w:t xml:space="preserve">The viscosity of liquid determines how easily the liquid flows. The ferrofluid can be regarded as Newtonian fluid whose viscosity is constant at constant temperature. According to Einstein formula, the dynamic viscosity </w:t>
      </w:r>
      <m:oMath>
        <m:d>
          <m:dPr>
            <m:ctrlPr>
              <w:rPr>
                <w:rFonts w:ascii="Cambria Math" w:hAnsi="Cambria Math"/>
                <w:i/>
              </w:rPr>
            </m:ctrlPr>
          </m:dPr>
          <m:e>
            <m:r>
              <w:rPr>
                <w:rFonts w:ascii="Cambria Math" w:hAnsi="Cambria Math"/>
              </w:rPr>
              <m:t>η</m:t>
            </m:r>
          </m:e>
        </m:d>
      </m:oMath>
      <w:r w:rsidRPr="00FC71BE">
        <w:t xml:space="preserve"> of ferrofluid can be derived like a colloidal suspension such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6363214D" w14:textId="77777777">
        <w:tc>
          <w:tcPr>
            <w:tcW w:w="4493" w:type="pct"/>
            <w:vAlign w:val="center"/>
          </w:tcPr>
          <w:p w14:paraId="47D05B40" w14:textId="4A9808B3" w:rsidR="00406EF8" w:rsidRPr="00FC71BE" w:rsidRDefault="004563FB">
            <w:pPr>
              <w:ind w:left="340" w:firstLine="0"/>
            </w:pPr>
            <m:oMathPara>
              <m:oMath>
                <m:r>
                  <w:rPr>
                    <w:rFonts w:ascii="Cambria Math" w:eastAsia="等线" w:hAnsi="Cambria Math" w:cs="Times New Roman"/>
                  </w:rPr>
                  <m:t>μ</m:t>
                </m:r>
                <m:r>
                  <w:rPr>
                    <w:rFonts w:ascii="Cambria Math" w:hAnsi="Cambria Math"/>
                  </w:rPr>
                  <m:t>=</m:t>
                </m:r>
                <m:sSub>
                  <m:sSubPr>
                    <m:ctrlPr>
                      <w:rPr>
                        <w:rFonts w:ascii="Cambria Math" w:hAnsi="Cambria Math"/>
                        <w:i/>
                      </w:rPr>
                    </m:ctrlPr>
                  </m:sSubPr>
                  <m:e>
                    <m:r>
                      <w:rPr>
                        <w:rFonts w:ascii="Cambria Math" w:eastAsia="等线" w:hAnsi="Cambria Math" w:cs="Times New Roman"/>
                      </w:rPr>
                      <m:t>μ</m:t>
                    </m:r>
                  </m:e>
                  <m:sub>
                    <m:r>
                      <w:rPr>
                        <w:rFonts w:ascii="Cambria Math" w:hAnsi="Cambria Math"/>
                      </w:rPr>
                      <m:t>f</m:t>
                    </m:r>
                  </m:sub>
                </m:sSub>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5</m:t>
                        </m:r>
                      </m:num>
                      <m:den>
                        <m:r>
                          <w:rPr>
                            <w:rFonts w:ascii="Cambria Math" w:hAnsi="Cambria Math"/>
                          </w:rPr>
                          <m:t>2</m:t>
                        </m:r>
                      </m:den>
                    </m:f>
                    <m:r>
                      <w:rPr>
                        <w:rFonts w:ascii="Cambria Math" w:hAnsi="Cambria Math"/>
                      </w:rPr>
                      <m:t>ϕ</m:t>
                    </m:r>
                  </m:e>
                </m:d>
              </m:oMath>
            </m:oMathPara>
          </w:p>
        </w:tc>
        <w:tc>
          <w:tcPr>
            <w:tcW w:w="507" w:type="pct"/>
            <w:vAlign w:val="center"/>
          </w:tcPr>
          <w:p w14:paraId="1F498AEB" w14:textId="7B5281BB"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p>
        </w:tc>
      </w:tr>
    </w:tbl>
    <w:p w14:paraId="6D016F32" w14:textId="77777777" w:rsidR="00406EF8" w:rsidRPr="00FC71BE" w:rsidRDefault="00406EF8" w:rsidP="00406EF8">
      <w:pPr>
        <w:ind w:firstLine="0"/>
      </w:pPr>
      <w:r w:rsidRPr="00FC71BE">
        <w:t xml:space="preserve">where subscript </w:t>
      </w:r>
      <m:oMath>
        <m:r>
          <w:rPr>
            <w:rFonts w:ascii="Cambria Math" w:hAnsi="Cambria Math"/>
          </w:rPr>
          <m:t>f</m:t>
        </m:r>
      </m:oMath>
      <w:r w:rsidRPr="00FC71BE">
        <w:t xml:space="preserve"> is the liquid base.</w:t>
      </w:r>
    </w:p>
    <w:p w14:paraId="6B13C467" w14:textId="736D3B29" w:rsidR="00406EF8" w:rsidRPr="00FC71BE" w:rsidRDefault="00406EF8" w:rsidP="00406EF8">
      <w:r w:rsidRPr="00FC71BE">
        <w:t xml:space="preserve">The viscosity is temperature dependent. The viscosity of fluids usually reduces with increased temperature. This phenomenon can be described by Andrade’s equation </w:t>
      </w:r>
      <w:r w:rsidRPr="00FC71BE">
        <w:fldChar w:fldCharType="begin"/>
      </w:r>
      <w:r w:rsidR="00BA33ED" w:rsidRPr="00FC71BE">
        <w:instrText xml:space="preserve"> ADDIN EN.CITE &lt;EndNote&gt;&lt;Cite&gt;&lt;Author&gt;Hezaveh&lt;/Author&gt;&lt;Year&gt;2012&lt;/Year&gt;&lt;RecNum&gt;59&lt;/RecNum&gt;&lt;DisplayText&gt;[193]&lt;/DisplayText&gt;&lt;record&gt;&lt;rec-number&gt;59&lt;/rec-number&gt;&lt;foreign-keys&gt;&lt;key app="EN" db-id="rf2p5e05jx0x9jep00uvx0s1fvaww2dfa0r9" timestamp="1690977169"&gt;59&lt;/key&gt;&lt;/foreign-keys&gt;&lt;ref-type name="Journal Article"&gt;17&lt;/ref-type&gt;&lt;contributors&gt;&lt;authors&gt;&lt;author&gt;Hezaveh, Hadi&lt;/author&gt;&lt;author&gt;Fazlali, Alireza&lt;/author&gt;&lt;author&gt;Noshadi, Iman&lt;/author&gt;&lt;/authors&gt;&lt;/contributors&gt;&lt;titles&gt;&lt;title&gt;Synthesis, rheological properties and magnetoviscos effect of Fe2O3/paraffin ferrofluids&lt;/title&gt;&lt;secondary-title&gt;Journal of the Taiwan Institute of Chemical Engineers&lt;/secondary-title&gt;&lt;/titles&gt;&lt;periodical&gt;&lt;full-title&gt;Journal of the Taiwan Institute of Chemical Engineers&lt;/full-title&gt;&lt;/periodical&gt;&lt;pages&gt;159-164&lt;/pages&gt;&lt;volume&gt;43&lt;/volume&gt;&lt;number&gt;1&lt;/number&gt;&lt;dates&gt;&lt;year&gt;2012&lt;/year&gt;&lt;/dates&gt;&lt;isbn&gt;1876-1070&lt;/isbn&gt;&lt;urls&gt;&lt;/urls&gt;&lt;/record&gt;&lt;/Cite&gt;&lt;/EndNote&gt;</w:instrText>
      </w:r>
      <w:r w:rsidRPr="00FC71BE">
        <w:fldChar w:fldCharType="separate"/>
      </w:r>
      <w:r w:rsidR="00BA33ED" w:rsidRPr="00FC71BE">
        <w:t>[193]</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3994317" w14:textId="77777777">
        <w:tc>
          <w:tcPr>
            <w:tcW w:w="4493" w:type="pct"/>
            <w:vAlign w:val="center"/>
          </w:tcPr>
          <w:p w14:paraId="70628B57" w14:textId="01609B64" w:rsidR="00406EF8" w:rsidRPr="00FC71BE" w:rsidRDefault="00A40E28">
            <w:pPr>
              <w:ind w:left="340" w:firstLine="0"/>
            </w:pPr>
            <m:oMathPara>
              <m:oMath>
                <m:r>
                  <w:rPr>
                    <w:rFonts w:ascii="Cambria Math" w:eastAsia="等线" w:hAnsi="Cambria Math" w:cs="Times New Roman"/>
                  </w:rPr>
                  <m:t>μ</m:t>
                </m:r>
                <m:r>
                  <w:rPr>
                    <w:rFonts w:ascii="Cambria Math" w:hAnsi="Cambria Math"/>
                  </w:rPr>
                  <m:t>=A</m:t>
                </m:r>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B</m:t>
                        </m:r>
                      </m:num>
                      <m:den>
                        <m:r>
                          <w:rPr>
                            <w:rFonts w:ascii="Cambria Math" w:hAnsi="Cambria Math"/>
                          </w:rPr>
                          <m:t>T</m:t>
                        </m:r>
                      </m:den>
                    </m:f>
                  </m:sup>
                </m:sSup>
              </m:oMath>
            </m:oMathPara>
          </w:p>
        </w:tc>
        <w:tc>
          <w:tcPr>
            <w:tcW w:w="507" w:type="pct"/>
            <w:vAlign w:val="center"/>
          </w:tcPr>
          <w:p w14:paraId="0F88866A" w14:textId="046F99BE"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6</w:t>
            </w:r>
            <w:r w:rsidR="002839C4" w:rsidRPr="00FC71BE">
              <w:rPr>
                <w:color w:val="auto"/>
              </w:rPr>
              <w:fldChar w:fldCharType="end"/>
            </w:r>
            <w:r w:rsidRPr="00FC71BE">
              <w:rPr>
                <w:color w:val="auto"/>
              </w:rPr>
              <w:t>)</w:t>
            </w:r>
          </w:p>
        </w:tc>
      </w:tr>
    </w:tbl>
    <w:p w14:paraId="29AF6DC6" w14:textId="77777777" w:rsidR="00406EF8" w:rsidRPr="00FC71BE" w:rsidRDefault="00406EF8" w:rsidP="00406EF8">
      <w:pPr>
        <w:ind w:firstLine="0"/>
      </w:pPr>
      <w:r w:rsidRPr="00FC71BE">
        <w:t xml:space="preserve">where coefficients </w:t>
      </w:r>
      <m:oMath>
        <m:r>
          <w:rPr>
            <w:rFonts w:ascii="Cambria Math" w:hAnsi="Cambria Math"/>
          </w:rPr>
          <m:t>A</m:t>
        </m:r>
      </m:oMath>
      <w:r w:rsidRPr="00FC71BE">
        <w:t xml:space="preserve"> and </w:t>
      </w:r>
      <m:oMath>
        <m:r>
          <w:rPr>
            <w:rFonts w:ascii="Cambria Math" w:hAnsi="Cambria Math"/>
          </w:rPr>
          <m:t>B</m:t>
        </m:r>
      </m:oMath>
      <w:r w:rsidRPr="00FC71BE">
        <w:t xml:space="preserve"> are the characteristics of ferrofluid and can be obtained from empirical parameters. In this chapter, </w:t>
      </w:r>
      <m:oMath>
        <m:r>
          <w:rPr>
            <w:rFonts w:ascii="Cambria Math" w:hAnsi="Cambria Math"/>
          </w:rPr>
          <m:t>A=1.3×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sty m:val="p"/>
          </m:rPr>
          <w:rPr>
            <w:rFonts w:ascii="Cambria Math" w:hAnsi="Cambria Math"/>
          </w:rPr>
          <m:t>Pa∙s</m:t>
        </m:r>
      </m:oMath>
      <w:r w:rsidRPr="00FC71BE">
        <w:t xml:space="preserve"> and </w:t>
      </w:r>
      <m:oMath>
        <m:r>
          <w:rPr>
            <w:rFonts w:ascii="Cambria Math" w:hAnsi="Cambria Math"/>
          </w:rPr>
          <m:t>B=3.1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r>
          <m:rPr>
            <m:sty m:val="p"/>
          </m:rPr>
          <w:rPr>
            <w:rFonts w:ascii="Cambria Math" w:hAnsi="Cambria Math"/>
          </w:rPr>
          <m:t>K</m:t>
        </m:r>
        <m:r>
          <w:rPr>
            <w:rFonts w:ascii="Cambria Math" w:hAnsi="Cambria Math"/>
          </w:rPr>
          <m:t xml:space="preserve"> </m:t>
        </m:r>
      </m:oMath>
      <w:r w:rsidRPr="00FC71BE">
        <w:t>.</w:t>
      </w:r>
    </w:p>
    <w:p w14:paraId="4A13030C" w14:textId="7CDA96C6" w:rsidR="00406EF8" w:rsidRPr="00FC71BE" w:rsidRDefault="00406EF8" w:rsidP="00406EF8">
      <w:r w:rsidRPr="00FC71BE">
        <w:t xml:space="preserve">The viscosity of ferrofluid is also affected by the applied external magnetic field, namely the magnetoviscous effect </w:t>
      </w:r>
      <w:r w:rsidRPr="00FC71BE">
        <w:fldChar w:fldCharType="begin">
          <w:fldData xml:space="preserve">PEVuZE5vdGU+PENpdGU+PEF1dGhvcj5Sb3NlbnN3ZWlnPC9BdXRob3I+PFllYXI+MjAxMzwvWWVh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</w:fldData>
        </w:fldChar>
      </w:r>
      <w:r w:rsidR="00BA33ED" w:rsidRPr="00FC71BE">
        <w:instrText xml:space="preserve"> ADDIN EN.CITE </w:instrText>
      </w:r>
      <w:r w:rsidR="00BA33ED" w:rsidRPr="00FC71BE">
        <w:fldChar w:fldCharType="begin">
          <w:fldData xml:space="preserve">PEVuZE5vdGU+PENpdGU+PEF1dGhvcj5Sb3NlbnN3ZWlnPC9BdXRob3I+PFllYXI+MjAxMzwvWWVh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</w:fldData>
        </w:fldChar>
      </w:r>
      <w:r w:rsidR="00BA33ED" w:rsidRPr="00FC71BE">
        <w:instrText xml:space="preserve"> ADDIN EN.CITE.DATA </w:instrText>
      </w:r>
      <w:r w:rsidR="00BA33ED" w:rsidRPr="00FC71BE">
        <w:fldChar w:fldCharType="end"/>
      </w:r>
      <w:r w:rsidRPr="00FC71BE">
        <w:fldChar w:fldCharType="separate"/>
      </w:r>
      <w:r w:rsidR="00BA33ED" w:rsidRPr="00FC71BE">
        <w:t>[189, 194, 195]</w:t>
      </w:r>
      <w:r w:rsidRPr="00FC71BE">
        <w:fldChar w:fldCharType="end"/>
      </w:r>
      <w:r w:rsidRPr="00FC71BE">
        <w:t xml:space="preserve">. It can be explained by the resistivity of motion for nano-sized ferromagnetic particles in colloidal suspension caused by the applied magnetic field. According to Odenbach and Thurm in </w:t>
      </w:r>
      <w:r w:rsidRPr="00FC71BE">
        <w:fldChar w:fldCharType="begin"/>
      </w:r>
      <w:r w:rsidR="00BA33ED" w:rsidRPr="00FC71BE">
        <w:instrText xml:space="preserve"> ADDIN EN.CITE &lt;EndNote&gt;&lt;Cite&gt;&lt;Author&gt;Odenbach&lt;/Author&gt;&lt;Year&gt;2002&lt;/Year&gt;&lt;RecNum&gt;61&lt;/RecNum&gt;&lt;DisplayText&gt;[195]&lt;/DisplayText&gt;&lt;record&gt;&lt;rec-number&gt;61&lt;/rec-number&gt;&lt;foreign-keys&gt;&lt;key app="EN" db-id="rf2p5e05jx0x9jep00uvx0s1fvaww2dfa0r9" timestamp="1690977305"&gt;61&lt;/key&gt;&lt;/foreign-keys&gt;&lt;ref-type name="Book Section"&gt;5&lt;/ref-type&gt;&lt;contributors&gt;&lt;authors&gt;&lt;author&gt;Odenbach, Stefan&lt;/author&gt;&lt;author&gt;Thurm, Steffen&lt;/author&gt;&lt;/authors&gt;&lt;/contributors&gt;&lt;titles&gt;&lt;title&gt;Magnetoviscous effects in ferrofluids&lt;/title&gt;&lt;secondary-title&gt;Ferrofluids: magnetically controllable fluids and their applications&lt;/secondary-title&gt;&lt;/titles&gt;&lt;periodical&gt;&lt;full-title&gt;Ferrofluids: magnetically controllable fluids and their applications&lt;/full-title&gt;&lt;/periodical&gt;&lt;pages&gt;185-201&lt;/pages&gt;&lt;dates&gt;&lt;year&gt;2002&lt;/year&gt;&lt;/dates&gt;&lt;publisher&gt;Springer&lt;/publisher&gt;&lt;urls&gt;&lt;/urls&gt;&lt;/record&gt;&lt;/Cite&gt;&lt;/EndNote&gt;</w:instrText>
      </w:r>
      <w:r w:rsidRPr="00FC71BE">
        <w:fldChar w:fldCharType="separate"/>
      </w:r>
      <w:r w:rsidR="00BA33ED" w:rsidRPr="00FC71BE">
        <w:t>[195]</w:t>
      </w:r>
      <w:r w:rsidRPr="00FC71BE">
        <w:fldChar w:fldCharType="end"/>
      </w:r>
      <w:r w:rsidRPr="00FC71BE">
        <w:t>, this resistivity tends to be more significant under low shear strain rate, high magnetic field strength, high ferromagnet concentration and large ferromagnet sizes. In this chapter, the magnetic field acting on the ferromagnetic particles are the leakage magnetic field around the end-windings, which is a relatively weak magnetic field. In addition, according to the literature, the concentration of ferromagnetic particles is generally quite low, around 5% up to 10%. As a result, the magnetoviscous effect can be neglected for the investigations.</w:t>
      </w:r>
    </w:p>
    <w:p w14:paraId="5668AD16" w14:textId="77777777" w:rsidR="00406EF8" w:rsidRPr="00FC71BE" w:rsidRDefault="00406EF8" w:rsidP="006E6817">
      <w:pPr>
        <w:pStyle w:val="Heading4"/>
      </w:pPr>
      <w:r w:rsidRPr="00FC71BE">
        <w:t>Density</w:t>
      </w:r>
    </w:p>
    <w:p w14:paraId="08C51B02" w14:textId="6E979124" w:rsidR="00406EF8" w:rsidRPr="00FC71BE" w:rsidRDefault="00406EF8" w:rsidP="00406EF8">
      <w:r w:rsidRPr="00FC71BE">
        <w:t xml:space="preserve">The Bernoulli equation has revealed the significant role of the density gradient when the gravitational effect is considered in the modelling. The density </w:t>
      </w:r>
      <m:oMath>
        <m:d>
          <m:dPr>
            <m:ctrlPr>
              <w:rPr>
                <w:rFonts w:ascii="Cambria Math" w:hAnsi="Cambria Math"/>
                <w:i/>
              </w:rPr>
            </m:ctrlPr>
          </m:dPr>
          <m:e>
            <m:r>
              <w:rPr>
                <w:rFonts w:ascii="Cambria Math" w:hAnsi="Cambria Math"/>
              </w:rPr>
              <m:t>ρ</m:t>
            </m:r>
          </m:e>
        </m:d>
      </m:oMath>
      <w:r w:rsidRPr="00FC71BE">
        <w:t xml:space="preserve"> and thermal expansion </w:t>
      </w:r>
      <m:oMath>
        <m:d>
          <m:dPr>
            <m:ctrlPr>
              <w:rPr>
                <w:rFonts w:ascii="Cambria Math" w:hAnsi="Cambria Math"/>
                <w:i/>
              </w:rPr>
            </m:ctrlPr>
          </m:dPr>
          <m:e>
            <m:r>
              <w:rPr>
                <w:rFonts w:ascii="Cambria Math" w:hAnsi="Cambria Math"/>
              </w:rPr>
              <m:t>β</m:t>
            </m:r>
          </m:e>
        </m:d>
      </m:oMath>
      <w:r w:rsidRPr="00FC71BE">
        <w:t xml:space="preserve"> of compressible fluid can be derived by </w:t>
      </w:r>
      <w:r w:rsidRPr="00FC71BE">
        <w:fldChar w:fldCharType="begin"/>
      </w:r>
      <w:r w:rsidR="00BA33ED" w:rsidRPr="00FC71BE">
        <w:instrText xml:space="preserve"> ADDIN EN.CITE &lt;EndNote&gt;&lt;Cite&gt;&lt;Author&gt;Berkovsky&lt;/Author&gt;&lt;Year&gt;1993&lt;/Year&gt;&lt;RecNum&gt;56&lt;/RecNum&gt;&lt;DisplayText&gt;[190]&lt;/DisplayText&gt;&lt;record&gt;&lt;rec-number&gt;56&lt;/rec-number&gt;&lt;foreign-keys&gt;&lt;key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applications&lt;/title&gt;&lt;/titles&gt;&lt;dates&gt;&lt;year&gt;1993&lt;/year&gt;&lt;/dates&gt;&lt;urls&gt;&lt;/urls&gt;&lt;/record&gt;&lt;/Cite&gt;&lt;/EndNote&gt;</w:instrText>
      </w:r>
      <w:r w:rsidRPr="00FC71BE">
        <w:fldChar w:fldCharType="separate"/>
      </w:r>
      <w:r w:rsidR="00BA33ED" w:rsidRPr="00FC71BE">
        <w:t>[190]</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46C16A00" w14:textId="77777777">
        <w:tc>
          <w:tcPr>
            <w:tcW w:w="4493" w:type="pct"/>
            <w:vAlign w:val="center"/>
          </w:tcPr>
          <w:p w14:paraId="0CA9D26D" w14:textId="77777777" w:rsidR="00406EF8" w:rsidRPr="00FC71BE" w:rsidRDefault="002143AD">
            <w:pPr>
              <w:pStyle w:val="equation"/>
              <w:rPr>
                <w:color w:val="auto"/>
              </w:rPr>
            </w:pPr>
            <m:oMathPara>
              <m:oMath>
                <m:d>
                  <m:dPr>
                    <m:begChr m:val="{"/>
                    <m:endChr m:val=""/>
                    <m:ctrlPr>
                      <w:rPr>
                        <w:rFonts w:ascii="Cambria Math" w:hAnsi="Cambria Math"/>
                        <w:iCs/>
                        <w:color w:val="auto"/>
                      </w:rPr>
                    </m:ctrlPr>
                  </m:dPr>
                  <m:e>
                    <m:eqArr>
                      <m:eqArrPr>
                        <m:ctrlPr>
                          <w:rPr>
                            <w:rFonts w:ascii="Cambria Math" w:hAnsi="Cambria Math"/>
                            <w:iCs/>
                            <w:color w:val="auto"/>
                          </w:rPr>
                        </m:ctrlPr>
                      </m:eqArrPr>
                      <m:e>
                        <m:sSub>
                          <m:sSubPr>
                            <m:ctrlPr>
                              <w:rPr>
                                <w:rFonts w:ascii="Cambria Math" w:hAnsi="Cambria Math"/>
                                <w:color w:val="auto"/>
                              </w:rPr>
                            </m:ctrlPr>
                          </m:sSubPr>
                          <m:e>
                            <m:r>
                              <w:rPr>
                                <w:rFonts w:ascii="Cambria Math" w:hAnsi="Cambria Math"/>
                                <w:color w:val="auto"/>
                              </w:rPr>
                              <m:t>ρ</m:t>
                            </m:r>
                          </m:e>
                          <m:sub>
                            <m:r>
                              <m:rPr>
                                <m:sty m:val="p"/>
                              </m:rPr>
                              <w:rPr>
                                <w:rFonts w:ascii="Cambria Math" w:hAnsi="Cambria Math"/>
                                <w:color w:val="auto"/>
                              </w:rPr>
                              <m:t>(</m:t>
                            </m:r>
                            <m:r>
                              <w:rPr>
                                <w:rFonts w:ascii="Cambria Math" w:hAnsi="Cambria Math"/>
                                <w:color w:val="auto"/>
                              </w:rPr>
                              <m:t>T</m:t>
                            </m:r>
                            <m:r>
                              <m:rPr>
                                <m:sty m:val="p"/>
                              </m:rPr>
                              <w:rPr>
                                <w:rFonts w:ascii="Cambria Math" w:hAnsi="Cambria Math"/>
                                <w:color w:val="auto"/>
                              </w:rPr>
                              <m:t>)</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ρ</m:t>
                            </m:r>
                          </m:e>
                          <m:sub>
                            <m:r>
                              <m:rPr>
                                <m:sty m:val="p"/>
                              </m:rPr>
                              <w:rPr>
                                <w:rFonts w:ascii="Cambria Math" w:hAnsi="Cambria Math"/>
                                <w:color w:val="auto"/>
                              </w:rPr>
                              <m:t>0</m:t>
                            </m:r>
                          </m:sub>
                        </m:sSub>
                        <m:d>
                          <m:dPr>
                            <m:ctrlPr>
                              <w:rPr>
                                <w:rFonts w:ascii="Cambria Math" w:hAnsi="Cambria Math"/>
                                <w:iCs/>
                                <w:color w:val="auto"/>
                              </w:rPr>
                            </m:ctrlPr>
                          </m:dPr>
                          <m:e>
                            <m:r>
                              <m:rPr>
                                <m:sty m:val="p"/>
                              </m:rPr>
                              <w:rPr>
                                <w:rFonts w:ascii="Cambria Math" w:hAnsi="Cambria Math"/>
                                <w:color w:val="auto"/>
                              </w:rPr>
                              <m:t>1-</m:t>
                            </m:r>
                            <m:sSub>
                              <m:sSubPr>
                                <m:ctrlPr>
                                  <w:rPr>
                                    <w:rFonts w:ascii="Cambria Math" w:hAnsi="Cambria Math"/>
                                    <w:color w:val="auto"/>
                                  </w:rPr>
                                </m:ctrlPr>
                              </m:sSubPr>
                              <m:e>
                                <m:r>
                                  <w:rPr>
                                    <w:rFonts w:ascii="Cambria Math" w:hAnsi="Cambria Math"/>
                                    <w:color w:val="auto"/>
                                  </w:rPr>
                                  <m:t>β</m:t>
                                </m:r>
                              </m:e>
                              <m:sub>
                                <m:r>
                                  <m:rPr>
                                    <m:sty m:val="p"/>
                                  </m:rPr>
                                  <w:rPr>
                                    <w:rFonts w:ascii="Cambria Math" w:hAnsi="Cambria Math"/>
                                    <w:color w:val="auto"/>
                                  </w:rPr>
                                  <m:t>(</m:t>
                                </m:r>
                                <m:r>
                                  <w:rPr>
                                    <w:rFonts w:ascii="Cambria Math" w:hAnsi="Cambria Math"/>
                                    <w:color w:val="auto"/>
                                  </w:rPr>
                                  <m:t>T</m:t>
                                </m:r>
                                <m:r>
                                  <m:rPr>
                                    <m:sty m:val="p"/>
                                  </m:rPr>
                                  <w:rPr>
                                    <w:rFonts w:ascii="Cambria Math" w:hAnsi="Cambria Math"/>
                                    <w:color w:val="auto"/>
                                  </w:rPr>
                                  <m:t>)</m:t>
                                </m:r>
                              </m:sub>
                            </m:sSub>
                            <m:r>
                              <m:rPr>
                                <m:sty m:val="p"/>
                              </m:rPr>
                              <w:rPr>
                                <w:rFonts w:ascii="Cambria Math" w:hAnsi="Cambria Math"/>
                                <w:color w:val="auto"/>
                              </w:rPr>
                              <m:t>Δ</m:t>
                            </m:r>
                            <m:r>
                              <w:rPr>
                                <w:rFonts w:ascii="Cambria Math" w:hAnsi="Cambria Math"/>
                                <w:color w:val="auto"/>
                              </w:rPr>
                              <m:t>T</m:t>
                            </m:r>
                          </m:e>
                        </m:d>
                      </m:e>
                      <m:e>
                        <m:sSub>
                          <m:sSubPr>
                            <m:ctrlPr>
                              <w:rPr>
                                <w:rFonts w:ascii="Cambria Math" w:hAnsi="Cambria Math"/>
                                <w:color w:val="auto"/>
                              </w:rPr>
                            </m:ctrlPr>
                          </m:sSubPr>
                          <m:e>
                            <m:r>
                              <w:rPr>
                                <w:rFonts w:ascii="Cambria Math" w:hAnsi="Cambria Math"/>
                                <w:color w:val="auto"/>
                              </w:rPr>
                              <m:t>ρ</m:t>
                            </m:r>
                          </m:e>
                          <m:sub>
                            <m:r>
                              <m:rPr>
                                <m:sty m:val="p"/>
                              </m:rPr>
                              <w:rPr>
                                <w:rFonts w:ascii="Cambria Math" w:hAnsi="Cambria Math"/>
                                <w:color w:val="auto"/>
                              </w:rPr>
                              <m:t>0</m:t>
                            </m:r>
                          </m:sub>
                        </m:sSub>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ρ</m:t>
                            </m:r>
                          </m:e>
                          <m:sub>
                            <m:r>
                              <w:rPr>
                                <w:rFonts w:ascii="Cambria Math" w:hAnsi="Cambria Math"/>
                                <w:color w:val="auto"/>
                              </w:rPr>
                              <m:t>s</m:t>
                            </m:r>
                          </m:sub>
                        </m:sSub>
                        <m:r>
                          <w:rPr>
                            <w:rFonts w:ascii="Cambria Math" w:hAnsi="Cambria Math"/>
                            <w:color w:val="auto"/>
                          </w:rPr>
                          <m:t>ϕ</m:t>
                        </m:r>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ρ</m:t>
                            </m:r>
                          </m:e>
                          <m:sub>
                            <m:r>
                              <w:rPr>
                                <w:rFonts w:ascii="Cambria Math" w:hAnsi="Cambria Math"/>
                                <w:color w:val="auto"/>
                              </w:rPr>
                              <m:t>f</m:t>
                            </m:r>
                          </m:sub>
                        </m:sSub>
                        <m:d>
                          <m:dPr>
                            <m:ctrlPr>
                              <w:rPr>
                                <w:rFonts w:ascii="Cambria Math" w:hAnsi="Cambria Math"/>
                                <w:color w:val="auto"/>
                              </w:rPr>
                            </m:ctrlPr>
                          </m:dPr>
                          <m:e>
                            <m:r>
                              <m:rPr>
                                <m:sty m:val="p"/>
                              </m:rPr>
                              <w:rPr>
                                <w:rFonts w:ascii="Cambria Math" w:hAnsi="Cambria Math"/>
                                <w:color w:val="auto"/>
                              </w:rPr>
                              <m:t>1-</m:t>
                            </m:r>
                            <m:r>
                              <w:rPr>
                                <w:rFonts w:ascii="Cambria Math" w:hAnsi="Cambria Math"/>
                                <w:color w:val="auto"/>
                              </w:rPr>
                              <m:t>ϕ</m:t>
                            </m:r>
                          </m:e>
                        </m:d>
                      </m:e>
                    </m:eqArr>
                  </m:e>
                </m:d>
              </m:oMath>
            </m:oMathPara>
          </w:p>
        </w:tc>
        <w:tc>
          <w:tcPr>
            <w:tcW w:w="507" w:type="pct"/>
            <w:vAlign w:val="center"/>
          </w:tcPr>
          <w:p w14:paraId="69FA6A00" w14:textId="65E46C7F" w:rsidR="00406EF8" w:rsidRPr="00FC71BE" w:rsidRDefault="00406EF8">
            <w:pPr>
              <w:pStyle w:val="equation"/>
              <w:rPr>
                <w:i/>
                <w:color w:val="auto"/>
              </w:rPr>
            </w:pPr>
            <w:bookmarkStart w:id="287" w:name="_Ref139369056"/>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7</w:t>
            </w:r>
            <w:r w:rsidR="002839C4" w:rsidRPr="00FC71BE">
              <w:rPr>
                <w:color w:val="auto"/>
              </w:rPr>
              <w:fldChar w:fldCharType="end"/>
            </w:r>
            <w:r w:rsidRPr="00FC71BE">
              <w:rPr>
                <w:color w:val="auto"/>
              </w:rPr>
              <w:t>)</w:t>
            </w:r>
            <w:bookmarkEnd w:id="287"/>
          </w:p>
        </w:tc>
      </w:tr>
      <w:tr w:rsidR="00FC71BE" w:rsidRPr="00FC71BE" w14:paraId="7D40351E" w14:textId="77777777">
        <w:tc>
          <w:tcPr>
            <w:tcW w:w="4493" w:type="pct"/>
            <w:vAlign w:val="center"/>
          </w:tcPr>
          <w:p w14:paraId="050C6057" w14:textId="77777777" w:rsidR="00406EF8" w:rsidRPr="00FC71BE" w:rsidRDefault="002143AD">
            <w:pPr>
              <w:pStyle w:val="equation"/>
              <w:rPr>
                <w:color w:val="auto"/>
              </w:rPr>
            </w:pPr>
            <m:oMathPara>
              <m:oMath>
                <m:sSub>
                  <m:sSubPr>
                    <m:ctrlPr>
                      <w:rPr>
                        <w:rFonts w:ascii="Cambria Math" w:hAnsi="Cambria Math"/>
                        <w:color w:val="auto"/>
                      </w:rPr>
                    </m:ctrlPr>
                  </m:sSubPr>
                  <m:e>
                    <m:r>
                      <w:rPr>
                        <w:rFonts w:ascii="Cambria Math" w:hAnsi="Cambria Math"/>
                        <w:color w:val="auto"/>
                      </w:rPr>
                      <m:t>β</m:t>
                    </m:r>
                  </m:e>
                  <m:sub>
                    <m:r>
                      <m:rPr>
                        <m:sty m:val="p"/>
                      </m:rPr>
                      <w:rPr>
                        <w:rFonts w:ascii="Cambria Math" w:hAnsi="Cambria Math"/>
                        <w:color w:val="auto"/>
                      </w:rPr>
                      <m:t>(</m:t>
                    </m:r>
                    <m:r>
                      <w:rPr>
                        <w:rFonts w:ascii="Cambria Math" w:hAnsi="Cambria Math"/>
                        <w:color w:val="auto"/>
                      </w:rPr>
                      <m:t>T</m:t>
                    </m:r>
                    <m:r>
                      <m:rPr>
                        <m:sty m:val="p"/>
                      </m:rPr>
                      <w:rPr>
                        <w:rFonts w:ascii="Cambria Math" w:hAnsi="Cambria Math"/>
                        <w:color w:val="auto"/>
                      </w:rPr>
                      <m:t>)</m:t>
                    </m:r>
                  </m:sub>
                </m:sSub>
                <m:r>
                  <m:rPr>
                    <m:sty m:val="p"/>
                  </m:rPr>
                  <w:rPr>
                    <w:rFonts w:ascii="Cambria Math" w:hAnsi="Cambria Math"/>
                    <w:color w:val="auto"/>
                  </w:rPr>
                  <m:t>=</m:t>
                </m:r>
                <m:d>
                  <m:dPr>
                    <m:ctrlPr>
                      <w:rPr>
                        <w:rFonts w:ascii="Cambria Math" w:hAnsi="Cambria Math"/>
                        <w:color w:val="auto"/>
                      </w:rPr>
                    </m:ctrlPr>
                  </m:dPr>
                  <m:e>
                    <m:sSub>
                      <m:sSubPr>
                        <m:ctrlPr>
                          <w:rPr>
                            <w:rFonts w:ascii="Cambria Math" w:hAnsi="Cambria Math"/>
                            <w:color w:val="auto"/>
                          </w:rPr>
                        </m:ctrlPr>
                      </m:sSubPr>
                      <m:e>
                        <m:r>
                          <w:rPr>
                            <w:rFonts w:ascii="Cambria Math" w:hAnsi="Cambria Math"/>
                            <w:color w:val="auto"/>
                          </w:rPr>
                          <m:t>β</m:t>
                        </m:r>
                      </m:e>
                      <m:sub>
                        <m:r>
                          <w:rPr>
                            <w:rFonts w:ascii="Cambria Math" w:hAnsi="Cambria Math"/>
                            <w:color w:val="auto"/>
                          </w:rPr>
                          <m:t>s</m:t>
                        </m:r>
                      </m:sub>
                    </m:sSub>
                    <m:r>
                      <w:rPr>
                        <w:rFonts w:ascii="Cambria Math" w:hAnsi="Cambria Math"/>
                        <w:color w:val="auto"/>
                      </w:rPr>
                      <m:t>ϕ</m:t>
                    </m:r>
                    <m:r>
                      <m:rPr>
                        <m:sty m:val="p"/>
                      </m:rPr>
                      <w:rPr>
                        <w:rFonts w:ascii="Cambria Math" w:hAnsi="Cambria Math"/>
                        <w:color w:val="auto"/>
                      </w:rPr>
                      <m:t>+</m:t>
                    </m:r>
                    <m:sSub>
                      <m:sSubPr>
                        <m:ctrlPr>
                          <w:rPr>
                            <w:rFonts w:ascii="Cambria Math" w:hAnsi="Cambria Math"/>
                            <w:color w:val="auto"/>
                          </w:rPr>
                        </m:ctrlPr>
                      </m:sSubPr>
                      <m:e>
                        <m:r>
                          <w:rPr>
                            <w:rFonts w:ascii="Cambria Math" w:hAnsi="Cambria Math"/>
                            <w:color w:val="auto"/>
                          </w:rPr>
                          <m:t>β</m:t>
                        </m:r>
                      </m:e>
                      <m:sub>
                        <m:r>
                          <w:rPr>
                            <w:rFonts w:ascii="Cambria Math" w:hAnsi="Cambria Math"/>
                            <w:color w:val="auto"/>
                          </w:rPr>
                          <m:t>f</m:t>
                        </m:r>
                      </m:sub>
                    </m:sSub>
                    <m:d>
                      <m:dPr>
                        <m:ctrlPr>
                          <w:rPr>
                            <w:rFonts w:ascii="Cambria Math" w:hAnsi="Cambria Math"/>
                            <w:color w:val="auto"/>
                          </w:rPr>
                        </m:ctrlPr>
                      </m:dPr>
                      <m:e>
                        <m:r>
                          <m:rPr>
                            <m:sty m:val="p"/>
                          </m:rPr>
                          <w:rPr>
                            <w:rFonts w:ascii="Cambria Math" w:hAnsi="Cambria Math"/>
                            <w:color w:val="auto"/>
                          </w:rPr>
                          <m:t>1-</m:t>
                        </m:r>
                        <m:r>
                          <w:rPr>
                            <w:rFonts w:ascii="Cambria Math" w:hAnsi="Cambria Math"/>
                            <w:color w:val="auto"/>
                          </w:rPr>
                          <m:t>ϕ</m:t>
                        </m:r>
                      </m:e>
                    </m:d>
                  </m:e>
                </m:d>
              </m:oMath>
            </m:oMathPara>
          </w:p>
        </w:tc>
        <w:tc>
          <w:tcPr>
            <w:tcW w:w="507" w:type="pct"/>
            <w:vAlign w:val="center"/>
          </w:tcPr>
          <w:p w14:paraId="46D89105" w14:textId="07E305BC" w:rsidR="00406EF8" w:rsidRPr="00FC71BE" w:rsidRDefault="00406EF8">
            <w:pPr>
              <w:pStyle w:val="equation"/>
              <w:rPr>
                <w:i/>
                <w:color w:val="auto"/>
              </w:rPr>
            </w:pPr>
            <w:bookmarkStart w:id="288" w:name="_Ref139369058"/>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8</w:t>
            </w:r>
            <w:r w:rsidR="002839C4" w:rsidRPr="00FC71BE">
              <w:rPr>
                <w:color w:val="auto"/>
              </w:rPr>
              <w:fldChar w:fldCharType="end"/>
            </w:r>
            <w:r w:rsidRPr="00FC71BE">
              <w:rPr>
                <w:color w:val="auto"/>
              </w:rPr>
              <w:t>)</w:t>
            </w:r>
            <w:bookmarkEnd w:id="288"/>
          </w:p>
        </w:tc>
      </w:tr>
    </w:tbl>
    <w:p w14:paraId="2342CAF8" w14:textId="38A8CBC1" w:rsidR="00406EF8" w:rsidRPr="00FC71BE" w:rsidRDefault="00406EF8" w:rsidP="00406EF8">
      <w:pPr>
        <w:ind w:firstLine="0"/>
      </w:pPr>
      <w:r w:rsidRPr="00FC71BE">
        <w:lastRenderedPageBreak/>
        <w:t xml:space="preserve">where the subscript </w:t>
      </w:r>
      <m:oMath>
        <m:r>
          <w:rPr>
            <w:rFonts w:ascii="Cambria Math" w:hAnsi="Cambria Math"/>
          </w:rPr>
          <m:t>s</m:t>
        </m:r>
      </m:oMath>
      <w:r w:rsidRPr="00FC71BE">
        <w:t xml:space="preserve"> represents the ferromagnetic particles. It is worth noting that </w:t>
      </w:r>
      <w:r w:rsidRPr="00FC71BE">
        <w:fldChar w:fldCharType="begin"/>
      </w:r>
      <w:r w:rsidRPr="00FC71BE">
        <w:instrText xml:space="preserve"> REF _Ref139369056 \h </w:instrText>
      </w:r>
      <w:r w:rsidRPr="00FC71BE">
        <w:fldChar w:fldCharType="separate"/>
      </w:r>
      <w:r w:rsidR="007E62C1" w:rsidRPr="00FC71BE">
        <w:t>(</w:t>
      </w:r>
      <w:r w:rsidR="007E62C1" w:rsidRPr="00FC71BE">
        <w:rPr>
          <w:noProof/>
        </w:rPr>
        <w:t>5</w:t>
      </w:r>
      <w:r w:rsidR="007E62C1" w:rsidRPr="00FC71BE">
        <w:t>.</w:t>
      </w:r>
      <w:r w:rsidR="007E62C1" w:rsidRPr="00FC71BE">
        <w:rPr>
          <w:noProof/>
        </w:rPr>
        <w:t>7</w:t>
      </w:r>
      <w:r w:rsidR="007E62C1" w:rsidRPr="00FC71BE">
        <w:t>)</w:t>
      </w:r>
      <w:r w:rsidRPr="00FC71BE">
        <w:fldChar w:fldCharType="end"/>
      </w:r>
      <w:r w:rsidRPr="00FC71BE">
        <w:t xml:space="preserve"> and </w:t>
      </w:r>
      <w:r w:rsidRPr="00FC71BE">
        <w:fldChar w:fldCharType="begin"/>
      </w:r>
      <w:r w:rsidRPr="00FC71BE">
        <w:instrText xml:space="preserve"> REF _Ref139369058 \h </w:instrText>
      </w:r>
      <w:r w:rsidRPr="00FC71BE">
        <w:fldChar w:fldCharType="separate"/>
      </w:r>
      <w:r w:rsidR="007E62C1" w:rsidRPr="00FC71BE">
        <w:t>(</w:t>
      </w:r>
      <w:r w:rsidR="007E62C1" w:rsidRPr="00FC71BE">
        <w:rPr>
          <w:noProof/>
        </w:rPr>
        <w:t>5</w:t>
      </w:r>
      <w:r w:rsidR="007E62C1" w:rsidRPr="00FC71BE">
        <w:t>.</w:t>
      </w:r>
      <w:r w:rsidR="007E62C1" w:rsidRPr="00FC71BE">
        <w:rPr>
          <w:noProof/>
        </w:rPr>
        <w:t>8</w:t>
      </w:r>
      <w:r w:rsidR="007E62C1" w:rsidRPr="00FC71BE">
        <w:t>)</w:t>
      </w:r>
      <w:r w:rsidRPr="00FC71BE">
        <w:fldChar w:fldCharType="end"/>
      </w:r>
      <w:r w:rsidRPr="00FC71BE">
        <w:t xml:space="preserve"> assume that the density of the liquid base is the same as the surfactant which is often added into the ferrofluid to improve its fluid stability.</w:t>
      </w:r>
    </w:p>
    <w:p w14:paraId="5471445D" w14:textId="77777777" w:rsidR="00406EF8" w:rsidRPr="00FC71BE" w:rsidRDefault="00406EF8" w:rsidP="006E6817">
      <w:pPr>
        <w:pStyle w:val="Heading4"/>
      </w:pPr>
      <w:r w:rsidRPr="00FC71BE">
        <w:t>Thermal Conductivity and Capacity</w:t>
      </w:r>
    </w:p>
    <w:p w14:paraId="18588D70" w14:textId="285C3FB5" w:rsidR="00406EF8" w:rsidRPr="00FC71BE" w:rsidRDefault="00406EF8" w:rsidP="00406EF8">
      <w:r w:rsidRPr="00FC71BE">
        <w:t>Thermal conductivity of ferrofluid (</w:t>
      </w:r>
      <m:oMath>
        <m:r>
          <w:rPr>
            <w:rFonts w:ascii="Cambria Math" w:hAnsi="Cambria Math"/>
          </w:rPr>
          <m:t>λ</m:t>
        </m:r>
      </m:oMath>
      <w:r w:rsidRPr="00FC71BE">
        <w:t xml:space="preserve">) can be derived by Maxwell formula of colloidal suspension such as </w:t>
      </w:r>
      <w:r w:rsidRPr="00FC71BE">
        <w:fldChar w:fldCharType="begin"/>
      </w:r>
      <w:r w:rsidR="00BA33ED" w:rsidRPr="00FC71BE">
        <w:instrText xml:space="preserve"> ADDIN EN.CITE &lt;EndNote&gt;&lt;Cite&gt;&lt;Author&gt;Berkovsky&lt;/Author&gt;&lt;Year&gt;1993&lt;/Year&gt;&lt;RecNum&gt;56&lt;/RecNum&gt;&lt;DisplayText&gt;[190]&lt;/DisplayText&gt;&lt;record&gt;&lt;rec-number&gt;56&lt;/rec-number&gt;&lt;foreign-keys&gt;&lt;key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applications&lt;/title&gt;&lt;/titles&gt;&lt;dates&gt;&lt;year&gt;1993&lt;/year&gt;&lt;/dates&gt;&lt;urls&gt;&lt;/urls&gt;&lt;/record&gt;&lt;/Cite&gt;&lt;/EndNote&gt;</w:instrText>
      </w:r>
      <w:r w:rsidRPr="00FC71BE">
        <w:fldChar w:fldCharType="separate"/>
      </w:r>
      <w:r w:rsidR="00BA33ED" w:rsidRPr="00FC71BE">
        <w:t>[190]</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34D2CA83" w14:textId="77777777">
        <w:tc>
          <w:tcPr>
            <w:tcW w:w="4493" w:type="pct"/>
            <w:vAlign w:val="center"/>
          </w:tcPr>
          <w:p w14:paraId="1836B983" w14:textId="77777777" w:rsidR="00406EF8" w:rsidRPr="00FC71BE" w:rsidRDefault="00406EF8">
            <w:pPr>
              <w:ind w:left="340" w:firstLine="0"/>
            </w:pPr>
            <m:oMathPara>
              <m:oMath>
                <m:r>
                  <w:rPr>
                    <w:rFonts w:ascii="Cambria Math" w:hAnsi="Cambria Math"/>
                  </w:rPr>
                  <m:t>λ=</m:t>
                </m:r>
                <m:sSub>
                  <m:sSubPr>
                    <m:ctrlPr>
                      <w:rPr>
                        <w:rFonts w:ascii="Cambria Math" w:hAnsi="Cambria Math"/>
                        <w:i/>
                      </w:rPr>
                    </m:ctrlPr>
                  </m:sSubPr>
                  <m:e>
                    <m:r>
                      <w:rPr>
                        <w:rFonts w:ascii="Cambria Math" w:hAnsi="Cambria Math"/>
                      </w:rPr>
                      <m:t>λ</m:t>
                    </m:r>
                  </m:e>
                  <m:sub>
                    <m:r>
                      <w:rPr>
                        <w:rFonts w:ascii="Cambria Math" w:hAnsi="Cambria Math"/>
                      </w:rPr>
                      <m:t>f</m:t>
                    </m:r>
                  </m:sub>
                </m:sSub>
                <m:d>
                  <m:dPr>
                    <m:begChr m:val="["/>
                    <m:endChr m:val="]"/>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3</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s</m:t>
                                </m:r>
                              </m:sub>
                            </m:sSub>
                          </m:e>
                        </m:d>
                        <m:r>
                          <w:rPr>
                            <w:rFonts w:ascii="Cambria Math" w:hAnsi="Cambria Math"/>
                          </w:rPr>
                          <m:t>ϕ</m:t>
                        </m:r>
                      </m:num>
                      <m:den>
                        <m:r>
                          <w:rPr>
                            <w:rFonts w:ascii="Cambria Math" w:hAnsi="Cambria Math"/>
                          </w:rPr>
                          <m:t>2</m:t>
                        </m:r>
                        <m:sSub>
                          <m:sSubPr>
                            <m:ctrlPr>
                              <w:rPr>
                                <w:rFonts w:ascii="Cambria Math" w:hAnsi="Cambria Math"/>
                                <w:i/>
                              </w:rPr>
                            </m:ctrlPr>
                          </m:sSubPr>
                          <m:e>
                            <m:r>
                              <w:rPr>
                                <w:rFonts w:ascii="Cambria Math" w:hAnsi="Cambria Math"/>
                              </w:rPr>
                              <m:t>λ</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s</m:t>
                            </m:r>
                          </m:sub>
                        </m:sSub>
                        <m:r>
                          <w:rPr>
                            <w:rFonts w:ascii="Cambria Math" w:hAnsi="Cambria Math"/>
                          </w:rPr>
                          <m:t>+ϕ(</m:t>
                        </m:r>
                        <m:sSub>
                          <m:sSubPr>
                            <m:ctrlPr>
                              <w:rPr>
                                <w:rFonts w:ascii="Cambria Math" w:hAnsi="Cambria Math"/>
                                <w:i/>
                              </w:rPr>
                            </m:ctrlPr>
                          </m:sSubPr>
                          <m:e>
                            <m:r>
                              <w:rPr>
                                <w:rFonts w:ascii="Cambria Math" w:hAnsi="Cambria Math"/>
                              </w:rPr>
                              <m:t>λ</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s</m:t>
                            </m:r>
                          </m:sub>
                        </m:sSub>
                        <m:r>
                          <w:rPr>
                            <w:rFonts w:ascii="Cambria Math" w:hAnsi="Cambria Math"/>
                          </w:rPr>
                          <m:t>)</m:t>
                        </m:r>
                      </m:den>
                    </m:f>
                  </m:e>
                </m:d>
              </m:oMath>
            </m:oMathPara>
          </w:p>
        </w:tc>
        <w:tc>
          <w:tcPr>
            <w:tcW w:w="507" w:type="pct"/>
            <w:vAlign w:val="center"/>
          </w:tcPr>
          <w:p w14:paraId="0677966F" w14:textId="1D3DDBBE"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9</w:t>
            </w:r>
            <w:r w:rsidR="002839C4" w:rsidRPr="00FC71BE">
              <w:rPr>
                <w:color w:val="auto"/>
              </w:rPr>
              <w:fldChar w:fldCharType="end"/>
            </w:r>
            <w:r w:rsidRPr="00FC71BE">
              <w:rPr>
                <w:color w:val="auto"/>
              </w:rPr>
              <w:t>)</w:t>
            </w:r>
          </w:p>
        </w:tc>
      </w:tr>
    </w:tbl>
    <w:p w14:paraId="15AFC12F" w14:textId="0D152954" w:rsidR="00406EF8" w:rsidRPr="00FC71BE" w:rsidRDefault="00406EF8" w:rsidP="00406EF8">
      <w:pPr>
        <w:ind w:firstLine="0"/>
      </w:pPr>
      <w:r w:rsidRPr="00FC71BE">
        <w:t>And the specific heat capacity (</w:t>
      </w:r>
      <m:oMath>
        <m:r>
          <w:rPr>
            <w:rFonts w:ascii="Cambria Math" w:hAnsi="Cambria Math"/>
          </w:rPr>
          <m:t>c</m:t>
        </m:r>
      </m:oMath>
      <w:r w:rsidRPr="00FC71BE">
        <w:t>) can be calculated using the same mixing rule as the density, as described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75E2624D" w14:textId="77777777">
        <w:tc>
          <w:tcPr>
            <w:tcW w:w="4493" w:type="pct"/>
            <w:vAlign w:val="center"/>
          </w:tcPr>
          <w:p w14:paraId="1292E764" w14:textId="610D4979" w:rsidR="00406EF8" w:rsidRPr="00FC71BE" w:rsidRDefault="00916C33">
            <w:pPr>
              <w:ind w:left="340" w:firstLine="0"/>
            </w:pPr>
            <m:oMathPara>
              <m:oMath>
                <m:r>
                  <w:rPr>
                    <w:rFonts w:ascii="Cambria Math" w:hAnsi="Cambria Math"/>
                  </w:rPr>
                  <m:t>c=</m:t>
                </m:r>
                <m:sSub>
                  <m:sSubPr>
                    <m:ctrlPr>
                      <w:rPr>
                        <w:rFonts w:ascii="Cambria Math" w:hAnsi="Cambria Math"/>
                      </w:rPr>
                    </m:ctrlPr>
                  </m:sSubPr>
                  <m:e>
                    <m:r>
                      <w:rPr>
                        <w:rFonts w:ascii="Cambria Math" w:hAnsi="Cambria Math"/>
                      </w:rPr>
                      <m:t>c</m:t>
                    </m:r>
                  </m:e>
                  <m:sub>
                    <m:r>
                      <w:rPr>
                        <w:rFonts w:ascii="Cambria Math" w:hAnsi="Cambria Math"/>
                      </w:rPr>
                      <m:t>s</m:t>
                    </m:r>
                  </m:sub>
                </m:sSub>
                <m:r>
                  <w:rPr>
                    <w:rFonts w:ascii="Cambria Math" w:hAnsi="Cambria Math"/>
                  </w:rPr>
                  <m:t>ϕ</m:t>
                </m:r>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f</m:t>
                    </m:r>
                  </m:sub>
                </m:sSub>
                <m:d>
                  <m:dPr>
                    <m:ctrlPr>
                      <w:rPr>
                        <w:rFonts w:ascii="Cambria Math" w:hAnsi="Cambria Math"/>
                      </w:rPr>
                    </m:ctrlPr>
                  </m:dPr>
                  <m:e>
                    <m:r>
                      <m:rPr>
                        <m:sty m:val="p"/>
                      </m:rPr>
                      <w:rPr>
                        <w:rFonts w:ascii="Cambria Math" w:hAnsi="Cambria Math"/>
                      </w:rPr>
                      <m:t>1-</m:t>
                    </m:r>
                    <m:r>
                      <w:rPr>
                        <w:rFonts w:ascii="Cambria Math" w:hAnsi="Cambria Math"/>
                      </w:rPr>
                      <m:t>ϕ</m:t>
                    </m:r>
                  </m:e>
                </m:d>
              </m:oMath>
            </m:oMathPara>
          </w:p>
        </w:tc>
        <w:tc>
          <w:tcPr>
            <w:tcW w:w="507" w:type="pct"/>
            <w:vAlign w:val="center"/>
          </w:tcPr>
          <w:p w14:paraId="28C3AD76" w14:textId="565DD268"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10</w:t>
            </w:r>
            <w:r w:rsidR="002839C4" w:rsidRPr="00FC71BE">
              <w:rPr>
                <w:color w:val="auto"/>
              </w:rPr>
              <w:fldChar w:fldCharType="end"/>
            </w:r>
            <w:r w:rsidRPr="00FC71BE">
              <w:rPr>
                <w:color w:val="auto"/>
              </w:rPr>
              <w:t>)</w:t>
            </w:r>
          </w:p>
        </w:tc>
      </w:tr>
    </w:tbl>
    <w:p w14:paraId="08E22D65" w14:textId="77777777" w:rsidR="00406EF8" w:rsidRPr="00FC71BE" w:rsidRDefault="00406EF8" w:rsidP="00B86C68">
      <w:pPr>
        <w:pStyle w:val="Heading3"/>
        <w:numPr>
          <w:ilvl w:val="2"/>
          <w:numId w:val="49"/>
        </w:numPr>
      </w:pPr>
      <w:bookmarkStart w:id="289" w:name="_Toc157695384"/>
      <w:r w:rsidRPr="00FC71BE">
        <w:t>Governing Equations</w:t>
      </w:r>
      <w:bookmarkEnd w:id="289"/>
    </w:p>
    <w:p w14:paraId="67F43443" w14:textId="05CF8BC0" w:rsidR="00406EF8" w:rsidRPr="00FC71BE" w:rsidRDefault="00406EF8" w:rsidP="00406EF8">
      <w:r w:rsidRPr="00FC71BE">
        <w:t xml:space="preserve">As mentioned before, the ferrofluid is often under weak magnetic field, where </w:t>
      </w:r>
      <m:oMath>
        <m:r>
          <w:rPr>
            <w:rFonts w:ascii="Cambria Math" w:hAnsi="Cambria Math"/>
          </w:rPr>
          <m:t>ξ≪1</m:t>
        </m:r>
      </m:oMath>
      <w:r w:rsidRPr="00FC71BE">
        <w:t xml:space="preserve"> as derived in </w:t>
      </w:r>
      <w:r w:rsidRPr="00FC71BE">
        <w:fldChar w:fldCharType="begin"/>
      </w:r>
      <w:r w:rsidRPr="00FC71BE">
        <w:instrText xml:space="preserve"> REF _Ref139370140 \h </w:instrText>
      </w:r>
      <w:r w:rsidRPr="00FC71BE">
        <w:fldChar w:fldCharType="separate"/>
      </w:r>
      <w:r w:rsidR="007E62C1" w:rsidRPr="00FC71BE">
        <w:t>(</w:t>
      </w:r>
      <w:r w:rsidR="007E62C1" w:rsidRPr="00FC71BE">
        <w:rPr>
          <w:noProof/>
        </w:rPr>
        <w:t>5</w:t>
      </w:r>
      <w:r w:rsidR="007E62C1" w:rsidRPr="00FC71BE">
        <w:t>.</w:t>
      </w:r>
      <w:r w:rsidR="007E62C1" w:rsidRPr="00FC71BE">
        <w:rPr>
          <w:noProof/>
        </w:rPr>
        <w:t>1</w:t>
      </w:r>
      <w:r w:rsidR="007E62C1" w:rsidRPr="00FC71BE">
        <w:t>)</w:t>
      </w:r>
      <w:r w:rsidRPr="00FC71BE">
        <w:fldChar w:fldCharType="end"/>
      </w:r>
      <w:r w:rsidRPr="00FC71BE">
        <w:t>. As a result, the ferrofluid is considered as superparamagnetic fluid and its magnetic susceptibility can be derived by Langevin function. The behaviours of the ferrofluid in the investigated PM machines will be governed by the coupling between the magnetic field, the fluid dynamics and the heat transfer, and the governing equations will be explained in detail in the following sections.</w:t>
      </w:r>
    </w:p>
    <w:p w14:paraId="1E85CD80" w14:textId="77777777" w:rsidR="00406EF8" w:rsidRPr="00FC71BE" w:rsidRDefault="00406EF8" w:rsidP="00AF4190">
      <w:pPr>
        <w:pStyle w:val="Heading4"/>
        <w:numPr>
          <w:ilvl w:val="0"/>
          <w:numId w:val="33"/>
        </w:numPr>
      </w:pPr>
      <w:r w:rsidRPr="00FC71BE">
        <w:t>Fluid Dynamics</w:t>
      </w:r>
    </w:p>
    <w:p w14:paraId="0E297534" w14:textId="13324AE9" w:rsidR="00406EF8" w:rsidRPr="00FC71BE" w:rsidRDefault="00406EF8" w:rsidP="00406EF8">
      <w:r w:rsidRPr="00FC71BE">
        <w:t xml:space="preserve">The behaviour of </w:t>
      </w:r>
      <w:r w:rsidR="00083ED8" w:rsidRPr="00FC71BE">
        <w:t xml:space="preserve">ferromagnetic </w:t>
      </w:r>
      <w:r w:rsidRPr="00FC71BE">
        <w:t>flow is governed by Navier-Stokes equations and its time-varying model considering the body force is obtained by Bernoulli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272F974" w14:textId="77777777">
        <w:tc>
          <w:tcPr>
            <w:tcW w:w="4493" w:type="pct"/>
            <w:vAlign w:val="center"/>
          </w:tcPr>
          <w:p w14:paraId="67820D3A" w14:textId="77777777" w:rsidR="00406EF8" w:rsidRPr="00FC71BE" w:rsidRDefault="00406EF8">
            <w:pPr>
              <w:ind w:left="340" w:firstLine="0"/>
            </w:pPr>
            <m:oMathPara>
              <m:oMath>
                <m:r>
                  <w:rPr>
                    <w:rFonts w:ascii="Cambria Math" w:hAnsi="Cambria Math"/>
                  </w:rPr>
                  <m:t>ρ</m:t>
                </m:r>
                <m:f>
                  <m:fPr>
                    <m:ctrlPr>
                      <w:rPr>
                        <w:rFonts w:ascii="Cambria Math" w:hAnsi="Cambria Math"/>
                        <w:i/>
                      </w:rPr>
                    </m:ctrlPr>
                  </m:fPr>
                  <m:num>
                    <m:r>
                      <w:rPr>
                        <w:rFonts w:ascii="Cambria Math" w:hAnsi="Cambria Math"/>
                      </w:rPr>
                      <m:t>∂</m:t>
                    </m:r>
                    <m:r>
                      <m:rPr>
                        <m:sty m:val="bi"/>
                      </m:rPr>
                      <w:rPr>
                        <w:rFonts w:ascii="Cambria Math" w:hAnsi="Cambria Math"/>
                      </w:rPr>
                      <m:t>u</m:t>
                    </m:r>
                  </m:num>
                  <m:den>
                    <m:r>
                      <w:rPr>
                        <w:rFonts w:ascii="Cambria Math" w:hAnsi="Cambria Math"/>
                      </w:rPr>
                      <m:t>∂t</m:t>
                    </m:r>
                  </m:den>
                </m:f>
                <m:r>
                  <w:rPr>
                    <w:rFonts w:ascii="Cambria Math" w:hAnsi="Cambria Math"/>
                  </w:rPr>
                  <m:t>+ρ</m:t>
                </m:r>
                <m:d>
                  <m:dPr>
                    <m:ctrlPr>
                      <w:rPr>
                        <w:rFonts w:ascii="Cambria Math" w:hAnsi="Cambria Math"/>
                        <w:i/>
                      </w:rPr>
                    </m:ctrlPr>
                  </m:dPr>
                  <m:e>
                    <m:r>
                      <m:rPr>
                        <m:sty m:val="bi"/>
                      </m:rPr>
                      <w:rPr>
                        <w:rFonts w:ascii="Cambria Math" w:hAnsi="Cambria Math"/>
                      </w:rPr>
                      <m:t>u</m:t>
                    </m:r>
                    <m:r>
                      <w:rPr>
                        <w:rFonts w:ascii="Cambria Math" w:hAnsi="Cambria Math"/>
                      </w:rPr>
                      <m:t>∙</m:t>
                    </m:r>
                    <m:r>
                      <m:rPr>
                        <m:sty m:val="b"/>
                      </m:rPr>
                      <w:rPr>
                        <w:rFonts w:ascii="Cambria Math" w:hAnsi="Cambria Math"/>
                      </w:rPr>
                      <m:t>∇</m:t>
                    </m:r>
                  </m:e>
                </m:d>
                <m:r>
                  <m:rPr>
                    <m:sty m:val="bi"/>
                  </m:rPr>
                  <w:rPr>
                    <w:rFonts w:ascii="Cambria Math" w:hAnsi="Cambria Math"/>
                  </w:rPr>
                  <m:t>u</m:t>
                </m:r>
                <m:r>
                  <w:rPr>
                    <w:rFonts w:ascii="Cambria Math" w:hAnsi="Cambria Math"/>
                  </w:rPr>
                  <m:t>=ρ</m:t>
                </m:r>
                <m:r>
                  <m:rPr>
                    <m:sty m:val="bi"/>
                  </m:rPr>
                  <w:rPr>
                    <w:rFonts w:ascii="Cambria Math" w:hAnsi="Cambria Math"/>
                  </w:rPr>
                  <m:t>g</m:t>
                </m:r>
                <m:r>
                  <w:rPr>
                    <w:rFonts w:ascii="Cambria Math" w:hAnsi="Cambria Math"/>
                  </w:rPr>
                  <m:t>-</m:t>
                </m:r>
                <m:r>
                  <m:rPr>
                    <m:sty m:val="b"/>
                  </m:rPr>
                  <w:rPr>
                    <w:rFonts w:ascii="Cambria Math" w:hAnsi="Cambria Math"/>
                  </w:rPr>
                  <m:t>∇</m:t>
                </m:r>
                <m:r>
                  <w:rPr>
                    <w:rFonts w:ascii="Cambria Math" w:hAnsi="Cambria Math"/>
                  </w:rPr>
                  <m:t>p</m:t>
                </m:r>
                <m:r>
                  <m:rPr>
                    <m:sty m:val="p"/>
                  </m:rPr>
                  <w:rPr>
                    <w:rFonts w:ascii="Cambria Math" w:hAnsi="Cambria Math"/>
                  </w:rPr>
                  <m:t>+</m:t>
                </m:r>
                <m:sSub>
                  <m:sSubPr>
                    <m:ctrlPr>
                      <w:rPr>
                        <w:rFonts w:ascii="Cambria Math" w:hAnsi="Cambria Math"/>
                        <w:b/>
                        <w:bCs/>
                      </w:rPr>
                    </m:ctrlPr>
                  </m:sSubPr>
                  <m:e>
                    <m:r>
                      <m:rPr>
                        <m:sty m:val="bi"/>
                      </m:rPr>
                      <w:rPr>
                        <w:rFonts w:ascii="Cambria Math" w:hAnsi="Cambria Math"/>
                      </w:rPr>
                      <m:t>F</m:t>
                    </m:r>
                  </m:e>
                  <m:sub>
                    <m:r>
                      <m:rPr>
                        <m:sty m:val="bi"/>
                      </m:rPr>
                      <w:rPr>
                        <w:rFonts w:ascii="Cambria Math" w:hAnsi="Cambria Math"/>
                      </w:rPr>
                      <m:t>v</m:t>
                    </m:r>
                  </m:sub>
                </m:sSub>
                <m:r>
                  <m:rPr>
                    <m:sty m:val="p"/>
                  </m:rPr>
                  <w:rPr>
                    <w:rFonts w:ascii="Cambria Math" w:hAnsi="Cambria Math"/>
                  </w:rPr>
                  <m:t>+</m:t>
                </m:r>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t>
                    </m:r>
                  </m:sub>
                </m:sSub>
              </m:oMath>
            </m:oMathPara>
          </w:p>
        </w:tc>
        <w:tc>
          <w:tcPr>
            <w:tcW w:w="507" w:type="pct"/>
            <w:vAlign w:val="center"/>
          </w:tcPr>
          <w:p w14:paraId="034252E6" w14:textId="52C2D4A7" w:rsidR="00406EF8" w:rsidRPr="00FC71BE" w:rsidRDefault="00406EF8">
            <w:pPr>
              <w:pStyle w:val="equation"/>
              <w:rPr>
                <w:i/>
                <w:color w:val="auto"/>
              </w:rPr>
            </w:pPr>
            <w:bookmarkStart w:id="290" w:name="_Ref139370180"/>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11</w:t>
            </w:r>
            <w:r w:rsidR="002839C4" w:rsidRPr="00FC71BE">
              <w:rPr>
                <w:color w:val="auto"/>
              </w:rPr>
              <w:fldChar w:fldCharType="end"/>
            </w:r>
            <w:r w:rsidRPr="00FC71BE">
              <w:rPr>
                <w:color w:val="auto"/>
              </w:rPr>
              <w:t>)</w:t>
            </w:r>
            <w:bookmarkEnd w:id="290"/>
          </w:p>
        </w:tc>
      </w:tr>
    </w:tbl>
    <w:p w14:paraId="2FD89DF4" w14:textId="77777777" w:rsidR="00406EF8" w:rsidRPr="00FC71BE" w:rsidRDefault="00406EF8" w:rsidP="00406EF8">
      <w:pPr>
        <w:ind w:firstLine="0"/>
      </w:pPr>
      <w:r w:rsidRPr="00FC71BE">
        <w:t xml:space="preserve">where </w:t>
      </w:r>
      <m:oMath>
        <m:r>
          <m:rPr>
            <m:sty m:val="bi"/>
          </m:rPr>
          <w:rPr>
            <w:rFonts w:ascii="Cambria Math" w:hAnsi="Cambria Math"/>
          </w:rPr>
          <m:t>u</m:t>
        </m:r>
      </m:oMath>
      <w:r w:rsidRPr="00FC71BE">
        <w:t xml:space="preserve"> is the velocity vector, </w:t>
      </w:r>
      <m:oMath>
        <m:r>
          <w:rPr>
            <w:rFonts w:ascii="Cambria Math" w:hAnsi="Cambria Math"/>
          </w:rPr>
          <m:t>t</m:t>
        </m:r>
      </m:oMath>
      <w:r w:rsidRPr="00FC71BE">
        <w:t xml:space="preserve"> is the time, </w:t>
      </w:r>
      <m:oMath>
        <m:r>
          <m:rPr>
            <m:sty m:val="bi"/>
          </m:rPr>
          <w:rPr>
            <w:rFonts w:ascii="Cambria Math" w:hAnsi="Cambria Math"/>
          </w:rPr>
          <m:t>g</m:t>
        </m:r>
      </m:oMath>
      <w:r w:rsidRPr="00FC71BE">
        <w:t xml:space="preserve"> is the acceleration of gravity vector and </w:t>
      </w:r>
      <m:oMath>
        <m:r>
          <w:rPr>
            <w:rFonts w:ascii="Cambria Math" w:hAnsi="Cambria Math"/>
          </w:rPr>
          <m:t>p</m:t>
        </m:r>
      </m:oMath>
      <w:r w:rsidRPr="00FC71BE">
        <w:t xml:space="preserve"> is the pressure which is a function of temperature and density.</w:t>
      </w:r>
    </w:p>
    <w:p w14:paraId="243056B6" w14:textId="72BB6EFF" w:rsidR="00406EF8" w:rsidRPr="00FC71BE" w:rsidRDefault="002143AD" w:rsidP="00406EF8">
      <m:oMath>
        <m:sSub>
          <m:sSubPr>
            <m:ctrlPr>
              <w:rPr>
                <w:rFonts w:ascii="Cambria Math" w:hAnsi="Cambria Math"/>
                <w:b/>
                <w:bCs/>
              </w:rPr>
            </m:ctrlPr>
          </m:sSubPr>
          <m:e>
            <m:r>
              <m:rPr>
                <m:sty m:val="bi"/>
              </m:rPr>
              <w:rPr>
                <w:rFonts w:ascii="Cambria Math" w:hAnsi="Cambria Math"/>
              </w:rPr>
              <m:t>F</m:t>
            </m:r>
          </m:e>
          <m:sub>
            <m:r>
              <m:rPr>
                <m:sty m:val="bi"/>
              </m:rPr>
              <w:rPr>
                <w:rFonts w:ascii="Cambria Math" w:hAnsi="Cambria Math"/>
              </w:rPr>
              <m:t>v</m:t>
            </m:r>
          </m:sub>
        </m:sSub>
      </m:oMath>
      <w:r w:rsidR="00406EF8" w:rsidRPr="00FC71BE">
        <w:t xml:space="preserve"> in </w:t>
      </w:r>
      <w:r w:rsidR="00406EF8" w:rsidRPr="00FC71BE">
        <w:fldChar w:fldCharType="begin"/>
      </w:r>
      <w:r w:rsidR="00406EF8" w:rsidRPr="00FC71BE">
        <w:instrText xml:space="preserve"> REF _Ref139370180 \h </w:instrText>
      </w:r>
      <w:r w:rsidR="00406EF8" w:rsidRPr="00FC71BE">
        <w:fldChar w:fldCharType="separate"/>
      </w:r>
      <w:r w:rsidR="007E62C1" w:rsidRPr="00FC71BE">
        <w:t>(</w:t>
      </w:r>
      <w:r w:rsidR="007E62C1" w:rsidRPr="00FC71BE">
        <w:rPr>
          <w:noProof/>
        </w:rPr>
        <w:t>5</w:t>
      </w:r>
      <w:r w:rsidR="007E62C1" w:rsidRPr="00FC71BE">
        <w:t>.</w:t>
      </w:r>
      <w:r w:rsidR="007E62C1" w:rsidRPr="00FC71BE">
        <w:rPr>
          <w:noProof/>
        </w:rPr>
        <w:t>11</w:t>
      </w:r>
      <w:r w:rsidR="007E62C1" w:rsidRPr="00FC71BE">
        <w:t>)</w:t>
      </w:r>
      <w:r w:rsidR="00406EF8" w:rsidRPr="00FC71BE">
        <w:fldChar w:fldCharType="end"/>
      </w:r>
      <w:r w:rsidR="00406EF8" w:rsidRPr="00FC71BE">
        <w:t xml:space="preserve"> is the viscosity force density vector dependent on the viscosity stress. For a compressible flow, the viscosity force density vector can be described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65404737" w14:textId="77777777">
        <w:tc>
          <w:tcPr>
            <w:tcW w:w="4493" w:type="pct"/>
            <w:vAlign w:val="center"/>
          </w:tcPr>
          <w:p w14:paraId="6D7B3904" w14:textId="1D5F3064" w:rsidR="00406EF8" w:rsidRPr="00FC71BE" w:rsidRDefault="002143AD">
            <w:pPr>
              <w:ind w:left="340" w:firstLine="0"/>
            </w:pPr>
            <m:oMathPara>
              <m:oMath>
                <m:sSub>
                  <m:sSubPr>
                    <m:ctrlPr>
                      <w:rPr>
                        <w:rFonts w:ascii="Cambria Math" w:hAnsi="Cambria Math"/>
                        <w:b/>
                        <w:bCs/>
                      </w:rPr>
                    </m:ctrlPr>
                  </m:sSubPr>
                  <m:e>
                    <m:r>
                      <m:rPr>
                        <m:sty m:val="bi"/>
                      </m:rPr>
                      <w:rPr>
                        <w:rFonts w:ascii="Cambria Math" w:hAnsi="Cambria Math"/>
                      </w:rPr>
                      <m:t>F</m:t>
                    </m:r>
                  </m:e>
                  <m:sub>
                    <m:r>
                      <m:rPr>
                        <m:sty m:val="bi"/>
                      </m:rPr>
                      <w:rPr>
                        <w:rFonts w:ascii="Cambria Math" w:hAnsi="Cambria Math"/>
                      </w:rPr>
                      <m:t>v</m:t>
                    </m:r>
                  </m:sub>
                </m:sSub>
                <m:r>
                  <w:rPr>
                    <w:rFonts w:ascii="Cambria Math" w:hAnsi="Cambria Math"/>
                  </w:rPr>
                  <m:t>=</m:t>
                </m:r>
                <m:r>
                  <w:rPr>
                    <w:rFonts w:ascii="Cambria Math" w:hAnsi="Cambria Math"/>
                  </w:rPr>
                  <m:t>μ</m:t>
                </m:r>
                <m:sSup>
                  <m:sSupPr>
                    <m:ctrlPr>
                      <w:rPr>
                        <w:rFonts w:ascii="Cambria Math" w:hAnsi="Cambria Math"/>
                        <w:i/>
                      </w:rPr>
                    </m:ctrlPr>
                  </m:sSupPr>
                  <m:e>
                    <m:r>
                      <m:rPr>
                        <m:sty m:val="b"/>
                      </m:rPr>
                      <w:rPr>
                        <w:rFonts w:ascii="Cambria Math" w:hAnsi="Cambria Math"/>
                      </w:rPr>
                      <m:t>∇</m:t>
                    </m:r>
                  </m:e>
                  <m:sup>
                    <m:r>
                      <w:rPr>
                        <w:rFonts w:ascii="Cambria Math" w:hAnsi="Cambria Math"/>
                      </w:rPr>
                      <m:t>2</m:t>
                    </m:r>
                  </m:sup>
                </m:sSup>
                <m:r>
                  <m:rPr>
                    <m:sty m:val="bi"/>
                  </m:rPr>
                  <w:rPr>
                    <w:rFonts w:ascii="Cambria Math" w:hAnsi="Cambria Math"/>
                  </w:rPr>
                  <m:t>u</m:t>
                </m:r>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μ</m:t>
                        </m:r>
                      </m:sub>
                    </m:sSub>
                    <m:r>
                      <w:rPr>
                        <w:rFonts w:ascii="Cambria Math" w:hAnsi="Cambria Math"/>
                      </w:rPr>
                      <m:t>+</m:t>
                    </m:r>
                    <m:r>
                      <w:rPr>
                        <w:rFonts w:ascii="Cambria Math" w:hAnsi="Cambria Math"/>
                      </w:rPr>
                      <m:t>μ</m:t>
                    </m:r>
                  </m:e>
                </m:d>
                <m:r>
                  <m:rPr>
                    <m:sty m:val="b"/>
                  </m:rPr>
                  <w:rPr>
                    <w:rFonts w:ascii="Cambria Math" w:hAnsi="Cambria Math"/>
                  </w:rPr>
                  <m:t>∇</m:t>
                </m:r>
                <m:d>
                  <m:dPr>
                    <m:ctrlPr>
                      <w:rPr>
                        <w:rFonts w:ascii="Cambria Math" w:hAnsi="Cambria Math"/>
                        <w:i/>
                      </w:rPr>
                    </m:ctrlPr>
                  </m:dPr>
                  <m:e>
                    <m:r>
                      <m:rPr>
                        <m:sty m:val="b"/>
                      </m:rPr>
                      <w:rPr>
                        <w:rFonts w:ascii="Cambria Math" w:hAnsi="Cambria Math"/>
                      </w:rPr>
                      <m:t>∇</m:t>
                    </m:r>
                    <m:r>
                      <w:rPr>
                        <w:rFonts w:ascii="Cambria Math" w:hAnsi="Cambria Math"/>
                      </w:rPr>
                      <m:t>∙</m:t>
                    </m:r>
                    <m:r>
                      <m:rPr>
                        <m:sty m:val="bi"/>
                      </m:rPr>
                      <w:rPr>
                        <w:rFonts w:ascii="Cambria Math" w:hAnsi="Cambria Math"/>
                      </w:rPr>
                      <m:t>u</m:t>
                    </m:r>
                  </m:e>
                </m:d>
              </m:oMath>
            </m:oMathPara>
          </w:p>
        </w:tc>
        <w:tc>
          <w:tcPr>
            <w:tcW w:w="507" w:type="pct"/>
            <w:vAlign w:val="center"/>
          </w:tcPr>
          <w:p w14:paraId="2B47316F" w14:textId="2E046E3F"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12</w:t>
            </w:r>
            <w:r w:rsidR="002839C4" w:rsidRPr="00FC71BE">
              <w:rPr>
                <w:color w:val="auto"/>
              </w:rPr>
              <w:fldChar w:fldCharType="end"/>
            </w:r>
            <w:r w:rsidRPr="00FC71BE">
              <w:rPr>
                <w:color w:val="auto"/>
              </w:rPr>
              <w:t>)</w:t>
            </w:r>
          </w:p>
        </w:tc>
      </w:tr>
    </w:tbl>
    <w:p w14:paraId="6DF8E54A" w14:textId="2793A14E" w:rsidR="00406EF8" w:rsidRPr="00FC71BE" w:rsidRDefault="00406EF8" w:rsidP="00406EF8">
      <w:pPr>
        <w:ind w:firstLine="0"/>
      </w:pPr>
      <w:r w:rsidRPr="00FC71BE">
        <w:t xml:space="preserve">where </w:t>
      </w:r>
      <m:oMath>
        <m:r>
          <w:rPr>
            <w:rFonts w:ascii="Cambria Math" w:hAnsi="Cambria Math"/>
          </w:rPr>
          <m:t>μ</m:t>
        </m:r>
      </m:oMath>
      <w:r w:rsidRPr="00FC71BE">
        <w:t xml:space="preserve"> is the dynamic viscosity of the fluid and </w:t>
      </w:r>
      <m:oMath>
        <m:sSub>
          <m:sSubPr>
            <m:ctrlPr>
              <w:rPr>
                <w:rFonts w:ascii="Cambria Math" w:hAnsi="Cambria Math"/>
                <w:i/>
              </w:rPr>
            </m:ctrlPr>
          </m:sSubPr>
          <m:e>
            <m:r>
              <w:rPr>
                <w:rFonts w:ascii="Cambria Math" w:hAnsi="Cambria Math"/>
              </w:rPr>
              <m:t>λ</m:t>
            </m:r>
          </m:e>
          <m:sub>
            <m:r>
              <w:rPr>
                <w:rFonts w:ascii="Cambria Math" w:hAnsi="Cambria Math"/>
              </w:rPr>
              <m:t>μ</m:t>
            </m:r>
          </m:sub>
        </m:sSub>
      </m:oMath>
      <w:r w:rsidRPr="00FC71BE">
        <w:t xml:space="preserve"> is the second coefficient of viscosity. In classical theory, the second coefficient of viscosity is identified as </w:t>
      </w:r>
      <m:oMath>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μ</m:t>
        </m:r>
      </m:oMath>
      <w:r w:rsidRPr="00FC71BE">
        <w:t xml:space="preserve"> because the bulk </w:t>
      </w:r>
      <w:r w:rsidRPr="00FC71BE">
        <w:lastRenderedPageBreak/>
        <w:t xml:space="preserve">viscosity coefficient should be 0. However, according to Karim and Rosenhead in </w:t>
      </w:r>
      <w:r w:rsidRPr="00FC71BE">
        <w:fldChar w:fldCharType="begin"/>
      </w:r>
      <w:r w:rsidR="00BA33ED" w:rsidRPr="00FC71BE">
        <w:instrText xml:space="preserve"> ADDIN EN.CITE &lt;EndNote&gt;&lt;Cite&gt;&lt;Author&gt;Karim&lt;/Author&gt;&lt;Year&gt;1952&lt;/Year&gt;&lt;RecNum&gt;62&lt;/RecNum&gt;&lt;DisplayText&gt;[196]&lt;/DisplayText&gt;&lt;record&gt;&lt;rec-number&gt;62&lt;/rec-number&gt;&lt;foreign-keys&gt;&lt;key app="EN" db-id="rf2p5e05jx0x9jep00uvx0s1fvaww2dfa0r9" timestamp="1690977530"&gt;62&lt;/key&gt;&lt;/foreign-keys&gt;&lt;ref-type name="Journal Article"&gt;17&lt;/ref-type&gt;&lt;contributors&gt;&lt;authors&gt;&lt;author&gt;Karim, SM&lt;/author&gt;&lt;author&gt;Rosenhead, L&lt;/author&gt;&lt;/authors&gt;&lt;/contributors&gt;&lt;titles&gt;&lt;title&gt;The second coefficient of viscosity of liquids and gases&lt;/title&gt;&lt;secondary-title&gt;Reviews of Modern Physics&lt;/secondary-title&gt;&lt;/titles&gt;&lt;periodical&gt;&lt;full-title&gt;Reviews of Modern Physics&lt;/full-title&gt;&lt;/periodical&gt;&lt;pages&gt;108&lt;/pages&gt;&lt;volume&gt;24&lt;/volume&gt;&lt;number&gt;2&lt;/number&gt;&lt;dates&gt;&lt;year&gt;1952&lt;/year&gt;&lt;/dates&gt;&lt;urls&gt;&lt;/urls&gt;&lt;/record&gt;&lt;/Cite&gt;&lt;/EndNote&gt;</w:instrText>
      </w:r>
      <w:r w:rsidRPr="00FC71BE">
        <w:fldChar w:fldCharType="separate"/>
      </w:r>
      <w:r w:rsidR="00BA33ED" w:rsidRPr="00FC71BE">
        <w:t>[196]</w:t>
      </w:r>
      <w:r w:rsidRPr="00FC71BE">
        <w:fldChar w:fldCharType="end"/>
      </w:r>
      <w:r w:rsidRPr="00FC71BE">
        <w:t xml:space="preserve">, there is no correlation between </w:t>
      </w:r>
      <m:oMath>
        <m:r>
          <w:rPr>
            <w:rFonts w:ascii="Cambria Math" w:hAnsi="Cambria Math"/>
          </w:rPr>
          <m:t>μ</m:t>
        </m:r>
      </m:oMath>
      <w:r w:rsidRPr="00FC71BE">
        <w:t xml:space="preserve"> and </w:t>
      </w:r>
      <m:oMath>
        <m:sSub>
          <m:sSubPr>
            <m:ctrlPr>
              <w:rPr>
                <w:rFonts w:ascii="Cambria Math" w:hAnsi="Cambria Math"/>
                <w:i/>
              </w:rPr>
            </m:ctrlPr>
          </m:sSubPr>
          <m:e>
            <m:r>
              <w:rPr>
                <w:rFonts w:ascii="Cambria Math" w:hAnsi="Cambria Math"/>
              </w:rPr>
              <m:t>λ</m:t>
            </m:r>
          </m:e>
          <m:sub>
            <m:r>
              <w:rPr>
                <w:rFonts w:ascii="Cambria Math" w:hAnsi="Cambria Math"/>
              </w:rPr>
              <m:t>μ</m:t>
            </m:r>
          </m:sub>
        </m:sSub>
      </m:oMath>
      <w:r w:rsidRPr="00FC71BE">
        <w:t xml:space="preserve"> that can be found. The ratio of </w:t>
      </w:r>
      <m:oMath>
        <m:r>
          <w:rPr>
            <w:rFonts w:ascii="Cambria Math" w:hAnsi="Cambria Math"/>
          </w:rPr>
          <m:t>μ</m:t>
        </m:r>
      </m:oMath>
      <w:r w:rsidRPr="00FC71BE">
        <w:t xml:space="preserve"> to </w:t>
      </w:r>
      <m:oMath>
        <m:sSub>
          <m:sSubPr>
            <m:ctrlPr>
              <w:rPr>
                <w:rFonts w:ascii="Cambria Math" w:hAnsi="Cambria Math"/>
                <w:i/>
              </w:rPr>
            </m:ctrlPr>
          </m:sSubPr>
          <m:e>
            <m:r>
              <w:rPr>
                <w:rFonts w:ascii="Cambria Math" w:hAnsi="Cambria Math"/>
              </w:rPr>
              <m:t>λ</m:t>
            </m:r>
          </m:e>
          <m:sub>
            <m:r>
              <w:rPr>
                <w:rFonts w:ascii="Cambria Math" w:hAnsi="Cambria Math"/>
              </w:rPr>
              <m:t>μ</m:t>
            </m:r>
          </m:sub>
        </m:sSub>
      </m:oMath>
      <w:r w:rsidRPr="00FC71BE">
        <w:t xml:space="preserve"> can be a large positive value for the liquid vibrating in the sonic range.</w:t>
      </w:r>
    </w:p>
    <w:p w14:paraId="00813FB3" w14:textId="11B60500" w:rsidR="00406EF8" w:rsidRPr="00FC71BE" w:rsidRDefault="002143AD" w:rsidP="00406EF8">
      <m:oMath>
        <m:sSub>
          <m:sSubPr>
            <m:ctrlPr>
              <w:rPr>
                <w:rFonts w:ascii="Cambria Math" w:hAnsi="Cambria Math"/>
                <w:b/>
                <w:bCs/>
              </w:rPr>
            </m:ctrlPr>
          </m:sSubPr>
          <m:e>
            <m:r>
              <m:rPr>
                <m:sty m:val="bi"/>
              </m:rPr>
              <w:rPr>
                <w:rFonts w:ascii="Cambria Math" w:hAnsi="Cambria Math"/>
              </w:rPr>
              <m:t>F</m:t>
            </m:r>
          </m:e>
          <m:sub>
            <m:r>
              <m:rPr>
                <m:sty m:val="bi"/>
              </m:rPr>
              <w:rPr>
                <w:rFonts w:ascii="Cambria Math" w:hAnsi="Cambria Math"/>
              </w:rPr>
              <m:t>m</m:t>
            </m:r>
          </m:sub>
        </m:sSub>
      </m:oMath>
      <w:r w:rsidR="00406EF8" w:rsidRPr="00FC71BE">
        <w:t xml:space="preserve"> in </w:t>
      </w:r>
      <w:r w:rsidR="00406EF8" w:rsidRPr="00FC71BE">
        <w:fldChar w:fldCharType="begin"/>
      </w:r>
      <w:r w:rsidR="00406EF8" w:rsidRPr="00FC71BE">
        <w:instrText xml:space="preserve"> REF _Ref139370180 \h </w:instrText>
      </w:r>
      <w:r w:rsidR="00406EF8" w:rsidRPr="00FC71BE">
        <w:fldChar w:fldCharType="separate"/>
      </w:r>
      <w:r w:rsidR="007E62C1" w:rsidRPr="00FC71BE">
        <w:t>(</w:t>
      </w:r>
      <w:r w:rsidR="007E62C1" w:rsidRPr="00FC71BE">
        <w:rPr>
          <w:noProof/>
        </w:rPr>
        <w:t>5</w:t>
      </w:r>
      <w:r w:rsidR="007E62C1" w:rsidRPr="00FC71BE">
        <w:t>.</w:t>
      </w:r>
      <w:r w:rsidR="007E62C1" w:rsidRPr="00FC71BE">
        <w:rPr>
          <w:noProof/>
        </w:rPr>
        <w:t>11</w:t>
      </w:r>
      <w:r w:rsidR="007E62C1" w:rsidRPr="00FC71BE">
        <w:t>)</w:t>
      </w:r>
      <w:r w:rsidR="00406EF8" w:rsidRPr="00FC71BE">
        <w:fldChar w:fldCharType="end"/>
      </w:r>
      <w:r w:rsidR="00406EF8" w:rsidRPr="00FC71BE">
        <w:t xml:space="preserve"> is the magnetic body force vector. It can be derived using different methods, including electrical current loop model, magnetic charge model and the Kelvin body force formula. They will be introduced in the following section.</w:t>
      </w:r>
    </w:p>
    <w:p w14:paraId="79755438" w14:textId="77777777" w:rsidR="00406EF8" w:rsidRPr="00FC71BE" w:rsidRDefault="00406EF8" w:rsidP="006E6817">
      <w:pPr>
        <w:pStyle w:val="Heading4"/>
      </w:pPr>
      <w:r w:rsidRPr="00FC71BE">
        <w:t>Electromagnetic Field</w:t>
      </w:r>
    </w:p>
    <w:p w14:paraId="252CF044" w14:textId="6090184A" w:rsidR="00406EF8" w:rsidRPr="00FC71BE" w:rsidRDefault="00406EF8" w:rsidP="00406EF8">
      <w:r w:rsidRPr="00FC71BE">
        <w:t xml:space="preserve">The magnetic materials, including ferromagnet, ferrimagnet and paramagnet, will experience magnetic body force if they are put under external magnetic field. According to the electrical current loop model </w:t>
      </w:r>
      <w:r w:rsidRPr="00FC71BE">
        <w:fldChar w:fldCharType="begin"/>
      </w:r>
      <w:r w:rsidR="00BA33ED" w:rsidRPr="00FC71BE">
        <w:instrText xml:space="preserve"> ADDIN EN.CITE &lt;EndNote&gt;&lt;Cite&gt;&lt;Author&gt;Boyer&lt;/Author&gt;&lt;Year&gt;1988&lt;/Year&gt;&lt;RecNum&gt;63&lt;/RecNum&gt;&lt;DisplayText&gt;[197]&lt;/DisplayText&gt;&lt;record&gt;&lt;rec-number&gt;63&lt;/rec-number&gt;&lt;foreign-keys&gt;&lt;key app="EN" db-id="rf2p5e05jx0x9jep00uvx0s1fvaww2dfa0r9" timestamp="1690977681"&gt;63&lt;/key&gt;&lt;/foreign-keys&gt;&lt;ref-type name="Journal Article"&gt;17&lt;/ref-type&gt;&lt;contributors&gt;&lt;authors&gt;&lt;author&gt;Boyer, Timothy H&lt;/author&gt;&lt;/authors&gt;&lt;/contributors&gt;&lt;titles&gt;&lt;title&gt;The force on a magnetic dipole&lt;/title&gt;&lt;secondary-title&gt;American Journal of Physics&lt;/secondary-title&gt;&lt;/titles&gt;&lt;periodical&gt;&lt;full-title&gt;American Journal of Physics&lt;/full-title&gt;&lt;/periodical&gt;&lt;pages&gt;688-692&lt;/pages&gt;&lt;volume&gt;56&lt;/volume&gt;&lt;number&gt;8&lt;/number&gt;&lt;dates&gt;&lt;year&gt;1988&lt;/year&gt;&lt;/dates&gt;&lt;isbn&gt;0002-9505&lt;/isbn&gt;&lt;urls&gt;&lt;/urls&gt;&lt;/record&gt;&lt;/Cite&gt;&lt;/EndNote&gt;</w:instrText>
      </w:r>
      <w:r w:rsidRPr="00FC71BE">
        <w:fldChar w:fldCharType="separate"/>
      </w:r>
      <w:r w:rsidR="00BA33ED" w:rsidRPr="00FC71BE">
        <w:t>[197]</w:t>
      </w:r>
      <w:r w:rsidRPr="00FC71BE">
        <w:fldChar w:fldCharType="end"/>
      </w:r>
      <w:r w:rsidRPr="00FC71BE">
        <w:t xml:space="preserve">, </w:t>
      </w:r>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t>
            </m:r>
          </m:sub>
        </m:sSub>
      </m:oMath>
      <w:r w:rsidRPr="00FC71BE">
        <w:t xml:space="preserve"> on a magnetic dipole is derived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B2F1E63" w14:textId="77777777">
        <w:tc>
          <w:tcPr>
            <w:tcW w:w="4493" w:type="pct"/>
            <w:vAlign w:val="center"/>
          </w:tcPr>
          <w:p w14:paraId="480A32C0" w14:textId="77777777" w:rsidR="00406EF8" w:rsidRPr="00FC71BE" w:rsidRDefault="002143AD">
            <w:pPr>
              <w:ind w:left="340" w:firstLine="0"/>
            </w:pPr>
            <m:oMathPara>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t>
                    </m:r>
                  </m:sub>
                </m:sSub>
                <m:r>
                  <w:rPr>
                    <w:rFonts w:ascii="Cambria Math" w:hAnsi="Cambria Math"/>
                  </w:rPr>
                  <m:t>=</m:t>
                </m:r>
                <m:r>
                  <m:rPr>
                    <m:sty m:val="b"/>
                  </m:rPr>
                  <w:rPr>
                    <w:rFonts w:ascii="Cambria Math" w:hAnsi="Cambria Math"/>
                  </w:rPr>
                  <m:t>∇</m:t>
                </m:r>
                <m:d>
                  <m:dPr>
                    <m:ctrlPr>
                      <w:rPr>
                        <w:rFonts w:ascii="Cambria Math" w:hAnsi="Cambria Math"/>
                        <w:b/>
                        <w:bCs/>
                        <w:i/>
                      </w:rPr>
                    </m:ctrlPr>
                  </m:dPr>
                  <m:e>
                    <m:r>
                      <m:rPr>
                        <m:sty m:val="bi"/>
                      </m:rPr>
                      <w:rPr>
                        <w:rFonts w:ascii="Cambria Math" w:hAnsi="Cambria Math"/>
                      </w:rPr>
                      <m:t>m</m:t>
                    </m:r>
                    <m:r>
                      <m:rPr>
                        <m:sty m:val="bi"/>
                      </m:rPr>
                      <w:rPr>
                        <w:rFonts w:ascii="Cambria Math" w:hAnsi="Cambria Math"/>
                      </w:rPr>
                      <m:t>∙</m:t>
                    </m:r>
                    <m:r>
                      <m:rPr>
                        <m:sty m:val="bi"/>
                      </m:rPr>
                      <w:rPr>
                        <w:rFonts w:ascii="Cambria Math" w:hAnsi="Cambria Math"/>
                      </w:rPr>
                      <m:t>B</m:t>
                    </m:r>
                  </m:e>
                </m:d>
              </m:oMath>
            </m:oMathPara>
          </w:p>
        </w:tc>
        <w:tc>
          <w:tcPr>
            <w:tcW w:w="507" w:type="pct"/>
            <w:vAlign w:val="center"/>
          </w:tcPr>
          <w:p w14:paraId="4A49C59E" w14:textId="77EAAF37" w:rsidR="00406EF8" w:rsidRPr="00FC71BE" w:rsidRDefault="00406EF8">
            <w:pPr>
              <w:pStyle w:val="equation"/>
              <w:rPr>
                <w:i/>
                <w:color w:val="auto"/>
              </w:rPr>
            </w:pPr>
            <w:bookmarkStart w:id="291" w:name="_Ref139370557"/>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13</w:t>
            </w:r>
            <w:r w:rsidR="002839C4" w:rsidRPr="00FC71BE">
              <w:rPr>
                <w:color w:val="auto"/>
              </w:rPr>
              <w:fldChar w:fldCharType="end"/>
            </w:r>
            <w:r w:rsidRPr="00FC71BE">
              <w:rPr>
                <w:color w:val="auto"/>
              </w:rPr>
              <w:t>)</w:t>
            </w:r>
            <w:bookmarkEnd w:id="291"/>
          </w:p>
        </w:tc>
      </w:tr>
    </w:tbl>
    <w:p w14:paraId="29AD633B" w14:textId="65A5CC9E" w:rsidR="00406EF8" w:rsidRPr="00FC71BE" w:rsidRDefault="00406EF8" w:rsidP="00406EF8">
      <w:pPr>
        <w:ind w:firstLine="0"/>
      </w:pPr>
      <w:r w:rsidRPr="00FC71BE">
        <w:t xml:space="preserve">where </w:t>
      </w:r>
      <m:oMath>
        <m:r>
          <m:rPr>
            <m:sty m:val="bi"/>
          </m:rPr>
          <w:rPr>
            <w:rFonts w:ascii="Cambria Math" w:hAnsi="Cambria Math"/>
          </w:rPr>
          <m:t>m</m:t>
        </m:r>
      </m:oMath>
      <w:r w:rsidRPr="00FC71BE">
        <w:t xml:space="preserve"> is the magnetic dipole moment and </w:t>
      </w:r>
      <m:oMath>
        <m:r>
          <m:rPr>
            <m:sty m:val="bi"/>
          </m:rPr>
          <w:rPr>
            <w:rFonts w:ascii="Cambria Math" w:hAnsi="Cambria Math"/>
          </w:rPr>
          <m:t>B</m:t>
        </m:r>
      </m:oMath>
      <w:r w:rsidRPr="00FC71BE">
        <w:t xml:space="preserve"> is the magnetic induction field. Since the magnetization field is a Riemann-integrable vector-valued function, the magnetic moment can be represented as </w:t>
      </w:r>
      <w:r w:rsidRPr="00FC71BE">
        <w:fldChar w:fldCharType="begin"/>
      </w:r>
      <w:r w:rsidR="00BA33ED" w:rsidRPr="00FC71BE">
        <w:instrText xml:space="preserve"> ADDIN EN.CITE &lt;EndNote&gt;&lt;Cite&gt;&lt;Author&gt;Cecchini&lt;/Author&gt;&lt;Year&gt;2021&lt;/Year&gt;&lt;RecNum&gt;64&lt;/RecNum&gt;&lt;DisplayText&gt;[198]&lt;/DisplayText&gt;&lt;record&gt;&lt;rec-number&gt;64&lt;/rec-number&gt;&lt;foreign-keys&gt;&lt;key app="EN" db-id="rf2p5e05jx0x9jep00uvx0s1fvaww2dfa0r9" timestamp="1690978331"&gt;64&lt;/key&gt;&lt;/foreign-keys&gt;&lt;ref-type name="Journal Article"&gt;17&lt;/ref-type&gt;&lt;contributors&gt;&lt;authors&gt;&lt;author&gt;Cecchini, Luca&lt;/author&gt;&lt;author&gt;Chiolerio, Alessandro&lt;/author&gt;&lt;/authors&gt;&lt;/contributors&gt;&lt;titles&gt;&lt;title&gt;The magnetic body force in ferrofluids&lt;/title&gt;&lt;secondary-title&gt;Journal of Physics D: Applied Physics&lt;/secondary-title&gt;&lt;/titles&gt;&lt;periodical&gt;&lt;full-title&gt;Journal of Physics D: Applied Physics&lt;/full-title&gt;&lt;/periodical&gt;&lt;pages&gt;355002&lt;/pages&gt;&lt;volume&gt;54&lt;/volume&gt;&lt;number&gt;35&lt;/number&gt;&lt;dates&gt;&lt;year&gt;2021&lt;/year&gt;&lt;/dates&gt;&lt;isbn&gt;0022-3727&lt;/isbn&gt;&lt;urls&gt;&lt;/urls&gt;&lt;/record&gt;&lt;/Cite&gt;&lt;/EndNote&gt;</w:instrText>
      </w:r>
      <w:r w:rsidRPr="00FC71BE">
        <w:fldChar w:fldCharType="separate"/>
      </w:r>
      <w:r w:rsidR="00BA33ED" w:rsidRPr="00FC71BE">
        <w:t>[198]</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322C9FE8" w14:textId="77777777">
        <w:tc>
          <w:tcPr>
            <w:tcW w:w="4401" w:type="pct"/>
            <w:vAlign w:val="center"/>
          </w:tcPr>
          <w:p w14:paraId="7BC488CD" w14:textId="77777777" w:rsidR="00406EF8" w:rsidRPr="00FC71BE" w:rsidRDefault="00406EF8">
            <w:pPr>
              <w:ind w:left="340" w:firstLine="0"/>
            </w:pPr>
            <m:oMathPara>
              <m:oMath>
                <m:r>
                  <m:rPr>
                    <m:sty m:val="bi"/>
                  </m:rPr>
                  <w:rPr>
                    <w:rFonts w:ascii="Cambria Math" w:hAnsi="Cambria Math"/>
                  </w:rPr>
                  <m:t xml:space="preserve">m= </m:t>
                </m:r>
                <m:nary>
                  <m:naryPr>
                    <m:limLoc m:val="subSup"/>
                    <m:ctrlPr>
                      <w:rPr>
                        <w:rFonts w:ascii="Cambria Math" w:hAnsi="Cambria Math"/>
                        <w:b/>
                        <w:i/>
                      </w:rPr>
                    </m:ctrlPr>
                  </m:naryPr>
                  <m:sub>
                    <m:r>
                      <m:rPr>
                        <m:sty m:val="p"/>
                      </m:rPr>
                      <w:rPr>
                        <w:rFonts w:ascii="Cambria Math" w:hAnsi="Cambria Math"/>
                      </w:rPr>
                      <m:t>Ω</m:t>
                    </m:r>
                  </m:sub>
                  <m:sup/>
                  <m:e>
                    <m:r>
                      <m:rPr>
                        <m:sty m:val="bi"/>
                      </m:rPr>
                      <w:rPr>
                        <w:rFonts w:ascii="Cambria Math" w:hAnsi="Cambria Math"/>
                      </w:rPr>
                      <m:t>M</m:t>
                    </m:r>
                  </m:e>
                </m:nary>
                <m:r>
                  <w:rPr>
                    <w:rFonts w:ascii="Cambria Math" w:hAnsi="Cambria Math"/>
                  </w:rPr>
                  <m:t>dV</m:t>
                </m:r>
              </m:oMath>
            </m:oMathPara>
          </w:p>
        </w:tc>
        <w:tc>
          <w:tcPr>
            <w:tcW w:w="599" w:type="pct"/>
            <w:vAlign w:val="center"/>
          </w:tcPr>
          <w:p w14:paraId="3DC10D6B" w14:textId="7E3E8BA4"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14</w:t>
            </w:r>
            <w:r w:rsidR="002839C4" w:rsidRPr="00FC71BE">
              <w:rPr>
                <w:color w:val="auto"/>
              </w:rPr>
              <w:fldChar w:fldCharType="end"/>
            </w:r>
            <w:r w:rsidRPr="00FC71BE">
              <w:rPr>
                <w:color w:val="auto"/>
              </w:rPr>
              <w:t>)</w:t>
            </w:r>
          </w:p>
        </w:tc>
      </w:tr>
    </w:tbl>
    <w:p w14:paraId="74FF5F8B" w14:textId="77777777" w:rsidR="00406EF8" w:rsidRPr="00FC71BE" w:rsidRDefault="00406EF8" w:rsidP="00406EF8">
      <w:pPr>
        <w:ind w:firstLine="0"/>
      </w:pPr>
      <w:r w:rsidRPr="00FC71BE">
        <w:t xml:space="preserve">Therefore, </w:t>
      </w:r>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t>
            </m:r>
          </m:sub>
        </m:sSub>
      </m:oMath>
      <w:r w:rsidRPr="00FC71BE">
        <w:t xml:space="preserve"> for ferrofluid can be described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7"/>
        <w:gridCol w:w="6556"/>
        <w:gridCol w:w="913"/>
      </w:tblGrid>
      <w:tr w:rsidR="00FC71BE" w:rsidRPr="00FC71BE" w14:paraId="635AD125" w14:textId="77777777">
        <w:tc>
          <w:tcPr>
            <w:tcW w:w="862" w:type="pct"/>
            <w:vAlign w:val="center"/>
          </w:tcPr>
          <w:p w14:paraId="040156A7" w14:textId="77777777" w:rsidR="00406EF8" w:rsidRPr="00FC71BE" w:rsidRDefault="00406EF8">
            <w:pPr>
              <w:ind w:firstLine="0"/>
              <w:jc w:val="right"/>
            </w:pPr>
            <w:r w:rsidRPr="00FC71BE">
              <w:rPr>
                <w:b/>
                <w:bCs/>
              </w:rPr>
              <w:t xml:space="preserve"> </w:t>
            </w:r>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t>
                  </m:r>
                </m:sub>
              </m:sSub>
            </m:oMath>
          </w:p>
        </w:tc>
        <w:tc>
          <w:tcPr>
            <w:tcW w:w="3632" w:type="pct"/>
            <w:vAlign w:val="center"/>
          </w:tcPr>
          <w:p w14:paraId="42660196" w14:textId="77777777" w:rsidR="00406EF8" w:rsidRPr="00FC71BE" w:rsidRDefault="00406EF8">
            <w:pPr>
              <w:ind w:firstLine="0"/>
              <w:jc w:val="left"/>
            </w:pPr>
            <m:oMath>
              <m:r>
                <w:rPr>
                  <w:rFonts w:ascii="Cambria Math" w:hAnsi="Cambria Math"/>
                </w:rPr>
                <m:t>=</m:t>
              </m:r>
              <m:r>
                <m:rPr>
                  <m:sty m:val="b"/>
                </m:rPr>
                <w:rPr>
                  <w:rFonts w:ascii="Cambria Math" w:hAnsi="Cambria Math"/>
                </w:rPr>
                <m:t>∇</m:t>
              </m:r>
              <m:d>
                <m:dPr>
                  <m:ctrlPr>
                    <w:rPr>
                      <w:rFonts w:ascii="Cambria Math" w:hAnsi="Cambria Math"/>
                      <w:b/>
                      <w:bCs/>
                      <w:i/>
                    </w:rPr>
                  </m:ctrlPr>
                </m:dPr>
                <m:e>
                  <m:r>
                    <m:rPr>
                      <m:sty m:val="bi"/>
                    </m:rPr>
                    <w:rPr>
                      <w:rFonts w:ascii="Cambria Math" w:hAnsi="Cambria Math"/>
                    </w:rPr>
                    <m:t>M∙B</m:t>
                  </m:r>
                </m:e>
              </m:d>
            </m:oMath>
            <w:r w:rsidRPr="00FC71BE">
              <w:rPr>
                <w:b/>
                <w:bCs/>
              </w:rPr>
              <w:t xml:space="preserve"> </w:t>
            </w:r>
          </w:p>
        </w:tc>
        <w:tc>
          <w:tcPr>
            <w:tcW w:w="506" w:type="pct"/>
            <w:vMerge w:val="restart"/>
            <w:vAlign w:val="center"/>
          </w:tcPr>
          <w:p w14:paraId="5E57A4D1" w14:textId="2F890423" w:rsidR="00406EF8" w:rsidRPr="00FC71BE" w:rsidRDefault="00406EF8">
            <w:pPr>
              <w:pStyle w:val="equation"/>
              <w:rPr>
                <w:i/>
                <w:color w:val="auto"/>
              </w:rPr>
            </w:pPr>
            <w:bookmarkStart w:id="292" w:name="_Ref141092039"/>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15</w:t>
            </w:r>
            <w:r w:rsidR="002839C4" w:rsidRPr="00FC71BE">
              <w:rPr>
                <w:color w:val="auto"/>
              </w:rPr>
              <w:fldChar w:fldCharType="end"/>
            </w:r>
            <w:r w:rsidRPr="00FC71BE">
              <w:rPr>
                <w:color w:val="auto"/>
              </w:rPr>
              <w:t>)</w:t>
            </w:r>
            <w:bookmarkEnd w:id="292"/>
          </w:p>
        </w:tc>
      </w:tr>
      <w:tr w:rsidR="00FC71BE" w:rsidRPr="00FC71BE" w14:paraId="7CD5E751" w14:textId="77777777">
        <w:tc>
          <w:tcPr>
            <w:tcW w:w="862" w:type="pct"/>
            <w:vAlign w:val="center"/>
          </w:tcPr>
          <w:p w14:paraId="2E1675DF" w14:textId="77777777" w:rsidR="00406EF8" w:rsidRPr="00FC71BE" w:rsidRDefault="00406EF8">
            <w:pPr>
              <w:ind w:left="340" w:firstLine="0"/>
              <w:rPr>
                <w:rFonts w:eastAsia="等线" w:cs="Times New Roman"/>
                <w:b/>
                <w:bCs/>
              </w:rPr>
            </w:pPr>
          </w:p>
        </w:tc>
        <w:tc>
          <w:tcPr>
            <w:tcW w:w="3632" w:type="pct"/>
            <w:vAlign w:val="center"/>
          </w:tcPr>
          <w:p w14:paraId="2EB4C866" w14:textId="77777777" w:rsidR="00406EF8" w:rsidRPr="00FC71BE" w:rsidRDefault="00406EF8">
            <w:pPr>
              <w:ind w:firstLine="0"/>
              <w:jc w:val="left"/>
              <w:rPr>
                <w:rFonts w:eastAsia="等线" w:cs="Times New Roman"/>
                <w:b/>
                <w:bCs/>
              </w:rPr>
            </w:pPr>
            <m:oMath>
              <m:r>
                <m:rPr>
                  <m:sty m:val="p"/>
                </m:rPr>
                <w:rPr>
                  <w:rFonts w:ascii="Cambria Math" w:hAnsi="Cambria Math"/>
                </w:rPr>
                <m:t>=</m:t>
              </m:r>
              <m:r>
                <m:rPr>
                  <m:sty m:val="bi"/>
                </m:rPr>
                <w:rPr>
                  <w:rFonts w:ascii="Cambria Math" w:eastAsia="宋体" w:hAnsi="Cambria Math"/>
                </w:rPr>
                <m:t>M×</m:t>
              </m:r>
              <m:d>
                <m:dPr>
                  <m:ctrlPr>
                    <w:rPr>
                      <w:rFonts w:ascii="Cambria Math" w:eastAsia="宋体" w:hAnsi="Cambria Math"/>
                    </w:rPr>
                  </m:ctrlPr>
                </m:dPr>
                <m:e>
                  <m:r>
                    <m:rPr>
                      <m:sty m:val="p"/>
                    </m:rPr>
                    <w:rPr>
                      <w:rFonts w:ascii="Cambria Math" w:eastAsia="宋体" w:hAnsi="Cambria Math"/>
                    </w:rPr>
                    <m:t>∇</m:t>
                  </m:r>
                  <m:r>
                    <w:rPr>
                      <w:rFonts w:ascii="Cambria Math" w:eastAsia="宋体" w:hAnsi="Cambria Math"/>
                    </w:rPr>
                    <m:t>×</m:t>
                  </m:r>
                  <m:r>
                    <m:rPr>
                      <m:sty m:val="bi"/>
                    </m:rPr>
                    <w:rPr>
                      <w:rFonts w:ascii="Cambria Math" w:eastAsia="宋体" w:hAnsi="Cambria Math"/>
                    </w:rPr>
                    <m:t>B</m:t>
                  </m:r>
                </m:e>
              </m:d>
              <m:r>
                <w:rPr>
                  <w:rFonts w:ascii="Cambria Math" w:eastAsia="等线 Light" w:hAnsi="Cambria Math"/>
                </w:rPr>
                <m:t>+</m:t>
              </m:r>
              <m:r>
                <m:rPr>
                  <m:sty m:val="bi"/>
                </m:rPr>
                <w:rPr>
                  <w:rFonts w:ascii="Cambria Math" w:eastAsia="宋体" w:hAnsi="Cambria Math"/>
                </w:rPr>
                <m:t>B×</m:t>
              </m:r>
              <m:d>
                <m:dPr>
                  <m:ctrlPr>
                    <w:rPr>
                      <w:rFonts w:ascii="Cambria Math" w:eastAsia="宋体" w:hAnsi="Cambria Math"/>
                    </w:rPr>
                  </m:ctrlPr>
                </m:dPr>
                <m:e>
                  <m:r>
                    <m:rPr>
                      <m:sty m:val="p"/>
                    </m:rPr>
                    <w:rPr>
                      <w:rFonts w:ascii="Cambria Math" w:eastAsia="宋体" w:hAnsi="Cambria Math"/>
                    </w:rPr>
                    <m:t>∇</m:t>
                  </m:r>
                  <m:r>
                    <w:rPr>
                      <w:rFonts w:ascii="Cambria Math" w:eastAsia="宋体" w:hAnsi="Cambria Math"/>
                    </w:rPr>
                    <m:t>×</m:t>
                  </m:r>
                  <m:r>
                    <m:rPr>
                      <m:sty m:val="bi"/>
                    </m:rPr>
                    <w:rPr>
                      <w:rFonts w:ascii="Cambria Math" w:eastAsia="宋体" w:hAnsi="Cambria Math"/>
                    </w:rPr>
                    <m:t>M</m:t>
                  </m:r>
                </m:e>
              </m:d>
              <m:r>
                <w:rPr>
                  <w:rFonts w:ascii="Cambria Math" w:eastAsia="宋体" w:hAnsi="Cambria Math"/>
                </w:rPr>
                <m:t>+</m:t>
              </m:r>
              <m:d>
                <m:dPr>
                  <m:ctrlPr>
                    <w:rPr>
                      <w:rFonts w:ascii="Cambria Math" w:eastAsia="宋体" w:hAnsi="Cambria Math"/>
                    </w:rPr>
                  </m:ctrlPr>
                </m:dPr>
                <m:e>
                  <m:r>
                    <m:rPr>
                      <m:sty m:val="bi"/>
                    </m:rPr>
                    <w:rPr>
                      <w:rFonts w:ascii="Cambria Math" w:eastAsia="宋体" w:hAnsi="Cambria Math"/>
                    </w:rPr>
                    <m:t>M∙</m:t>
                  </m:r>
                  <m:r>
                    <m:rPr>
                      <m:sty m:val="p"/>
                    </m:rPr>
                    <w:rPr>
                      <w:rFonts w:ascii="Cambria Math" w:eastAsia="宋体" w:hAnsi="Cambria Math"/>
                    </w:rPr>
                    <m:t>∇</m:t>
                  </m:r>
                </m:e>
              </m:d>
              <m:r>
                <m:rPr>
                  <m:sty m:val="bi"/>
                </m:rPr>
                <w:rPr>
                  <w:rFonts w:ascii="Cambria Math" w:eastAsia="宋体" w:hAnsi="Cambria Math"/>
                </w:rPr>
                <m:t>B</m:t>
              </m:r>
              <m:r>
                <w:rPr>
                  <w:rFonts w:ascii="Cambria Math" w:eastAsia="宋体" w:hAnsi="Cambria Math"/>
                </w:rPr>
                <m:t>+</m:t>
              </m:r>
              <m:d>
                <m:dPr>
                  <m:ctrlPr>
                    <w:rPr>
                      <w:rFonts w:ascii="Cambria Math" w:eastAsia="宋体" w:hAnsi="Cambria Math"/>
                    </w:rPr>
                  </m:ctrlPr>
                </m:dPr>
                <m:e>
                  <m:r>
                    <m:rPr>
                      <m:sty m:val="bi"/>
                    </m:rPr>
                    <w:rPr>
                      <w:rFonts w:ascii="Cambria Math" w:eastAsia="宋体" w:hAnsi="Cambria Math"/>
                    </w:rPr>
                    <m:t>B∙</m:t>
                  </m:r>
                  <m:r>
                    <m:rPr>
                      <m:sty m:val="p"/>
                    </m:rPr>
                    <w:rPr>
                      <w:rFonts w:ascii="Cambria Math" w:eastAsia="宋体" w:hAnsi="Cambria Math"/>
                    </w:rPr>
                    <m:t>∇</m:t>
                  </m:r>
                </m:e>
              </m:d>
              <m:r>
                <m:rPr>
                  <m:sty m:val="bi"/>
                </m:rPr>
                <w:rPr>
                  <w:rFonts w:ascii="Cambria Math" w:eastAsia="宋体" w:hAnsi="Cambria Math"/>
                </w:rPr>
                <m:t>M</m:t>
              </m:r>
            </m:oMath>
            <w:r w:rsidRPr="00FC71BE">
              <w:rPr>
                <w:rFonts w:eastAsia="等线" w:cs="Times New Roman"/>
                <w:b/>
              </w:rPr>
              <w:t xml:space="preserve"> </w:t>
            </w:r>
          </w:p>
        </w:tc>
        <w:tc>
          <w:tcPr>
            <w:tcW w:w="506" w:type="pct"/>
            <w:vMerge/>
            <w:vAlign w:val="center"/>
          </w:tcPr>
          <w:p w14:paraId="6878C978" w14:textId="77777777" w:rsidR="00406EF8" w:rsidRPr="00FC71BE" w:rsidRDefault="00406EF8">
            <w:pPr>
              <w:pStyle w:val="equation"/>
              <w:rPr>
                <w:color w:val="auto"/>
              </w:rPr>
            </w:pPr>
          </w:p>
        </w:tc>
      </w:tr>
    </w:tbl>
    <w:p w14:paraId="35180FC1" w14:textId="3217A959" w:rsidR="00406EF8" w:rsidRPr="00FC71BE" w:rsidRDefault="00406EF8" w:rsidP="00406EF8">
      <w:pPr>
        <w:ind w:firstLine="0"/>
      </w:pPr>
      <w:r w:rsidRPr="00FC71BE">
        <w:t xml:space="preserve">However, the magnetic charge model leads to a different form of magnetic body force such as </w:t>
      </w:r>
      <w:r w:rsidRPr="00FC71BE">
        <w:fldChar w:fldCharType="begin"/>
      </w:r>
      <w:r w:rsidR="00BA33ED" w:rsidRPr="00FC71BE">
        <w:instrText xml:space="preserve"> ADDIN EN.CITE &lt;EndNote&gt;&lt;Cite&gt;&lt;Author&gt;Boyer&lt;/Author&gt;&lt;Year&gt;1988&lt;/Year&gt;&lt;RecNum&gt;63&lt;/RecNum&gt;&lt;DisplayText&gt;[197]&lt;/DisplayText&gt;&lt;record&gt;&lt;rec-number&gt;63&lt;/rec-number&gt;&lt;foreign-keys&gt;&lt;key app="EN" db-id="rf2p5e05jx0x9jep00uvx0s1fvaww2dfa0r9" timestamp="1690977681"&gt;63&lt;/key&gt;&lt;/foreign-keys&gt;&lt;ref-type name="Journal Article"&gt;17&lt;/ref-type&gt;&lt;contributors&gt;&lt;authors&gt;&lt;author&gt;Boyer, Timothy H&lt;/author&gt;&lt;/authors&gt;&lt;/contributors&gt;&lt;titles&gt;&lt;title&gt;The force on a magnetic dipole&lt;/title&gt;&lt;secondary-title&gt;American Journal of Physics&lt;/secondary-title&gt;&lt;/titles&gt;&lt;periodical&gt;&lt;full-title&gt;American Journal of Physics&lt;/full-title&gt;&lt;/periodical&gt;&lt;pages&gt;688-692&lt;/pages&gt;&lt;volume&gt;56&lt;/volume&gt;&lt;number&gt;8&lt;/number&gt;&lt;dates&gt;&lt;year&gt;1988&lt;/year&gt;&lt;/dates&gt;&lt;isbn&gt;0002-9505&lt;/isbn&gt;&lt;urls&gt;&lt;/urls&gt;&lt;/record&gt;&lt;/Cite&gt;&lt;/EndNote&gt;</w:instrText>
      </w:r>
      <w:r w:rsidRPr="00FC71BE">
        <w:fldChar w:fldCharType="separate"/>
      </w:r>
      <w:r w:rsidR="00BA33ED" w:rsidRPr="00FC71BE">
        <w:t>[197]</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3CBD3B7" w14:textId="77777777">
        <w:tc>
          <w:tcPr>
            <w:tcW w:w="4493" w:type="pct"/>
            <w:vAlign w:val="center"/>
          </w:tcPr>
          <w:p w14:paraId="7721265E" w14:textId="77777777" w:rsidR="00406EF8" w:rsidRPr="00FC71BE" w:rsidRDefault="002143AD">
            <w:pPr>
              <w:ind w:left="340" w:firstLine="0"/>
            </w:pPr>
            <m:oMathPara>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t>
                    </m:r>
                  </m:sub>
                </m:sSub>
                <m:r>
                  <w:rPr>
                    <w:rFonts w:ascii="Cambria Math" w:hAnsi="Cambria Math"/>
                  </w:rPr>
                  <m:t>=</m:t>
                </m:r>
                <m:d>
                  <m:dPr>
                    <m:ctrlPr>
                      <w:rPr>
                        <w:rFonts w:ascii="Cambria Math" w:hAnsi="Cambria Math"/>
                        <w:b/>
                        <w:bCs/>
                        <w:i/>
                      </w:rPr>
                    </m:ctrlPr>
                  </m:dPr>
                  <m:e>
                    <m:r>
                      <m:rPr>
                        <m:sty m:val="bi"/>
                      </m:rPr>
                      <w:rPr>
                        <w:rFonts w:ascii="Cambria Math" w:hAnsi="Cambria Math"/>
                      </w:rPr>
                      <m:t>M</m:t>
                    </m:r>
                    <m:r>
                      <m:rPr>
                        <m:sty m:val="bi"/>
                      </m:rPr>
                      <w:rPr>
                        <w:rFonts w:ascii="Cambria Math" w:hAnsi="Cambria Math"/>
                      </w:rPr>
                      <m:t>∙</m:t>
                    </m:r>
                    <m:r>
                      <m:rPr>
                        <m:sty m:val="b"/>
                      </m:rPr>
                      <w:rPr>
                        <w:rFonts w:ascii="Cambria Math" w:hAnsi="Cambria Math"/>
                      </w:rPr>
                      <m:t>∇</m:t>
                    </m:r>
                  </m:e>
                </m:d>
                <m:r>
                  <m:rPr>
                    <m:sty m:val="bi"/>
                  </m:rPr>
                  <w:rPr>
                    <w:rFonts w:ascii="Cambria Math" w:hAnsi="Cambria Math"/>
                  </w:rPr>
                  <m:t>B</m:t>
                </m:r>
              </m:oMath>
            </m:oMathPara>
          </w:p>
        </w:tc>
        <w:tc>
          <w:tcPr>
            <w:tcW w:w="507" w:type="pct"/>
            <w:vAlign w:val="center"/>
          </w:tcPr>
          <w:p w14:paraId="4DC9DA63" w14:textId="213F44FC" w:rsidR="00406EF8" w:rsidRPr="00FC71BE" w:rsidRDefault="00406EF8">
            <w:pPr>
              <w:pStyle w:val="equation"/>
              <w:rPr>
                <w:i/>
                <w:color w:val="auto"/>
              </w:rPr>
            </w:pPr>
            <w:bookmarkStart w:id="293" w:name="_Ref141092029"/>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16</w:t>
            </w:r>
            <w:r w:rsidR="002839C4" w:rsidRPr="00FC71BE">
              <w:rPr>
                <w:color w:val="auto"/>
              </w:rPr>
              <w:fldChar w:fldCharType="end"/>
            </w:r>
            <w:r w:rsidRPr="00FC71BE">
              <w:rPr>
                <w:color w:val="auto"/>
              </w:rPr>
              <w:t>)</w:t>
            </w:r>
            <w:bookmarkEnd w:id="293"/>
          </w:p>
        </w:tc>
      </w:tr>
    </w:tbl>
    <w:p w14:paraId="4D8605D2" w14:textId="01168EC2" w:rsidR="00406EF8" w:rsidRPr="00FC71BE" w:rsidRDefault="00406EF8" w:rsidP="00406EF8">
      <w:r w:rsidRPr="00FC71BE">
        <w:t xml:space="preserve">The difference between these two models is that </w:t>
      </w:r>
      <w:r w:rsidRPr="00FC71BE">
        <w:fldChar w:fldCharType="begin"/>
      </w:r>
      <w:r w:rsidRPr="00FC71BE">
        <w:instrText xml:space="preserve"> REF _Ref139370557 \h </w:instrText>
      </w:r>
      <w:r w:rsidRPr="00FC71BE">
        <w:fldChar w:fldCharType="separate"/>
      </w:r>
      <w:r w:rsidR="007E62C1" w:rsidRPr="00FC71BE">
        <w:t>(</w:t>
      </w:r>
      <w:r w:rsidR="007E62C1" w:rsidRPr="00FC71BE">
        <w:rPr>
          <w:noProof/>
        </w:rPr>
        <w:t>5</w:t>
      </w:r>
      <w:r w:rsidR="007E62C1" w:rsidRPr="00FC71BE">
        <w:t>.</w:t>
      </w:r>
      <w:r w:rsidR="007E62C1" w:rsidRPr="00FC71BE">
        <w:rPr>
          <w:noProof/>
        </w:rPr>
        <w:t>13</w:t>
      </w:r>
      <w:r w:rsidR="007E62C1" w:rsidRPr="00FC71BE">
        <w:t>)</w:t>
      </w:r>
      <w:r w:rsidRPr="00FC71BE">
        <w:fldChar w:fldCharType="end"/>
      </w:r>
      <w:r w:rsidRPr="00FC71BE">
        <w:t xml:space="preserve"> considers the Aharonov-Casher effect, which is caused by quantum interference pattern shift phenomenon </w:t>
      </w:r>
      <w:r w:rsidRPr="00FC71BE">
        <w:fldChar w:fldCharType="begin"/>
      </w:r>
      <w:r w:rsidR="00BA33ED" w:rsidRPr="00FC71BE">
        <w:instrText xml:space="preserve"> ADDIN EN.CITE &lt;EndNote&gt;&lt;Cite&gt;&lt;Author&gt;Aharonov&lt;/Author&gt;&lt;Year&gt;1984&lt;/Year&gt;&lt;RecNum&gt;65&lt;/RecNum&gt;&lt;DisplayText&gt;[199]&lt;/DisplayText&gt;&lt;record&gt;&lt;rec-number&gt;65&lt;/rec-number&gt;&lt;foreign-keys&gt;&lt;key app="EN" db-id="rf2p5e05jx0x9jep00uvx0s1fvaww2dfa0r9" timestamp="1690978495"&gt;65&lt;/key&gt;&lt;/foreign-keys&gt;&lt;ref-type name="Journal Article"&gt;17&lt;/ref-type&gt;&lt;contributors&gt;&lt;authors&gt;&lt;author&gt;Aharonov, Yakir&lt;/author&gt;&lt;author&gt;Casher, Aharon&lt;/author&gt;&lt;/authors&gt;&lt;/contributors&gt;&lt;titles&gt;&lt;title&gt;Topological quantum effects for neutral particles&lt;/title&gt;&lt;secondary-title&gt;Physical Review Letters&lt;/secondary-title&gt;&lt;/titles&gt;&lt;periodical&gt;&lt;full-title&gt;Physical Review Letters&lt;/full-title&gt;&lt;/periodical&gt;&lt;pages&gt;319&lt;/pages&gt;&lt;volume&gt;53&lt;/volume&gt;&lt;number&gt;4&lt;/number&gt;&lt;dates&gt;&lt;year&gt;1984&lt;/year&gt;&lt;/dates&gt;&lt;urls&gt;&lt;/urls&gt;&lt;/record&gt;&lt;/Cite&gt;&lt;/EndNote&gt;</w:instrText>
      </w:r>
      <w:r w:rsidRPr="00FC71BE">
        <w:fldChar w:fldCharType="separate"/>
      </w:r>
      <w:r w:rsidR="00BA33ED" w:rsidRPr="00FC71BE">
        <w:t>[199]</w:t>
      </w:r>
      <w:r w:rsidRPr="00FC71BE">
        <w:fldChar w:fldCharType="end"/>
      </w:r>
      <w:r w:rsidRPr="00FC71BE">
        <w:t xml:space="preserve">. Therefore, it is more widely used in atomic and nuclear physics. However, for the investigations in this chapter, </w:t>
      </w:r>
      <w:r w:rsidRPr="00FC71BE">
        <w:fldChar w:fldCharType="begin"/>
      </w:r>
      <w:r w:rsidRPr="00FC71BE">
        <w:instrText xml:space="preserve"> REF _Ref141092029 \h </w:instrText>
      </w:r>
      <w:r w:rsidRPr="00FC71BE">
        <w:fldChar w:fldCharType="separate"/>
      </w:r>
      <w:r w:rsidR="007E62C1" w:rsidRPr="00FC71BE">
        <w:t>(</w:t>
      </w:r>
      <w:r w:rsidR="007E62C1" w:rsidRPr="00FC71BE">
        <w:rPr>
          <w:noProof/>
        </w:rPr>
        <w:t>5</w:t>
      </w:r>
      <w:r w:rsidR="007E62C1" w:rsidRPr="00FC71BE">
        <w:t>.</w:t>
      </w:r>
      <w:r w:rsidR="007E62C1" w:rsidRPr="00FC71BE">
        <w:rPr>
          <w:noProof/>
        </w:rPr>
        <w:t>16</w:t>
      </w:r>
      <w:r w:rsidR="007E62C1" w:rsidRPr="00FC71BE">
        <w:t>)</w:t>
      </w:r>
      <w:r w:rsidRPr="00FC71BE">
        <w:fldChar w:fldCharType="end"/>
      </w:r>
      <w:r w:rsidRPr="00FC71BE">
        <w:t xml:space="preserve"> can be regarded as a close approximation of </w:t>
      </w:r>
      <w:r w:rsidRPr="00FC71BE">
        <w:fldChar w:fldCharType="begin"/>
      </w:r>
      <w:r w:rsidRPr="00FC71BE">
        <w:instrText xml:space="preserve"> REF _Ref141092039 \h </w:instrText>
      </w:r>
      <w:r w:rsidRPr="00FC71BE">
        <w:fldChar w:fldCharType="separate"/>
      </w:r>
      <w:r w:rsidR="007E62C1" w:rsidRPr="00FC71BE">
        <w:t>(</w:t>
      </w:r>
      <w:r w:rsidR="007E62C1" w:rsidRPr="00FC71BE">
        <w:rPr>
          <w:noProof/>
        </w:rPr>
        <w:t>5</w:t>
      </w:r>
      <w:r w:rsidR="007E62C1" w:rsidRPr="00FC71BE">
        <w:t>.</w:t>
      </w:r>
      <w:r w:rsidR="007E62C1" w:rsidRPr="00FC71BE">
        <w:rPr>
          <w:noProof/>
        </w:rPr>
        <w:t>15</w:t>
      </w:r>
      <w:r w:rsidR="007E62C1" w:rsidRPr="00FC71BE">
        <w:t>)</w:t>
      </w:r>
      <w:r w:rsidRPr="00FC71BE">
        <w:fldChar w:fldCharType="end"/>
      </w:r>
      <w:r w:rsidRPr="00FC71BE">
        <w:t xml:space="preserve"> when the following assumptions are made:</w:t>
      </w:r>
    </w:p>
    <w:p w14:paraId="299A2A2C" w14:textId="04FC1E84" w:rsidR="00406EF8" w:rsidRPr="00FC71BE" w:rsidRDefault="00406EF8" w:rsidP="00AF4190">
      <w:pPr>
        <w:pStyle w:val="ListParagraph"/>
        <w:numPr>
          <w:ilvl w:val="0"/>
          <w:numId w:val="11"/>
        </w:numPr>
        <w:spacing w:after="0"/>
      </w:pPr>
      <w:r w:rsidRPr="00FC71BE">
        <w:t xml:space="preserve">Since the ferrofluid is placed in a time-varying magnetic field, the magnetic relaxation of ferromagnetic particles is evaluated by two mechanisms, i.e., Brownian mechanism and </w:t>
      </w:r>
      <m:oMath>
        <m:r>
          <m:rPr>
            <m:sty m:val="p"/>
          </m:rPr>
          <w:rPr>
            <w:rFonts w:ascii="Cambria Math" w:hAnsi="Cambria Math" w:cs="Times New Roman"/>
          </w:rPr>
          <m:t>N</m:t>
        </m:r>
        <m:acc>
          <m:accPr>
            <m:chr m:val="́"/>
            <m:ctrlPr>
              <w:rPr>
                <w:rFonts w:ascii="Cambria Math" w:hAnsi="Cambria Math" w:cs="Times New Roman"/>
                <w:iCs/>
              </w:rPr>
            </m:ctrlPr>
          </m:accPr>
          <m:e>
            <m:r>
              <m:rPr>
                <m:sty m:val="p"/>
              </m:rPr>
              <w:rPr>
                <w:rFonts w:ascii="Cambria Math" w:hAnsi="Cambria Math" w:cs="Times New Roman"/>
              </w:rPr>
              <m:t>e</m:t>
            </m:r>
          </m:e>
        </m:acc>
        <m:r>
          <m:rPr>
            <m:sty m:val="p"/>
          </m:rPr>
          <w:rPr>
            <w:rFonts w:ascii="Cambria Math" w:hAnsi="Cambria Math" w:cs="Times New Roman"/>
          </w:rPr>
          <m:t>el</m:t>
        </m:r>
      </m:oMath>
      <w:r w:rsidRPr="00FC71BE">
        <w:rPr>
          <w:iCs/>
        </w:rPr>
        <w:t xml:space="preserve"> mechanism. According to Rosenweig </w:t>
      </w:r>
      <w:r w:rsidRPr="00FC71BE">
        <w:rPr>
          <w:iCs/>
        </w:rPr>
        <w:fldChar w:fldCharType="begin"/>
      </w:r>
      <w:r w:rsidR="00BA33ED" w:rsidRPr="00FC71BE">
        <w:rPr>
          <w:iCs/>
        </w:rPr>
        <w:instrText xml:space="preserve"> ADDIN EN.CITE &lt;EndNote&gt;&lt;Cite&gt;&lt;Author&gt;Rosensweig&lt;/Author&gt;&lt;Year&gt;2013&lt;/Year&gt;&lt;RecNum&gt;55&lt;/RecNum&gt;&lt;DisplayText&gt;[189]&lt;/DisplayText&gt;&lt;record&gt;&lt;rec-number&gt;55&lt;/rec-number&gt;&lt;foreign-keys&gt;&lt;key app="EN" db-id="rf2p5e05jx0x9jep00uvx0s1fvaww2dfa0r9" timestamp="1690837744"&gt;55&lt;/key&gt;&lt;/foreign-keys&gt;&lt;ref-type name="Book"&gt;6&lt;/ref-type&gt;&lt;contributors&gt;&lt;authors&gt;&lt;author&gt;Rosensweig, Ronald E&lt;/author&gt;&lt;/authors&gt;&lt;/contributors&gt;&lt;titles&gt;&lt;title&gt;Ferrohydrodynamics&lt;/title&gt;&lt;/titles&gt;&lt;dates&gt;&lt;year&gt;2013&lt;/year&gt;&lt;/dates&gt;&lt;publisher&gt;Courier Corporation&lt;/publisher&gt;&lt;isbn&gt;0486783006&lt;/isbn&gt;&lt;urls&gt;&lt;/urls&gt;&lt;/record&gt;&lt;/Cite&gt;&lt;/EndNote&gt;</w:instrText>
      </w:r>
      <w:r w:rsidRPr="00FC71BE">
        <w:rPr>
          <w:iCs/>
        </w:rPr>
        <w:fldChar w:fldCharType="separate"/>
      </w:r>
      <w:r w:rsidR="00BA33ED" w:rsidRPr="00FC71BE">
        <w:rPr>
          <w:iCs/>
        </w:rPr>
        <w:t>[189]</w:t>
      </w:r>
      <w:r w:rsidRPr="00FC71BE">
        <w:rPr>
          <w:iCs/>
        </w:rPr>
        <w:fldChar w:fldCharType="end"/>
      </w:r>
      <w:r w:rsidRPr="00FC71BE">
        <w:rPr>
          <w:iCs/>
        </w:rPr>
        <w:t xml:space="preserve"> and Berkovsky </w:t>
      </w:r>
      <w:r w:rsidRPr="00FC71BE">
        <w:rPr>
          <w:iCs/>
        </w:rPr>
        <w:fldChar w:fldCharType="begin"/>
      </w:r>
      <w:r w:rsidR="00BA33ED" w:rsidRPr="00FC71BE">
        <w:rPr>
          <w:iCs/>
        </w:rPr>
        <w:instrText xml:space="preserve"> ADDIN EN.CITE &lt;EndNote&gt;&lt;Cite&gt;&lt;Author&gt;Berkovsky&lt;/Author&gt;&lt;Year&gt;1993&lt;/Year&gt;&lt;RecNum&gt;56&lt;/RecNum&gt;&lt;DisplayText&gt;[190]&lt;/DisplayText&gt;&lt;record&gt;&lt;rec-number&gt;56&lt;/rec-number&gt;&lt;foreign-keys&gt;&lt;key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applications&lt;/title&gt;&lt;/titles&gt;&lt;dates&gt;&lt;year&gt;1993&lt;/year&gt;&lt;/dates&gt;&lt;urls&gt;&lt;/urls&gt;&lt;/record&gt;&lt;/Cite&gt;&lt;/EndNote&gt;</w:instrText>
      </w:r>
      <w:r w:rsidRPr="00FC71BE">
        <w:rPr>
          <w:iCs/>
        </w:rPr>
        <w:fldChar w:fldCharType="separate"/>
      </w:r>
      <w:r w:rsidR="00BA33ED" w:rsidRPr="00FC71BE">
        <w:rPr>
          <w:iCs/>
        </w:rPr>
        <w:t>[190]</w:t>
      </w:r>
      <w:r w:rsidRPr="00FC71BE">
        <w:rPr>
          <w:iCs/>
        </w:rPr>
        <w:fldChar w:fldCharType="end"/>
      </w:r>
      <w:r w:rsidRPr="00FC71BE">
        <w:rPr>
          <w:iCs/>
        </w:rPr>
        <w:t xml:space="preserve">, the </w:t>
      </w:r>
      <w:r w:rsidRPr="00FC71BE">
        <w:rPr>
          <w:iCs/>
        </w:rPr>
        <w:lastRenderedPageBreak/>
        <w:t xml:space="preserve">magnetic relaxation time (order of </w:t>
      </w:r>
      <m:oMath>
        <m:sSup>
          <m:sSupPr>
            <m:ctrlPr>
              <w:rPr>
                <w:rFonts w:ascii="Cambria Math" w:hAnsi="Cambria Math"/>
                <w:i/>
                <w:iCs/>
              </w:rPr>
            </m:ctrlPr>
          </m:sSupPr>
          <m:e>
            <m:r>
              <w:rPr>
                <w:rFonts w:ascii="Cambria Math" w:hAnsi="Cambria Math"/>
              </w:rPr>
              <m:t>10</m:t>
            </m:r>
          </m:e>
          <m:sup>
            <m:r>
              <w:rPr>
                <w:rFonts w:ascii="Cambria Math" w:hAnsi="Cambria Math"/>
              </w:rPr>
              <m:t>-7</m:t>
            </m:r>
          </m:sup>
        </m:sSup>
        <m:r>
          <w:rPr>
            <w:rFonts w:ascii="Cambria Math" w:hAnsi="Cambria Math"/>
          </w:rPr>
          <m:t xml:space="preserve"> </m:t>
        </m:r>
        <m:r>
          <m:rPr>
            <m:sty m:val="p"/>
          </m:rPr>
          <w:rPr>
            <w:rFonts w:ascii="Cambria Math" w:hAnsi="Cambria Math"/>
          </w:rPr>
          <m:t>s</m:t>
        </m:r>
      </m:oMath>
      <w:r w:rsidRPr="00FC71BE">
        <w:rPr>
          <w:iCs/>
        </w:rPr>
        <w:t>) for both mechanisms are much smaller than the characteristic hydro-dynamic times. Therefore, the pyromagnetic phenomenon is neglected, and the response</w:t>
      </w:r>
      <w:r w:rsidRPr="00FC71BE" w:rsidDel="001B5C02">
        <w:rPr>
          <w:iCs/>
        </w:rPr>
        <w:t xml:space="preserve"> </w:t>
      </w:r>
      <w:r w:rsidRPr="00FC71BE">
        <w:rPr>
          <w:iCs/>
        </w:rPr>
        <w:t xml:space="preserve">of the ferromagnetic particles to the time-varying magnetic field is instantaneous, and hence </w:t>
      </w:r>
      <m:oMath>
        <m:r>
          <m:rPr>
            <m:sty m:val="bi"/>
          </m:rPr>
          <w:rPr>
            <w:rFonts w:ascii="Cambria Math" w:hAnsi="Cambria Math"/>
          </w:rPr>
          <m:t>M</m:t>
        </m:r>
      </m:oMath>
      <w:r w:rsidRPr="00FC71BE">
        <w:rPr>
          <w:bCs/>
        </w:rPr>
        <w:t xml:space="preserve"> is not position dependent. Then </w:t>
      </w:r>
      <w:r w:rsidRPr="00FC71BE">
        <w:rPr>
          <w:bCs/>
        </w:rPr>
        <w:fldChar w:fldCharType="begin"/>
      </w:r>
      <w:r w:rsidRPr="00FC71BE">
        <w:rPr>
          <w:bCs/>
        </w:rPr>
        <w:instrText xml:space="preserve"> REF _Ref141092039 \h </w:instrText>
      </w:r>
      <w:r w:rsidRPr="00FC71BE">
        <w:rPr>
          <w:bCs/>
        </w:rPr>
      </w:r>
      <w:r w:rsidRPr="00FC71BE">
        <w:rPr>
          <w:bCs/>
        </w:rPr>
        <w:fldChar w:fldCharType="separate"/>
      </w:r>
      <w:r w:rsidR="007E62C1" w:rsidRPr="00FC71BE">
        <w:t>(</w:t>
      </w:r>
      <w:r w:rsidR="007E62C1" w:rsidRPr="00FC71BE">
        <w:rPr>
          <w:noProof/>
        </w:rPr>
        <w:t>5</w:t>
      </w:r>
      <w:r w:rsidR="007E62C1" w:rsidRPr="00FC71BE">
        <w:t>.</w:t>
      </w:r>
      <w:r w:rsidR="007E62C1" w:rsidRPr="00FC71BE">
        <w:rPr>
          <w:noProof/>
        </w:rPr>
        <w:t>15</w:t>
      </w:r>
      <w:r w:rsidR="007E62C1" w:rsidRPr="00FC71BE">
        <w:t>)</w:t>
      </w:r>
      <w:r w:rsidRPr="00FC71BE">
        <w:rPr>
          <w:bCs/>
        </w:rPr>
        <w:fldChar w:fldCharType="end"/>
      </w:r>
      <w:r w:rsidRPr="00FC71BE">
        <w:rPr>
          <w:bCs/>
        </w:rPr>
        <w:t xml:space="preserve"> </w:t>
      </w:r>
      <w:r w:rsidRPr="00FC71BE">
        <w:t>can be rewritten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47DA264E" w14:textId="77777777">
        <w:tc>
          <w:tcPr>
            <w:tcW w:w="4493" w:type="pct"/>
            <w:vAlign w:val="center"/>
          </w:tcPr>
          <w:p w14:paraId="1A50AE82" w14:textId="77777777" w:rsidR="00406EF8" w:rsidRPr="00FC71BE" w:rsidRDefault="002143AD">
            <w:pPr>
              <w:ind w:left="340" w:firstLine="0"/>
            </w:pPr>
            <m:oMathPara>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t>
                    </m:r>
                  </m:sub>
                </m:sSub>
                <m:r>
                  <w:rPr>
                    <w:rFonts w:ascii="Cambria Math" w:hAnsi="Cambria Math"/>
                  </w:rPr>
                  <m:t>=</m:t>
                </m:r>
                <m:d>
                  <m:dPr>
                    <m:ctrlPr>
                      <w:rPr>
                        <w:rFonts w:ascii="Cambria Math" w:hAnsi="Cambria Math"/>
                        <w:b/>
                        <w:bCs/>
                        <w:i/>
                      </w:rPr>
                    </m:ctrlPr>
                  </m:dPr>
                  <m:e>
                    <m:r>
                      <m:rPr>
                        <m:sty m:val="bi"/>
                      </m:rPr>
                      <w:rPr>
                        <w:rFonts w:ascii="Cambria Math" w:hAnsi="Cambria Math"/>
                      </w:rPr>
                      <m:t>M</m:t>
                    </m:r>
                    <m:r>
                      <m:rPr>
                        <m:sty m:val="bi"/>
                      </m:rPr>
                      <w:rPr>
                        <w:rFonts w:ascii="Cambria Math" w:hAnsi="Cambria Math"/>
                      </w:rPr>
                      <m:t>∙</m:t>
                    </m:r>
                    <m:r>
                      <m:rPr>
                        <m:sty m:val="b"/>
                      </m:rPr>
                      <w:rPr>
                        <w:rFonts w:ascii="Cambria Math" w:hAnsi="Cambria Math"/>
                      </w:rPr>
                      <m:t>∇</m:t>
                    </m:r>
                  </m:e>
                </m:d>
                <m:r>
                  <m:rPr>
                    <m:sty m:val="bi"/>
                  </m:rPr>
                  <w:rPr>
                    <w:rFonts w:ascii="Cambria Math" w:hAnsi="Cambria Math"/>
                  </w:rPr>
                  <m:t>B</m:t>
                </m:r>
                <m:r>
                  <w:rPr>
                    <w:rFonts w:ascii="Cambria Math" w:hAnsi="Cambria Math"/>
                  </w:rPr>
                  <m:t>+</m:t>
                </m:r>
                <m:r>
                  <m:rPr>
                    <m:sty m:val="bi"/>
                  </m:rPr>
                  <w:rPr>
                    <w:rFonts w:ascii="Cambria Math" w:hAnsi="Cambria Math"/>
                  </w:rPr>
                  <m:t>M</m:t>
                </m:r>
                <m:r>
                  <w:rPr>
                    <w:rFonts w:ascii="Cambria Math" w:hAnsi="Cambria Math"/>
                  </w:rPr>
                  <m:t>×</m:t>
                </m:r>
                <m:d>
                  <m:dPr>
                    <m:ctrlPr>
                      <w:rPr>
                        <w:rFonts w:ascii="Cambria Math" w:hAnsi="Cambria Math"/>
                        <w:i/>
                      </w:rPr>
                    </m:ctrlPr>
                  </m:dPr>
                  <m:e>
                    <m:r>
                      <m:rPr>
                        <m:sty m:val="b"/>
                      </m:rPr>
                      <w:rPr>
                        <w:rFonts w:ascii="Cambria Math" w:hAnsi="Cambria Math"/>
                      </w:rPr>
                      <m:t>∇</m:t>
                    </m:r>
                    <m:r>
                      <w:rPr>
                        <w:rFonts w:ascii="Cambria Math" w:hAnsi="Cambria Math"/>
                      </w:rPr>
                      <m:t>×</m:t>
                    </m:r>
                    <m:r>
                      <m:rPr>
                        <m:sty m:val="bi"/>
                      </m:rPr>
                      <w:rPr>
                        <w:rFonts w:ascii="Cambria Math" w:hAnsi="Cambria Math"/>
                      </w:rPr>
                      <m:t>B</m:t>
                    </m:r>
                  </m:e>
                </m:d>
              </m:oMath>
            </m:oMathPara>
          </w:p>
        </w:tc>
        <w:tc>
          <w:tcPr>
            <w:tcW w:w="507" w:type="pct"/>
            <w:vAlign w:val="center"/>
          </w:tcPr>
          <w:p w14:paraId="24436082" w14:textId="09297B1F" w:rsidR="00406EF8" w:rsidRPr="00FC71BE" w:rsidRDefault="00406EF8">
            <w:pPr>
              <w:pStyle w:val="equation"/>
              <w:rPr>
                <w:i/>
                <w:color w:val="auto"/>
              </w:rPr>
            </w:pPr>
            <w:bookmarkStart w:id="294" w:name="_Ref141093420"/>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17</w:t>
            </w:r>
            <w:r w:rsidR="002839C4" w:rsidRPr="00FC71BE">
              <w:rPr>
                <w:color w:val="auto"/>
              </w:rPr>
              <w:fldChar w:fldCharType="end"/>
            </w:r>
            <w:r w:rsidRPr="00FC71BE">
              <w:rPr>
                <w:color w:val="auto"/>
              </w:rPr>
              <w:t>)</w:t>
            </w:r>
            <w:bookmarkEnd w:id="294"/>
          </w:p>
        </w:tc>
      </w:tr>
    </w:tbl>
    <w:p w14:paraId="16FC5854" w14:textId="640E7978" w:rsidR="00406EF8" w:rsidRPr="00FC71BE" w:rsidRDefault="00406EF8" w:rsidP="00AF4190">
      <w:pPr>
        <w:pStyle w:val="ListParagraph"/>
        <w:numPr>
          <w:ilvl w:val="0"/>
          <w:numId w:val="11"/>
        </w:numPr>
        <w:spacing w:after="0"/>
      </w:pPr>
      <w:r w:rsidRPr="00FC71BE">
        <w:rPr>
          <w:bCs/>
        </w:rPr>
        <w:t xml:space="preserve">Furthermore, due to the poor electrical conductivity of liquid carrier and low concentration of ferromagnetic particles, the electrical conductivity of ferrofluid can be neglected. As a result, the current density </w:t>
      </w:r>
      <m:oMath>
        <m:r>
          <m:rPr>
            <m:sty m:val="bi"/>
          </m:rPr>
          <w:rPr>
            <w:rFonts w:ascii="Cambria Math" w:hAnsi="Cambria Math"/>
          </w:rPr>
          <m:t>J</m:t>
        </m:r>
      </m:oMath>
      <w:r w:rsidRPr="00FC71BE">
        <w:rPr>
          <w:b/>
        </w:rPr>
        <w:t xml:space="preserve"> </w:t>
      </w:r>
      <w:r w:rsidRPr="00FC71BE">
        <w:rPr>
          <w:bCs/>
        </w:rPr>
        <w:t>and the</w:t>
      </w:r>
      <w:r w:rsidRPr="00FC71BE">
        <w:rPr>
          <w:b/>
        </w:rPr>
        <w:t xml:space="preserve"> </w:t>
      </w:r>
      <w:r w:rsidRPr="00FC71BE">
        <w:rPr>
          <w:bCs/>
        </w:rPr>
        <w:t>displacement current (</w:t>
      </w:r>
      <m:oMath>
        <m:f>
          <m:fPr>
            <m:ctrlPr>
              <w:rPr>
                <w:rFonts w:ascii="Cambria Math" w:hAnsi="Cambria Math"/>
                <w:bCs/>
                <w:i/>
              </w:rPr>
            </m:ctrlPr>
          </m:fPr>
          <m:num>
            <m:r>
              <w:rPr>
                <w:rFonts w:ascii="Cambria Math" w:hAnsi="Cambria Math"/>
              </w:rPr>
              <m:t>∂E</m:t>
            </m:r>
          </m:num>
          <m:den>
            <m:r>
              <w:rPr>
                <w:rFonts w:ascii="Cambria Math" w:hAnsi="Cambria Math"/>
              </w:rPr>
              <m:t>∂t</m:t>
            </m:r>
          </m:den>
        </m:f>
      </m:oMath>
      <w:r w:rsidRPr="00FC71BE">
        <w:rPr>
          <w:bCs/>
        </w:rPr>
        <w:t xml:space="preserve">) are 0, so is </w:t>
      </w:r>
      <m:oMath>
        <m:r>
          <m:rPr>
            <m:sty m:val="b"/>
          </m:rPr>
          <w:rPr>
            <w:rFonts w:ascii="Cambria Math" w:hAnsi="Cambria Math"/>
          </w:rPr>
          <m:t>∇</m:t>
        </m:r>
        <m:r>
          <w:rPr>
            <w:rFonts w:ascii="Cambria Math" w:hAnsi="Cambria Math"/>
          </w:rPr>
          <m:t>×</m:t>
        </m:r>
        <m:r>
          <m:rPr>
            <m:sty m:val="bi"/>
          </m:rPr>
          <w:rPr>
            <w:rFonts w:ascii="Cambria Math" w:hAnsi="Cambria Math"/>
          </w:rPr>
          <m:t>B</m:t>
        </m:r>
      </m:oMath>
      <w:r w:rsidRPr="00FC71BE">
        <w:t xml:space="preserve">. In this case, </w:t>
      </w:r>
      <w:r w:rsidRPr="00FC71BE">
        <w:fldChar w:fldCharType="begin"/>
      </w:r>
      <w:r w:rsidRPr="00FC71BE">
        <w:instrText xml:space="preserve"> REF _Ref141092029 \h </w:instrText>
      </w:r>
      <w:r w:rsidRPr="00FC71BE">
        <w:fldChar w:fldCharType="separate"/>
      </w:r>
      <w:r w:rsidR="007E62C1" w:rsidRPr="00FC71BE">
        <w:t>(</w:t>
      </w:r>
      <w:r w:rsidR="007E62C1" w:rsidRPr="00FC71BE">
        <w:rPr>
          <w:noProof/>
        </w:rPr>
        <w:t>5</w:t>
      </w:r>
      <w:r w:rsidR="007E62C1" w:rsidRPr="00FC71BE">
        <w:t>.</w:t>
      </w:r>
      <w:r w:rsidR="007E62C1" w:rsidRPr="00FC71BE">
        <w:rPr>
          <w:noProof/>
        </w:rPr>
        <w:t>16</w:t>
      </w:r>
      <w:r w:rsidR="007E62C1" w:rsidRPr="00FC71BE">
        <w:t>)</w:t>
      </w:r>
      <w:r w:rsidRPr="00FC71BE">
        <w:fldChar w:fldCharType="end"/>
      </w:r>
      <w:r w:rsidRPr="00FC71BE">
        <w:t xml:space="preserve"> is equal to </w:t>
      </w:r>
      <w:r w:rsidRPr="00FC71BE">
        <w:fldChar w:fldCharType="begin"/>
      </w:r>
      <w:r w:rsidRPr="00FC71BE">
        <w:instrText xml:space="preserve"> REF _Ref141093420 \h </w:instrText>
      </w:r>
      <w:r w:rsidRPr="00FC71BE">
        <w:fldChar w:fldCharType="separate"/>
      </w:r>
      <w:r w:rsidR="007E62C1" w:rsidRPr="00FC71BE">
        <w:t>(</w:t>
      </w:r>
      <w:r w:rsidR="007E62C1" w:rsidRPr="00FC71BE">
        <w:rPr>
          <w:noProof/>
        </w:rPr>
        <w:t>5</w:t>
      </w:r>
      <w:r w:rsidR="007E62C1" w:rsidRPr="00FC71BE">
        <w:t>.</w:t>
      </w:r>
      <w:r w:rsidR="007E62C1" w:rsidRPr="00FC71BE">
        <w:rPr>
          <w:noProof/>
        </w:rPr>
        <w:t>17</w:t>
      </w:r>
      <w:r w:rsidR="007E62C1" w:rsidRPr="00FC71BE">
        <w:t>)</w:t>
      </w:r>
      <w:r w:rsidRPr="00FC71BE">
        <w:fldChar w:fldCharType="end"/>
      </w:r>
      <w:r w:rsidRPr="00FC71BE">
        <w:t xml:space="preserve">. </w:t>
      </w:r>
    </w:p>
    <w:p w14:paraId="69D547C2" w14:textId="77777777" w:rsidR="00406EF8" w:rsidRPr="00FC71BE" w:rsidRDefault="00406EF8" w:rsidP="00406EF8">
      <w:r w:rsidRPr="00FC71BE">
        <w:t xml:space="preserve">Since the ferrofluid is regarded as a superparamagnetic solution that susceptibility is independent of magnetic field intensity, a new form of magnetic body force is derived such as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4D34152C" w14:textId="77777777">
        <w:tc>
          <w:tcPr>
            <w:tcW w:w="4493" w:type="pct"/>
            <w:vAlign w:val="center"/>
          </w:tcPr>
          <w:p w14:paraId="362ED4FD" w14:textId="77777777" w:rsidR="00406EF8" w:rsidRPr="00FC71BE" w:rsidRDefault="002143AD">
            <w:pPr>
              <w:ind w:left="340" w:firstLine="0"/>
            </w:pPr>
            <m:oMathPara>
              <m:oMath>
                <m:sSub>
                  <m:sSubPr>
                    <m:ctrlPr>
                      <w:rPr>
                        <w:rFonts w:ascii="Cambria Math" w:hAnsi="Cambria Math"/>
                        <w:b/>
                        <w:bCs/>
                        <w:i/>
                      </w:rPr>
                    </m:ctrlPr>
                  </m:sSubPr>
                  <m:e>
                    <m:r>
                      <m:rPr>
                        <m:sty m:val="bi"/>
                      </m:rPr>
                      <w:rPr>
                        <w:rFonts w:ascii="Cambria Math" w:hAnsi="Cambria Math"/>
                      </w:rPr>
                      <m:t>F</m:t>
                    </m:r>
                  </m:e>
                  <m:sub>
                    <m:r>
                      <m:rPr>
                        <m:sty m:val="bi"/>
                      </m:rP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d>
                  <m:dPr>
                    <m:ctrlPr>
                      <w:rPr>
                        <w:rFonts w:ascii="Cambria Math" w:hAnsi="Cambria Math"/>
                        <w:b/>
                        <w:bCs/>
                        <w:i/>
                      </w:rPr>
                    </m:ctrlPr>
                  </m:dPr>
                  <m:e>
                    <m:r>
                      <m:rPr>
                        <m:sty m:val="bi"/>
                      </m:rPr>
                      <w:rPr>
                        <w:rFonts w:ascii="Cambria Math" w:hAnsi="Cambria Math"/>
                      </w:rPr>
                      <m:t>M</m:t>
                    </m:r>
                    <m:r>
                      <m:rPr>
                        <m:sty m:val="bi"/>
                      </m:rPr>
                      <w:rPr>
                        <w:rFonts w:ascii="Cambria Math" w:hAnsi="Cambria Math"/>
                      </w:rPr>
                      <m:t>∙</m:t>
                    </m:r>
                    <m:r>
                      <m:rPr>
                        <m:sty m:val="b"/>
                      </m:rPr>
                      <w:rPr>
                        <w:rFonts w:ascii="Cambria Math" w:hAnsi="Cambria Math"/>
                      </w:rPr>
                      <m:t>∇</m:t>
                    </m:r>
                  </m:e>
                </m:d>
                <m:r>
                  <m:rPr>
                    <m:sty m:val="bi"/>
                  </m:rPr>
                  <w:rPr>
                    <w:rFonts w:ascii="Cambria Math" w:hAnsi="Cambria Math"/>
                  </w:rPr>
                  <m:t>H</m:t>
                </m:r>
              </m:oMath>
            </m:oMathPara>
          </w:p>
        </w:tc>
        <w:tc>
          <w:tcPr>
            <w:tcW w:w="507" w:type="pct"/>
            <w:vAlign w:val="center"/>
          </w:tcPr>
          <w:p w14:paraId="3DADBCE3" w14:textId="22AF9B50" w:rsidR="00406EF8" w:rsidRPr="00FC71BE" w:rsidRDefault="00406EF8">
            <w:pPr>
              <w:pStyle w:val="equation"/>
              <w:rPr>
                <w:i/>
                <w:color w:val="auto"/>
              </w:rPr>
            </w:pPr>
            <w:bookmarkStart w:id="295" w:name="_Ref141093461"/>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18</w:t>
            </w:r>
            <w:r w:rsidR="002839C4" w:rsidRPr="00FC71BE">
              <w:rPr>
                <w:color w:val="auto"/>
              </w:rPr>
              <w:fldChar w:fldCharType="end"/>
            </w:r>
            <w:r w:rsidRPr="00FC71BE">
              <w:rPr>
                <w:color w:val="auto"/>
              </w:rPr>
              <w:t>)</w:t>
            </w:r>
            <w:bookmarkEnd w:id="295"/>
          </w:p>
        </w:tc>
      </w:tr>
    </w:tbl>
    <w:p w14:paraId="621D287A" w14:textId="533A3617" w:rsidR="00406EF8" w:rsidRPr="00FC71BE" w:rsidRDefault="00406EF8" w:rsidP="00406EF8">
      <w:r w:rsidRPr="00FC71BE">
        <w:t xml:space="preserve">This new form is widely known as Kelvin body force formula </w:t>
      </w:r>
      <w:r w:rsidRPr="00FC71BE">
        <w:fldChar w:fldCharType="begin"/>
      </w:r>
      <w:r w:rsidR="00BA33ED" w:rsidRPr="00FC71BE">
        <w:instrText xml:space="preserve"> ADDIN EN.CITE &lt;EndNote&gt;&lt;Cite&gt;&lt;Author&gt;Rosensweig&lt;/Author&gt;&lt;Year&gt;2013&lt;/Year&gt;&lt;RecNum&gt;55&lt;/RecNum&gt;&lt;DisplayText&gt;[189]&lt;/DisplayText&gt;&lt;record&gt;&lt;rec-number&gt;55&lt;/rec-number&gt;&lt;foreign-keys&gt;&lt;key app="EN" db-id="rf2p5e05jx0x9jep00uvx0s1fvaww2dfa0r9" timestamp="1690837744"&gt;55&lt;/key&gt;&lt;/foreign-keys&gt;&lt;ref-type name="Book"&gt;6&lt;/ref-type&gt;&lt;contributors&gt;&lt;authors&gt;&lt;author&gt;Rosensweig, Ronald E&lt;/author&gt;&lt;/authors&gt;&lt;/contributors&gt;&lt;titles&gt;&lt;title&gt;Ferrohydrodynamics&lt;/title&gt;&lt;/titles&gt;&lt;dates&gt;&lt;year&gt;2013&lt;/year&gt;&lt;/dates&gt;&lt;publisher&gt;Courier Corporation&lt;/publisher&gt;&lt;isbn&gt;0486783006&lt;/isbn&gt;&lt;urls&gt;&lt;/urls&gt;&lt;/record&gt;&lt;/Cite&gt;&lt;/EndNote&gt;</w:instrText>
      </w:r>
      <w:r w:rsidRPr="00FC71BE">
        <w:fldChar w:fldCharType="separate"/>
      </w:r>
      <w:r w:rsidR="00BA33ED" w:rsidRPr="00FC71BE">
        <w:t>[189]</w:t>
      </w:r>
      <w:r w:rsidRPr="00FC71BE">
        <w:fldChar w:fldCharType="end"/>
      </w:r>
      <w:r w:rsidRPr="00FC71BE">
        <w:t xml:space="preserve">. Compared with the electrical current loop model and the magnetic charge model, it is more concise and neglects the interaction between the nano-sized ferromagnetic particles in the ferrofluid. Therefore, to simplify the simulation, </w:t>
      </w:r>
      <w:r w:rsidRPr="00FC71BE">
        <w:fldChar w:fldCharType="begin"/>
      </w:r>
      <w:r w:rsidRPr="00FC71BE">
        <w:instrText xml:space="preserve"> REF _Ref141093461 \h </w:instrText>
      </w:r>
      <w:r w:rsidRPr="00FC71BE">
        <w:fldChar w:fldCharType="separate"/>
      </w:r>
      <w:r w:rsidR="007E62C1" w:rsidRPr="00FC71BE">
        <w:t>(</w:t>
      </w:r>
      <w:r w:rsidR="007E62C1" w:rsidRPr="00FC71BE">
        <w:rPr>
          <w:noProof/>
        </w:rPr>
        <w:t>5</w:t>
      </w:r>
      <w:r w:rsidR="007E62C1" w:rsidRPr="00FC71BE">
        <w:t>.</w:t>
      </w:r>
      <w:r w:rsidR="007E62C1" w:rsidRPr="00FC71BE">
        <w:rPr>
          <w:noProof/>
        </w:rPr>
        <w:t>18</w:t>
      </w:r>
      <w:r w:rsidR="007E62C1" w:rsidRPr="00FC71BE">
        <w:t>)</w:t>
      </w:r>
      <w:r w:rsidRPr="00FC71BE">
        <w:fldChar w:fldCharType="end"/>
      </w:r>
      <w:r w:rsidRPr="00FC71BE">
        <w:t xml:space="preserve"> will be used in this chapter to calculate the magnetic body force.</w:t>
      </w:r>
    </w:p>
    <w:p w14:paraId="13A6B4F4" w14:textId="77777777" w:rsidR="00406EF8" w:rsidRPr="00FC71BE" w:rsidRDefault="00406EF8" w:rsidP="006E6817">
      <w:pPr>
        <w:pStyle w:val="Heading4"/>
      </w:pPr>
      <w:r w:rsidRPr="00FC71BE">
        <w:t>Heat Transfer</w:t>
      </w:r>
    </w:p>
    <w:p w14:paraId="7D78A5F1" w14:textId="77777777" w:rsidR="00406EF8" w:rsidRPr="00FC71BE" w:rsidRDefault="00406EF8" w:rsidP="00406EF8">
      <w:r w:rsidRPr="00FC71BE">
        <w:t xml:space="preserve">The heat transfer in solid and liquid can be described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5F7BE2E" w14:textId="77777777">
        <w:tc>
          <w:tcPr>
            <w:tcW w:w="4493" w:type="pct"/>
            <w:vAlign w:val="center"/>
          </w:tcPr>
          <w:p w14:paraId="1882FC53" w14:textId="3E4C1EE7" w:rsidR="00406EF8" w:rsidRPr="00FC71BE" w:rsidRDefault="00406EF8">
            <w:pPr>
              <w:ind w:left="340" w:firstLine="0"/>
            </w:pPr>
            <m:oMathPara>
              <m:oMath>
                <m:r>
                  <m:rPr>
                    <m:sty m:val="p"/>
                  </m:rPr>
                  <w:rPr>
                    <w:rFonts w:ascii="Cambria Math" w:hAnsi="Cambria Math"/>
                  </w:rPr>
                  <m:t>∇</m:t>
                </m:r>
                <m:r>
                  <w:rPr>
                    <w:rFonts w:ascii="Cambria Math" w:hAnsi="Cambria Math"/>
                  </w:rPr>
                  <m:t>∙</m:t>
                </m:r>
                <m:d>
                  <m:dPr>
                    <m:ctrlPr>
                      <w:rPr>
                        <w:rFonts w:ascii="Cambria Math" w:hAnsi="Cambria Math"/>
                        <w:i/>
                      </w:rPr>
                    </m:ctrlPr>
                  </m:dPr>
                  <m:e>
                    <m:r>
                      <m:rPr>
                        <m:sty m:val="bi"/>
                      </m:rPr>
                      <w:rPr>
                        <w:rFonts w:ascii="Cambria Math" w:hAnsi="Cambria Math"/>
                      </w:rPr>
                      <m:t>q</m:t>
                    </m:r>
                  </m:e>
                </m:d>
                <m:r>
                  <w:rPr>
                    <w:rFonts w:ascii="Cambria Math" w:hAnsi="Cambria Math"/>
                  </w:rPr>
                  <m:t>+Q=ρc</m:t>
                </m:r>
                <m:f>
                  <m:fPr>
                    <m:ctrlPr>
                      <w:rPr>
                        <w:rFonts w:ascii="Cambria Math" w:hAnsi="Cambria Math"/>
                        <w:i/>
                      </w:rPr>
                    </m:ctrlPr>
                  </m:fPr>
                  <m:num>
                    <m:r>
                      <w:rPr>
                        <w:rFonts w:ascii="Cambria Math" w:hAnsi="Cambria Math"/>
                      </w:rPr>
                      <m:t>∂T</m:t>
                    </m:r>
                  </m:num>
                  <m:den>
                    <m:r>
                      <w:rPr>
                        <w:rFonts w:ascii="Cambria Math" w:hAnsi="Cambria Math"/>
                      </w:rPr>
                      <m:t>∂t</m:t>
                    </m:r>
                  </m:den>
                </m:f>
              </m:oMath>
            </m:oMathPara>
          </w:p>
        </w:tc>
        <w:tc>
          <w:tcPr>
            <w:tcW w:w="507" w:type="pct"/>
            <w:vAlign w:val="center"/>
          </w:tcPr>
          <w:p w14:paraId="7416B3AC" w14:textId="07DEFFE1"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19</w:t>
            </w:r>
            <w:r w:rsidR="002839C4" w:rsidRPr="00FC71BE">
              <w:rPr>
                <w:color w:val="auto"/>
              </w:rPr>
              <w:fldChar w:fldCharType="end"/>
            </w:r>
            <w:r w:rsidRPr="00FC71BE">
              <w:rPr>
                <w:color w:val="auto"/>
              </w:rPr>
              <w:t>)</w:t>
            </w:r>
          </w:p>
        </w:tc>
      </w:tr>
    </w:tbl>
    <w:p w14:paraId="2C47A562" w14:textId="6491FEE0" w:rsidR="00406EF8" w:rsidRPr="00FC71BE" w:rsidRDefault="00406EF8" w:rsidP="00406EF8">
      <w:pPr>
        <w:ind w:firstLine="0"/>
      </w:pPr>
      <w:r w:rsidRPr="00FC71BE">
        <w:t xml:space="preserve">where </w:t>
      </w:r>
      <m:oMath>
        <m:r>
          <m:rPr>
            <m:sty m:val="bi"/>
          </m:rPr>
          <w:rPr>
            <w:rFonts w:ascii="Cambria Math" w:hAnsi="Cambria Math"/>
          </w:rPr>
          <m:t>q</m:t>
        </m:r>
      </m:oMath>
      <w:r w:rsidRPr="00FC71BE">
        <w:t xml:space="preserve"> and </w:t>
      </w:r>
      <m:oMath>
        <m:r>
          <w:rPr>
            <w:rFonts w:ascii="Cambria Math" w:hAnsi="Cambria Math"/>
          </w:rPr>
          <m:t>Q</m:t>
        </m:r>
      </m:oMath>
      <w:r w:rsidRPr="00FC71BE">
        <w:t xml:space="preserve"> are the heat flux vector and volumetric heat generation. The heat flux vector for conduction (</w:t>
      </w:r>
      <m:oMath>
        <m:sSub>
          <m:sSubPr>
            <m:ctrlPr>
              <w:rPr>
                <w:rFonts w:ascii="Cambria Math" w:hAnsi="Cambria Math"/>
                <w:b/>
                <w:bCs/>
                <w:i/>
              </w:rPr>
            </m:ctrlPr>
          </m:sSubPr>
          <m:e>
            <m:r>
              <m:rPr>
                <m:sty m:val="bi"/>
              </m:rPr>
              <w:rPr>
                <w:rFonts w:ascii="Cambria Math" w:hAnsi="Cambria Math"/>
              </w:rPr>
              <m:t>q</m:t>
            </m:r>
          </m:e>
          <m:sub>
            <m:r>
              <w:rPr>
                <w:rFonts w:ascii="Cambria Math" w:hAnsi="Cambria Math"/>
              </w:rPr>
              <m:t>s</m:t>
            </m:r>
          </m:sub>
        </m:sSub>
      </m:oMath>
      <w:r w:rsidRPr="00FC71BE">
        <w:t>) and convection (</w:t>
      </w:r>
      <m:oMath>
        <m:sSub>
          <m:sSubPr>
            <m:ctrlPr>
              <w:rPr>
                <w:rFonts w:ascii="Cambria Math" w:hAnsi="Cambria Math"/>
                <w:b/>
                <w:bCs/>
                <w:i/>
              </w:rPr>
            </m:ctrlPr>
          </m:sSubPr>
          <m:e>
            <m:r>
              <m:rPr>
                <m:sty m:val="bi"/>
              </m:rPr>
              <w:rPr>
                <w:rFonts w:ascii="Cambria Math" w:hAnsi="Cambria Math"/>
              </w:rPr>
              <m:t>q</m:t>
            </m:r>
          </m:e>
          <m:sub>
            <m:r>
              <w:rPr>
                <w:rFonts w:ascii="Cambria Math" w:hAnsi="Cambria Math"/>
              </w:rPr>
              <m:t>f</m:t>
            </m:r>
          </m:sub>
        </m:sSub>
      </m:oMath>
      <w:r w:rsidRPr="00FC71BE">
        <w:t xml:space="preserve">) are described by </w:t>
      </w:r>
      <w:r w:rsidRPr="00FC71BE">
        <w:fldChar w:fldCharType="begin"/>
      </w:r>
      <w:r w:rsidR="00BA33ED" w:rsidRPr="00FC71BE">
        <w:instrText xml:space="preserve"> ADDIN EN.CITE &lt;EndNote&gt;&lt;Cite&gt;&lt;Author&gt;Kaviany&lt;/Author&gt;&lt;Year&gt;2011&lt;/Year&gt;&lt;RecNum&gt;66&lt;/RecNum&gt;&lt;DisplayText&gt;[200]&lt;/DisplayText&gt;&lt;record&gt;&lt;rec-number&gt;66&lt;/rec-number&gt;&lt;foreign-keys&gt;&lt;key app="EN" db-id="rf2p5e05jx0x9jep00uvx0s1fvaww2dfa0r9" timestamp="1690983422"&gt;66&lt;/key&gt;&lt;/foreign-keys&gt;&lt;ref-type name="Book"&gt;6&lt;/ref-type&gt;&lt;contributors&gt;&lt;authors&gt;&lt;author&gt;Kaviany, Massoud&lt;/author&gt;&lt;/authors&gt;&lt;/contributors&gt;&lt;titles&gt;&lt;title&gt;Essentials of heat transfer: principles, materials, and applications&lt;/title&gt;&lt;/titles&gt;&lt;dates&gt;&lt;year&gt;2011&lt;/year&gt;&lt;/dates&gt;&lt;publisher&gt;Cambridge University Press&lt;/publisher&gt;&lt;isbn&gt;1107012406&lt;/isbn&gt;&lt;urls&gt;&lt;/urls&gt;&lt;/record&gt;&lt;/Cite&gt;&lt;/EndNote&gt;</w:instrText>
      </w:r>
      <w:r w:rsidRPr="00FC71BE">
        <w:fldChar w:fldCharType="separate"/>
      </w:r>
      <w:r w:rsidR="00BA33ED" w:rsidRPr="00FC71BE">
        <w:t>[200]</w:t>
      </w:r>
      <w:r w:rsidRPr="00FC71BE">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1081"/>
      </w:tblGrid>
      <w:tr w:rsidR="00FC71BE" w:rsidRPr="00FC71BE" w14:paraId="0556E602" w14:textId="77777777">
        <w:tc>
          <w:tcPr>
            <w:tcW w:w="4401" w:type="pct"/>
            <w:vAlign w:val="center"/>
          </w:tcPr>
          <w:p w14:paraId="53A05CB1" w14:textId="06D317F1" w:rsidR="00406EF8" w:rsidRPr="00FC71BE" w:rsidRDefault="002143AD">
            <w:pPr>
              <w:ind w:left="340" w:firstLine="0"/>
            </w:pPr>
            <m:oMathPara>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b/>
                                <w:bCs/>
                                <w:i/>
                              </w:rPr>
                            </m:ctrlPr>
                          </m:sSubPr>
                          <m:e>
                            <m:r>
                              <m:rPr>
                                <m:sty m:val="bi"/>
                              </m:rPr>
                              <w:rPr>
                                <w:rFonts w:ascii="Cambria Math" w:hAnsi="Cambria Math"/>
                              </w:rPr>
                              <m:t>q</m:t>
                            </m:r>
                          </m:e>
                          <m:sub>
                            <m:r>
                              <w:rPr>
                                <w:rFonts w:ascii="Cambria Math" w:hAnsi="Cambria Math"/>
                              </w:rPr>
                              <m:t>s</m:t>
                            </m:r>
                          </m:sub>
                        </m:sSub>
                        <m:r>
                          <m:rPr>
                            <m:sty m:val="bi"/>
                          </m:rPr>
                          <w:rPr>
                            <w:rFonts w:ascii="Cambria Math" w:hAnsi="Cambria Math"/>
                          </w:rPr>
                          <m:t>=</m:t>
                        </m:r>
                        <m:r>
                          <w:rPr>
                            <w:rFonts w:ascii="Cambria Math" w:hAnsi="Cambria Math"/>
                          </w:rPr>
                          <m:t>λ</m:t>
                        </m:r>
                        <m:r>
                          <m:rPr>
                            <m:sty m:val="p"/>
                          </m:rPr>
                          <w:rPr>
                            <w:rFonts w:ascii="Cambria Math" w:hAnsi="Cambria Math"/>
                          </w:rPr>
                          <m:t>∇T</m:t>
                        </m:r>
                      </m:e>
                      <m:e>
                        <m:sSub>
                          <m:sSubPr>
                            <m:ctrlPr>
                              <w:rPr>
                                <w:rFonts w:ascii="Cambria Math" w:hAnsi="Cambria Math"/>
                                <w:b/>
                                <w:bCs/>
                                <w:i/>
                              </w:rPr>
                            </m:ctrlPr>
                          </m:sSubPr>
                          <m:e>
                            <m:r>
                              <m:rPr>
                                <m:sty m:val="bi"/>
                              </m:rPr>
                              <w:rPr>
                                <w:rFonts w:ascii="Cambria Math" w:hAnsi="Cambria Math"/>
                              </w:rPr>
                              <m:t>q</m:t>
                            </m:r>
                          </m:e>
                          <m:sub>
                            <m:r>
                              <w:rPr>
                                <w:rFonts w:ascii="Cambria Math" w:hAnsi="Cambria Math"/>
                              </w:rPr>
                              <m:t>f</m:t>
                            </m:r>
                          </m:sub>
                        </m:sSub>
                        <m:r>
                          <m:rPr>
                            <m:sty m:val="bi"/>
                          </m:rPr>
                          <w:rPr>
                            <w:rFonts w:ascii="Cambria Math" w:hAnsi="Cambria Math"/>
                          </w:rPr>
                          <m:t>=</m:t>
                        </m:r>
                        <m:r>
                          <w:rPr>
                            <w:rFonts w:ascii="Cambria Math" w:hAnsi="Cambria Math"/>
                          </w:rPr>
                          <m:t>ρcT</m:t>
                        </m:r>
                        <m:r>
                          <m:rPr>
                            <m:sty m:val="bi"/>
                          </m:rPr>
                          <w:rPr>
                            <w:rFonts w:ascii="Cambria Math" w:hAnsi="Cambria Math"/>
                          </w:rPr>
                          <m:t>u</m:t>
                        </m:r>
                      </m:e>
                    </m:eqArr>
                  </m:e>
                </m:d>
              </m:oMath>
            </m:oMathPara>
          </w:p>
        </w:tc>
        <w:tc>
          <w:tcPr>
            <w:tcW w:w="599" w:type="pct"/>
            <w:vAlign w:val="center"/>
          </w:tcPr>
          <w:p w14:paraId="4A10E611" w14:textId="7E579CB8"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20</w:t>
            </w:r>
            <w:r w:rsidR="002839C4" w:rsidRPr="00FC71BE">
              <w:rPr>
                <w:color w:val="auto"/>
              </w:rPr>
              <w:fldChar w:fldCharType="end"/>
            </w:r>
            <w:r w:rsidRPr="00FC71BE">
              <w:rPr>
                <w:color w:val="auto"/>
              </w:rPr>
              <w:t>)</w:t>
            </w:r>
          </w:p>
        </w:tc>
      </w:tr>
    </w:tbl>
    <w:p w14:paraId="71C2874E" w14:textId="77777777" w:rsidR="00406EF8" w:rsidRPr="00FC71BE" w:rsidRDefault="00406EF8" w:rsidP="00406EF8">
      <w:r w:rsidRPr="00FC71BE">
        <w:t>It is worth noting that, the heat flux vector for radiation has been neglected in this chapter.</w:t>
      </w:r>
    </w:p>
    <w:p w14:paraId="4ECDBE76" w14:textId="77777777" w:rsidR="00406EF8" w:rsidRPr="00FC71BE" w:rsidRDefault="00406EF8" w:rsidP="00B86C68">
      <w:pPr>
        <w:pStyle w:val="Heading2"/>
        <w:numPr>
          <w:ilvl w:val="1"/>
          <w:numId w:val="49"/>
        </w:numPr>
      </w:pPr>
      <w:bookmarkStart w:id="296" w:name="_Toc157695385"/>
      <w:r w:rsidRPr="00FC71BE">
        <w:t>Multiphysics Modelling</w:t>
      </w:r>
      <w:bookmarkEnd w:id="296"/>
    </w:p>
    <w:p w14:paraId="461089E9" w14:textId="77777777" w:rsidR="00406EF8" w:rsidRPr="00FC71BE" w:rsidRDefault="00406EF8" w:rsidP="00B86C68">
      <w:pPr>
        <w:pStyle w:val="Heading3"/>
        <w:numPr>
          <w:ilvl w:val="2"/>
          <w:numId w:val="49"/>
        </w:numPr>
      </w:pPr>
      <w:bookmarkStart w:id="297" w:name="_Toc157695386"/>
      <w:r w:rsidRPr="00FC71BE">
        <w:t>Machine Topologies and Specifications</w:t>
      </w:r>
      <w:bookmarkEnd w:id="297"/>
    </w:p>
    <w:p w14:paraId="03878FB5" w14:textId="4047FD40" w:rsidR="00406EF8" w:rsidRPr="00FC71BE" w:rsidRDefault="00406EF8" w:rsidP="00406EF8">
      <w:r w:rsidRPr="00FC71BE">
        <w:t xml:space="preserve">A conventional permanent magnet synchronous machine (PMSM) is used for the investigations in this chapter. The topology is shown in </w:t>
      </w:r>
      <w:r w:rsidR="0092122F" w:rsidRPr="00FC71BE">
        <w:fldChar w:fldCharType="begin"/>
      </w:r>
      <w:r w:rsidR="0092122F" w:rsidRPr="00FC71BE">
        <w:instrText xml:space="preserve"> REF _Ref148294221 \h </w:instrText>
      </w:r>
      <w:r w:rsidR="0092122F" w:rsidRPr="00FC71BE">
        <w:fldChar w:fldCharType="separate"/>
      </w:r>
      <w:r w:rsidR="007E62C1" w:rsidRPr="00FC71BE">
        <w:t xml:space="preserve">Fig. </w:t>
      </w:r>
      <w:r w:rsidR="007E62C1" w:rsidRPr="00FC71BE">
        <w:rPr>
          <w:noProof/>
        </w:rPr>
        <w:t>5</w:t>
      </w:r>
      <w:r w:rsidR="007E62C1" w:rsidRPr="00FC71BE">
        <w:t>.</w:t>
      </w:r>
      <w:r w:rsidR="007E62C1" w:rsidRPr="00FC71BE">
        <w:rPr>
          <w:noProof/>
        </w:rPr>
        <w:t>1</w:t>
      </w:r>
      <w:r w:rsidR="0092122F" w:rsidRPr="00FC71BE">
        <w:fldChar w:fldCharType="end"/>
      </w:r>
      <w:r w:rsidRPr="00FC71BE">
        <w:t xml:space="preserve"> (a). The specifications of this </w:t>
      </w:r>
      <w:r w:rsidRPr="00FC71BE">
        <w:lastRenderedPageBreak/>
        <w:t>machine are listed in</w:t>
      </w:r>
      <w:r w:rsidR="00544F76" w:rsidRPr="00FC71BE">
        <w:t xml:space="preserve"> </w:t>
      </w:r>
      <w:r w:rsidR="00544F76" w:rsidRPr="00FC71BE">
        <w:fldChar w:fldCharType="begin"/>
      </w:r>
      <w:r w:rsidR="00544F76" w:rsidRPr="00FC71BE">
        <w:instrText xml:space="preserve"> REF _Ref148289557 \h </w:instrText>
      </w:r>
      <w:r w:rsidR="00544F76" w:rsidRPr="00FC71BE">
        <w:fldChar w:fldCharType="separate"/>
      </w:r>
      <w:r w:rsidR="007E62C1" w:rsidRPr="00FC71BE">
        <w:t xml:space="preserve">Table </w:t>
      </w:r>
      <w:r w:rsidR="007E62C1" w:rsidRPr="00FC71BE">
        <w:rPr>
          <w:noProof/>
        </w:rPr>
        <w:t>5</w:t>
      </w:r>
      <w:r w:rsidR="007E62C1" w:rsidRPr="00FC71BE">
        <w:t>.</w:t>
      </w:r>
      <w:r w:rsidR="007E62C1" w:rsidRPr="00FC71BE">
        <w:rPr>
          <w:noProof/>
        </w:rPr>
        <w:t>1</w:t>
      </w:r>
      <w:r w:rsidR="00544F76" w:rsidRPr="00FC71BE">
        <w:fldChar w:fldCharType="end"/>
      </w:r>
      <w:r w:rsidRPr="00FC71BE">
        <w:rPr>
          <w:szCs w:val="20"/>
        </w:rPr>
        <w:t xml:space="preserve">. It is worth noting that, the gravity needs to be considered in the model and its direction is perpendicular to the rotor shaft as shown in </w:t>
      </w:r>
      <w:r w:rsidR="0092122F" w:rsidRPr="00FC71BE">
        <w:fldChar w:fldCharType="begin"/>
      </w:r>
      <w:r w:rsidR="0092122F" w:rsidRPr="00FC71BE">
        <w:instrText xml:space="preserve"> REF _Ref148294221 \h </w:instrText>
      </w:r>
      <w:r w:rsidR="0092122F" w:rsidRPr="00FC71BE">
        <w:fldChar w:fldCharType="separate"/>
      </w:r>
      <w:r w:rsidR="007E62C1" w:rsidRPr="00FC71BE">
        <w:t xml:space="preserve">Fig. </w:t>
      </w:r>
      <w:r w:rsidR="007E62C1" w:rsidRPr="00FC71BE">
        <w:rPr>
          <w:noProof/>
        </w:rPr>
        <w:t>5</w:t>
      </w:r>
      <w:r w:rsidR="007E62C1" w:rsidRPr="00FC71BE">
        <w:t>.</w:t>
      </w:r>
      <w:r w:rsidR="007E62C1" w:rsidRPr="00FC71BE">
        <w:rPr>
          <w:noProof/>
        </w:rPr>
        <w:t>1</w:t>
      </w:r>
      <w:r w:rsidR="0092122F" w:rsidRPr="00FC71BE">
        <w:fldChar w:fldCharType="end"/>
      </w:r>
      <w:r w:rsidRPr="00FC71BE">
        <w:t xml:space="preserve"> (a). The ferrofluid will be filled in all the stator end-winding regions. To prevent the ferrofluid from leaking to the rotor end space, carbon sleeves are used to separate the stator and rotor end spaces.</w:t>
      </w:r>
    </w:p>
    <w:p w14:paraId="02A0C0FD" w14:textId="4C6FBA92" w:rsidR="00406EF8" w:rsidRPr="00FC71BE" w:rsidRDefault="00406EF8" w:rsidP="00406EF8">
      <w:pPr>
        <w:pStyle w:val="Tabletitle"/>
        <w:rPr>
          <w:color w:val="auto"/>
        </w:rPr>
      </w:pPr>
      <w:bookmarkStart w:id="298" w:name="_Ref148289557"/>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1</w:t>
      </w:r>
      <w:r w:rsidR="002839C4" w:rsidRPr="00FC71BE">
        <w:rPr>
          <w:color w:val="auto"/>
        </w:rPr>
        <w:fldChar w:fldCharType="end"/>
      </w:r>
      <w:bookmarkEnd w:id="298"/>
      <w:r w:rsidRPr="00FC71BE">
        <w:rPr>
          <w:color w:val="auto"/>
        </w:rPr>
        <w:t xml:space="preserve">  Parameters of the PMSM Machine</w:t>
      </w:r>
    </w:p>
    <w:tbl>
      <w:tblPr>
        <w:tblStyle w:val="TableGrid1"/>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3518"/>
        <w:gridCol w:w="889"/>
        <w:gridCol w:w="3731"/>
        <w:gridCol w:w="888"/>
      </w:tblGrid>
      <w:tr w:rsidR="00FC71BE" w:rsidRPr="00FC71BE" w14:paraId="075E5E7C" w14:textId="77777777">
        <w:tc>
          <w:tcPr>
            <w:tcW w:w="1948" w:type="pct"/>
            <w:vAlign w:val="center"/>
          </w:tcPr>
          <w:p w14:paraId="6C186028" w14:textId="77777777" w:rsidR="00406EF8" w:rsidRPr="00FC71BE" w:rsidRDefault="00406EF8" w:rsidP="00916C33">
            <w:pPr>
              <w:pStyle w:val="Table"/>
              <w:rPr>
                <w:color w:val="auto"/>
              </w:rPr>
            </w:pPr>
            <w:r w:rsidRPr="00FC71BE">
              <w:rPr>
                <w:color w:val="auto"/>
              </w:rPr>
              <w:t>Slot number</w:t>
            </w:r>
          </w:p>
        </w:tc>
        <w:tc>
          <w:tcPr>
            <w:tcW w:w="492" w:type="pct"/>
            <w:vAlign w:val="center"/>
          </w:tcPr>
          <w:p w14:paraId="7E2DCBDA" w14:textId="77777777" w:rsidR="00406EF8" w:rsidRPr="00FC71BE" w:rsidRDefault="00406EF8" w:rsidP="00916C33">
            <w:pPr>
              <w:pStyle w:val="Table"/>
              <w:rPr>
                <w:color w:val="auto"/>
              </w:rPr>
            </w:pPr>
            <w:r w:rsidRPr="00FC71BE">
              <w:rPr>
                <w:color w:val="auto"/>
              </w:rPr>
              <w:t>12</w:t>
            </w:r>
          </w:p>
        </w:tc>
        <w:tc>
          <w:tcPr>
            <w:tcW w:w="2067" w:type="pct"/>
            <w:vAlign w:val="center"/>
          </w:tcPr>
          <w:p w14:paraId="3DF25B90" w14:textId="77777777" w:rsidR="00406EF8" w:rsidRPr="00FC71BE" w:rsidRDefault="00406EF8" w:rsidP="00916C33">
            <w:pPr>
              <w:pStyle w:val="Table"/>
              <w:rPr>
                <w:color w:val="auto"/>
              </w:rPr>
            </w:pPr>
            <w:r w:rsidRPr="00FC71BE">
              <w:rPr>
                <w:color w:val="auto"/>
              </w:rPr>
              <w:t>Stack length (mm)</w:t>
            </w:r>
          </w:p>
        </w:tc>
        <w:tc>
          <w:tcPr>
            <w:tcW w:w="492" w:type="pct"/>
            <w:vAlign w:val="center"/>
          </w:tcPr>
          <w:p w14:paraId="15AF7669" w14:textId="77777777" w:rsidR="00406EF8" w:rsidRPr="00FC71BE" w:rsidRDefault="00406EF8" w:rsidP="00916C33">
            <w:pPr>
              <w:pStyle w:val="Table"/>
              <w:rPr>
                <w:color w:val="auto"/>
              </w:rPr>
            </w:pPr>
            <w:r w:rsidRPr="00FC71BE">
              <w:rPr>
                <w:color w:val="auto"/>
              </w:rPr>
              <w:t>50</w:t>
            </w:r>
          </w:p>
        </w:tc>
      </w:tr>
      <w:tr w:rsidR="00FC71BE" w:rsidRPr="00FC71BE" w14:paraId="339D6327" w14:textId="77777777">
        <w:tc>
          <w:tcPr>
            <w:tcW w:w="1948" w:type="pct"/>
            <w:vAlign w:val="center"/>
          </w:tcPr>
          <w:p w14:paraId="4A5B6156" w14:textId="77777777" w:rsidR="00406EF8" w:rsidRPr="00FC71BE" w:rsidRDefault="00406EF8" w:rsidP="00916C33">
            <w:pPr>
              <w:pStyle w:val="Table"/>
              <w:rPr>
                <w:color w:val="auto"/>
              </w:rPr>
            </w:pPr>
            <w:r w:rsidRPr="00FC71BE">
              <w:rPr>
                <w:color w:val="auto"/>
              </w:rPr>
              <w:t>Pole number</w:t>
            </w:r>
          </w:p>
        </w:tc>
        <w:tc>
          <w:tcPr>
            <w:tcW w:w="492" w:type="pct"/>
            <w:vAlign w:val="center"/>
          </w:tcPr>
          <w:p w14:paraId="2EB1F31D" w14:textId="77777777" w:rsidR="00406EF8" w:rsidRPr="00FC71BE" w:rsidRDefault="00406EF8" w:rsidP="00916C33">
            <w:pPr>
              <w:pStyle w:val="Table"/>
              <w:rPr>
                <w:color w:val="auto"/>
              </w:rPr>
            </w:pPr>
            <w:r w:rsidRPr="00FC71BE">
              <w:rPr>
                <w:color w:val="auto"/>
              </w:rPr>
              <w:t>14</w:t>
            </w:r>
          </w:p>
        </w:tc>
        <w:tc>
          <w:tcPr>
            <w:tcW w:w="2067" w:type="pct"/>
            <w:vAlign w:val="center"/>
          </w:tcPr>
          <w:p w14:paraId="7BC87553" w14:textId="77777777" w:rsidR="00406EF8" w:rsidRPr="00FC71BE" w:rsidRDefault="00406EF8" w:rsidP="00916C33">
            <w:pPr>
              <w:pStyle w:val="Table"/>
              <w:rPr>
                <w:color w:val="auto"/>
              </w:rPr>
            </w:pPr>
            <w:r w:rsidRPr="00FC71BE">
              <w:rPr>
                <w:color w:val="auto"/>
              </w:rPr>
              <w:t>End-winding overhang (mm)</w:t>
            </w:r>
          </w:p>
        </w:tc>
        <w:tc>
          <w:tcPr>
            <w:tcW w:w="492" w:type="pct"/>
            <w:vAlign w:val="center"/>
          </w:tcPr>
          <w:p w14:paraId="5449F088" w14:textId="77777777" w:rsidR="00406EF8" w:rsidRPr="00FC71BE" w:rsidRDefault="00406EF8" w:rsidP="00916C33">
            <w:pPr>
              <w:pStyle w:val="Table"/>
              <w:rPr>
                <w:color w:val="auto"/>
              </w:rPr>
            </w:pPr>
            <w:r w:rsidRPr="00FC71BE">
              <w:rPr>
                <w:color w:val="auto"/>
              </w:rPr>
              <w:t>20</w:t>
            </w:r>
          </w:p>
        </w:tc>
      </w:tr>
      <w:tr w:rsidR="00FC71BE" w:rsidRPr="00FC71BE" w14:paraId="19884870" w14:textId="77777777">
        <w:tc>
          <w:tcPr>
            <w:tcW w:w="1948" w:type="pct"/>
            <w:vAlign w:val="center"/>
          </w:tcPr>
          <w:p w14:paraId="37F1AF87" w14:textId="77777777" w:rsidR="00406EF8" w:rsidRPr="00FC71BE" w:rsidRDefault="00406EF8" w:rsidP="00916C33">
            <w:pPr>
              <w:pStyle w:val="Table"/>
              <w:rPr>
                <w:color w:val="auto"/>
              </w:rPr>
            </w:pPr>
            <w:r w:rsidRPr="00FC71BE">
              <w:rPr>
                <w:color w:val="auto"/>
              </w:rPr>
              <w:t>Stator outer radius (mm)</w:t>
            </w:r>
          </w:p>
        </w:tc>
        <w:tc>
          <w:tcPr>
            <w:tcW w:w="492" w:type="pct"/>
            <w:vAlign w:val="center"/>
          </w:tcPr>
          <w:p w14:paraId="4DE79826" w14:textId="77777777" w:rsidR="00406EF8" w:rsidRPr="00FC71BE" w:rsidRDefault="00406EF8" w:rsidP="00916C33">
            <w:pPr>
              <w:pStyle w:val="Table"/>
              <w:rPr>
                <w:color w:val="auto"/>
              </w:rPr>
            </w:pPr>
            <w:r w:rsidRPr="00FC71BE">
              <w:rPr>
                <w:color w:val="auto"/>
              </w:rPr>
              <w:t>50</w:t>
            </w:r>
          </w:p>
        </w:tc>
        <w:tc>
          <w:tcPr>
            <w:tcW w:w="2067" w:type="pct"/>
            <w:vAlign w:val="center"/>
          </w:tcPr>
          <w:p w14:paraId="48C4B5EE" w14:textId="77777777" w:rsidR="00406EF8" w:rsidRPr="00FC71BE" w:rsidRDefault="00406EF8" w:rsidP="00916C33">
            <w:pPr>
              <w:pStyle w:val="Table"/>
              <w:rPr>
                <w:color w:val="auto"/>
              </w:rPr>
            </w:pPr>
            <w:r w:rsidRPr="00FC71BE">
              <w:rPr>
                <w:color w:val="auto"/>
              </w:rPr>
              <w:t>Housing radius (mm)</w:t>
            </w:r>
          </w:p>
        </w:tc>
        <w:tc>
          <w:tcPr>
            <w:tcW w:w="492" w:type="pct"/>
            <w:vAlign w:val="center"/>
          </w:tcPr>
          <w:p w14:paraId="3D845A48" w14:textId="77777777" w:rsidR="00406EF8" w:rsidRPr="00FC71BE" w:rsidRDefault="00406EF8" w:rsidP="00916C33">
            <w:pPr>
              <w:pStyle w:val="Table"/>
              <w:rPr>
                <w:color w:val="auto"/>
              </w:rPr>
            </w:pPr>
            <w:r w:rsidRPr="00FC71BE">
              <w:rPr>
                <w:color w:val="auto"/>
              </w:rPr>
              <w:t>65</w:t>
            </w:r>
          </w:p>
        </w:tc>
      </w:tr>
      <w:tr w:rsidR="00FC71BE" w:rsidRPr="00FC71BE" w14:paraId="21BF8804" w14:textId="77777777">
        <w:tc>
          <w:tcPr>
            <w:tcW w:w="1948" w:type="pct"/>
            <w:vAlign w:val="center"/>
          </w:tcPr>
          <w:p w14:paraId="1C4FA0B8" w14:textId="77777777" w:rsidR="00406EF8" w:rsidRPr="00FC71BE" w:rsidRDefault="00406EF8" w:rsidP="00916C33">
            <w:pPr>
              <w:pStyle w:val="Table"/>
              <w:rPr>
                <w:color w:val="auto"/>
              </w:rPr>
            </w:pPr>
            <w:r w:rsidRPr="00FC71BE">
              <w:rPr>
                <w:color w:val="auto"/>
              </w:rPr>
              <w:t>Stator yoke height (mm)</w:t>
            </w:r>
          </w:p>
        </w:tc>
        <w:tc>
          <w:tcPr>
            <w:tcW w:w="492" w:type="pct"/>
            <w:vAlign w:val="center"/>
          </w:tcPr>
          <w:p w14:paraId="35D576E1" w14:textId="77777777" w:rsidR="00406EF8" w:rsidRPr="00FC71BE" w:rsidRDefault="00406EF8" w:rsidP="00916C33">
            <w:pPr>
              <w:pStyle w:val="Table"/>
              <w:rPr>
                <w:color w:val="auto"/>
              </w:rPr>
            </w:pPr>
            <w:r w:rsidRPr="00FC71BE">
              <w:rPr>
                <w:color w:val="auto"/>
              </w:rPr>
              <w:t>3.7</w:t>
            </w:r>
          </w:p>
        </w:tc>
        <w:tc>
          <w:tcPr>
            <w:tcW w:w="2067" w:type="pct"/>
            <w:vAlign w:val="center"/>
          </w:tcPr>
          <w:p w14:paraId="593E6CE1" w14:textId="77777777" w:rsidR="00406EF8" w:rsidRPr="00FC71BE" w:rsidRDefault="00406EF8" w:rsidP="00916C33">
            <w:pPr>
              <w:pStyle w:val="Table"/>
              <w:rPr>
                <w:color w:val="auto"/>
              </w:rPr>
            </w:pPr>
            <w:r w:rsidRPr="00FC71BE">
              <w:rPr>
                <w:color w:val="auto"/>
              </w:rPr>
              <w:t>Housing length (mm)</w:t>
            </w:r>
          </w:p>
        </w:tc>
        <w:tc>
          <w:tcPr>
            <w:tcW w:w="492" w:type="pct"/>
            <w:vAlign w:val="center"/>
          </w:tcPr>
          <w:p w14:paraId="4AE3D718" w14:textId="77777777" w:rsidR="00406EF8" w:rsidRPr="00FC71BE" w:rsidRDefault="00406EF8" w:rsidP="00916C33">
            <w:pPr>
              <w:pStyle w:val="Table"/>
              <w:rPr>
                <w:color w:val="auto"/>
              </w:rPr>
            </w:pPr>
            <w:r w:rsidRPr="00FC71BE">
              <w:rPr>
                <w:color w:val="auto"/>
              </w:rPr>
              <w:t>120</w:t>
            </w:r>
          </w:p>
        </w:tc>
      </w:tr>
      <w:tr w:rsidR="00FC71BE" w:rsidRPr="00FC71BE" w14:paraId="6049AF50" w14:textId="77777777">
        <w:tc>
          <w:tcPr>
            <w:tcW w:w="1948" w:type="pct"/>
            <w:vAlign w:val="center"/>
          </w:tcPr>
          <w:p w14:paraId="4BD1C231" w14:textId="77777777" w:rsidR="00406EF8" w:rsidRPr="00FC71BE" w:rsidRDefault="00406EF8" w:rsidP="00916C33">
            <w:pPr>
              <w:pStyle w:val="Table"/>
              <w:rPr>
                <w:color w:val="auto"/>
              </w:rPr>
            </w:pPr>
            <w:r w:rsidRPr="00FC71BE">
              <w:rPr>
                <w:color w:val="auto"/>
              </w:rPr>
              <w:t>Tooth width (mm)</w:t>
            </w:r>
          </w:p>
        </w:tc>
        <w:tc>
          <w:tcPr>
            <w:tcW w:w="492" w:type="pct"/>
            <w:vAlign w:val="center"/>
          </w:tcPr>
          <w:p w14:paraId="4913A93E" w14:textId="77777777" w:rsidR="00406EF8" w:rsidRPr="00FC71BE" w:rsidRDefault="00406EF8" w:rsidP="00916C33">
            <w:pPr>
              <w:pStyle w:val="Table"/>
              <w:rPr>
                <w:color w:val="auto"/>
              </w:rPr>
            </w:pPr>
            <w:r w:rsidRPr="00FC71BE">
              <w:rPr>
                <w:color w:val="auto"/>
              </w:rPr>
              <w:t>7.1</w:t>
            </w:r>
          </w:p>
        </w:tc>
        <w:tc>
          <w:tcPr>
            <w:tcW w:w="2067" w:type="pct"/>
            <w:vAlign w:val="center"/>
          </w:tcPr>
          <w:p w14:paraId="12508864" w14:textId="77777777" w:rsidR="00406EF8" w:rsidRPr="00FC71BE" w:rsidRDefault="00406EF8" w:rsidP="00916C33">
            <w:pPr>
              <w:pStyle w:val="Table"/>
              <w:rPr>
                <w:color w:val="auto"/>
              </w:rPr>
            </w:pPr>
            <w:r w:rsidRPr="00FC71BE">
              <w:rPr>
                <w:color w:val="auto"/>
              </w:rPr>
              <w:t>Housing thickness (mm)</w:t>
            </w:r>
          </w:p>
        </w:tc>
        <w:tc>
          <w:tcPr>
            <w:tcW w:w="492" w:type="pct"/>
            <w:vAlign w:val="center"/>
          </w:tcPr>
          <w:p w14:paraId="368D2824" w14:textId="77777777" w:rsidR="00406EF8" w:rsidRPr="00FC71BE" w:rsidRDefault="00406EF8" w:rsidP="00916C33">
            <w:pPr>
              <w:pStyle w:val="Table"/>
              <w:rPr>
                <w:color w:val="auto"/>
              </w:rPr>
            </w:pPr>
            <w:r w:rsidRPr="00FC71BE">
              <w:rPr>
                <w:color w:val="auto"/>
              </w:rPr>
              <w:t>10</w:t>
            </w:r>
          </w:p>
        </w:tc>
      </w:tr>
      <w:tr w:rsidR="00FC71BE" w:rsidRPr="00FC71BE" w14:paraId="78A35D08" w14:textId="77777777">
        <w:tc>
          <w:tcPr>
            <w:tcW w:w="1948" w:type="pct"/>
            <w:vAlign w:val="center"/>
          </w:tcPr>
          <w:p w14:paraId="05D77FC9" w14:textId="77777777" w:rsidR="00406EF8" w:rsidRPr="00FC71BE" w:rsidRDefault="00406EF8" w:rsidP="00916C33">
            <w:pPr>
              <w:pStyle w:val="Table"/>
              <w:rPr>
                <w:color w:val="auto"/>
              </w:rPr>
            </w:pPr>
            <w:r w:rsidRPr="00FC71BE">
              <w:rPr>
                <w:color w:val="auto"/>
              </w:rPr>
              <w:t>Airgap length (mm)</w:t>
            </w:r>
          </w:p>
        </w:tc>
        <w:tc>
          <w:tcPr>
            <w:tcW w:w="492" w:type="pct"/>
            <w:vAlign w:val="center"/>
          </w:tcPr>
          <w:p w14:paraId="374DEED4" w14:textId="77777777" w:rsidR="00406EF8" w:rsidRPr="00FC71BE" w:rsidRDefault="00406EF8" w:rsidP="00916C33">
            <w:pPr>
              <w:pStyle w:val="Table"/>
              <w:rPr>
                <w:color w:val="auto"/>
              </w:rPr>
            </w:pPr>
            <w:r w:rsidRPr="00FC71BE">
              <w:rPr>
                <w:color w:val="auto"/>
              </w:rPr>
              <w:t>1</w:t>
            </w:r>
          </w:p>
        </w:tc>
        <w:tc>
          <w:tcPr>
            <w:tcW w:w="2067" w:type="pct"/>
            <w:vAlign w:val="center"/>
          </w:tcPr>
          <w:p w14:paraId="43D00652" w14:textId="77777777" w:rsidR="00406EF8" w:rsidRPr="00FC71BE" w:rsidRDefault="00406EF8" w:rsidP="00916C33">
            <w:pPr>
              <w:pStyle w:val="Table"/>
              <w:rPr>
                <w:color w:val="auto"/>
              </w:rPr>
            </w:pPr>
            <w:r w:rsidRPr="00FC71BE">
              <w:rPr>
                <w:color w:val="auto"/>
              </w:rPr>
              <w:t>Number of coils per phase</w:t>
            </w:r>
          </w:p>
        </w:tc>
        <w:tc>
          <w:tcPr>
            <w:tcW w:w="492" w:type="pct"/>
            <w:vAlign w:val="center"/>
          </w:tcPr>
          <w:p w14:paraId="1E8F4052" w14:textId="77777777" w:rsidR="00406EF8" w:rsidRPr="00FC71BE" w:rsidRDefault="00406EF8" w:rsidP="00916C33">
            <w:pPr>
              <w:pStyle w:val="Table"/>
              <w:rPr>
                <w:color w:val="auto"/>
              </w:rPr>
            </w:pPr>
            <w:r w:rsidRPr="00FC71BE">
              <w:rPr>
                <w:color w:val="auto"/>
              </w:rPr>
              <w:t>132</w:t>
            </w:r>
          </w:p>
        </w:tc>
      </w:tr>
      <w:tr w:rsidR="00FC71BE" w:rsidRPr="00FC71BE" w14:paraId="45A90DB2" w14:textId="77777777">
        <w:tc>
          <w:tcPr>
            <w:tcW w:w="1948" w:type="pct"/>
            <w:vAlign w:val="center"/>
          </w:tcPr>
          <w:p w14:paraId="2E34F48B" w14:textId="77777777" w:rsidR="00406EF8" w:rsidRPr="00FC71BE" w:rsidRDefault="00406EF8" w:rsidP="00916C33">
            <w:pPr>
              <w:pStyle w:val="Table"/>
              <w:rPr>
                <w:color w:val="auto"/>
              </w:rPr>
            </w:pPr>
            <w:r w:rsidRPr="00FC71BE">
              <w:rPr>
                <w:color w:val="auto"/>
              </w:rPr>
              <w:t>Rotor outer radius (mm)</w:t>
            </w:r>
          </w:p>
        </w:tc>
        <w:tc>
          <w:tcPr>
            <w:tcW w:w="492" w:type="pct"/>
            <w:vAlign w:val="center"/>
          </w:tcPr>
          <w:p w14:paraId="40963D0E" w14:textId="77777777" w:rsidR="00406EF8" w:rsidRPr="00FC71BE" w:rsidRDefault="00406EF8" w:rsidP="00916C33">
            <w:pPr>
              <w:pStyle w:val="Table"/>
              <w:rPr>
                <w:color w:val="auto"/>
              </w:rPr>
            </w:pPr>
            <w:r w:rsidRPr="00FC71BE">
              <w:rPr>
                <w:color w:val="auto"/>
              </w:rPr>
              <w:t>27.5</w:t>
            </w:r>
          </w:p>
        </w:tc>
        <w:tc>
          <w:tcPr>
            <w:tcW w:w="2067" w:type="pct"/>
            <w:vAlign w:val="center"/>
          </w:tcPr>
          <w:p w14:paraId="5EB123A4" w14:textId="77777777" w:rsidR="00406EF8" w:rsidRPr="00FC71BE" w:rsidRDefault="00406EF8" w:rsidP="00916C33">
            <w:pPr>
              <w:pStyle w:val="Table"/>
              <w:rPr>
                <w:color w:val="auto"/>
              </w:rPr>
            </w:pPr>
            <w:r w:rsidRPr="00FC71BE">
              <w:rPr>
                <w:color w:val="auto"/>
              </w:rPr>
              <w:t>Wire diameter (mm)</w:t>
            </w:r>
          </w:p>
        </w:tc>
        <w:tc>
          <w:tcPr>
            <w:tcW w:w="492" w:type="pct"/>
            <w:vAlign w:val="center"/>
          </w:tcPr>
          <w:p w14:paraId="4CB13773" w14:textId="77777777" w:rsidR="00406EF8" w:rsidRPr="00FC71BE" w:rsidRDefault="00406EF8" w:rsidP="00916C33">
            <w:pPr>
              <w:pStyle w:val="Table"/>
              <w:rPr>
                <w:color w:val="auto"/>
              </w:rPr>
            </w:pPr>
            <w:r w:rsidRPr="00FC71BE">
              <w:rPr>
                <w:color w:val="auto"/>
              </w:rPr>
              <w:t>1.32</w:t>
            </w:r>
          </w:p>
        </w:tc>
      </w:tr>
      <w:tr w:rsidR="00FC71BE" w:rsidRPr="00FC71BE" w14:paraId="669D6A09" w14:textId="77777777">
        <w:tc>
          <w:tcPr>
            <w:tcW w:w="1948" w:type="pct"/>
            <w:tcBorders>
              <w:bottom w:val="nil"/>
            </w:tcBorders>
            <w:vAlign w:val="center"/>
          </w:tcPr>
          <w:p w14:paraId="017F341E" w14:textId="77777777" w:rsidR="00406EF8" w:rsidRPr="00FC71BE" w:rsidRDefault="00406EF8" w:rsidP="00916C33">
            <w:pPr>
              <w:pStyle w:val="Table"/>
              <w:rPr>
                <w:color w:val="auto"/>
              </w:rPr>
            </w:pPr>
            <w:r w:rsidRPr="00FC71BE">
              <w:rPr>
                <w:color w:val="auto"/>
              </w:rPr>
              <w:t>Rotor yoke thickness (mm)</w:t>
            </w:r>
          </w:p>
        </w:tc>
        <w:tc>
          <w:tcPr>
            <w:tcW w:w="492" w:type="pct"/>
            <w:tcBorders>
              <w:bottom w:val="nil"/>
            </w:tcBorders>
            <w:vAlign w:val="center"/>
          </w:tcPr>
          <w:p w14:paraId="07FF1D32" w14:textId="77777777" w:rsidR="00406EF8" w:rsidRPr="00FC71BE" w:rsidRDefault="00406EF8" w:rsidP="00916C33">
            <w:pPr>
              <w:pStyle w:val="Table"/>
              <w:rPr>
                <w:color w:val="auto"/>
              </w:rPr>
            </w:pPr>
            <w:r w:rsidRPr="00FC71BE">
              <w:rPr>
                <w:color w:val="auto"/>
              </w:rPr>
              <w:t>15.5</w:t>
            </w:r>
          </w:p>
        </w:tc>
        <w:tc>
          <w:tcPr>
            <w:tcW w:w="2067" w:type="pct"/>
            <w:tcBorders>
              <w:bottom w:val="nil"/>
            </w:tcBorders>
            <w:vAlign w:val="center"/>
          </w:tcPr>
          <w:p w14:paraId="610FC6C7" w14:textId="77777777" w:rsidR="00406EF8" w:rsidRPr="00FC71BE" w:rsidRDefault="00406EF8" w:rsidP="00916C33">
            <w:pPr>
              <w:pStyle w:val="Table"/>
              <w:rPr>
                <w:color w:val="auto"/>
              </w:rPr>
            </w:pPr>
            <w:r w:rsidRPr="00FC71BE">
              <w:rPr>
                <w:color w:val="auto"/>
              </w:rPr>
              <w:t>Current density (</w:t>
            </w:r>
            <m:oMath>
              <m:f>
                <m:fPr>
                  <m:type m:val="lin"/>
                  <m:ctrlPr>
                    <w:rPr>
                      <w:rFonts w:ascii="Cambria Math" w:hAnsi="Cambria Math"/>
                      <w:color w:val="auto"/>
                    </w:rPr>
                  </m:ctrlPr>
                </m:fPr>
                <m:num>
                  <m:r>
                    <m:rPr>
                      <m:sty m:val="p"/>
                    </m:rPr>
                    <w:rPr>
                      <w:rFonts w:ascii="Cambria Math" w:hAnsi="Cambria Math"/>
                      <w:color w:val="auto"/>
                    </w:rPr>
                    <m:t>A</m:t>
                  </m:r>
                </m:num>
                <m:den>
                  <m:sSup>
                    <m:sSupPr>
                      <m:ctrlPr>
                        <w:rPr>
                          <w:rFonts w:ascii="Cambria Math" w:hAnsi="Cambria Math"/>
                          <w:color w:val="auto"/>
                        </w:rPr>
                      </m:ctrlPr>
                    </m:sSupPr>
                    <m:e>
                      <m:r>
                        <m:rPr>
                          <m:sty m:val="p"/>
                        </m:rPr>
                        <w:rPr>
                          <w:rFonts w:ascii="Cambria Math" w:hAnsi="Cambria Math"/>
                          <w:color w:val="auto"/>
                        </w:rPr>
                        <m:t>mm</m:t>
                      </m:r>
                    </m:e>
                    <m:sup>
                      <m:r>
                        <m:rPr>
                          <m:sty m:val="p"/>
                        </m:rPr>
                        <w:rPr>
                          <w:rFonts w:ascii="Cambria Math" w:hAnsi="Cambria Math"/>
                          <w:color w:val="auto"/>
                        </w:rPr>
                        <m:t>2</m:t>
                      </m:r>
                    </m:sup>
                  </m:sSup>
                </m:den>
              </m:f>
            </m:oMath>
            <w:r w:rsidRPr="00FC71BE">
              <w:rPr>
                <w:color w:val="auto"/>
              </w:rPr>
              <w:t>)</w:t>
            </w:r>
          </w:p>
        </w:tc>
        <w:tc>
          <w:tcPr>
            <w:tcW w:w="492" w:type="pct"/>
            <w:tcBorders>
              <w:bottom w:val="nil"/>
            </w:tcBorders>
            <w:vAlign w:val="center"/>
          </w:tcPr>
          <w:p w14:paraId="3549ADCD" w14:textId="77777777" w:rsidR="00406EF8" w:rsidRPr="00FC71BE" w:rsidRDefault="00406EF8" w:rsidP="00916C33">
            <w:pPr>
              <w:pStyle w:val="Table"/>
              <w:rPr>
                <w:color w:val="auto"/>
              </w:rPr>
            </w:pPr>
            <w:r w:rsidRPr="00FC71BE">
              <w:rPr>
                <w:color w:val="auto"/>
              </w:rPr>
              <w:t>18.4</w:t>
            </w:r>
          </w:p>
        </w:tc>
      </w:tr>
      <w:tr w:rsidR="00FC71BE" w:rsidRPr="00FC71BE" w14:paraId="697F7C87" w14:textId="77777777">
        <w:trPr>
          <w:trHeight w:val="170"/>
        </w:trPr>
        <w:tc>
          <w:tcPr>
            <w:tcW w:w="1948" w:type="pct"/>
            <w:tcBorders>
              <w:top w:val="nil"/>
              <w:bottom w:val="nil"/>
            </w:tcBorders>
            <w:vAlign w:val="center"/>
          </w:tcPr>
          <w:p w14:paraId="3FF9CFEF" w14:textId="77777777" w:rsidR="00406EF8" w:rsidRPr="00FC71BE" w:rsidRDefault="00406EF8" w:rsidP="00916C33">
            <w:pPr>
              <w:pStyle w:val="Table"/>
              <w:rPr>
                <w:color w:val="auto"/>
              </w:rPr>
            </w:pPr>
            <w:r w:rsidRPr="00FC71BE">
              <w:rPr>
                <w:color w:val="auto"/>
              </w:rPr>
              <w:t>Magnet thickness (mm)</w:t>
            </w:r>
          </w:p>
        </w:tc>
        <w:tc>
          <w:tcPr>
            <w:tcW w:w="492" w:type="pct"/>
            <w:tcBorders>
              <w:top w:val="nil"/>
              <w:bottom w:val="nil"/>
            </w:tcBorders>
            <w:vAlign w:val="center"/>
          </w:tcPr>
          <w:p w14:paraId="6DAAD68B" w14:textId="77777777" w:rsidR="00406EF8" w:rsidRPr="00FC71BE" w:rsidRDefault="00406EF8" w:rsidP="00916C33">
            <w:pPr>
              <w:pStyle w:val="Table"/>
              <w:rPr>
                <w:color w:val="auto"/>
              </w:rPr>
            </w:pPr>
            <w:r w:rsidRPr="00FC71BE">
              <w:rPr>
                <w:color w:val="auto"/>
              </w:rPr>
              <w:t>3</w:t>
            </w:r>
          </w:p>
        </w:tc>
        <w:tc>
          <w:tcPr>
            <w:tcW w:w="2067" w:type="pct"/>
            <w:tcBorders>
              <w:top w:val="nil"/>
              <w:bottom w:val="nil"/>
            </w:tcBorders>
            <w:vAlign w:val="center"/>
          </w:tcPr>
          <w:p w14:paraId="4DF580B7" w14:textId="77777777" w:rsidR="00406EF8" w:rsidRPr="00FC71BE" w:rsidRDefault="00406EF8" w:rsidP="00916C33">
            <w:pPr>
              <w:pStyle w:val="Table"/>
              <w:rPr>
                <w:color w:val="auto"/>
              </w:rPr>
            </w:pPr>
            <w:r w:rsidRPr="00FC71BE">
              <w:rPr>
                <w:color w:val="auto"/>
              </w:rPr>
              <w:t>Rated speed (rpm)</w:t>
            </w:r>
          </w:p>
        </w:tc>
        <w:tc>
          <w:tcPr>
            <w:tcW w:w="492" w:type="pct"/>
            <w:tcBorders>
              <w:top w:val="nil"/>
              <w:bottom w:val="nil"/>
            </w:tcBorders>
            <w:vAlign w:val="center"/>
          </w:tcPr>
          <w:p w14:paraId="5E57CDD0" w14:textId="77777777" w:rsidR="00406EF8" w:rsidRPr="00FC71BE" w:rsidRDefault="00406EF8" w:rsidP="00916C33">
            <w:pPr>
              <w:pStyle w:val="Table"/>
              <w:rPr>
                <w:color w:val="auto"/>
              </w:rPr>
            </w:pPr>
            <w:r w:rsidRPr="00FC71BE">
              <w:rPr>
                <w:color w:val="auto"/>
              </w:rPr>
              <w:t>400</w:t>
            </w:r>
          </w:p>
        </w:tc>
      </w:tr>
      <w:tr w:rsidR="005E3DFE" w:rsidRPr="00FC71BE" w14:paraId="283D15B3" w14:textId="77777777">
        <w:trPr>
          <w:trHeight w:val="170"/>
        </w:trPr>
        <w:tc>
          <w:tcPr>
            <w:tcW w:w="1948" w:type="pct"/>
            <w:tcBorders>
              <w:top w:val="nil"/>
              <w:bottom w:val="double" w:sz="6" w:space="0" w:color="auto"/>
            </w:tcBorders>
            <w:vAlign w:val="center"/>
          </w:tcPr>
          <w:p w14:paraId="5AD92A52" w14:textId="77777777" w:rsidR="00406EF8" w:rsidRPr="00FC71BE" w:rsidRDefault="00406EF8" w:rsidP="00916C33">
            <w:pPr>
              <w:pStyle w:val="Table"/>
              <w:rPr>
                <w:color w:val="auto"/>
              </w:rPr>
            </w:pPr>
            <w:r w:rsidRPr="00FC71BE">
              <w:rPr>
                <w:color w:val="auto"/>
              </w:rPr>
              <w:t>Magnet remanence (T)</w:t>
            </w:r>
          </w:p>
        </w:tc>
        <w:tc>
          <w:tcPr>
            <w:tcW w:w="492" w:type="pct"/>
            <w:tcBorders>
              <w:top w:val="nil"/>
              <w:bottom w:val="double" w:sz="6" w:space="0" w:color="auto"/>
            </w:tcBorders>
            <w:vAlign w:val="center"/>
          </w:tcPr>
          <w:p w14:paraId="58397F7A" w14:textId="77777777" w:rsidR="00406EF8" w:rsidRPr="00FC71BE" w:rsidRDefault="00406EF8" w:rsidP="00916C33">
            <w:pPr>
              <w:pStyle w:val="Table"/>
              <w:rPr>
                <w:color w:val="auto"/>
              </w:rPr>
            </w:pPr>
            <w:r w:rsidRPr="00FC71BE">
              <w:rPr>
                <w:color w:val="auto"/>
              </w:rPr>
              <w:t>1.2</w:t>
            </w:r>
          </w:p>
        </w:tc>
        <w:tc>
          <w:tcPr>
            <w:tcW w:w="2067" w:type="pct"/>
            <w:tcBorders>
              <w:top w:val="nil"/>
              <w:bottom w:val="double" w:sz="6" w:space="0" w:color="auto"/>
            </w:tcBorders>
            <w:vAlign w:val="center"/>
          </w:tcPr>
          <w:p w14:paraId="30DC568B" w14:textId="77777777" w:rsidR="00406EF8" w:rsidRPr="00FC71BE" w:rsidRDefault="00406EF8" w:rsidP="00916C33">
            <w:pPr>
              <w:pStyle w:val="Table"/>
              <w:rPr>
                <w:color w:val="auto"/>
              </w:rPr>
            </w:pPr>
          </w:p>
        </w:tc>
        <w:tc>
          <w:tcPr>
            <w:tcW w:w="492" w:type="pct"/>
            <w:tcBorders>
              <w:top w:val="nil"/>
              <w:bottom w:val="double" w:sz="6" w:space="0" w:color="auto"/>
            </w:tcBorders>
            <w:vAlign w:val="center"/>
          </w:tcPr>
          <w:p w14:paraId="0FF0E991" w14:textId="77777777" w:rsidR="00406EF8" w:rsidRPr="00FC71BE" w:rsidRDefault="00406EF8" w:rsidP="00916C33">
            <w:pPr>
              <w:pStyle w:val="Table"/>
              <w:rPr>
                <w:color w:val="auto"/>
              </w:rPr>
            </w:pPr>
          </w:p>
        </w:tc>
      </w:tr>
    </w:tbl>
    <w:p w14:paraId="4A764C71" w14:textId="77777777" w:rsidR="00406EF8" w:rsidRPr="00FC71BE" w:rsidRDefault="00406EF8" w:rsidP="00406EF8"/>
    <w:p w14:paraId="375F71C7" w14:textId="77777777" w:rsidR="00406EF8" w:rsidRPr="00FC71BE" w:rsidRDefault="00406EF8" w:rsidP="00B86C68">
      <w:pPr>
        <w:pStyle w:val="Heading3"/>
        <w:numPr>
          <w:ilvl w:val="2"/>
          <w:numId w:val="49"/>
        </w:numPr>
      </w:pPr>
      <w:bookmarkStart w:id="299" w:name="_Toc157695387"/>
      <w:r w:rsidRPr="00FC71BE">
        <w:t>Ferrofluid Properties</w:t>
      </w:r>
      <w:bookmarkEnd w:id="299"/>
    </w:p>
    <w:p w14:paraId="639CBA41" w14:textId="5E8CC187" w:rsidR="00406EF8" w:rsidRPr="00FC71BE" w:rsidRDefault="00406EF8" w:rsidP="00406EF8">
      <w:r w:rsidRPr="00FC71BE">
        <w:t xml:space="preserve">The ferrofluid used in the simulations in this chapter is the same as that used by </w:t>
      </w:r>
      <w:r w:rsidRPr="00FC71BE">
        <w:rPr>
          <w:rFonts w:cs="Times New Roman"/>
        </w:rPr>
        <w:t xml:space="preserve">S. Nasser El Dine </w:t>
      </w:r>
      <w:r w:rsidRPr="00FC71BE">
        <w:rPr>
          <w:rFonts w:cs="Times New Roman"/>
          <w:i/>
          <w:iCs/>
        </w:rPr>
        <w:t>et al</w:t>
      </w:r>
      <w:r w:rsidRPr="00FC71BE">
        <w:t xml:space="preserve"> in </w:t>
      </w:r>
      <w:r w:rsidRPr="00FC71BE">
        <w:fldChar w:fldCharType="begin"/>
      </w:r>
      <w:r w:rsidR="00BA33ED" w:rsidRPr="00FC71BE">
        <w:instrText xml:space="preserve"> ADDIN EN.CITE &lt;EndNote&gt;&lt;Cite&gt;&lt;Author&gt;El Dine&lt;/Author&gt;&lt;Year&gt;2019&lt;/Year&gt;&lt;RecNum&gt;50&lt;/RecNum&gt;&lt;DisplayText&gt;[185]&lt;/DisplayText&gt;&lt;record&gt;&lt;rec-number&gt;50&lt;/rec-number&gt;&lt;foreign-keys&gt;&lt;key app="EN" db-id="rf2p5e05jx0x9jep00uvx0s1fvaww2dfa0r9" timestamp="1690836228"&gt;50&lt;/key&gt;&lt;/foreign-keys&gt;&lt;ref-type name="Journal Article"&gt;17&lt;/ref-type&gt;&lt;contributors&gt;&lt;authors&gt;&lt;author&gt;El Dine, Sleimane Nasser&lt;/author&gt;&lt;author&gt;Mininger, Xavier&lt;/author&gt;&lt;author&gt;Nore, Caroline&lt;/author&gt;&lt;author&gt;Zanella, Raphaël&lt;/author&gt;&lt;author&gt;Bouillault, Frédéric&lt;/author&gt;&lt;author&gt;Guermond, Jean-Luc&lt;/author&gt;&lt;/authors&gt;&lt;/contributors&gt;&lt;titles&gt;&lt;title&gt;Impact of magnets on ferrofluid cooling process: Experimental and numerical approaches&lt;/title&gt;&lt;secondary-title&gt;IEEE Transactions on Magnetics&lt;/secondary-title&gt;&lt;/titles&gt;&lt;periodical&gt;&lt;full-title&gt;IEEE Transactions on Magnetics&lt;/full-title&gt;&lt;/periodical&gt;&lt;pages&gt;1-4&lt;/pages&gt;&lt;volume&gt;56&lt;/volume&gt;&lt;number&gt;1&lt;/number&gt;&lt;dates&gt;&lt;year&gt;2019&lt;/year&gt;&lt;/dates&gt;&lt;isbn&gt;0018-9464&lt;/isbn&gt;&lt;urls&gt;&lt;/urls&gt;&lt;/record&gt;&lt;/Cite&gt;&lt;/EndNote&gt;</w:instrText>
      </w:r>
      <w:r w:rsidRPr="00FC71BE">
        <w:fldChar w:fldCharType="separate"/>
      </w:r>
      <w:r w:rsidR="00BA33ED" w:rsidRPr="00FC71BE">
        <w:t>[185]</w:t>
      </w:r>
      <w:r w:rsidRPr="00FC71BE">
        <w:fldChar w:fldCharType="end"/>
      </w:r>
      <w:r w:rsidRPr="00FC71BE">
        <w:t xml:space="preserve">. The liquid base for the ferrofluid is vegetable oil. The parameters of the ferrofluid are listed in </w:t>
      </w:r>
      <w:r w:rsidRPr="00FC71BE">
        <w:fldChar w:fldCharType="begin"/>
      </w:r>
      <w:r w:rsidRPr="00FC71BE">
        <w:instrText xml:space="preserve"> REF _Ref141102034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2</w:t>
      </w:r>
      <w:r w:rsidRPr="00FC71BE">
        <w:fldChar w:fldCharType="end"/>
      </w:r>
      <w:r w:rsidRPr="00FC71BE">
        <w:t>.</w:t>
      </w:r>
    </w:p>
    <w:p w14:paraId="0EA23D16" w14:textId="0C8E1818" w:rsidR="00406EF8" w:rsidRPr="00FC71BE" w:rsidRDefault="00406EF8" w:rsidP="00406EF8">
      <w:pPr>
        <w:pStyle w:val="Tabletitle"/>
        <w:rPr>
          <w:color w:val="auto"/>
        </w:rPr>
      </w:pPr>
      <w:bookmarkStart w:id="300" w:name="_Ref141102034"/>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2</w:t>
      </w:r>
      <w:r w:rsidR="002839C4" w:rsidRPr="00FC71BE">
        <w:rPr>
          <w:color w:val="auto"/>
        </w:rPr>
        <w:fldChar w:fldCharType="end"/>
      </w:r>
      <w:bookmarkEnd w:id="300"/>
      <w:r w:rsidRPr="00FC71BE">
        <w:rPr>
          <w:color w:val="auto"/>
        </w:rPr>
        <w:t xml:space="preserve">  Parameters of the Ferrofluid</w:t>
      </w:r>
    </w:p>
    <w:tbl>
      <w:tblPr>
        <w:tblStyle w:val="TableGrid1"/>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4825"/>
        <w:gridCol w:w="4201"/>
      </w:tblGrid>
      <w:tr w:rsidR="00FC71BE" w:rsidRPr="00FC71BE" w14:paraId="4A70BFFE" w14:textId="77777777">
        <w:tc>
          <w:tcPr>
            <w:tcW w:w="2673" w:type="pct"/>
            <w:vAlign w:val="center"/>
          </w:tcPr>
          <w:p w14:paraId="010E36EF" w14:textId="77777777" w:rsidR="00406EF8" w:rsidRPr="00FC71BE" w:rsidRDefault="00406EF8" w:rsidP="00916C33">
            <w:pPr>
              <w:pStyle w:val="Table"/>
              <w:rPr>
                <w:color w:val="auto"/>
              </w:rPr>
            </w:pPr>
            <w:r w:rsidRPr="00FC71BE">
              <w:rPr>
                <w:color w:val="auto"/>
              </w:rPr>
              <w:t>Particle volume fraction (%)</w:t>
            </w:r>
          </w:p>
        </w:tc>
        <w:tc>
          <w:tcPr>
            <w:tcW w:w="2327" w:type="pct"/>
            <w:vAlign w:val="center"/>
          </w:tcPr>
          <w:p w14:paraId="195E1C4F" w14:textId="77777777" w:rsidR="00406EF8" w:rsidRPr="00FC71BE" w:rsidRDefault="00406EF8" w:rsidP="00916C33">
            <w:pPr>
              <w:pStyle w:val="Table"/>
              <w:rPr>
                <w:color w:val="auto"/>
              </w:rPr>
            </w:pPr>
            <w:r w:rsidRPr="00FC71BE">
              <w:rPr>
                <w:color w:val="auto"/>
              </w:rPr>
              <w:t>5.4</w:t>
            </w:r>
          </w:p>
        </w:tc>
      </w:tr>
      <w:tr w:rsidR="00FC71BE" w:rsidRPr="00FC71BE" w14:paraId="6B11EB31" w14:textId="77777777">
        <w:tc>
          <w:tcPr>
            <w:tcW w:w="2673" w:type="pct"/>
            <w:vAlign w:val="center"/>
          </w:tcPr>
          <w:p w14:paraId="62824894" w14:textId="77777777" w:rsidR="00406EF8" w:rsidRPr="00FC71BE" w:rsidRDefault="00406EF8" w:rsidP="00916C33">
            <w:pPr>
              <w:pStyle w:val="Table"/>
              <w:rPr>
                <w:color w:val="auto"/>
              </w:rPr>
            </w:pPr>
            <w:r w:rsidRPr="00FC71BE">
              <w:rPr>
                <w:color w:val="auto"/>
              </w:rPr>
              <w:t>Particle average diameter (nm)</w:t>
            </w:r>
          </w:p>
        </w:tc>
        <w:tc>
          <w:tcPr>
            <w:tcW w:w="2327" w:type="pct"/>
            <w:vAlign w:val="center"/>
          </w:tcPr>
          <w:p w14:paraId="3B273B12" w14:textId="77777777" w:rsidR="00406EF8" w:rsidRPr="00FC71BE" w:rsidRDefault="00406EF8" w:rsidP="00916C33">
            <w:pPr>
              <w:pStyle w:val="Table"/>
              <w:rPr>
                <w:color w:val="auto"/>
              </w:rPr>
            </w:pPr>
            <w:r w:rsidRPr="00FC71BE">
              <w:rPr>
                <w:color w:val="auto"/>
              </w:rPr>
              <w:t>16</w:t>
            </w:r>
          </w:p>
        </w:tc>
      </w:tr>
      <w:tr w:rsidR="00FC71BE" w:rsidRPr="00FC71BE" w14:paraId="6E800070" w14:textId="77777777">
        <w:tc>
          <w:tcPr>
            <w:tcW w:w="2673" w:type="pct"/>
            <w:vAlign w:val="center"/>
          </w:tcPr>
          <w:p w14:paraId="2978A5D9" w14:textId="77777777" w:rsidR="00406EF8" w:rsidRPr="00FC71BE" w:rsidRDefault="00406EF8" w:rsidP="00916C33">
            <w:pPr>
              <w:pStyle w:val="Table"/>
              <w:rPr>
                <w:color w:val="auto"/>
              </w:rPr>
            </w:pPr>
            <w:r w:rsidRPr="00FC71BE">
              <w:rPr>
                <w:color w:val="auto"/>
              </w:rPr>
              <w:t>Magnetization (A/m)</w:t>
            </w:r>
          </w:p>
        </w:tc>
        <w:tc>
          <w:tcPr>
            <w:tcW w:w="2327" w:type="pct"/>
            <w:vAlign w:val="center"/>
          </w:tcPr>
          <w:p w14:paraId="147F30CE" w14:textId="77777777" w:rsidR="00406EF8" w:rsidRPr="00FC71BE" w:rsidRDefault="00406EF8" w:rsidP="00916C33">
            <w:pPr>
              <w:pStyle w:val="Table"/>
              <w:rPr>
                <w:color w:val="auto"/>
              </w:rPr>
            </w:pPr>
            <w:r w:rsidRPr="00FC71BE">
              <w:rPr>
                <w:color w:val="auto"/>
              </w:rPr>
              <w:t>3.87</w:t>
            </w:r>
            <m:oMath>
              <m:r>
                <w:rPr>
                  <w:rFonts w:ascii="Cambria Math" w:hAnsi="Cambria Math"/>
                  <w:color w:val="auto"/>
                </w:rPr>
                <m:t>×</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5</m:t>
                  </m:r>
                </m:sup>
              </m:sSup>
            </m:oMath>
          </w:p>
        </w:tc>
      </w:tr>
      <w:tr w:rsidR="00FC71BE" w:rsidRPr="00FC71BE" w14:paraId="55FAD1F7" w14:textId="77777777">
        <w:tc>
          <w:tcPr>
            <w:tcW w:w="2673" w:type="pct"/>
            <w:vAlign w:val="center"/>
          </w:tcPr>
          <w:p w14:paraId="3F9DABF8" w14:textId="77777777" w:rsidR="00406EF8" w:rsidRPr="00FC71BE" w:rsidRDefault="00406EF8" w:rsidP="00916C33">
            <w:pPr>
              <w:pStyle w:val="Table"/>
              <w:rPr>
                <w:color w:val="auto"/>
              </w:rPr>
            </w:pPr>
            <w:r w:rsidRPr="00FC71BE">
              <w:rPr>
                <w:color w:val="auto"/>
              </w:rPr>
              <w:t>Curie temperature (K)</w:t>
            </w:r>
          </w:p>
        </w:tc>
        <w:tc>
          <w:tcPr>
            <w:tcW w:w="2327" w:type="pct"/>
            <w:vAlign w:val="center"/>
          </w:tcPr>
          <w:p w14:paraId="1EDB167F" w14:textId="77777777" w:rsidR="00406EF8" w:rsidRPr="00FC71BE" w:rsidRDefault="00406EF8" w:rsidP="00916C33">
            <w:pPr>
              <w:pStyle w:val="Table"/>
              <w:rPr>
                <w:color w:val="auto"/>
              </w:rPr>
            </w:pPr>
            <w:r w:rsidRPr="00FC71BE">
              <w:rPr>
                <w:color w:val="auto"/>
              </w:rPr>
              <w:t>793</w:t>
            </w:r>
          </w:p>
        </w:tc>
      </w:tr>
      <w:tr w:rsidR="00FC71BE" w:rsidRPr="00FC71BE" w14:paraId="6D5E5590" w14:textId="77777777">
        <w:tc>
          <w:tcPr>
            <w:tcW w:w="2673" w:type="pct"/>
            <w:vAlign w:val="center"/>
          </w:tcPr>
          <w:p w14:paraId="1255C3AE" w14:textId="77777777" w:rsidR="00406EF8" w:rsidRPr="00FC71BE" w:rsidRDefault="00406EF8" w:rsidP="00916C33">
            <w:pPr>
              <w:pStyle w:val="Table"/>
              <w:rPr>
                <w:color w:val="auto"/>
              </w:rPr>
            </w:pPr>
            <w:r w:rsidRPr="00FC71BE">
              <w:rPr>
                <w:color w:val="auto"/>
              </w:rPr>
              <w:t>Density (</w:t>
            </w:r>
            <m:oMath>
              <m:f>
                <m:fPr>
                  <m:type m:val="lin"/>
                  <m:ctrlPr>
                    <w:rPr>
                      <w:rFonts w:ascii="Cambria Math" w:hAnsi="Cambria Math"/>
                      <w:color w:val="auto"/>
                      <w:lang w:eastAsia="zh-CN"/>
                    </w:rPr>
                  </m:ctrlPr>
                </m:fPr>
                <m:num>
                  <m:r>
                    <m:rPr>
                      <m:sty m:val="p"/>
                    </m:rPr>
                    <w:rPr>
                      <w:rFonts w:ascii="Cambria Math" w:hAnsi="Cambria Math"/>
                      <w:color w:val="auto"/>
                      <w:lang w:eastAsia="zh-CN"/>
                    </w:rPr>
                    <m:t>kg</m:t>
                  </m:r>
                </m:num>
                <m:den>
                  <m:sSup>
                    <m:sSupPr>
                      <m:ctrlPr>
                        <w:rPr>
                          <w:rFonts w:ascii="Cambria Math" w:hAnsi="Cambria Math"/>
                          <w:color w:val="auto"/>
                          <w:lang w:eastAsia="zh-CN"/>
                        </w:rPr>
                      </m:ctrlPr>
                    </m:sSupPr>
                    <m:e>
                      <m:r>
                        <m:rPr>
                          <m:sty m:val="p"/>
                        </m:rPr>
                        <w:rPr>
                          <w:rFonts w:ascii="Cambria Math" w:hAnsi="Cambria Math"/>
                          <w:color w:val="auto"/>
                          <w:lang w:eastAsia="zh-CN"/>
                        </w:rPr>
                        <m:t>m</m:t>
                      </m:r>
                    </m:e>
                    <m:sup>
                      <m:r>
                        <m:rPr>
                          <m:sty m:val="p"/>
                        </m:rPr>
                        <w:rPr>
                          <w:rFonts w:ascii="Cambria Math" w:hAnsi="Cambria Math"/>
                          <w:color w:val="auto"/>
                          <w:lang w:eastAsia="zh-CN"/>
                        </w:rPr>
                        <m:t>3</m:t>
                      </m:r>
                    </m:sup>
                  </m:sSup>
                </m:den>
              </m:f>
            </m:oMath>
            <w:r w:rsidRPr="00FC71BE">
              <w:rPr>
                <w:color w:val="auto"/>
              </w:rPr>
              <w:t>)</w:t>
            </w:r>
          </w:p>
        </w:tc>
        <w:tc>
          <w:tcPr>
            <w:tcW w:w="2327" w:type="pct"/>
            <w:vAlign w:val="center"/>
          </w:tcPr>
          <w:p w14:paraId="7F40A09B" w14:textId="77777777" w:rsidR="00406EF8" w:rsidRPr="00FC71BE" w:rsidRDefault="00406EF8" w:rsidP="00916C33">
            <w:pPr>
              <w:pStyle w:val="Table"/>
              <w:rPr>
                <w:color w:val="auto"/>
              </w:rPr>
            </w:pPr>
            <w:r w:rsidRPr="00FC71BE">
              <w:rPr>
                <w:color w:val="auto"/>
              </w:rPr>
              <w:t>1115</w:t>
            </w:r>
          </w:p>
        </w:tc>
      </w:tr>
      <w:tr w:rsidR="00FC71BE" w:rsidRPr="00FC71BE" w14:paraId="0250F48B" w14:textId="77777777">
        <w:tc>
          <w:tcPr>
            <w:tcW w:w="2673" w:type="pct"/>
            <w:vAlign w:val="center"/>
          </w:tcPr>
          <w:p w14:paraId="57056DDF" w14:textId="77777777" w:rsidR="00406EF8" w:rsidRPr="00FC71BE" w:rsidRDefault="00406EF8" w:rsidP="00916C33">
            <w:pPr>
              <w:pStyle w:val="Table"/>
              <w:rPr>
                <w:color w:val="auto"/>
              </w:rPr>
            </w:pPr>
            <w:r w:rsidRPr="00FC71BE">
              <w:rPr>
                <w:color w:val="auto"/>
              </w:rPr>
              <w:t>Thermal conductivity (</w:t>
            </w:r>
            <m:oMath>
              <m:f>
                <m:fPr>
                  <m:type m:val="lin"/>
                  <m:ctrlPr>
                    <w:rPr>
                      <w:rFonts w:ascii="Cambria Math" w:hAnsi="Cambria Math"/>
                      <w:color w:val="auto"/>
                      <w:lang w:eastAsia="zh-CN"/>
                    </w:rPr>
                  </m:ctrlPr>
                </m:fPr>
                <m:num>
                  <m:r>
                    <m:rPr>
                      <m:sty m:val="p"/>
                    </m:rPr>
                    <w:rPr>
                      <w:rFonts w:ascii="Cambria Math" w:hAnsi="Cambria Math"/>
                      <w:color w:val="auto"/>
                      <w:lang w:eastAsia="zh-CN"/>
                    </w:rPr>
                    <m:t>W</m:t>
                  </m:r>
                </m:num>
                <m:den>
                  <m:r>
                    <m:rPr>
                      <m:sty m:val="p"/>
                    </m:rPr>
                    <w:rPr>
                      <w:rFonts w:ascii="Cambria Math" w:hAnsi="Cambria Math"/>
                      <w:color w:val="auto"/>
                      <w:lang w:eastAsia="zh-CN"/>
                    </w:rPr>
                    <m:t>m∙K</m:t>
                  </m:r>
                </m:den>
              </m:f>
            </m:oMath>
            <w:r w:rsidRPr="00FC71BE">
              <w:rPr>
                <w:color w:val="auto"/>
              </w:rPr>
              <w:t>)</w:t>
            </w:r>
          </w:p>
        </w:tc>
        <w:tc>
          <w:tcPr>
            <w:tcW w:w="2327" w:type="pct"/>
            <w:vAlign w:val="center"/>
          </w:tcPr>
          <w:p w14:paraId="0654E7E5" w14:textId="77777777" w:rsidR="00406EF8" w:rsidRPr="00FC71BE" w:rsidRDefault="00406EF8" w:rsidP="00916C33">
            <w:pPr>
              <w:pStyle w:val="Table"/>
              <w:rPr>
                <w:color w:val="auto"/>
              </w:rPr>
            </w:pPr>
            <w:r w:rsidRPr="00FC71BE">
              <w:rPr>
                <w:color w:val="auto"/>
              </w:rPr>
              <w:t>0.186</w:t>
            </w:r>
          </w:p>
        </w:tc>
      </w:tr>
      <w:tr w:rsidR="00FC71BE" w:rsidRPr="00FC71BE" w14:paraId="0150F634" w14:textId="77777777">
        <w:tc>
          <w:tcPr>
            <w:tcW w:w="2673" w:type="pct"/>
            <w:tcBorders>
              <w:bottom w:val="nil"/>
            </w:tcBorders>
            <w:vAlign w:val="center"/>
          </w:tcPr>
          <w:p w14:paraId="76C21C62" w14:textId="77777777" w:rsidR="00406EF8" w:rsidRPr="00FC71BE" w:rsidRDefault="00406EF8" w:rsidP="00916C33">
            <w:pPr>
              <w:pStyle w:val="Table"/>
              <w:rPr>
                <w:color w:val="auto"/>
              </w:rPr>
            </w:pPr>
            <w:r w:rsidRPr="00FC71BE">
              <w:rPr>
                <w:color w:val="auto"/>
              </w:rPr>
              <w:t>Dynamic viscosity (</w:t>
            </w:r>
            <m:oMath>
              <m:r>
                <m:rPr>
                  <m:sty m:val="p"/>
                </m:rPr>
                <w:rPr>
                  <w:rFonts w:ascii="Cambria Math" w:hAnsi="Cambria Math"/>
                  <w:color w:val="auto"/>
                  <w:lang w:eastAsia="zh-CN"/>
                </w:rPr>
                <m:t>Pa∙s</m:t>
              </m:r>
            </m:oMath>
            <w:r w:rsidRPr="00FC71BE">
              <w:rPr>
                <w:color w:val="auto"/>
              </w:rPr>
              <w:t>)</w:t>
            </w:r>
          </w:p>
        </w:tc>
        <w:tc>
          <w:tcPr>
            <w:tcW w:w="2327" w:type="pct"/>
            <w:tcBorders>
              <w:bottom w:val="nil"/>
            </w:tcBorders>
            <w:vAlign w:val="center"/>
          </w:tcPr>
          <w:p w14:paraId="0FC7DC09" w14:textId="77777777" w:rsidR="00406EF8" w:rsidRPr="00FC71BE" w:rsidRDefault="00406EF8" w:rsidP="00916C33">
            <w:pPr>
              <w:pStyle w:val="Table"/>
              <w:rPr>
                <w:color w:val="auto"/>
              </w:rPr>
            </w:pPr>
            <w:r w:rsidRPr="00FC71BE">
              <w:rPr>
                <w:color w:val="auto"/>
              </w:rPr>
              <w:t>0.0787</w:t>
            </w:r>
          </w:p>
        </w:tc>
      </w:tr>
      <w:tr w:rsidR="005E3DFE" w:rsidRPr="00FC71BE" w14:paraId="2861B3F1" w14:textId="77777777">
        <w:tc>
          <w:tcPr>
            <w:tcW w:w="2673" w:type="pct"/>
            <w:tcBorders>
              <w:top w:val="nil"/>
              <w:bottom w:val="double" w:sz="4" w:space="0" w:color="auto"/>
            </w:tcBorders>
            <w:vAlign w:val="center"/>
          </w:tcPr>
          <w:p w14:paraId="1A01CD75" w14:textId="77777777" w:rsidR="00406EF8" w:rsidRPr="00FC71BE" w:rsidRDefault="00406EF8" w:rsidP="00916C33">
            <w:pPr>
              <w:pStyle w:val="Table"/>
              <w:rPr>
                <w:color w:val="auto"/>
              </w:rPr>
            </w:pPr>
            <w:r w:rsidRPr="00FC71BE">
              <w:rPr>
                <w:color w:val="auto"/>
                <w:lang w:eastAsia="zh-CN"/>
              </w:rPr>
              <w:t>Specific heat capacity (</w:t>
            </w:r>
            <m:oMath>
              <m:f>
                <m:fPr>
                  <m:type m:val="lin"/>
                  <m:ctrlPr>
                    <w:rPr>
                      <w:rFonts w:ascii="Cambria Math" w:hAnsi="Cambria Math" w:cs="Times New Roman"/>
                      <w:color w:val="auto"/>
                      <w:lang w:eastAsia="zh-CN"/>
                    </w:rPr>
                  </m:ctrlPr>
                </m:fPr>
                <m:num>
                  <m:r>
                    <m:rPr>
                      <m:sty m:val="p"/>
                    </m:rPr>
                    <w:rPr>
                      <w:rFonts w:ascii="Cambria Math" w:hAnsi="Cambria Math" w:cs="Times New Roman"/>
                      <w:color w:val="auto"/>
                      <w:lang w:eastAsia="zh-CN"/>
                    </w:rPr>
                    <m:t>J</m:t>
                  </m:r>
                </m:num>
                <m:den>
                  <m:r>
                    <m:rPr>
                      <m:sty m:val="p"/>
                    </m:rPr>
                    <w:rPr>
                      <w:rFonts w:ascii="Cambria Math" w:hAnsi="Cambria Math" w:cs="Times New Roman"/>
                      <w:color w:val="auto"/>
                      <w:lang w:eastAsia="zh-CN"/>
                    </w:rPr>
                    <m:t>kg/K</m:t>
                  </m:r>
                </m:den>
              </m:f>
            </m:oMath>
            <w:r w:rsidRPr="00FC71BE">
              <w:rPr>
                <w:color w:val="auto"/>
                <w:lang w:eastAsia="zh-CN"/>
              </w:rPr>
              <w:t>)</w:t>
            </w:r>
          </w:p>
        </w:tc>
        <w:tc>
          <w:tcPr>
            <w:tcW w:w="2327" w:type="pct"/>
            <w:tcBorders>
              <w:top w:val="nil"/>
              <w:bottom w:val="double" w:sz="4" w:space="0" w:color="auto"/>
            </w:tcBorders>
            <w:vAlign w:val="center"/>
          </w:tcPr>
          <w:p w14:paraId="5233CD8E" w14:textId="77777777" w:rsidR="00406EF8" w:rsidRPr="00FC71BE" w:rsidRDefault="00406EF8" w:rsidP="00916C33">
            <w:pPr>
              <w:pStyle w:val="Table"/>
              <w:rPr>
                <w:color w:val="auto"/>
              </w:rPr>
            </w:pPr>
            <w:r w:rsidRPr="00FC71BE">
              <w:rPr>
                <w:color w:val="auto"/>
                <w:lang w:eastAsia="zh-CN"/>
              </w:rPr>
              <w:t>1.685</w:t>
            </w:r>
            <m:oMath>
              <m:r>
                <m:rPr>
                  <m:sty m:val="p"/>
                </m:rPr>
                <w:rPr>
                  <w:rFonts w:ascii="Cambria Math" w:hAnsi="Cambria Math" w:cs="Times New Roman"/>
                  <w:color w:val="auto"/>
                  <w:lang w:eastAsia="zh-CN"/>
                </w:rPr>
                <m:t>×</m:t>
              </m:r>
              <m:sSup>
                <m:sSupPr>
                  <m:ctrlPr>
                    <w:rPr>
                      <w:rFonts w:ascii="Cambria Math" w:hAnsi="Cambria Math" w:cs="Times New Roman"/>
                      <w:color w:val="auto"/>
                      <w:lang w:eastAsia="zh-CN"/>
                    </w:rPr>
                  </m:ctrlPr>
                </m:sSupPr>
                <m:e>
                  <m:r>
                    <m:rPr>
                      <m:sty m:val="p"/>
                    </m:rPr>
                    <w:rPr>
                      <w:rFonts w:ascii="Cambria Math" w:hAnsi="Cambria Math" w:cs="Times New Roman"/>
                      <w:color w:val="auto"/>
                      <w:lang w:eastAsia="zh-CN"/>
                    </w:rPr>
                    <m:t>10</m:t>
                  </m:r>
                </m:e>
                <m:sup>
                  <m:r>
                    <m:rPr>
                      <m:sty m:val="p"/>
                    </m:rPr>
                    <w:rPr>
                      <w:rFonts w:ascii="Cambria Math" w:hAnsi="Cambria Math" w:cs="Times New Roman"/>
                      <w:color w:val="auto"/>
                      <w:lang w:eastAsia="zh-CN"/>
                    </w:rPr>
                    <m:t>3</m:t>
                  </m:r>
                </m:sup>
              </m:sSup>
            </m:oMath>
          </w:p>
        </w:tc>
      </w:tr>
    </w:tbl>
    <w:p w14:paraId="4740DD32" w14:textId="77777777" w:rsidR="00406EF8" w:rsidRPr="00FC71BE" w:rsidRDefault="00406EF8" w:rsidP="00406EF8"/>
    <w:p w14:paraId="1E72AD4B" w14:textId="77777777" w:rsidR="00406EF8" w:rsidRPr="00FC71BE" w:rsidRDefault="00406EF8" w:rsidP="00B86C68">
      <w:pPr>
        <w:pStyle w:val="Heading3"/>
        <w:numPr>
          <w:ilvl w:val="2"/>
          <w:numId w:val="49"/>
        </w:numPr>
      </w:pPr>
      <w:bookmarkStart w:id="301" w:name="_Toc157695388"/>
      <w:r w:rsidRPr="00FC71BE">
        <w:t>Assumptions and Boundary Conditions</w:t>
      </w:r>
      <w:bookmarkEnd w:id="301"/>
    </w:p>
    <w:p w14:paraId="306EDFD4" w14:textId="77777777" w:rsidR="00406EF8" w:rsidRPr="00FC71BE" w:rsidRDefault="00406EF8" w:rsidP="00406EF8">
      <w:r w:rsidRPr="00FC71BE">
        <w:t>In order to reduce the simulation time and make the multiphysics model solvable, several assumptions and simplifications should be introduced as below:</w:t>
      </w:r>
    </w:p>
    <w:p w14:paraId="288D89BB" w14:textId="77777777" w:rsidR="00406EF8" w:rsidRPr="00FC71BE" w:rsidRDefault="00406EF8" w:rsidP="00AF4190">
      <w:pPr>
        <w:pStyle w:val="Heading4"/>
        <w:numPr>
          <w:ilvl w:val="0"/>
          <w:numId w:val="12"/>
        </w:numPr>
      </w:pPr>
      <w:r w:rsidRPr="00FC71BE">
        <w:t>Load Current</w:t>
      </w:r>
    </w:p>
    <w:p w14:paraId="58E989DF" w14:textId="27F812B9" w:rsidR="00406EF8" w:rsidRPr="00FC71BE" w:rsidRDefault="00406EF8" w:rsidP="00406EF8">
      <w:r w:rsidRPr="00FC71BE">
        <w:t>The relaxation time of magnetization (</w:t>
      </w:r>
      <m:oMath>
        <m:sSub>
          <m:sSubPr>
            <m:ctrlPr>
              <w:rPr>
                <w:rFonts w:ascii="Cambria Math" w:hAnsi="Cambria Math"/>
                <w:i/>
              </w:rPr>
            </m:ctrlPr>
          </m:sSubPr>
          <m:e>
            <m:r>
              <w:rPr>
                <w:rFonts w:ascii="Cambria Math" w:hAnsi="Cambria Math"/>
              </w:rPr>
              <m:t>τ</m:t>
            </m:r>
          </m:e>
          <m:sub>
            <m:r>
              <w:rPr>
                <w:rFonts w:ascii="Cambria Math" w:hAnsi="Cambria Math"/>
              </w:rPr>
              <m:t>m</m:t>
            </m:r>
          </m:sub>
        </m:sSub>
      </m:oMath>
      <w:r w:rsidRPr="00FC71BE">
        <w:t xml:space="preserve">) is of the order of </w:t>
      </w:r>
      <m:oMath>
        <m:sSup>
          <m:sSupPr>
            <m:ctrlPr>
              <w:rPr>
                <w:rFonts w:ascii="Cambria Math" w:hAnsi="Cambria Math"/>
                <w:i/>
              </w:rPr>
            </m:ctrlPr>
          </m:sSupPr>
          <m:e>
            <m:r>
              <w:rPr>
                <w:rFonts w:ascii="Cambria Math" w:hAnsi="Cambria Math"/>
              </w:rPr>
              <m:t>10</m:t>
            </m:r>
          </m:e>
          <m:sup>
            <m:r>
              <w:rPr>
                <w:rFonts w:ascii="Cambria Math" w:hAnsi="Cambria Math"/>
              </w:rPr>
              <m:t>-5</m:t>
            </m:r>
          </m:sup>
        </m:sSup>
      </m:oMath>
      <w:r w:rsidRPr="00FC71BE">
        <w:t xml:space="preserve">s that specified by Brownian and Neel mechanisms </w:t>
      </w:r>
      <w:r w:rsidRPr="00FC71BE">
        <w:fldChar w:fldCharType="begin"/>
      </w:r>
      <w:r w:rsidR="00BA33ED" w:rsidRPr="00FC71BE">
        <w:instrText xml:space="preserve"> ADDIN EN.CITE &lt;EndNote&gt;&lt;Cite&gt;&lt;Author&gt;Berkovsky&lt;/Author&gt;&lt;Year&gt;1993&lt;/Year&gt;&lt;RecNum&gt;56&lt;/RecNum&gt;&lt;DisplayText&gt;[190]&lt;/DisplayText&gt;&lt;record&gt;&lt;rec-number&gt;56&lt;/rec-number&gt;&lt;foreign-keys&gt;&lt;key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applications&lt;/title&gt;&lt;/titles&gt;&lt;dates&gt;&lt;year&gt;1993&lt;/year&gt;&lt;/dates&gt;&lt;urls&gt;&lt;/urls&gt;&lt;/record&gt;&lt;/Cite&gt;&lt;/EndNote&gt;</w:instrText>
      </w:r>
      <w:r w:rsidRPr="00FC71BE">
        <w:fldChar w:fldCharType="separate"/>
      </w:r>
      <w:r w:rsidR="00BA33ED" w:rsidRPr="00FC71BE">
        <w:t>[190]</w:t>
      </w:r>
      <w:r w:rsidRPr="00FC71BE">
        <w:fldChar w:fldCharType="end"/>
      </w:r>
      <w:r w:rsidRPr="00FC71BE">
        <w:t xml:space="preserve">. The onload current is an alternating current (AC) with </w:t>
      </w:r>
      <w:r w:rsidRPr="00FC71BE">
        <w:lastRenderedPageBreak/>
        <w:t>a period (</w:t>
      </w:r>
      <m:oMath>
        <m:sSub>
          <m:sSubPr>
            <m:ctrlPr>
              <w:rPr>
                <w:rFonts w:ascii="Cambria Math" w:hAnsi="Cambria Math"/>
                <w:i/>
              </w:rPr>
            </m:ctrlPr>
          </m:sSubPr>
          <m:e>
            <m:r>
              <w:rPr>
                <w:rFonts w:ascii="Cambria Math" w:hAnsi="Cambria Math"/>
              </w:rPr>
              <m:t>τ</m:t>
            </m:r>
          </m:e>
          <m:sub>
            <m:r>
              <w:rPr>
                <w:rFonts w:ascii="Cambria Math" w:hAnsi="Cambria Math"/>
              </w:rPr>
              <m:t>e</m:t>
            </m:r>
          </m:sub>
        </m:sSub>
      </m:oMath>
      <w:r w:rsidRPr="00FC71BE">
        <w:t xml:space="preserve">) of </w:t>
      </w:r>
      <m:oMath>
        <m:f>
          <m:fPr>
            <m:type m:val="lin"/>
            <m:ctrlPr>
              <w:rPr>
                <w:rFonts w:ascii="Cambria Math" w:hAnsi="Cambria Math"/>
                <w:i/>
              </w:rPr>
            </m:ctrlPr>
          </m:fPr>
          <m:num>
            <m:r>
              <w:rPr>
                <w:rFonts w:ascii="Cambria Math" w:hAnsi="Cambria Math"/>
              </w:rPr>
              <m:t>3</m:t>
            </m:r>
          </m:num>
          <m:den>
            <m:r>
              <w:rPr>
                <w:rFonts w:ascii="Cambria Math" w:hAnsi="Cambria Math"/>
              </w:rPr>
              <m:t>140</m:t>
            </m:r>
          </m:den>
        </m:f>
      </m:oMath>
      <w:r w:rsidRPr="00FC71BE">
        <w:t xml:space="preserve">s. Since </w:t>
      </w:r>
      <m:oMath>
        <m:sSub>
          <m:sSubPr>
            <m:ctrlPr>
              <w:rPr>
                <w:rFonts w:ascii="Cambria Math" w:hAnsi="Cambria Math"/>
                <w:i/>
              </w:rPr>
            </m:ctrlPr>
          </m:sSubPr>
          <m:e>
            <m:r>
              <w:rPr>
                <w:rFonts w:ascii="Cambria Math" w:hAnsi="Cambria Math"/>
              </w:rPr>
              <m:t>τ</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e</m:t>
            </m:r>
          </m:sub>
        </m:sSub>
      </m:oMath>
      <w:r w:rsidRPr="00FC71BE">
        <w:t>, the direction of the magnetic body force can be considered as the same as the direction of magnetic field. In addition, the hydrodynamics and thermodynamics time constant (</w:t>
      </w:r>
      <m:oMath>
        <m:sSub>
          <m:sSubPr>
            <m:ctrlPr>
              <w:rPr>
                <w:rFonts w:ascii="Cambria Math" w:hAnsi="Cambria Math"/>
                <w:i/>
              </w:rPr>
            </m:ctrlPr>
          </m:sSubPr>
          <m:e>
            <m:r>
              <w:rPr>
                <w:rFonts w:ascii="Cambria Math" w:hAnsi="Cambria Math"/>
              </w:rPr>
              <m:t>τ</m:t>
            </m:r>
          </m:e>
          <m:sub>
            <m:r>
              <w:rPr>
                <w:rFonts w:ascii="Cambria Math" w:hAnsi="Cambria Math"/>
              </w:rPr>
              <m:t>f</m:t>
            </m:r>
          </m:sub>
        </m:sSub>
      </m:oMath>
      <w:r w:rsidRPr="00FC71BE">
        <w:t xml:space="preserve">), ranging from minutes to hours, is much larger than </w:t>
      </w:r>
      <m:oMath>
        <m:sSub>
          <m:sSubPr>
            <m:ctrlPr>
              <w:rPr>
                <w:rFonts w:ascii="Cambria Math" w:hAnsi="Cambria Math"/>
                <w:i/>
              </w:rPr>
            </m:ctrlPr>
          </m:sSubPr>
          <m:e>
            <m:r>
              <w:rPr>
                <w:rFonts w:ascii="Cambria Math" w:hAnsi="Cambria Math"/>
              </w:rPr>
              <m:t>τ</m:t>
            </m:r>
          </m:e>
          <m:sub>
            <m:r>
              <w:rPr>
                <w:rFonts w:ascii="Cambria Math" w:hAnsi="Cambria Math"/>
              </w:rPr>
              <m:t>e</m:t>
            </m:r>
          </m:sub>
        </m:sSub>
      </m:oMath>
      <w:r w:rsidRPr="00FC71BE">
        <w:t xml:space="preserve">. As a result, using a DC to represent the AC has been deemed acceptable. This assumption has been wildly employed in the literature </w:t>
      </w:r>
      <w:r w:rsidRPr="00FC71BE">
        <w:fldChar w:fldCharType="begin">
          <w:fldData xml:space="preserve">PEVuZE5vdGU+PENpdGU+PEF1dGhvcj5FbCBEaW5lPC9BdXRob3I+PFllYXI+MjAxOTwvWWVhcj48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</w:fldData>
        </w:fldChar>
      </w:r>
      <w:r w:rsidR="00BA33ED" w:rsidRPr="00FC71BE">
        <w:instrText xml:space="preserve"> ADDIN EN.CITE </w:instrText>
      </w:r>
      <w:r w:rsidR="00BA33ED" w:rsidRPr="00FC71BE">
        <w:fldChar w:fldCharType="begin">
          <w:fldData xml:space="preserve">PEVuZE5vdGU+PENpdGU+PEF1dGhvcj5FbCBEaW5lPC9BdXRob3I+PFllYXI+MjAxOTwvWWVhcj48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</w:fldData>
        </w:fldChar>
      </w:r>
      <w:r w:rsidR="00BA33ED" w:rsidRPr="00FC71BE">
        <w:instrText xml:space="preserve"> ADDIN EN.CITE.DATA </w:instrText>
      </w:r>
      <w:r w:rsidR="00BA33ED" w:rsidRPr="00FC71BE">
        <w:fldChar w:fldCharType="end"/>
      </w:r>
      <w:r w:rsidRPr="00FC71BE">
        <w:fldChar w:fldCharType="separate"/>
      </w:r>
      <w:r w:rsidR="00BA33ED" w:rsidRPr="00FC71BE">
        <w:t>[68, 185-187]</w:t>
      </w:r>
      <w:r w:rsidRPr="00FC71BE">
        <w:fldChar w:fldCharType="end"/>
      </w:r>
      <w:r w:rsidRPr="00FC71BE">
        <w:t>.</w:t>
      </w:r>
    </w:p>
    <w:p w14:paraId="125B2008" w14:textId="77777777" w:rsidR="00406EF8" w:rsidRPr="00FC71BE" w:rsidRDefault="00406EF8" w:rsidP="00AF4190">
      <w:pPr>
        <w:pStyle w:val="Heading4"/>
        <w:numPr>
          <w:ilvl w:val="0"/>
          <w:numId w:val="12"/>
        </w:numPr>
      </w:pPr>
      <w:r w:rsidRPr="00FC71BE">
        <w:t>Electric Current and Lorentz Force in Ferrofluid</w:t>
      </w:r>
    </w:p>
    <w:p w14:paraId="4CE89B96" w14:textId="663AE18D" w:rsidR="00406EF8" w:rsidRPr="00FC71BE" w:rsidRDefault="00406EF8" w:rsidP="00406EF8">
      <w:r w:rsidRPr="00FC71BE">
        <w:t xml:space="preserve">Based on the findings in </w:t>
      </w:r>
      <w:r w:rsidRPr="00FC71BE">
        <w:fldChar w:fldCharType="begin"/>
      </w:r>
      <w:r w:rsidR="00BA33ED" w:rsidRPr="00FC71BE">
        <w:instrText xml:space="preserve"> ADDIN EN.CITE &lt;EndNote&gt;&lt;Cite&gt;&lt;Author&gt;Rosensweig&lt;/Author&gt;&lt;Year&gt;2013&lt;/Year&gt;&lt;RecNum&gt;55&lt;/RecNum&gt;&lt;DisplayText&gt;[189]&lt;/DisplayText&gt;&lt;record&gt;&lt;rec-number&gt;55&lt;/rec-number&gt;&lt;foreign-keys&gt;&lt;key app="EN" db-id="rf2p5e05jx0x9jep00uvx0s1fvaww2dfa0r9" timestamp="1690837744"&gt;55&lt;/key&gt;&lt;/foreign-keys&gt;&lt;ref-type name="Book"&gt;6&lt;/ref-type&gt;&lt;contributors&gt;&lt;authors&gt;&lt;author&gt;Rosensweig, Ronald E&lt;/author&gt;&lt;/authors&gt;&lt;/contributors&gt;&lt;titles&gt;&lt;title&gt;Ferrohydrodynamics&lt;/title&gt;&lt;/titles&gt;&lt;dates&gt;&lt;year&gt;2013&lt;/year&gt;&lt;/dates&gt;&lt;publisher&gt;Courier Corporation&lt;/publisher&gt;&lt;isbn&gt;0486783006&lt;/isbn&gt;&lt;urls&gt;&lt;/urls&gt;&lt;/record&gt;&lt;/Cite&gt;&lt;/EndNote&gt;</w:instrText>
      </w:r>
      <w:r w:rsidRPr="00FC71BE">
        <w:fldChar w:fldCharType="separate"/>
      </w:r>
      <w:r w:rsidR="00BA33ED" w:rsidRPr="00FC71BE">
        <w:t>[189]</w:t>
      </w:r>
      <w:r w:rsidRPr="00FC71BE">
        <w:fldChar w:fldCharType="end"/>
      </w:r>
      <w:r w:rsidRPr="00FC71BE">
        <w:t xml:space="preserve">, the electrical resistivity of the ferrofluid is larger than </w:t>
      </w:r>
      <m:oMath>
        <m:sSup>
          <m:sSupPr>
            <m:ctrlPr>
              <w:rPr>
                <w:rFonts w:ascii="Cambria Math" w:hAnsi="Cambria Math"/>
                <w:i/>
              </w:rPr>
            </m:ctrlPr>
          </m:sSupPr>
          <m:e>
            <m:r>
              <w:rPr>
                <w:rFonts w:ascii="Cambria Math" w:hAnsi="Cambria Math"/>
              </w:rPr>
              <m:t>10</m:t>
            </m:r>
          </m:e>
          <m:sup>
            <m:r>
              <w:rPr>
                <w:rFonts w:ascii="Cambria Math" w:hAnsi="Cambria Math"/>
              </w:rPr>
              <m:t>9</m:t>
            </m:r>
          </m:sup>
        </m:sSup>
      </m:oMath>
      <w:r w:rsidRPr="00FC71BE">
        <w:t xml:space="preserve"> </w:t>
      </w:r>
      <m:oMath>
        <m:r>
          <m:rPr>
            <m:sty m:val="p"/>
          </m:rPr>
          <w:rPr>
            <w:rFonts w:ascii="Cambria Math" w:hAnsi="Cambria Math"/>
          </w:rPr>
          <m:t>Ω</m:t>
        </m:r>
        <m:r>
          <w:rPr>
            <w:rFonts w:ascii="Cambria Math" w:hAnsi="Cambria Math"/>
          </w:rPr>
          <m:t>∙</m:t>
        </m:r>
      </m:oMath>
      <w:r w:rsidRPr="00FC71BE">
        <w:t>cm. Therefore, the electric current and Lorentz force in the ferrofluid can be neglected.</w:t>
      </w:r>
    </w:p>
    <w:p w14:paraId="12A5AAAD" w14:textId="77777777" w:rsidR="00406EF8" w:rsidRPr="00FC71BE" w:rsidRDefault="00406EF8" w:rsidP="00AF4190">
      <w:pPr>
        <w:pStyle w:val="Heading4"/>
        <w:numPr>
          <w:ilvl w:val="0"/>
          <w:numId w:val="12"/>
        </w:numPr>
      </w:pPr>
      <w:r w:rsidRPr="00FC71BE">
        <w:t>Gravitational Effect and Thermal Expansion</w:t>
      </w:r>
    </w:p>
    <w:p w14:paraId="789178E0" w14:textId="50BD3B26" w:rsidR="00406EF8" w:rsidRPr="00FC71BE" w:rsidRDefault="00406EF8" w:rsidP="00406EF8">
      <w:r w:rsidRPr="00FC71BE">
        <w:t xml:space="preserve">Based on the simulations, it is found that the gravitational effect (gravity) is significant and can also lead to the circulation of the ferrofluid. Therefore, the gravity has been considered in the simulations and its direction is vertical to the shaft, as shown in </w:t>
      </w:r>
      <w:r w:rsidR="0092122F" w:rsidRPr="00FC71BE">
        <w:fldChar w:fldCharType="begin"/>
      </w:r>
      <w:r w:rsidR="0092122F" w:rsidRPr="00FC71BE">
        <w:instrText xml:space="preserve"> REF _Ref148294221 \h </w:instrText>
      </w:r>
      <w:r w:rsidR="0092122F" w:rsidRPr="00FC71BE">
        <w:fldChar w:fldCharType="separate"/>
      </w:r>
      <w:r w:rsidR="007E62C1" w:rsidRPr="00FC71BE">
        <w:t xml:space="preserve">Fig. </w:t>
      </w:r>
      <w:r w:rsidR="007E62C1" w:rsidRPr="00FC71BE">
        <w:rPr>
          <w:noProof/>
        </w:rPr>
        <w:t>5</w:t>
      </w:r>
      <w:r w:rsidR="007E62C1" w:rsidRPr="00FC71BE">
        <w:t>.</w:t>
      </w:r>
      <w:r w:rsidR="007E62C1" w:rsidRPr="00FC71BE">
        <w:rPr>
          <w:noProof/>
        </w:rPr>
        <w:t>1</w:t>
      </w:r>
      <w:r w:rsidR="0092122F" w:rsidRPr="00FC71BE">
        <w:fldChar w:fldCharType="end"/>
      </w:r>
      <w:r w:rsidR="0092122F" w:rsidRPr="00FC71BE">
        <w:t xml:space="preserve"> </w:t>
      </w:r>
      <w:r w:rsidRPr="00FC71BE">
        <w:t xml:space="preserve">(a). The thermal expansion of ferrofluid is </w:t>
      </w:r>
      <m:oMath>
        <m:r>
          <m:rPr>
            <m:sty m:val="p"/>
          </m:rPr>
          <w:rPr>
            <w:rFonts w:ascii="Cambria Math" w:hAnsi="Cambria Math"/>
          </w:rPr>
          <m:t>6.62×</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w:rPr>
            <w:rFonts w:ascii="Cambria Math" w:hAnsi="Cambria Math"/>
          </w:rPr>
          <m:t xml:space="preserve"> </m:t>
        </m:r>
        <m:sSup>
          <m:sSupPr>
            <m:ctrlPr>
              <w:rPr>
                <w:rFonts w:ascii="Cambria Math" w:hAnsi="Cambria Math"/>
                <w:iCs/>
              </w:rPr>
            </m:ctrlPr>
          </m:sSupPr>
          <m:e>
            <m:r>
              <m:rPr>
                <m:sty m:val="p"/>
              </m:rPr>
              <w:rPr>
                <w:rFonts w:ascii="Cambria Math" w:hAnsi="Cambria Math"/>
              </w:rPr>
              <m:t>K</m:t>
            </m:r>
          </m:e>
          <m:sup>
            <m:r>
              <m:rPr>
                <m:sty m:val="p"/>
              </m:rPr>
              <w:rPr>
                <w:rFonts w:ascii="Cambria Math" w:hAnsi="Cambria Math"/>
              </w:rPr>
              <m:t>-1</m:t>
            </m:r>
          </m:sup>
        </m:sSup>
      </m:oMath>
      <w:r w:rsidRPr="00FC71BE">
        <w:rPr>
          <w:iCs/>
        </w:rPr>
        <w:t>. This means that the density variation due to thermal expansion is relatively small, and hence the thermal expansion has been neglected in the modelling. To consider the gravitational effect without density variation, the Boussinesq approximation is employed in the models.</w:t>
      </w:r>
    </w:p>
    <w:p w14:paraId="7FD714E5" w14:textId="77777777" w:rsidR="00406EF8" w:rsidRPr="00FC71BE" w:rsidRDefault="00406EF8" w:rsidP="00AF4190">
      <w:pPr>
        <w:pStyle w:val="Heading4"/>
        <w:numPr>
          <w:ilvl w:val="0"/>
          <w:numId w:val="12"/>
        </w:numPr>
      </w:pPr>
      <w:r w:rsidRPr="00FC71BE">
        <w:t>Boundary Conditions</w:t>
      </w:r>
    </w:p>
    <w:p w14:paraId="7AA1924E" w14:textId="5379283F" w:rsidR="00406EF8" w:rsidRPr="00FC71BE" w:rsidRDefault="00406EF8" w:rsidP="004E6481">
      <w:r w:rsidRPr="00FC71BE">
        <w:t>For the investigated PM machines, a water jacket is introduced, as shown in</w:t>
      </w:r>
      <w:r w:rsidR="0092122F" w:rsidRPr="00FC71BE">
        <w:t xml:space="preserve"> </w:t>
      </w:r>
      <w:r w:rsidR="0092122F" w:rsidRPr="00FC71BE">
        <w:fldChar w:fldCharType="begin"/>
      </w:r>
      <w:r w:rsidR="0092122F" w:rsidRPr="00FC71BE">
        <w:instrText xml:space="preserve"> REF _Ref148294221 \h </w:instrText>
      </w:r>
      <w:r w:rsidR="0092122F" w:rsidRPr="00FC71BE">
        <w:fldChar w:fldCharType="separate"/>
      </w:r>
      <w:r w:rsidR="007E62C1" w:rsidRPr="00FC71BE">
        <w:t xml:space="preserve">Fig. </w:t>
      </w:r>
      <w:r w:rsidR="007E62C1" w:rsidRPr="00FC71BE">
        <w:rPr>
          <w:noProof/>
        </w:rPr>
        <w:t>5</w:t>
      </w:r>
      <w:r w:rsidR="007E62C1" w:rsidRPr="00FC71BE">
        <w:t>.</w:t>
      </w:r>
      <w:r w:rsidR="007E62C1" w:rsidRPr="00FC71BE">
        <w:rPr>
          <w:noProof/>
        </w:rPr>
        <w:t>1</w:t>
      </w:r>
      <w:r w:rsidR="0092122F" w:rsidRPr="00FC71BE">
        <w:fldChar w:fldCharType="end"/>
      </w:r>
      <w:r w:rsidRPr="00FC71BE">
        <w:t>, to maximize the cooling efficiency of the ferrofluid. The inlet flow rate and temperature of the water jacket are 1.37L/min and 65</w:t>
      </w:r>
      <m:oMath>
        <m:r>
          <w:rPr>
            <w:rFonts w:ascii="Cambria Math" w:hAnsi="Cambria Math"/>
          </w:rPr>
          <m:t>℃</m:t>
        </m:r>
      </m:oMath>
      <w:r w:rsidRPr="00FC71BE">
        <w:t xml:space="preserve">, respectively. This inlet flow rate can be achieved by assuming a 1200Pa pressure drop. The water jacket is represented by an effective convection coefficient </w:t>
      </w:r>
      <w:r w:rsidRPr="00FC71BE">
        <w:rPr>
          <w:bCs/>
        </w:rPr>
        <w:t>(</w:t>
      </w:r>
      <m:oMath>
        <m:sSub>
          <m:sSubPr>
            <m:ctrlPr>
              <w:rPr>
                <w:rFonts w:ascii="Cambria Math" w:hAnsi="Cambria Math"/>
              </w:rPr>
            </m:ctrlPr>
          </m:sSubPr>
          <m:e>
            <m:r>
              <w:rPr>
                <w:rFonts w:ascii="Cambria Math" w:hAnsi="Cambria Math"/>
              </w:rPr>
              <m:t>h</m:t>
            </m:r>
          </m:e>
          <m:sub>
            <m:r>
              <w:rPr>
                <w:rFonts w:ascii="Cambria Math" w:hAnsi="Cambria Math"/>
              </w:rPr>
              <m:t>e</m:t>
            </m:r>
          </m:sub>
        </m:sSub>
      </m:oMath>
      <w:r w:rsidRPr="00FC71BE">
        <w:rPr>
          <w:bCs/>
        </w:rPr>
        <w:t>) in the multiphysics models to reduce the computation time</w:t>
      </w:r>
      <w:r w:rsidRPr="00FC71BE">
        <w:t>. It can be derived by</w:t>
      </w:r>
      <w:r w:rsidR="00CA07F3" w:rsidRPr="00FC71BE">
        <w:t xml:space="preserve"> </w:t>
      </w:r>
      <w:r w:rsidR="00CA07F3" w:rsidRPr="00FC71BE">
        <w:fldChar w:fldCharType="begin"/>
      </w:r>
      <w:r w:rsidR="00CA07F3" w:rsidRPr="00FC71BE">
        <w:instrText xml:space="preserve"> REF _Ref145961276 \h </w:instrText>
      </w:r>
      <w:r w:rsidR="00CA07F3" w:rsidRPr="00FC71BE">
        <w:fldChar w:fldCharType="separate"/>
      </w:r>
      <w:r w:rsidR="007E62C1" w:rsidRPr="00FC71BE">
        <w:t>(</w:t>
      </w:r>
      <w:r w:rsidR="007E62C1" w:rsidRPr="00FC71BE">
        <w:rPr>
          <w:noProof/>
        </w:rPr>
        <w:t>4</w:t>
      </w:r>
      <w:r w:rsidR="007E62C1" w:rsidRPr="00FC71BE">
        <w:t>.</w:t>
      </w:r>
      <w:r w:rsidR="007E62C1" w:rsidRPr="00FC71BE">
        <w:rPr>
          <w:noProof/>
        </w:rPr>
        <w:t>15</w:t>
      </w:r>
      <w:r w:rsidR="007E62C1" w:rsidRPr="00FC71BE">
        <w:t>)</w:t>
      </w:r>
      <w:r w:rsidR="00CA07F3" w:rsidRPr="00FC71BE">
        <w:fldChar w:fldCharType="end"/>
      </w:r>
      <w:r w:rsidR="00CA07F3" w:rsidRPr="00FC71BE">
        <w:t>.</w:t>
      </w:r>
      <w:r w:rsidRPr="00FC71BE">
        <w:t xml:space="preserve"> Based on the CFD simulations shown in </w:t>
      </w:r>
      <w:r w:rsidRPr="00FC71BE">
        <w:fldChar w:fldCharType="begin"/>
      </w:r>
      <w:r w:rsidRPr="00FC71BE">
        <w:instrText xml:space="preserve"> REF _Ref143361549 \h  \* MERGEFORMAT </w:instrText>
      </w:r>
      <w:r w:rsidRPr="00FC71BE">
        <w:fldChar w:fldCharType="separate"/>
      </w:r>
      <w:r w:rsidR="007E62C1" w:rsidRPr="00FC71BE">
        <w:t>Fig. 5.3</w:t>
      </w:r>
      <w:r w:rsidRPr="00FC71BE">
        <w:fldChar w:fldCharType="end"/>
      </w:r>
      <w:r w:rsidRPr="00FC71BE">
        <w:t xml:space="preserve">, the convection coefficient is 3718 </w:t>
      </w:r>
      <m:oMath>
        <m:f>
          <m:fPr>
            <m:type m:val="lin"/>
            <m:ctrlPr>
              <w:rPr>
                <w:rFonts w:ascii="Cambria Math" w:hAnsi="Cambria Math"/>
                <w:i/>
              </w:rPr>
            </m:ctrlPr>
          </m:fPr>
          <m:num>
            <m:r>
              <w:rPr>
                <w:rFonts w:ascii="Cambria Math" w:hAnsi="Cambria Math"/>
              </w:rPr>
              <m:t>W</m:t>
            </m:r>
          </m:num>
          <m:den>
            <m:f>
              <m:fPr>
                <m:type m:val="lin"/>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K</m:t>
                </m:r>
              </m:den>
            </m:f>
          </m:den>
        </m:f>
      </m:oMath>
      <w:r w:rsidRPr="00FC71BE">
        <w:t xml:space="preserve"> while the reference temperature is 65</w:t>
      </w:r>
      <m:oMath>
        <m:r>
          <w:rPr>
            <w:rFonts w:ascii="Cambria Math" w:hAnsi="Cambria Math"/>
          </w:rPr>
          <m:t>℃</m:t>
        </m:r>
      </m:oMath>
      <w:r w:rsidRPr="00FC71BE">
        <w:t xml:space="preserve">. On the surface of endcaps that is not wrapped by water jacket, natural cooling is used, and the convection coefficient is assumed to be 8 </w:t>
      </w:r>
      <m:oMath>
        <m:f>
          <m:fPr>
            <m:type m:val="lin"/>
            <m:ctrlPr>
              <w:rPr>
                <w:rFonts w:ascii="Cambria Math" w:hAnsi="Cambria Math"/>
                <w:i/>
              </w:rPr>
            </m:ctrlPr>
          </m:fPr>
          <m:num>
            <m:r>
              <w:rPr>
                <w:rFonts w:ascii="Cambria Math" w:hAnsi="Cambria Math"/>
              </w:rPr>
              <m:t>W</m:t>
            </m:r>
          </m:num>
          <m:den>
            <m:f>
              <m:fPr>
                <m:type m:val="lin"/>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K</m:t>
                </m:r>
              </m:den>
            </m:f>
          </m:den>
        </m:f>
      </m:oMath>
      <w:r w:rsidRPr="00FC71BE">
        <w:t xml:space="preserve"> and the reference temperature is 20</w:t>
      </w:r>
      <m:oMath>
        <m:r>
          <w:rPr>
            <w:rFonts w:ascii="Cambria Math" w:hAnsi="Cambria Math"/>
          </w:rPr>
          <m:t>℃</m:t>
        </m:r>
      </m:oMath>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1"/>
        <w:gridCol w:w="4645"/>
      </w:tblGrid>
      <w:tr w:rsidR="00FC71BE" w:rsidRPr="00FC71BE" w14:paraId="48BB9697" w14:textId="77777777">
        <w:tc>
          <w:tcPr>
            <w:tcW w:w="4592" w:type="dxa"/>
          </w:tcPr>
          <w:p w14:paraId="2376AE8D" w14:textId="77777777" w:rsidR="00406EF8" w:rsidRPr="00FC71BE" w:rsidRDefault="00406EF8">
            <w:pPr>
              <w:pStyle w:val="Figure"/>
              <w:rPr>
                <w:noProof w:val="0"/>
              </w:rPr>
            </w:pPr>
            <w:r w:rsidRPr="00FC71BE">
              <w:lastRenderedPageBreak/>
              <w:drawing>
                <wp:inline distT="0" distB="0" distL="0" distR="0" wp14:anchorId="13E0B198" wp14:editId="2E09D0B0">
                  <wp:extent cx="2647378" cy="2355850"/>
                  <wp:effectExtent l="0" t="0" r="0" b="0"/>
                  <wp:docPr id="1979567909" name="Picture 1979567909" descr="A colorful ring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olorful rings with numbers&#10;&#10;Description automatically generated with medium confidence"/>
                          <pic:cNvPicPr/>
                        </pic:nvPicPr>
                        <pic:blipFill>
                          <a:blip r:embed="rId46"/>
                          <a:stretch>
                            <a:fillRect/>
                          </a:stretch>
                        </pic:blipFill>
                        <pic:spPr>
                          <a:xfrm>
                            <a:off x="0" y="0"/>
                            <a:ext cx="2667908" cy="2374120"/>
                          </a:xfrm>
                          <a:prstGeom prst="rect">
                            <a:avLst/>
                          </a:prstGeom>
                        </pic:spPr>
                      </pic:pic>
                    </a:graphicData>
                  </a:graphic>
                </wp:inline>
              </w:drawing>
            </w:r>
          </w:p>
        </w:tc>
        <w:tc>
          <w:tcPr>
            <w:tcW w:w="4650" w:type="dxa"/>
          </w:tcPr>
          <w:p w14:paraId="1B132693" w14:textId="77777777" w:rsidR="00406EF8" w:rsidRPr="00FC71BE" w:rsidRDefault="00406EF8">
            <w:pPr>
              <w:pStyle w:val="Figure"/>
              <w:rPr>
                <w:noProof w:val="0"/>
              </w:rPr>
            </w:pPr>
            <w:r w:rsidRPr="00FC71BE">
              <w:drawing>
                <wp:inline distT="0" distB="0" distL="0" distR="0" wp14:anchorId="4997B9D1" wp14:editId="5CC06483">
                  <wp:extent cx="2816189" cy="2355850"/>
                  <wp:effectExtent l="0" t="0" r="0" b="0"/>
                  <wp:docPr id="452572584" name="Picture 452572584"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diagram of a graph&#10;&#10;Description automatically generated with medium confidence"/>
                          <pic:cNvPicPr/>
                        </pic:nvPicPr>
                        <pic:blipFill>
                          <a:blip r:embed="rId212"/>
                          <a:stretch>
                            <a:fillRect/>
                          </a:stretch>
                        </pic:blipFill>
                        <pic:spPr>
                          <a:xfrm>
                            <a:off x="0" y="0"/>
                            <a:ext cx="2842176" cy="2377589"/>
                          </a:xfrm>
                          <a:prstGeom prst="rect">
                            <a:avLst/>
                          </a:prstGeom>
                        </pic:spPr>
                      </pic:pic>
                    </a:graphicData>
                  </a:graphic>
                </wp:inline>
              </w:drawing>
            </w:r>
          </w:p>
        </w:tc>
      </w:tr>
      <w:tr w:rsidR="00FC71BE" w:rsidRPr="00FC71BE" w14:paraId="7DC70519" w14:textId="77777777">
        <w:tc>
          <w:tcPr>
            <w:tcW w:w="4592" w:type="dxa"/>
          </w:tcPr>
          <w:p w14:paraId="5F8CF9BE" w14:textId="77777777" w:rsidR="00406EF8" w:rsidRPr="00FC71BE" w:rsidRDefault="00406EF8">
            <w:pPr>
              <w:pStyle w:val="Figure"/>
              <w:rPr>
                <w:noProof w:val="0"/>
              </w:rPr>
            </w:pPr>
            <w:r w:rsidRPr="00FC71BE">
              <w:rPr>
                <w:noProof w:val="0"/>
              </w:rPr>
              <w:t>(a) Temperature distribution</w:t>
            </w:r>
          </w:p>
        </w:tc>
        <w:tc>
          <w:tcPr>
            <w:tcW w:w="4650" w:type="dxa"/>
          </w:tcPr>
          <w:p w14:paraId="3E55D487" w14:textId="77777777" w:rsidR="00406EF8" w:rsidRPr="00FC71BE" w:rsidRDefault="00406EF8">
            <w:pPr>
              <w:pStyle w:val="Figure"/>
              <w:rPr>
                <w:noProof w:val="0"/>
              </w:rPr>
            </w:pPr>
            <w:r w:rsidRPr="00FC71BE">
              <w:rPr>
                <w:noProof w:val="0"/>
              </w:rPr>
              <w:t>(b) Coolant velocity</w:t>
            </w:r>
          </w:p>
        </w:tc>
      </w:tr>
      <w:tr w:rsidR="00FC71BE" w:rsidRPr="00FC71BE" w14:paraId="5686BD55" w14:textId="77777777">
        <w:tc>
          <w:tcPr>
            <w:tcW w:w="9242" w:type="dxa"/>
            <w:gridSpan w:val="2"/>
          </w:tcPr>
          <w:p w14:paraId="571B89EA" w14:textId="77777777" w:rsidR="00406EF8" w:rsidRPr="00FC71BE" w:rsidRDefault="00406EF8">
            <w:pPr>
              <w:pStyle w:val="Figure"/>
              <w:rPr>
                <w:noProof w:val="0"/>
              </w:rPr>
            </w:pPr>
            <w:r w:rsidRPr="00FC71BE">
              <w:drawing>
                <wp:inline distT="0" distB="0" distL="0" distR="0" wp14:anchorId="5BDCCA68" wp14:editId="404DE94C">
                  <wp:extent cx="2998778" cy="3224185"/>
                  <wp:effectExtent l="0" t="0" r="0" b="0"/>
                  <wp:docPr id="38" name="Picture 38" descr="A screen shot of a heat chart&#10;&#10;Description automatically generated">
                    <a:extLst xmlns:a="http://schemas.openxmlformats.org/drawingml/2006/main">
                      <a:ext uri="{FF2B5EF4-FFF2-40B4-BE49-F238E27FC236}">
                        <a16:creationId xmlns:a16="http://schemas.microsoft.com/office/drawing/2014/main" id="{0C733A0F-1AAA-4DB1-BD9C-DFD46BB436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4" descr="A screen shot of a heat chart&#10;&#10;Description automatically generated">
                            <a:extLst>
                              <a:ext uri="{FF2B5EF4-FFF2-40B4-BE49-F238E27FC236}">
                                <a16:creationId xmlns:a16="http://schemas.microsoft.com/office/drawing/2014/main" id="{0C733A0F-1AAA-4DB1-BD9C-DFD46BB4361E}"/>
                              </a:ext>
                            </a:extLst>
                          </pic:cNvPr>
                          <pic:cNvPicPr>
                            <a:picLocks noChangeAspect="1"/>
                          </pic:cNvPicPr>
                        </pic:nvPicPr>
                        <pic:blipFill>
                          <a:blip r:embed="rId213"/>
                          <a:stretch>
                            <a:fillRect/>
                          </a:stretch>
                        </pic:blipFill>
                        <pic:spPr>
                          <a:xfrm>
                            <a:off x="0" y="0"/>
                            <a:ext cx="3004504" cy="3230341"/>
                          </a:xfrm>
                          <a:prstGeom prst="rect">
                            <a:avLst/>
                          </a:prstGeom>
                        </pic:spPr>
                      </pic:pic>
                    </a:graphicData>
                  </a:graphic>
                </wp:inline>
              </w:drawing>
            </w:r>
          </w:p>
        </w:tc>
      </w:tr>
      <w:tr w:rsidR="00FC71BE" w:rsidRPr="00FC71BE" w14:paraId="2ED14793" w14:textId="77777777">
        <w:tc>
          <w:tcPr>
            <w:tcW w:w="9242" w:type="dxa"/>
            <w:gridSpan w:val="2"/>
          </w:tcPr>
          <w:p w14:paraId="0A1A523B" w14:textId="77777777" w:rsidR="00406EF8" w:rsidRPr="00FC71BE" w:rsidRDefault="00406EF8">
            <w:pPr>
              <w:pStyle w:val="Figure"/>
              <w:rPr>
                <w:noProof w:val="0"/>
              </w:rPr>
            </w:pPr>
            <w:r w:rsidRPr="00FC71BE">
              <w:rPr>
                <w:noProof w:val="0"/>
              </w:rPr>
              <w:t>(c) Heat flux through housing surface</w:t>
            </w:r>
          </w:p>
        </w:tc>
      </w:tr>
    </w:tbl>
    <w:p w14:paraId="2DB39756" w14:textId="70907265" w:rsidR="00406EF8" w:rsidRPr="00FC71BE" w:rsidRDefault="00406EF8" w:rsidP="00406EF8">
      <w:pPr>
        <w:pStyle w:val="FigureTitle"/>
      </w:pPr>
      <w:bookmarkStart w:id="302" w:name="_Ref143361549"/>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w:t>
        </w:r>
      </w:fldSimple>
      <w:bookmarkEnd w:id="302"/>
      <w:r w:rsidRPr="00FC71BE">
        <w:t>. CFD simulation results for the machine with water jacket cooling.</w:t>
      </w:r>
    </w:p>
    <w:p w14:paraId="5DC19C47" w14:textId="77777777" w:rsidR="00406EF8" w:rsidRPr="00FC71BE" w:rsidRDefault="00406EF8" w:rsidP="00B86C68">
      <w:pPr>
        <w:pStyle w:val="Heading3"/>
        <w:numPr>
          <w:ilvl w:val="2"/>
          <w:numId w:val="49"/>
        </w:numPr>
      </w:pPr>
      <w:bookmarkStart w:id="303" w:name="_Toc157695389"/>
      <w:r w:rsidRPr="00FC71BE">
        <w:t>Mesh Sensitivity Tests</w:t>
      </w:r>
      <w:bookmarkEnd w:id="303"/>
    </w:p>
    <w:p w14:paraId="6795280E" w14:textId="77777777" w:rsidR="00406EF8" w:rsidRPr="00FC71BE" w:rsidRDefault="00406EF8" w:rsidP="00406EF8">
      <w:r w:rsidRPr="00FC71BE">
        <w:t>The number of mesh element for the model investigated in this chapter is 341270. The time step is mutative, and the average value is around 1s to 2s. The model is solved for 8300 iterations (about 57 hours by 8 processors).</w:t>
      </w:r>
    </w:p>
    <w:p w14:paraId="602EA03D" w14:textId="6170BEBC" w:rsidR="00406EF8" w:rsidRPr="00FC71BE" w:rsidRDefault="00406EF8" w:rsidP="00406EF8">
      <w:r w:rsidRPr="00FC71BE">
        <w:t xml:space="preserve">To investigate the influence of mesh size on the accuracy of the multiphysics model, different mesh sizes have been compared, as shown in </w:t>
      </w:r>
      <w:r w:rsidRPr="00FC71BE">
        <w:fldChar w:fldCharType="begin"/>
      </w:r>
      <w:r w:rsidRPr="00FC71BE">
        <w:instrText xml:space="preserve"> REF _Ref141108370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4</w:t>
      </w:r>
      <w:r w:rsidRPr="00FC71BE">
        <w:fldChar w:fldCharType="end"/>
      </w:r>
      <w:r w:rsidRPr="00FC71BE">
        <w:t>. It is worth noting that as the ferrofluid region is the most important region for the multiphysics models, the analyses are focused on the mesh size in the ferrofluid region. The results show that reducing the average mesh size from 3.8mm</w:t>
      </w:r>
      <w:r w:rsidRPr="00FC71BE">
        <w:rPr>
          <w:vertAlign w:val="superscript"/>
        </w:rPr>
        <w:t>3</w:t>
      </w:r>
      <w:r w:rsidRPr="00FC71BE">
        <w:t xml:space="preserve"> to 0.075mm</w:t>
      </w:r>
      <w:r w:rsidRPr="00FC71BE">
        <w:rPr>
          <w:vertAlign w:val="superscript"/>
        </w:rPr>
        <w:t>3</w:t>
      </w:r>
      <w:r w:rsidRPr="00FC71BE">
        <w:t xml:space="preserve"> (the maximum mesh length reduces from 5mm to 1mm) </w:t>
      </w:r>
      <w:r w:rsidRPr="00FC71BE">
        <w:lastRenderedPageBreak/>
        <w:t>will significantly increase the number of mesh elements by more than 8 times and the computation time by around 4.2 times. However, the temperature variation is only 0.3%. Therefore, the mesh size selected in this chapter can be considered a reasonable compromise between the model accuracy and the computation time.</w:t>
      </w:r>
    </w:p>
    <w:p w14:paraId="77C6275D" w14:textId="77777777" w:rsidR="00406EF8" w:rsidRPr="00FC71BE" w:rsidRDefault="00406EF8" w:rsidP="00406EF8">
      <w:pPr>
        <w:pStyle w:val="Figure"/>
        <w:rPr>
          <w:noProof w:val="0"/>
        </w:rPr>
      </w:pPr>
      <w:r w:rsidRPr="00FC71BE">
        <w:drawing>
          <wp:inline distT="0" distB="0" distL="0" distR="0" wp14:anchorId="07FBE992" wp14:editId="663C3B29">
            <wp:extent cx="4363200" cy="2739986"/>
            <wp:effectExtent l="0" t="0" r="0" b="3810"/>
            <wp:docPr id="34" name="Picture 34" descr="Chart, line chart&#10;&#10;Description automatically generated">
              <a:extLst xmlns:a="http://schemas.openxmlformats.org/drawingml/2006/main">
                <a:ext uri="{FF2B5EF4-FFF2-40B4-BE49-F238E27FC236}">
                  <a16:creationId xmlns:a16="http://schemas.microsoft.com/office/drawing/2014/main" id="{BADFCD76-9251-47AE-BD25-1E220FCF3C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9" descr="Chart, line chart&#10;&#10;Description automatically generated">
                      <a:extLst>
                        <a:ext uri="{FF2B5EF4-FFF2-40B4-BE49-F238E27FC236}">
                          <a16:creationId xmlns:a16="http://schemas.microsoft.com/office/drawing/2014/main" id="{BADFCD76-9251-47AE-BD25-1E220FCF3C42}"/>
                        </a:ext>
                      </a:extLst>
                    </pic:cNvPr>
                    <pic:cNvPicPr>
                      <a:picLocks noChangeAspect="1"/>
                    </pic:cNvPicPr>
                  </pic:nvPicPr>
                  <pic:blipFill>
                    <a:blip r:embed="rId214"/>
                    <a:stretch>
                      <a:fillRect/>
                    </a:stretch>
                  </pic:blipFill>
                  <pic:spPr>
                    <a:xfrm>
                      <a:off x="0" y="0"/>
                      <a:ext cx="4363200" cy="2739986"/>
                    </a:xfrm>
                    <a:prstGeom prst="rect">
                      <a:avLst/>
                    </a:prstGeom>
                  </pic:spPr>
                </pic:pic>
              </a:graphicData>
            </a:graphic>
          </wp:inline>
        </w:drawing>
      </w:r>
    </w:p>
    <w:p w14:paraId="07E10783" w14:textId="05FB1D28" w:rsidR="00406EF8" w:rsidRPr="00FC71BE" w:rsidRDefault="00406EF8" w:rsidP="00406EF8">
      <w:pPr>
        <w:pStyle w:val="FigureTitle"/>
      </w:pPr>
      <w:bookmarkStart w:id="304" w:name="_Ref141108370"/>
      <w:r w:rsidRPr="00FC71BE">
        <w:t xml:space="preserve">Fig. </w:t>
      </w:r>
      <w:fldSimple w:instr=" STYLEREF 1 \s ">
        <w:r w:rsidR="007E62C1" w:rsidRPr="00FC71BE">
          <w:rPr>
            <w:noProof/>
          </w:rPr>
          <w:t>5</w:t>
        </w:r>
      </w:fldSimple>
      <w:r w:rsidRPr="00FC71BE">
        <w:t>.</w:t>
      </w:r>
      <w:fldSimple w:instr=" SEQ Fig. \* ARABIC \s 1 ">
        <w:r w:rsidR="007E62C1" w:rsidRPr="00FC71BE">
          <w:rPr>
            <w:noProof/>
          </w:rPr>
          <w:t>4</w:t>
        </w:r>
      </w:fldSimple>
      <w:bookmarkEnd w:id="304"/>
      <w:r w:rsidRPr="00FC71BE">
        <w:t>. Normalized maximum temperature and calculation time at different number of mesh elements (and different mesh sizes).</w:t>
      </w:r>
    </w:p>
    <w:p w14:paraId="5EE9CF48" w14:textId="77777777" w:rsidR="00406EF8" w:rsidRPr="00FC71BE" w:rsidRDefault="00406EF8" w:rsidP="00B86C68">
      <w:pPr>
        <w:pStyle w:val="Heading2"/>
        <w:numPr>
          <w:ilvl w:val="1"/>
          <w:numId w:val="49"/>
        </w:numPr>
      </w:pPr>
      <w:bookmarkStart w:id="305" w:name="_Ref141201272"/>
      <w:bookmarkStart w:id="306" w:name="_Toc157695390"/>
      <w:r w:rsidRPr="00FC71BE">
        <w:t>Performances of the Ferrofluid Cooling Machines</w:t>
      </w:r>
      <w:bookmarkEnd w:id="305"/>
      <w:bookmarkEnd w:id="306"/>
    </w:p>
    <w:p w14:paraId="4AC1DAD1" w14:textId="77777777" w:rsidR="00406EF8" w:rsidRPr="00FC71BE" w:rsidRDefault="00406EF8" w:rsidP="00406EF8">
      <w:r w:rsidRPr="00FC71BE">
        <w:rPr>
          <w:bCs/>
        </w:rPr>
        <w:t>In order to show the superior cooling performance of ferrofluid, air and non-magnetic liquid (i.e., nanofluid, named as NF) have also been investigated, and compared against the ferrofluid cooling. Nanofluid has the same physical properties as ferrofluid but will not experience magnetic body force from the external magnetic field. This comparison will help investigate the influences of thermomagnetic convection and gravitational effect on ferrofluid cooling.</w:t>
      </w:r>
    </w:p>
    <w:p w14:paraId="09F45FB7" w14:textId="4DF533E9" w:rsidR="00406EF8" w:rsidRPr="00FC71BE" w:rsidRDefault="00406EF8" w:rsidP="00406EF8">
      <w:r w:rsidRPr="00FC71BE">
        <w:rPr>
          <w:bCs/>
        </w:rPr>
        <w:t>To visualize the behaviour of different coolants in the investigated machines, t</w:t>
      </w:r>
      <w:r w:rsidRPr="00FC71BE">
        <w:t xml:space="preserve">wo planes which are vertical (plane 1) and horizontal (plane 2) to the shaft are used to show the temperature distribution and fluid flow in the PMSM, as shown in </w:t>
      </w:r>
      <w:r w:rsidRPr="00FC71BE">
        <w:fldChar w:fldCharType="begin"/>
      </w:r>
      <w:r w:rsidRPr="00FC71BE">
        <w:instrText xml:space="preserve"> REF _Ref141107582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5</w:t>
      </w:r>
      <w:r w:rsidRPr="00FC71BE">
        <w:fldChar w:fldCharType="end"/>
      </w:r>
      <w:r w:rsidRPr="00FC71BE">
        <w:t xml:space="preserve"> (a). Due to the gravitational effect, the temperature distribution and fluid flow are not circumferentially symmetrical, and they will be different around different end-windings. To clearly visualize this difference, in the post-process of the results, the end-winding region has been separated into 6 identical sections in axial direction and each span 60 degrees and has one coil in each section, as shown in </w:t>
      </w:r>
      <w:r w:rsidRPr="00FC71BE">
        <w:fldChar w:fldCharType="begin"/>
      </w:r>
      <w:r w:rsidRPr="00FC71BE">
        <w:instrText xml:space="preserve"> REF _Ref141107582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5</w:t>
      </w:r>
      <w:r w:rsidRPr="00FC71BE">
        <w:fldChar w:fldCharType="end"/>
      </w:r>
      <w:r w:rsidRPr="00FC71BE">
        <w:t xml:space="preserve"> (b). The fluid dynamics and heat transfer results in each section will be investigated and compared in the following sections.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3F8055C7" w14:textId="77777777">
        <w:tc>
          <w:tcPr>
            <w:tcW w:w="4508" w:type="dxa"/>
            <w:vAlign w:val="center"/>
          </w:tcPr>
          <w:p w14:paraId="7F08B682" w14:textId="77777777" w:rsidR="00406EF8" w:rsidRPr="00FC71BE" w:rsidRDefault="00406EF8">
            <w:pPr>
              <w:pStyle w:val="Figure"/>
              <w:rPr>
                <w:noProof w:val="0"/>
              </w:rPr>
            </w:pPr>
            <w:r w:rsidRPr="00FC71BE">
              <w:lastRenderedPageBreak/>
              <w:drawing>
                <wp:inline distT="0" distB="0" distL="0" distR="0" wp14:anchorId="2FB68BC8" wp14:editId="4A4526E0">
                  <wp:extent cx="2065455" cy="2556000"/>
                  <wp:effectExtent l="0" t="0" r="0" b="0"/>
                  <wp:docPr id="863042210" name="Picture 863042210" descr="A blue and yellow gear&#10;&#10;Description automatically generated">
                    <a:extLst xmlns:a="http://schemas.openxmlformats.org/drawingml/2006/main">
                      <a:ext uri="{FF2B5EF4-FFF2-40B4-BE49-F238E27FC236}">
                        <a16:creationId xmlns:a16="http://schemas.microsoft.com/office/drawing/2014/main" id="{BD372CEA-5013-4B50-B62A-7EF7D02EC0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42210" name="Picture 863042210" descr="A blue and yellow gear&#10;&#10;Description automatically generated">
                            <a:extLst>
                              <a:ext uri="{FF2B5EF4-FFF2-40B4-BE49-F238E27FC236}">
                                <a16:creationId xmlns:a16="http://schemas.microsoft.com/office/drawing/2014/main" id="{BD372CEA-5013-4B50-B62A-7EF7D02EC09B}"/>
                              </a:ext>
                            </a:extLst>
                          </pic:cNvPr>
                          <pic:cNvPicPr>
                            <a:picLocks noChangeAspect="1"/>
                          </pic:cNvPicPr>
                        </pic:nvPicPr>
                        <pic:blipFill>
                          <a:blip r:embed="rId215"/>
                          <a:stretch>
                            <a:fillRect/>
                          </a:stretch>
                        </pic:blipFill>
                        <pic:spPr>
                          <a:xfrm>
                            <a:off x="0" y="0"/>
                            <a:ext cx="2065455" cy="2556000"/>
                          </a:xfrm>
                          <a:prstGeom prst="rect">
                            <a:avLst/>
                          </a:prstGeom>
                        </pic:spPr>
                      </pic:pic>
                    </a:graphicData>
                  </a:graphic>
                </wp:inline>
              </w:drawing>
            </w:r>
          </w:p>
        </w:tc>
        <w:tc>
          <w:tcPr>
            <w:tcW w:w="4508" w:type="dxa"/>
            <w:vAlign w:val="center"/>
          </w:tcPr>
          <w:p w14:paraId="0C4EA0ED" w14:textId="77777777" w:rsidR="00406EF8" w:rsidRPr="00FC71BE" w:rsidRDefault="00406EF8">
            <w:pPr>
              <w:pStyle w:val="Figure"/>
              <w:rPr>
                <w:noProof w:val="0"/>
              </w:rPr>
            </w:pPr>
            <w:r w:rsidRPr="00FC71BE">
              <w:drawing>
                <wp:inline distT="0" distB="0" distL="0" distR="0" wp14:anchorId="42A45FA4" wp14:editId="31A86D28">
                  <wp:extent cx="2652207" cy="2628000"/>
                  <wp:effectExtent l="0" t="0" r="0" b="1270"/>
                  <wp:docPr id="182898367" name="Picture 182898367" descr="A diagram of a circular object with text&#10;&#10;Description automatically generated">
                    <a:extLst xmlns:a="http://schemas.openxmlformats.org/drawingml/2006/main">
                      <a:ext uri="{FF2B5EF4-FFF2-40B4-BE49-F238E27FC236}">
                        <a16:creationId xmlns:a16="http://schemas.microsoft.com/office/drawing/2014/main" id="{0C6CB509-604A-4F6E-9C13-50A1A69CF5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8367" name="Picture 182898367" descr="A diagram of a circular object with text&#10;&#10;Description automatically generated">
                            <a:extLst>
                              <a:ext uri="{FF2B5EF4-FFF2-40B4-BE49-F238E27FC236}">
                                <a16:creationId xmlns:a16="http://schemas.microsoft.com/office/drawing/2014/main" id="{0C6CB509-604A-4F6E-9C13-50A1A69CF5BB}"/>
                              </a:ext>
                            </a:extLst>
                          </pic:cNvPr>
                          <pic:cNvPicPr>
                            <a:picLocks noChangeAspect="1"/>
                          </pic:cNvPicPr>
                        </pic:nvPicPr>
                        <pic:blipFill>
                          <a:blip r:embed="rId216"/>
                          <a:stretch>
                            <a:fillRect/>
                          </a:stretch>
                        </pic:blipFill>
                        <pic:spPr>
                          <a:xfrm>
                            <a:off x="0" y="0"/>
                            <a:ext cx="2652207" cy="2628000"/>
                          </a:xfrm>
                          <a:prstGeom prst="rect">
                            <a:avLst/>
                          </a:prstGeom>
                        </pic:spPr>
                      </pic:pic>
                    </a:graphicData>
                  </a:graphic>
                </wp:inline>
              </w:drawing>
            </w:r>
          </w:p>
        </w:tc>
      </w:tr>
      <w:tr w:rsidR="00FC71BE" w:rsidRPr="00FC71BE" w14:paraId="1B1B449B" w14:textId="77777777">
        <w:tc>
          <w:tcPr>
            <w:tcW w:w="4508" w:type="dxa"/>
            <w:vAlign w:val="center"/>
          </w:tcPr>
          <w:p w14:paraId="3967772E" w14:textId="77777777" w:rsidR="00406EF8" w:rsidRPr="00FC71BE" w:rsidRDefault="00406EF8">
            <w:pPr>
              <w:pStyle w:val="Figure"/>
              <w:rPr>
                <w:noProof w:val="0"/>
              </w:rPr>
            </w:pPr>
            <w:r w:rsidRPr="00FC71BE">
              <w:rPr>
                <w:noProof w:val="0"/>
              </w:rPr>
              <w:t>(a)</w:t>
            </w:r>
          </w:p>
        </w:tc>
        <w:tc>
          <w:tcPr>
            <w:tcW w:w="4508" w:type="dxa"/>
            <w:vAlign w:val="center"/>
          </w:tcPr>
          <w:p w14:paraId="5153E8EA" w14:textId="77777777" w:rsidR="00406EF8" w:rsidRPr="00FC71BE" w:rsidRDefault="00406EF8">
            <w:pPr>
              <w:pStyle w:val="Figure"/>
              <w:rPr>
                <w:noProof w:val="0"/>
              </w:rPr>
            </w:pPr>
            <w:r w:rsidRPr="00FC71BE">
              <w:rPr>
                <w:noProof w:val="0"/>
              </w:rPr>
              <w:t>(b)</w:t>
            </w:r>
          </w:p>
        </w:tc>
      </w:tr>
    </w:tbl>
    <w:p w14:paraId="0023C1DC" w14:textId="49C6814E" w:rsidR="00406EF8" w:rsidRPr="00FC71BE" w:rsidRDefault="00406EF8" w:rsidP="00406EF8">
      <w:pPr>
        <w:pStyle w:val="FigureTitle"/>
      </w:pPr>
      <w:bookmarkStart w:id="307" w:name="_Ref141107582"/>
      <w:r w:rsidRPr="00FC71BE">
        <w:t xml:space="preserve">Fig. </w:t>
      </w:r>
      <w:fldSimple w:instr=" STYLEREF 1 \s ">
        <w:r w:rsidR="007E62C1" w:rsidRPr="00FC71BE">
          <w:rPr>
            <w:noProof/>
          </w:rPr>
          <w:t>5</w:t>
        </w:r>
      </w:fldSimple>
      <w:r w:rsidRPr="00FC71BE">
        <w:t>.</w:t>
      </w:r>
      <w:fldSimple w:instr=" SEQ Fig. \* ARABIC \s 1 ">
        <w:r w:rsidR="007E62C1" w:rsidRPr="00FC71BE">
          <w:rPr>
            <w:noProof/>
          </w:rPr>
          <w:t>5</w:t>
        </w:r>
      </w:fldSimple>
      <w:bookmarkEnd w:id="307"/>
      <w:r w:rsidRPr="00FC71BE">
        <w:t>. (a) Planes chosen to show the temperature distribution and fluid flow and (b) six sections to analyse the fluid dynamics and heat transfer results.</w:t>
      </w:r>
    </w:p>
    <w:p w14:paraId="76D0B656" w14:textId="77777777" w:rsidR="00406EF8" w:rsidRPr="00FC71BE" w:rsidRDefault="00406EF8" w:rsidP="00B86C68">
      <w:pPr>
        <w:pStyle w:val="Heading3"/>
        <w:numPr>
          <w:ilvl w:val="2"/>
          <w:numId w:val="49"/>
        </w:numPr>
      </w:pPr>
      <w:bookmarkStart w:id="308" w:name="_Toc157695391"/>
      <w:r w:rsidRPr="00FC71BE">
        <w:t>Cooling Efficiency of Ferrofluid Cooling</w:t>
      </w:r>
      <w:bookmarkEnd w:id="308"/>
    </w:p>
    <w:p w14:paraId="3FF001E5" w14:textId="7642F01D" w:rsidR="00406EF8" w:rsidRPr="00FC71BE" w:rsidRDefault="00406EF8" w:rsidP="00406EF8">
      <w:r w:rsidRPr="00FC71BE">
        <w:t xml:space="preserve">For different coolants, the peak coil temperatures versus time have been calculated using 3D COMSOL Multiphysics model, and the results are shown in </w:t>
      </w:r>
      <w:r w:rsidRPr="00FC71BE">
        <w:fldChar w:fldCharType="begin"/>
      </w:r>
      <w:r w:rsidRPr="00FC71BE">
        <w:instrText xml:space="preserve"> REF _Ref141123980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6</w:t>
      </w:r>
      <w:r w:rsidRPr="00FC71BE">
        <w:fldChar w:fldCharType="end"/>
      </w:r>
      <w:r w:rsidRPr="00FC71BE">
        <w:t xml:space="preserve">. It is found that, when ferrofluid is introduced to replace air in the end-winding region, the peak coil temperature is reduced by </w:t>
      </w:r>
      <m:oMath>
        <m:r>
          <w:rPr>
            <w:rFonts w:ascii="Cambria Math" w:hAnsi="Cambria Math"/>
          </w:rPr>
          <m:t>16.2℃</m:t>
        </m:r>
      </m:oMath>
      <w:r w:rsidRPr="00FC71BE">
        <w:t>. This temperature reduction is due to two factors, i.e., gravitational effect and magnetic body force.</w:t>
      </w:r>
    </w:p>
    <w:p w14:paraId="758591C5" w14:textId="77777777" w:rsidR="00406EF8" w:rsidRPr="00FC71BE" w:rsidRDefault="00406EF8" w:rsidP="00406EF8">
      <w:pPr>
        <w:pStyle w:val="Figure"/>
        <w:rPr>
          <w:noProof w:val="0"/>
        </w:rPr>
      </w:pPr>
      <w:r w:rsidRPr="00FC71BE">
        <w:drawing>
          <wp:inline distT="0" distB="0" distL="0" distR="0" wp14:anchorId="11DBE427" wp14:editId="23D0B765">
            <wp:extent cx="3980839" cy="2988000"/>
            <wp:effectExtent l="0" t="0" r="635" b="3175"/>
            <wp:docPr id="311984955" name="Picture 31198495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980839" cy="2988000"/>
                    </a:xfrm>
                    <a:prstGeom prst="rect">
                      <a:avLst/>
                    </a:prstGeom>
                    <a:noFill/>
                    <a:ln>
                      <a:noFill/>
                    </a:ln>
                  </pic:spPr>
                </pic:pic>
              </a:graphicData>
            </a:graphic>
          </wp:inline>
        </w:drawing>
      </w:r>
    </w:p>
    <w:p w14:paraId="20361BC5" w14:textId="67D17B8D" w:rsidR="00406EF8" w:rsidRPr="00FC71BE" w:rsidRDefault="00406EF8" w:rsidP="00406EF8">
      <w:pPr>
        <w:pStyle w:val="FigureTitle"/>
      </w:pPr>
      <w:bookmarkStart w:id="309" w:name="_Ref141123980"/>
      <w:r w:rsidRPr="00FC71BE">
        <w:t xml:space="preserve">Fig. </w:t>
      </w:r>
      <w:fldSimple w:instr=" STYLEREF 1 \s ">
        <w:r w:rsidR="007E62C1" w:rsidRPr="00FC71BE">
          <w:rPr>
            <w:noProof/>
          </w:rPr>
          <w:t>5</w:t>
        </w:r>
      </w:fldSimple>
      <w:r w:rsidRPr="00FC71BE">
        <w:t>.</w:t>
      </w:r>
      <w:fldSimple w:instr=" SEQ Fig. \* ARABIC \s 1 ">
        <w:r w:rsidR="007E62C1" w:rsidRPr="00FC71BE">
          <w:rPr>
            <w:noProof/>
          </w:rPr>
          <w:t>6</w:t>
        </w:r>
      </w:fldSimple>
      <w:bookmarkEnd w:id="309"/>
      <w:r w:rsidRPr="00FC71BE">
        <w:t xml:space="preserve">.  Maximum coil temperatures </w:t>
      </w:r>
      <w:r w:rsidRPr="00FC71BE">
        <w:rPr>
          <w:i/>
        </w:rPr>
        <w:t>vs</w:t>
      </w:r>
      <w:r w:rsidRPr="00FC71BE">
        <w:t xml:space="preserve"> time for different coolants at rated current density of </w:t>
      </w:r>
      <m:oMath>
        <m:f>
          <m:fPr>
            <m:type m:val="lin"/>
            <m:ctrlPr>
              <w:rPr>
                <w:rFonts w:ascii="Cambria Math" w:hAnsi="Cambria Math"/>
              </w:rPr>
            </m:ctrlPr>
          </m:fPr>
          <m:num>
            <m:r>
              <m:rPr>
                <m:sty m:val="p"/>
              </m:rPr>
              <w:rPr>
                <w:rFonts w:ascii="Cambria Math" w:hAnsi="Cambria Math"/>
              </w:rPr>
              <m:t>18.4 A</m:t>
            </m:r>
          </m:num>
          <m:den>
            <m:sSup>
              <m:sSupPr>
                <m:ctrlPr>
                  <w:rPr>
                    <w:rFonts w:ascii="Cambria Math" w:hAnsi="Cambria Math"/>
                  </w:rPr>
                </m:ctrlPr>
              </m:sSupPr>
              <m:e>
                <m:r>
                  <m:rPr>
                    <m:sty m:val="p"/>
                  </m:rPr>
                  <w:rPr>
                    <w:rFonts w:ascii="Cambria Math" w:hAnsi="Cambria Math"/>
                  </w:rPr>
                  <m:t>mm</m:t>
                </m:r>
              </m:e>
              <m:sup>
                <m:r>
                  <m:rPr>
                    <m:sty m:val="p"/>
                  </m:rPr>
                  <w:rPr>
                    <w:rFonts w:ascii="Cambria Math" w:hAnsi="Cambria Math"/>
                  </w:rPr>
                  <m:t>2</m:t>
                </m:r>
              </m:sup>
            </m:sSup>
          </m:den>
        </m:f>
      </m:oMath>
      <w:r w:rsidRPr="00FC71BE">
        <w:t>.</w:t>
      </w:r>
    </w:p>
    <w:p w14:paraId="1F67DE1E" w14:textId="7FBBBDE2" w:rsidR="00406EF8" w:rsidRPr="00FC71BE" w:rsidRDefault="00406EF8" w:rsidP="003654E0">
      <w:r w:rsidRPr="00FC71BE">
        <w:lastRenderedPageBreak/>
        <w:t xml:space="preserve">The nanofluid with the same physical properties as those of the ferrofluid is affected by the same gravitational effect. Due to significant thermal expansion, the density of hotter fluid reduces and moves to the top sections (A, B and C) by buoyancy, whilst the cooler fluid moves towards the bottom sections (A’, B’ and C’), as shown in </w:t>
      </w:r>
      <w:r w:rsidRPr="00FC71BE">
        <w:fldChar w:fldCharType="begin"/>
      </w:r>
      <w:r w:rsidRPr="00FC71BE">
        <w:instrText xml:space="preserve"> REF _Ref141125378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7</w:t>
      </w:r>
      <w:r w:rsidRPr="00FC71BE">
        <w:fldChar w:fldCharType="end"/>
      </w:r>
      <w:r w:rsidRPr="00FC71BE">
        <w:t xml:space="preserve"> (a). The fluid behaviour is also reflected in the coolant temperature as shown in </w:t>
      </w:r>
      <w:r w:rsidRPr="00FC71BE">
        <w:fldChar w:fldCharType="begin"/>
      </w:r>
      <w:r w:rsidRPr="00FC71BE">
        <w:instrText xml:space="preserve"> REF _Ref141125394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8</w:t>
      </w:r>
      <w:r w:rsidRPr="00FC71BE">
        <w:fldChar w:fldCharType="end"/>
      </w:r>
      <w:r w:rsidRPr="00FC71BE">
        <w:t xml:space="preserve"> (a). Compared to the natural air cooling, this heat exchange helps the nanofluid to reduce the machine temperature by </w:t>
      </w:r>
      <m:oMath>
        <m:r>
          <w:rPr>
            <w:rFonts w:ascii="Cambria Math" w:hAnsi="Cambria Math"/>
          </w:rPr>
          <m:t>4.8 ℃</m:t>
        </m:r>
      </m:oMath>
      <w:r w:rsidRPr="00FC71BE">
        <w:t xml:space="preserve">. In addition, buoyancy also causes a circumferential asymmetry within the fluid flow and therefore an asymmetry of the machine temperature distribution, as listed in </w:t>
      </w:r>
      <w:r w:rsidRPr="00FC71BE">
        <w:fldChar w:fldCharType="begin"/>
      </w:r>
      <w:r w:rsidRPr="00FC71BE">
        <w:instrText xml:space="preserve"> REF _Ref141125423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3</w:t>
      </w:r>
      <w:r w:rsidRPr="00FC71BE">
        <w:fldChar w:fldCharType="end"/>
      </w:r>
      <w:r w:rsidRPr="00FC71BE">
        <w:t xml:space="preserve">. The hotter coolant is gathered in the top sections, leading to higher temperature in these sections. It is worth noting that, the temperature reductions by the nanofluid and the pure liquid base are almost the same, as listed in </w:t>
      </w:r>
      <w:r w:rsidRPr="00FC71BE">
        <w:fldChar w:fldCharType="begin"/>
      </w:r>
      <w:r w:rsidRPr="00FC71BE">
        <w:instrText xml:space="preserve"> REF _Ref141125423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3</w:t>
      </w:r>
      <w:r w:rsidRPr="00FC71BE">
        <w:fldChar w:fldCharType="end"/>
      </w:r>
      <w:r w:rsidRPr="00FC71BE">
        <w:t xml:space="preserve">. This is mainly because although the additional nanoparticles improve the conduction coefficient and increase the fluid viscosity, the low concentration of nanoparticles (e.g., 5.4%) very much limits their impact on fluid physical properties. In addition to the gravitational effect, the magnetic body force can further reduce machine temperature. Compared with the nanofluid cooling, the ferrofluid can reduce the peak coil temperature by another </w:t>
      </w:r>
      <m:oMath>
        <m:r>
          <w:rPr>
            <w:rFonts w:ascii="Cambria Math" w:hAnsi="Cambria Math"/>
          </w:rPr>
          <m:t>11.4℃</m:t>
        </m:r>
      </m:oMath>
      <w:r w:rsidRPr="00FC71BE">
        <w:t xml:space="preserve">, as shown in </w:t>
      </w:r>
      <w:r w:rsidRPr="00FC71BE">
        <w:fldChar w:fldCharType="begin"/>
      </w:r>
      <w:r w:rsidRPr="00FC71BE">
        <w:instrText xml:space="preserve"> REF _Ref141125394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8</w:t>
      </w:r>
      <w:r w:rsidRPr="00FC71BE">
        <w:fldChar w:fldCharType="end"/>
      </w:r>
      <w:r w:rsidRPr="00FC71BE">
        <w:t xml:space="preserve">. The reason is that, due to the existence of magnetic body force, the circulation of the ferrofluid is faster, leading to increased thermomagnetic convection. In addition, the ferromagnetic particles are attracted to the centre of the coil in each section as shown in </w:t>
      </w:r>
      <w:r w:rsidRPr="00FC71BE">
        <w:fldChar w:fldCharType="begin"/>
      </w:r>
      <w:r w:rsidRPr="00FC71BE">
        <w:instrText xml:space="preserve"> REF _Ref141125378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7</w:t>
      </w:r>
      <w:r w:rsidRPr="00FC71BE">
        <w:fldChar w:fldCharType="end"/>
      </w:r>
      <w:r w:rsidRPr="00FC71BE">
        <w:t xml:space="preserve"> (b), resulting in more uniform distribution of coolant velocity field, and hence more uniform end-winding temperature distribution.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3115651C" w14:textId="77777777">
        <w:tc>
          <w:tcPr>
            <w:tcW w:w="4508" w:type="dxa"/>
          </w:tcPr>
          <w:p w14:paraId="6EC0F332" w14:textId="77777777" w:rsidR="00406EF8" w:rsidRPr="00FC71BE" w:rsidRDefault="00406EF8">
            <w:pPr>
              <w:pStyle w:val="Figure"/>
              <w:rPr>
                <w:noProof w:val="0"/>
              </w:rPr>
            </w:pPr>
            <w:r w:rsidRPr="00FC71BE">
              <w:drawing>
                <wp:inline distT="0" distB="0" distL="0" distR="0" wp14:anchorId="2BF97D8B" wp14:editId="00B02C0A">
                  <wp:extent cx="2537077" cy="2844000"/>
                  <wp:effectExtent l="0" t="0" r="0" b="0"/>
                  <wp:docPr id="103577651" name="Picture 103577651" descr="A diagram of a circular object with arrows&#10;&#10;Description automatically generated">
                    <a:extLst xmlns:a="http://schemas.openxmlformats.org/drawingml/2006/main">
                      <a:ext uri="{FF2B5EF4-FFF2-40B4-BE49-F238E27FC236}">
                        <a16:creationId xmlns:a16="http://schemas.microsoft.com/office/drawing/2014/main" id="{2C0DBD83-A4AC-4983-96A0-F8A4C6C430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7651" name="Picture 103577651" descr="A diagram of a circular object with arrows&#10;&#10;Description automatically generated">
                            <a:extLst>
                              <a:ext uri="{FF2B5EF4-FFF2-40B4-BE49-F238E27FC236}">
                                <a16:creationId xmlns:a16="http://schemas.microsoft.com/office/drawing/2014/main" id="{2C0DBD83-A4AC-4983-96A0-F8A4C6C43011}"/>
                              </a:ext>
                            </a:extLst>
                          </pic:cNvPr>
                          <pic:cNvPicPr>
                            <a:picLocks noChangeAspect="1"/>
                          </pic:cNvPicPr>
                        </pic:nvPicPr>
                        <pic:blipFill rotWithShape="1">
                          <a:blip r:embed="rId218"/>
                          <a:srcRect b="5158"/>
                          <a:stretch/>
                        </pic:blipFill>
                        <pic:spPr bwMode="auto">
                          <a:xfrm>
                            <a:off x="0" y="0"/>
                            <a:ext cx="2537077" cy="2844000"/>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7B3EBE3F" w14:textId="77777777" w:rsidR="00406EF8" w:rsidRPr="00FC71BE" w:rsidRDefault="00406EF8">
            <w:pPr>
              <w:pStyle w:val="Figure"/>
              <w:rPr>
                <w:noProof w:val="0"/>
              </w:rPr>
            </w:pPr>
            <w:r w:rsidRPr="00FC71BE">
              <w:drawing>
                <wp:inline distT="0" distB="0" distL="0" distR="0" wp14:anchorId="703C5C96" wp14:editId="2137858B">
                  <wp:extent cx="2554231" cy="2844000"/>
                  <wp:effectExtent l="0" t="0" r="0" b="0"/>
                  <wp:docPr id="425953001" name="Picture 425953001" descr="A diagram of a flow of liquid&#10;&#10;Description automatically generated">
                    <a:extLst xmlns:a="http://schemas.openxmlformats.org/drawingml/2006/main">
                      <a:ext uri="{FF2B5EF4-FFF2-40B4-BE49-F238E27FC236}">
                        <a16:creationId xmlns:a16="http://schemas.microsoft.com/office/drawing/2014/main" id="{F4EA3A04-B0CE-4495-887E-9D98128D86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53001" name="Picture 425953001" descr="A diagram of a flow of liquid&#10;&#10;Description automatically generated">
                            <a:extLst>
                              <a:ext uri="{FF2B5EF4-FFF2-40B4-BE49-F238E27FC236}">
                                <a16:creationId xmlns:a16="http://schemas.microsoft.com/office/drawing/2014/main" id="{F4EA3A04-B0CE-4495-887E-9D98128D8654}"/>
                              </a:ext>
                            </a:extLst>
                          </pic:cNvPr>
                          <pic:cNvPicPr>
                            <a:picLocks noChangeAspect="1"/>
                          </pic:cNvPicPr>
                        </pic:nvPicPr>
                        <pic:blipFill rotWithShape="1">
                          <a:blip r:embed="rId219"/>
                          <a:srcRect t="2417" b="5300"/>
                          <a:stretch/>
                        </pic:blipFill>
                        <pic:spPr bwMode="auto">
                          <a:xfrm>
                            <a:off x="0" y="0"/>
                            <a:ext cx="2554231" cy="2844000"/>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2352C047" w14:textId="77777777">
        <w:tc>
          <w:tcPr>
            <w:tcW w:w="4508" w:type="dxa"/>
          </w:tcPr>
          <w:p w14:paraId="1CD49E25" w14:textId="77777777" w:rsidR="00406EF8" w:rsidRPr="00FC71BE" w:rsidRDefault="00406EF8">
            <w:pPr>
              <w:pStyle w:val="Figure"/>
              <w:rPr>
                <w:noProof w:val="0"/>
              </w:rPr>
            </w:pPr>
            <w:r w:rsidRPr="00FC71BE">
              <w:rPr>
                <w:noProof w:val="0"/>
              </w:rPr>
              <w:t>(a) Nanofluid</w:t>
            </w:r>
          </w:p>
        </w:tc>
        <w:tc>
          <w:tcPr>
            <w:tcW w:w="4508" w:type="dxa"/>
          </w:tcPr>
          <w:p w14:paraId="23C3A30C" w14:textId="77777777" w:rsidR="00406EF8" w:rsidRPr="00FC71BE" w:rsidRDefault="00406EF8">
            <w:pPr>
              <w:pStyle w:val="Figure"/>
              <w:rPr>
                <w:noProof w:val="0"/>
              </w:rPr>
            </w:pPr>
            <w:r w:rsidRPr="00FC71BE">
              <w:rPr>
                <w:noProof w:val="0"/>
              </w:rPr>
              <w:t>(b) Ferrofluid</w:t>
            </w:r>
          </w:p>
        </w:tc>
      </w:tr>
    </w:tbl>
    <w:p w14:paraId="38A7311F" w14:textId="01F818F2" w:rsidR="00406EF8" w:rsidRPr="00FC71BE" w:rsidRDefault="00406EF8" w:rsidP="00406EF8">
      <w:pPr>
        <w:pStyle w:val="FigureTitle"/>
      </w:pPr>
      <w:bookmarkStart w:id="310" w:name="_Ref141125378"/>
      <w:r w:rsidRPr="00FC71BE">
        <w:t xml:space="preserve">Fig. </w:t>
      </w:r>
      <w:fldSimple w:instr=" STYLEREF 1 \s ">
        <w:r w:rsidR="007E62C1" w:rsidRPr="00FC71BE">
          <w:rPr>
            <w:noProof/>
          </w:rPr>
          <w:t>5</w:t>
        </w:r>
      </w:fldSimple>
      <w:r w:rsidRPr="00FC71BE">
        <w:t>.</w:t>
      </w:r>
      <w:fldSimple w:instr=" SEQ Fig. \* ARABIC \s 1 ">
        <w:r w:rsidR="007E62C1" w:rsidRPr="00FC71BE">
          <w:rPr>
            <w:noProof/>
          </w:rPr>
          <w:t>7</w:t>
        </w:r>
      </w:fldSimple>
      <w:bookmarkEnd w:id="310"/>
      <w:r w:rsidRPr="00FC71BE">
        <w:t xml:space="preserve">.  Fluid flow velocity on plane 1 for the machines with different coolant at rated current density of </w:t>
      </w:r>
      <m:oMath>
        <m:f>
          <m:fPr>
            <m:type m:val="lin"/>
            <m:ctrlPr>
              <w:rPr>
                <w:rFonts w:ascii="Cambria Math" w:hAnsi="Cambria Math"/>
              </w:rPr>
            </m:ctrlPr>
          </m:fPr>
          <m:num>
            <m:r>
              <m:rPr>
                <m:sty m:val="p"/>
              </m:rPr>
              <w:rPr>
                <w:rFonts w:ascii="Cambria Math" w:hAnsi="Cambria Math"/>
              </w:rPr>
              <m:t>18.4 A</m:t>
            </m:r>
          </m:num>
          <m:den>
            <m:sSup>
              <m:sSupPr>
                <m:ctrlPr>
                  <w:rPr>
                    <w:rFonts w:ascii="Cambria Math" w:hAnsi="Cambria Math"/>
                  </w:rPr>
                </m:ctrlPr>
              </m:sSupPr>
              <m:e>
                <m:r>
                  <m:rPr>
                    <m:sty m:val="p"/>
                  </m:rPr>
                  <w:rPr>
                    <w:rFonts w:ascii="Cambria Math" w:hAnsi="Cambria Math"/>
                  </w:rPr>
                  <m:t>mm</m:t>
                </m:r>
              </m:e>
              <m:sup>
                <m:r>
                  <m:rPr>
                    <m:sty m:val="p"/>
                  </m:rPr>
                  <w:rPr>
                    <w:rFonts w:ascii="Cambria Math" w:hAnsi="Cambria Math"/>
                  </w:rPr>
                  <m:t>2</m:t>
                </m:r>
              </m:sup>
            </m:sSup>
          </m:den>
        </m:f>
      </m:oMath>
      <w:r w:rsidRPr="00FC71BE">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3"/>
        <w:gridCol w:w="3341"/>
        <w:gridCol w:w="2372"/>
      </w:tblGrid>
      <w:tr w:rsidR="00FC71BE" w:rsidRPr="00FC71BE" w14:paraId="0CFD5AF3" w14:textId="77777777">
        <w:tc>
          <w:tcPr>
            <w:tcW w:w="1835" w:type="pct"/>
            <w:vAlign w:val="center"/>
          </w:tcPr>
          <w:p w14:paraId="01143720" w14:textId="77777777" w:rsidR="00406EF8" w:rsidRPr="00FC71BE" w:rsidRDefault="00406EF8">
            <w:pPr>
              <w:pStyle w:val="Figure"/>
              <w:rPr>
                <w:noProof w:val="0"/>
              </w:rPr>
            </w:pPr>
            <w:r w:rsidRPr="00FC71BE">
              <w:lastRenderedPageBreak/>
              <w:drawing>
                <wp:inline distT="0" distB="0" distL="0" distR="0" wp14:anchorId="0BAE2C7D" wp14:editId="33ED639E">
                  <wp:extent cx="1009497" cy="3635826"/>
                  <wp:effectExtent l="0" t="0" r="635" b="3175"/>
                  <wp:docPr id="190840907" name="Picture 190840907" descr="A blue and black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0907" name="Picture 190840907" descr="A blue and black screen&#10;&#10;Description automatically generated"/>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042188" cy="3753565"/>
                          </a:xfrm>
                          <a:prstGeom prst="rect">
                            <a:avLst/>
                          </a:prstGeom>
                          <a:noFill/>
                        </pic:spPr>
                      </pic:pic>
                    </a:graphicData>
                  </a:graphic>
                </wp:inline>
              </w:drawing>
            </w:r>
          </w:p>
        </w:tc>
        <w:tc>
          <w:tcPr>
            <w:tcW w:w="1851" w:type="pct"/>
            <w:vAlign w:val="center"/>
          </w:tcPr>
          <w:p w14:paraId="7F937753" w14:textId="77777777" w:rsidR="00406EF8" w:rsidRPr="00FC71BE" w:rsidRDefault="00406EF8">
            <w:pPr>
              <w:pStyle w:val="Figure"/>
              <w:rPr>
                <w:noProof w:val="0"/>
              </w:rPr>
            </w:pPr>
            <w:r w:rsidRPr="00FC71BE">
              <w:drawing>
                <wp:inline distT="0" distB="0" distL="0" distR="0" wp14:anchorId="351384AF" wp14:editId="48D5F0B6">
                  <wp:extent cx="1016813" cy="3691049"/>
                  <wp:effectExtent l="0" t="0" r="0" b="5080"/>
                  <wp:docPr id="2130176666" name="Picture 2130176666" descr="A blue and whit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76666" name="Picture 2130176666" descr="A blue and white screen&#10;&#10;Description automatically generat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50355" cy="3812807"/>
                          </a:xfrm>
                          <a:prstGeom prst="rect">
                            <a:avLst/>
                          </a:prstGeom>
                          <a:noFill/>
                        </pic:spPr>
                      </pic:pic>
                    </a:graphicData>
                  </a:graphic>
                </wp:inline>
              </w:drawing>
            </w:r>
          </w:p>
        </w:tc>
        <w:tc>
          <w:tcPr>
            <w:tcW w:w="1314" w:type="pct"/>
            <w:vAlign w:val="center"/>
          </w:tcPr>
          <w:p w14:paraId="5755ADE7" w14:textId="77777777" w:rsidR="00406EF8" w:rsidRPr="00FC71BE" w:rsidRDefault="00406EF8">
            <w:pPr>
              <w:pStyle w:val="Figure"/>
              <w:rPr>
                <w:noProof w:val="0"/>
              </w:rPr>
            </w:pPr>
            <w:r w:rsidRPr="00FC71BE">
              <w:drawing>
                <wp:inline distT="0" distB="0" distL="0" distR="0" wp14:anchorId="5280465D" wp14:editId="1E184C3B">
                  <wp:extent cx="803909" cy="3650284"/>
                  <wp:effectExtent l="0" t="0" r="0" b="0"/>
                  <wp:docPr id="1418776777" name="Picture 1418776777" descr="A rainbow colored line on a black background&#10;&#10;Description automatically generated">
                    <a:extLst xmlns:a="http://schemas.openxmlformats.org/drawingml/2006/main">
                      <a:ext uri="{FF2B5EF4-FFF2-40B4-BE49-F238E27FC236}">
                        <a16:creationId xmlns:a16="http://schemas.microsoft.com/office/drawing/2014/main" id="{0A55F7F8-3DDF-4E4D-80F3-B95FCD9918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76777" name="Picture 1418776777" descr="A rainbow colored line on a black background&#10;&#10;Description automatically generated">
                            <a:extLst>
                              <a:ext uri="{FF2B5EF4-FFF2-40B4-BE49-F238E27FC236}">
                                <a16:creationId xmlns:a16="http://schemas.microsoft.com/office/drawing/2014/main" id="{0A55F7F8-3DDF-4E4D-80F3-B95FCD991862}"/>
                              </a:ext>
                            </a:extLst>
                          </pic:cNvPr>
                          <pic:cNvPicPr>
                            <a:picLocks noChangeAspect="1"/>
                          </pic:cNvPicPr>
                        </pic:nvPicPr>
                        <pic:blipFill>
                          <a:blip r:embed="rId222"/>
                          <a:stretch>
                            <a:fillRect/>
                          </a:stretch>
                        </pic:blipFill>
                        <pic:spPr>
                          <a:xfrm>
                            <a:off x="0" y="0"/>
                            <a:ext cx="838438" cy="3807070"/>
                          </a:xfrm>
                          <a:prstGeom prst="rect">
                            <a:avLst/>
                          </a:prstGeom>
                        </pic:spPr>
                      </pic:pic>
                    </a:graphicData>
                  </a:graphic>
                </wp:inline>
              </w:drawing>
            </w:r>
          </w:p>
        </w:tc>
      </w:tr>
      <w:tr w:rsidR="00FC71BE" w:rsidRPr="00FC71BE" w14:paraId="55569522" w14:textId="77777777">
        <w:tc>
          <w:tcPr>
            <w:tcW w:w="1835" w:type="pct"/>
            <w:vAlign w:val="center"/>
          </w:tcPr>
          <w:p w14:paraId="6E96E28F" w14:textId="77777777" w:rsidR="00406EF8" w:rsidRPr="00FC71BE" w:rsidRDefault="00406EF8">
            <w:pPr>
              <w:pStyle w:val="Figure"/>
              <w:rPr>
                <w:noProof w:val="0"/>
              </w:rPr>
            </w:pPr>
            <w:r w:rsidRPr="00FC71BE">
              <w:rPr>
                <w:noProof w:val="0"/>
              </w:rPr>
              <w:t>(a) Nanofluid</w:t>
            </w:r>
          </w:p>
        </w:tc>
        <w:tc>
          <w:tcPr>
            <w:tcW w:w="1851" w:type="pct"/>
            <w:vAlign w:val="center"/>
          </w:tcPr>
          <w:p w14:paraId="2D7E7053" w14:textId="77777777" w:rsidR="00406EF8" w:rsidRPr="00FC71BE" w:rsidRDefault="00406EF8">
            <w:pPr>
              <w:pStyle w:val="Figure"/>
              <w:rPr>
                <w:noProof w:val="0"/>
              </w:rPr>
            </w:pPr>
            <w:r w:rsidRPr="00FC71BE">
              <w:rPr>
                <w:noProof w:val="0"/>
              </w:rPr>
              <w:t>(b) Ferrofluid</w:t>
            </w:r>
          </w:p>
        </w:tc>
        <w:tc>
          <w:tcPr>
            <w:tcW w:w="1314" w:type="pct"/>
            <w:vAlign w:val="center"/>
          </w:tcPr>
          <w:p w14:paraId="66A7FB0A" w14:textId="77777777" w:rsidR="00406EF8" w:rsidRPr="00FC71BE" w:rsidRDefault="00406EF8">
            <w:pPr>
              <w:pStyle w:val="Figure"/>
              <w:rPr>
                <w:noProof w:val="0"/>
              </w:rPr>
            </w:pPr>
          </w:p>
        </w:tc>
      </w:tr>
    </w:tbl>
    <w:p w14:paraId="75A425C5" w14:textId="77D45E72" w:rsidR="00406EF8" w:rsidRPr="00FC71BE" w:rsidRDefault="00406EF8" w:rsidP="00406EF8">
      <w:pPr>
        <w:pStyle w:val="FigureTitle"/>
      </w:pPr>
      <w:bookmarkStart w:id="311" w:name="_Ref141125394"/>
      <w:bookmarkStart w:id="312" w:name="_Ref141125495"/>
      <w:r w:rsidRPr="00FC71BE">
        <w:t xml:space="preserve">Fig. </w:t>
      </w:r>
      <w:fldSimple w:instr=" STYLEREF 1 \s ">
        <w:r w:rsidR="007E62C1" w:rsidRPr="00FC71BE">
          <w:rPr>
            <w:noProof/>
          </w:rPr>
          <w:t>5</w:t>
        </w:r>
      </w:fldSimple>
      <w:r w:rsidRPr="00FC71BE">
        <w:t>.</w:t>
      </w:r>
      <w:fldSimple w:instr=" SEQ Fig. \* ARABIC \s 1 ">
        <w:r w:rsidR="007E62C1" w:rsidRPr="00FC71BE">
          <w:rPr>
            <w:noProof/>
          </w:rPr>
          <w:t>8</w:t>
        </w:r>
      </w:fldSimple>
      <w:bookmarkEnd w:id="311"/>
      <w:r w:rsidRPr="00FC71BE">
        <w:t xml:space="preserve">.  Temperature distribution on plane 2 in the end-winding region for the machines with different coolant at rated current density of </w:t>
      </w:r>
      <m:oMath>
        <m:f>
          <m:fPr>
            <m:type m:val="lin"/>
            <m:ctrlPr>
              <w:rPr>
                <w:rFonts w:ascii="Cambria Math" w:hAnsi="Cambria Math"/>
              </w:rPr>
            </m:ctrlPr>
          </m:fPr>
          <m:num>
            <m:r>
              <m:rPr>
                <m:sty m:val="p"/>
              </m:rPr>
              <w:rPr>
                <w:rFonts w:ascii="Cambria Math" w:hAnsi="Cambria Math"/>
              </w:rPr>
              <m:t>18.4 A</m:t>
            </m:r>
          </m:num>
          <m:den>
            <m:sSup>
              <m:sSupPr>
                <m:ctrlPr>
                  <w:rPr>
                    <w:rFonts w:ascii="Cambria Math" w:hAnsi="Cambria Math"/>
                  </w:rPr>
                </m:ctrlPr>
              </m:sSupPr>
              <m:e>
                <m:r>
                  <m:rPr>
                    <m:sty m:val="p"/>
                  </m:rPr>
                  <w:rPr>
                    <w:rFonts w:ascii="Cambria Math" w:hAnsi="Cambria Math"/>
                  </w:rPr>
                  <m:t>mm</m:t>
                </m:r>
              </m:e>
              <m:sup>
                <m:r>
                  <m:rPr>
                    <m:sty m:val="p"/>
                  </m:rPr>
                  <w:rPr>
                    <w:rFonts w:ascii="Cambria Math" w:hAnsi="Cambria Math"/>
                  </w:rPr>
                  <m:t>2</m:t>
                </m:r>
              </m:sup>
            </m:sSup>
          </m:den>
        </m:f>
      </m:oMath>
      <w:r w:rsidRPr="00FC71BE">
        <w:t>.</w:t>
      </w:r>
      <w:bookmarkEnd w:id="312"/>
    </w:p>
    <w:p w14:paraId="3549F067" w14:textId="172B215D" w:rsidR="00406EF8" w:rsidRPr="00FC71BE" w:rsidRDefault="00406EF8" w:rsidP="00406EF8">
      <w:pPr>
        <w:pStyle w:val="Tabletitle"/>
        <w:rPr>
          <w:color w:val="auto"/>
        </w:rPr>
      </w:pPr>
      <w:bookmarkStart w:id="313" w:name="_Ref141125423"/>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3</w:t>
      </w:r>
      <w:r w:rsidR="002839C4" w:rsidRPr="00FC71BE">
        <w:rPr>
          <w:color w:val="auto"/>
        </w:rPr>
        <w:fldChar w:fldCharType="end"/>
      </w:r>
      <w:bookmarkEnd w:id="313"/>
      <w:r w:rsidRPr="00FC71BE">
        <w:rPr>
          <w:color w:val="auto"/>
        </w:rPr>
        <w:t xml:space="preserve">  Maximum Coil Temperatures (in </w:t>
      </w:r>
      <m:oMath>
        <m:r>
          <w:rPr>
            <w:rFonts w:ascii="Cambria Math" w:hAnsi="Cambria Math"/>
            <w:color w:val="auto"/>
          </w:rPr>
          <m:t>℃</m:t>
        </m:r>
      </m:oMath>
      <w:r w:rsidRPr="00FC71BE">
        <w:rPr>
          <w:color w:val="auto"/>
        </w:rPr>
        <w:t>) in Each Section</w:t>
      </w:r>
    </w:p>
    <w:tbl>
      <w:tblPr>
        <w:tblStyle w:val="TableGrid"/>
        <w:tblW w:w="5010"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8"/>
        <w:gridCol w:w="1333"/>
        <w:gridCol w:w="1333"/>
        <w:gridCol w:w="1331"/>
        <w:gridCol w:w="1349"/>
      </w:tblGrid>
      <w:tr w:rsidR="00FC71BE" w:rsidRPr="00FC71BE" w14:paraId="62668A92" w14:textId="77777777" w:rsidTr="00740C50">
        <w:tc>
          <w:tcPr>
            <w:tcW w:w="2044" w:type="pct"/>
            <w:tcBorders>
              <w:top w:val="double" w:sz="6" w:space="0" w:color="auto"/>
            </w:tcBorders>
            <w:vAlign w:val="center"/>
          </w:tcPr>
          <w:p w14:paraId="70986061" w14:textId="77777777" w:rsidR="00406EF8" w:rsidRPr="00FC71BE" w:rsidRDefault="00406EF8" w:rsidP="005B2ABC">
            <w:pPr>
              <w:pStyle w:val="Table"/>
              <w:rPr>
                <w:color w:val="auto"/>
              </w:rPr>
            </w:pPr>
            <w:r w:rsidRPr="00FC71BE">
              <w:rPr>
                <w:color w:val="auto"/>
              </w:rPr>
              <w:t>Coolant material</w:t>
            </w:r>
          </w:p>
        </w:tc>
        <w:tc>
          <w:tcPr>
            <w:tcW w:w="737" w:type="pct"/>
            <w:tcBorders>
              <w:top w:val="double" w:sz="6" w:space="0" w:color="auto"/>
            </w:tcBorders>
            <w:vAlign w:val="center"/>
          </w:tcPr>
          <w:p w14:paraId="20B65596" w14:textId="77777777" w:rsidR="00406EF8" w:rsidRPr="00FC71BE" w:rsidRDefault="00406EF8" w:rsidP="005B2ABC">
            <w:pPr>
              <w:pStyle w:val="Table"/>
              <w:rPr>
                <w:color w:val="auto"/>
              </w:rPr>
            </w:pPr>
            <w:r w:rsidRPr="00FC71BE">
              <w:rPr>
                <w:color w:val="auto"/>
              </w:rPr>
              <w:t>A</w:t>
            </w:r>
          </w:p>
        </w:tc>
        <w:tc>
          <w:tcPr>
            <w:tcW w:w="737" w:type="pct"/>
            <w:tcBorders>
              <w:top w:val="double" w:sz="6" w:space="0" w:color="auto"/>
            </w:tcBorders>
            <w:vAlign w:val="center"/>
          </w:tcPr>
          <w:p w14:paraId="0DFE2826" w14:textId="77777777" w:rsidR="00406EF8" w:rsidRPr="00FC71BE" w:rsidRDefault="00406EF8" w:rsidP="005B2ABC">
            <w:pPr>
              <w:pStyle w:val="Table"/>
              <w:rPr>
                <w:color w:val="auto"/>
              </w:rPr>
            </w:pPr>
            <w:r w:rsidRPr="00FC71BE">
              <w:rPr>
                <w:color w:val="auto"/>
              </w:rPr>
              <w:t>B</w:t>
            </w:r>
          </w:p>
        </w:tc>
        <w:tc>
          <w:tcPr>
            <w:tcW w:w="736" w:type="pct"/>
            <w:tcBorders>
              <w:top w:val="double" w:sz="6" w:space="0" w:color="auto"/>
            </w:tcBorders>
            <w:vAlign w:val="center"/>
          </w:tcPr>
          <w:p w14:paraId="6A56E64F" w14:textId="77777777" w:rsidR="00406EF8" w:rsidRPr="00FC71BE" w:rsidRDefault="00406EF8" w:rsidP="005B2ABC">
            <w:pPr>
              <w:pStyle w:val="Table"/>
              <w:rPr>
                <w:color w:val="auto"/>
              </w:rPr>
            </w:pPr>
            <w:r w:rsidRPr="00FC71BE">
              <w:rPr>
                <w:color w:val="auto"/>
              </w:rPr>
              <w:t>C’</w:t>
            </w:r>
          </w:p>
        </w:tc>
        <w:tc>
          <w:tcPr>
            <w:tcW w:w="746" w:type="pct"/>
            <w:tcBorders>
              <w:top w:val="double" w:sz="6" w:space="0" w:color="auto"/>
            </w:tcBorders>
            <w:vAlign w:val="center"/>
          </w:tcPr>
          <w:p w14:paraId="22CE60DC" w14:textId="77777777" w:rsidR="00406EF8" w:rsidRPr="00FC71BE" w:rsidRDefault="00406EF8" w:rsidP="005B2ABC">
            <w:pPr>
              <w:pStyle w:val="Table"/>
              <w:rPr>
                <w:color w:val="auto"/>
              </w:rPr>
            </w:pPr>
            <w:r w:rsidRPr="00FC71BE">
              <w:rPr>
                <w:color w:val="auto"/>
              </w:rPr>
              <w:t>A’</w:t>
            </w:r>
          </w:p>
        </w:tc>
      </w:tr>
      <w:tr w:rsidR="00FC71BE" w:rsidRPr="00FC71BE" w14:paraId="03334383" w14:textId="77777777" w:rsidTr="00740C50">
        <w:tc>
          <w:tcPr>
            <w:tcW w:w="2044" w:type="pct"/>
            <w:vAlign w:val="center"/>
          </w:tcPr>
          <w:p w14:paraId="12DEFB27" w14:textId="77777777" w:rsidR="00406EF8" w:rsidRPr="00FC71BE" w:rsidRDefault="00406EF8" w:rsidP="005B2ABC">
            <w:pPr>
              <w:pStyle w:val="Table"/>
              <w:rPr>
                <w:color w:val="auto"/>
              </w:rPr>
            </w:pPr>
            <w:r w:rsidRPr="00FC71BE">
              <w:rPr>
                <w:color w:val="auto"/>
              </w:rPr>
              <w:t>Ferrofluid</w:t>
            </w:r>
          </w:p>
        </w:tc>
        <w:tc>
          <w:tcPr>
            <w:tcW w:w="737" w:type="pct"/>
            <w:vAlign w:val="center"/>
          </w:tcPr>
          <w:p w14:paraId="0F55C12A" w14:textId="77777777" w:rsidR="00406EF8" w:rsidRPr="00FC71BE" w:rsidRDefault="00406EF8" w:rsidP="005B2ABC">
            <w:pPr>
              <w:pStyle w:val="Table"/>
              <w:rPr>
                <w:color w:val="auto"/>
              </w:rPr>
            </w:pPr>
            <w:r w:rsidRPr="00FC71BE">
              <w:rPr>
                <w:color w:val="auto"/>
              </w:rPr>
              <w:t>133.0</w:t>
            </w:r>
          </w:p>
        </w:tc>
        <w:tc>
          <w:tcPr>
            <w:tcW w:w="737" w:type="pct"/>
            <w:vAlign w:val="center"/>
          </w:tcPr>
          <w:p w14:paraId="67E0325C" w14:textId="77777777" w:rsidR="00406EF8" w:rsidRPr="00FC71BE" w:rsidRDefault="00406EF8" w:rsidP="005B2ABC">
            <w:pPr>
              <w:pStyle w:val="Table"/>
              <w:rPr>
                <w:color w:val="auto"/>
              </w:rPr>
            </w:pPr>
            <w:r w:rsidRPr="00FC71BE">
              <w:rPr>
                <w:color w:val="auto"/>
              </w:rPr>
              <w:t>133.4</w:t>
            </w:r>
          </w:p>
        </w:tc>
        <w:tc>
          <w:tcPr>
            <w:tcW w:w="736" w:type="pct"/>
            <w:vAlign w:val="center"/>
          </w:tcPr>
          <w:p w14:paraId="1EF8E5EA" w14:textId="77777777" w:rsidR="00406EF8" w:rsidRPr="00FC71BE" w:rsidRDefault="00406EF8" w:rsidP="005B2ABC">
            <w:pPr>
              <w:pStyle w:val="Table"/>
              <w:rPr>
                <w:color w:val="auto"/>
              </w:rPr>
            </w:pPr>
            <w:r w:rsidRPr="00FC71BE">
              <w:rPr>
                <w:color w:val="auto"/>
              </w:rPr>
              <w:t>132.0</w:t>
            </w:r>
          </w:p>
        </w:tc>
        <w:tc>
          <w:tcPr>
            <w:tcW w:w="746" w:type="pct"/>
            <w:vAlign w:val="center"/>
          </w:tcPr>
          <w:p w14:paraId="4D990A77" w14:textId="77777777" w:rsidR="00406EF8" w:rsidRPr="00FC71BE" w:rsidRDefault="00406EF8" w:rsidP="005B2ABC">
            <w:pPr>
              <w:pStyle w:val="Table"/>
              <w:rPr>
                <w:color w:val="auto"/>
              </w:rPr>
            </w:pPr>
            <w:r w:rsidRPr="00FC71BE">
              <w:rPr>
                <w:color w:val="auto"/>
              </w:rPr>
              <w:t>129.62</w:t>
            </w:r>
          </w:p>
        </w:tc>
      </w:tr>
      <w:tr w:rsidR="00FC71BE" w:rsidRPr="00FC71BE" w14:paraId="12E6E54D" w14:textId="77777777" w:rsidTr="00740C50">
        <w:tc>
          <w:tcPr>
            <w:tcW w:w="2044" w:type="pct"/>
            <w:vAlign w:val="center"/>
          </w:tcPr>
          <w:p w14:paraId="60B1A89E" w14:textId="77777777" w:rsidR="00406EF8" w:rsidRPr="00FC71BE" w:rsidRDefault="00406EF8" w:rsidP="005B2ABC">
            <w:pPr>
              <w:pStyle w:val="Table"/>
              <w:rPr>
                <w:color w:val="auto"/>
              </w:rPr>
            </w:pPr>
            <w:r w:rsidRPr="00FC71BE">
              <w:rPr>
                <w:color w:val="auto"/>
              </w:rPr>
              <w:t>Nanofluid</w:t>
            </w:r>
          </w:p>
        </w:tc>
        <w:tc>
          <w:tcPr>
            <w:tcW w:w="737" w:type="pct"/>
            <w:vAlign w:val="center"/>
          </w:tcPr>
          <w:p w14:paraId="1A9E9FCD" w14:textId="77777777" w:rsidR="00406EF8" w:rsidRPr="00FC71BE" w:rsidRDefault="00406EF8" w:rsidP="005B2ABC">
            <w:pPr>
              <w:pStyle w:val="Table"/>
              <w:rPr>
                <w:color w:val="auto"/>
              </w:rPr>
            </w:pPr>
            <w:r w:rsidRPr="00FC71BE">
              <w:rPr>
                <w:color w:val="auto"/>
              </w:rPr>
              <w:t>144.8</w:t>
            </w:r>
          </w:p>
        </w:tc>
        <w:tc>
          <w:tcPr>
            <w:tcW w:w="737" w:type="pct"/>
            <w:vAlign w:val="center"/>
          </w:tcPr>
          <w:p w14:paraId="52654341" w14:textId="77777777" w:rsidR="00406EF8" w:rsidRPr="00FC71BE" w:rsidRDefault="00406EF8" w:rsidP="005B2ABC">
            <w:pPr>
              <w:pStyle w:val="Table"/>
              <w:rPr>
                <w:color w:val="auto"/>
              </w:rPr>
            </w:pPr>
            <w:r w:rsidRPr="00FC71BE">
              <w:rPr>
                <w:color w:val="auto"/>
              </w:rPr>
              <w:t>144.8</w:t>
            </w:r>
          </w:p>
        </w:tc>
        <w:tc>
          <w:tcPr>
            <w:tcW w:w="736" w:type="pct"/>
            <w:vAlign w:val="center"/>
          </w:tcPr>
          <w:p w14:paraId="11D1EEE8" w14:textId="77777777" w:rsidR="00406EF8" w:rsidRPr="00FC71BE" w:rsidRDefault="00406EF8" w:rsidP="005B2ABC">
            <w:pPr>
              <w:pStyle w:val="Table"/>
              <w:rPr>
                <w:color w:val="auto"/>
              </w:rPr>
            </w:pPr>
            <w:r w:rsidRPr="00FC71BE">
              <w:rPr>
                <w:color w:val="auto"/>
              </w:rPr>
              <w:t>143.5</w:t>
            </w:r>
          </w:p>
        </w:tc>
        <w:tc>
          <w:tcPr>
            <w:tcW w:w="746" w:type="pct"/>
            <w:vAlign w:val="center"/>
          </w:tcPr>
          <w:p w14:paraId="3DC6E909" w14:textId="77777777" w:rsidR="00406EF8" w:rsidRPr="00FC71BE" w:rsidRDefault="00406EF8" w:rsidP="005B2ABC">
            <w:pPr>
              <w:pStyle w:val="Table"/>
              <w:rPr>
                <w:color w:val="auto"/>
              </w:rPr>
            </w:pPr>
            <w:r w:rsidRPr="00FC71BE">
              <w:rPr>
                <w:color w:val="auto"/>
              </w:rPr>
              <w:t>142.5</w:t>
            </w:r>
          </w:p>
        </w:tc>
      </w:tr>
      <w:tr w:rsidR="00FC71BE" w:rsidRPr="00FC71BE" w14:paraId="48C4FE2A" w14:textId="77777777" w:rsidTr="00740C50">
        <w:tc>
          <w:tcPr>
            <w:tcW w:w="2044" w:type="pct"/>
            <w:vAlign w:val="center"/>
          </w:tcPr>
          <w:p w14:paraId="3EF76515" w14:textId="77777777" w:rsidR="00406EF8" w:rsidRPr="00FC71BE" w:rsidRDefault="00406EF8" w:rsidP="005B2ABC">
            <w:pPr>
              <w:pStyle w:val="Table"/>
              <w:rPr>
                <w:color w:val="auto"/>
              </w:rPr>
            </w:pPr>
            <w:r w:rsidRPr="00FC71BE">
              <w:rPr>
                <w:color w:val="auto"/>
              </w:rPr>
              <w:t>Pure liquid base</w:t>
            </w:r>
          </w:p>
        </w:tc>
        <w:tc>
          <w:tcPr>
            <w:tcW w:w="737" w:type="pct"/>
            <w:vAlign w:val="center"/>
          </w:tcPr>
          <w:p w14:paraId="33EDB39E" w14:textId="77777777" w:rsidR="00406EF8" w:rsidRPr="00FC71BE" w:rsidRDefault="00406EF8" w:rsidP="005B2ABC">
            <w:pPr>
              <w:pStyle w:val="Table"/>
              <w:rPr>
                <w:color w:val="auto"/>
              </w:rPr>
            </w:pPr>
            <w:r w:rsidRPr="00FC71BE">
              <w:rPr>
                <w:color w:val="auto"/>
              </w:rPr>
              <w:t>145.7</w:t>
            </w:r>
          </w:p>
        </w:tc>
        <w:tc>
          <w:tcPr>
            <w:tcW w:w="737" w:type="pct"/>
            <w:vAlign w:val="center"/>
          </w:tcPr>
          <w:p w14:paraId="411077D6" w14:textId="77777777" w:rsidR="00406EF8" w:rsidRPr="00FC71BE" w:rsidRDefault="00406EF8" w:rsidP="005B2ABC">
            <w:pPr>
              <w:pStyle w:val="Table"/>
              <w:rPr>
                <w:color w:val="auto"/>
              </w:rPr>
            </w:pPr>
            <w:r w:rsidRPr="00FC71BE">
              <w:rPr>
                <w:color w:val="auto"/>
              </w:rPr>
              <w:t>145.6</w:t>
            </w:r>
          </w:p>
        </w:tc>
        <w:tc>
          <w:tcPr>
            <w:tcW w:w="736" w:type="pct"/>
            <w:vAlign w:val="center"/>
          </w:tcPr>
          <w:p w14:paraId="2FD21280" w14:textId="77777777" w:rsidR="00406EF8" w:rsidRPr="00FC71BE" w:rsidRDefault="00406EF8" w:rsidP="005B2ABC">
            <w:pPr>
              <w:pStyle w:val="Table"/>
              <w:rPr>
                <w:color w:val="auto"/>
              </w:rPr>
            </w:pPr>
            <w:r w:rsidRPr="00FC71BE">
              <w:rPr>
                <w:color w:val="auto"/>
              </w:rPr>
              <w:t>144.5</w:t>
            </w:r>
          </w:p>
        </w:tc>
        <w:tc>
          <w:tcPr>
            <w:tcW w:w="746" w:type="pct"/>
            <w:vAlign w:val="center"/>
          </w:tcPr>
          <w:p w14:paraId="291C9676" w14:textId="77777777" w:rsidR="00406EF8" w:rsidRPr="00FC71BE" w:rsidRDefault="00406EF8" w:rsidP="005B2ABC">
            <w:pPr>
              <w:pStyle w:val="Table"/>
              <w:rPr>
                <w:color w:val="auto"/>
              </w:rPr>
            </w:pPr>
            <w:r w:rsidRPr="00FC71BE">
              <w:rPr>
                <w:color w:val="auto"/>
              </w:rPr>
              <w:t>143.5</w:t>
            </w:r>
          </w:p>
        </w:tc>
      </w:tr>
      <w:tr w:rsidR="00FC71BE" w:rsidRPr="00FC71BE" w14:paraId="454F2E50" w14:textId="77777777" w:rsidTr="00740C50">
        <w:tc>
          <w:tcPr>
            <w:tcW w:w="2044" w:type="pct"/>
            <w:tcBorders>
              <w:bottom w:val="double" w:sz="6" w:space="0" w:color="auto"/>
            </w:tcBorders>
            <w:vAlign w:val="center"/>
          </w:tcPr>
          <w:p w14:paraId="48576E2B" w14:textId="77777777" w:rsidR="00406EF8" w:rsidRPr="00FC71BE" w:rsidRDefault="00406EF8" w:rsidP="005B2ABC">
            <w:pPr>
              <w:pStyle w:val="Table"/>
              <w:rPr>
                <w:color w:val="auto"/>
              </w:rPr>
            </w:pPr>
            <w:r w:rsidRPr="00FC71BE">
              <w:rPr>
                <w:color w:val="auto"/>
              </w:rPr>
              <w:t>Air</w:t>
            </w:r>
          </w:p>
        </w:tc>
        <w:tc>
          <w:tcPr>
            <w:tcW w:w="737" w:type="pct"/>
            <w:tcBorders>
              <w:bottom w:val="double" w:sz="6" w:space="0" w:color="auto"/>
            </w:tcBorders>
            <w:vAlign w:val="center"/>
          </w:tcPr>
          <w:p w14:paraId="5D2A4A73" w14:textId="77777777" w:rsidR="00406EF8" w:rsidRPr="00FC71BE" w:rsidRDefault="00406EF8" w:rsidP="005B2ABC">
            <w:pPr>
              <w:pStyle w:val="Table"/>
              <w:rPr>
                <w:color w:val="auto"/>
              </w:rPr>
            </w:pPr>
            <w:r w:rsidRPr="00FC71BE">
              <w:rPr>
                <w:color w:val="auto"/>
              </w:rPr>
              <w:t>149.6</w:t>
            </w:r>
          </w:p>
        </w:tc>
        <w:tc>
          <w:tcPr>
            <w:tcW w:w="737" w:type="pct"/>
            <w:tcBorders>
              <w:bottom w:val="double" w:sz="6" w:space="0" w:color="auto"/>
            </w:tcBorders>
            <w:vAlign w:val="center"/>
          </w:tcPr>
          <w:p w14:paraId="3A770E05" w14:textId="77777777" w:rsidR="00406EF8" w:rsidRPr="00FC71BE" w:rsidRDefault="00406EF8" w:rsidP="005B2ABC">
            <w:pPr>
              <w:pStyle w:val="Table"/>
              <w:rPr>
                <w:color w:val="auto"/>
              </w:rPr>
            </w:pPr>
            <w:r w:rsidRPr="00FC71BE">
              <w:rPr>
                <w:color w:val="auto"/>
              </w:rPr>
              <w:t>149.6</w:t>
            </w:r>
          </w:p>
        </w:tc>
        <w:tc>
          <w:tcPr>
            <w:tcW w:w="736" w:type="pct"/>
            <w:tcBorders>
              <w:bottom w:val="double" w:sz="6" w:space="0" w:color="auto"/>
            </w:tcBorders>
            <w:vAlign w:val="center"/>
          </w:tcPr>
          <w:p w14:paraId="0461B368" w14:textId="77777777" w:rsidR="00406EF8" w:rsidRPr="00FC71BE" w:rsidRDefault="00406EF8" w:rsidP="005B2ABC">
            <w:pPr>
              <w:pStyle w:val="Table"/>
              <w:rPr>
                <w:color w:val="auto"/>
              </w:rPr>
            </w:pPr>
            <w:r w:rsidRPr="00FC71BE">
              <w:rPr>
                <w:color w:val="auto"/>
              </w:rPr>
              <w:t>149.6</w:t>
            </w:r>
          </w:p>
        </w:tc>
        <w:tc>
          <w:tcPr>
            <w:tcW w:w="746" w:type="pct"/>
            <w:tcBorders>
              <w:bottom w:val="double" w:sz="6" w:space="0" w:color="auto"/>
            </w:tcBorders>
            <w:vAlign w:val="center"/>
          </w:tcPr>
          <w:p w14:paraId="332C4B3D" w14:textId="77777777" w:rsidR="00406EF8" w:rsidRPr="00FC71BE" w:rsidRDefault="00406EF8" w:rsidP="005B2ABC">
            <w:pPr>
              <w:pStyle w:val="Table"/>
              <w:rPr>
                <w:color w:val="auto"/>
              </w:rPr>
            </w:pPr>
            <w:r w:rsidRPr="00FC71BE">
              <w:rPr>
                <w:color w:val="auto"/>
              </w:rPr>
              <w:t>149.6</w:t>
            </w:r>
          </w:p>
        </w:tc>
      </w:tr>
    </w:tbl>
    <w:p w14:paraId="09B09406" w14:textId="77777777" w:rsidR="00406EF8" w:rsidRPr="00FC71BE" w:rsidRDefault="00406EF8" w:rsidP="00406EF8"/>
    <w:p w14:paraId="562B5F4E" w14:textId="77777777" w:rsidR="00406EF8" w:rsidRPr="00FC71BE" w:rsidRDefault="00406EF8" w:rsidP="00B86C68">
      <w:pPr>
        <w:pStyle w:val="Heading3"/>
        <w:numPr>
          <w:ilvl w:val="2"/>
          <w:numId w:val="49"/>
        </w:numPr>
      </w:pPr>
      <w:bookmarkStart w:id="314" w:name="_Toc157695392"/>
      <w:r w:rsidRPr="00FC71BE">
        <w:t>Influence of Electrical Loading</w:t>
      </w:r>
      <w:bookmarkEnd w:id="314"/>
    </w:p>
    <w:p w14:paraId="58F404DB" w14:textId="0F0FA9D5" w:rsidR="00406EF8" w:rsidRPr="00FC71BE" w:rsidRDefault="00406EF8" w:rsidP="00406EF8">
      <w:r w:rsidRPr="00FC71BE">
        <w:t xml:space="preserve">Previous results demonstrated that the ferrofluid in end-winding region can improve the machine cooling performance. This means that, without exceeding the maximum allowable temperature of insulations, higher phase current (or electrical loading) may be injected to achieve higher machine power density. When the phase current increases, the copper loss will be increased accordingly, and the advantage of adopting ferrofluid cooling will be more pronounced, as can be seen from </w:t>
      </w:r>
      <w:r w:rsidRPr="00FC71BE">
        <w:fldChar w:fldCharType="begin"/>
      </w:r>
      <w:r w:rsidRPr="00FC71BE">
        <w:instrText xml:space="preserve"> REF _Ref141125621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9</w:t>
      </w:r>
      <w:r w:rsidRPr="00FC71BE">
        <w:fldChar w:fldCharType="end"/>
      </w:r>
      <w:r w:rsidRPr="00FC71BE">
        <w:t>. This is mainly because the increased current density improves both the gravitational effect and the magnetic body force, and hence improves the thermomagnetic convection.</w:t>
      </w:r>
    </w:p>
    <w:p w14:paraId="246B3760" w14:textId="77777777" w:rsidR="00406EF8" w:rsidRPr="00FC71BE" w:rsidRDefault="00406EF8" w:rsidP="00406EF8">
      <w:pPr>
        <w:pStyle w:val="Figure"/>
        <w:rPr>
          <w:noProof w:val="0"/>
        </w:rPr>
      </w:pPr>
      <w:r w:rsidRPr="00FC71BE">
        <w:lastRenderedPageBreak/>
        <w:drawing>
          <wp:inline distT="0" distB="0" distL="0" distR="0" wp14:anchorId="2531433C" wp14:editId="6DED196E">
            <wp:extent cx="4363200" cy="3274997"/>
            <wp:effectExtent l="0" t="0" r="0" b="1905"/>
            <wp:docPr id="1918624688" name="Picture 191862468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line chart&#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363200" cy="3274997"/>
                    </a:xfrm>
                    <a:prstGeom prst="rect">
                      <a:avLst/>
                    </a:prstGeom>
                    <a:noFill/>
                    <a:ln>
                      <a:noFill/>
                    </a:ln>
                  </pic:spPr>
                </pic:pic>
              </a:graphicData>
            </a:graphic>
          </wp:inline>
        </w:drawing>
      </w:r>
    </w:p>
    <w:p w14:paraId="40383458" w14:textId="29EE7EB8" w:rsidR="00406EF8" w:rsidRPr="00FC71BE" w:rsidRDefault="00406EF8" w:rsidP="00406EF8">
      <w:pPr>
        <w:pStyle w:val="FigureTitle"/>
      </w:pPr>
      <w:bookmarkStart w:id="315" w:name="_Ref141125621"/>
      <w:r w:rsidRPr="00FC71BE">
        <w:t xml:space="preserve">Fig. </w:t>
      </w:r>
      <w:fldSimple w:instr=" STYLEREF 1 \s ">
        <w:r w:rsidR="007E62C1" w:rsidRPr="00FC71BE">
          <w:rPr>
            <w:noProof/>
          </w:rPr>
          <w:t>5</w:t>
        </w:r>
      </w:fldSimple>
      <w:r w:rsidRPr="00FC71BE">
        <w:t>.</w:t>
      </w:r>
      <w:fldSimple w:instr=" SEQ Fig. \* ARABIC \s 1 ">
        <w:r w:rsidR="007E62C1" w:rsidRPr="00FC71BE">
          <w:rPr>
            <w:noProof/>
          </w:rPr>
          <w:t>9</w:t>
        </w:r>
      </w:fldSimple>
      <w:bookmarkEnd w:id="315"/>
      <w:r w:rsidRPr="00FC71BE">
        <w:t xml:space="preserve">.  Maximum coil temperatures at steady state </w:t>
      </w:r>
      <w:r w:rsidRPr="00FC71BE">
        <w:rPr>
          <w:i/>
        </w:rPr>
        <w:t>vs</w:t>
      </w:r>
      <w:r w:rsidRPr="00FC71BE">
        <w:t xml:space="preserve"> current density for different coolants.</w:t>
      </w:r>
    </w:p>
    <w:p w14:paraId="473CDEF9" w14:textId="6B108478" w:rsidR="00406EF8" w:rsidRPr="00FC71BE" w:rsidRDefault="00406EF8" w:rsidP="00406EF8">
      <w:r w:rsidRPr="00FC71BE">
        <w:t xml:space="preserve">The gravitational effect can be investigated separately from the thermomagnetic convection by studying the results obtained using the nanofluid as coolant. It is found that when the current density is increased from </w:t>
      </w:r>
      <m:oMath>
        <m:f>
          <m:fPr>
            <m:type m:val="lin"/>
            <m:ctrlPr>
              <w:rPr>
                <w:rFonts w:ascii="Cambria Math" w:hAnsi="Cambria Math"/>
                <w:iCs/>
              </w:rPr>
            </m:ctrlPr>
          </m:fPr>
          <m:num>
            <m:r>
              <m:rPr>
                <m:sty m:val="p"/>
              </m:rPr>
              <w:rPr>
                <w:rFonts w:ascii="Cambria Math" w:hAnsi="Cambria Math"/>
              </w:rPr>
              <m:t>18.4 A</m:t>
            </m:r>
          </m:num>
          <m:den>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den>
        </m:f>
      </m:oMath>
      <w:r w:rsidRPr="00FC71BE">
        <w:t xml:space="preserve"> to </w:t>
      </w:r>
      <m:oMath>
        <m:f>
          <m:fPr>
            <m:type m:val="lin"/>
            <m:ctrlPr>
              <w:rPr>
                <w:rFonts w:ascii="Cambria Math" w:hAnsi="Cambria Math"/>
                <w:iCs/>
              </w:rPr>
            </m:ctrlPr>
          </m:fPr>
          <m:num>
            <m:r>
              <m:rPr>
                <m:sty m:val="p"/>
              </m:rPr>
              <w:rPr>
                <w:rFonts w:ascii="Cambria Math" w:hAnsi="Cambria Math"/>
              </w:rPr>
              <m:t>22.1 A</m:t>
            </m:r>
          </m:num>
          <m:den>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den>
        </m:f>
      </m:oMath>
      <w:r w:rsidRPr="00FC71BE">
        <w:t xml:space="preserve">, the coolant flow velocity for the machine with nanofluid cooling increases from </w:t>
      </w:r>
      <m:oMath>
        <m:f>
          <m:fPr>
            <m:type m:val="lin"/>
            <m:ctrlPr>
              <w:rPr>
                <w:rFonts w:ascii="Cambria Math" w:hAnsi="Cambria Math"/>
                <w:iCs/>
              </w:rPr>
            </m:ctrlPr>
          </m:fPr>
          <m:num>
            <m:r>
              <m:rPr>
                <m:sty m:val="p"/>
              </m:rPr>
              <w:rPr>
                <w:rFonts w:ascii="Cambria Math" w:hAnsi="Cambria Math"/>
              </w:rPr>
              <m:t>3.66 mm</m:t>
            </m:r>
          </m:num>
          <m:den>
            <m:r>
              <m:rPr>
                <m:sty m:val="p"/>
              </m:rPr>
              <w:rPr>
                <w:rFonts w:ascii="Cambria Math" w:hAnsi="Cambria Math"/>
              </w:rPr>
              <m:t>s</m:t>
            </m:r>
          </m:den>
        </m:f>
      </m:oMath>
      <w:r w:rsidRPr="00FC71BE">
        <w:rPr>
          <w:iCs/>
        </w:rPr>
        <w:t xml:space="preserve"> [</w:t>
      </w:r>
      <w:r w:rsidRPr="00FC71BE">
        <w:rPr>
          <w:iCs/>
        </w:rPr>
        <w:fldChar w:fldCharType="begin"/>
      </w:r>
      <w:r w:rsidRPr="00FC71BE">
        <w:rPr>
          <w:iCs/>
        </w:rPr>
        <w:instrText xml:space="preserve"> REF _Ref141125378 \h </w:instrText>
      </w:r>
      <w:r w:rsidRPr="00FC71BE">
        <w:rPr>
          <w:iCs/>
        </w:rPr>
      </w:r>
      <w:r w:rsidRPr="00FC71BE">
        <w:rPr>
          <w:iCs/>
        </w:rPr>
        <w:fldChar w:fldCharType="separate"/>
      </w:r>
      <w:r w:rsidR="007E62C1" w:rsidRPr="00FC71BE">
        <w:t xml:space="preserve">Fig. </w:t>
      </w:r>
      <w:r w:rsidR="007E62C1" w:rsidRPr="00FC71BE">
        <w:rPr>
          <w:noProof/>
        </w:rPr>
        <w:t>5</w:t>
      </w:r>
      <w:r w:rsidR="007E62C1" w:rsidRPr="00FC71BE">
        <w:t>.</w:t>
      </w:r>
      <w:r w:rsidR="007E62C1" w:rsidRPr="00FC71BE">
        <w:rPr>
          <w:noProof/>
        </w:rPr>
        <w:t>7</w:t>
      </w:r>
      <w:r w:rsidRPr="00FC71BE">
        <w:rPr>
          <w:iCs/>
        </w:rPr>
        <w:fldChar w:fldCharType="end"/>
      </w:r>
      <w:r w:rsidRPr="00FC71BE">
        <w:rPr>
          <w:iCs/>
        </w:rPr>
        <w:t xml:space="preserve"> (a)] to </w:t>
      </w:r>
      <m:oMath>
        <m:f>
          <m:fPr>
            <m:type m:val="lin"/>
            <m:ctrlPr>
              <w:rPr>
                <w:rFonts w:ascii="Cambria Math" w:hAnsi="Cambria Math"/>
                <w:iCs/>
              </w:rPr>
            </m:ctrlPr>
          </m:fPr>
          <m:num>
            <m:r>
              <m:rPr>
                <m:sty m:val="p"/>
              </m:rPr>
              <w:rPr>
                <w:rFonts w:ascii="Cambria Math" w:hAnsi="Cambria Math"/>
              </w:rPr>
              <m:t>4.93 mm</m:t>
            </m:r>
          </m:num>
          <m:den>
            <m:r>
              <m:rPr>
                <m:sty m:val="p"/>
              </m:rPr>
              <w:rPr>
                <w:rFonts w:ascii="Cambria Math" w:hAnsi="Cambria Math"/>
              </w:rPr>
              <m:t>s</m:t>
            </m:r>
          </m:den>
        </m:f>
      </m:oMath>
      <w:r w:rsidRPr="00FC71BE">
        <w:rPr>
          <w:iCs/>
        </w:rPr>
        <w:t xml:space="preserve"> [</w:t>
      </w:r>
      <w:r w:rsidRPr="00FC71BE">
        <w:rPr>
          <w:iCs/>
        </w:rPr>
        <w:fldChar w:fldCharType="begin"/>
      </w:r>
      <w:r w:rsidRPr="00FC71BE">
        <w:rPr>
          <w:iCs/>
        </w:rPr>
        <w:instrText xml:space="preserve"> REF _Ref141125805 \h </w:instrText>
      </w:r>
      <w:r w:rsidRPr="00FC71BE">
        <w:rPr>
          <w:iCs/>
        </w:rPr>
      </w:r>
      <w:r w:rsidRPr="00FC71BE">
        <w:rPr>
          <w:iCs/>
        </w:rPr>
        <w:fldChar w:fldCharType="separate"/>
      </w:r>
      <w:r w:rsidR="007E62C1" w:rsidRPr="00FC71BE">
        <w:t xml:space="preserve">Fig. </w:t>
      </w:r>
      <w:r w:rsidR="007E62C1" w:rsidRPr="00FC71BE">
        <w:rPr>
          <w:noProof/>
        </w:rPr>
        <w:t>5</w:t>
      </w:r>
      <w:r w:rsidR="007E62C1" w:rsidRPr="00FC71BE">
        <w:t>.</w:t>
      </w:r>
      <w:r w:rsidR="007E62C1" w:rsidRPr="00FC71BE">
        <w:rPr>
          <w:noProof/>
        </w:rPr>
        <w:t>10</w:t>
      </w:r>
      <w:r w:rsidRPr="00FC71BE">
        <w:rPr>
          <w:iCs/>
        </w:rPr>
        <w:fldChar w:fldCharType="end"/>
      </w:r>
      <w:r w:rsidRPr="00FC71BE">
        <w:rPr>
          <w:iCs/>
        </w:rPr>
        <w:t xml:space="preserve"> (a)]. This is because a </w:t>
      </w:r>
      <w:r w:rsidRPr="00FC71BE">
        <w:t xml:space="preserve">larger temperature gradient within the nanofluid is achieved for machines with increased current density (and increased copper loss). To be more specific, the temperature gradient is increased from </w:t>
      </w:r>
      <m:oMath>
        <m:r>
          <w:rPr>
            <w:rFonts w:ascii="Cambria Math" w:hAnsi="Cambria Math"/>
          </w:rPr>
          <m:t>65.1 ℃</m:t>
        </m:r>
      </m:oMath>
      <w:r w:rsidRPr="00FC71BE">
        <w:t xml:space="preserve"> [</w:t>
      </w:r>
      <w:r w:rsidRPr="00FC71BE">
        <w:fldChar w:fldCharType="begin"/>
      </w:r>
      <w:r w:rsidRPr="00FC71BE">
        <w:instrText xml:space="preserve"> REF _Ref141125394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8</w:t>
      </w:r>
      <w:r w:rsidRPr="00FC71BE">
        <w:fldChar w:fldCharType="end"/>
      </w:r>
      <w:r w:rsidRPr="00FC71BE">
        <w:t xml:space="preserve"> (a)] to </w:t>
      </w:r>
      <m:oMath>
        <m:r>
          <w:rPr>
            <w:rFonts w:ascii="Cambria Math" w:hAnsi="Cambria Math"/>
          </w:rPr>
          <m:t>98.84 ℃</m:t>
        </m:r>
      </m:oMath>
      <w:r w:rsidRPr="00FC71BE">
        <w:t xml:space="preserve"> [</w:t>
      </w:r>
      <w:r w:rsidRPr="00FC71BE">
        <w:fldChar w:fldCharType="begin"/>
      </w:r>
      <w:r w:rsidRPr="00FC71BE">
        <w:instrText xml:space="preserve"> REF _Ref141125826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11</w:t>
      </w:r>
      <w:r w:rsidRPr="00FC71BE">
        <w:fldChar w:fldCharType="end"/>
      </w:r>
      <w:r w:rsidRPr="00FC71BE">
        <w:t xml:space="preserve"> (a)] when current density is increased from </w:t>
      </w:r>
      <m:oMath>
        <m:f>
          <m:fPr>
            <m:type m:val="lin"/>
            <m:ctrlPr>
              <w:rPr>
                <w:rFonts w:ascii="Cambria Math" w:hAnsi="Cambria Math"/>
                <w:iCs/>
              </w:rPr>
            </m:ctrlPr>
          </m:fPr>
          <m:num>
            <m:r>
              <m:rPr>
                <m:sty m:val="p"/>
              </m:rPr>
              <w:rPr>
                <w:rFonts w:ascii="Cambria Math" w:hAnsi="Cambria Math"/>
              </w:rPr>
              <m:t>18.4 A</m:t>
            </m:r>
          </m:num>
          <m:den>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den>
        </m:f>
      </m:oMath>
      <w:r w:rsidRPr="00FC71BE">
        <w:t xml:space="preserve"> to </w:t>
      </w:r>
      <m:oMath>
        <m:f>
          <m:fPr>
            <m:type m:val="lin"/>
            <m:ctrlPr>
              <w:rPr>
                <w:rFonts w:ascii="Cambria Math" w:hAnsi="Cambria Math"/>
                <w:iCs/>
              </w:rPr>
            </m:ctrlPr>
          </m:fPr>
          <m:num>
            <m:r>
              <m:rPr>
                <m:sty m:val="p"/>
              </m:rPr>
              <w:rPr>
                <w:rFonts w:ascii="Cambria Math" w:hAnsi="Cambria Math"/>
              </w:rPr>
              <m:t>22.1 A</m:t>
            </m:r>
          </m:num>
          <m:den>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den>
        </m:f>
      </m:oMath>
      <w:r w:rsidRPr="00FC71BE">
        <w:t>.</w:t>
      </w:r>
    </w:p>
    <w:p w14:paraId="0542C97B" w14:textId="68C30160" w:rsidR="00406EF8" w:rsidRPr="00FC71BE" w:rsidRDefault="00406EF8" w:rsidP="00406EF8">
      <w:r w:rsidRPr="00FC71BE">
        <w:t xml:space="preserve">Regarding the magnetic body force attributing to the thermomagnetic convection, according to </w:t>
      </w:r>
      <w:r w:rsidRPr="00FC71BE">
        <w:fldChar w:fldCharType="begin"/>
      </w:r>
      <w:r w:rsidRPr="00FC71BE">
        <w:instrText xml:space="preserve"> REF _Ref141093461 \h </w:instrText>
      </w:r>
      <w:r w:rsidRPr="00FC71BE">
        <w:fldChar w:fldCharType="separate"/>
      </w:r>
      <w:r w:rsidR="007E62C1" w:rsidRPr="00FC71BE">
        <w:t>(</w:t>
      </w:r>
      <w:r w:rsidR="007E62C1" w:rsidRPr="00FC71BE">
        <w:rPr>
          <w:noProof/>
        </w:rPr>
        <w:t>5</w:t>
      </w:r>
      <w:r w:rsidR="007E62C1" w:rsidRPr="00FC71BE">
        <w:t>.</w:t>
      </w:r>
      <w:r w:rsidR="007E62C1" w:rsidRPr="00FC71BE">
        <w:rPr>
          <w:noProof/>
        </w:rPr>
        <w:t>18</w:t>
      </w:r>
      <w:r w:rsidR="007E62C1" w:rsidRPr="00FC71BE">
        <w:t>)</w:t>
      </w:r>
      <w:r w:rsidRPr="00FC71BE">
        <w:fldChar w:fldCharType="end"/>
      </w:r>
      <w:r w:rsidRPr="00FC71BE">
        <w:t xml:space="preserve">, it also increases at a higher current density due to higher magnetic field intensity in the end-winding region. Consequently, the coolant flow velocity increases, leading to increased thermomagnetic convection. When the current density rises from </w:t>
      </w:r>
      <m:oMath>
        <m:f>
          <m:fPr>
            <m:type m:val="lin"/>
            <m:ctrlPr>
              <w:rPr>
                <w:rFonts w:ascii="Cambria Math" w:hAnsi="Cambria Math"/>
                <w:iCs/>
              </w:rPr>
            </m:ctrlPr>
          </m:fPr>
          <m:num>
            <m:r>
              <m:rPr>
                <m:sty m:val="p"/>
              </m:rPr>
              <w:rPr>
                <w:rFonts w:ascii="Cambria Math" w:hAnsi="Cambria Math"/>
              </w:rPr>
              <m:t>18.4 A</m:t>
            </m:r>
          </m:num>
          <m:den>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den>
        </m:f>
      </m:oMath>
      <w:r w:rsidRPr="00FC71BE">
        <w:t xml:space="preserve"> to </w:t>
      </w:r>
      <m:oMath>
        <m:f>
          <m:fPr>
            <m:type m:val="lin"/>
            <m:ctrlPr>
              <w:rPr>
                <w:rFonts w:ascii="Cambria Math" w:hAnsi="Cambria Math"/>
                <w:iCs/>
              </w:rPr>
            </m:ctrlPr>
          </m:fPr>
          <m:num>
            <m:r>
              <m:rPr>
                <m:sty m:val="p"/>
              </m:rPr>
              <w:rPr>
                <w:rFonts w:ascii="Cambria Math" w:hAnsi="Cambria Math"/>
              </w:rPr>
              <m:t>22.1 A</m:t>
            </m:r>
          </m:num>
          <m:den>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den>
        </m:f>
      </m:oMath>
      <w:r w:rsidRPr="00FC71BE">
        <w:t xml:space="preserve">, the maximum coolant velocity for the machine with ferrofluid cooling is increased from </w:t>
      </w:r>
      <m:oMath>
        <m:f>
          <m:fPr>
            <m:type m:val="lin"/>
            <m:ctrlPr>
              <w:rPr>
                <w:rFonts w:ascii="Cambria Math" w:hAnsi="Cambria Math"/>
                <w:iCs/>
              </w:rPr>
            </m:ctrlPr>
          </m:fPr>
          <m:num>
            <m:r>
              <m:rPr>
                <m:sty m:val="p"/>
              </m:rPr>
              <w:rPr>
                <w:rFonts w:ascii="Cambria Math" w:hAnsi="Cambria Math"/>
              </w:rPr>
              <m:t>7.47 mm</m:t>
            </m:r>
          </m:num>
          <m:den>
            <m:r>
              <m:rPr>
                <m:sty m:val="p"/>
              </m:rPr>
              <w:rPr>
                <w:rFonts w:ascii="Cambria Math" w:hAnsi="Cambria Math"/>
              </w:rPr>
              <m:t>s</m:t>
            </m:r>
          </m:den>
        </m:f>
      </m:oMath>
      <w:r w:rsidRPr="00FC71BE">
        <w:rPr>
          <w:iCs/>
        </w:rPr>
        <w:t xml:space="preserve"> [</w:t>
      </w:r>
      <w:r w:rsidRPr="00FC71BE">
        <w:rPr>
          <w:iCs/>
        </w:rPr>
        <w:fldChar w:fldCharType="begin"/>
      </w:r>
      <w:r w:rsidRPr="00FC71BE">
        <w:rPr>
          <w:iCs/>
        </w:rPr>
        <w:instrText xml:space="preserve"> REF _Ref141125378 \h </w:instrText>
      </w:r>
      <w:r w:rsidRPr="00FC71BE">
        <w:rPr>
          <w:iCs/>
        </w:rPr>
      </w:r>
      <w:r w:rsidRPr="00FC71BE">
        <w:rPr>
          <w:iCs/>
        </w:rPr>
        <w:fldChar w:fldCharType="separate"/>
      </w:r>
      <w:r w:rsidR="007E62C1" w:rsidRPr="00FC71BE">
        <w:t xml:space="preserve">Fig. </w:t>
      </w:r>
      <w:r w:rsidR="007E62C1" w:rsidRPr="00FC71BE">
        <w:rPr>
          <w:noProof/>
        </w:rPr>
        <w:t>5</w:t>
      </w:r>
      <w:r w:rsidR="007E62C1" w:rsidRPr="00FC71BE">
        <w:t>.</w:t>
      </w:r>
      <w:r w:rsidR="007E62C1" w:rsidRPr="00FC71BE">
        <w:rPr>
          <w:noProof/>
        </w:rPr>
        <w:t>7</w:t>
      </w:r>
      <w:r w:rsidRPr="00FC71BE">
        <w:rPr>
          <w:iCs/>
        </w:rPr>
        <w:fldChar w:fldCharType="end"/>
      </w:r>
      <w:r w:rsidRPr="00FC71BE">
        <w:rPr>
          <w:iCs/>
        </w:rPr>
        <w:t xml:space="preserve"> (b)] </w:t>
      </w:r>
      <w:r w:rsidRPr="00FC71BE">
        <w:t xml:space="preserve">to </w:t>
      </w:r>
      <m:oMath>
        <m:f>
          <m:fPr>
            <m:type m:val="lin"/>
            <m:ctrlPr>
              <w:rPr>
                <w:rFonts w:ascii="Cambria Math" w:hAnsi="Cambria Math"/>
                <w:iCs/>
              </w:rPr>
            </m:ctrlPr>
          </m:fPr>
          <m:num>
            <m:r>
              <m:rPr>
                <m:sty m:val="p"/>
              </m:rPr>
              <w:rPr>
                <w:rFonts w:ascii="Cambria Math" w:hAnsi="Cambria Math"/>
              </w:rPr>
              <m:t>11.3 mm</m:t>
            </m:r>
          </m:num>
          <m:den>
            <m:r>
              <m:rPr>
                <m:sty m:val="p"/>
              </m:rPr>
              <w:rPr>
                <w:rFonts w:ascii="Cambria Math" w:hAnsi="Cambria Math"/>
              </w:rPr>
              <m:t>s</m:t>
            </m:r>
          </m:den>
        </m:f>
      </m:oMath>
      <w:r w:rsidRPr="00FC71BE">
        <w:rPr>
          <w:iCs/>
        </w:rPr>
        <w:t xml:space="preserve"> [</w:t>
      </w:r>
      <w:r w:rsidRPr="00FC71BE">
        <w:rPr>
          <w:iCs/>
        </w:rPr>
        <w:fldChar w:fldCharType="begin"/>
      </w:r>
      <w:r w:rsidRPr="00FC71BE">
        <w:rPr>
          <w:iCs/>
        </w:rPr>
        <w:instrText xml:space="preserve"> REF _Ref141125805 \h </w:instrText>
      </w:r>
      <w:r w:rsidRPr="00FC71BE">
        <w:rPr>
          <w:iCs/>
        </w:rPr>
      </w:r>
      <w:r w:rsidRPr="00FC71BE">
        <w:rPr>
          <w:iCs/>
        </w:rPr>
        <w:fldChar w:fldCharType="separate"/>
      </w:r>
      <w:r w:rsidR="007E62C1" w:rsidRPr="00FC71BE">
        <w:t xml:space="preserve">Fig. </w:t>
      </w:r>
      <w:r w:rsidR="007E62C1" w:rsidRPr="00FC71BE">
        <w:rPr>
          <w:noProof/>
        </w:rPr>
        <w:t>5</w:t>
      </w:r>
      <w:r w:rsidR="007E62C1" w:rsidRPr="00FC71BE">
        <w:t>.</w:t>
      </w:r>
      <w:r w:rsidR="007E62C1" w:rsidRPr="00FC71BE">
        <w:rPr>
          <w:noProof/>
        </w:rPr>
        <w:t>10</w:t>
      </w:r>
      <w:r w:rsidRPr="00FC71BE">
        <w:rPr>
          <w:iCs/>
        </w:rPr>
        <w:fldChar w:fldCharType="end"/>
      </w:r>
      <w:r w:rsidRPr="00FC71BE">
        <w:rPr>
          <w:iCs/>
        </w:rPr>
        <w:t xml:space="preserve"> (b)]. As a result, a much more significant temperature reduction (by </w:t>
      </w:r>
      <m:oMath>
        <m:r>
          <w:rPr>
            <w:rFonts w:ascii="Cambria Math" w:hAnsi="Cambria Math"/>
          </w:rPr>
          <m:t>36.4 ℃</m:t>
        </m:r>
      </m:oMath>
      <w:r w:rsidRPr="00FC71BE">
        <w:t xml:space="preserve"> compared with air cooling</w:t>
      </w:r>
      <w:r w:rsidRPr="00FC71BE">
        <w:rPr>
          <w:iCs/>
        </w:rPr>
        <w:t xml:space="preserve">) can be achieved, as shown in </w:t>
      </w:r>
      <w:r w:rsidRPr="00FC71BE">
        <w:fldChar w:fldCharType="begin"/>
      </w:r>
      <w:r w:rsidRPr="00FC71BE">
        <w:instrText xml:space="preserve"> REF _Ref141125826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11</w:t>
      </w:r>
      <w:r w:rsidRPr="00FC71BE">
        <w:fldChar w:fldCharType="end"/>
      </w:r>
      <w:r w:rsidRPr="00FC71BE">
        <w:t xml:space="preserve"> (b)</w:t>
      </w:r>
      <w:r w:rsidRPr="00FC71BE">
        <w:rPr>
          <w:iCs/>
        </w:rPr>
        <w:t xml:space="preserve">. This large temperature reduction is mainly attributed to much higher magnetic body force at high current density, which accounts for </w:t>
      </w:r>
      <m:oMath>
        <m:r>
          <w:rPr>
            <w:rFonts w:ascii="Cambria Math" w:hAnsi="Cambria Math"/>
          </w:rPr>
          <m:t>26 ℃</m:t>
        </m:r>
      </m:oMath>
      <w:r w:rsidRPr="00FC71BE">
        <w:t xml:space="preserve">. The remaining and relatively minor temperature reduction is attributed to the gravitational effect, which accounts for </w:t>
      </w:r>
      <m:oMath>
        <m:r>
          <w:rPr>
            <w:rFonts w:ascii="Cambria Math" w:hAnsi="Cambria Math"/>
          </w:rPr>
          <m:t>10.4 ℃</m:t>
        </m:r>
      </m:oMath>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16"/>
      </w:tblGrid>
      <w:tr w:rsidR="00FC71BE" w:rsidRPr="00FC71BE" w14:paraId="35BA2AC9" w14:textId="77777777">
        <w:tc>
          <w:tcPr>
            <w:tcW w:w="4508" w:type="dxa"/>
          </w:tcPr>
          <w:p w14:paraId="6E38310C" w14:textId="77777777" w:rsidR="00406EF8" w:rsidRPr="00FC71BE" w:rsidRDefault="00406EF8">
            <w:pPr>
              <w:pStyle w:val="Figure"/>
              <w:rPr>
                <w:noProof w:val="0"/>
              </w:rPr>
            </w:pPr>
            <w:r w:rsidRPr="00FC71BE">
              <w:lastRenderedPageBreak/>
              <w:drawing>
                <wp:inline distT="0" distB="0" distL="0" distR="0" wp14:anchorId="3BF5797D" wp14:editId="534272DF">
                  <wp:extent cx="2691290" cy="2999232"/>
                  <wp:effectExtent l="0" t="0" r="0" b="0"/>
                  <wp:docPr id="1770026776" name="Picture 1770026776" descr="A diagram of a circular object with a circle and a circle with a circle with a circle with a circle with a circle with a circle with a circle with a circle with a circle with a circle&#10;&#10;Description automatically generated">
                    <a:extLst xmlns:a="http://schemas.openxmlformats.org/drawingml/2006/main">
                      <a:ext uri="{FF2B5EF4-FFF2-40B4-BE49-F238E27FC236}">
                        <a16:creationId xmlns:a16="http://schemas.microsoft.com/office/drawing/2014/main" id="{B9BF1CFF-06A8-4FAA-A56D-117C289A86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26776" name="Picture 1770026776" descr="A diagram of a circular object with a circle and a circle with a circle with a circle with a circle with a circle with a circle with a circle with a circle with a circle with a circle&#10;&#10;Description automatically generated">
                            <a:extLst>
                              <a:ext uri="{FF2B5EF4-FFF2-40B4-BE49-F238E27FC236}">
                                <a16:creationId xmlns:a16="http://schemas.microsoft.com/office/drawing/2014/main" id="{B9BF1CFF-06A8-4FAA-A56D-117C289A86B3}"/>
                              </a:ext>
                            </a:extLst>
                          </pic:cNvPr>
                          <pic:cNvPicPr>
                            <a:picLocks noChangeAspect="1"/>
                          </pic:cNvPicPr>
                        </pic:nvPicPr>
                        <pic:blipFill rotWithShape="1">
                          <a:blip r:embed="rId224"/>
                          <a:srcRect b="5140"/>
                          <a:stretch/>
                        </pic:blipFill>
                        <pic:spPr bwMode="auto">
                          <a:xfrm>
                            <a:off x="0" y="0"/>
                            <a:ext cx="2698077" cy="3006796"/>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7CBE907E" w14:textId="77777777" w:rsidR="00406EF8" w:rsidRPr="00FC71BE" w:rsidRDefault="00406EF8">
            <w:pPr>
              <w:pStyle w:val="Figure"/>
              <w:rPr>
                <w:noProof w:val="0"/>
              </w:rPr>
            </w:pPr>
            <w:r w:rsidRPr="00FC71BE">
              <w:drawing>
                <wp:inline distT="0" distB="0" distL="0" distR="0" wp14:anchorId="373DB346" wp14:editId="55134B3C">
                  <wp:extent cx="2730676" cy="3043124"/>
                  <wp:effectExtent l="0" t="0" r="0" b="5080"/>
                  <wp:docPr id="1305233267" name="Picture 1305233267" descr="A diagram of a circular object with arrows&#10;&#10;Description automatically generated">
                    <a:extLst xmlns:a="http://schemas.openxmlformats.org/drawingml/2006/main">
                      <a:ext uri="{FF2B5EF4-FFF2-40B4-BE49-F238E27FC236}">
                        <a16:creationId xmlns:a16="http://schemas.microsoft.com/office/drawing/2014/main" id="{DFA6454A-5FAE-4820-A603-60B150E0C6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33267" name="Picture 1305233267" descr="A diagram of a circular object with arrows&#10;&#10;Description automatically generated">
                            <a:extLst>
                              <a:ext uri="{FF2B5EF4-FFF2-40B4-BE49-F238E27FC236}">
                                <a16:creationId xmlns:a16="http://schemas.microsoft.com/office/drawing/2014/main" id="{DFA6454A-5FAE-4820-A603-60B150E0C6BA}"/>
                              </a:ext>
                            </a:extLst>
                          </pic:cNvPr>
                          <pic:cNvPicPr>
                            <a:picLocks noChangeAspect="1"/>
                          </pic:cNvPicPr>
                        </pic:nvPicPr>
                        <pic:blipFill rotWithShape="1">
                          <a:blip r:embed="rId225"/>
                          <a:srcRect b="5204"/>
                          <a:stretch/>
                        </pic:blipFill>
                        <pic:spPr bwMode="auto">
                          <a:xfrm>
                            <a:off x="0" y="0"/>
                            <a:ext cx="2741884" cy="3055615"/>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7491DBE8" w14:textId="77777777">
        <w:tc>
          <w:tcPr>
            <w:tcW w:w="4508" w:type="dxa"/>
          </w:tcPr>
          <w:p w14:paraId="420821FC" w14:textId="77777777" w:rsidR="00406EF8" w:rsidRPr="00FC71BE" w:rsidRDefault="00406EF8">
            <w:pPr>
              <w:pStyle w:val="Figure"/>
              <w:rPr>
                <w:noProof w:val="0"/>
              </w:rPr>
            </w:pPr>
            <w:r w:rsidRPr="00FC71BE">
              <w:rPr>
                <w:noProof w:val="0"/>
              </w:rPr>
              <w:t>(a) Nanofluid</w:t>
            </w:r>
          </w:p>
        </w:tc>
        <w:tc>
          <w:tcPr>
            <w:tcW w:w="4508" w:type="dxa"/>
          </w:tcPr>
          <w:p w14:paraId="4D0C8688" w14:textId="77777777" w:rsidR="00406EF8" w:rsidRPr="00FC71BE" w:rsidRDefault="00406EF8">
            <w:pPr>
              <w:pStyle w:val="Figure"/>
              <w:rPr>
                <w:noProof w:val="0"/>
              </w:rPr>
            </w:pPr>
            <w:r w:rsidRPr="00FC71BE">
              <w:rPr>
                <w:noProof w:val="0"/>
              </w:rPr>
              <w:t>(b) Ferrofluid</w:t>
            </w:r>
          </w:p>
        </w:tc>
      </w:tr>
    </w:tbl>
    <w:p w14:paraId="1AAE3E95" w14:textId="4AF77985" w:rsidR="00406EF8" w:rsidRPr="00FC71BE" w:rsidRDefault="00406EF8" w:rsidP="00406EF8">
      <w:pPr>
        <w:pStyle w:val="FigureTitle"/>
      </w:pPr>
      <w:bookmarkStart w:id="316" w:name="_Ref141125805"/>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10</w:t>
        </w:r>
      </w:fldSimple>
      <w:bookmarkEnd w:id="316"/>
      <w:r w:rsidRPr="00FC71BE">
        <w:t xml:space="preserve">.  Fluid flow velocity on plane 1 for the machines with different coolant at rated current density of </w:t>
      </w:r>
      <m:oMath>
        <m:f>
          <m:fPr>
            <m:type m:val="lin"/>
            <m:ctrlPr>
              <w:rPr>
                <w:rFonts w:ascii="Cambria Math" w:hAnsi="Cambria Math"/>
              </w:rPr>
            </m:ctrlPr>
          </m:fPr>
          <m:num>
            <m:r>
              <m:rPr>
                <m:sty m:val="p"/>
              </m:rPr>
              <w:rPr>
                <w:rFonts w:ascii="Cambria Math" w:hAnsi="Cambria Math"/>
              </w:rPr>
              <m:t>22.1 A</m:t>
            </m:r>
          </m:num>
          <m:den>
            <m:sSup>
              <m:sSupPr>
                <m:ctrlPr>
                  <w:rPr>
                    <w:rFonts w:ascii="Cambria Math" w:hAnsi="Cambria Math"/>
                  </w:rPr>
                </m:ctrlPr>
              </m:sSupPr>
              <m:e>
                <m:r>
                  <m:rPr>
                    <m:sty m:val="p"/>
                  </m:rPr>
                  <w:rPr>
                    <w:rFonts w:ascii="Cambria Math" w:hAnsi="Cambria Math"/>
                  </w:rPr>
                  <m:t>mm</m:t>
                </m:r>
              </m:e>
              <m:sup>
                <m:r>
                  <m:rPr>
                    <m:sty m:val="p"/>
                  </m:rPr>
                  <w:rPr>
                    <w:rFonts w:ascii="Cambria Math" w:hAnsi="Cambria Math"/>
                  </w:rPr>
                  <m:t>2</m:t>
                </m:r>
              </m:sup>
            </m:sSup>
          </m:den>
        </m:f>
      </m:oMath>
      <w:r w:rsidRPr="00FC71BE">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3"/>
        <w:gridCol w:w="3341"/>
        <w:gridCol w:w="2372"/>
      </w:tblGrid>
      <w:tr w:rsidR="00FC71BE" w:rsidRPr="00FC71BE" w14:paraId="2072A2FD" w14:textId="77777777">
        <w:tc>
          <w:tcPr>
            <w:tcW w:w="1835" w:type="pct"/>
            <w:vAlign w:val="center"/>
          </w:tcPr>
          <w:p w14:paraId="29A391CD" w14:textId="77777777" w:rsidR="00406EF8" w:rsidRPr="00FC71BE" w:rsidRDefault="00406EF8">
            <w:pPr>
              <w:pStyle w:val="Figure"/>
              <w:rPr>
                <w:noProof w:val="0"/>
              </w:rPr>
            </w:pPr>
            <w:r w:rsidRPr="00FC71BE">
              <w:drawing>
                <wp:inline distT="0" distB="0" distL="0" distR="0" wp14:anchorId="603A2F96" wp14:editId="334071D3">
                  <wp:extent cx="1018381" cy="3672231"/>
                  <wp:effectExtent l="0" t="0" r="0" b="4445"/>
                  <wp:docPr id="698620790" name="Picture 698620790" descr="A blue and white screen&#10;&#10;Description automatically generated">
                    <a:extLst xmlns:a="http://schemas.openxmlformats.org/drawingml/2006/main">
                      <a:ext uri="{FF2B5EF4-FFF2-40B4-BE49-F238E27FC236}">
                        <a16:creationId xmlns:a16="http://schemas.microsoft.com/office/drawing/2014/main" id="{46FC4663-06EF-46F0-A407-3554E78A4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620790" name="Picture 698620790" descr="A blue and white screen&#10;&#10;Description automatically generated">
                            <a:extLst>
                              <a:ext uri="{FF2B5EF4-FFF2-40B4-BE49-F238E27FC236}">
                                <a16:creationId xmlns:a16="http://schemas.microsoft.com/office/drawing/2014/main" id="{46FC4663-06EF-46F0-A407-3554E78A41EF}"/>
                              </a:ext>
                            </a:extLst>
                          </pic:cNvPr>
                          <pic:cNvPicPr>
                            <a:picLocks noChangeAspect="1"/>
                          </pic:cNvPicPr>
                        </pic:nvPicPr>
                        <pic:blipFill>
                          <a:blip r:embed="rId226"/>
                          <a:stretch>
                            <a:fillRect/>
                          </a:stretch>
                        </pic:blipFill>
                        <pic:spPr>
                          <a:xfrm>
                            <a:off x="0" y="0"/>
                            <a:ext cx="1027105" cy="3703690"/>
                          </a:xfrm>
                          <a:prstGeom prst="rect">
                            <a:avLst/>
                          </a:prstGeom>
                        </pic:spPr>
                      </pic:pic>
                    </a:graphicData>
                  </a:graphic>
                </wp:inline>
              </w:drawing>
            </w:r>
          </w:p>
        </w:tc>
        <w:tc>
          <w:tcPr>
            <w:tcW w:w="1851" w:type="pct"/>
            <w:vAlign w:val="center"/>
          </w:tcPr>
          <w:p w14:paraId="031D3DBE" w14:textId="77777777" w:rsidR="00406EF8" w:rsidRPr="00FC71BE" w:rsidRDefault="00406EF8">
            <w:pPr>
              <w:pStyle w:val="Figure"/>
              <w:rPr>
                <w:noProof w:val="0"/>
              </w:rPr>
            </w:pPr>
            <w:r w:rsidRPr="00FC71BE">
              <w:drawing>
                <wp:inline distT="0" distB="0" distL="0" distR="0" wp14:anchorId="4A5B6772" wp14:editId="2F9C584E">
                  <wp:extent cx="994867" cy="3651686"/>
                  <wp:effectExtent l="0" t="0" r="0" b="6350"/>
                  <wp:docPr id="2072110786" name="Picture 2072110786"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10786" name="Picture 2072110786" descr="A blue screen with white text&#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003368" cy="3682889"/>
                          </a:xfrm>
                          <a:prstGeom prst="rect">
                            <a:avLst/>
                          </a:prstGeom>
                          <a:noFill/>
                        </pic:spPr>
                      </pic:pic>
                    </a:graphicData>
                  </a:graphic>
                </wp:inline>
              </w:drawing>
            </w:r>
          </w:p>
        </w:tc>
        <w:tc>
          <w:tcPr>
            <w:tcW w:w="1314" w:type="pct"/>
            <w:vAlign w:val="center"/>
          </w:tcPr>
          <w:p w14:paraId="13D65474" w14:textId="77777777" w:rsidR="00406EF8" w:rsidRPr="00FC71BE" w:rsidRDefault="00406EF8">
            <w:pPr>
              <w:pStyle w:val="Figure"/>
              <w:rPr>
                <w:noProof w:val="0"/>
              </w:rPr>
            </w:pPr>
            <w:r w:rsidRPr="00FC71BE">
              <w:drawing>
                <wp:inline distT="0" distB="0" distL="0" distR="0" wp14:anchorId="1BF484A6" wp14:editId="0E91A5C1">
                  <wp:extent cx="761467" cy="3479427"/>
                  <wp:effectExtent l="0" t="0" r="0" b="0"/>
                  <wp:docPr id="1828876411" name="Picture 1828876411" descr="A rainbow colored line on a black background&#10;&#10;Description automatically generated">
                    <a:extLst xmlns:a="http://schemas.openxmlformats.org/drawingml/2006/main">
                      <a:ext uri="{FF2B5EF4-FFF2-40B4-BE49-F238E27FC236}">
                        <a16:creationId xmlns:a16="http://schemas.microsoft.com/office/drawing/2014/main" id="{D734D343-1678-42BE-B2A3-BFAD81F72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76411" name="Picture 1828876411" descr="A rainbow colored line on a black background&#10;&#10;Description automatically generated">
                            <a:extLst>
                              <a:ext uri="{FF2B5EF4-FFF2-40B4-BE49-F238E27FC236}">
                                <a16:creationId xmlns:a16="http://schemas.microsoft.com/office/drawing/2014/main" id="{D734D343-1678-42BE-B2A3-BFAD81F72E3E}"/>
                              </a:ext>
                            </a:extLst>
                          </pic:cNvPr>
                          <pic:cNvPicPr>
                            <a:picLocks noChangeAspect="1"/>
                          </pic:cNvPicPr>
                        </pic:nvPicPr>
                        <pic:blipFill>
                          <a:blip r:embed="rId228"/>
                          <a:stretch>
                            <a:fillRect/>
                          </a:stretch>
                        </pic:blipFill>
                        <pic:spPr>
                          <a:xfrm>
                            <a:off x="0" y="0"/>
                            <a:ext cx="773562" cy="3534692"/>
                          </a:xfrm>
                          <a:prstGeom prst="rect">
                            <a:avLst/>
                          </a:prstGeom>
                        </pic:spPr>
                      </pic:pic>
                    </a:graphicData>
                  </a:graphic>
                </wp:inline>
              </w:drawing>
            </w:r>
          </w:p>
        </w:tc>
      </w:tr>
      <w:tr w:rsidR="00FC71BE" w:rsidRPr="00FC71BE" w14:paraId="3D7FA210" w14:textId="77777777">
        <w:tc>
          <w:tcPr>
            <w:tcW w:w="1835" w:type="pct"/>
            <w:vAlign w:val="center"/>
          </w:tcPr>
          <w:p w14:paraId="68E37AE8" w14:textId="77777777" w:rsidR="00406EF8" w:rsidRPr="00FC71BE" w:rsidRDefault="00406EF8">
            <w:pPr>
              <w:pStyle w:val="Figure"/>
              <w:rPr>
                <w:noProof w:val="0"/>
              </w:rPr>
            </w:pPr>
            <w:r w:rsidRPr="00FC71BE">
              <w:rPr>
                <w:noProof w:val="0"/>
              </w:rPr>
              <w:t>(a) Nanofluid</w:t>
            </w:r>
          </w:p>
        </w:tc>
        <w:tc>
          <w:tcPr>
            <w:tcW w:w="1851" w:type="pct"/>
            <w:vAlign w:val="center"/>
          </w:tcPr>
          <w:p w14:paraId="79EEFC8E" w14:textId="77777777" w:rsidR="00406EF8" w:rsidRPr="00FC71BE" w:rsidRDefault="00406EF8">
            <w:pPr>
              <w:pStyle w:val="Figure"/>
              <w:rPr>
                <w:noProof w:val="0"/>
              </w:rPr>
            </w:pPr>
            <w:r w:rsidRPr="00FC71BE">
              <w:rPr>
                <w:noProof w:val="0"/>
              </w:rPr>
              <w:t>(b) Ferrofluid</w:t>
            </w:r>
          </w:p>
        </w:tc>
        <w:tc>
          <w:tcPr>
            <w:tcW w:w="1314" w:type="pct"/>
            <w:vAlign w:val="center"/>
          </w:tcPr>
          <w:p w14:paraId="605BD177" w14:textId="77777777" w:rsidR="00406EF8" w:rsidRPr="00FC71BE" w:rsidRDefault="00406EF8">
            <w:pPr>
              <w:pStyle w:val="Figure"/>
              <w:rPr>
                <w:noProof w:val="0"/>
              </w:rPr>
            </w:pPr>
          </w:p>
        </w:tc>
      </w:tr>
    </w:tbl>
    <w:p w14:paraId="647925DD" w14:textId="0D12FDBB" w:rsidR="00406EF8" w:rsidRPr="00FC71BE" w:rsidRDefault="00406EF8" w:rsidP="00406EF8">
      <w:pPr>
        <w:pStyle w:val="FigureTitle"/>
      </w:pPr>
      <w:bookmarkStart w:id="317" w:name="_Ref141125826"/>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11</w:t>
        </w:r>
      </w:fldSimple>
      <w:bookmarkEnd w:id="317"/>
      <w:r w:rsidRPr="00FC71BE">
        <w:t xml:space="preserve">.  Temperature distribution on plane 2 in the end-winding region for the machines with different coolant at rated current density of </w:t>
      </w:r>
      <m:oMath>
        <m:f>
          <m:fPr>
            <m:type m:val="lin"/>
            <m:ctrlPr>
              <w:rPr>
                <w:rFonts w:ascii="Cambria Math" w:hAnsi="Cambria Math"/>
              </w:rPr>
            </m:ctrlPr>
          </m:fPr>
          <m:num>
            <m:r>
              <m:rPr>
                <m:sty m:val="p"/>
              </m:rPr>
              <w:rPr>
                <w:rFonts w:ascii="Cambria Math" w:hAnsi="Cambria Math"/>
              </w:rPr>
              <m:t>22.1 A</m:t>
            </m:r>
          </m:num>
          <m:den>
            <m:sSup>
              <m:sSupPr>
                <m:ctrlPr>
                  <w:rPr>
                    <w:rFonts w:ascii="Cambria Math" w:hAnsi="Cambria Math"/>
                  </w:rPr>
                </m:ctrlPr>
              </m:sSupPr>
              <m:e>
                <m:r>
                  <m:rPr>
                    <m:sty m:val="p"/>
                  </m:rPr>
                  <w:rPr>
                    <w:rFonts w:ascii="Cambria Math" w:hAnsi="Cambria Math"/>
                  </w:rPr>
                  <m:t>mm</m:t>
                </m:r>
              </m:e>
              <m:sup>
                <m:r>
                  <m:rPr>
                    <m:sty m:val="p"/>
                  </m:rPr>
                  <w:rPr>
                    <w:rFonts w:ascii="Cambria Math" w:hAnsi="Cambria Math"/>
                  </w:rPr>
                  <m:t>2</m:t>
                </m:r>
              </m:sup>
            </m:sSup>
          </m:den>
        </m:f>
      </m:oMath>
      <w:r w:rsidRPr="00FC71BE">
        <w:t>.</w:t>
      </w:r>
    </w:p>
    <w:p w14:paraId="16AE7843" w14:textId="77777777" w:rsidR="00406EF8" w:rsidRPr="00FC71BE" w:rsidRDefault="00406EF8" w:rsidP="00B86C68">
      <w:pPr>
        <w:pStyle w:val="Heading2"/>
        <w:numPr>
          <w:ilvl w:val="1"/>
          <w:numId w:val="49"/>
        </w:numPr>
      </w:pPr>
      <w:bookmarkStart w:id="318" w:name="_Toc157695393"/>
      <w:r w:rsidRPr="00FC71BE">
        <w:lastRenderedPageBreak/>
        <w:t>Influence of Ferrofluid Properties</w:t>
      </w:r>
      <w:bookmarkEnd w:id="318"/>
    </w:p>
    <w:p w14:paraId="3E48682C" w14:textId="77777777" w:rsidR="00406EF8" w:rsidRPr="00FC71BE" w:rsidRDefault="00406EF8" w:rsidP="00406EF8">
      <w:r w:rsidRPr="00FC71BE">
        <w:t>Previous results confirm the ability of ferrofluid in improving the cooling performance of electrical machines. This improvement is due to the existence of the nano-sized ferromagnetic particles in the liquid base as (1) they improve the thermal conductivity; (2) they improve the gravitational effect due to higher thermal expansion; and (3) they can also lead to significant thermomagnetic convection due to magnetic body force. The improvement can be further enhanced by increasing the concentration of ferromagnetic particles or using materials with better temperature dependent magnetization properties, as will be investigated in following sections.</w:t>
      </w:r>
    </w:p>
    <w:p w14:paraId="7AD144E9" w14:textId="77777777" w:rsidR="00406EF8" w:rsidRPr="00FC71BE" w:rsidRDefault="00406EF8" w:rsidP="00B86C68">
      <w:pPr>
        <w:pStyle w:val="Heading3"/>
        <w:numPr>
          <w:ilvl w:val="2"/>
          <w:numId w:val="49"/>
        </w:numPr>
      </w:pPr>
      <w:bookmarkStart w:id="319" w:name="_Toc157695394"/>
      <w:r w:rsidRPr="00FC71BE">
        <w:t>Concentration of Ferrofluid</w:t>
      </w:r>
      <w:bookmarkEnd w:id="319"/>
    </w:p>
    <w:p w14:paraId="494D922F" w14:textId="54BA266F" w:rsidR="00406EF8" w:rsidRPr="00FC71BE" w:rsidRDefault="00406EF8" w:rsidP="00406EF8">
      <w:pPr>
        <w:rPr>
          <w:iCs/>
        </w:rPr>
      </w:pPr>
      <w:r w:rsidRPr="00FC71BE">
        <w:t xml:space="preserve">Increasing the concentration can improve the cooling efficiency for both the nanofluid and ferrofluid. However, the temperature reduction by the ferrofluid is more significant, as can be seen in </w:t>
      </w:r>
      <w:r w:rsidRPr="00FC71BE">
        <w:fldChar w:fldCharType="begin"/>
      </w:r>
      <w:r w:rsidRPr="00FC71BE">
        <w:instrText xml:space="preserve"> REF _Ref141126147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12</w:t>
      </w:r>
      <w:r w:rsidRPr="00FC71BE">
        <w:fldChar w:fldCharType="end"/>
      </w:r>
      <w:r w:rsidRPr="00FC71BE">
        <w:t xml:space="preserve">. It is found that </w:t>
      </w:r>
      <w:r w:rsidRPr="00FC71BE">
        <w:rPr>
          <w:iCs/>
        </w:rPr>
        <w:t xml:space="preserve">compared to a concentration of 0%, i.e., the pure liquid base, the coil temperatures are reduced by only 1.1% when the concentration of the nanofluid is increased to 10%. The marginal temperature reduction is due to slightly increased thermal conductivity and expansion coefficient and hence an enhanced gravitational effect. This is the same case for the ferrofluid. However, the thermomagnetic convection obtained by introducing the ferromagnetic particles can further reduce the machine temperature. The boosted magnetic body force due to a higher concentration as derived in </w:t>
      </w:r>
      <w:r w:rsidRPr="00FC71BE">
        <w:fldChar w:fldCharType="begin"/>
      </w:r>
      <w:r w:rsidRPr="00FC71BE">
        <w:instrText xml:space="preserve"> REF _Ref141093461 \h </w:instrText>
      </w:r>
      <w:r w:rsidRPr="00FC71BE">
        <w:fldChar w:fldCharType="separate"/>
      </w:r>
      <w:r w:rsidR="007E62C1" w:rsidRPr="00FC71BE">
        <w:t>(</w:t>
      </w:r>
      <w:r w:rsidR="007E62C1" w:rsidRPr="00FC71BE">
        <w:rPr>
          <w:noProof/>
        </w:rPr>
        <w:t>5</w:t>
      </w:r>
      <w:r w:rsidR="007E62C1" w:rsidRPr="00FC71BE">
        <w:t>.</w:t>
      </w:r>
      <w:r w:rsidR="007E62C1" w:rsidRPr="00FC71BE">
        <w:rPr>
          <w:noProof/>
        </w:rPr>
        <w:t>18</w:t>
      </w:r>
      <w:r w:rsidR="007E62C1" w:rsidRPr="00FC71BE">
        <w:t>)</w:t>
      </w:r>
      <w:r w:rsidRPr="00FC71BE">
        <w:fldChar w:fldCharType="end"/>
      </w:r>
      <w:r w:rsidRPr="00FC71BE">
        <w:rPr>
          <w:iCs/>
        </w:rPr>
        <w:t xml:space="preserve"> leads to a quicker coolant circulation and a larger thermomagnetic convection. As a result, the coil temperatures can be reduced by 11.7% when the concentration of the ferrofluid is 10%.</w:t>
      </w:r>
    </w:p>
    <w:p w14:paraId="3FEDF283" w14:textId="77777777" w:rsidR="00406EF8" w:rsidRPr="00FC71BE" w:rsidRDefault="00406EF8" w:rsidP="00406EF8">
      <w:pPr>
        <w:rPr>
          <w:iCs/>
        </w:rPr>
      </w:pPr>
      <w:r w:rsidRPr="00FC71BE">
        <w:rPr>
          <w:iCs/>
        </w:rPr>
        <w:t>Although the thermomagnetic convection can be enhanced by increasing the concentration, the concentrations of the ferrofluid in literature are mostly around 5%. This is because higher concentration also increases the interaction between ferromagnetic particles. This could increase their agglomeration and make the fluid unstable. Therefore, ferrofluids with a concentration of up to 10% has been selected for the investigations in this chapter.</w:t>
      </w:r>
    </w:p>
    <w:p w14:paraId="267D5279" w14:textId="77777777" w:rsidR="00406EF8" w:rsidRPr="00FC71BE" w:rsidRDefault="00406EF8" w:rsidP="00406EF8">
      <w:pPr>
        <w:pStyle w:val="Figure"/>
        <w:rPr>
          <w:noProof w:val="0"/>
        </w:rPr>
      </w:pPr>
      <w:r w:rsidRPr="00FC71BE">
        <w:lastRenderedPageBreak/>
        <w:drawing>
          <wp:inline distT="0" distB="0" distL="0" distR="0" wp14:anchorId="0490A19A" wp14:editId="3B94452C">
            <wp:extent cx="4363200" cy="3275863"/>
            <wp:effectExtent l="0" t="0" r="0" b="1270"/>
            <wp:docPr id="2138350804" name="Picture 2138350804" descr="Chart, scatter chart&#10;&#10;Description automatically generated">
              <a:extLst xmlns:a="http://schemas.openxmlformats.org/drawingml/2006/main">
                <a:ext uri="{FF2B5EF4-FFF2-40B4-BE49-F238E27FC236}">
                  <a16:creationId xmlns:a16="http://schemas.microsoft.com/office/drawing/2014/main" id="{A529987B-DA61-40A4-993E-DA2F726CF2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descr="Chart, scatter chart&#10;&#10;Description automatically generated">
                      <a:extLst>
                        <a:ext uri="{FF2B5EF4-FFF2-40B4-BE49-F238E27FC236}">
                          <a16:creationId xmlns:a16="http://schemas.microsoft.com/office/drawing/2014/main" id="{A529987B-DA61-40A4-993E-DA2F726CF20D}"/>
                        </a:ext>
                      </a:extLst>
                    </pic:cNvPr>
                    <pic:cNvPicPr>
                      <a:picLocks noChangeAspect="1"/>
                    </pic:cNvPicPr>
                  </pic:nvPicPr>
                  <pic:blipFill>
                    <a:blip r:embed="rId229"/>
                    <a:stretch>
                      <a:fillRect/>
                    </a:stretch>
                  </pic:blipFill>
                  <pic:spPr>
                    <a:xfrm>
                      <a:off x="0" y="0"/>
                      <a:ext cx="4363200" cy="3275863"/>
                    </a:xfrm>
                    <a:prstGeom prst="rect">
                      <a:avLst/>
                    </a:prstGeom>
                  </pic:spPr>
                </pic:pic>
              </a:graphicData>
            </a:graphic>
          </wp:inline>
        </w:drawing>
      </w:r>
    </w:p>
    <w:p w14:paraId="30D1BF5A" w14:textId="274EA6C7" w:rsidR="00406EF8" w:rsidRPr="00FC71BE" w:rsidRDefault="00406EF8" w:rsidP="00406EF8">
      <w:pPr>
        <w:pStyle w:val="FigureTitle"/>
      </w:pPr>
      <w:bookmarkStart w:id="320" w:name="_Ref141126147"/>
      <w:bookmarkStart w:id="321" w:name="_Ref141126144"/>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12</w:t>
        </w:r>
      </w:fldSimple>
      <w:bookmarkEnd w:id="320"/>
      <w:r w:rsidRPr="00FC71BE">
        <w:t xml:space="preserve">.  Normalized maximum coil temperatures for different concentrations of ferrofluid at rated current density of </w:t>
      </w:r>
      <m:oMath>
        <m:f>
          <m:fPr>
            <m:type m:val="lin"/>
            <m:ctrlPr>
              <w:rPr>
                <w:rFonts w:ascii="Cambria Math" w:hAnsi="Cambria Math"/>
              </w:rPr>
            </m:ctrlPr>
          </m:fPr>
          <m:num>
            <m:r>
              <m:rPr>
                <m:sty m:val="p"/>
              </m:rPr>
              <w:rPr>
                <w:rFonts w:ascii="Cambria Math" w:hAnsi="Cambria Math"/>
              </w:rPr>
              <m:t>18.4 A</m:t>
            </m:r>
          </m:num>
          <m:den>
            <m:sSup>
              <m:sSupPr>
                <m:ctrlPr>
                  <w:rPr>
                    <w:rFonts w:ascii="Cambria Math" w:hAnsi="Cambria Math"/>
                  </w:rPr>
                </m:ctrlPr>
              </m:sSupPr>
              <m:e>
                <m:r>
                  <m:rPr>
                    <m:sty m:val="p"/>
                  </m:rPr>
                  <w:rPr>
                    <w:rFonts w:ascii="Cambria Math" w:hAnsi="Cambria Math"/>
                  </w:rPr>
                  <m:t>mm</m:t>
                </m:r>
              </m:e>
              <m:sup>
                <m:r>
                  <m:rPr>
                    <m:sty m:val="p"/>
                  </m:rPr>
                  <w:rPr>
                    <w:rFonts w:ascii="Cambria Math" w:hAnsi="Cambria Math"/>
                  </w:rPr>
                  <m:t>2</m:t>
                </m:r>
              </m:sup>
            </m:sSup>
          </m:den>
        </m:f>
      </m:oMath>
      <w:r w:rsidRPr="00FC71BE">
        <w:t>.</w:t>
      </w:r>
      <w:bookmarkEnd w:id="321"/>
    </w:p>
    <w:p w14:paraId="79A6BFE6" w14:textId="77777777" w:rsidR="00406EF8" w:rsidRPr="00FC71BE" w:rsidRDefault="00406EF8" w:rsidP="00B86C68">
      <w:pPr>
        <w:pStyle w:val="Heading3"/>
        <w:numPr>
          <w:ilvl w:val="2"/>
          <w:numId w:val="49"/>
        </w:numPr>
      </w:pPr>
      <w:bookmarkStart w:id="322" w:name="_Toc157695395"/>
      <w:r w:rsidRPr="00FC71BE">
        <w:t>Magnetization Characters of Ferrofluid</w:t>
      </w:r>
      <w:bookmarkEnd w:id="322"/>
    </w:p>
    <w:p w14:paraId="0D1CE374" w14:textId="7BF5DB38" w:rsidR="00406EF8" w:rsidRPr="00FC71BE" w:rsidRDefault="00406EF8" w:rsidP="00406EF8">
      <w:r w:rsidRPr="00FC71BE">
        <w:t xml:space="preserve">Previous results demonstrated the significant role of the thermomagnetic convection in improving machine thermal performance. It is also found that increasing the magnetic body force is an efficient method to improve the thermomagnetic convection, and hence the cooling efficiency of the ferrofluid. The magnetic body force in </w:t>
      </w:r>
      <w:r w:rsidRPr="00FC71BE">
        <w:fldChar w:fldCharType="begin"/>
      </w:r>
      <w:r w:rsidRPr="00FC71BE">
        <w:instrText xml:space="preserve"> REF _Ref141126418 \h </w:instrText>
      </w:r>
      <w:r w:rsidRPr="00FC71BE">
        <w:fldChar w:fldCharType="separate"/>
      </w:r>
      <w:r w:rsidR="007E62C1" w:rsidRPr="00FC71BE">
        <w:t>(</w:t>
      </w:r>
      <w:r w:rsidR="007E62C1" w:rsidRPr="00FC71BE">
        <w:rPr>
          <w:noProof/>
        </w:rPr>
        <w:t>4</w:t>
      </w:r>
      <w:r w:rsidR="007E62C1" w:rsidRPr="00FC71BE">
        <w:t>.</w:t>
      </w:r>
      <w:r w:rsidR="007E62C1" w:rsidRPr="00FC71BE">
        <w:rPr>
          <w:noProof/>
        </w:rPr>
        <w:t>13</w:t>
      </w:r>
      <w:r w:rsidR="007E62C1" w:rsidRPr="00FC71BE">
        <w:t>)</w:t>
      </w:r>
      <w:r w:rsidRPr="00FC71BE">
        <w:fldChar w:fldCharType="end"/>
      </w:r>
      <w:r w:rsidRPr="00FC71BE">
        <w:t xml:space="preserve"> and </w:t>
      </w:r>
      <w:r w:rsidRPr="00FC71BE">
        <w:fldChar w:fldCharType="begin"/>
      </w:r>
      <w:r w:rsidRPr="00FC71BE">
        <w:instrText xml:space="preserve"> REF _Ref141093461 \h </w:instrText>
      </w:r>
      <w:r w:rsidRPr="00FC71BE">
        <w:fldChar w:fldCharType="separate"/>
      </w:r>
      <w:r w:rsidR="007E62C1" w:rsidRPr="00FC71BE">
        <w:t>(</w:t>
      </w:r>
      <w:r w:rsidR="007E62C1" w:rsidRPr="00FC71BE">
        <w:rPr>
          <w:noProof/>
        </w:rPr>
        <w:t>5</w:t>
      </w:r>
      <w:r w:rsidR="007E62C1" w:rsidRPr="00FC71BE">
        <w:t>.</w:t>
      </w:r>
      <w:r w:rsidR="007E62C1" w:rsidRPr="00FC71BE">
        <w:rPr>
          <w:noProof/>
        </w:rPr>
        <w:t>18</w:t>
      </w:r>
      <w:r w:rsidR="007E62C1" w:rsidRPr="00FC71BE">
        <w:t>)</w:t>
      </w:r>
      <w:r w:rsidRPr="00FC71BE">
        <w:fldChar w:fldCharType="end"/>
      </w:r>
      <w:r w:rsidRPr="00FC71BE">
        <w:t xml:space="preserve"> shows that it is affected by the temperature dependent magnetization curve. Since the magnetization curve is the intrinsic properties of materials, different ferromagnetic materials are chosen to investigate the influence of the magnetization curve. Their magnetic properties, i.e., saturation magnetization (</w:t>
      </w:r>
      <m:oMath>
        <m:sSub>
          <m:sSubPr>
            <m:ctrlPr>
              <w:rPr>
                <w:rFonts w:ascii="Cambria Math" w:hAnsi="Cambria Math"/>
              </w:rPr>
            </m:ctrlPr>
          </m:sSubPr>
          <m:e>
            <m:r>
              <w:rPr>
                <w:rFonts w:ascii="Cambria Math" w:hAnsi="Cambria Math"/>
              </w:rPr>
              <m:t>M</m:t>
            </m:r>
          </m:e>
          <m:sub>
            <m:r>
              <m:rPr>
                <m:sty m:val="p"/>
              </m:rPr>
              <w:rPr>
                <w:rFonts w:ascii="Cambria Math" w:hAnsi="Cambria Math"/>
              </w:rPr>
              <m:t>0</m:t>
            </m:r>
          </m:sub>
        </m:sSub>
      </m:oMath>
      <w:r w:rsidRPr="00FC71BE">
        <w:t>) at 20</w:t>
      </w:r>
      <m:oMath>
        <m:r>
          <m:rPr>
            <m:sty m:val="p"/>
          </m:rPr>
          <w:rPr>
            <w:rFonts w:ascii="Cambria Math" w:hAnsi="Cambria Math"/>
          </w:rPr>
          <m:t>℃</m:t>
        </m:r>
      </m:oMath>
      <w:r w:rsidRPr="00FC71BE">
        <w:t xml:space="preserve"> and Curie Temperature (</w:t>
      </w:r>
      <m:oMath>
        <m:sSub>
          <m:sSubPr>
            <m:ctrlPr>
              <w:rPr>
                <w:rFonts w:ascii="Cambria Math" w:hAnsi="Cambria Math"/>
              </w:rPr>
            </m:ctrlPr>
          </m:sSubPr>
          <m:e>
            <m:r>
              <w:rPr>
                <w:rFonts w:ascii="Cambria Math" w:hAnsi="Cambria Math"/>
              </w:rPr>
              <m:t>T</m:t>
            </m:r>
          </m:e>
          <m:sub>
            <m:r>
              <w:rPr>
                <w:rFonts w:ascii="Cambria Math" w:hAnsi="Cambria Math"/>
              </w:rPr>
              <m:t>c</m:t>
            </m:r>
          </m:sub>
        </m:sSub>
      </m:oMath>
      <w:r w:rsidRPr="00FC71BE">
        <w:t xml:space="preserve">) are listed in </w:t>
      </w:r>
      <w:r w:rsidRPr="00FC71BE">
        <w:fldChar w:fldCharType="begin"/>
      </w:r>
      <w:r w:rsidRPr="00FC71BE">
        <w:instrText xml:space="preserve"> REF _Ref141126506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4</w:t>
      </w:r>
      <w:r w:rsidRPr="00FC71BE">
        <w:fldChar w:fldCharType="end"/>
      </w:r>
      <w:r w:rsidRPr="00FC71BE">
        <w:t xml:space="preserve">. According to </w:t>
      </w:r>
      <w:r w:rsidRPr="00FC71BE">
        <w:fldChar w:fldCharType="begin"/>
      </w:r>
      <w:r w:rsidRPr="00FC71BE">
        <w:instrText xml:space="preserve"> REF _Ref141126418 \h </w:instrText>
      </w:r>
      <w:r w:rsidRPr="00FC71BE">
        <w:fldChar w:fldCharType="separate"/>
      </w:r>
      <w:r w:rsidR="007E62C1" w:rsidRPr="00FC71BE">
        <w:t>(</w:t>
      </w:r>
      <w:r w:rsidR="007E62C1" w:rsidRPr="00FC71BE">
        <w:rPr>
          <w:noProof/>
        </w:rPr>
        <w:t>4</w:t>
      </w:r>
      <w:r w:rsidR="007E62C1" w:rsidRPr="00FC71BE">
        <w:t>.</w:t>
      </w:r>
      <w:r w:rsidR="007E62C1" w:rsidRPr="00FC71BE">
        <w:rPr>
          <w:noProof/>
        </w:rPr>
        <w:t>13</w:t>
      </w:r>
      <w:r w:rsidR="007E62C1" w:rsidRPr="00FC71BE">
        <w:t>)</w:t>
      </w:r>
      <w:r w:rsidRPr="00FC71BE">
        <w:fldChar w:fldCharType="end"/>
      </w:r>
      <w:r w:rsidRPr="00FC71BE">
        <w:t xml:space="preserve"> and </w:t>
      </w:r>
      <w:r w:rsidRPr="00FC71BE">
        <w:fldChar w:fldCharType="begin"/>
      </w:r>
      <w:r w:rsidRPr="00FC71BE">
        <w:instrText xml:space="preserve"> REF _Ref141126532 \h </w:instrText>
      </w:r>
      <w:r w:rsidRPr="00FC71BE">
        <w:fldChar w:fldCharType="separate"/>
      </w:r>
      <w:r w:rsidR="007E62C1" w:rsidRPr="00FC71BE">
        <w:t>(</w:t>
      </w:r>
      <w:r w:rsidR="007E62C1" w:rsidRPr="00FC71BE">
        <w:rPr>
          <w:noProof/>
        </w:rPr>
        <w:t>5</w:t>
      </w:r>
      <w:r w:rsidR="007E62C1" w:rsidRPr="00FC71BE">
        <w:t>.</w:t>
      </w:r>
      <w:r w:rsidR="007E62C1" w:rsidRPr="00FC71BE">
        <w:rPr>
          <w:noProof/>
        </w:rPr>
        <w:t>4</w:t>
      </w:r>
      <w:r w:rsidR="007E62C1" w:rsidRPr="00FC71BE">
        <w:t>)</w:t>
      </w:r>
      <w:r w:rsidRPr="00FC71BE">
        <w:fldChar w:fldCharType="end"/>
      </w:r>
      <w:r w:rsidRPr="00FC71BE">
        <w:t xml:space="preserve">, higher </w:t>
      </w:r>
      <m:oMath>
        <m:sSub>
          <m:sSubPr>
            <m:ctrlPr>
              <w:rPr>
                <w:rFonts w:ascii="Cambria Math" w:hAnsi="Cambria Math"/>
                <w:i/>
              </w:rPr>
            </m:ctrlPr>
          </m:sSubPr>
          <m:e>
            <m:r>
              <w:rPr>
                <w:rFonts w:ascii="Cambria Math" w:hAnsi="Cambria Math"/>
              </w:rPr>
              <m:t>M</m:t>
            </m:r>
          </m:e>
          <m:sub>
            <m:r>
              <w:rPr>
                <w:rFonts w:ascii="Cambria Math" w:hAnsi="Cambria Math"/>
              </w:rPr>
              <m:t>0</m:t>
            </m:r>
          </m:sub>
        </m:sSub>
      </m:oMath>
      <w:r w:rsidRPr="00FC71BE">
        <w:t xml:space="preserve"> leads to higher magnetic susceptibility, while higher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rsidRPr="00FC71BE">
        <w:t xml:space="preserve"> also leads to higher susceptibility and lower reduction rate of susceptibility, as shown in </w:t>
      </w:r>
      <w:r w:rsidRPr="00FC71BE">
        <w:fldChar w:fldCharType="begin"/>
      </w:r>
      <w:r w:rsidRPr="00FC71BE">
        <w:instrText xml:space="preserve"> REF _Ref141126941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13</w:t>
      </w:r>
      <w:r w:rsidRPr="00FC71BE">
        <w:fldChar w:fldCharType="end"/>
      </w:r>
      <w:r w:rsidRPr="00FC71BE">
        <w:t>. It is worth noting that</w:t>
      </w:r>
      <w:r w:rsidRPr="00FC71BE">
        <w:rPr>
          <w:iCs/>
        </w:rPr>
        <w:t xml:space="preserve"> the operating temperature of the ferrofluid in this study is within the range between </w:t>
      </w:r>
      <w:r w:rsidRPr="00FC71BE">
        <w:t>70</w:t>
      </w:r>
      <m:oMath>
        <m:r>
          <m:rPr>
            <m:sty m:val="p"/>
          </m:rPr>
          <w:rPr>
            <w:rFonts w:ascii="Cambria Math" w:hAnsi="Cambria Math"/>
          </w:rPr>
          <m:t>℃</m:t>
        </m:r>
      </m:oMath>
      <w:r w:rsidRPr="00FC71BE">
        <w:t xml:space="preserve"> and 110</w:t>
      </w:r>
      <m:oMath>
        <m:r>
          <m:rPr>
            <m:sty m:val="p"/>
          </m:rPr>
          <w:rPr>
            <w:rFonts w:ascii="Cambria Math" w:hAnsi="Cambria Math"/>
          </w:rPr>
          <m:t>℃</m:t>
        </m:r>
      </m:oMath>
      <w:r w:rsidRPr="00FC71BE">
        <w:t xml:space="preserve">, as shown in the shaded region in </w:t>
      </w:r>
      <w:r w:rsidRPr="00FC71BE">
        <w:fldChar w:fldCharType="begin"/>
      </w:r>
      <w:r w:rsidRPr="00FC71BE">
        <w:instrText xml:space="preserve"> REF _Ref141126941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13</w:t>
      </w:r>
      <w:r w:rsidRPr="00FC71BE">
        <w:fldChar w:fldCharType="end"/>
      </w:r>
      <w:r w:rsidRPr="00FC71BE">
        <w:t>.</w:t>
      </w:r>
    </w:p>
    <w:p w14:paraId="284E8739" w14:textId="19B537DA" w:rsidR="00406EF8" w:rsidRPr="00FC71BE" w:rsidRDefault="00406EF8" w:rsidP="00406EF8">
      <w:r w:rsidRPr="00FC71BE">
        <w:t xml:space="preserve">The maximum coil temperatures for ferrofluid with different ferromagnetic particles are shown in </w:t>
      </w:r>
      <w:r w:rsidRPr="00FC71BE">
        <w:fldChar w:fldCharType="begin"/>
      </w:r>
      <w:r w:rsidRPr="00FC71BE">
        <w:instrText xml:space="preserve"> REF _Ref141126969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14</w:t>
      </w:r>
      <w:r w:rsidRPr="00FC71BE">
        <w:fldChar w:fldCharType="end"/>
      </w:r>
      <w:r w:rsidRPr="00FC71BE">
        <w:t xml:space="preserve">. It is found that </w:t>
      </w:r>
      <m:oMath>
        <m:sSub>
          <m:sSubPr>
            <m:ctrlPr>
              <w:rPr>
                <w:rFonts w:ascii="Cambria Math" w:hAnsi="Cambria Math"/>
                <w:iCs/>
              </w:rPr>
            </m:ctrlPr>
          </m:sSubPr>
          <m:e>
            <m:r>
              <m:rPr>
                <m:sty m:val="p"/>
              </m:rPr>
              <w:rPr>
                <w:rFonts w:ascii="Cambria Math" w:hAnsi="Cambria Math"/>
              </w:rPr>
              <m:t>Fe</m:t>
            </m:r>
          </m:e>
          <m:sub>
            <m:r>
              <m:rPr>
                <m:sty m:val="p"/>
              </m:rPr>
              <w:rPr>
                <w:rFonts w:ascii="Cambria Math" w:hAnsi="Cambria Math"/>
              </w:rPr>
              <m:t>3</m:t>
            </m:r>
          </m:sub>
        </m:sSub>
        <m:sSub>
          <m:sSubPr>
            <m:ctrlPr>
              <w:rPr>
                <w:rFonts w:ascii="Cambria Math" w:hAnsi="Cambria Math"/>
                <w:iCs/>
              </w:rPr>
            </m:ctrlPr>
          </m:sSubPr>
          <m:e>
            <m:r>
              <m:rPr>
                <m:sty m:val="p"/>
              </m:rPr>
              <w:rPr>
                <w:rFonts w:ascii="Cambria Math" w:hAnsi="Cambria Math"/>
              </w:rPr>
              <m:t>O</m:t>
            </m:r>
          </m:e>
          <m:sub>
            <m:r>
              <m:rPr>
                <m:sty m:val="p"/>
              </m:rPr>
              <w:rPr>
                <w:rFonts w:ascii="Cambria Math" w:hAnsi="Cambria Math"/>
              </w:rPr>
              <m:t>4</m:t>
            </m:r>
          </m:sub>
        </m:sSub>
      </m:oMath>
      <w:r w:rsidRPr="00FC71BE">
        <w:t xml:space="preserve"> </w:t>
      </w:r>
      <w:r w:rsidRPr="00FC71BE">
        <w:rPr>
          <w:iCs/>
        </w:rPr>
        <w:t xml:space="preserve">achieves lower temperatures due to its higher susceptibility within the selected operating temperature range. However, the highest temperature is achieved by </w:t>
      </w:r>
      <m:oMath>
        <m:r>
          <m:rPr>
            <m:sty m:val="p"/>
          </m:rPr>
          <w:rPr>
            <w:rFonts w:ascii="Cambria Math" w:hAnsi="Cambria Math"/>
          </w:rPr>
          <m:t>Cd</m:t>
        </m:r>
        <m:sSub>
          <m:sSubPr>
            <m:ctrlPr>
              <w:rPr>
                <w:rFonts w:ascii="Cambria Math" w:hAnsi="Cambria Math"/>
              </w:rPr>
            </m:ctrlPr>
          </m:sSubPr>
          <m:e>
            <m:r>
              <m:rPr>
                <m:sty m:val="p"/>
              </m:rPr>
              <w:rPr>
                <w:rFonts w:ascii="Cambria Math" w:hAnsi="Cambria Math"/>
              </w:rPr>
              <m:t>Mn</m:t>
            </m:r>
          </m:e>
          <m:sub>
            <m:r>
              <m:rPr>
                <m:sty m:val="p"/>
              </m:rPr>
              <w:rPr>
                <w:rFonts w:ascii="Cambria Math" w:hAnsi="Cambria Math"/>
              </w:rPr>
              <m:t>2</m:t>
            </m:r>
          </m:sub>
        </m:sSub>
      </m:oMath>
      <w:r w:rsidRPr="00FC71BE">
        <w:rPr>
          <w:iCs/>
        </w:rPr>
        <w:t xml:space="preserve"> because its Curie temperature is far lower than the selected operating temperature range as listed in </w:t>
      </w:r>
      <w:r w:rsidRPr="00FC71BE">
        <w:fldChar w:fldCharType="begin"/>
      </w:r>
      <w:r w:rsidRPr="00FC71BE">
        <w:instrText xml:space="preserve"> REF _Ref141126506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4</w:t>
      </w:r>
      <w:r w:rsidRPr="00FC71BE">
        <w:fldChar w:fldCharType="end"/>
      </w:r>
      <w:r w:rsidRPr="00FC71BE">
        <w:rPr>
          <w:iCs/>
        </w:rPr>
        <w:t xml:space="preserve">. This means that this kind of ferrofluid is </w:t>
      </w:r>
      <w:r w:rsidRPr="00FC71BE">
        <w:rPr>
          <w:iCs/>
        </w:rPr>
        <w:lastRenderedPageBreak/>
        <w:t xml:space="preserve">fully demagnetized in the selected operating temperature range, and therefore cannot generate magnetic body force from the external magnetic field as described by </w:t>
      </w:r>
      <w:r w:rsidRPr="00FC71BE">
        <w:fldChar w:fldCharType="begin"/>
      </w:r>
      <w:r w:rsidRPr="00FC71BE">
        <w:instrText xml:space="preserve"> REF _Ref141093461 \h </w:instrText>
      </w:r>
      <w:r w:rsidRPr="00FC71BE">
        <w:fldChar w:fldCharType="separate"/>
      </w:r>
      <w:r w:rsidR="007E62C1" w:rsidRPr="00FC71BE">
        <w:t>(</w:t>
      </w:r>
      <w:r w:rsidR="007E62C1" w:rsidRPr="00FC71BE">
        <w:rPr>
          <w:noProof/>
        </w:rPr>
        <w:t>5</w:t>
      </w:r>
      <w:r w:rsidR="007E62C1" w:rsidRPr="00FC71BE">
        <w:t>.</w:t>
      </w:r>
      <w:r w:rsidR="007E62C1" w:rsidRPr="00FC71BE">
        <w:rPr>
          <w:noProof/>
        </w:rPr>
        <w:t>18</w:t>
      </w:r>
      <w:r w:rsidR="007E62C1" w:rsidRPr="00FC71BE">
        <w:t>)</w:t>
      </w:r>
      <w:r w:rsidRPr="00FC71BE">
        <w:fldChar w:fldCharType="end"/>
      </w:r>
      <w:r w:rsidRPr="00FC71BE">
        <w:rPr>
          <w:iCs/>
        </w:rPr>
        <w:t xml:space="preserve">. Regarding the cooling performances of </w:t>
      </w:r>
      <m:oMath>
        <m:r>
          <m:rPr>
            <m:sty m:val="p"/>
          </m:rPr>
          <w:rPr>
            <w:rFonts w:ascii="Cambria Math" w:hAnsi="Cambria Math"/>
          </w:rPr>
          <m:t>GdC</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oMath>
      <w:r w:rsidRPr="00FC71BE">
        <w:t xml:space="preserve"> and </w:t>
      </w:r>
      <m:oMath>
        <m:r>
          <m:rPr>
            <m:sty m:val="p"/>
          </m:rPr>
          <w:rPr>
            <w:rFonts w:ascii="Cambria Math" w:hAnsi="Cambria Math"/>
          </w:rPr>
          <m:t>Ni</m:t>
        </m:r>
      </m:oMath>
      <w:r w:rsidRPr="00FC71BE">
        <w:rPr>
          <w:iCs/>
        </w:rPr>
        <w:t xml:space="preserve">, an interesting phenomenon has been observed. </w:t>
      </w:r>
      <m:oMath>
        <m:r>
          <m:rPr>
            <m:sty m:val="p"/>
          </m:rPr>
          <w:rPr>
            <w:rFonts w:ascii="Cambria Math" w:hAnsi="Cambria Math"/>
          </w:rPr>
          <m:t>GdC</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oMath>
      <w:r w:rsidRPr="00FC71BE">
        <w:rPr>
          <w:iCs/>
        </w:rPr>
        <w:t xml:space="preserve"> has similar susceptibility at </w:t>
      </w:r>
      <w:r w:rsidRPr="00FC71BE">
        <w:t>100</w:t>
      </w:r>
      <m:oMath>
        <m:r>
          <m:rPr>
            <m:sty m:val="p"/>
          </m:rPr>
          <w:rPr>
            <w:rFonts w:ascii="Cambria Math" w:hAnsi="Cambria Math"/>
          </w:rPr>
          <m:t>℃</m:t>
        </m:r>
      </m:oMath>
      <w:r w:rsidRPr="00FC71BE">
        <w:t xml:space="preserve"> as </w:t>
      </w:r>
      <m:oMath>
        <m:r>
          <m:rPr>
            <m:sty m:val="p"/>
          </m:rPr>
          <w:rPr>
            <w:rFonts w:ascii="Cambria Math" w:hAnsi="Cambria Math"/>
          </w:rPr>
          <m:t>Ni</m:t>
        </m:r>
      </m:oMath>
      <w:r w:rsidRPr="00FC71BE">
        <w:rPr>
          <w:iCs/>
        </w:rPr>
        <w:t xml:space="preserve">, whilst its susceptibility reduces much faster when temperature increases. This means that, compared to </w:t>
      </w:r>
      <m:oMath>
        <m:r>
          <m:rPr>
            <m:sty m:val="p"/>
          </m:rPr>
          <w:rPr>
            <w:rFonts w:ascii="Cambria Math" w:hAnsi="Cambria Math"/>
          </w:rPr>
          <m:t>Ni</m:t>
        </m:r>
      </m:oMath>
      <w:r w:rsidRPr="00FC71BE">
        <w:rPr>
          <w:iCs/>
        </w:rPr>
        <w:t xml:space="preserve">, </w:t>
      </w:r>
      <m:oMath>
        <m:r>
          <m:rPr>
            <m:sty m:val="p"/>
          </m:rPr>
          <w:rPr>
            <w:rFonts w:ascii="Cambria Math" w:hAnsi="Cambria Math"/>
          </w:rPr>
          <m:t>GdC</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oMath>
      <w:r w:rsidRPr="00FC71BE">
        <w:t xml:space="preserve"> may produce lower magnetic body force under the same magnetic field.</w:t>
      </w:r>
      <w:r w:rsidRPr="00FC71BE">
        <w:rPr>
          <w:iCs/>
        </w:rPr>
        <w:t xml:space="preserve"> However, the coil temperature cooled by ferrofluid using </w:t>
      </w:r>
      <m:oMath>
        <m:r>
          <m:rPr>
            <m:sty m:val="p"/>
          </m:rPr>
          <w:rPr>
            <w:rFonts w:ascii="Cambria Math" w:hAnsi="Cambria Math"/>
          </w:rPr>
          <m:t>GdC</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oMath>
      <w:r w:rsidRPr="00FC71BE">
        <w:t xml:space="preserve"> is much lower than that </w:t>
      </w:r>
      <w:r w:rsidRPr="00FC71BE">
        <w:rPr>
          <w:iCs/>
        </w:rPr>
        <w:t>cooled by ferrofluid using</w:t>
      </w:r>
      <w:r w:rsidRPr="00FC71BE">
        <w:t xml:space="preserve"> </w:t>
      </w:r>
      <m:oMath>
        <m:r>
          <m:rPr>
            <m:sty m:val="p"/>
          </m:rPr>
          <w:rPr>
            <w:rFonts w:ascii="Cambria Math" w:hAnsi="Cambria Math"/>
          </w:rPr>
          <m:t>Ni</m:t>
        </m:r>
      </m:oMath>
      <w:r w:rsidRPr="00FC71BE">
        <w:rPr>
          <w:iCs/>
        </w:rPr>
        <w:t xml:space="preserve">. This interesting phenomenon is because </w:t>
      </w:r>
      <m:oMath>
        <m:r>
          <m:rPr>
            <m:sty m:val="p"/>
          </m:rPr>
          <w:rPr>
            <w:rFonts w:ascii="Cambria Math" w:hAnsi="Cambria Math"/>
          </w:rPr>
          <m:t>GdC</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oMath>
      <w:r w:rsidRPr="00FC71BE">
        <w:t xml:space="preserve"> subjects to almost the same magnetic body force as </w:t>
      </w:r>
      <m:oMath>
        <m:r>
          <m:rPr>
            <m:sty m:val="p"/>
          </m:rPr>
          <w:rPr>
            <w:rFonts w:ascii="Cambria Math" w:hAnsi="Cambria Math"/>
          </w:rPr>
          <m:t>Ni</m:t>
        </m:r>
      </m:oMath>
      <w:r w:rsidRPr="00FC71BE">
        <w:rPr>
          <w:iCs/>
        </w:rPr>
        <w:t xml:space="preserve"> in the colder region, but lower magnetic body force in the hotter region. This larger magnetic body force gradient leads to faster coolant circulation, and hence lower machine temperature.</w:t>
      </w:r>
    </w:p>
    <w:p w14:paraId="67A66461" w14:textId="77777777" w:rsidR="00406EF8" w:rsidRPr="00FC71BE" w:rsidRDefault="00406EF8" w:rsidP="00406EF8">
      <w:pPr>
        <w:pStyle w:val="Figure"/>
        <w:rPr>
          <w:noProof w:val="0"/>
        </w:rPr>
      </w:pPr>
      <w:r w:rsidRPr="00FC71BE">
        <w:drawing>
          <wp:inline distT="0" distB="0" distL="0" distR="0" wp14:anchorId="422E739D" wp14:editId="0B162495">
            <wp:extent cx="4363200" cy="2621383"/>
            <wp:effectExtent l="0" t="0" r="0" b="7620"/>
            <wp:docPr id="1803938107" name="Picture 1803938107" descr="Chart, line chart&#10;&#10;Description automatically generated">
              <a:extLst xmlns:a="http://schemas.openxmlformats.org/drawingml/2006/main">
                <a:ext uri="{FF2B5EF4-FFF2-40B4-BE49-F238E27FC236}">
                  <a16:creationId xmlns:a16="http://schemas.microsoft.com/office/drawing/2014/main" id="{C4D252CA-6AB5-4DDB-82A3-FCD3A04A57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descr="Chart, line chart&#10;&#10;Description automatically generated">
                      <a:extLst>
                        <a:ext uri="{FF2B5EF4-FFF2-40B4-BE49-F238E27FC236}">
                          <a16:creationId xmlns:a16="http://schemas.microsoft.com/office/drawing/2014/main" id="{C4D252CA-6AB5-4DDB-82A3-FCD3A04A57C2}"/>
                        </a:ext>
                      </a:extLst>
                    </pic:cNvPr>
                    <pic:cNvPicPr>
                      <a:picLocks noChangeAspect="1"/>
                    </pic:cNvPicPr>
                  </pic:nvPicPr>
                  <pic:blipFill>
                    <a:blip r:embed="rId230"/>
                    <a:stretch>
                      <a:fillRect/>
                    </a:stretch>
                  </pic:blipFill>
                  <pic:spPr>
                    <a:xfrm>
                      <a:off x="0" y="0"/>
                      <a:ext cx="4363200" cy="2621383"/>
                    </a:xfrm>
                    <a:prstGeom prst="rect">
                      <a:avLst/>
                    </a:prstGeom>
                  </pic:spPr>
                </pic:pic>
              </a:graphicData>
            </a:graphic>
          </wp:inline>
        </w:drawing>
      </w:r>
    </w:p>
    <w:p w14:paraId="7565D2CC" w14:textId="0658D5DA" w:rsidR="00406EF8" w:rsidRPr="00FC71BE" w:rsidRDefault="00406EF8" w:rsidP="00406EF8">
      <w:pPr>
        <w:pStyle w:val="FigureTitle"/>
      </w:pPr>
      <w:bookmarkStart w:id="323" w:name="_Ref141126941"/>
      <w:bookmarkStart w:id="324" w:name="_Ref141126932"/>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13</w:t>
        </w:r>
      </w:fldSimple>
      <w:bookmarkEnd w:id="323"/>
      <w:r w:rsidRPr="00FC71BE">
        <w:t>.  Magnetic susceptibility curve of different ferromagnets.</w:t>
      </w:r>
      <w:bookmarkEnd w:id="324"/>
    </w:p>
    <w:p w14:paraId="5E54DC16" w14:textId="77777777" w:rsidR="00406EF8" w:rsidRPr="00FC71BE" w:rsidRDefault="00406EF8" w:rsidP="00406EF8">
      <w:pPr>
        <w:pStyle w:val="Figure"/>
        <w:rPr>
          <w:noProof w:val="0"/>
        </w:rPr>
      </w:pPr>
      <w:r w:rsidRPr="00FC71BE">
        <w:drawing>
          <wp:inline distT="0" distB="0" distL="0" distR="0" wp14:anchorId="6B8613BC" wp14:editId="11B00890">
            <wp:extent cx="4363200" cy="2618785"/>
            <wp:effectExtent l="0" t="0" r="0" b="0"/>
            <wp:docPr id="1057560412" name="Picture 10575604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363200" cy="2618785"/>
                    </a:xfrm>
                    <a:prstGeom prst="rect">
                      <a:avLst/>
                    </a:prstGeom>
                    <a:noFill/>
                    <a:ln>
                      <a:noFill/>
                    </a:ln>
                  </pic:spPr>
                </pic:pic>
              </a:graphicData>
            </a:graphic>
          </wp:inline>
        </w:drawing>
      </w:r>
    </w:p>
    <w:p w14:paraId="788C1B1F" w14:textId="5180359C" w:rsidR="00406EF8" w:rsidRPr="00FC71BE" w:rsidRDefault="00406EF8" w:rsidP="00406EF8">
      <w:pPr>
        <w:pStyle w:val="FigureTitle"/>
      </w:pPr>
      <w:bookmarkStart w:id="325" w:name="_Ref141126969"/>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14</w:t>
        </w:r>
      </w:fldSimple>
      <w:bookmarkEnd w:id="325"/>
      <w:r w:rsidRPr="00FC71BE">
        <w:t xml:space="preserve">.  Maximum coil temperatures with different ferrofluids at rated current density of </w:t>
      </w:r>
      <m:oMath>
        <m:f>
          <m:fPr>
            <m:type m:val="lin"/>
            <m:ctrlPr>
              <w:rPr>
                <w:rFonts w:ascii="Cambria Math" w:hAnsi="Cambria Math"/>
              </w:rPr>
            </m:ctrlPr>
          </m:fPr>
          <m:num>
            <m:r>
              <m:rPr>
                <m:sty m:val="p"/>
              </m:rPr>
              <w:rPr>
                <w:rFonts w:ascii="Cambria Math" w:hAnsi="Cambria Math"/>
              </w:rPr>
              <m:t>18.4 A</m:t>
            </m:r>
          </m:num>
          <m:den>
            <m:sSup>
              <m:sSupPr>
                <m:ctrlPr>
                  <w:rPr>
                    <w:rFonts w:ascii="Cambria Math" w:hAnsi="Cambria Math"/>
                  </w:rPr>
                </m:ctrlPr>
              </m:sSupPr>
              <m:e>
                <m:r>
                  <m:rPr>
                    <m:sty m:val="p"/>
                  </m:rPr>
                  <w:rPr>
                    <w:rFonts w:ascii="Cambria Math" w:hAnsi="Cambria Math"/>
                  </w:rPr>
                  <m:t>mm</m:t>
                </m:r>
              </m:e>
              <m:sup>
                <m:r>
                  <m:rPr>
                    <m:sty m:val="p"/>
                  </m:rPr>
                  <w:rPr>
                    <w:rFonts w:ascii="Cambria Math" w:hAnsi="Cambria Math"/>
                  </w:rPr>
                  <m:t>2</m:t>
                </m:r>
              </m:sup>
            </m:sSup>
          </m:den>
        </m:f>
      </m:oMath>
      <w:r w:rsidRPr="00FC71BE">
        <w:t>.</w:t>
      </w:r>
    </w:p>
    <w:p w14:paraId="31F95A04" w14:textId="4E62C704" w:rsidR="00406EF8" w:rsidRPr="00FC71BE" w:rsidRDefault="00406EF8" w:rsidP="00406EF8">
      <w:pPr>
        <w:pStyle w:val="Tabletitle"/>
        <w:rPr>
          <w:color w:val="auto"/>
        </w:rPr>
      </w:pPr>
      <w:bookmarkStart w:id="326" w:name="_Ref141126506"/>
      <w:r w:rsidRPr="00FC71BE">
        <w:rPr>
          <w:color w:val="auto"/>
        </w:rPr>
        <w:lastRenderedPageBreak/>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4</w:t>
      </w:r>
      <w:r w:rsidR="002839C4" w:rsidRPr="00FC71BE">
        <w:rPr>
          <w:color w:val="auto"/>
        </w:rPr>
        <w:fldChar w:fldCharType="end"/>
      </w:r>
      <w:bookmarkEnd w:id="326"/>
      <w:r w:rsidRPr="00FC71BE">
        <w:rPr>
          <w:color w:val="auto"/>
        </w:rPr>
        <w:t xml:space="preserve">  </w:t>
      </w:r>
      <m:oMath>
        <m:sSub>
          <m:sSubPr>
            <m:ctrlPr>
              <w:rPr>
                <w:rFonts w:ascii="Cambria Math" w:hAnsi="Cambria Math"/>
                <w:i/>
                <w:color w:val="auto"/>
              </w:rPr>
            </m:ctrlPr>
          </m:sSubPr>
          <m:e>
            <m:r>
              <w:rPr>
                <w:rFonts w:ascii="Cambria Math" w:hAnsi="Cambria Math"/>
                <w:color w:val="auto"/>
              </w:rPr>
              <m:t>M</m:t>
            </m:r>
          </m:e>
          <m:sub>
            <m:r>
              <w:rPr>
                <w:rFonts w:ascii="Cambria Math" w:hAnsi="Cambria Math"/>
                <w:color w:val="auto"/>
              </w:rPr>
              <m:t>0</m:t>
            </m:r>
          </m:sub>
        </m:sSub>
      </m:oMath>
      <w:r w:rsidRPr="00FC71BE">
        <w:rPr>
          <w:color w:val="auto"/>
        </w:rPr>
        <w:t xml:space="preserve"> and </w:t>
      </w:r>
      <m:oMath>
        <m:sSub>
          <m:sSubPr>
            <m:ctrlPr>
              <w:rPr>
                <w:rFonts w:ascii="Cambria Math" w:hAnsi="Cambria Math"/>
                <w:i/>
                <w:color w:val="auto"/>
              </w:rPr>
            </m:ctrlPr>
          </m:sSubPr>
          <m:e>
            <m:r>
              <w:rPr>
                <w:rFonts w:ascii="Cambria Math" w:hAnsi="Cambria Math"/>
                <w:color w:val="auto"/>
              </w:rPr>
              <m:t>T</m:t>
            </m:r>
          </m:e>
          <m:sub>
            <m:r>
              <w:rPr>
                <w:rFonts w:ascii="Cambria Math" w:hAnsi="Cambria Math"/>
                <w:color w:val="auto"/>
              </w:rPr>
              <m:t>c</m:t>
            </m:r>
          </m:sub>
        </m:sSub>
      </m:oMath>
      <w:r w:rsidRPr="00FC71BE">
        <w:rPr>
          <w:color w:val="auto"/>
        </w:rPr>
        <w:t xml:space="preserve"> for Different Ferromagnets </w:t>
      </w:r>
      <w:r w:rsidRPr="00FC71BE">
        <w:rPr>
          <w:color w:val="auto"/>
        </w:rPr>
        <w:fldChar w:fldCharType="begin"/>
      </w:r>
      <w:r w:rsidR="00BA33ED" w:rsidRPr="00FC71BE">
        <w:rPr>
          <w:color w:val="auto"/>
        </w:rPr>
        <w:instrText xml:space="preserve"> ADDIN EN.CITE &lt;EndNote&gt;&lt;Cite&gt;&lt;Author&gt;Berkovsky&lt;/Author&gt;&lt;Year&gt;1993&lt;/Year&gt;&lt;RecNum&gt;56&lt;/RecNum&gt;&lt;DisplayText&gt;[190]&lt;/DisplayText&gt;&lt;record&gt;&lt;rec-number&gt;56&lt;/rec-number&gt;&lt;foreign-keys&gt;&lt;key app="EN" db-id="rf2p5e05jx0x9jep00uvx0s1fvaww2dfa0r9" timestamp="1690837805"&gt;56&lt;/key&gt;&lt;/foreign-keys&gt;&lt;ref-type name="Journal Article"&gt;17&lt;/ref-type&gt;&lt;contributors&gt;&lt;authors&gt;&lt;author&gt;Berkovsky, BM&lt;/author&gt;&lt;author&gt;Medvedev, Vitaliĭ Fedorovich&lt;/author&gt;&lt;author&gt;Krakov, Mikhail Samuilovich&lt;/author&gt;&lt;/authors&gt;&lt;/contributors&gt;&lt;titles&gt;&lt;title&gt;Magnetic fluids: engineering applications&lt;/title&gt;&lt;/titles&gt;&lt;dates&gt;&lt;year&gt;1993&lt;/year&gt;&lt;/dates&gt;&lt;urls&gt;&lt;/urls&gt;&lt;/record&gt;&lt;/Cite&gt;&lt;/EndNote&gt;</w:instrText>
      </w:r>
      <w:r w:rsidRPr="00FC71BE">
        <w:rPr>
          <w:color w:val="auto"/>
        </w:rPr>
        <w:fldChar w:fldCharType="separate"/>
      </w:r>
      <w:r w:rsidR="00BA33ED" w:rsidRPr="00FC71BE">
        <w:rPr>
          <w:color w:val="auto"/>
        </w:rPr>
        <w:t>[190]</w:t>
      </w:r>
      <w:r w:rsidRPr="00FC71BE">
        <w:rPr>
          <w:color w:val="auto"/>
        </w:rPr>
        <w:fldChar w:fldCharType="end"/>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9"/>
        <w:gridCol w:w="1331"/>
        <w:gridCol w:w="882"/>
        <w:gridCol w:w="1473"/>
        <w:gridCol w:w="1758"/>
        <w:gridCol w:w="1453"/>
      </w:tblGrid>
      <w:tr w:rsidR="00FC71BE" w:rsidRPr="00FC71BE" w14:paraId="2E6382C6" w14:textId="77777777">
        <w:tc>
          <w:tcPr>
            <w:tcW w:w="1179" w:type="pct"/>
            <w:tcBorders>
              <w:top w:val="double" w:sz="4" w:space="0" w:color="auto"/>
            </w:tcBorders>
          </w:tcPr>
          <w:p w14:paraId="45FF18B4" w14:textId="77777777" w:rsidR="00406EF8" w:rsidRPr="00FC71BE" w:rsidRDefault="00406EF8" w:rsidP="000843BF">
            <w:pPr>
              <w:pStyle w:val="Table"/>
              <w:rPr>
                <w:color w:val="auto"/>
              </w:rPr>
            </w:pPr>
          </w:p>
        </w:tc>
        <w:tc>
          <w:tcPr>
            <w:tcW w:w="737" w:type="pct"/>
            <w:tcBorders>
              <w:top w:val="double" w:sz="4" w:space="0" w:color="auto"/>
            </w:tcBorders>
          </w:tcPr>
          <w:p w14:paraId="666395A5" w14:textId="77777777" w:rsidR="00406EF8" w:rsidRPr="00FC71BE" w:rsidRDefault="00406EF8" w:rsidP="000843BF">
            <w:pPr>
              <w:pStyle w:val="Table"/>
              <w:rPr>
                <w:color w:val="auto"/>
              </w:rPr>
            </w:pPr>
            <w:r w:rsidRPr="00FC71BE">
              <w:rPr>
                <w:color w:val="auto"/>
              </w:rPr>
              <w:t>Fe3O4</w:t>
            </w:r>
          </w:p>
        </w:tc>
        <w:tc>
          <w:tcPr>
            <w:tcW w:w="488" w:type="pct"/>
            <w:tcBorders>
              <w:top w:val="double" w:sz="4" w:space="0" w:color="auto"/>
            </w:tcBorders>
          </w:tcPr>
          <w:p w14:paraId="1570B622" w14:textId="77777777" w:rsidR="00406EF8" w:rsidRPr="00FC71BE" w:rsidRDefault="00406EF8" w:rsidP="000843BF">
            <w:pPr>
              <w:pStyle w:val="Table"/>
              <w:rPr>
                <w:color w:val="auto"/>
              </w:rPr>
            </w:pPr>
            <w:r w:rsidRPr="00FC71BE">
              <w:rPr>
                <w:color w:val="auto"/>
              </w:rPr>
              <w:t>Ni</w:t>
            </w:r>
          </w:p>
        </w:tc>
        <w:tc>
          <w:tcPr>
            <w:tcW w:w="816" w:type="pct"/>
            <w:tcBorders>
              <w:top w:val="double" w:sz="4" w:space="0" w:color="auto"/>
            </w:tcBorders>
          </w:tcPr>
          <w:p w14:paraId="2007EC01" w14:textId="77777777" w:rsidR="00406EF8" w:rsidRPr="00FC71BE" w:rsidRDefault="00406EF8" w:rsidP="000843BF">
            <w:pPr>
              <w:pStyle w:val="Table"/>
              <w:rPr>
                <w:color w:val="auto"/>
              </w:rPr>
            </w:pPr>
            <w:r w:rsidRPr="00FC71BE">
              <w:rPr>
                <w:color w:val="auto"/>
              </w:rPr>
              <w:t>GdCO2</w:t>
            </w:r>
          </w:p>
        </w:tc>
        <w:tc>
          <w:tcPr>
            <w:tcW w:w="974" w:type="pct"/>
            <w:tcBorders>
              <w:top w:val="double" w:sz="4" w:space="0" w:color="auto"/>
            </w:tcBorders>
          </w:tcPr>
          <w:p w14:paraId="6AF597EF" w14:textId="77777777" w:rsidR="00406EF8" w:rsidRPr="00FC71BE" w:rsidRDefault="00406EF8" w:rsidP="000843BF">
            <w:pPr>
              <w:pStyle w:val="Table"/>
              <w:rPr>
                <w:color w:val="auto"/>
              </w:rPr>
            </w:pPr>
            <w:r w:rsidRPr="00FC71BE">
              <w:rPr>
                <w:color w:val="auto"/>
              </w:rPr>
              <w:t>CoFe2O4</w:t>
            </w:r>
          </w:p>
        </w:tc>
        <w:tc>
          <w:tcPr>
            <w:tcW w:w="805" w:type="pct"/>
            <w:tcBorders>
              <w:top w:val="double" w:sz="4" w:space="0" w:color="auto"/>
            </w:tcBorders>
          </w:tcPr>
          <w:p w14:paraId="6AD2A727" w14:textId="77777777" w:rsidR="00406EF8" w:rsidRPr="00FC71BE" w:rsidRDefault="00406EF8" w:rsidP="000843BF">
            <w:pPr>
              <w:pStyle w:val="Table"/>
              <w:rPr>
                <w:color w:val="auto"/>
              </w:rPr>
            </w:pPr>
            <w:r w:rsidRPr="00FC71BE">
              <w:rPr>
                <w:color w:val="auto"/>
              </w:rPr>
              <w:t>CdMn2</w:t>
            </w:r>
          </w:p>
        </w:tc>
      </w:tr>
      <w:tr w:rsidR="00FC71BE" w:rsidRPr="00FC71BE" w14:paraId="66BB9DF7" w14:textId="77777777">
        <w:tc>
          <w:tcPr>
            <w:tcW w:w="1179" w:type="pct"/>
          </w:tcPr>
          <w:p w14:paraId="3A9CA64B" w14:textId="77777777" w:rsidR="00406EF8" w:rsidRPr="00FC71BE" w:rsidRDefault="002143AD" w:rsidP="000843BF">
            <w:pPr>
              <w:pStyle w:val="Table"/>
              <w:rPr>
                <w:color w:val="auto"/>
              </w:rPr>
            </w:pPr>
            <m:oMathPara>
              <m:oMath>
                <m:sSub>
                  <m:sSubPr>
                    <m:ctrlPr>
                      <w:rPr>
                        <w:rFonts w:ascii="Cambria Math" w:hAnsi="Cambria Math"/>
                        <w:color w:val="auto"/>
                      </w:rPr>
                    </m:ctrlPr>
                  </m:sSubPr>
                  <m:e>
                    <m:r>
                      <w:rPr>
                        <w:rFonts w:ascii="Cambria Math" w:hAnsi="Cambria Math"/>
                        <w:color w:val="auto"/>
                      </w:rPr>
                      <m:t>M</m:t>
                    </m:r>
                  </m:e>
                  <m:sub>
                    <m:r>
                      <m:rPr>
                        <m:sty m:val="p"/>
                      </m:rPr>
                      <w:rPr>
                        <w:rFonts w:ascii="Cambria Math" w:hAnsi="Cambria Math"/>
                        <w:color w:val="auto"/>
                      </w:rPr>
                      <m:t>0</m:t>
                    </m:r>
                  </m:sub>
                </m:sSub>
                <m:r>
                  <m:rPr>
                    <m:sty m:val="p"/>
                  </m:rPr>
                  <w:rPr>
                    <w:rFonts w:ascii="Cambria Math" w:hAnsi="Cambria Math"/>
                    <w:color w:val="auto"/>
                  </w:rPr>
                  <m:t xml:space="preserve"> (</m:t>
                </m:r>
                <m:f>
                  <m:fPr>
                    <m:type m:val="lin"/>
                    <m:ctrlPr>
                      <w:rPr>
                        <w:rFonts w:ascii="Cambria Math" w:hAnsi="Cambria Math"/>
                        <w:color w:val="auto"/>
                      </w:rPr>
                    </m:ctrlPr>
                  </m:fPr>
                  <m:num>
                    <m:r>
                      <w:rPr>
                        <w:rFonts w:ascii="Cambria Math" w:hAnsi="Cambria Math"/>
                        <w:color w:val="auto"/>
                      </w:rPr>
                      <m:t>kA</m:t>
                    </m:r>
                  </m:num>
                  <m:den>
                    <m:r>
                      <w:rPr>
                        <w:rFonts w:ascii="Cambria Math" w:hAnsi="Cambria Math"/>
                        <w:color w:val="auto"/>
                      </w:rPr>
                      <m:t>m</m:t>
                    </m:r>
                  </m:den>
                </m:f>
                <m:r>
                  <m:rPr>
                    <m:sty m:val="p"/>
                  </m:rPr>
                  <w:rPr>
                    <w:rFonts w:ascii="Cambria Math" w:hAnsi="Cambria Math"/>
                    <w:color w:val="auto"/>
                  </w:rPr>
                  <m:t>)</m:t>
                </m:r>
              </m:oMath>
            </m:oMathPara>
          </w:p>
        </w:tc>
        <w:tc>
          <w:tcPr>
            <w:tcW w:w="737" w:type="pct"/>
          </w:tcPr>
          <w:p w14:paraId="26A46636" w14:textId="77777777" w:rsidR="00406EF8" w:rsidRPr="00FC71BE" w:rsidRDefault="00406EF8" w:rsidP="000843BF">
            <w:pPr>
              <w:pStyle w:val="Table"/>
              <w:rPr>
                <w:color w:val="auto"/>
              </w:rPr>
            </w:pPr>
            <w:r w:rsidRPr="00FC71BE">
              <w:rPr>
                <w:color w:val="auto"/>
              </w:rPr>
              <w:t>875</w:t>
            </w:r>
          </w:p>
        </w:tc>
        <w:tc>
          <w:tcPr>
            <w:tcW w:w="488" w:type="pct"/>
          </w:tcPr>
          <w:p w14:paraId="0BF1ECBA" w14:textId="77777777" w:rsidR="00406EF8" w:rsidRPr="00FC71BE" w:rsidRDefault="00406EF8" w:rsidP="000843BF">
            <w:pPr>
              <w:pStyle w:val="Table"/>
              <w:rPr>
                <w:color w:val="auto"/>
              </w:rPr>
            </w:pPr>
            <w:r w:rsidRPr="00FC71BE">
              <w:rPr>
                <w:color w:val="auto"/>
              </w:rPr>
              <w:t>484</w:t>
            </w:r>
          </w:p>
        </w:tc>
        <w:tc>
          <w:tcPr>
            <w:tcW w:w="816" w:type="pct"/>
          </w:tcPr>
          <w:p w14:paraId="5B135D82" w14:textId="77777777" w:rsidR="00406EF8" w:rsidRPr="00FC71BE" w:rsidRDefault="00406EF8" w:rsidP="000843BF">
            <w:pPr>
              <w:pStyle w:val="Table"/>
              <w:rPr>
                <w:color w:val="auto"/>
              </w:rPr>
            </w:pPr>
            <w:r w:rsidRPr="00FC71BE">
              <w:rPr>
                <w:color w:val="auto"/>
              </w:rPr>
              <w:t>517</w:t>
            </w:r>
          </w:p>
        </w:tc>
        <w:tc>
          <w:tcPr>
            <w:tcW w:w="974" w:type="pct"/>
          </w:tcPr>
          <w:p w14:paraId="10F71813" w14:textId="77777777" w:rsidR="00406EF8" w:rsidRPr="00FC71BE" w:rsidRDefault="00406EF8" w:rsidP="000843BF">
            <w:pPr>
              <w:pStyle w:val="Table"/>
              <w:rPr>
                <w:color w:val="auto"/>
              </w:rPr>
            </w:pPr>
            <w:r w:rsidRPr="00FC71BE">
              <w:rPr>
                <w:color w:val="auto"/>
              </w:rPr>
              <w:t>387</w:t>
            </w:r>
          </w:p>
        </w:tc>
        <w:tc>
          <w:tcPr>
            <w:tcW w:w="805" w:type="pct"/>
          </w:tcPr>
          <w:p w14:paraId="72634E31" w14:textId="77777777" w:rsidR="00406EF8" w:rsidRPr="00FC71BE" w:rsidRDefault="00406EF8" w:rsidP="000843BF">
            <w:pPr>
              <w:pStyle w:val="Table"/>
              <w:rPr>
                <w:color w:val="auto"/>
              </w:rPr>
            </w:pPr>
            <w:r w:rsidRPr="00FC71BE">
              <w:rPr>
                <w:color w:val="auto"/>
              </w:rPr>
              <w:t>215</w:t>
            </w:r>
          </w:p>
        </w:tc>
      </w:tr>
      <w:tr w:rsidR="005E3DFE" w:rsidRPr="00FC71BE" w14:paraId="1781F51A" w14:textId="77777777">
        <w:tc>
          <w:tcPr>
            <w:tcW w:w="1179" w:type="pct"/>
            <w:tcBorders>
              <w:bottom w:val="double" w:sz="4" w:space="0" w:color="auto"/>
            </w:tcBorders>
          </w:tcPr>
          <w:p w14:paraId="46A809C9" w14:textId="77777777" w:rsidR="00406EF8" w:rsidRPr="00FC71BE" w:rsidRDefault="002143AD" w:rsidP="000843BF">
            <w:pPr>
              <w:pStyle w:val="Table"/>
              <w:rPr>
                <w:color w:val="auto"/>
              </w:rPr>
            </w:pPr>
            <m:oMathPara>
              <m:oMath>
                <m:sSub>
                  <m:sSubPr>
                    <m:ctrlPr>
                      <w:rPr>
                        <w:rFonts w:ascii="Cambria Math" w:hAnsi="Cambria Math"/>
                        <w:color w:val="auto"/>
                      </w:rPr>
                    </m:ctrlPr>
                  </m:sSubPr>
                  <m:e>
                    <m:r>
                      <w:rPr>
                        <w:rFonts w:ascii="Cambria Math" w:hAnsi="Cambria Math"/>
                        <w:color w:val="auto"/>
                      </w:rPr>
                      <m:t>T</m:t>
                    </m:r>
                  </m:e>
                  <m:sub>
                    <m:r>
                      <w:rPr>
                        <w:rFonts w:ascii="Cambria Math" w:hAnsi="Cambria Math"/>
                        <w:color w:val="auto"/>
                      </w:rPr>
                      <m:t>c</m:t>
                    </m:r>
                  </m:sub>
                </m:sSub>
                <m:r>
                  <m:rPr>
                    <m:sty m:val="p"/>
                  </m:rPr>
                  <w:rPr>
                    <w:rFonts w:ascii="Cambria Math" w:hAnsi="Cambria Math"/>
                    <w:color w:val="auto"/>
                  </w:rPr>
                  <m:t xml:space="preserve"> </m:t>
                </m:r>
                <m:d>
                  <m:dPr>
                    <m:ctrlPr>
                      <w:rPr>
                        <w:rFonts w:ascii="Cambria Math" w:hAnsi="Cambria Math"/>
                        <w:color w:val="auto"/>
                      </w:rPr>
                    </m:ctrlPr>
                  </m:dPr>
                  <m:e>
                    <m:r>
                      <m:rPr>
                        <m:sty m:val="p"/>
                      </m:rPr>
                      <w:rPr>
                        <w:rFonts w:ascii="Cambria Math" w:hAnsi="Cambria Math"/>
                        <w:color w:val="auto"/>
                      </w:rPr>
                      <m:t>℃</m:t>
                    </m:r>
                  </m:e>
                </m:d>
              </m:oMath>
            </m:oMathPara>
          </w:p>
        </w:tc>
        <w:tc>
          <w:tcPr>
            <w:tcW w:w="737" w:type="pct"/>
            <w:tcBorders>
              <w:bottom w:val="double" w:sz="4" w:space="0" w:color="auto"/>
            </w:tcBorders>
          </w:tcPr>
          <w:p w14:paraId="378C43EE" w14:textId="77777777" w:rsidR="00406EF8" w:rsidRPr="00FC71BE" w:rsidRDefault="00406EF8" w:rsidP="000843BF">
            <w:pPr>
              <w:pStyle w:val="Table"/>
              <w:rPr>
                <w:color w:val="auto"/>
              </w:rPr>
            </w:pPr>
            <w:r w:rsidRPr="00FC71BE">
              <w:rPr>
                <w:color w:val="auto"/>
              </w:rPr>
              <w:t>500</w:t>
            </w:r>
          </w:p>
        </w:tc>
        <w:tc>
          <w:tcPr>
            <w:tcW w:w="488" w:type="pct"/>
            <w:tcBorders>
              <w:bottom w:val="double" w:sz="4" w:space="0" w:color="auto"/>
            </w:tcBorders>
          </w:tcPr>
          <w:p w14:paraId="1B16C81F" w14:textId="77777777" w:rsidR="00406EF8" w:rsidRPr="00FC71BE" w:rsidRDefault="00406EF8" w:rsidP="000843BF">
            <w:pPr>
              <w:pStyle w:val="Table"/>
              <w:rPr>
                <w:color w:val="auto"/>
              </w:rPr>
            </w:pPr>
            <w:r w:rsidRPr="00FC71BE">
              <w:rPr>
                <w:color w:val="auto"/>
              </w:rPr>
              <w:t>358</w:t>
            </w:r>
          </w:p>
        </w:tc>
        <w:tc>
          <w:tcPr>
            <w:tcW w:w="816" w:type="pct"/>
            <w:tcBorders>
              <w:bottom w:val="double" w:sz="4" w:space="0" w:color="auto"/>
            </w:tcBorders>
          </w:tcPr>
          <w:p w14:paraId="54080BC0" w14:textId="77777777" w:rsidR="00406EF8" w:rsidRPr="00FC71BE" w:rsidRDefault="00406EF8" w:rsidP="000843BF">
            <w:pPr>
              <w:pStyle w:val="Table"/>
              <w:rPr>
                <w:color w:val="auto"/>
              </w:rPr>
            </w:pPr>
            <w:r w:rsidRPr="00FC71BE">
              <w:rPr>
                <w:color w:val="auto"/>
              </w:rPr>
              <w:t>180</w:t>
            </w:r>
          </w:p>
        </w:tc>
        <w:tc>
          <w:tcPr>
            <w:tcW w:w="974" w:type="pct"/>
            <w:tcBorders>
              <w:bottom w:val="double" w:sz="4" w:space="0" w:color="auto"/>
            </w:tcBorders>
          </w:tcPr>
          <w:p w14:paraId="53B7B152" w14:textId="77777777" w:rsidR="00406EF8" w:rsidRPr="00FC71BE" w:rsidRDefault="00406EF8" w:rsidP="000843BF">
            <w:pPr>
              <w:pStyle w:val="Table"/>
              <w:rPr>
                <w:color w:val="auto"/>
              </w:rPr>
            </w:pPr>
            <w:r w:rsidRPr="00FC71BE">
              <w:rPr>
                <w:color w:val="auto"/>
              </w:rPr>
              <w:t>520</w:t>
            </w:r>
          </w:p>
        </w:tc>
        <w:tc>
          <w:tcPr>
            <w:tcW w:w="805" w:type="pct"/>
            <w:tcBorders>
              <w:bottom w:val="double" w:sz="4" w:space="0" w:color="auto"/>
            </w:tcBorders>
          </w:tcPr>
          <w:p w14:paraId="491A7832" w14:textId="77777777" w:rsidR="00406EF8" w:rsidRPr="00FC71BE" w:rsidRDefault="00406EF8" w:rsidP="000843BF">
            <w:pPr>
              <w:pStyle w:val="Table"/>
              <w:rPr>
                <w:color w:val="auto"/>
              </w:rPr>
            </w:pPr>
            <w:r w:rsidRPr="00FC71BE">
              <w:rPr>
                <w:color w:val="auto"/>
              </w:rPr>
              <w:t>30</w:t>
            </w:r>
          </w:p>
        </w:tc>
      </w:tr>
    </w:tbl>
    <w:p w14:paraId="6FA49F3D" w14:textId="77777777" w:rsidR="00406EF8" w:rsidRPr="00FC71BE" w:rsidRDefault="00406EF8" w:rsidP="00406EF8"/>
    <w:p w14:paraId="197DDB3A" w14:textId="77777777" w:rsidR="00406EF8" w:rsidRPr="00FC71BE" w:rsidRDefault="00406EF8" w:rsidP="00B86C68">
      <w:pPr>
        <w:pStyle w:val="Heading2"/>
        <w:numPr>
          <w:ilvl w:val="1"/>
          <w:numId w:val="49"/>
        </w:numPr>
      </w:pPr>
      <w:bookmarkStart w:id="327" w:name="_Toc157695396"/>
      <w:r w:rsidRPr="00FC71BE">
        <w:t>Influence of Winding Configurations</w:t>
      </w:r>
      <w:bookmarkEnd w:id="327"/>
    </w:p>
    <w:p w14:paraId="0C50017C" w14:textId="770E4462" w:rsidR="00406EF8" w:rsidRPr="00FC71BE" w:rsidRDefault="00406EF8" w:rsidP="00406EF8">
      <w:pPr>
        <w:rPr>
          <w:bCs/>
        </w:rPr>
      </w:pPr>
      <w:r w:rsidRPr="00FC71BE">
        <w:t>For ferrofluid cooling, the variation of magnetic field can directly affect the magnetic body force, therefore the efficiency of thermomagnetic convection. As for the electrical machines</w:t>
      </w:r>
      <w:r w:rsidRPr="00FC71BE" w:rsidDel="004F0278">
        <w:t xml:space="preserve"> </w:t>
      </w:r>
      <w:r w:rsidRPr="00FC71BE">
        <w:t>with different winding configurations, e.g., single layer and double layer winding topologies, they will have different end-winding leakage fluxes. This would lead to different cooling performances when the ferrofluid cooling is employed. For a fairer comparison, only the winding structures are different, and all the other key design parameters are the same as listed in</w:t>
      </w:r>
      <w:r w:rsidR="00544F76" w:rsidRPr="00FC71BE">
        <w:t xml:space="preserve"> </w:t>
      </w:r>
      <w:r w:rsidR="00544F76" w:rsidRPr="00FC71BE">
        <w:fldChar w:fldCharType="begin"/>
      </w:r>
      <w:r w:rsidR="00544F76" w:rsidRPr="00FC71BE">
        <w:instrText xml:space="preserve"> REF _Ref148289557 \h </w:instrText>
      </w:r>
      <w:r w:rsidR="00544F76" w:rsidRPr="00FC71BE">
        <w:fldChar w:fldCharType="separate"/>
      </w:r>
      <w:r w:rsidR="007E62C1" w:rsidRPr="00FC71BE">
        <w:t xml:space="preserve">Table </w:t>
      </w:r>
      <w:r w:rsidR="007E62C1" w:rsidRPr="00FC71BE">
        <w:rPr>
          <w:noProof/>
        </w:rPr>
        <w:t>5</w:t>
      </w:r>
      <w:r w:rsidR="007E62C1" w:rsidRPr="00FC71BE">
        <w:t>.</w:t>
      </w:r>
      <w:r w:rsidR="007E62C1" w:rsidRPr="00FC71BE">
        <w:rPr>
          <w:noProof/>
        </w:rPr>
        <w:t>1</w:t>
      </w:r>
      <w:r w:rsidR="00544F76" w:rsidRPr="00FC71BE">
        <w:fldChar w:fldCharType="end"/>
      </w:r>
      <w:r w:rsidRPr="00FC71BE">
        <w:t xml:space="preserve">. </w:t>
      </w:r>
      <w:r w:rsidRPr="00FC71BE">
        <w:rPr>
          <w:bCs/>
        </w:rPr>
        <w:t>It is also worth noting that, the number of turns per coil of double layer machine is half of that of the single layer machine. However, as the number of coils of the double layer machine is twice that of the single layer machine, the total number of turns per slot is exactly the same for single and double layer machines. This leads to the same current density for these two winding topologies.</w:t>
      </w:r>
    </w:p>
    <w:p w14:paraId="7455BB79" w14:textId="77777777" w:rsidR="00406EF8" w:rsidRPr="00FC71BE" w:rsidRDefault="00406EF8" w:rsidP="00B86C68">
      <w:pPr>
        <w:pStyle w:val="Heading3"/>
        <w:numPr>
          <w:ilvl w:val="2"/>
          <w:numId w:val="49"/>
        </w:numPr>
      </w:pPr>
      <w:bookmarkStart w:id="328" w:name="_Toc157695397"/>
      <w:r w:rsidRPr="00FC71BE">
        <w:t>Nanofluid Cooling</w:t>
      </w:r>
      <w:bookmarkEnd w:id="328"/>
    </w:p>
    <w:p w14:paraId="18061176" w14:textId="77777777" w:rsidR="00406EF8" w:rsidRPr="00FC71BE" w:rsidRDefault="00406EF8" w:rsidP="00406EF8">
      <w:r w:rsidRPr="00FC71BE">
        <w:t>Firstly, at rated condition, when both the investigated machines only have air in the end space, the maximum end-winding temperature for the single layer machine is 151</w:t>
      </w:r>
      <m:oMath>
        <m:r>
          <w:rPr>
            <w:rFonts w:ascii="Cambria Math" w:hAnsi="Cambria Math"/>
          </w:rPr>
          <m:t>℃</m:t>
        </m:r>
      </m:oMath>
      <w:r w:rsidRPr="00FC71BE">
        <w:t>, while for the double layer machine it is 158</w:t>
      </w:r>
      <m:oMath>
        <m:r>
          <w:rPr>
            <w:rFonts w:ascii="Cambria Math" w:hAnsi="Cambria Math"/>
          </w:rPr>
          <m:t>℃</m:t>
        </m:r>
      </m:oMath>
      <w:r w:rsidRPr="00FC71BE">
        <w:t>. Higher machine temperature for the double layer machine is mainly because an extra insulation paper should be used to separate the different coils in the same slot. The poor thermal conductivity material in slots not only reduces the contact surface between the coils and stator, but also introduces extra thermal resistance between the coils. Even the surface area of the end-winding for the double layer design is 38% higher than that of the single layer design, the poor thermal conductivity of air cannot fully utilize this advantage.</w:t>
      </w:r>
    </w:p>
    <w:p w14:paraId="3BD8A320" w14:textId="02E90047" w:rsidR="00406EF8" w:rsidRPr="00FC71BE" w:rsidRDefault="00406EF8" w:rsidP="00406EF8">
      <w:r w:rsidRPr="00FC71BE">
        <w:t>However, when a nanofluid is used to fill in the stator end-winding region for both the winding designs, the thermal performance for the double layer machine can be significantly improved. For the single layer topology, using nanofluid in the end space reduces 5</w:t>
      </w:r>
      <m:oMath>
        <m:r>
          <w:rPr>
            <w:rFonts w:ascii="Cambria Math" w:hAnsi="Cambria Math"/>
          </w:rPr>
          <m:t>℃</m:t>
        </m:r>
      </m:oMath>
      <w:r w:rsidRPr="00FC71BE">
        <w:t xml:space="preserve"> of the maximum end-winding temperature (from 151</w:t>
      </w:r>
      <m:oMath>
        <m:r>
          <w:rPr>
            <w:rFonts w:ascii="Cambria Math" w:hAnsi="Cambria Math"/>
          </w:rPr>
          <m:t>℃</m:t>
        </m:r>
      </m:oMath>
      <w:r w:rsidRPr="00FC71BE">
        <w:t xml:space="preserve"> to 146</w:t>
      </w:r>
      <m:oMath>
        <m:r>
          <w:rPr>
            <w:rFonts w:ascii="Cambria Math" w:hAnsi="Cambria Math"/>
          </w:rPr>
          <m:t>℃</m:t>
        </m:r>
      </m:oMath>
      <w:r w:rsidRPr="00FC71BE">
        <w:t>). For the double layer topology, the maximum end-winding temperature is reduced by 17</w:t>
      </w:r>
      <m:oMath>
        <m:r>
          <w:rPr>
            <w:rFonts w:ascii="Cambria Math" w:hAnsi="Cambria Math"/>
          </w:rPr>
          <m:t>℃</m:t>
        </m:r>
      </m:oMath>
      <w:r w:rsidRPr="00FC71BE">
        <w:t xml:space="preserve"> (from 158</w:t>
      </w:r>
      <m:oMath>
        <m:r>
          <w:rPr>
            <w:rFonts w:ascii="Cambria Math" w:hAnsi="Cambria Math"/>
          </w:rPr>
          <m:t>℃</m:t>
        </m:r>
      </m:oMath>
      <w:r w:rsidRPr="00FC71BE">
        <w:t xml:space="preserve"> to 141</w:t>
      </w:r>
      <m:oMath>
        <m:r>
          <w:rPr>
            <w:rFonts w:ascii="Cambria Math" w:hAnsi="Cambria Math"/>
          </w:rPr>
          <m:t>℃</m:t>
        </m:r>
      </m:oMath>
      <w:r w:rsidRPr="00FC71BE">
        <w:t xml:space="preserve">). Since the winding losses for both designs are similar, the gravitational effect for both winding designs is </w:t>
      </w:r>
      <w:r w:rsidRPr="00FC71BE">
        <w:lastRenderedPageBreak/>
        <w:t xml:space="preserve">almost the same. Therefore, the coolant velocities are similar as shown in </w:t>
      </w:r>
      <w:r w:rsidRPr="00FC71BE">
        <w:fldChar w:fldCharType="begin"/>
      </w:r>
      <w:r w:rsidRPr="00FC71BE">
        <w:instrText xml:space="preserve"> REF _Ref141189208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15</w:t>
      </w:r>
      <w:r w:rsidRPr="00FC71BE">
        <w:fldChar w:fldCharType="end"/>
      </w:r>
      <w:r w:rsidRPr="00FC71BE">
        <w:t xml:space="preserve"> and hence the impact on the cooling efficiency due to the gravitational effect is similar too. However, for the double layer machine, the surface area of the end-windings is higher than that of single layer machine. In addition, the number of turns per coils is only half of that of the single layer machine. Therefore, the heat flux path from the hot spot (often at the centre of coils) to the surface is shorter than the single layer machine. As a result, the end-windings of the double layer machine can benefit more from the nanofluid cooling and hence have lower peak temperature.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4AABE275" w14:textId="77777777">
        <w:tc>
          <w:tcPr>
            <w:tcW w:w="4508" w:type="dxa"/>
          </w:tcPr>
          <w:p w14:paraId="17F6441B" w14:textId="77777777" w:rsidR="00406EF8" w:rsidRPr="00FC71BE" w:rsidRDefault="00406EF8">
            <w:pPr>
              <w:pStyle w:val="Figure"/>
              <w:rPr>
                <w:noProof w:val="0"/>
              </w:rPr>
            </w:pPr>
            <w:r w:rsidRPr="00FC71BE">
              <w:drawing>
                <wp:inline distT="0" distB="0" distL="0" distR="0" wp14:anchorId="29453A21" wp14:editId="5FD3D835">
                  <wp:extent cx="2473257" cy="2772460"/>
                  <wp:effectExtent l="0" t="0" r="3810" b="8890"/>
                  <wp:docPr id="1495061171" name="Picture 1495061171" descr="A picture containing chart&#10;&#10;Description automatically generated">
                    <a:extLst xmlns:a="http://schemas.openxmlformats.org/drawingml/2006/main">
                      <a:ext uri="{FF2B5EF4-FFF2-40B4-BE49-F238E27FC236}">
                        <a16:creationId xmlns:a16="http://schemas.microsoft.com/office/drawing/2014/main" id="{2C0DBD83-A4AC-4983-96A0-F8A4C6C430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0" descr="A picture containing chart&#10;&#10;Description automatically generated">
                            <a:extLst>
                              <a:ext uri="{FF2B5EF4-FFF2-40B4-BE49-F238E27FC236}">
                                <a16:creationId xmlns:a16="http://schemas.microsoft.com/office/drawing/2014/main" id="{2C0DBD83-A4AC-4983-96A0-F8A4C6C43011}"/>
                              </a:ext>
                            </a:extLst>
                          </pic:cNvPr>
                          <pic:cNvPicPr>
                            <a:picLocks noChangeAspect="1"/>
                          </pic:cNvPicPr>
                        </pic:nvPicPr>
                        <pic:blipFill rotWithShape="1">
                          <a:blip r:embed="rId218"/>
                          <a:srcRect b="5158"/>
                          <a:stretch/>
                        </pic:blipFill>
                        <pic:spPr bwMode="auto">
                          <a:xfrm>
                            <a:off x="0" y="0"/>
                            <a:ext cx="2481823" cy="2782062"/>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5D9F7DD9" w14:textId="77777777" w:rsidR="00406EF8" w:rsidRPr="00FC71BE" w:rsidRDefault="00406EF8">
            <w:pPr>
              <w:pStyle w:val="Figure"/>
              <w:rPr>
                <w:noProof w:val="0"/>
              </w:rPr>
            </w:pPr>
            <w:r w:rsidRPr="00FC71BE">
              <w:drawing>
                <wp:inline distT="0" distB="0" distL="0" distR="0" wp14:anchorId="5D1A4963" wp14:editId="547E3687">
                  <wp:extent cx="2688562" cy="2779776"/>
                  <wp:effectExtent l="0" t="0" r="0" b="1905"/>
                  <wp:docPr id="60" name="Picture 60" descr="Diagram, schematic, radar chart&#10;&#10;Description automatically generated">
                    <a:extLst xmlns:a="http://schemas.openxmlformats.org/drawingml/2006/main">
                      <a:ext uri="{FF2B5EF4-FFF2-40B4-BE49-F238E27FC236}">
                        <a16:creationId xmlns:a16="http://schemas.microsoft.com/office/drawing/2014/main" id="{DDA6B409-C3D9-4A2E-89BC-CB40973C7C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descr="Diagram, schematic, radar chart&#10;&#10;Description automatically generated">
                            <a:extLst>
                              <a:ext uri="{FF2B5EF4-FFF2-40B4-BE49-F238E27FC236}">
                                <a16:creationId xmlns:a16="http://schemas.microsoft.com/office/drawing/2014/main" id="{DDA6B409-C3D9-4A2E-89BC-CB40973C7C46}"/>
                              </a:ext>
                            </a:extLst>
                          </pic:cNvPr>
                          <pic:cNvPicPr>
                            <a:picLocks noChangeAspect="1"/>
                          </pic:cNvPicPr>
                        </pic:nvPicPr>
                        <pic:blipFill rotWithShape="1">
                          <a:blip r:embed="rId232"/>
                          <a:srcRect b="5581"/>
                          <a:stretch/>
                        </pic:blipFill>
                        <pic:spPr bwMode="auto">
                          <a:xfrm>
                            <a:off x="0" y="0"/>
                            <a:ext cx="2695921" cy="2787384"/>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347FB765" w14:textId="77777777">
        <w:tc>
          <w:tcPr>
            <w:tcW w:w="4508" w:type="dxa"/>
          </w:tcPr>
          <w:p w14:paraId="3F1B84F6" w14:textId="77777777" w:rsidR="00406EF8" w:rsidRPr="00FC71BE" w:rsidRDefault="00406EF8">
            <w:pPr>
              <w:pStyle w:val="Figure"/>
              <w:rPr>
                <w:noProof w:val="0"/>
              </w:rPr>
            </w:pPr>
            <w:r w:rsidRPr="00FC71BE">
              <w:rPr>
                <w:noProof w:val="0"/>
              </w:rPr>
              <w:t>(a) Single layer</w:t>
            </w:r>
          </w:p>
        </w:tc>
        <w:tc>
          <w:tcPr>
            <w:tcW w:w="4508" w:type="dxa"/>
          </w:tcPr>
          <w:p w14:paraId="1DC89EC5" w14:textId="77777777" w:rsidR="00406EF8" w:rsidRPr="00FC71BE" w:rsidRDefault="00406EF8">
            <w:pPr>
              <w:pStyle w:val="Figure"/>
              <w:rPr>
                <w:noProof w:val="0"/>
              </w:rPr>
            </w:pPr>
            <w:r w:rsidRPr="00FC71BE">
              <w:rPr>
                <w:noProof w:val="0"/>
              </w:rPr>
              <w:t>(b) Double layer</w:t>
            </w:r>
          </w:p>
        </w:tc>
      </w:tr>
    </w:tbl>
    <w:p w14:paraId="22AB70A4" w14:textId="02518A77" w:rsidR="00406EF8" w:rsidRPr="00FC71BE" w:rsidRDefault="00406EF8" w:rsidP="00406EF8">
      <w:pPr>
        <w:pStyle w:val="FigureTitle"/>
      </w:pPr>
      <w:bookmarkStart w:id="329" w:name="_Ref141189208"/>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15</w:t>
        </w:r>
      </w:fldSimple>
      <w:bookmarkEnd w:id="329"/>
      <w:r w:rsidRPr="00FC71BE">
        <w:t>.  Fluid flow velocity at plane 1 for investigated machines with nanofluid cooling systems.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5ADEC0B6" w14:textId="77777777">
        <w:tc>
          <w:tcPr>
            <w:tcW w:w="9016" w:type="dxa"/>
          </w:tcPr>
          <w:p w14:paraId="260CF9FA" w14:textId="77777777" w:rsidR="00406EF8" w:rsidRPr="00FC71BE" w:rsidRDefault="00406EF8">
            <w:pPr>
              <w:pStyle w:val="Figure"/>
              <w:rPr>
                <w:noProof w:val="0"/>
              </w:rPr>
            </w:pPr>
            <w:r w:rsidRPr="00FC71BE">
              <w:drawing>
                <wp:inline distT="0" distB="0" distL="0" distR="0" wp14:anchorId="08FEB189" wp14:editId="2DED9C1A">
                  <wp:extent cx="4363200" cy="2616189"/>
                  <wp:effectExtent l="0" t="0" r="0" b="0"/>
                  <wp:docPr id="1915218460" name="Picture 19152184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line chart&#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363200" cy="2616189"/>
                          </a:xfrm>
                          <a:prstGeom prst="rect">
                            <a:avLst/>
                          </a:prstGeom>
                          <a:noFill/>
                          <a:ln>
                            <a:noFill/>
                          </a:ln>
                        </pic:spPr>
                      </pic:pic>
                    </a:graphicData>
                  </a:graphic>
                </wp:inline>
              </w:drawing>
            </w:r>
          </w:p>
        </w:tc>
      </w:tr>
      <w:tr w:rsidR="00FC71BE" w:rsidRPr="00FC71BE" w14:paraId="7E9B36C7" w14:textId="77777777">
        <w:tc>
          <w:tcPr>
            <w:tcW w:w="9016" w:type="dxa"/>
          </w:tcPr>
          <w:p w14:paraId="2E93FE9A" w14:textId="77777777" w:rsidR="00406EF8" w:rsidRPr="00FC71BE" w:rsidRDefault="00406EF8">
            <w:pPr>
              <w:pStyle w:val="Figure"/>
              <w:rPr>
                <w:noProof w:val="0"/>
              </w:rPr>
            </w:pPr>
            <w:r w:rsidRPr="00FC71BE">
              <w:rPr>
                <w:noProof w:val="0"/>
              </w:rPr>
              <w:t>(a) Single layer machine</w:t>
            </w:r>
          </w:p>
        </w:tc>
      </w:tr>
      <w:tr w:rsidR="00FC71BE" w:rsidRPr="00FC71BE" w14:paraId="1DE32678" w14:textId="77777777">
        <w:tc>
          <w:tcPr>
            <w:tcW w:w="9016" w:type="dxa"/>
          </w:tcPr>
          <w:p w14:paraId="23917285" w14:textId="77777777" w:rsidR="00406EF8" w:rsidRPr="00FC71BE" w:rsidRDefault="00406EF8">
            <w:pPr>
              <w:pStyle w:val="Figure"/>
              <w:rPr>
                <w:noProof w:val="0"/>
              </w:rPr>
            </w:pPr>
            <w:r w:rsidRPr="00FC71BE">
              <w:lastRenderedPageBreak/>
              <w:drawing>
                <wp:inline distT="0" distB="0" distL="0" distR="0" wp14:anchorId="0F8A684A" wp14:editId="4BCFA65D">
                  <wp:extent cx="4363200" cy="2617920"/>
                  <wp:effectExtent l="0" t="0" r="0" b="0"/>
                  <wp:docPr id="198642588" name="Picture 198642588" descr="A graph of different types of current dens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2588" name="Picture 198642588" descr="A graph of different types of current density&#10;&#10;Description automatically generated"/>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363200" cy="2617920"/>
                          </a:xfrm>
                          <a:prstGeom prst="rect">
                            <a:avLst/>
                          </a:prstGeom>
                          <a:noFill/>
                          <a:ln>
                            <a:noFill/>
                          </a:ln>
                        </pic:spPr>
                      </pic:pic>
                    </a:graphicData>
                  </a:graphic>
                </wp:inline>
              </w:drawing>
            </w:r>
          </w:p>
        </w:tc>
      </w:tr>
      <w:tr w:rsidR="00FC71BE" w:rsidRPr="00FC71BE" w14:paraId="0A2DEF57" w14:textId="77777777">
        <w:tc>
          <w:tcPr>
            <w:tcW w:w="9016" w:type="dxa"/>
          </w:tcPr>
          <w:p w14:paraId="2E478E61" w14:textId="77777777" w:rsidR="00406EF8" w:rsidRPr="00FC71BE" w:rsidRDefault="00406EF8">
            <w:pPr>
              <w:pStyle w:val="Figure"/>
              <w:rPr>
                <w:noProof w:val="0"/>
              </w:rPr>
            </w:pPr>
            <w:r w:rsidRPr="00FC71BE">
              <w:rPr>
                <w:noProof w:val="0"/>
              </w:rPr>
              <w:t>(b) double layer machine</w:t>
            </w:r>
          </w:p>
        </w:tc>
      </w:tr>
    </w:tbl>
    <w:p w14:paraId="1F4396C1" w14:textId="7C27CAE3" w:rsidR="00406EF8" w:rsidRPr="00FC71BE" w:rsidRDefault="00406EF8" w:rsidP="00406EF8">
      <w:pPr>
        <w:pStyle w:val="FigureTitle"/>
      </w:pPr>
      <w:bookmarkStart w:id="330" w:name="_Ref141189219"/>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16</w:t>
        </w:r>
      </w:fldSimple>
      <w:bookmarkEnd w:id="330"/>
      <w:r w:rsidRPr="00FC71BE">
        <w:t xml:space="preserve">.  Steady-state peak coil temperatures </w:t>
      </w:r>
      <w:r w:rsidRPr="00FC71BE">
        <w:rPr>
          <w:i/>
        </w:rPr>
        <w:t>vs</w:t>
      </w:r>
      <w:r w:rsidRPr="00FC71BE">
        <w:t xml:space="preserve"> current density for different coolants in the end-space.</w:t>
      </w:r>
    </w:p>
    <w:p w14:paraId="1D9F5702" w14:textId="75F11EA5" w:rsidR="004F3E47" w:rsidRPr="00FC71BE" w:rsidRDefault="004F3E47" w:rsidP="004F3E47">
      <w:r w:rsidRPr="00FC71BE">
        <w:t xml:space="preserve">The gravitational effect will be more significant when current density increases for both machines, as shown in </w:t>
      </w:r>
      <w:r w:rsidRPr="00FC71BE">
        <w:fldChar w:fldCharType="begin"/>
      </w:r>
      <w:r w:rsidRPr="00FC71BE">
        <w:instrText xml:space="preserve"> REF _Ref141189219 \h </w:instrText>
      </w:r>
      <w:r w:rsidRPr="00FC71BE">
        <w:fldChar w:fldCharType="separate"/>
      </w:r>
      <w:r w:rsidRPr="00FC71BE">
        <w:t xml:space="preserve">Fig. </w:t>
      </w:r>
      <w:r w:rsidRPr="00FC71BE">
        <w:rPr>
          <w:noProof/>
        </w:rPr>
        <w:t>5</w:t>
      </w:r>
      <w:r w:rsidRPr="00FC71BE">
        <w:t>.</w:t>
      </w:r>
      <w:r w:rsidRPr="00FC71BE">
        <w:rPr>
          <w:noProof/>
        </w:rPr>
        <w:t>16</w:t>
      </w:r>
      <w:r w:rsidRPr="00FC71BE">
        <w:fldChar w:fldCharType="end"/>
      </w:r>
      <w:r w:rsidRPr="00FC71BE">
        <w:t>. For the single layer machine, the temperature reduction (using nanofluid to replace air in the end-space) increases from 5</w:t>
      </w:r>
      <m:oMath>
        <m:r>
          <w:rPr>
            <w:rFonts w:ascii="Cambria Math" w:hAnsi="Cambria Math"/>
          </w:rPr>
          <m:t>℃</m:t>
        </m:r>
      </m:oMath>
      <w:r w:rsidRPr="00FC71BE">
        <w:t xml:space="preserve"> to 12</w:t>
      </w:r>
      <m:oMath>
        <m:r>
          <w:rPr>
            <w:rFonts w:ascii="Cambria Math" w:hAnsi="Cambria Math"/>
          </w:rPr>
          <m:t>℃</m:t>
        </m:r>
      </m:oMath>
      <w:r w:rsidRPr="00FC71BE">
        <w:t xml:space="preserve"> when the current density increases from 18.4A/mm</w:t>
      </w:r>
      <w:r w:rsidRPr="00FC71BE">
        <w:rPr>
          <w:vertAlign w:val="superscript"/>
        </w:rPr>
        <w:t>2</w:t>
      </w:r>
      <w:r w:rsidRPr="00FC71BE">
        <w:t xml:space="preserve"> to 22.08A/mm</w:t>
      </w:r>
      <w:r w:rsidRPr="00FC71BE">
        <w:rPr>
          <w:vertAlign w:val="superscript"/>
        </w:rPr>
        <w:t>2</w:t>
      </w:r>
      <w:r w:rsidRPr="00FC71BE">
        <w:t>. Similarly, for the double layer machine, this temperature reduction also improves from 17</w:t>
      </w:r>
      <m:oMath>
        <m:r>
          <w:rPr>
            <w:rFonts w:ascii="Cambria Math" w:hAnsi="Cambria Math"/>
          </w:rPr>
          <m:t>℃</m:t>
        </m:r>
      </m:oMath>
      <w:r w:rsidRPr="00FC71BE">
        <w:t xml:space="preserve"> to 31</w:t>
      </w:r>
      <m:oMath>
        <m:r>
          <w:rPr>
            <w:rFonts w:ascii="Cambria Math" w:hAnsi="Cambria Math"/>
          </w:rPr>
          <m:t>℃</m:t>
        </m:r>
      </m:oMath>
      <w:r w:rsidRPr="00FC71BE">
        <w:t>.</w:t>
      </w:r>
    </w:p>
    <w:p w14:paraId="7EFB1BCA" w14:textId="77777777" w:rsidR="00406EF8" w:rsidRPr="00FC71BE" w:rsidRDefault="00406EF8" w:rsidP="00B86C68">
      <w:pPr>
        <w:pStyle w:val="Heading3"/>
        <w:numPr>
          <w:ilvl w:val="2"/>
          <w:numId w:val="49"/>
        </w:numPr>
      </w:pPr>
      <w:bookmarkStart w:id="331" w:name="_Toc157695398"/>
      <w:r w:rsidRPr="00FC71BE">
        <w:t>Ferrofluid Cooling</w:t>
      </w:r>
      <w:bookmarkEnd w:id="331"/>
    </w:p>
    <w:p w14:paraId="0265FEA3" w14:textId="3DD1EE75" w:rsidR="00406EF8" w:rsidRPr="00FC71BE" w:rsidRDefault="00406EF8" w:rsidP="00406EF8">
      <w:r w:rsidRPr="00FC71BE">
        <w:t xml:space="preserve">In section </w:t>
      </w:r>
      <w:r w:rsidRPr="00FC71BE">
        <w:fldChar w:fldCharType="begin"/>
      </w:r>
      <w:r w:rsidRPr="00FC71BE">
        <w:instrText xml:space="preserve"> REF _Ref141201272 \r \h  \* MERGEFORMAT </w:instrText>
      </w:r>
      <w:r w:rsidRPr="00FC71BE">
        <w:fldChar w:fldCharType="separate"/>
      </w:r>
      <w:r w:rsidR="007E62C1" w:rsidRPr="00FC71BE">
        <w:t>5.4</w:t>
      </w:r>
      <w:r w:rsidRPr="00FC71BE">
        <w:fldChar w:fldCharType="end"/>
      </w:r>
      <w:r w:rsidRPr="00FC71BE">
        <w:t>, a multiphysics modelling is introduced to simulate the machines with ferrofluid cooling systems. To simplify the model, DC current is employed to generate magnetic field at end space of machines. In this section, this kind of model is named as model 1. In addition, a new model 2 simulating a 3-phase AC supply will be proposed. Even though the current in each phase for model 2 is a DC current, which is the same as model 1, different amplitudes of current will be injected different rotor positions in model 2. Their average effect will be considered as a more realistic representation of the real machines. More details are provided as follows.</w:t>
      </w:r>
    </w:p>
    <w:p w14:paraId="1DE65635" w14:textId="77777777" w:rsidR="00406EF8" w:rsidRPr="00FC71BE" w:rsidRDefault="00406EF8" w:rsidP="00AF4190">
      <w:pPr>
        <w:pStyle w:val="Heading4"/>
        <w:numPr>
          <w:ilvl w:val="0"/>
          <w:numId w:val="35"/>
        </w:numPr>
      </w:pPr>
      <w:r w:rsidRPr="00FC71BE">
        <w:t>Principle of Different Multiphysics Models</w:t>
      </w:r>
    </w:p>
    <w:p w14:paraId="2886026E" w14:textId="77777777" w:rsidR="00406EF8" w:rsidRPr="00FC71BE" w:rsidRDefault="00406EF8" w:rsidP="00406EF8">
      <w:r w:rsidRPr="00FC71BE">
        <w:t>According to lumped-parameter magnetic circuit, the position dependent magnetic field strength (</w:t>
      </w:r>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oMath>
      <w:r w:rsidRPr="00FC71BE">
        <w:t>) generated by only one winding is proportional to the current carried by the winding, and can be derived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F974376" w14:textId="77777777">
        <w:tc>
          <w:tcPr>
            <w:tcW w:w="4493" w:type="pct"/>
            <w:vAlign w:val="center"/>
          </w:tcPr>
          <w:p w14:paraId="3817F1E8" w14:textId="77777777" w:rsidR="00406EF8" w:rsidRPr="00FC71BE" w:rsidRDefault="002143AD">
            <w:pPr>
              <w:ind w:left="340" w:firstLine="0"/>
            </w:pPr>
            <m:oMathPara>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r>
                  <w:rPr>
                    <w:rFonts w:ascii="Cambria Math" w:hAnsi="Cambria Math"/>
                  </w:rPr>
                  <m:t>=</m:t>
                </m:r>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r>
                  <w:rPr>
                    <w:rFonts w:ascii="Cambria Math" w:hAnsi="Cambria Math"/>
                  </w:rPr>
                  <m:t>I</m:t>
                </m:r>
              </m:oMath>
            </m:oMathPara>
          </w:p>
        </w:tc>
        <w:tc>
          <w:tcPr>
            <w:tcW w:w="507" w:type="pct"/>
            <w:vAlign w:val="center"/>
          </w:tcPr>
          <w:p w14:paraId="09A810C0" w14:textId="3FCA0CFA"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21</w:t>
            </w:r>
            <w:r w:rsidR="002839C4" w:rsidRPr="00FC71BE">
              <w:rPr>
                <w:color w:val="auto"/>
              </w:rPr>
              <w:fldChar w:fldCharType="end"/>
            </w:r>
            <w:r w:rsidRPr="00FC71BE">
              <w:rPr>
                <w:color w:val="auto"/>
              </w:rPr>
              <w:t>)</w:t>
            </w:r>
          </w:p>
        </w:tc>
      </w:tr>
    </w:tbl>
    <w:p w14:paraId="3903B1B3" w14:textId="77777777" w:rsidR="00406EF8" w:rsidRPr="00FC71BE" w:rsidRDefault="00406EF8" w:rsidP="00406EF8">
      <w:pPr>
        <w:ind w:firstLine="0"/>
      </w:pPr>
      <w:r w:rsidRPr="00FC71BE">
        <w:t xml:space="preserve">where the index </w:t>
      </w:r>
      <w:r w:rsidRPr="00FC71BE">
        <w:rPr>
          <w:i/>
          <w:vertAlign w:val="subscript"/>
        </w:rPr>
        <w:t>R</w:t>
      </w:r>
      <w:r w:rsidRPr="00FC71BE">
        <w:t xml:space="preserve"> represents the location in space, i.e., the distance from the winding carrying current </w:t>
      </w:r>
      <w:r w:rsidRPr="00FC71BE">
        <w:rPr>
          <w:i/>
          <w:iCs/>
        </w:rPr>
        <w:t>I</w:t>
      </w:r>
      <w:r w:rsidRPr="00FC71BE">
        <w:t xml:space="preserve">, and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is a constant which is related to material’s permeability and the distance from the winding. </w:t>
      </w:r>
    </w:p>
    <w:p w14:paraId="5DC503D5" w14:textId="77777777" w:rsidR="00406EF8" w:rsidRPr="00FC71BE" w:rsidRDefault="00406EF8" w:rsidP="00406EF8">
      <w:r w:rsidRPr="00FC71BE">
        <w:t xml:space="preserve">For electrical machines with a total number of </w:t>
      </w:r>
      <w:r w:rsidRPr="00FC71BE">
        <w:rPr>
          <w:i/>
          <w:iCs/>
        </w:rPr>
        <w:t>n</w:t>
      </w:r>
      <w:r w:rsidRPr="00FC71BE">
        <w:t xml:space="preserve"> windings, the magnetic field at specific locations in space can be derived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1EDB37E8" w14:textId="77777777">
        <w:tc>
          <w:tcPr>
            <w:tcW w:w="4493" w:type="pct"/>
            <w:vAlign w:val="center"/>
          </w:tcPr>
          <w:p w14:paraId="6A30DA1E" w14:textId="77777777" w:rsidR="00406EF8" w:rsidRPr="00FC71BE" w:rsidRDefault="002143AD">
            <w:pPr>
              <w:ind w:left="340" w:firstLine="0"/>
            </w:pPr>
            <m:oMathPara>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r>
                  <w:rPr>
                    <w:rFonts w:ascii="Cambria Math" w:hAnsi="Cambria Math"/>
                  </w:rPr>
                  <m:t>=</m:t>
                </m:r>
                <m:nary>
                  <m:naryPr>
                    <m:chr m:val="∑"/>
                    <m:limLoc m:val="undOvr"/>
                    <m:ctrlPr>
                      <w:rPr>
                        <w:rFonts w:ascii="Cambria Math" w:hAnsi="Cambria Math"/>
                        <w:i/>
                      </w:rPr>
                    </m:ctrlPr>
                  </m:naryPr>
                  <m:sub>
                    <m:r>
                      <w:rPr>
                        <w:rFonts w:ascii="Cambria Math" w:hAnsi="Cambria Math"/>
                      </w:rPr>
                      <m:t>i</m:t>
                    </m:r>
                    <m:r>
                      <w:rPr>
                        <w:rFonts w:ascii="Cambria Math" w:hAnsi="Cambria Math"/>
                      </w:rPr>
                      <m:t>=1</m:t>
                    </m:r>
                  </m:sub>
                  <m:sup>
                    <m:r>
                      <w:rPr>
                        <w:rFonts w:ascii="Cambria Math" w:hAnsi="Cambria Math"/>
                      </w:rPr>
                      <m:t>n</m:t>
                    </m:r>
                  </m:sup>
                  <m:e>
                    <m:sSub>
                      <m:sSubPr>
                        <m:ctrlPr>
                          <w:rPr>
                            <w:rFonts w:ascii="Cambria Math" w:hAnsi="Cambria Math"/>
                            <w:i/>
                          </w:rPr>
                        </m:ctrlPr>
                      </m:sSubPr>
                      <m:e>
                        <m:r>
                          <m:rPr>
                            <m:sty m:val="bi"/>
                          </m:rPr>
                          <w:rPr>
                            <w:rFonts w:ascii="Cambria Math" w:hAnsi="Cambria Math"/>
                          </w:rPr>
                          <m:t>k</m:t>
                        </m:r>
                      </m:e>
                      <m:sub>
                        <m:r>
                          <w:rPr>
                            <w:rFonts w:ascii="Cambria Math" w:hAnsi="Cambria Math"/>
                          </w:rPr>
                          <m:t>i</m:t>
                        </m:r>
                        <m:d>
                          <m:dPr>
                            <m:ctrlPr>
                              <w:rPr>
                                <w:rFonts w:ascii="Cambria Math" w:hAnsi="Cambria Math"/>
                                <w:i/>
                              </w:rPr>
                            </m:ctrlPr>
                          </m:dPr>
                          <m:e>
                            <m:r>
                              <w:rPr>
                                <w:rFonts w:ascii="Cambria Math" w:hAnsi="Cambria Math"/>
                              </w:rPr>
                              <m:t>R</m:t>
                            </m:r>
                          </m:e>
                        </m:d>
                      </m:sub>
                    </m:sSub>
                    <m:sSub>
                      <m:sSubPr>
                        <m:ctrlPr>
                          <w:rPr>
                            <w:rFonts w:ascii="Cambria Math" w:hAnsi="Cambria Math"/>
                            <w:i/>
                          </w:rPr>
                        </m:ctrlPr>
                      </m:sSubPr>
                      <m:e>
                        <m:r>
                          <w:rPr>
                            <w:rFonts w:ascii="Cambria Math" w:hAnsi="Cambria Math"/>
                          </w:rPr>
                          <m:t>I</m:t>
                        </m:r>
                      </m:e>
                      <m:sub>
                        <m:r>
                          <w:rPr>
                            <w:rFonts w:ascii="Cambria Math" w:hAnsi="Cambria Math"/>
                          </w:rPr>
                          <m:t>i</m:t>
                        </m:r>
                      </m:sub>
                    </m:sSub>
                  </m:e>
                </m:nary>
              </m:oMath>
            </m:oMathPara>
          </w:p>
        </w:tc>
        <w:tc>
          <w:tcPr>
            <w:tcW w:w="507" w:type="pct"/>
            <w:vAlign w:val="center"/>
          </w:tcPr>
          <w:p w14:paraId="6F2CA5A2" w14:textId="43553525" w:rsidR="00406EF8" w:rsidRPr="00FC71BE" w:rsidRDefault="00406EF8">
            <w:pPr>
              <w:pStyle w:val="equation"/>
              <w:rPr>
                <w:i/>
                <w:color w:val="auto"/>
              </w:rPr>
            </w:pPr>
            <w:bookmarkStart w:id="332" w:name="_Ref141207266"/>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22</w:t>
            </w:r>
            <w:r w:rsidR="002839C4" w:rsidRPr="00FC71BE">
              <w:rPr>
                <w:color w:val="auto"/>
              </w:rPr>
              <w:fldChar w:fldCharType="end"/>
            </w:r>
            <w:r w:rsidRPr="00FC71BE">
              <w:rPr>
                <w:color w:val="auto"/>
              </w:rPr>
              <w:t>)</w:t>
            </w:r>
            <w:bookmarkEnd w:id="332"/>
          </w:p>
        </w:tc>
      </w:tr>
    </w:tbl>
    <w:p w14:paraId="5AFC8317" w14:textId="77777777" w:rsidR="00406EF8" w:rsidRPr="00FC71BE" w:rsidRDefault="00406EF8" w:rsidP="00406EF8">
      <w:r w:rsidRPr="00FC71BE">
        <w:t xml:space="preserve">It is worth noting that </w:t>
      </w:r>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oMath>
      <w:r w:rsidRPr="00FC71BE">
        <w:t xml:space="preserve"> is the magnetic field generated by the windings only (without consideration of PMs). Since the study is focused on end-winding region, the magnetic field generated by the rotating PMs can be neglected.</w:t>
      </w:r>
    </w:p>
    <w:p w14:paraId="243DF1F5" w14:textId="77777777" w:rsidR="00406EF8" w:rsidRPr="00FC71BE" w:rsidRDefault="00406EF8" w:rsidP="00406EF8">
      <w:r w:rsidRPr="00FC71BE">
        <w:t>The investigated PM machines are assumed to operate under a 3-phase AC supply, the magnetic field strength generated by the windings can be rewritten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8D173AD" w14:textId="77777777">
        <w:tc>
          <w:tcPr>
            <w:tcW w:w="4493" w:type="pct"/>
            <w:vAlign w:val="center"/>
          </w:tcPr>
          <w:p w14:paraId="77780D5B" w14:textId="77777777" w:rsidR="00406EF8" w:rsidRPr="00FC71BE" w:rsidRDefault="002143AD">
            <w:pPr>
              <w:ind w:left="340" w:firstLine="0"/>
            </w:pPr>
            <m:oMathPara>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ac</m:t>
                    </m:r>
                  </m:sub>
                </m:sSub>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m:rPr>
                            <m:sty m:val="bi"/>
                          </m:rPr>
                          <w:rPr>
                            <w:rFonts w:ascii="Cambria Math" w:hAnsi="Cambria Math"/>
                          </w:rPr>
                          <m:t>a</m:t>
                        </m:r>
                      </m:e>
                      <m:sub>
                        <m:d>
                          <m:dPr>
                            <m:ctrlPr>
                              <w:rPr>
                                <w:rFonts w:ascii="Cambria Math" w:hAnsi="Cambria Math"/>
                                <w:i/>
                              </w:rPr>
                            </m:ctrlPr>
                          </m:dPr>
                          <m:e>
                            <m:r>
                              <w:rPr>
                                <w:rFonts w:ascii="Cambria Math" w:hAnsi="Cambria Math"/>
                              </w:rPr>
                              <m:t>R</m:t>
                            </m:r>
                          </m:e>
                        </m:d>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bi"/>
                          </m:rPr>
                          <w:rPr>
                            <w:rFonts w:ascii="Cambria Math" w:hAnsi="Cambria Math"/>
                          </w:rPr>
                          <m:t>b</m:t>
                        </m:r>
                      </m:e>
                      <m:sub>
                        <m:d>
                          <m:dPr>
                            <m:ctrlPr>
                              <w:rPr>
                                <w:rFonts w:ascii="Cambria Math" w:hAnsi="Cambria Math"/>
                                <w:i/>
                              </w:rPr>
                            </m:ctrlPr>
                          </m:dPr>
                          <m:e>
                            <m:r>
                              <w:rPr>
                                <w:rFonts w:ascii="Cambria Math" w:hAnsi="Cambria Math"/>
                              </w:rPr>
                              <m:t>R</m:t>
                            </m:r>
                          </m:e>
                        </m:d>
                      </m:sub>
                      <m:sup>
                        <m:r>
                          <w:rPr>
                            <w:rFonts w:ascii="Cambria Math" w:hAnsi="Cambria Math"/>
                          </w:rPr>
                          <m:t>2</m:t>
                        </m:r>
                      </m:sup>
                    </m:sSubSup>
                  </m:e>
                </m:rad>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2</m:t>
                        </m:r>
                        <m:r>
                          <w:rPr>
                            <w:rFonts w:ascii="Cambria Math" w:hAnsi="Cambria Math"/>
                          </w:rPr>
                          <m:t>πft</m:t>
                        </m:r>
                        <m:r>
                          <w:rPr>
                            <w:rFonts w:ascii="Cambria Math" w:hAnsi="Cambria Math"/>
                          </w:rPr>
                          <m:t>+</m:t>
                        </m:r>
                        <m:sSub>
                          <m:sSubPr>
                            <m:ctrlPr>
                              <w:rPr>
                                <w:rFonts w:ascii="Cambria Math" w:hAnsi="Cambria Math"/>
                                <w:i/>
                              </w:rPr>
                            </m:ctrlPr>
                          </m:sSubPr>
                          <m:e>
                            <m:r>
                              <w:rPr>
                                <w:rFonts w:ascii="Cambria Math" w:hAnsi="Cambria Math"/>
                              </w:rPr>
                              <m:t>ϑ</m:t>
                            </m:r>
                          </m:e>
                          <m:sub>
                            <m:d>
                              <m:dPr>
                                <m:ctrlPr>
                                  <w:rPr>
                                    <w:rFonts w:ascii="Cambria Math" w:hAnsi="Cambria Math"/>
                                    <w:i/>
                                  </w:rPr>
                                </m:ctrlPr>
                              </m:dPr>
                              <m:e>
                                <m:r>
                                  <w:rPr>
                                    <w:rFonts w:ascii="Cambria Math" w:hAnsi="Cambria Math"/>
                                  </w:rPr>
                                  <m:t>R</m:t>
                                </m:r>
                              </m:e>
                            </m:d>
                          </m:sub>
                        </m:sSub>
                      </m:e>
                    </m:d>
                  </m:e>
                </m:func>
              </m:oMath>
            </m:oMathPara>
          </w:p>
        </w:tc>
        <w:tc>
          <w:tcPr>
            <w:tcW w:w="507" w:type="pct"/>
            <w:vAlign w:val="center"/>
          </w:tcPr>
          <w:p w14:paraId="53A55597" w14:textId="72ADF4F4" w:rsidR="00406EF8" w:rsidRPr="00FC71BE" w:rsidRDefault="00406EF8">
            <w:pPr>
              <w:pStyle w:val="equation"/>
              <w:rPr>
                <w:i/>
                <w:color w:val="auto"/>
              </w:rPr>
            </w:pPr>
            <w:bookmarkStart w:id="333" w:name="_Ref141206747"/>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23</w:t>
            </w:r>
            <w:r w:rsidR="002839C4" w:rsidRPr="00FC71BE">
              <w:rPr>
                <w:color w:val="auto"/>
              </w:rPr>
              <w:fldChar w:fldCharType="end"/>
            </w:r>
            <w:r w:rsidRPr="00FC71BE">
              <w:rPr>
                <w:color w:val="auto"/>
              </w:rPr>
              <w:t>)</w:t>
            </w:r>
            <w:bookmarkEnd w:id="333"/>
          </w:p>
        </w:tc>
      </w:tr>
    </w:tbl>
    <w:p w14:paraId="664F63F3" w14:textId="77777777" w:rsidR="00406EF8" w:rsidRPr="00FC71BE" w:rsidRDefault="00406EF8" w:rsidP="00406EF8">
      <w:pPr>
        <w:ind w:firstLine="0"/>
      </w:pPr>
      <w:r w:rsidRPr="00FC71BE">
        <w:t xml:space="preserve">where </w:t>
      </w:r>
      <m:oMath>
        <m:sSub>
          <m:sSubPr>
            <m:ctrlPr>
              <w:rPr>
                <w:rFonts w:ascii="Cambria Math" w:hAnsi="Cambria Math"/>
                <w:i/>
              </w:rPr>
            </m:ctrlPr>
          </m:sSubPr>
          <m:e>
            <m:r>
              <m:rPr>
                <m:sty m:val="bi"/>
              </m:rPr>
              <w:rPr>
                <w:rFonts w:ascii="Cambria Math" w:hAnsi="Cambria Math"/>
              </w:rPr>
              <m:t>a</m:t>
            </m:r>
          </m:e>
          <m:sub>
            <m:d>
              <m:dPr>
                <m:ctrlPr>
                  <w:rPr>
                    <w:rFonts w:ascii="Cambria Math" w:hAnsi="Cambria Math"/>
                    <w:i/>
                  </w:rPr>
                </m:ctrlPr>
              </m:dPr>
              <m:e>
                <m:r>
                  <w:rPr>
                    <w:rFonts w:ascii="Cambria Math" w:hAnsi="Cambria Math"/>
                  </w:rPr>
                  <m:t>R</m:t>
                </m:r>
              </m:e>
            </m:d>
          </m:sub>
        </m:sSub>
      </m:oMath>
      <w:r w:rsidRPr="00FC71BE">
        <w:t xml:space="preserve">, </w:t>
      </w:r>
      <m:oMath>
        <m:sSub>
          <m:sSubPr>
            <m:ctrlPr>
              <w:rPr>
                <w:rFonts w:ascii="Cambria Math" w:hAnsi="Cambria Math"/>
                <w:i/>
              </w:rPr>
            </m:ctrlPr>
          </m:sSubPr>
          <m:e>
            <m:r>
              <m:rPr>
                <m:sty m:val="bi"/>
              </m:rPr>
              <w:rPr>
                <w:rFonts w:ascii="Cambria Math" w:hAnsi="Cambria Math"/>
              </w:rPr>
              <m:t>b</m:t>
            </m:r>
          </m:e>
          <m:sub>
            <m:d>
              <m:dPr>
                <m:ctrlPr>
                  <w:rPr>
                    <w:rFonts w:ascii="Cambria Math" w:hAnsi="Cambria Math"/>
                    <w:i/>
                  </w:rPr>
                </m:ctrlPr>
              </m:dPr>
              <m:e>
                <m:r>
                  <w:rPr>
                    <w:rFonts w:ascii="Cambria Math" w:hAnsi="Cambria Math"/>
                  </w:rPr>
                  <m:t>R</m:t>
                </m:r>
              </m:e>
            </m:d>
          </m:sub>
        </m:sSub>
      </m:oMath>
      <w:r w:rsidRPr="00FC71BE">
        <w:t xml:space="preserve"> and </w:t>
      </w:r>
      <m:oMath>
        <m:sSub>
          <m:sSubPr>
            <m:ctrlPr>
              <w:rPr>
                <w:rFonts w:ascii="Cambria Math" w:hAnsi="Cambria Math"/>
                <w:i/>
              </w:rPr>
            </m:ctrlPr>
          </m:sSubPr>
          <m:e>
            <m:r>
              <w:rPr>
                <w:rFonts w:ascii="Cambria Math" w:hAnsi="Cambria Math"/>
              </w:rPr>
              <m:t>ϑ</m:t>
            </m:r>
          </m:e>
          <m:sub>
            <m:d>
              <m:dPr>
                <m:ctrlPr>
                  <w:rPr>
                    <w:rFonts w:ascii="Cambria Math" w:hAnsi="Cambria Math"/>
                    <w:i/>
                  </w:rPr>
                </m:ctrlPr>
              </m:dPr>
              <m:e>
                <m:r>
                  <w:rPr>
                    <w:rFonts w:ascii="Cambria Math" w:hAnsi="Cambria Math"/>
                  </w:rPr>
                  <m:t>R</m:t>
                </m:r>
              </m:e>
            </m:d>
          </m:sub>
        </m:sSub>
      </m:oMath>
      <w:r w:rsidRPr="00FC71BE">
        <w:t xml:space="preserve"> are position dependent constants, which are functions of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w:t>
      </w:r>
    </w:p>
    <w:p w14:paraId="0EBA52A6" w14:textId="77777777" w:rsidR="00406EF8" w:rsidRPr="00FC71BE" w:rsidRDefault="00406EF8" w:rsidP="00406EF8">
      <w:r w:rsidRPr="00FC71BE">
        <w:t>The average value of the magnetic field strength (</w:t>
      </w:r>
      <m:oMath>
        <m:acc>
          <m:accPr>
            <m:chr m:val="̅"/>
            <m:ctrlPr>
              <w:rPr>
                <w:rFonts w:ascii="Cambria Math" w:hAnsi="Cambria Math"/>
                <w:i/>
              </w:rPr>
            </m:ctrlPr>
          </m:accPr>
          <m:e>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e>
        </m:acc>
      </m:oMath>
      <w:r w:rsidRPr="00FC71BE">
        <w:t>)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4B5432DB" w14:textId="77777777">
        <w:tc>
          <w:tcPr>
            <w:tcW w:w="4493" w:type="pct"/>
            <w:vAlign w:val="center"/>
          </w:tcPr>
          <w:p w14:paraId="1D0156F7" w14:textId="77777777" w:rsidR="00406EF8" w:rsidRPr="00FC71BE" w:rsidRDefault="002143AD">
            <w:pPr>
              <w:ind w:left="340" w:firstLine="0"/>
            </w:pPr>
            <m:oMathPara>
              <m:oMath>
                <m:acc>
                  <m:accPr>
                    <m:chr m:val="̅"/>
                    <m:ctrlPr>
                      <w:rPr>
                        <w:rFonts w:ascii="Cambria Math" w:hAnsi="Cambria Math"/>
                        <w:i/>
                      </w:rPr>
                    </m:ctrlPr>
                  </m:accPr>
                  <m:e>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e>
                </m:acc>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π</m:t>
                    </m:r>
                  </m:den>
                </m:f>
                <m:sSub>
                  <m:sSubPr>
                    <m:ctrlPr>
                      <w:rPr>
                        <w:rFonts w:ascii="Cambria Math" w:hAnsi="Cambria Math"/>
                        <w:i/>
                      </w:rPr>
                    </m:ctrlPr>
                  </m:sSubPr>
                  <m:e>
                    <m:r>
                      <w:rPr>
                        <w:rFonts w:ascii="Cambria Math" w:hAnsi="Cambria Math"/>
                      </w:rPr>
                      <m:t>I</m:t>
                    </m:r>
                  </m:e>
                  <m:sub>
                    <m:r>
                      <w:rPr>
                        <w:rFonts w:ascii="Cambria Math" w:hAnsi="Cambria Math"/>
                      </w:rPr>
                      <m:t>ac</m:t>
                    </m:r>
                  </m:sub>
                </m:sSub>
                <m:rad>
                  <m:radPr>
                    <m:degHide m:val="1"/>
                    <m:ctrlPr>
                      <w:rPr>
                        <w:rFonts w:ascii="Cambria Math" w:hAnsi="Cambria Math"/>
                        <w:i/>
                      </w:rPr>
                    </m:ctrlPr>
                  </m:radPr>
                  <m:deg/>
                  <m:e>
                    <m:sSubSup>
                      <m:sSubSupPr>
                        <m:ctrlPr>
                          <w:rPr>
                            <w:rFonts w:ascii="Cambria Math" w:hAnsi="Cambria Math"/>
                            <w:i/>
                          </w:rPr>
                        </m:ctrlPr>
                      </m:sSubSupPr>
                      <m:e>
                        <m:r>
                          <m:rPr>
                            <m:sty m:val="bi"/>
                          </m:rPr>
                          <w:rPr>
                            <w:rFonts w:ascii="Cambria Math" w:hAnsi="Cambria Math"/>
                          </w:rPr>
                          <m:t>a</m:t>
                        </m:r>
                      </m:e>
                      <m:sub>
                        <m:d>
                          <m:dPr>
                            <m:ctrlPr>
                              <w:rPr>
                                <w:rFonts w:ascii="Cambria Math" w:hAnsi="Cambria Math"/>
                                <w:i/>
                              </w:rPr>
                            </m:ctrlPr>
                          </m:dPr>
                          <m:e>
                            <m:r>
                              <w:rPr>
                                <w:rFonts w:ascii="Cambria Math" w:hAnsi="Cambria Math"/>
                              </w:rPr>
                              <m:t>R</m:t>
                            </m:r>
                          </m:e>
                        </m:d>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bi"/>
                          </m:rPr>
                          <w:rPr>
                            <w:rFonts w:ascii="Cambria Math" w:hAnsi="Cambria Math"/>
                          </w:rPr>
                          <m:t>b</m:t>
                        </m:r>
                      </m:e>
                      <m:sub>
                        <m:d>
                          <m:dPr>
                            <m:ctrlPr>
                              <w:rPr>
                                <w:rFonts w:ascii="Cambria Math" w:hAnsi="Cambria Math"/>
                                <w:i/>
                              </w:rPr>
                            </m:ctrlPr>
                          </m:dPr>
                          <m:e>
                            <m:r>
                              <w:rPr>
                                <w:rFonts w:ascii="Cambria Math" w:hAnsi="Cambria Math"/>
                              </w:rPr>
                              <m:t>R</m:t>
                            </m:r>
                          </m:e>
                        </m:d>
                      </m:sub>
                      <m:sup>
                        <m:r>
                          <w:rPr>
                            <w:rFonts w:ascii="Cambria Math" w:hAnsi="Cambria Math"/>
                          </w:rPr>
                          <m:t>2</m:t>
                        </m:r>
                      </m:sup>
                    </m:sSubSup>
                  </m:e>
                </m:rad>
              </m:oMath>
            </m:oMathPara>
          </w:p>
        </w:tc>
        <w:tc>
          <w:tcPr>
            <w:tcW w:w="507" w:type="pct"/>
            <w:vAlign w:val="center"/>
          </w:tcPr>
          <w:p w14:paraId="5771FF18" w14:textId="272CD5CA"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24</w:t>
            </w:r>
            <w:r w:rsidR="002839C4" w:rsidRPr="00FC71BE">
              <w:rPr>
                <w:color w:val="auto"/>
              </w:rPr>
              <w:fldChar w:fldCharType="end"/>
            </w:r>
            <w:r w:rsidRPr="00FC71BE">
              <w:rPr>
                <w:color w:val="auto"/>
              </w:rPr>
              <w:t>)</w:t>
            </w:r>
          </w:p>
        </w:tc>
      </w:tr>
    </w:tbl>
    <w:p w14:paraId="782FCE0D" w14:textId="27D3F0C2" w:rsidR="00406EF8" w:rsidRPr="00FC71BE" w:rsidRDefault="00406EF8" w:rsidP="00406EF8">
      <w:r w:rsidRPr="00FC71BE">
        <w:t xml:space="preserve">Using </w:t>
      </w:r>
      <w:r w:rsidRPr="00FC71BE">
        <w:fldChar w:fldCharType="begin"/>
      </w:r>
      <w:r w:rsidRPr="00FC71BE">
        <w:instrText xml:space="preserve"> REF _Ref141206726 \h </w:instrText>
      </w:r>
      <w:r w:rsidRPr="00FC71BE">
        <w:fldChar w:fldCharType="separate"/>
      </w:r>
      <w:r w:rsidR="007E62C1" w:rsidRPr="00FC71BE">
        <w:t>(</w:t>
      </w:r>
      <w:r w:rsidR="007E62C1" w:rsidRPr="00FC71BE">
        <w:rPr>
          <w:noProof/>
        </w:rPr>
        <w:t>5</w:t>
      </w:r>
      <w:r w:rsidR="007E62C1" w:rsidRPr="00FC71BE">
        <w:t>.</w:t>
      </w:r>
      <w:r w:rsidR="007E62C1" w:rsidRPr="00FC71BE">
        <w:rPr>
          <w:noProof/>
        </w:rPr>
        <w:t>2</w:t>
      </w:r>
      <w:r w:rsidR="007E62C1" w:rsidRPr="00FC71BE">
        <w:t>)</w:t>
      </w:r>
      <w:r w:rsidRPr="00FC71BE">
        <w:fldChar w:fldCharType="end"/>
      </w:r>
      <w:r w:rsidRPr="00FC71BE">
        <w:t xml:space="preserve">, </w:t>
      </w:r>
      <w:r w:rsidRPr="00FC71BE">
        <w:fldChar w:fldCharType="begin"/>
      </w:r>
      <w:r w:rsidRPr="00FC71BE">
        <w:instrText xml:space="preserve"> REF _Ref141093461 \h </w:instrText>
      </w:r>
      <w:r w:rsidRPr="00FC71BE">
        <w:fldChar w:fldCharType="separate"/>
      </w:r>
      <w:r w:rsidR="007E62C1" w:rsidRPr="00FC71BE">
        <w:t>(</w:t>
      </w:r>
      <w:r w:rsidR="007E62C1" w:rsidRPr="00FC71BE">
        <w:rPr>
          <w:noProof/>
        </w:rPr>
        <w:t>5</w:t>
      </w:r>
      <w:r w:rsidR="007E62C1" w:rsidRPr="00FC71BE">
        <w:t>.</w:t>
      </w:r>
      <w:r w:rsidR="007E62C1" w:rsidRPr="00FC71BE">
        <w:rPr>
          <w:noProof/>
        </w:rPr>
        <w:t>18</w:t>
      </w:r>
      <w:r w:rsidR="007E62C1" w:rsidRPr="00FC71BE">
        <w:t>)</w:t>
      </w:r>
      <w:r w:rsidRPr="00FC71BE">
        <w:fldChar w:fldCharType="end"/>
      </w:r>
      <w:r w:rsidRPr="00FC71BE">
        <w:t xml:space="preserve"> and </w:t>
      </w:r>
      <w:r w:rsidRPr="00FC71BE">
        <w:fldChar w:fldCharType="begin"/>
      </w:r>
      <w:r w:rsidRPr="00FC71BE">
        <w:instrText xml:space="preserve"> REF _Ref141206747 \h </w:instrText>
      </w:r>
      <w:r w:rsidRPr="00FC71BE">
        <w:fldChar w:fldCharType="separate"/>
      </w:r>
      <w:r w:rsidR="007E62C1" w:rsidRPr="00FC71BE">
        <w:t>(</w:t>
      </w:r>
      <w:r w:rsidR="007E62C1" w:rsidRPr="00FC71BE">
        <w:rPr>
          <w:noProof/>
        </w:rPr>
        <w:t>5</w:t>
      </w:r>
      <w:r w:rsidR="007E62C1" w:rsidRPr="00FC71BE">
        <w:t>.</w:t>
      </w:r>
      <w:r w:rsidR="007E62C1" w:rsidRPr="00FC71BE">
        <w:rPr>
          <w:noProof/>
        </w:rPr>
        <w:t>23</w:t>
      </w:r>
      <w:r w:rsidR="007E62C1" w:rsidRPr="00FC71BE">
        <w:t>)</w:t>
      </w:r>
      <w:r w:rsidRPr="00FC71BE">
        <w:fldChar w:fldCharType="end"/>
      </w:r>
      <w:r w:rsidRPr="00FC71BE">
        <w:t>, the magnetic body force and its average value are derived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75AF62B8" w14:textId="77777777">
        <w:tc>
          <w:tcPr>
            <w:tcW w:w="4493" w:type="pct"/>
            <w:vAlign w:val="center"/>
          </w:tcPr>
          <w:p w14:paraId="5D00C866" w14:textId="77777777" w:rsidR="00406EF8" w:rsidRPr="00FC71BE" w:rsidRDefault="002143AD">
            <w:pPr>
              <w:ind w:left="340" w:firstLine="0"/>
            </w:pPr>
            <m:oMathPara>
              <m:oMath>
                <m:sSub>
                  <m:sSubPr>
                    <m:ctrlPr>
                      <w:rPr>
                        <w:rFonts w:ascii="Cambria Math" w:hAnsi="Cambria Math"/>
                        <w:i/>
                        <w:szCs w:val="20"/>
                      </w:rPr>
                    </m:ctrlPr>
                  </m:sSubPr>
                  <m:e>
                    <m:r>
                      <m:rPr>
                        <m:sty m:val="bi"/>
                      </m:rPr>
                      <w:rPr>
                        <w:rFonts w:ascii="Cambria Math" w:hAnsi="Cambria Math"/>
                        <w:szCs w:val="20"/>
                      </w:rPr>
                      <m:t>F</m:t>
                    </m:r>
                  </m:e>
                  <m:sub>
                    <m:r>
                      <w:rPr>
                        <w:rFonts w:ascii="Cambria Math" w:hAnsi="Cambria Math"/>
                        <w:szCs w:val="20"/>
                      </w:rPr>
                      <m:t>m</m:t>
                    </m:r>
                    <m:r>
                      <w:rPr>
                        <w:rFonts w:ascii="Cambria Math" w:hAnsi="Cambria Math"/>
                        <w:szCs w:val="20"/>
                      </w:rPr>
                      <m:t>(</m:t>
                    </m:r>
                    <m:r>
                      <w:rPr>
                        <w:rFonts w:ascii="Cambria Math" w:hAnsi="Cambria Math"/>
                        <w:szCs w:val="20"/>
                      </w:rPr>
                      <m:t>R</m:t>
                    </m:r>
                    <m:r>
                      <w:rPr>
                        <w:rFonts w:ascii="Cambria Math" w:hAnsi="Cambria Math"/>
                        <w:szCs w:val="20"/>
                      </w:rPr>
                      <m:t>)</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μ</m:t>
                    </m:r>
                  </m:e>
                  <m:sub>
                    <m:r>
                      <w:rPr>
                        <w:rFonts w:ascii="Cambria Math" w:hAnsi="Cambria Math"/>
                        <w:szCs w:val="20"/>
                      </w:rPr>
                      <m:t>0</m:t>
                    </m:r>
                  </m:sub>
                </m:sSub>
                <m:sSup>
                  <m:sSupPr>
                    <m:ctrlPr>
                      <w:rPr>
                        <w:rFonts w:ascii="Cambria Math" w:hAnsi="Cambria Math"/>
                        <w:i/>
                        <w:szCs w:val="20"/>
                      </w:rPr>
                    </m:ctrlPr>
                  </m:sSupPr>
                  <m:e>
                    <m:r>
                      <w:rPr>
                        <w:rFonts w:ascii="Cambria Math" w:hAnsi="Cambria Math"/>
                        <w:szCs w:val="20"/>
                      </w:rPr>
                      <m:t>χ</m:t>
                    </m:r>
                  </m:e>
                  <m:sup>
                    <m:r>
                      <w:rPr>
                        <w:rFonts w:ascii="Cambria Math" w:hAnsi="Cambria Math"/>
                        <w:szCs w:val="20"/>
                      </w:rPr>
                      <m:t>2</m:t>
                    </m:r>
                  </m:sup>
                </m:sSup>
                <m:sSubSup>
                  <m:sSubSupPr>
                    <m:ctrlPr>
                      <w:rPr>
                        <w:rFonts w:ascii="Cambria Math" w:hAnsi="Cambria Math"/>
                        <w:i/>
                        <w:szCs w:val="20"/>
                      </w:rPr>
                    </m:ctrlPr>
                  </m:sSubSupPr>
                  <m:e>
                    <m:r>
                      <w:rPr>
                        <w:rFonts w:ascii="Cambria Math" w:hAnsi="Cambria Math"/>
                        <w:szCs w:val="20"/>
                      </w:rPr>
                      <m:t>I</m:t>
                    </m:r>
                  </m:e>
                  <m:sub>
                    <m:r>
                      <w:rPr>
                        <w:rFonts w:ascii="Cambria Math" w:hAnsi="Cambria Math"/>
                        <w:szCs w:val="20"/>
                      </w:rPr>
                      <m:t>ac</m:t>
                    </m:r>
                  </m:sub>
                  <m:sup>
                    <m:r>
                      <w:rPr>
                        <w:rFonts w:ascii="Cambria Math" w:hAnsi="Cambria Math"/>
                        <w:szCs w:val="20"/>
                      </w:rPr>
                      <m:t>2</m:t>
                    </m:r>
                  </m:sup>
                </m:sSubSup>
                <m:r>
                  <m:rPr>
                    <m:sty m:val="p"/>
                  </m:rPr>
                  <w:rPr>
                    <w:rFonts w:ascii="Cambria Math" w:hAnsi="Cambria Math"/>
                    <w:szCs w:val="20"/>
                  </w:rPr>
                  <m:t>∇</m:t>
                </m:r>
                <m:d>
                  <m:dPr>
                    <m:begChr m:val="{"/>
                    <m:endChr m:val="}"/>
                    <m:ctrlPr>
                      <w:rPr>
                        <w:rFonts w:ascii="Cambria Math" w:hAnsi="Cambria Math"/>
                        <w:szCs w:val="20"/>
                      </w:rPr>
                    </m:ctrlPr>
                  </m:dPr>
                  <m:e>
                    <m:d>
                      <m:dPr>
                        <m:begChr m:val="["/>
                        <m:endChr m:val="]"/>
                        <m:ctrlPr>
                          <w:rPr>
                            <w:rFonts w:ascii="Cambria Math" w:hAnsi="Cambria Math"/>
                            <w:szCs w:val="20"/>
                          </w:rPr>
                        </m:ctrlPr>
                      </m:dPr>
                      <m:e>
                        <m:sSubSup>
                          <m:sSubSupPr>
                            <m:ctrlPr>
                              <w:rPr>
                                <w:rFonts w:ascii="Cambria Math" w:hAnsi="Cambria Math"/>
                                <w:i/>
                                <w:szCs w:val="20"/>
                              </w:rPr>
                            </m:ctrlPr>
                          </m:sSubSupPr>
                          <m:e>
                            <m:r>
                              <m:rPr>
                                <m:sty m:val="bi"/>
                              </m:rPr>
                              <w:rPr>
                                <w:rFonts w:ascii="Cambria Math" w:hAnsi="Cambria Math"/>
                                <w:szCs w:val="20"/>
                              </w:rPr>
                              <m:t>a</m:t>
                            </m:r>
                          </m:e>
                          <m:sub>
                            <m:d>
                              <m:dPr>
                                <m:ctrlPr>
                                  <w:rPr>
                                    <w:rFonts w:ascii="Cambria Math" w:hAnsi="Cambria Math"/>
                                    <w:i/>
                                    <w:szCs w:val="20"/>
                                  </w:rPr>
                                </m:ctrlPr>
                              </m:dPr>
                              <m:e>
                                <m:r>
                                  <w:rPr>
                                    <w:rFonts w:ascii="Cambria Math" w:hAnsi="Cambria Math"/>
                                    <w:szCs w:val="20"/>
                                  </w:rPr>
                                  <m:t>R</m:t>
                                </m:r>
                              </m:e>
                            </m:d>
                          </m:sub>
                          <m:sup>
                            <m:r>
                              <w:rPr>
                                <w:rFonts w:ascii="Cambria Math" w:hAnsi="Cambria Math"/>
                                <w:szCs w:val="20"/>
                              </w:rPr>
                              <m:t>2</m:t>
                            </m:r>
                          </m:sup>
                        </m:sSubSup>
                        <m:r>
                          <w:rPr>
                            <w:rFonts w:ascii="Cambria Math" w:hAnsi="Cambria Math"/>
                            <w:szCs w:val="20"/>
                          </w:rPr>
                          <m:t>+</m:t>
                        </m:r>
                        <m:sSubSup>
                          <m:sSubSupPr>
                            <m:ctrlPr>
                              <w:rPr>
                                <w:rFonts w:ascii="Cambria Math" w:hAnsi="Cambria Math"/>
                                <w:i/>
                                <w:szCs w:val="20"/>
                              </w:rPr>
                            </m:ctrlPr>
                          </m:sSubSupPr>
                          <m:e>
                            <m:r>
                              <m:rPr>
                                <m:sty m:val="bi"/>
                              </m:rPr>
                              <w:rPr>
                                <w:rFonts w:ascii="Cambria Math" w:hAnsi="Cambria Math"/>
                                <w:szCs w:val="20"/>
                              </w:rPr>
                              <m:t>b</m:t>
                            </m:r>
                          </m:e>
                          <m:sub>
                            <m:d>
                              <m:dPr>
                                <m:ctrlPr>
                                  <w:rPr>
                                    <w:rFonts w:ascii="Cambria Math" w:hAnsi="Cambria Math"/>
                                    <w:i/>
                                    <w:szCs w:val="20"/>
                                  </w:rPr>
                                </m:ctrlPr>
                              </m:dPr>
                              <m:e>
                                <m:r>
                                  <w:rPr>
                                    <w:rFonts w:ascii="Cambria Math" w:hAnsi="Cambria Math"/>
                                    <w:szCs w:val="20"/>
                                  </w:rPr>
                                  <m:t>R</m:t>
                                </m:r>
                              </m:e>
                            </m:d>
                          </m:sub>
                          <m:sup>
                            <m:r>
                              <w:rPr>
                                <w:rFonts w:ascii="Cambria Math" w:hAnsi="Cambria Math"/>
                                <w:szCs w:val="20"/>
                              </w:rPr>
                              <m:t>2</m:t>
                            </m:r>
                          </m:sup>
                        </m:sSubSup>
                      </m:e>
                    </m:d>
                    <m:r>
                      <w:rPr>
                        <w:rFonts w:ascii="Cambria Math" w:hAnsi="Cambria Math"/>
                        <w:szCs w:val="20"/>
                      </w:rPr>
                      <m:t>∙</m:t>
                    </m:r>
                    <m:sSup>
                      <m:sSupPr>
                        <m:ctrlPr>
                          <w:rPr>
                            <w:rFonts w:ascii="Cambria Math" w:hAnsi="Cambria Math"/>
                            <w:i/>
                            <w:szCs w:val="20"/>
                          </w:rPr>
                        </m:ctrlPr>
                      </m:sSupPr>
                      <m:e>
                        <m:r>
                          <m:rPr>
                            <m:sty m:val="p"/>
                          </m:rPr>
                          <w:rPr>
                            <w:rFonts w:ascii="Cambria Math" w:hAnsi="Cambria Math"/>
                            <w:szCs w:val="20"/>
                          </w:rPr>
                          <m:t>sin</m:t>
                        </m:r>
                      </m:e>
                      <m:sup>
                        <m:r>
                          <w:rPr>
                            <w:rFonts w:ascii="Cambria Math" w:hAnsi="Cambria Math"/>
                            <w:szCs w:val="20"/>
                          </w:rPr>
                          <m:t>2</m:t>
                        </m:r>
                      </m:sup>
                    </m:sSup>
                    <m:d>
                      <m:dPr>
                        <m:ctrlPr>
                          <w:rPr>
                            <w:rFonts w:ascii="Cambria Math" w:hAnsi="Cambria Math"/>
                            <w:i/>
                            <w:szCs w:val="20"/>
                          </w:rPr>
                        </m:ctrlPr>
                      </m:dPr>
                      <m:e>
                        <m:r>
                          <w:rPr>
                            <w:rFonts w:ascii="Cambria Math" w:hAnsi="Cambria Math"/>
                            <w:szCs w:val="20"/>
                          </w:rPr>
                          <m:t>2</m:t>
                        </m:r>
                        <m:r>
                          <w:rPr>
                            <w:rFonts w:ascii="Cambria Math" w:hAnsi="Cambria Math"/>
                            <w:szCs w:val="20"/>
                          </w:rPr>
                          <m:t>πft</m:t>
                        </m:r>
                        <m:r>
                          <w:rPr>
                            <w:rFonts w:ascii="Cambria Math" w:hAnsi="Cambria Math"/>
                            <w:szCs w:val="20"/>
                          </w:rPr>
                          <m:t>+</m:t>
                        </m:r>
                        <m:sSub>
                          <m:sSubPr>
                            <m:ctrlPr>
                              <w:rPr>
                                <w:rFonts w:ascii="Cambria Math" w:hAnsi="Cambria Math"/>
                                <w:i/>
                                <w:szCs w:val="20"/>
                              </w:rPr>
                            </m:ctrlPr>
                          </m:sSubPr>
                          <m:e>
                            <m:r>
                              <w:rPr>
                                <w:rFonts w:ascii="Cambria Math" w:hAnsi="Cambria Math"/>
                                <w:szCs w:val="20"/>
                              </w:rPr>
                              <m:t>ϑ</m:t>
                            </m:r>
                          </m:e>
                          <m:sub>
                            <m:d>
                              <m:dPr>
                                <m:ctrlPr>
                                  <w:rPr>
                                    <w:rFonts w:ascii="Cambria Math" w:hAnsi="Cambria Math"/>
                                    <w:i/>
                                    <w:szCs w:val="20"/>
                                  </w:rPr>
                                </m:ctrlPr>
                              </m:dPr>
                              <m:e>
                                <m:r>
                                  <w:rPr>
                                    <w:rFonts w:ascii="Cambria Math" w:hAnsi="Cambria Math"/>
                                    <w:szCs w:val="20"/>
                                  </w:rPr>
                                  <m:t>R</m:t>
                                </m:r>
                              </m:e>
                            </m:d>
                          </m:sub>
                        </m:sSub>
                      </m:e>
                    </m:d>
                  </m:e>
                </m:d>
              </m:oMath>
            </m:oMathPara>
          </w:p>
        </w:tc>
        <w:tc>
          <w:tcPr>
            <w:tcW w:w="507" w:type="pct"/>
            <w:vAlign w:val="center"/>
          </w:tcPr>
          <w:p w14:paraId="0214DEAE" w14:textId="72902396" w:rsidR="00406EF8" w:rsidRPr="00FC71BE" w:rsidRDefault="00406EF8">
            <w:pPr>
              <w:pStyle w:val="equation"/>
              <w:rPr>
                <w:i/>
                <w:color w:val="auto"/>
              </w:rPr>
            </w:pPr>
            <w:bookmarkStart w:id="334" w:name="_Ref141432545"/>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25</w:t>
            </w:r>
            <w:r w:rsidR="002839C4" w:rsidRPr="00FC71BE">
              <w:rPr>
                <w:color w:val="auto"/>
              </w:rPr>
              <w:fldChar w:fldCharType="end"/>
            </w:r>
            <w:r w:rsidRPr="00FC71BE">
              <w:rPr>
                <w:color w:val="auto"/>
              </w:rPr>
              <w:t>)</w:t>
            </w:r>
            <w:bookmarkEnd w:id="334"/>
          </w:p>
        </w:tc>
      </w:tr>
    </w:tbl>
    <w:p w14:paraId="646B1ECF" w14:textId="77777777" w:rsidR="00406EF8" w:rsidRPr="00FC71BE" w:rsidRDefault="00406EF8" w:rsidP="00406EF8">
      <w:r w:rsidRPr="00FC71BE">
        <w:t>And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427F2E5" w14:textId="77777777">
        <w:tc>
          <w:tcPr>
            <w:tcW w:w="4493" w:type="pct"/>
            <w:vAlign w:val="center"/>
          </w:tcPr>
          <w:p w14:paraId="7C89E69A" w14:textId="77777777" w:rsidR="00406EF8" w:rsidRPr="00FC71BE" w:rsidRDefault="002143AD">
            <w:pPr>
              <w:ind w:left="340" w:firstLine="0"/>
            </w:pPr>
            <m:oMathPara>
              <m:oMath>
                <m:bar>
                  <m:barPr>
                    <m:pos m:val="top"/>
                    <m:ctrlPr>
                      <w:rPr>
                        <w:rFonts w:ascii="Cambria Math" w:hAnsi="Cambria Math"/>
                        <w:i/>
                      </w:rPr>
                    </m:ctrlPr>
                  </m:barPr>
                  <m:e>
                    <m:sSub>
                      <m:sSubPr>
                        <m:ctrlPr>
                          <w:rPr>
                            <w:rFonts w:ascii="Cambria Math" w:hAnsi="Cambria Math"/>
                            <w:i/>
                          </w:rPr>
                        </m:ctrlPr>
                      </m:sSubPr>
                      <m:e>
                        <m:r>
                          <m:rPr>
                            <m:sty m:val="bi"/>
                          </m:rPr>
                          <w:rPr>
                            <w:rFonts w:ascii="Cambria Math" w:hAnsi="Cambria Math"/>
                          </w:rPr>
                          <m:t>F</m:t>
                        </m:r>
                      </m:e>
                      <m:sub>
                        <m:r>
                          <w:rPr>
                            <w:rFonts w:ascii="Cambria Math" w:hAnsi="Cambria Math"/>
                          </w:rPr>
                          <m:t>m</m:t>
                        </m:r>
                        <m:r>
                          <w:rPr>
                            <w:rFonts w:ascii="Cambria Math" w:hAnsi="Cambria Math"/>
                          </w:rPr>
                          <m:t>(</m:t>
                        </m:r>
                        <m:r>
                          <w:rPr>
                            <w:rFonts w:ascii="Cambria Math" w:hAnsi="Cambria Math"/>
                          </w:rPr>
                          <m:t>R</m:t>
                        </m:r>
                        <m:r>
                          <w:rPr>
                            <w:rFonts w:ascii="Cambria Math" w:hAnsi="Cambria Math"/>
                          </w:rPr>
                          <m:t>)</m:t>
                        </m:r>
                      </m:sub>
                    </m:sSub>
                  </m:e>
                </m:bar>
                <m:r>
                  <w:rPr>
                    <w:rFonts w:ascii="Cambria Math" w:hAnsi="Cambria Math"/>
                  </w:rPr>
                  <m:t>=</m:t>
                </m:r>
                <m:sSub>
                  <m:sSubPr>
                    <m:ctrlPr>
                      <w:rPr>
                        <w:rFonts w:ascii="Cambria Math" w:hAnsi="Cambria Math"/>
                        <w:i/>
                      </w:rPr>
                    </m:ctrlPr>
                  </m:sSubPr>
                  <m:e>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r>
                      <w:rPr>
                        <w:rFonts w:ascii="Cambria Math" w:hAnsi="Cambria Math"/>
                      </w:rPr>
                      <m:t>μ</m:t>
                    </m:r>
                  </m:e>
                  <m:sub>
                    <m:r>
                      <w:rPr>
                        <w:rFonts w:ascii="Cambria Math" w:hAnsi="Cambria Math"/>
                      </w:rPr>
                      <m:t>0</m:t>
                    </m:r>
                  </m:sub>
                </m:sSub>
                <m:sSup>
                  <m:sSupPr>
                    <m:ctrlPr>
                      <w:rPr>
                        <w:rFonts w:ascii="Cambria Math" w:hAnsi="Cambria Math"/>
                        <w:i/>
                      </w:rPr>
                    </m:ctrlPr>
                  </m:sSupPr>
                  <m:e>
                    <m:r>
                      <w:rPr>
                        <w:rFonts w:ascii="Cambria Math" w:hAnsi="Cambria Math"/>
                      </w:rPr>
                      <m:t>χ</m:t>
                    </m:r>
                  </m:e>
                  <m:sup>
                    <m:r>
                      <w:rPr>
                        <w:rFonts w:ascii="Cambria Math" w:hAnsi="Cambria Math"/>
                      </w:rPr>
                      <m:t>2</m:t>
                    </m:r>
                  </m:sup>
                </m:sSup>
                <m:sSubSup>
                  <m:sSubSupPr>
                    <m:ctrlPr>
                      <w:rPr>
                        <w:rFonts w:ascii="Cambria Math" w:hAnsi="Cambria Math"/>
                        <w:i/>
                      </w:rPr>
                    </m:ctrlPr>
                  </m:sSubSupPr>
                  <m:e>
                    <m:r>
                      <w:rPr>
                        <w:rFonts w:ascii="Cambria Math" w:hAnsi="Cambria Math"/>
                      </w:rPr>
                      <m:t>I</m:t>
                    </m:r>
                  </m:e>
                  <m:sub>
                    <m:r>
                      <w:rPr>
                        <w:rFonts w:ascii="Cambria Math" w:hAnsi="Cambria Math"/>
                      </w:rPr>
                      <m:t>ac</m:t>
                    </m:r>
                  </m:sub>
                  <m:sup>
                    <m:r>
                      <w:rPr>
                        <w:rFonts w:ascii="Cambria Math" w:hAnsi="Cambria Math"/>
                      </w:rPr>
                      <m:t>2</m:t>
                    </m:r>
                  </m:sup>
                </m:sSubSup>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i/>
                          </w:rPr>
                        </m:ctrlPr>
                      </m:sSubSupPr>
                      <m:e>
                        <m:r>
                          <m:rPr>
                            <m:sty m:val="bi"/>
                          </m:rPr>
                          <w:rPr>
                            <w:rFonts w:ascii="Cambria Math" w:hAnsi="Cambria Math"/>
                          </w:rPr>
                          <m:t>a</m:t>
                        </m:r>
                      </m:e>
                      <m:sub>
                        <m:d>
                          <m:dPr>
                            <m:ctrlPr>
                              <w:rPr>
                                <w:rFonts w:ascii="Cambria Math" w:hAnsi="Cambria Math"/>
                                <w:i/>
                              </w:rPr>
                            </m:ctrlPr>
                          </m:dPr>
                          <m:e>
                            <m:r>
                              <w:rPr>
                                <w:rFonts w:ascii="Cambria Math" w:hAnsi="Cambria Math"/>
                              </w:rPr>
                              <m:t>R</m:t>
                            </m:r>
                          </m:e>
                        </m:d>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bi"/>
                          </m:rPr>
                          <w:rPr>
                            <w:rFonts w:ascii="Cambria Math" w:hAnsi="Cambria Math"/>
                          </w:rPr>
                          <m:t>b</m:t>
                        </m:r>
                      </m:e>
                      <m:sub>
                        <m:d>
                          <m:dPr>
                            <m:ctrlPr>
                              <w:rPr>
                                <w:rFonts w:ascii="Cambria Math" w:hAnsi="Cambria Math"/>
                                <w:i/>
                              </w:rPr>
                            </m:ctrlPr>
                          </m:dPr>
                          <m:e>
                            <m:r>
                              <w:rPr>
                                <w:rFonts w:ascii="Cambria Math" w:hAnsi="Cambria Math"/>
                              </w:rPr>
                              <m:t>R</m:t>
                            </m:r>
                          </m:e>
                        </m:d>
                      </m:sub>
                      <m:sup>
                        <m:r>
                          <w:rPr>
                            <w:rFonts w:ascii="Cambria Math" w:hAnsi="Cambria Math"/>
                          </w:rPr>
                          <m:t>2</m:t>
                        </m:r>
                      </m:sup>
                    </m:sSubSup>
                  </m:e>
                </m:d>
              </m:oMath>
            </m:oMathPara>
          </w:p>
        </w:tc>
        <w:tc>
          <w:tcPr>
            <w:tcW w:w="507" w:type="pct"/>
            <w:vAlign w:val="center"/>
          </w:tcPr>
          <w:p w14:paraId="5160A85E" w14:textId="65F260D8" w:rsidR="00406EF8" w:rsidRPr="00FC71BE" w:rsidRDefault="00406EF8">
            <w:pPr>
              <w:pStyle w:val="equation"/>
              <w:rPr>
                <w:i/>
                <w:color w:val="auto"/>
              </w:rPr>
            </w:pPr>
            <w:bookmarkStart w:id="335" w:name="_Ref141206901"/>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26</w:t>
            </w:r>
            <w:r w:rsidR="002839C4" w:rsidRPr="00FC71BE">
              <w:rPr>
                <w:color w:val="auto"/>
              </w:rPr>
              <w:fldChar w:fldCharType="end"/>
            </w:r>
            <w:r w:rsidRPr="00FC71BE">
              <w:rPr>
                <w:color w:val="auto"/>
              </w:rPr>
              <w:t>)</w:t>
            </w:r>
            <w:bookmarkEnd w:id="335"/>
          </w:p>
        </w:tc>
      </w:tr>
    </w:tbl>
    <w:p w14:paraId="0B9DFF61" w14:textId="77777777" w:rsidR="00406EF8" w:rsidRPr="00FC71BE" w:rsidRDefault="00406EF8" w:rsidP="00406EF8">
      <w:r w:rsidRPr="00FC71BE">
        <w:t xml:space="preserve">If the machines operate under DC with a current of </w:t>
      </w:r>
      <m:oMath>
        <m:sSub>
          <m:sSubPr>
            <m:ctrlPr>
              <w:rPr>
                <w:rFonts w:ascii="Cambria Math" w:hAnsi="Cambria Math"/>
                <w:i/>
              </w:rPr>
            </m:ctrlPr>
          </m:sSubPr>
          <m:e>
            <m:r>
              <w:rPr>
                <w:rFonts w:ascii="Cambria Math" w:hAnsi="Cambria Math"/>
              </w:rPr>
              <m:t>I</m:t>
            </m:r>
          </m:e>
          <m:sub>
            <m:r>
              <w:rPr>
                <w:rFonts w:ascii="Cambria Math" w:hAnsi="Cambria Math"/>
              </w:rPr>
              <m:t>dc</m:t>
            </m:r>
          </m:sub>
        </m:sSub>
      </m:oMath>
      <w:r w:rsidRPr="00FC71BE">
        <w:t xml:space="preserve">, </w:t>
      </w:r>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r>
              <w:rPr>
                <w:rFonts w:ascii="Cambria Math" w:hAnsi="Cambria Math"/>
              </w:rPr>
              <m:t>_dc</m:t>
            </m:r>
          </m:sub>
        </m:sSub>
      </m:oMath>
      <w:r w:rsidRPr="00FC71BE">
        <w:t xml:space="preserve"> and </w:t>
      </w:r>
      <m:oMath>
        <m:sSub>
          <m:sSubPr>
            <m:ctrlPr>
              <w:rPr>
                <w:rFonts w:ascii="Cambria Math" w:hAnsi="Cambria Math"/>
                <w:i/>
              </w:rPr>
            </m:ctrlPr>
          </m:sSubPr>
          <m:e>
            <m:r>
              <m:rPr>
                <m:sty m:val="bi"/>
              </m:rPr>
              <w:rPr>
                <w:rFonts w:ascii="Cambria Math" w:hAnsi="Cambria Math"/>
              </w:rPr>
              <m:t>F</m:t>
            </m:r>
          </m:e>
          <m:sub>
            <m:r>
              <w:rPr>
                <w:rFonts w:ascii="Cambria Math" w:hAnsi="Cambria Math"/>
              </w:rPr>
              <m:t>m(R)_dc</m:t>
            </m:r>
          </m:sub>
        </m:sSub>
      </m:oMath>
      <w:r w:rsidRPr="00FC71BE">
        <w:t xml:space="preserve"> are derived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D235A29" w14:textId="77777777">
        <w:tc>
          <w:tcPr>
            <w:tcW w:w="4493" w:type="pct"/>
            <w:vAlign w:val="center"/>
          </w:tcPr>
          <w:p w14:paraId="475AEAF4" w14:textId="77777777" w:rsidR="00406EF8" w:rsidRPr="00FC71BE" w:rsidRDefault="002143AD">
            <w:pPr>
              <w:ind w:left="340" w:firstLine="0"/>
            </w:pPr>
            <m:oMathPara>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r>
                      <w:rPr>
                        <w:rFonts w:ascii="Cambria Math" w:hAnsi="Cambria Math"/>
                      </w:rPr>
                      <m:t>_</m:t>
                    </m:r>
                    <m:r>
                      <w:rPr>
                        <w:rFonts w:ascii="Cambria Math" w:hAnsi="Cambria Math"/>
                      </w:rPr>
                      <m:t>dc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dc</m:t>
                    </m:r>
                  </m:sub>
                </m:sSub>
                <m:r>
                  <w:rPr>
                    <w:rFonts w:ascii="Cambria Math" w:hAnsi="Cambria Math"/>
                  </w:rPr>
                  <m:t>∙</m:t>
                </m:r>
                <m:sSub>
                  <m:sSubPr>
                    <m:ctrlPr>
                      <w:rPr>
                        <w:rFonts w:ascii="Cambria Math" w:hAnsi="Cambria Math"/>
                        <w:i/>
                      </w:rPr>
                    </m:ctrlPr>
                  </m:sSubPr>
                  <m:e>
                    <m:r>
                      <m:rPr>
                        <m:sty m:val="bi"/>
                      </m:rPr>
                      <w:rPr>
                        <w:rFonts w:ascii="Cambria Math" w:hAnsi="Cambria Math"/>
                      </w:rPr>
                      <m:t>c</m:t>
                    </m:r>
                  </m:e>
                  <m:sub>
                    <m:d>
                      <m:dPr>
                        <m:ctrlPr>
                          <w:rPr>
                            <w:rFonts w:ascii="Cambria Math" w:hAnsi="Cambria Math"/>
                            <w:i/>
                          </w:rPr>
                        </m:ctrlPr>
                      </m:dPr>
                      <m:e>
                        <m:r>
                          <w:rPr>
                            <w:rFonts w:ascii="Cambria Math" w:hAnsi="Cambria Math"/>
                          </w:rPr>
                          <m:t>R</m:t>
                        </m:r>
                      </m:e>
                    </m:d>
                  </m:sub>
                </m:sSub>
              </m:oMath>
            </m:oMathPara>
          </w:p>
        </w:tc>
        <w:tc>
          <w:tcPr>
            <w:tcW w:w="507" w:type="pct"/>
            <w:vAlign w:val="center"/>
          </w:tcPr>
          <w:p w14:paraId="05F46DC2" w14:textId="4D92D06B"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27</w:t>
            </w:r>
            <w:r w:rsidR="002839C4" w:rsidRPr="00FC71BE">
              <w:rPr>
                <w:color w:val="auto"/>
              </w:rPr>
              <w:fldChar w:fldCharType="end"/>
            </w:r>
            <w:r w:rsidRPr="00FC71BE">
              <w:rPr>
                <w:color w:val="auto"/>
              </w:rPr>
              <w:t>)</w:t>
            </w:r>
          </w:p>
        </w:tc>
      </w:tr>
      <w:tr w:rsidR="00FC71BE" w:rsidRPr="00FC71BE" w14:paraId="1A14A964" w14:textId="77777777">
        <w:tc>
          <w:tcPr>
            <w:tcW w:w="4493" w:type="pct"/>
          </w:tcPr>
          <w:p w14:paraId="20469097" w14:textId="77777777" w:rsidR="00406EF8" w:rsidRPr="00FC71BE" w:rsidRDefault="002143AD">
            <w:pPr>
              <w:ind w:left="340" w:firstLine="0"/>
            </w:pPr>
            <m:oMathPara>
              <m:oMath>
                <m:sSub>
                  <m:sSubPr>
                    <m:ctrlPr>
                      <w:rPr>
                        <w:rFonts w:ascii="Cambria Math" w:hAnsi="Cambria Math"/>
                        <w:i/>
                      </w:rPr>
                    </m:ctrlPr>
                  </m:sSubPr>
                  <m:e>
                    <m:r>
                      <m:rPr>
                        <m:sty m:val="bi"/>
                      </m:rPr>
                      <w:rPr>
                        <w:rFonts w:ascii="Cambria Math" w:hAnsi="Cambria Math"/>
                      </w:rPr>
                      <m:t>F</m:t>
                    </m:r>
                  </m:e>
                  <m:sub>
                    <m:r>
                      <w:rPr>
                        <w:rFonts w:ascii="Cambria Math" w:hAnsi="Cambria Math"/>
                      </w:rPr>
                      <m:t>m</m:t>
                    </m:r>
                    <m:r>
                      <w:rPr>
                        <w:rFonts w:ascii="Cambria Math" w:hAnsi="Cambria Math"/>
                      </w:rPr>
                      <m:t>(</m:t>
                    </m:r>
                    <m:r>
                      <w:rPr>
                        <w:rFonts w:ascii="Cambria Math" w:hAnsi="Cambria Math"/>
                      </w:rPr>
                      <m:t>R</m:t>
                    </m:r>
                    <m:r>
                      <w:rPr>
                        <w:rFonts w:ascii="Cambria Math" w:hAnsi="Cambria Math"/>
                      </w:rPr>
                      <m:t>)_</m:t>
                    </m:r>
                    <m:r>
                      <w:rPr>
                        <w:rFonts w:ascii="Cambria Math" w:hAnsi="Cambria Math"/>
                      </w:rPr>
                      <m:t>dc</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p>
                  <m:sSupPr>
                    <m:ctrlPr>
                      <w:rPr>
                        <w:rFonts w:ascii="Cambria Math" w:hAnsi="Cambria Math"/>
                        <w:i/>
                      </w:rPr>
                    </m:ctrlPr>
                  </m:sSupPr>
                  <m:e>
                    <m:r>
                      <w:rPr>
                        <w:rFonts w:ascii="Cambria Math" w:hAnsi="Cambria Math"/>
                      </w:rPr>
                      <m:t>χ</m:t>
                    </m:r>
                  </m:e>
                  <m:sup>
                    <m:r>
                      <w:rPr>
                        <w:rFonts w:ascii="Cambria Math" w:hAnsi="Cambria Math"/>
                      </w:rPr>
                      <m:t>2</m:t>
                    </m:r>
                  </m:sup>
                </m:sSup>
                <m:sSubSup>
                  <m:sSubSupPr>
                    <m:ctrlPr>
                      <w:rPr>
                        <w:rFonts w:ascii="Cambria Math" w:hAnsi="Cambria Math"/>
                        <w:i/>
                      </w:rPr>
                    </m:ctrlPr>
                  </m:sSubSupPr>
                  <m:e>
                    <m:r>
                      <w:rPr>
                        <w:rFonts w:ascii="Cambria Math" w:hAnsi="Cambria Math"/>
                      </w:rPr>
                      <m:t>I</m:t>
                    </m:r>
                  </m:e>
                  <m:sub>
                    <m:r>
                      <w:rPr>
                        <w:rFonts w:ascii="Cambria Math" w:hAnsi="Cambria Math"/>
                      </w:rPr>
                      <m:t>dc</m:t>
                    </m:r>
                  </m:sub>
                  <m:sup>
                    <m:r>
                      <w:rPr>
                        <w:rFonts w:ascii="Cambria Math" w:hAnsi="Cambria Math"/>
                      </w:rPr>
                      <m:t>2</m:t>
                    </m:r>
                  </m:sup>
                </m:sSubSup>
                <m:r>
                  <m:rPr>
                    <m:sty m:val="p"/>
                  </m:rPr>
                  <w:rPr>
                    <w:rFonts w:ascii="Cambria Math" w:hAnsi="Cambria Math"/>
                  </w:rPr>
                  <m:t>∇</m:t>
                </m:r>
                <m:sSubSup>
                  <m:sSubSupPr>
                    <m:ctrlPr>
                      <w:rPr>
                        <w:rFonts w:ascii="Cambria Math" w:hAnsi="Cambria Math"/>
                        <w:i/>
                      </w:rPr>
                    </m:ctrlPr>
                  </m:sSubSupPr>
                  <m:e>
                    <m:r>
                      <m:rPr>
                        <m:sty m:val="bi"/>
                      </m:rPr>
                      <w:rPr>
                        <w:rFonts w:ascii="Cambria Math" w:hAnsi="Cambria Math"/>
                      </w:rPr>
                      <m:t>c</m:t>
                    </m:r>
                  </m:e>
                  <m:sub>
                    <m:d>
                      <m:dPr>
                        <m:ctrlPr>
                          <w:rPr>
                            <w:rFonts w:ascii="Cambria Math" w:hAnsi="Cambria Math"/>
                            <w:i/>
                          </w:rPr>
                        </m:ctrlPr>
                      </m:dPr>
                      <m:e>
                        <m:r>
                          <w:rPr>
                            <w:rFonts w:ascii="Cambria Math" w:hAnsi="Cambria Math"/>
                          </w:rPr>
                          <m:t>R</m:t>
                        </m:r>
                      </m:e>
                    </m:d>
                  </m:sub>
                  <m:sup>
                    <m:r>
                      <w:rPr>
                        <w:rFonts w:ascii="Cambria Math" w:hAnsi="Cambria Math"/>
                      </w:rPr>
                      <m:t>2</m:t>
                    </m:r>
                  </m:sup>
                </m:sSubSup>
              </m:oMath>
            </m:oMathPara>
          </w:p>
        </w:tc>
        <w:tc>
          <w:tcPr>
            <w:tcW w:w="507" w:type="pct"/>
          </w:tcPr>
          <w:p w14:paraId="4E25C573" w14:textId="206B8F71" w:rsidR="00406EF8" w:rsidRPr="00FC71BE" w:rsidRDefault="00406EF8">
            <w:pPr>
              <w:pStyle w:val="equation"/>
              <w:rPr>
                <w:i/>
                <w:color w:val="auto"/>
              </w:rPr>
            </w:pPr>
            <w:bookmarkStart w:id="336" w:name="_Ref141206908"/>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28</w:t>
            </w:r>
            <w:r w:rsidR="002839C4" w:rsidRPr="00FC71BE">
              <w:rPr>
                <w:color w:val="auto"/>
              </w:rPr>
              <w:fldChar w:fldCharType="end"/>
            </w:r>
            <w:r w:rsidRPr="00FC71BE">
              <w:rPr>
                <w:color w:val="auto"/>
              </w:rPr>
              <w:t>)</w:t>
            </w:r>
            <w:bookmarkEnd w:id="336"/>
          </w:p>
        </w:tc>
      </w:tr>
    </w:tbl>
    <w:p w14:paraId="25B3284A" w14:textId="3E7ADC34" w:rsidR="00406EF8" w:rsidRPr="00FC71BE" w:rsidRDefault="00406EF8" w:rsidP="00406EF8">
      <w:pPr>
        <w:ind w:firstLine="0"/>
      </w:pPr>
      <w:r w:rsidRPr="00FC71BE">
        <w:t xml:space="preserve">where </w:t>
      </w:r>
      <m:oMath>
        <m:sSub>
          <m:sSubPr>
            <m:ctrlPr>
              <w:rPr>
                <w:rFonts w:ascii="Cambria Math" w:hAnsi="Cambria Math"/>
                <w:i/>
              </w:rPr>
            </m:ctrlPr>
          </m:sSubPr>
          <m:e>
            <m:r>
              <m:rPr>
                <m:sty m:val="bi"/>
              </m:rPr>
              <w:rPr>
                <w:rFonts w:ascii="Cambria Math" w:hAnsi="Cambria Math"/>
              </w:rPr>
              <m:t>c</m:t>
            </m:r>
          </m:e>
          <m:sub>
            <m:d>
              <m:dPr>
                <m:ctrlPr>
                  <w:rPr>
                    <w:rFonts w:ascii="Cambria Math" w:hAnsi="Cambria Math"/>
                    <w:i/>
                  </w:rPr>
                </m:ctrlPr>
              </m:dPr>
              <m:e>
                <m:r>
                  <w:rPr>
                    <w:rFonts w:ascii="Cambria Math" w:hAnsi="Cambria Math"/>
                  </w:rPr>
                  <m:t>R</m:t>
                </m:r>
              </m:e>
            </m:d>
          </m:sub>
        </m:sSub>
      </m:oMath>
      <w:r w:rsidRPr="00FC71BE">
        <w:t xml:space="preserve"> is also a position dependent constant, same as </w:t>
      </w:r>
      <m:oMath>
        <m:sSub>
          <m:sSubPr>
            <m:ctrlPr>
              <w:rPr>
                <w:rFonts w:ascii="Cambria Math" w:hAnsi="Cambria Math"/>
                <w:i/>
              </w:rPr>
            </m:ctrlPr>
          </m:sSubPr>
          <m:e>
            <m:r>
              <m:rPr>
                <m:sty m:val="bi"/>
              </m:rPr>
              <w:rPr>
                <w:rFonts w:ascii="Cambria Math" w:hAnsi="Cambria Math"/>
              </w:rPr>
              <m:t>a</m:t>
            </m:r>
          </m:e>
          <m:sub>
            <m:d>
              <m:dPr>
                <m:ctrlPr>
                  <w:rPr>
                    <w:rFonts w:ascii="Cambria Math" w:hAnsi="Cambria Math"/>
                    <w:i/>
                  </w:rPr>
                </m:ctrlPr>
              </m:dPr>
              <m:e>
                <m:r>
                  <w:rPr>
                    <w:rFonts w:ascii="Cambria Math" w:hAnsi="Cambria Math"/>
                  </w:rPr>
                  <m:t>R</m:t>
                </m:r>
              </m:e>
            </m:d>
          </m:sub>
        </m:sSub>
      </m:oMath>
      <w:r w:rsidRPr="00FC71BE">
        <w:t xml:space="preserve"> and </w:t>
      </w:r>
      <m:oMath>
        <m:sSub>
          <m:sSubPr>
            <m:ctrlPr>
              <w:rPr>
                <w:rFonts w:ascii="Cambria Math" w:hAnsi="Cambria Math"/>
                <w:i/>
              </w:rPr>
            </m:ctrlPr>
          </m:sSubPr>
          <m:e>
            <m:r>
              <m:rPr>
                <m:sty m:val="bi"/>
              </m:rPr>
              <w:rPr>
                <w:rFonts w:ascii="Cambria Math" w:hAnsi="Cambria Math"/>
              </w:rPr>
              <m:t>b</m:t>
            </m:r>
          </m:e>
          <m:sub>
            <m:d>
              <m:dPr>
                <m:ctrlPr>
                  <w:rPr>
                    <w:rFonts w:ascii="Cambria Math" w:hAnsi="Cambria Math"/>
                    <w:i/>
                  </w:rPr>
                </m:ctrlPr>
              </m:dPr>
              <m:e>
                <m:r>
                  <w:rPr>
                    <w:rFonts w:ascii="Cambria Math" w:hAnsi="Cambria Math"/>
                  </w:rPr>
                  <m:t>R</m:t>
                </m:r>
              </m:e>
            </m:d>
          </m:sub>
        </m:sSub>
      </m:oMath>
      <w:r w:rsidRPr="00FC71BE">
        <w:t xml:space="preserve">. Comparing </w:t>
      </w:r>
      <w:r w:rsidRPr="00FC71BE">
        <w:fldChar w:fldCharType="begin"/>
      </w:r>
      <w:r w:rsidRPr="00FC71BE">
        <w:instrText xml:space="preserve"> REF _Ref141206901 \h </w:instrText>
      </w:r>
      <w:r w:rsidRPr="00FC71BE">
        <w:fldChar w:fldCharType="separate"/>
      </w:r>
      <w:r w:rsidR="007E62C1" w:rsidRPr="00FC71BE">
        <w:t>(</w:t>
      </w:r>
      <w:r w:rsidR="007E62C1" w:rsidRPr="00FC71BE">
        <w:rPr>
          <w:noProof/>
        </w:rPr>
        <w:t>5</w:t>
      </w:r>
      <w:r w:rsidR="007E62C1" w:rsidRPr="00FC71BE">
        <w:t>.</w:t>
      </w:r>
      <w:r w:rsidR="007E62C1" w:rsidRPr="00FC71BE">
        <w:rPr>
          <w:noProof/>
        </w:rPr>
        <w:t>26</w:t>
      </w:r>
      <w:r w:rsidR="007E62C1" w:rsidRPr="00FC71BE">
        <w:t>)</w:t>
      </w:r>
      <w:r w:rsidRPr="00FC71BE">
        <w:fldChar w:fldCharType="end"/>
      </w:r>
      <w:r w:rsidRPr="00FC71BE">
        <w:t xml:space="preserve"> and </w:t>
      </w:r>
      <w:r w:rsidRPr="00FC71BE">
        <w:fldChar w:fldCharType="begin"/>
      </w:r>
      <w:r w:rsidRPr="00FC71BE">
        <w:instrText xml:space="preserve"> REF _Ref141206908 \h </w:instrText>
      </w:r>
      <w:r w:rsidRPr="00FC71BE">
        <w:fldChar w:fldCharType="separate"/>
      </w:r>
      <w:r w:rsidR="007E62C1" w:rsidRPr="00FC71BE">
        <w:t>(</w:t>
      </w:r>
      <w:r w:rsidR="007E62C1" w:rsidRPr="00FC71BE">
        <w:rPr>
          <w:noProof/>
        </w:rPr>
        <w:t>5</w:t>
      </w:r>
      <w:r w:rsidR="007E62C1" w:rsidRPr="00FC71BE">
        <w:t>.</w:t>
      </w:r>
      <w:r w:rsidR="007E62C1" w:rsidRPr="00FC71BE">
        <w:rPr>
          <w:noProof/>
        </w:rPr>
        <w:t>28</w:t>
      </w:r>
      <w:r w:rsidR="007E62C1" w:rsidRPr="00FC71BE">
        <w:t>)</w:t>
      </w:r>
      <w:r w:rsidRPr="00FC71BE">
        <w:fldChar w:fldCharType="end"/>
      </w:r>
      <w:r w:rsidRPr="00FC71BE">
        <w:t>, the magnetic body force for AC and DC can be equal when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2390858" w14:textId="77777777">
        <w:tc>
          <w:tcPr>
            <w:tcW w:w="4493" w:type="pct"/>
            <w:vAlign w:val="center"/>
          </w:tcPr>
          <w:p w14:paraId="651D52E2" w14:textId="77777777" w:rsidR="00406EF8" w:rsidRPr="00FC71BE" w:rsidRDefault="002143AD">
            <w:pPr>
              <w:ind w:left="340" w:firstLine="0"/>
            </w:pPr>
            <m:oMathPara>
              <m:oMath>
                <m:sSub>
                  <m:sSubPr>
                    <m:ctrlPr>
                      <w:rPr>
                        <w:rFonts w:ascii="Cambria Math" w:hAnsi="Cambria Math"/>
                        <w:i/>
                      </w:rPr>
                    </m:ctrlPr>
                  </m:sSubPr>
                  <m:e>
                    <m:r>
                      <w:rPr>
                        <w:rFonts w:ascii="Cambria Math" w:hAnsi="Cambria Math"/>
                      </w:rPr>
                      <m:t>I</m:t>
                    </m:r>
                  </m:e>
                  <m:sub>
                    <m:r>
                      <w:rPr>
                        <w:rFonts w:ascii="Cambria Math" w:hAnsi="Cambria Math"/>
                      </w:rPr>
                      <m:t>dc</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ac</m:t>
                        </m:r>
                      </m:sub>
                    </m:sSub>
                  </m:num>
                  <m:den>
                    <m:rad>
                      <m:radPr>
                        <m:degHide m:val="1"/>
                        <m:ctrlPr>
                          <w:rPr>
                            <w:rFonts w:ascii="Cambria Math" w:hAnsi="Cambria Math"/>
                            <w:i/>
                          </w:rPr>
                        </m:ctrlPr>
                      </m:radPr>
                      <m:deg/>
                      <m:e>
                        <m:r>
                          <w:rPr>
                            <w:rFonts w:ascii="Cambria Math" w:hAnsi="Cambria Math"/>
                          </w:rPr>
                          <m:t>2</m:t>
                        </m:r>
                      </m:e>
                    </m:rad>
                  </m:den>
                </m:f>
                <m:r>
                  <w:rPr>
                    <w:rFonts w:ascii="Cambria Math" w:hAnsi="Cambria Math"/>
                  </w:rPr>
                  <m:t>∙</m:t>
                </m:r>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m:oMathPara>
          </w:p>
        </w:tc>
        <w:tc>
          <w:tcPr>
            <w:tcW w:w="507" w:type="pct"/>
            <w:vAlign w:val="center"/>
          </w:tcPr>
          <w:p w14:paraId="31018431" w14:textId="7D7446CC" w:rsidR="00406EF8" w:rsidRPr="00FC71BE" w:rsidRDefault="00406EF8">
            <w:pPr>
              <w:pStyle w:val="equation"/>
              <w:rPr>
                <w:i/>
                <w:color w:val="auto"/>
              </w:rPr>
            </w:pPr>
            <w:bookmarkStart w:id="337" w:name="_Ref141207342"/>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29</w:t>
            </w:r>
            <w:r w:rsidR="002839C4" w:rsidRPr="00FC71BE">
              <w:rPr>
                <w:color w:val="auto"/>
              </w:rPr>
              <w:fldChar w:fldCharType="end"/>
            </w:r>
            <w:r w:rsidRPr="00FC71BE">
              <w:rPr>
                <w:color w:val="auto"/>
              </w:rPr>
              <w:t>)</w:t>
            </w:r>
            <w:bookmarkEnd w:id="337"/>
          </w:p>
        </w:tc>
      </w:tr>
    </w:tbl>
    <w:p w14:paraId="0101E8D2" w14:textId="77777777" w:rsidR="00406EF8" w:rsidRPr="00FC71BE" w:rsidRDefault="00406EF8" w:rsidP="00406EF8">
      <w:pPr>
        <w:ind w:firstLine="0"/>
      </w:pPr>
      <w:r w:rsidRPr="00FC71BE">
        <w:t xml:space="preserve">where the position dependent coefficient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is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55F81FC6" w14:textId="77777777">
        <w:tc>
          <w:tcPr>
            <w:tcW w:w="4493" w:type="pct"/>
            <w:vAlign w:val="center"/>
          </w:tcPr>
          <w:p w14:paraId="414D7364" w14:textId="77777777" w:rsidR="00406EF8" w:rsidRPr="00FC71BE" w:rsidRDefault="002143AD">
            <w:pPr>
              <w:ind w:left="340" w:firstLine="0"/>
            </w:pPr>
            <m:oMathPara>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r>
                  <w:rPr>
                    <w:rFonts w:ascii="Cambria Math" w:hAnsi="Cambria Math"/>
                  </w:rPr>
                  <m:t>=</m:t>
                </m:r>
                <m:f>
                  <m:fPr>
                    <m:ctrlPr>
                      <w:rPr>
                        <w:rFonts w:ascii="Cambria Math" w:hAnsi="Cambria Math"/>
                        <w:i/>
                      </w:rPr>
                    </m:ctrlPr>
                  </m:fPr>
                  <m:num>
                    <m:rad>
                      <m:radPr>
                        <m:degHide m:val="1"/>
                        <m:ctrlPr>
                          <w:rPr>
                            <w:rFonts w:ascii="Cambria Math" w:hAnsi="Cambria Math"/>
                            <w:i/>
                          </w:rPr>
                        </m:ctrlPr>
                      </m:radPr>
                      <m:deg/>
                      <m:e>
                        <m:sSubSup>
                          <m:sSubSupPr>
                            <m:ctrlPr>
                              <w:rPr>
                                <w:rFonts w:ascii="Cambria Math" w:hAnsi="Cambria Math"/>
                                <w:i/>
                              </w:rPr>
                            </m:ctrlPr>
                          </m:sSubSupPr>
                          <m:e>
                            <m:r>
                              <m:rPr>
                                <m:sty m:val="bi"/>
                              </m:rPr>
                              <w:rPr>
                                <w:rFonts w:ascii="Cambria Math" w:hAnsi="Cambria Math"/>
                              </w:rPr>
                              <m:t>a</m:t>
                            </m:r>
                          </m:e>
                          <m:sub>
                            <m:d>
                              <m:dPr>
                                <m:ctrlPr>
                                  <w:rPr>
                                    <w:rFonts w:ascii="Cambria Math" w:hAnsi="Cambria Math"/>
                                    <w:i/>
                                  </w:rPr>
                                </m:ctrlPr>
                              </m:dPr>
                              <m:e>
                                <m:r>
                                  <w:rPr>
                                    <w:rFonts w:ascii="Cambria Math" w:hAnsi="Cambria Math"/>
                                  </w:rPr>
                                  <m:t>R</m:t>
                                </m:r>
                              </m:e>
                            </m:d>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bi"/>
                              </m:rPr>
                              <w:rPr>
                                <w:rFonts w:ascii="Cambria Math" w:hAnsi="Cambria Math"/>
                              </w:rPr>
                              <m:t>b</m:t>
                            </m:r>
                          </m:e>
                          <m:sub>
                            <m:d>
                              <m:dPr>
                                <m:ctrlPr>
                                  <w:rPr>
                                    <w:rFonts w:ascii="Cambria Math" w:hAnsi="Cambria Math"/>
                                    <w:i/>
                                  </w:rPr>
                                </m:ctrlPr>
                              </m:dPr>
                              <m:e>
                                <m:r>
                                  <w:rPr>
                                    <w:rFonts w:ascii="Cambria Math" w:hAnsi="Cambria Math"/>
                                  </w:rPr>
                                  <m:t>R</m:t>
                                </m:r>
                              </m:e>
                            </m:d>
                          </m:sub>
                          <m:sup>
                            <m:r>
                              <w:rPr>
                                <w:rFonts w:ascii="Cambria Math" w:hAnsi="Cambria Math"/>
                              </w:rPr>
                              <m:t>2</m:t>
                            </m:r>
                          </m:sup>
                        </m:sSubSup>
                      </m:e>
                    </m:rad>
                  </m:num>
                  <m:den>
                    <m:sSub>
                      <m:sSubPr>
                        <m:ctrlPr>
                          <w:rPr>
                            <w:rFonts w:ascii="Cambria Math" w:hAnsi="Cambria Math"/>
                            <w:i/>
                          </w:rPr>
                        </m:ctrlPr>
                      </m:sSubPr>
                      <m:e>
                        <m:r>
                          <m:rPr>
                            <m:sty m:val="bi"/>
                          </m:rPr>
                          <w:rPr>
                            <w:rFonts w:ascii="Cambria Math" w:hAnsi="Cambria Math"/>
                          </w:rPr>
                          <m:t>c</m:t>
                        </m:r>
                      </m:e>
                      <m:sub>
                        <m:d>
                          <m:dPr>
                            <m:ctrlPr>
                              <w:rPr>
                                <w:rFonts w:ascii="Cambria Math" w:hAnsi="Cambria Math"/>
                                <w:i/>
                              </w:rPr>
                            </m:ctrlPr>
                          </m:dPr>
                          <m:e>
                            <m:r>
                              <w:rPr>
                                <w:rFonts w:ascii="Cambria Math" w:hAnsi="Cambria Math"/>
                              </w:rPr>
                              <m:t>R</m:t>
                            </m:r>
                          </m:e>
                        </m:d>
                      </m:sub>
                    </m:sSub>
                  </m:den>
                </m:f>
              </m:oMath>
            </m:oMathPara>
          </w:p>
        </w:tc>
        <w:tc>
          <w:tcPr>
            <w:tcW w:w="507" w:type="pct"/>
            <w:vAlign w:val="center"/>
          </w:tcPr>
          <w:p w14:paraId="53509886" w14:textId="4341285B"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30</w:t>
            </w:r>
            <w:r w:rsidR="002839C4" w:rsidRPr="00FC71BE">
              <w:rPr>
                <w:color w:val="auto"/>
              </w:rPr>
              <w:fldChar w:fldCharType="end"/>
            </w:r>
            <w:r w:rsidRPr="00FC71BE">
              <w:rPr>
                <w:color w:val="auto"/>
              </w:rPr>
              <w:t>)</w:t>
            </w:r>
          </w:p>
        </w:tc>
      </w:tr>
    </w:tbl>
    <w:p w14:paraId="2AE7D9A1" w14:textId="77777777" w:rsidR="00406EF8" w:rsidRPr="00FC71BE" w:rsidRDefault="00406EF8" w:rsidP="00AF4190">
      <w:pPr>
        <w:pStyle w:val="ListParagraph"/>
        <w:numPr>
          <w:ilvl w:val="0"/>
          <w:numId w:val="13"/>
        </w:numPr>
      </w:pPr>
      <w:r w:rsidRPr="00FC71BE">
        <w:t>Model 1:</w:t>
      </w:r>
    </w:p>
    <w:p w14:paraId="1B94C224" w14:textId="19093021" w:rsidR="00406EF8" w:rsidRPr="00FC71BE" w:rsidRDefault="00406EF8" w:rsidP="00406EF8">
      <w:r w:rsidRPr="00FC71BE">
        <w:t xml:space="preserve">For the electrical machines that each winding is relatively far apart, for example, the single layer windings, the magnetic field is mostly generated by each winding itself without too much mutual flux from the adjacent windings, </w:t>
      </w:r>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oMath>
      <w:r w:rsidRPr="00FC71BE">
        <w:t xml:space="preserve"> in </w:t>
      </w:r>
      <w:r w:rsidRPr="00FC71BE">
        <w:fldChar w:fldCharType="begin"/>
      </w:r>
      <w:r w:rsidRPr="00FC71BE">
        <w:instrText xml:space="preserve"> REF _Ref141207266 \h </w:instrText>
      </w:r>
      <w:r w:rsidRPr="00FC71BE">
        <w:fldChar w:fldCharType="separate"/>
      </w:r>
      <w:r w:rsidR="007E62C1" w:rsidRPr="00FC71BE">
        <w:t>(</w:t>
      </w:r>
      <w:r w:rsidR="007E62C1" w:rsidRPr="00FC71BE">
        <w:rPr>
          <w:noProof/>
        </w:rPr>
        <w:t>5</w:t>
      </w:r>
      <w:r w:rsidR="007E62C1" w:rsidRPr="00FC71BE">
        <w:t>.</w:t>
      </w:r>
      <w:r w:rsidR="007E62C1" w:rsidRPr="00FC71BE">
        <w:rPr>
          <w:noProof/>
        </w:rPr>
        <w:t>22</w:t>
      </w:r>
      <w:r w:rsidR="007E62C1" w:rsidRPr="00FC71BE">
        <w:t>)</w:t>
      </w:r>
      <w:r w:rsidRPr="00FC71BE">
        <w:fldChar w:fldCharType="end"/>
      </w:r>
      <w:r w:rsidRPr="00FC71BE">
        <w:t xml:space="preserve"> can be simplified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2FD3C48E" w14:textId="77777777">
        <w:tc>
          <w:tcPr>
            <w:tcW w:w="4493" w:type="pct"/>
            <w:vAlign w:val="center"/>
          </w:tcPr>
          <w:p w14:paraId="34E8B1F3" w14:textId="77777777" w:rsidR="00406EF8" w:rsidRPr="00FC71BE" w:rsidRDefault="002143AD">
            <w:pPr>
              <w:ind w:left="340" w:firstLine="0"/>
            </w:pPr>
            <m:oMathPara>
              <m:oMath>
                <m:sSub>
                  <m:sSubPr>
                    <m:ctrlPr>
                      <w:rPr>
                        <w:rFonts w:ascii="Cambria Math" w:hAnsi="Cambria Math"/>
                        <w:i/>
                      </w:rPr>
                    </m:ctrlPr>
                  </m:sSubPr>
                  <m:e>
                    <m:r>
                      <m:rPr>
                        <m:sty m:val="bi"/>
                      </m:rPr>
                      <w:rPr>
                        <w:rFonts w:ascii="Cambria Math" w:hAnsi="Cambria Math"/>
                      </w:rPr>
                      <m:t>H</m:t>
                    </m:r>
                  </m:e>
                  <m:sub>
                    <m:d>
                      <m:dPr>
                        <m:ctrlPr>
                          <w:rPr>
                            <w:rFonts w:ascii="Cambria Math" w:hAnsi="Cambria Math"/>
                            <w:i/>
                          </w:rPr>
                        </m:ctrlPr>
                      </m:dPr>
                      <m:e>
                        <m:r>
                          <w:rPr>
                            <w:rFonts w:ascii="Cambria Math" w:hAnsi="Cambria Math"/>
                          </w:rPr>
                          <m:t>R</m:t>
                        </m:r>
                      </m:e>
                    </m:d>
                  </m:sub>
                </m:sSub>
                <m:r>
                  <w:rPr>
                    <w:rFonts w:ascii="Cambria Math" w:hAnsi="Cambria Math"/>
                  </w:rPr>
                  <m:t>=</m:t>
                </m:r>
                <m:sSub>
                  <m:sSubPr>
                    <m:ctrlPr>
                      <w:rPr>
                        <w:rFonts w:ascii="Cambria Math" w:hAnsi="Cambria Math"/>
                        <w:i/>
                      </w:rPr>
                    </m:ctrlPr>
                  </m:sSubPr>
                  <m:e>
                    <m:r>
                      <m:rPr>
                        <m:sty m:val="bi"/>
                      </m:rPr>
                      <w:rPr>
                        <w:rFonts w:ascii="Cambria Math" w:hAnsi="Cambria Math"/>
                      </w:rPr>
                      <m:t>k</m:t>
                    </m:r>
                  </m:e>
                  <m:sub>
                    <m:r>
                      <w:rPr>
                        <w:rFonts w:ascii="Cambria Math" w:hAnsi="Cambria Math"/>
                      </w:rPr>
                      <m:t>j</m:t>
                    </m:r>
                    <m:d>
                      <m:dPr>
                        <m:ctrlPr>
                          <w:rPr>
                            <w:rFonts w:ascii="Cambria Math" w:hAnsi="Cambria Math"/>
                            <w:i/>
                          </w:rPr>
                        </m:ctrlPr>
                      </m:dPr>
                      <m:e>
                        <m:r>
                          <w:rPr>
                            <w:rFonts w:ascii="Cambria Math" w:hAnsi="Cambria Math"/>
                          </w:rPr>
                          <m:t>R</m:t>
                        </m:r>
                      </m:e>
                    </m:d>
                  </m:sub>
                </m:sSub>
                <m:sSub>
                  <m:sSubPr>
                    <m:ctrlPr>
                      <w:rPr>
                        <w:rFonts w:ascii="Cambria Math" w:hAnsi="Cambria Math"/>
                        <w:i/>
                      </w:rPr>
                    </m:ctrlPr>
                  </m:sSubPr>
                  <m:e>
                    <m:r>
                      <w:rPr>
                        <w:rFonts w:ascii="Cambria Math" w:hAnsi="Cambria Math"/>
                      </w:rPr>
                      <m:t>I</m:t>
                    </m:r>
                  </m:e>
                  <m:sub>
                    <m:r>
                      <w:rPr>
                        <w:rFonts w:ascii="Cambria Math" w:hAnsi="Cambria Math"/>
                      </w:rPr>
                      <m:t>j</m:t>
                    </m:r>
                  </m:sub>
                </m:sSub>
              </m:oMath>
            </m:oMathPara>
          </w:p>
        </w:tc>
        <w:tc>
          <w:tcPr>
            <w:tcW w:w="507" w:type="pct"/>
            <w:vAlign w:val="center"/>
          </w:tcPr>
          <w:p w14:paraId="5DFF8D12" w14:textId="63C90C84" w:rsidR="00406EF8" w:rsidRPr="00FC71BE" w:rsidRDefault="00406EF8">
            <w:pPr>
              <w:pStyle w:val="equation"/>
              <w:rPr>
                <w:i/>
                <w:color w:val="auto"/>
              </w:rPr>
            </w:pPr>
            <w:bookmarkStart w:id="338" w:name="_Ref141207457"/>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31</w:t>
            </w:r>
            <w:r w:rsidR="002839C4" w:rsidRPr="00FC71BE">
              <w:rPr>
                <w:color w:val="auto"/>
              </w:rPr>
              <w:fldChar w:fldCharType="end"/>
            </w:r>
            <w:r w:rsidRPr="00FC71BE">
              <w:rPr>
                <w:color w:val="auto"/>
              </w:rPr>
              <w:t>)</w:t>
            </w:r>
            <w:bookmarkEnd w:id="338"/>
          </w:p>
        </w:tc>
      </w:tr>
    </w:tbl>
    <w:p w14:paraId="6A284D55" w14:textId="77777777" w:rsidR="00406EF8" w:rsidRPr="00FC71BE" w:rsidRDefault="00406EF8" w:rsidP="00406EF8">
      <w:pPr>
        <w:ind w:firstLine="0"/>
      </w:pPr>
      <w:r w:rsidRPr="00FC71BE">
        <w:t xml:space="preserve">where </w:t>
      </w:r>
      <w:r w:rsidRPr="00FC71BE">
        <w:rPr>
          <w:i/>
          <w:iCs/>
        </w:rPr>
        <w:t xml:space="preserve">j </w:t>
      </w:r>
      <w:r w:rsidRPr="00FC71BE">
        <w:t>denotes the adjacent winding. Therefore, the position dependent constants can be rewritten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C5938D5" w14:textId="77777777">
        <w:tc>
          <w:tcPr>
            <w:tcW w:w="4493" w:type="pct"/>
            <w:vAlign w:val="center"/>
          </w:tcPr>
          <w:p w14:paraId="272B963D" w14:textId="77777777" w:rsidR="00406EF8" w:rsidRPr="00FC71BE" w:rsidRDefault="002143AD">
            <w:pPr>
              <w:ind w:left="340" w:firstLine="0"/>
            </w:pPr>
            <m:oMathPara>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m:rPr>
                                <m:sty m:val="bi"/>
                              </m:rPr>
                              <w:rPr>
                                <w:rFonts w:ascii="Cambria Math" w:hAnsi="Cambria Math"/>
                              </w:rPr>
                              <m:t>a</m:t>
                            </m:r>
                          </m:e>
                          <m:sub>
                            <m:d>
                              <m:dPr>
                                <m:ctrlPr>
                                  <w:rPr>
                                    <w:rFonts w:ascii="Cambria Math" w:hAnsi="Cambria Math"/>
                                    <w:i/>
                                  </w:rPr>
                                </m:ctrlPr>
                              </m:dPr>
                              <m:e>
                                <m:r>
                                  <w:rPr>
                                    <w:rFonts w:ascii="Cambria Math" w:hAnsi="Cambria Math"/>
                                  </w:rPr>
                                  <m:t>R</m:t>
                                </m:r>
                              </m:e>
                            </m:d>
                          </m:sub>
                        </m:sSub>
                        <m:r>
                          <w:rPr>
                            <w:rFonts w:ascii="Cambria Math" w:hAnsi="Cambria Math"/>
                          </w:rPr>
                          <m:t>=</m:t>
                        </m:r>
                        <m:sSub>
                          <m:sSubPr>
                            <m:ctrlPr>
                              <w:rPr>
                                <w:rFonts w:ascii="Cambria Math" w:hAnsi="Cambria Math"/>
                                <w:i/>
                              </w:rPr>
                            </m:ctrlPr>
                          </m:sSubPr>
                          <m:e>
                            <m:r>
                              <m:rPr>
                                <m:sty m:val="bi"/>
                              </m:rPr>
                              <w:rPr>
                                <w:rFonts w:ascii="Cambria Math" w:hAnsi="Cambria Math"/>
                              </w:rPr>
                              <m:t>c</m:t>
                            </m:r>
                          </m:e>
                          <m:sub>
                            <m:d>
                              <m:dPr>
                                <m:ctrlPr>
                                  <w:rPr>
                                    <w:rFonts w:ascii="Cambria Math" w:hAnsi="Cambria Math"/>
                                    <w:i/>
                                  </w:rPr>
                                </m:ctrlPr>
                              </m:dPr>
                              <m:e>
                                <m:r>
                                  <w:rPr>
                                    <w:rFonts w:ascii="Cambria Math" w:hAnsi="Cambria Math"/>
                                  </w:rPr>
                                  <m:t>R</m:t>
                                </m:r>
                              </m:e>
                            </m:d>
                          </m:sub>
                        </m:sSub>
                        <m:r>
                          <w:rPr>
                            <w:rFonts w:ascii="Cambria Math" w:hAnsi="Cambria Math"/>
                          </w:rPr>
                          <m:t>=</m:t>
                        </m:r>
                        <m:sSub>
                          <m:sSubPr>
                            <m:ctrlPr>
                              <w:rPr>
                                <w:rFonts w:ascii="Cambria Math" w:hAnsi="Cambria Math"/>
                                <w:i/>
                              </w:rPr>
                            </m:ctrlPr>
                          </m:sSubPr>
                          <m:e>
                            <m:r>
                              <m:rPr>
                                <m:sty m:val="bi"/>
                              </m:rPr>
                              <w:rPr>
                                <w:rFonts w:ascii="Cambria Math" w:hAnsi="Cambria Math"/>
                              </w:rPr>
                              <m:t>k</m:t>
                            </m:r>
                          </m:e>
                          <m:sub>
                            <m:r>
                              <w:rPr>
                                <w:rFonts w:ascii="Cambria Math" w:hAnsi="Cambria Math"/>
                              </w:rPr>
                              <m:t>j</m:t>
                            </m:r>
                            <m:d>
                              <m:dPr>
                                <m:ctrlPr>
                                  <w:rPr>
                                    <w:rFonts w:ascii="Cambria Math" w:hAnsi="Cambria Math"/>
                                    <w:i/>
                                  </w:rPr>
                                </m:ctrlPr>
                              </m:dPr>
                              <m:e>
                                <m:r>
                                  <w:rPr>
                                    <w:rFonts w:ascii="Cambria Math" w:hAnsi="Cambria Math"/>
                                  </w:rPr>
                                  <m:t>R</m:t>
                                </m:r>
                              </m:e>
                            </m:d>
                          </m:sub>
                        </m:sSub>
                      </m:e>
                      <m:e>
                        <m:sSub>
                          <m:sSubPr>
                            <m:ctrlPr>
                              <w:rPr>
                                <w:rFonts w:ascii="Cambria Math" w:hAnsi="Cambria Math"/>
                                <w:i/>
                              </w:rPr>
                            </m:ctrlPr>
                          </m:sSubPr>
                          <m:e>
                            <m:r>
                              <m:rPr>
                                <m:sty m:val="bi"/>
                              </m:rPr>
                              <w:rPr>
                                <w:rFonts w:ascii="Cambria Math" w:hAnsi="Cambria Math"/>
                              </w:rPr>
                              <m:t>b</m:t>
                            </m:r>
                          </m:e>
                          <m:sub>
                            <m:d>
                              <m:dPr>
                                <m:ctrlPr>
                                  <w:rPr>
                                    <w:rFonts w:ascii="Cambria Math" w:hAnsi="Cambria Math"/>
                                    <w:i/>
                                  </w:rPr>
                                </m:ctrlPr>
                              </m:dPr>
                              <m:e>
                                <m:r>
                                  <w:rPr>
                                    <w:rFonts w:ascii="Cambria Math" w:hAnsi="Cambria Math"/>
                                  </w:rPr>
                                  <m:t>R</m:t>
                                </m:r>
                              </m:e>
                            </m:d>
                          </m:sub>
                        </m:sSub>
                        <m:r>
                          <w:rPr>
                            <w:rFonts w:ascii="Cambria Math" w:hAnsi="Cambria Math"/>
                          </w:rPr>
                          <m:t>=</m:t>
                        </m:r>
                        <m:sSub>
                          <m:sSubPr>
                            <m:ctrlPr>
                              <w:rPr>
                                <w:rFonts w:ascii="Cambria Math" w:hAnsi="Cambria Math"/>
                                <w:i/>
                              </w:rPr>
                            </m:ctrlPr>
                          </m:sSubPr>
                          <m:e>
                            <m:r>
                              <w:rPr>
                                <w:rFonts w:ascii="Cambria Math" w:hAnsi="Cambria Math"/>
                              </w:rPr>
                              <m:t>ϑ</m:t>
                            </m:r>
                          </m:e>
                          <m:sub>
                            <m:d>
                              <m:dPr>
                                <m:ctrlPr>
                                  <w:rPr>
                                    <w:rFonts w:ascii="Cambria Math" w:hAnsi="Cambria Math"/>
                                    <w:i/>
                                  </w:rPr>
                                </m:ctrlPr>
                              </m:dPr>
                              <m:e>
                                <m:r>
                                  <w:rPr>
                                    <w:rFonts w:ascii="Cambria Math" w:hAnsi="Cambria Math"/>
                                  </w:rPr>
                                  <m:t>R</m:t>
                                </m:r>
                              </m:e>
                            </m:d>
                          </m:sub>
                        </m:sSub>
                        <m:r>
                          <w:rPr>
                            <w:rFonts w:ascii="Cambria Math" w:hAnsi="Cambria Math"/>
                          </w:rPr>
                          <m:t xml:space="preserve">=0      </m:t>
                        </m:r>
                      </m:e>
                      <m:e>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r>
                          <w:rPr>
                            <w:rFonts w:ascii="Cambria Math" w:hAnsi="Cambria Math"/>
                          </w:rPr>
                          <m:t>=</m:t>
                        </m:r>
                        <m:r>
                          <m:rPr>
                            <m:sty m:val="p"/>
                          </m:rPr>
                          <w:rPr>
                            <w:rFonts w:ascii="Cambria Math" w:hAnsi="Cambria Math"/>
                          </w:rPr>
                          <m:t xml:space="preserve">1                   </m:t>
                        </m:r>
                      </m:e>
                    </m:eqArr>
                  </m:e>
                </m:d>
              </m:oMath>
            </m:oMathPara>
          </w:p>
        </w:tc>
        <w:tc>
          <w:tcPr>
            <w:tcW w:w="507" w:type="pct"/>
            <w:vAlign w:val="center"/>
          </w:tcPr>
          <w:p w14:paraId="4E2F6C44" w14:textId="5C334BC5" w:rsidR="00406EF8" w:rsidRPr="00FC71BE" w:rsidRDefault="00406EF8">
            <w:pPr>
              <w:pStyle w:val="equation"/>
              <w:rPr>
                <w:i/>
                <w:color w:val="auto"/>
              </w:rPr>
            </w:pPr>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32</w:t>
            </w:r>
            <w:r w:rsidR="002839C4" w:rsidRPr="00FC71BE">
              <w:rPr>
                <w:color w:val="auto"/>
              </w:rPr>
              <w:fldChar w:fldCharType="end"/>
            </w:r>
            <w:r w:rsidRPr="00FC71BE">
              <w:rPr>
                <w:color w:val="auto"/>
              </w:rPr>
              <w:t>)</w:t>
            </w:r>
          </w:p>
        </w:tc>
      </w:tr>
    </w:tbl>
    <w:p w14:paraId="55E60BD5" w14:textId="25633E47" w:rsidR="00406EF8" w:rsidRPr="00FC71BE" w:rsidRDefault="00406EF8" w:rsidP="00406EF8">
      <w:r w:rsidRPr="00FC71BE">
        <w:t xml:space="preserve">Since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r>
          <w:rPr>
            <w:rFonts w:ascii="Cambria Math" w:hAnsi="Cambria Math"/>
          </w:rPr>
          <m:t>=</m:t>
        </m:r>
        <m:r>
          <m:rPr>
            <m:sty m:val="p"/>
          </m:rPr>
          <w:rPr>
            <w:rFonts w:ascii="Cambria Math" w:hAnsi="Cambria Math"/>
          </w:rPr>
          <m:t>1</m:t>
        </m:r>
      </m:oMath>
      <w:r w:rsidRPr="00FC71BE">
        <w:t xml:space="preserve">, </w:t>
      </w:r>
      <w:r w:rsidRPr="00FC71BE">
        <w:fldChar w:fldCharType="begin"/>
      </w:r>
      <w:r w:rsidRPr="00FC71BE">
        <w:instrText xml:space="preserve"> REF _Ref141207342 \h </w:instrText>
      </w:r>
      <w:r w:rsidRPr="00FC71BE">
        <w:fldChar w:fldCharType="separate"/>
      </w:r>
      <w:r w:rsidR="007E62C1" w:rsidRPr="00FC71BE">
        <w:t>(</w:t>
      </w:r>
      <w:r w:rsidR="007E62C1" w:rsidRPr="00FC71BE">
        <w:rPr>
          <w:noProof/>
        </w:rPr>
        <w:t>5</w:t>
      </w:r>
      <w:r w:rsidR="007E62C1" w:rsidRPr="00FC71BE">
        <w:t>.</w:t>
      </w:r>
      <w:r w:rsidR="007E62C1" w:rsidRPr="00FC71BE">
        <w:rPr>
          <w:noProof/>
        </w:rPr>
        <w:t>29</w:t>
      </w:r>
      <w:r w:rsidR="007E62C1" w:rsidRPr="00FC71BE">
        <w:t>)</w:t>
      </w:r>
      <w:r w:rsidRPr="00FC71BE">
        <w:fldChar w:fldCharType="end"/>
      </w:r>
      <w:r w:rsidRPr="00FC71BE">
        <w:t xml:space="preserve"> can be re-written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1"/>
        <w:gridCol w:w="915"/>
      </w:tblGrid>
      <w:tr w:rsidR="00FC71BE" w:rsidRPr="00FC71BE" w14:paraId="027EDEBB" w14:textId="77777777">
        <w:tc>
          <w:tcPr>
            <w:tcW w:w="4493" w:type="pct"/>
            <w:vAlign w:val="center"/>
          </w:tcPr>
          <w:p w14:paraId="7560DD04" w14:textId="77777777" w:rsidR="00406EF8" w:rsidRPr="00FC71BE" w:rsidRDefault="002143AD">
            <w:pPr>
              <w:ind w:left="340" w:firstLine="0"/>
            </w:pPr>
            <m:oMathPara>
              <m:oMath>
                <m:sSub>
                  <m:sSubPr>
                    <m:ctrlPr>
                      <w:rPr>
                        <w:rFonts w:ascii="Cambria Math" w:hAnsi="Cambria Math"/>
                        <w:i/>
                      </w:rPr>
                    </m:ctrlPr>
                  </m:sSubPr>
                  <m:e>
                    <m:r>
                      <w:rPr>
                        <w:rFonts w:ascii="Cambria Math" w:hAnsi="Cambria Math"/>
                      </w:rPr>
                      <m:t>I</m:t>
                    </m:r>
                  </m:e>
                  <m:sub>
                    <m:r>
                      <w:rPr>
                        <w:rFonts w:ascii="Cambria Math" w:hAnsi="Cambria Math"/>
                      </w:rPr>
                      <m:t>dc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ac</m:t>
                    </m:r>
                  </m:sub>
                </m:sSub>
                <m:r>
                  <w:rPr>
                    <w:rFonts w:ascii="Cambria Math" w:hAnsi="Cambria Math"/>
                  </w:rPr>
                  <m:t>/</m:t>
                </m:r>
                <m:rad>
                  <m:radPr>
                    <m:degHide m:val="1"/>
                    <m:ctrlPr>
                      <w:rPr>
                        <w:rFonts w:ascii="Cambria Math" w:hAnsi="Cambria Math"/>
                        <w:i/>
                      </w:rPr>
                    </m:ctrlPr>
                  </m:radPr>
                  <m:deg/>
                  <m:e>
                    <m:r>
                      <w:rPr>
                        <w:rFonts w:ascii="Cambria Math" w:hAnsi="Cambria Math"/>
                      </w:rPr>
                      <m:t>2</m:t>
                    </m:r>
                  </m:e>
                </m:rad>
              </m:oMath>
            </m:oMathPara>
          </w:p>
        </w:tc>
        <w:tc>
          <w:tcPr>
            <w:tcW w:w="507" w:type="pct"/>
            <w:vAlign w:val="center"/>
          </w:tcPr>
          <w:p w14:paraId="200BDF36" w14:textId="199B546C" w:rsidR="00406EF8" w:rsidRPr="00FC71BE" w:rsidRDefault="00406EF8">
            <w:pPr>
              <w:pStyle w:val="equation"/>
              <w:rPr>
                <w:i/>
                <w:color w:val="auto"/>
              </w:rPr>
            </w:pPr>
            <w:bookmarkStart w:id="339" w:name="_Ref141207390"/>
            <w:r w:rsidRPr="00FC71BE">
              <w:rPr>
                <w:color w:val="auto"/>
              </w:rPr>
              <w:t>(</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Equation \* ARABIC \s 1 </w:instrText>
            </w:r>
            <w:r w:rsidR="002839C4" w:rsidRPr="00FC71BE">
              <w:rPr>
                <w:color w:val="auto"/>
              </w:rPr>
              <w:fldChar w:fldCharType="separate"/>
            </w:r>
            <w:r w:rsidR="007E62C1" w:rsidRPr="00FC71BE">
              <w:rPr>
                <w:noProof/>
                <w:color w:val="auto"/>
              </w:rPr>
              <w:t>33</w:t>
            </w:r>
            <w:r w:rsidR="002839C4" w:rsidRPr="00FC71BE">
              <w:rPr>
                <w:color w:val="auto"/>
              </w:rPr>
              <w:fldChar w:fldCharType="end"/>
            </w:r>
            <w:r w:rsidRPr="00FC71BE">
              <w:rPr>
                <w:color w:val="auto"/>
              </w:rPr>
              <w:t>)</w:t>
            </w:r>
            <w:bookmarkEnd w:id="339"/>
          </w:p>
        </w:tc>
      </w:tr>
    </w:tbl>
    <w:p w14:paraId="583363AE" w14:textId="67E52F25" w:rsidR="00406EF8" w:rsidRPr="00FC71BE" w:rsidRDefault="00406EF8" w:rsidP="00406EF8">
      <w:r w:rsidRPr="00FC71BE">
        <w:t xml:space="preserve">The equation </w:t>
      </w:r>
      <w:r w:rsidRPr="00FC71BE">
        <w:fldChar w:fldCharType="begin"/>
      </w:r>
      <w:r w:rsidRPr="00FC71BE">
        <w:instrText xml:space="preserve"> REF _Ref141207390 \h </w:instrText>
      </w:r>
      <w:r w:rsidRPr="00FC71BE">
        <w:fldChar w:fldCharType="separate"/>
      </w:r>
      <w:r w:rsidR="007E62C1" w:rsidRPr="00FC71BE">
        <w:t>(</w:t>
      </w:r>
      <w:r w:rsidR="007E62C1" w:rsidRPr="00FC71BE">
        <w:rPr>
          <w:noProof/>
        </w:rPr>
        <w:t>5</w:t>
      </w:r>
      <w:r w:rsidR="007E62C1" w:rsidRPr="00FC71BE">
        <w:t>.</w:t>
      </w:r>
      <w:r w:rsidR="007E62C1" w:rsidRPr="00FC71BE">
        <w:rPr>
          <w:noProof/>
        </w:rPr>
        <w:t>33</w:t>
      </w:r>
      <w:r w:rsidR="007E62C1" w:rsidRPr="00FC71BE">
        <w:t>)</w:t>
      </w:r>
      <w:r w:rsidRPr="00FC71BE">
        <w:fldChar w:fldCharType="end"/>
      </w:r>
      <w:r w:rsidRPr="00FC71BE">
        <w:t xml:space="preserve"> demonstrates that if the windings are relatively far apart, e.g., single layer machine, a DC equals to the rms value of an AC can generate similar magnetic body force as the AC.</w:t>
      </w:r>
    </w:p>
    <w:p w14:paraId="4683E972" w14:textId="77777777" w:rsidR="00406EF8" w:rsidRPr="00FC71BE" w:rsidRDefault="00406EF8" w:rsidP="00AF4190">
      <w:pPr>
        <w:pStyle w:val="ListParagraph"/>
        <w:numPr>
          <w:ilvl w:val="0"/>
          <w:numId w:val="13"/>
        </w:numPr>
      </w:pPr>
      <w:r w:rsidRPr="00FC71BE">
        <w:t>Model 2:</w:t>
      </w:r>
    </w:p>
    <w:p w14:paraId="4D9FA616" w14:textId="49FC0FA0" w:rsidR="00406EF8" w:rsidRPr="00FC71BE" w:rsidRDefault="00406EF8" w:rsidP="00406EF8">
      <w:r w:rsidRPr="00FC71BE">
        <w:t xml:space="preserve">For the electrical machines that have windings close to each other, for example, the double layer windings or integer slot overlapping windings, the magnetic field is often generated by several windings. Therefore, the simplified magnetic field in </w:t>
      </w:r>
      <w:r w:rsidRPr="00FC71BE">
        <w:fldChar w:fldCharType="begin"/>
      </w:r>
      <w:r w:rsidRPr="00FC71BE">
        <w:instrText xml:space="preserve"> REF _Ref141207457 \h </w:instrText>
      </w:r>
      <w:r w:rsidRPr="00FC71BE">
        <w:fldChar w:fldCharType="separate"/>
      </w:r>
      <w:r w:rsidR="007E62C1" w:rsidRPr="00FC71BE">
        <w:t>(</w:t>
      </w:r>
      <w:r w:rsidR="007E62C1" w:rsidRPr="00FC71BE">
        <w:rPr>
          <w:noProof/>
        </w:rPr>
        <w:t>5</w:t>
      </w:r>
      <w:r w:rsidR="007E62C1" w:rsidRPr="00FC71BE">
        <w:t>.</w:t>
      </w:r>
      <w:r w:rsidR="007E62C1" w:rsidRPr="00FC71BE">
        <w:rPr>
          <w:noProof/>
        </w:rPr>
        <w:t>31</w:t>
      </w:r>
      <w:r w:rsidR="007E62C1" w:rsidRPr="00FC71BE">
        <w:t>)</w:t>
      </w:r>
      <w:r w:rsidRPr="00FC71BE">
        <w:fldChar w:fldCharType="end"/>
      </w:r>
      <w:r w:rsidRPr="00FC71BE">
        <w:t xml:space="preserve"> is not accurate enough. A coefficient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is needed to obtain a more accurate distribution of magnetic body force.</w:t>
      </w:r>
    </w:p>
    <w:p w14:paraId="00B37482" w14:textId="5B1CBDAA" w:rsidR="00406EF8" w:rsidRPr="00FC71BE" w:rsidRDefault="00406EF8" w:rsidP="00406EF8">
      <w:r w:rsidRPr="00FC71BE">
        <w:t xml:space="preserve">To calculate the coefficient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in the end-space, 3D FEM (COMSOL software package) has been used. The results (see </w:t>
      </w:r>
      <w:r w:rsidRPr="00FC71BE">
        <w:fldChar w:fldCharType="begin"/>
      </w:r>
      <w:r w:rsidRPr="00FC71BE">
        <w:instrText xml:space="preserve"> REF _Ref141207682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17</w:t>
      </w:r>
      <w:r w:rsidRPr="00FC71BE">
        <w:fldChar w:fldCharType="end"/>
      </w:r>
      <w:r w:rsidRPr="00FC71BE">
        <w:t xml:space="preserve">) for the double layer machine show that the variation of position dependent coefficient at different positions within the end-space is significant. It is also worth noting that, the blank region, mostly locates at the centre between two adjacent </w:t>
      </w:r>
      <w:r w:rsidRPr="00FC71BE">
        <w:lastRenderedPageBreak/>
        <w:t xml:space="preserve">windings, means that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is larger than 1. This also means that it is impossible to make the magnetic field at each location within the end-space the same for the DC and AC supplies if a single DC excitation is used.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7"/>
        <w:gridCol w:w="1179"/>
      </w:tblGrid>
      <w:tr w:rsidR="00FC71BE" w:rsidRPr="00FC71BE" w14:paraId="1E6AC420" w14:textId="77777777">
        <w:tc>
          <w:tcPr>
            <w:tcW w:w="7847" w:type="dxa"/>
            <w:vAlign w:val="center"/>
          </w:tcPr>
          <w:p w14:paraId="7F8962E2" w14:textId="77777777" w:rsidR="00406EF8" w:rsidRPr="00FC71BE" w:rsidRDefault="00406EF8">
            <w:pPr>
              <w:pStyle w:val="Figure"/>
              <w:rPr>
                <w:noProof w:val="0"/>
              </w:rPr>
            </w:pPr>
            <w:r w:rsidRPr="00FC71BE">
              <w:drawing>
                <wp:inline distT="0" distB="0" distL="0" distR="0" wp14:anchorId="782E2290" wp14:editId="51E97804">
                  <wp:extent cx="3991452" cy="2520000"/>
                  <wp:effectExtent l="0" t="0" r="0" b="0"/>
                  <wp:docPr id="939296233" name="Picture 939296233" descr="A graph of a graph showing a number of dots&#10;&#10;Description automatically generated with medium confidence">
                    <a:extLst xmlns:a="http://schemas.openxmlformats.org/drawingml/2006/main">
                      <a:ext uri="{FF2B5EF4-FFF2-40B4-BE49-F238E27FC236}">
                        <a16:creationId xmlns:a16="http://schemas.microsoft.com/office/drawing/2014/main" id="{843EAD81-3882-4B88-9DD0-63EAB62B04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96233" name="Picture 939296233" descr="A graph of a graph showing a number of dots&#10;&#10;Description automatically generated with medium confidence">
                            <a:extLst>
                              <a:ext uri="{FF2B5EF4-FFF2-40B4-BE49-F238E27FC236}">
                                <a16:creationId xmlns:a16="http://schemas.microsoft.com/office/drawing/2014/main" id="{843EAD81-3882-4B88-9DD0-63EAB62B04D7}"/>
                              </a:ext>
                            </a:extLst>
                          </pic:cNvPr>
                          <pic:cNvPicPr>
                            <a:picLocks noChangeAspect="1"/>
                          </pic:cNvPicPr>
                        </pic:nvPicPr>
                        <pic:blipFill rotWithShape="1">
                          <a:blip r:embed="rId235"/>
                          <a:srcRect l="4738" r="16013"/>
                          <a:stretch/>
                        </pic:blipFill>
                        <pic:spPr>
                          <a:xfrm>
                            <a:off x="0" y="0"/>
                            <a:ext cx="3991452" cy="2520000"/>
                          </a:xfrm>
                          <a:prstGeom prst="rect">
                            <a:avLst/>
                          </a:prstGeom>
                        </pic:spPr>
                      </pic:pic>
                    </a:graphicData>
                  </a:graphic>
                </wp:inline>
              </w:drawing>
            </w:r>
          </w:p>
        </w:tc>
        <w:tc>
          <w:tcPr>
            <w:tcW w:w="1179" w:type="dxa"/>
            <w:vMerge w:val="restart"/>
            <w:vAlign w:val="center"/>
          </w:tcPr>
          <w:p w14:paraId="54A37921" w14:textId="77777777" w:rsidR="00406EF8" w:rsidRPr="00FC71BE" w:rsidRDefault="00406EF8">
            <w:pPr>
              <w:pStyle w:val="Figure"/>
              <w:rPr>
                <w:noProof w:val="0"/>
              </w:rPr>
            </w:pPr>
            <w:r w:rsidRPr="00FC71BE">
              <w:drawing>
                <wp:inline distT="0" distB="0" distL="0" distR="0" wp14:anchorId="5DFE9D89" wp14:editId="0BEE6F55">
                  <wp:extent cx="611729" cy="3308898"/>
                  <wp:effectExtent l="0" t="0" r="0" b="6350"/>
                  <wp:docPr id="87790015" name="Picture 87790015" descr="A close up of a number&#10;&#10;Description automatically generated">
                    <a:extLst xmlns:a="http://schemas.openxmlformats.org/drawingml/2006/main">
                      <a:ext uri="{FF2B5EF4-FFF2-40B4-BE49-F238E27FC236}">
                        <a16:creationId xmlns:a16="http://schemas.microsoft.com/office/drawing/2014/main" id="{D5445266-9991-4825-BDC4-4F3BF125BA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0015" name="Picture 87790015" descr="A close up of a number&#10;&#10;Description automatically generated">
                            <a:extLst>
                              <a:ext uri="{FF2B5EF4-FFF2-40B4-BE49-F238E27FC236}">
                                <a16:creationId xmlns:a16="http://schemas.microsoft.com/office/drawing/2014/main" id="{D5445266-9991-4825-BDC4-4F3BF125BAF7}"/>
                              </a:ext>
                            </a:extLst>
                          </pic:cNvPr>
                          <pic:cNvPicPr>
                            <a:picLocks noChangeAspect="1"/>
                          </pic:cNvPicPr>
                        </pic:nvPicPr>
                        <pic:blipFill>
                          <a:blip r:embed="rId236"/>
                          <a:stretch>
                            <a:fillRect/>
                          </a:stretch>
                        </pic:blipFill>
                        <pic:spPr>
                          <a:xfrm>
                            <a:off x="0" y="0"/>
                            <a:ext cx="634286" cy="3430912"/>
                          </a:xfrm>
                          <a:prstGeom prst="rect">
                            <a:avLst/>
                          </a:prstGeom>
                        </pic:spPr>
                      </pic:pic>
                    </a:graphicData>
                  </a:graphic>
                </wp:inline>
              </w:drawing>
            </w:r>
          </w:p>
        </w:tc>
      </w:tr>
      <w:tr w:rsidR="00FC71BE" w:rsidRPr="00FC71BE" w14:paraId="44C268AA" w14:textId="77777777">
        <w:tc>
          <w:tcPr>
            <w:tcW w:w="7847" w:type="dxa"/>
            <w:vAlign w:val="center"/>
          </w:tcPr>
          <w:p w14:paraId="00F2D100" w14:textId="77777777" w:rsidR="00406EF8" w:rsidRPr="00FC71BE" w:rsidRDefault="00406EF8">
            <w:pPr>
              <w:pStyle w:val="Figure"/>
              <w:rPr>
                <w:noProof w:val="0"/>
              </w:rPr>
            </w:pPr>
            <w:r w:rsidRPr="00FC71BE">
              <w:rPr>
                <w:noProof w:val="0"/>
              </w:rPr>
              <w:t>(a) Radial direction</w:t>
            </w:r>
          </w:p>
        </w:tc>
        <w:tc>
          <w:tcPr>
            <w:tcW w:w="1179" w:type="dxa"/>
            <w:vMerge/>
            <w:vAlign w:val="center"/>
          </w:tcPr>
          <w:p w14:paraId="7E48AA83" w14:textId="77777777" w:rsidR="00406EF8" w:rsidRPr="00FC71BE" w:rsidRDefault="00406EF8">
            <w:pPr>
              <w:pStyle w:val="Figure"/>
              <w:rPr>
                <w:noProof w:val="0"/>
              </w:rPr>
            </w:pPr>
          </w:p>
        </w:tc>
      </w:tr>
      <w:tr w:rsidR="00FC71BE" w:rsidRPr="00FC71BE" w14:paraId="7CFCD6E7" w14:textId="77777777">
        <w:tc>
          <w:tcPr>
            <w:tcW w:w="7847" w:type="dxa"/>
            <w:vAlign w:val="center"/>
          </w:tcPr>
          <w:p w14:paraId="7136178C" w14:textId="77777777" w:rsidR="00406EF8" w:rsidRPr="00FC71BE" w:rsidRDefault="00406EF8">
            <w:pPr>
              <w:pStyle w:val="Figure"/>
              <w:rPr>
                <w:noProof w:val="0"/>
              </w:rPr>
            </w:pPr>
            <w:r w:rsidRPr="00FC71BE">
              <w:drawing>
                <wp:inline distT="0" distB="0" distL="0" distR="0" wp14:anchorId="5531CC32" wp14:editId="169C0E2E">
                  <wp:extent cx="4006562" cy="2520000"/>
                  <wp:effectExtent l="0" t="0" r="0" b="0"/>
                  <wp:docPr id="1229742696" name="Picture 1229742696" descr="A graph of a graph showing a number of objects&#10;&#10;Description automatically generated with medium confidence">
                    <a:extLst xmlns:a="http://schemas.openxmlformats.org/drawingml/2006/main">
                      <a:ext uri="{FF2B5EF4-FFF2-40B4-BE49-F238E27FC236}">
                        <a16:creationId xmlns:a16="http://schemas.microsoft.com/office/drawing/2014/main" id="{3E59EE6B-6FA8-48A8-9361-EB69178680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42696" name="Picture 1229742696" descr="A graph of a graph showing a number of objects&#10;&#10;Description automatically generated with medium confidence">
                            <a:extLst>
                              <a:ext uri="{FF2B5EF4-FFF2-40B4-BE49-F238E27FC236}">
                                <a16:creationId xmlns:a16="http://schemas.microsoft.com/office/drawing/2014/main" id="{3E59EE6B-6FA8-48A8-9361-EB6917868047}"/>
                              </a:ext>
                            </a:extLst>
                          </pic:cNvPr>
                          <pic:cNvPicPr>
                            <a:picLocks noChangeAspect="1"/>
                          </pic:cNvPicPr>
                        </pic:nvPicPr>
                        <pic:blipFill rotWithShape="1">
                          <a:blip r:embed="rId237"/>
                          <a:srcRect l="4925" r="9516"/>
                          <a:stretch/>
                        </pic:blipFill>
                        <pic:spPr>
                          <a:xfrm>
                            <a:off x="0" y="0"/>
                            <a:ext cx="4006562" cy="2520000"/>
                          </a:xfrm>
                          <a:prstGeom prst="rect">
                            <a:avLst/>
                          </a:prstGeom>
                        </pic:spPr>
                      </pic:pic>
                    </a:graphicData>
                  </a:graphic>
                </wp:inline>
              </w:drawing>
            </w:r>
          </w:p>
        </w:tc>
        <w:tc>
          <w:tcPr>
            <w:tcW w:w="1179" w:type="dxa"/>
            <w:vMerge/>
            <w:vAlign w:val="center"/>
          </w:tcPr>
          <w:p w14:paraId="4332553D" w14:textId="77777777" w:rsidR="00406EF8" w:rsidRPr="00FC71BE" w:rsidRDefault="00406EF8">
            <w:pPr>
              <w:pStyle w:val="Figure"/>
              <w:rPr>
                <w:noProof w:val="0"/>
              </w:rPr>
            </w:pPr>
          </w:p>
        </w:tc>
      </w:tr>
      <w:tr w:rsidR="00FC71BE" w:rsidRPr="00FC71BE" w14:paraId="3E298071" w14:textId="77777777">
        <w:tc>
          <w:tcPr>
            <w:tcW w:w="7847" w:type="dxa"/>
            <w:vAlign w:val="center"/>
          </w:tcPr>
          <w:p w14:paraId="0ACD62A5" w14:textId="77777777" w:rsidR="00406EF8" w:rsidRPr="00FC71BE" w:rsidRDefault="00406EF8">
            <w:pPr>
              <w:pStyle w:val="Figure"/>
              <w:rPr>
                <w:noProof w:val="0"/>
              </w:rPr>
            </w:pPr>
            <w:r w:rsidRPr="00FC71BE">
              <w:rPr>
                <w:noProof w:val="0"/>
              </w:rPr>
              <w:t>(b) Tangential direction</w:t>
            </w:r>
          </w:p>
        </w:tc>
        <w:tc>
          <w:tcPr>
            <w:tcW w:w="1179" w:type="dxa"/>
            <w:vMerge/>
            <w:vAlign w:val="center"/>
          </w:tcPr>
          <w:p w14:paraId="044DF7D6" w14:textId="77777777" w:rsidR="00406EF8" w:rsidRPr="00FC71BE" w:rsidRDefault="00406EF8">
            <w:pPr>
              <w:pStyle w:val="Figure"/>
              <w:rPr>
                <w:noProof w:val="0"/>
              </w:rPr>
            </w:pPr>
          </w:p>
        </w:tc>
      </w:tr>
    </w:tbl>
    <w:p w14:paraId="593155A0" w14:textId="4BCA45CD" w:rsidR="00406EF8" w:rsidRPr="00FC71BE" w:rsidRDefault="00406EF8" w:rsidP="00406EF8">
      <w:pPr>
        <w:pStyle w:val="FigureTitle"/>
      </w:pPr>
      <w:bookmarkStart w:id="340" w:name="_Ref141207682"/>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17</w:t>
        </w:r>
      </w:fldSimple>
      <w:bookmarkEnd w:id="340"/>
      <w:r w:rsidRPr="00FC71BE">
        <w:t xml:space="preserve">.  Position dependent coefficients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within the end-space of the double-layer machine.</w:t>
      </w:r>
    </w:p>
    <w:p w14:paraId="54AECE83" w14:textId="77777777" w:rsidR="00406EF8" w:rsidRPr="00FC71BE" w:rsidRDefault="00406EF8" w:rsidP="00406EF8">
      <w:r w:rsidRPr="00FC71BE">
        <w:t xml:space="preserve">To address this issue, a new model (model 2) with 3-phase excitation but each phase is injected with a DC current to simulate a 3-phase AC supply is proposed. The simulations of the machine at each rotor position have been carried out. It is worth noting that, the machines at different rotor positions are loaded with different 3-phase DC currents. With this kind of current supply, at each rotor position, the steady-state temperatures at different locations within the machine will be obtained. Then these temperatures (at each location within the machine) </w:t>
      </w:r>
      <w:r w:rsidRPr="00FC71BE">
        <w:lastRenderedPageBreak/>
        <w:t>for different rotor positions will be averaged to work out the temperature distribution that is similar to a real 3-phase AC currents supply.</w:t>
      </w:r>
    </w:p>
    <w:p w14:paraId="51356D4D" w14:textId="77777777" w:rsidR="00406EF8" w:rsidRPr="00FC71BE" w:rsidRDefault="00406EF8" w:rsidP="00AF4190">
      <w:pPr>
        <w:pStyle w:val="Heading4"/>
        <w:numPr>
          <w:ilvl w:val="0"/>
          <w:numId w:val="35"/>
        </w:numPr>
      </w:pPr>
      <w:r w:rsidRPr="00FC71BE">
        <w:t>Comparisons of Different Models</w:t>
      </w:r>
    </w:p>
    <w:p w14:paraId="09AF0A87" w14:textId="2FCAD13B" w:rsidR="00406EF8" w:rsidRPr="00FC71BE" w:rsidRDefault="00406EF8" w:rsidP="00406EF8">
      <w:r w:rsidRPr="00FC71BE">
        <w:t xml:space="preserve">Two kinds of models, i.e., model 1 and model 2 as described previously, have been introduced to investigate the ferrofluid cooling performances for both the single layer and double layer SPM machines. The maximum winding temperatures of these two winding topologies simulated by these two different models have been compared, as shown in </w:t>
      </w:r>
      <w:r w:rsidRPr="00FC71BE">
        <w:fldChar w:fldCharType="begin"/>
      </w:r>
      <w:r w:rsidRPr="00FC71BE">
        <w:instrText xml:space="preserve"> REF _Ref141209418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18</w:t>
      </w:r>
      <w:r w:rsidRPr="00FC71BE">
        <w:fldChar w:fldCharType="end"/>
      </w:r>
      <w:r w:rsidRPr="00FC71BE">
        <w:t>.</w:t>
      </w:r>
    </w:p>
    <w:p w14:paraId="1B339192" w14:textId="77777777" w:rsidR="00406EF8" w:rsidRPr="00FC71BE" w:rsidRDefault="00406EF8" w:rsidP="00494ACD">
      <w:pPr>
        <w:pStyle w:val="Heading5"/>
        <w:rPr>
          <w:lang w:val="en-GB"/>
        </w:rPr>
      </w:pPr>
      <w:r w:rsidRPr="00FC71BE">
        <w:rPr>
          <w:lang w:val="en-GB"/>
        </w:rPr>
        <w:t>Single layer winding</w:t>
      </w:r>
    </w:p>
    <w:p w14:paraId="24644E2E" w14:textId="343260D1" w:rsidR="00406EF8" w:rsidRPr="00FC71BE" w:rsidRDefault="00406EF8" w:rsidP="00406EF8">
      <w:r w:rsidRPr="00FC71BE">
        <w:t xml:space="preserve">For the single layer topology [as shown in </w:t>
      </w:r>
      <w:r w:rsidRPr="00FC71BE">
        <w:fldChar w:fldCharType="begin"/>
      </w:r>
      <w:r w:rsidRPr="00FC71BE">
        <w:instrText xml:space="preserve"> REF _Ref141209418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18</w:t>
      </w:r>
      <w:r w:rsidRPr="00FC71BE">
        <w:fldChar w:fldCharType="end"/>
      </w:r>
      <w:r w:rsidRPr="00FC71BE">
        <w:t xml:space="preserve"> (a)], when the ferrofluid cooling with magnetic body force for the end-windings is introduced, a significant reduction of end-winding temperature can be achieved. This is validated by the results obtained from both model 1 and model 2. For model 1, the maximum winding temperature is 133</w:t>
      </w:r>
      <m:oMath>
        <m:r>
          <w:rPr>
            <w:rFonts w:ascii="Cambria Math" w:hAnsi="Cambria Math"/>
          </w:rPr>
          <m:t>℃</m:t>
        </m:r>
      </m:oMath>
      <w:r w:rsidRPr="00FC71BE">
        <w:t xml:space="preserve"> as shown by the black dashed line. However, for model 2, the peak winding temperature of each phase has a periodical variation, which is similar to sinewave, as shown in </w:t>
      </w:r>
      <w:r w:rsidRPr="00FC71BE">
        <w:fldChar w:fldCharType="begin"/>
      </w:r>
      <w:r w:rsidRPr="00FC71BE">
        <w:instrText xml:space="preserve"> REF _Ref141209418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18</w:t>
      </w:r>
      <w:r w:rsidRPr="00FC71BE">
        <w:fldChar w:fldCharType="end"/>
      </w:r>
      <w:r w:rsidRPr="00FC71BE">
        <w:t xml:space="preserve"> (a). Comparing with the phase currents at different rotor positions (see </w:t>
      </w:r>
      <w:r w:rsidRPr="00FC71BE">
        <w:fldChar w:fldCharType="begin"/>
      </w:r>
      <w:r w:rsidRPr="00FC71BE">
        <w:instrText xml:space="preserve"> REF _Ref141354599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19</w:t>
      </w:r>
      <w:r w:rsidRPr="00FC71BE">
        <w:fldChar w:fldCharType="end"/>
      </w:r>
      <w:r w:rsidRPr="00FC71BE">
        <w:t xml:space="preserve">), the peak temperature of each phase is almost inversely proportional to the absolute value of the current injected to the corresponding phase. This is because higher current generates higher magnetic field strength, and hence better thermomagnetic convection. As the copper loss (heat source) is assumed to be the same and constant at different rotor positions, better thermomagnetic convection will mean more efficient heat removal from the end-windings. </w:t>
      </w:r>
    </w:p>
    <w:p w14:paraId="371800C5" w14:textId="7738AACE" w:rsidR="00406EF8" w:rsidRPr="00FC71BE" w:rsidRDefault="00406EF8" w:rsidP="00406EF8">
      <w:r w:rsidRPr="00FC71BE">
        <w:t>As the peak temperature of each phase obtained by model 2 varies periodically with rotor position, an average value of 131</w:t>
      </w:r>
      <m:oMath>
        <m:r>
          <w:rPr>
            <w:rFonts w:ascii="Cambria Math" w:hAnsi="Cambria Math"/>
          </w:rPr>
          <m:t>℃</m:t>
        </m:r>
      </m:oMath>
      <w:r w:rsidRPr="00FC71BE">
        <w:t xml:space="preserve"> of these peak temperatures for 180 Elec. Deg. is used to approximate the real peak temperature of each winding. This is deemed to be the closest to the case where real AC currents are supplied to the machine windings. Compared to model 1, model 2 is more accurate but its computation time could be 10 times longer. However, the difference of winding temperature obtained by models 1 and 2 is only 1.5%, and hence not significant. This is because, for the single layer design, the magnetic field in the end-winding region is mainly generated by each end-winding itself and not affected by adjacent end-windings. This fact is also demonstrated by the coolant velocity distributions, as shown in </w:t>
      </w:r>
      <w:r w:rsidRPr="00FC71BE">
        <w:fldChar w:fldCharType="begin"/>
      </w:r>
      <w:r w:rsidRPr="00FC71BE">
        <w:instrText xml:space="preserve"> REF _Ref141432037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20</w:t>
      </w:r>
      <w:r w:rsidRPr="00FC71BE">
        <w:fldChar w:fldCharType="end"/>
      </w:r>
      <w:r w:rsidRPr="00FC71BE">
        <w:t xml:space="preserve"> (a) and (b). The coolant close to coils reaches high coolant velocity for both models and the value of velocity is relative similar. However, the coolant velocity that is located between the two adjacent coils has been underestimated by model 1. It results from the underestimation </w:t>
      </w:r>
      <w:r w:rsidRPr="00FC71BE">
        <w:lastRenderedPageBreak/>
        <w:t xml:space="preserve">of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in </w:t>
      </w:r>
      <w:r w:rsidRPr="00FC71BE">
        <w:fldChar w:fldCharType="begin"/>
      </w:r>
      <w:r w:rsidRPr="00FC71BE">
        <w:instrText xml:space="preserve"> REF _Ref141207682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17</w:t>
      </w:r>
      <w:r w:rsidRPr="00FC71BE">
        <w:fldChar w:fldCharType="end"/>
      </w:r>
      <w:r w:rsidRPr="00FC71BE">
        <w:t xml:space="preserve">.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is considered as 1 for model 1, but it is actually much larger than 1 in the region that is around the centre of two adjacent coils.</w:t>
      </w:r>
    </w:p>
    <w:p w14:paraId="2EE2590A" w14:textId="55591993" w:rsidR="00406EF8" w:rsidRPr="00FC71BE" w:rsidRDefault="00406EF8" w:rsidP="00406EF8">
      <w:r w:rsidRPr="00FC71BE">
        <w:t>The results obtained from both models 1 and 2 point towards the fact that the thermomagnetic convection is efficient for machine cooling. The temperature differences between nanofluid and ferrofluid cooling systems are 13</w:t>
      </w:r>
      <m:oMath>
        <m:r>
          <w:rPr>
            <w:rFonts w:ascii="Cambria Math" w:hAnsi="Cambria Math"/>
          </w:rPr>
          <m:t>℃</m:t>
        </m:r>
      </m:oMath>
      <w:r w:rsidRPr="00FC71BE">
        <w:t xml:space="preserve"> (for model 1) and 15</w:t>
      </w:r>
      <m:oMath>
        <m:r>
          <w:rPr>
            <w:rFonts w:ascii="Cambria Math" w:hAnsi="Cambria Math"/>
          </w:rPr>
          <m:t>℃</m:t>
        </m:r>
      </m:oMath>
      <w:r w:rsidRPr="00FC71BE">
        <w:t xml:space="preserve"> (for model 2). This is mainly due to the magnetic body force exerting on the ferromagnetic particles in the ferrofluid that increases the fluid circulation, and hence contributes to better cooling effect. This cooling effect will be more pronounced when higher electrical loading (or current density) is injected, as shown in </w:t>
      </w:r>
      <w:r w:rsidRPr="00FC71BE">
        <w:fldChar w:fldCharType="begin"/>
      </w:r>
      <w:r w:rsidRPr="00FC71BE">
        <w:instrText xml:space="preserve"> REF _Ref141189219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16</w:t>
      </w:r>
      <w:r w:rsidRPr="00FC71BE">
        <w:fldChar w:fldCharType="end"/>
      </w:r>
      <w:r w:rsidRPr="00FC71BE">
        <w:t xml:space="preserve"> (a). According to </w:t>
      </w:r>
      <w:r w:rsidRPr="00FC71BE">
        <w:fldChar w:fldCharType="begin"/>
      </w:r>
      <w:r w:rsidRPr="00FC71BE">
        <w:instrText xml:space="preserve"> REF _Ref141432545 \h </w:instrText>
      </w:r>
      <w:r w:rsidRPr="00FC71BE">
        <w:fldChar w:fldCharType="separate"/>
      </w:r>
      <w:r w:rsidR="007E62C1" w:rsidRPr="00FC71BE">
        <w:t>(</w:t>
      </w:r>
      <w:r w:rsidR="007E62C1" w:rsidRPr="00FC71BE">
        <w:rPr>
          <w:noProof/>
        </w:rPr>
        <w:t>5</w:t>
      </w:r>
      <w:r w:rsidR="007E62C1" w:rsidRPr="00FC71BE">
        <w:t>.</w:t>
      </w:r>
      <w:r w:rsidR="007E62C1" w:rsidRPr="00FC71BE">
        <w:rPr>
          <w:noProof/>
        </w:rPr>
        <w:t>25</w:t>
      </w:r>
      <w:r w:rsidR="007E62C1" w:rsidRPr="00FC71BE">
        <w:t>)</w:t>
      </w:r>
      <w:r w:rsidRPr="00FC71BE">
        <w:fldChar w:fldCharType="end"/>
      </w:r>
      <w:r w:rsidRPr="00FC71BE">
        <w:t>, increasing the electrical loading improves the magnetic body force, as well as improving the thermomagnetic effect. As a result, the temperature reduction using ferrofluid to replace nanofluid is increased from 13</w:t>
      </w:r>
      <m:oMath>
        <m:r>
          <w:rPr>
            <w:rFonts w:ascii="Cambria Math" w:hAnsi="Cambria Math"/>
          </w:rPr>
          <m:t>℃</m:t>
        </m:r>
      </m:oMath>
      <w:r w:rsidRPr="00FC71BE">
        <w:t xml:space="preserve"> to 31</w:t>
      </w:r>
      <m:oMath>
        <m:r>
          <w:rPr>
            <w:rFonts w:ascii="Cambria Math" w:hAnsi="Cambria Math"/>
          </w:rPr>
          <m:t>℃</m:t>
        </m:r>
      </m:oMath>
      <w:r w:rsidRPr="00FC71BE">
        <w:t xml:space="preserve"> when the the current density increases from 18.4A/mm</w:t>
      </w:r>
      <w:r w:rsidRPr="00FC71BE">
        <w:rPr>
          <w:vertAlign w:val="superscript"/>
        </w:rPr>
        <w:t>2</w:t>
      </w:r>
      <w:r w:rsidRPr="00FC71BE">
        <w:t xml:space="preserve"> to 22.1A/mm</w:t>
      </w:r>
      <w:r w:rsidRPr="00FC71BE">
        <w:rPr>
          <w:vertAlign w:val="superscript"/>
        </w:rPr>
        <w:t>2</w:t>
      </w:r>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5F3814D2" w14:textId="77777777">
        <w:tc>
          <w:tcPr>
            <w:tcW w:w="9016" w:type="dxa"/>
          </w:tcPr>
          <w:p w14:paraId="3C7E9572" w14:textId="77777777" w:rsidR="00406EF8" w:rsidRPr="00FC71BE" w:rsidRDefault="00406EF8">
            <w:pPr>
              <w:pStyle w:val="Figure"/>
              <w:rPr>
                <w:noProof w:val="0"/>
              </w:rPr>
            </w:pPr>
            <w:r w:rsidRPr="00FC71BE">
              <w:drawing>
                <wp:inline distT="0" distB="0" distL="0" distR="0" wp14:anchorId="537AED6C" wp14:editId="0123A4D5">
                  <wp:extent cx="4078653" cy="2448000"/>
                  <wp:effectExtent l="0" t="0" r="0" b="9525"/>
                  <wp:docPr id="2331530" name="Picture 2331530" descr="A diagram of a model&#10;&#10;Description automatically generated with medium confidence">
                    <a:extLst xmlns:a="http://schemas.openxmlformats.org/drawingml/2006/main">
                      <a:ext uri="{FF2B5EF4-FFF2-40B4-BE49-F238E27FC236}">
                        <a16:creationId xmlns:a16="http://schemas.microsoft.com/office/drawing/2014/main" id="{540D39AC-530B-4127-B8D0-D5857AA089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530" name="Picture 2331530" descr="A diagram of a model&#10;&#10;Description automatically generated with medium confidence">
                            <a:extLst>
                              <a:ext uri="{FF2B5EF4-FFF2-40B4-BE49-F238E27FC236}">
                                <a16:creationId xmlns:a16="http://schemas.microsoft.com/office/drawing/2014/main" id="{540D39AC-530B-4127-B8D0-D5857AA0892F}"/>
                              </a:ext>
                            </a:extLst>
                          </pic:cNvPr>
                          <pic:cNvPicPr>
                            <a:picLocks noChangeAspect="1"/>
                          </pic:cNvPicPr>
                        </pic:nvPicPr>
                        <pic:blipFill>
                          <a:blip r:embed="rId238"/>
                          <a:stretch>
                            <a:fillRect/>
                          </a:stretch>
                        </pic:blipFill>
                        <pic:spPr>
                          <a:xfrm>
                            <a:off x="0" y="0"/>
                            <a:ext cx="4078653" cy="2448000"/>
                          </a:xfrm>
                          <a:prstGeom prst="rect">
                            <a:avLst/>
                          </a:prstGeom>
                        </pic:spPr>
                      </pic:pic>
                    </a:graphicData>
                  </a:graphic>
                </wp:inline>
              </w:drawing>
            </w:r>
          </w:p>
        </w:tc>
      </w:tr>
      <w:tr w:rsidR="00FC71BE" w:rsidRPr="00FC71BE" w14:paraId="291F883E" w14:textId="77777777">
        <w:tc>
          <w:tcPr>
            <w:tcW w:w="9016" w:type="dxa"/>
          </w:tcPr>
          <w:p w14:paraId="0583B766" w14:textId="77777777" w:rsidR="00406EF8" w:rsidRPr="00FC71BE" w:rsidRDefault="00406EF8">
            <w:pPr>
              <w:pStyle w:val="Figure"/>
              <w:rPr>
                <w:noProof w:val="0"/>
              </w:rPr>
            </w:pPr>
            <w:r w:rsidRPr="00FC71BE">
              <w:rPr>
                <w:noProof w:val="0"/>
              </w:rPr>
              <w:t>(a) Single layer machine</w:t>
            </w:r>
          </w:p>
        </w:tc>
      </w:tr>
      <w:tr w:rsidR="00FC71BE" w:rsidRPr="00FC71BE" w14:paraId="40970C46" w14:textId="77777777">
        <w:tc>
          <w:tcPr>
            <w:tcW w:w="9016" w:type="dxa"/>
          </w:tcPr>
          <w:p w14:paraId="39BA713D" w14:textId="77777777" w:rsidR="00406EF8" w:rsidRPr="00FC71BE" w:rsidRDefault="00406EF8">
            <w:pPr>
              <w:pStyle w:val="Figure"/>
              <w:rPr>
                <w:noProof w:val="0"/>
              </w:rPr>
            </w:pPr>
            <w:r w:rsidRPr="00FC71BE">
              <w:drawing>
                <wp:inline distT="0" distB="0" distL="0" distR="0" wp14:anchorId="62948E67" wp14:editId="0A8885B2">
                  <wp:extent cx="4082700" cy="2448000"/>
                  <wp:effectExtent l="0" t="0" r="0" b="0"/>
                  <wp:docPr id="782567404" name="Picture 782567404" descr="A diagram of a model&#10;&#10;Description automatically generated">
                    <a:extLst xmlns:a="http://schemas.openxmlformats.org/drawingml/2006/main">
                      <a:ext uri="{FF2B5EF4-FFF2-40B4-BE49-F238E27FC236}">
                        <a16:creationId xmlns:a16="http://schemas.microsoft.com/office/drawing/2014/main" id="{D4A207CF-2D30-4603-B057-A4F021E4F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67404" name="Picture 782567404" descr="A diagram of a model&#10;&#10;Description automatically generated">
                            <a:extLst>
                              <a:ext uri="{FF2B5EF4-FFF2-40B4-BE49-F238E27FC236}">
                                <a16:creationId xmlns:a16="http://schemas.microsoft.com/office/drawing/2014/main" id="{D4A207CF-2D30-4603-B057-A4F021E4FDBC}"/>
                              </a:ext>
                            </a:extLst>
                          </pic:cNvPr>
                          <pic:cNvPicPr>
                            <a:picLocks noChangeAspect="1"/>
                          </pic:cNvPicPr>
                        </pic:nvPicPr>
                        <pic:blipFill>
                          <a:blip r:embed="rId239"/>
                          <a:stretch>
                            <a:fillRect/>
                          </a:stretch>
                        </pic:blipFill>
                        <pic:spPr>
                          <a:xfrm>
                            <a:off x="0" y="0"/>
                            <a:ext cx="4082700" cy="2448000"/>
                          </a:xfrm>
                          <a:prstGeom prst="rect">
                            <a:avLst/>
                          </a:prstGeom>
                        </pic:spPr>
                      </pic:pic>
                    </a:graphicData>
                  </a:graphic>
                </wp:inline>
              </w:drawing>
            </w:r>
          </w:p>
        </w:tc>
      </w:tr>
      <w:tr w:rsidR="00FC71BE" w:rsidRPr="00FC71BE" w14:paraId="17383805" w14:textId="77777777">
        <w:tc>
          <w:tcPr>
            <w:tcW w:w="9016" w:type="dxa"/>
          </w:tcPr>
          <w:p w14:paraId="7DBEAE78" w14:textId="77777777" w:rsidR="00406EF8" w:rsidRPr="00FC71BE" w:rsidRDefault="00406EF8">
            <w:pPr>
              <w:pStyle w:val="Figure"/>
              <w:rPr>
                <w:noProof w:val="0"/>
              </w:rPr>
            </w:pPr>
            <w:r w:rsidRPr="00FC71BE">
              <w:rPr>
                <w:noProof w:val="0"/>
              </w:rPr>
              <w:t>(b) Double layer machine</w:t>
            </w:r>
          </w:p>
        </w:tc>
      </w:tr>
    </w:tbl>
    <w:p w14:paraId="62C9C632" w14:textId="540BB2B1" w:rsidR="00406EF8" w:rsidRPr="00FC71BE" w:rsidRDefault="00406EF8" w:rsidP="00406EF8">
      <w:pPr>
        <w:pStyle w:val="FigureTitle"/>
      </w:pPr>
      <w:bookmarkStart w:id="341" w:name="_Ref141209418"/>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18</w:t>
        </w:r>
      </w:fldSimple>
      <w:bookmarkEnd w:id="341"/>
      <w:r w:rsidRPr="00FC71BE">
        <w:t>.  Maximum coil temperature of each phase for investigated machines.</w:t>
      </w:r>
    </w:p>
    <w:p w14:paraId="71C556B6" w14:textId="77777777" w:rsidR="00406EF8" w:rsidRPr="00FC71BE" w:rsidRDefault="00406EF8" w:rsidP="00406EF8">
      <w:pPr>
        <w:pStyle w:val="Figure"/>
        <w:rPr>
          <w:noProof w:val="0"/>
        </w:rPr>
      </w:pPr>
      <w:r w:rsidRPr="00FC71BE">
        <w:lastRenderedPageBreak/>
        <w:drawing>
          <wp:inline distT="0" distB="0" distL="0" distR="0" wp14:anchorId="2D8CEE90" wp14:editId="34EDAA5C">
            <wp:extent cx="4079744" cy="2448000"/>
            <wp:effectExtent l="0" t="0" r="0" b="0"/>
            <wp:docPr id="224" name="Picture 224" descr="Chart&#10;&#10;Description automatically generated">
              <a:extLst xmlns:a="http://schemas.openxmlformats.org/drawingml/2006/main">
                <a:ext uri="{FF2B5EF4-FFF2-40B4-BE49-F238E27FC236}">
                  <a16:creationId xmlns:a16="http://schemas.microsoft.com/office/drawing/2014/main" id="{7D30CC3C-60DA-4879-9A7B-3503D2CE14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3" descr="Chart&#10;&#10;Description automatically generated">
                      <a:extLst>
                        <a:ext uri="{FF2B5EF4-FFF2-40B4-BE49-F238E27FC236}">
                          <a16:creationId xmlns:a16="http://schemas.microsoft.com/office/drawing/2014/main" id="{7D30CC3C-60DA-4879-9A7B-3503D2CE14AD}"/>
                        </a:ext>
                      </a:extLst>
                    </pic:cNvPr>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079744" cy="2448000"/>
                    </a:xfrm>
                    <a:prstGeom prst="rect">
                      <a:avLst/>
                    </a:prstGeom>
                  </pic:spPr>
                </pic:pic>
              </a:graphicData>
            </a:graphic>
          </wp:inline>
        </w:drawing>
      </w:r>
    </w:p>
    <w:p w14:paraId="3A9C6932" w14:textId="130EA4DE" w:rsidR="00406EF8" w:rsidRPr="00FC71BE" w:rsidRDefault="00406EF8" w:rsidP="00406EF8">
      <w:pPr>
        <w:pStyle w:val="FigureTitle"/>
      </w:pPr>
      <w:bookmarkStart w:id="342" w:name="_Ref141354599"/>
      <w:r w:rsidRPr="00FC71BE">
        <w:t xml:space="preserve">Fig. </w:t>
      </w:r>
      <w:fldSimple w:instr=" STYLEREF 1 \s ">
        <w:r w:rsidR="007E62C1" w:rsidRPr="00FC71BE">
          <w:rPr>
            <w:noProof/>
          </w:rPr>
          <w:t>5</w:t>
        </w:r>
      </w:fldSimple>
      <w:r w:rsidRPr="00FC71BE">
        <w:t>.</w:t>
      </w:r>
      <w:fldSimple w:instr=" SEQ Fig. \* ARABIC \s 1 ">
        <w:r w:rsidR="007E62C1" w:rsidRPr="00FC71BE">
          <w:rPr>
            <w:noProof/>
          </w:rPr>
          <w:t>19</w:t>
        </w:r>
      </w:fldSimple>
      <w:bookmarkEnd w:id="342"/>
      <w:r w:rsidRPr="00FC71BE">
        <w:t>.  Absolute value of current in each phase vs rotor position for 180 Elec. Deg.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7A751844" w14:textId="77777777">
        <w:tc>
          <w:tcPr>
            <w:tcW w:w="4508" w:type="dxa"/>
            <w:vAlign w:val="center"/>
          </w:tcPr>
          <w:p w14:paraId="4C081EB5" w14:textId="382E9F9E" w:rsidR="00406EF8" w:rsidRPr="00FC71BE" w:rsidRDefault="0013359B">
            <w:pPr>
              <w:pStyle w:val="Figure"/>
              <w:rPr>
                <w:noProof w:val="0"/>
              </w:rPr>
            </w:pPr>
            <w:r w:rsidRPr="00FC71BE">
              <w:drawing>
                <wp:inline distT="0" distB="0" distL="0" distR="0" wp14:anchorId="6FAE42F8" wp14:editId="573B01EF">
                  <wp:extent cx="2247394" cy="2160000"/>
                  <wp:effectExtent l="0" t="0" r="635" b="0"/>
                  <wp:docPr id="130085091" name="Picture 130085091">
                    <a:extLst xmlns:a="http://schemas.openxmlformats.org/drawingml/2006/main">
                      <a:ext uri="{FF2B5EF4-FFF2-40B4-BE49-F238E27FC236}">
                        <a16:creationId xmlns:a16="http://schemas.microsoft.com/office/drawing/2014/main" id="{7C879A0F-B78C-5A8A-6125-EE02714E2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C879A0F-B78C-5A8A-6125-EE02714E22FD}"/>
                              </a:ext>
                            </a:extLst>
                          </pic:cNvPr>
                          <pic:cNvPicPr>
                            <a:picLocks noChangeAspect="1"/>
                          </pic:cNvPicPr>
                        </pic:nvPicPr>
                        <pic:blipFill rotWithShape="1">
                          <a:blip r:embed="rId241"/>
                          <a:srcRect l="11602" t="6944" r="15576" b="10556"/>
                          <a:stretch/>
                        </pic:blipFill>
                        <pic:spPr>
                          <a:xfrm>
                            <a:off x="0" y="0"/>
                            <a:ext cx="2247394" cy="2160000"/>
                          </a:xfrm>
                          <a:prstGeom prst="rect">
                            <a:avLst/>
                          </a:prstGeom>
                        </pic:spPr>
                      </pic:pic>
                    </a:graphicData>
                  </a:graphic>
                </wp:inline>
              </w:drawing>
            </w:r>
          </w:p>
        </w:tc>
        <w:tc>
          <w:tcPr>
            <w:tcW w:w="4508" w:type="dxa"/>
            <w:vAlign w:val="center"/>
          </w:tcPr>
          <w:p w14:paraId="6E8EE1B0" w14:textId="2D99E70E" w:rsidR="00406EF8" w:rsidRPr="00FC71BE" w:rsidRDefault="006B2F1D">
            <w:pPr>
              <w:pStyle w:val="Figure"/>
              <w:rPr>
                <w:noProof w:val="0"/>
              </w:rPr>
            </w:pPr>
            <w:r w:rsidRPr="00FC71BE">
              <w:drawing>
                <wp:inline distT="0" distB="0" distL="0" distR="0" wp14:anchorId="0441D1DE" wp14:editId="4D0132D7">
                  <wp:extent cx="2250766" cy="2160000"/>
                  <wp:effectExtent l="0" t="0" r="0" b="0"/>
                  <wp:docPr id="990387101" name="Picture 990387101">
                    <a:extLst xmlns:a="http://schemas.openxmlformats.org/drawingml/2006/main">
                      <a:ext uri="{FF2B5EF4-FFF2-40B4-BE49-F238E27FC236}">
                        <a16:creationId xmlns:a16="http://schemas.microsoft.com/office/drawing/2014/main" id="{23D23B86-7DD9-28D9-19E1-45EC92D247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3D23B86-7DD9-28D9-19E1-45EC92D24771}"/>
                              </a:ext>
                            </a:extLst>
                          </pic:cNvPr>
                          <pic:cNvPicPr>
                            <a:picLocks noChangeAspect="1"/>
                          </pic:cNvPicPr>
                        </pic:nvPicPr>
                        <pic:blipFill rotWithShape="1">
                          <a:blip r:embed="rId242"/>
                          <a:srcRect l="11421" t="7083" r="15522" b="10278"/>
                          <a:stretch/>
                        </pic:blipFill>
                        <pic:spPr>
                          <a:xfrm>
                            <a:off x="0" y="0"/>
                            <a:ext cx="2250766" cy="2160000"/>
                          </a:xfrm>
                          <a:prstGeom prst="rect">
                            <a:avLst/>
                          </a:prstGeom>
                        </pic:spPr>
                      </pic:pic>
                    </a:graphicData>
                  </a:graphic>
                </wp:inline>
              </w:drawing>
            </w:r>
          </w:p>
        </w:tc>
      </w:tr>
      <w:tr w:rsidR="00FC71BE" w:rsidRPr="00FC71BE" w14:paraId="644CDF10" w14:textId="77777777">
        <w:tc>
          <w:tcPr>
            <w:tcW w:w="9016" w:type="dxa"/>
            <w:gridSpan w:val="2"/>
            <w:vAlign w:val="center"/>
          </w:tcPr>
          <w:p w14:paraId="7930E84E" w14:textId="77777777" w:rsidR="00406EF8" w:rsidRPr="00FC71BE" w:rsidRDefault="00406EF8">
            <w:pPr>
              <w:pStyle w:val="Figure"/>
              <w:rPr>
                <w:noProof w:val="0"/>
              </w:rPr>
            </w:pPr>
            <w:r w:rsidRPr="00FC71BE">
              <w:drawing>
                <wp:inline distT="0" distB="0" distL="0" distR="0" wp14:anchorId="03280CCB" wp14:editId="327F8989">
                  <wp:extent cx="3993827" cy="522514"/>
                  <wp:effectExtent l="0" t="0" r="0" b="0"/>
                  <wp:docPr id="572725811" name="Picture 572725811" descr="A colorful rectangular object with black background&#10;&#10;Description automatically generated with medium confidence">
                    <a:extLst xmlns:a="http://schemas.openxmlformats.org/drawingml/2006/main">
                      <a:ext uri="{FF2B5EF4-FFF2-40B4-BE49-F238E27FC236}">
                        <a16:creationId xmlns:a16="http://schemas.microsoft.com/office/drawing/2014/main" id="{7DE9A187-AB38-46B6-B47C-F28CC406D1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25811" name="Picture 572725811" descr="A colorful rectangular object with black background&#10;&#10;Description automatically generated with medium confidence">
                            <a:extLst>
                              <a:ext uri="{FF2B5EF4-FFF2-40B4-BE49-F238E27FC236}">
                                <a16:creationId xmlns:a16="http://schemas.microsoft.com/office/drawing/2014/main" id="{7DE9A187-AB38-46B6-B47C-F28CC406D1AF}"/>
                              </a:ext>
                            </a:extLst>
                          </pic:cNvPr>
                          <pic:cNvPicPr>
                            <a:picLocks noChangeAspect="1"/>
                          </pic:cNvPicPr>
                        </pic:nvPicPr>
                        <pic:blipFill rotWithShape="1">
                          <a:blip r:embed="rId243"/>
                          <a:srcRect l="1769" t="11223" r="2214" b="15957"/>
                          <a:stretch/>
                        </pic:blipFill>
                        <pic:spPr>
                          <a:xfrm>
                            <a:off x="0" y="0"/>
                            <a:ext cx="4125340" cy="539720"/>
                          </a:xfrm>
                          <a:prstGeom prst="rect">
                            <a:avLst/>
                          </a:prstGeom>
                        </pic:spPr>
                      </pic:pic>
                    </a:graphicData>
                  </a:graphic>
                </wp:inline>
              </w:drawing>
            </w:r>
          </w:p>
        </w:tc>
      </w:tr>
      <w:tr w:rsidR="00FC71BE" w:rsidRPr="00FC71BE" w14:paraId="4C83CB65" w14:textId="77777777">
        <w:tc>
          <w:tcPr>
            <w:tcW w:w="4508" w:type="dxa"/>
            <w:vAlign w:val="center"/>
          </w:tcPr>
          <w:p w14:paraId="741643D9" w14:textId="77777777" w:rsidR="00406EF8" w:rsidRPr="00FC71BE" w:rsidRDefault="00406EF8">
            <w:pPr>
              <w:pStyle w:val="Figure"/>
              <w:rPr>
                <w:noProof w:val="0"/>
              </w:rPr>
            </w:pPr>
            <w:r w:rsidRPr="00FC71BE">
              <w:rPr>
                <w:noProof w:val="0"/>
              </w:rPr>
              <w:t>(a) Single layer (model 1)</w:t>
            </w:r>
          </w:p>
        </w:tc>
        <w:tc>
          <w:tcPr>
            <w:tcW w:w="4508" w:type="dxa"/>
            <w:vAlign w:val="center"/>
          </w:tcPr>
          <w:p w14:paraId="1535D046" w14:textId="77777777" w:rsidR="00406EF8" w:rsidRPr="00FC71BE" w:rsidRDefault="00406EF8">
            <w:pPr>
              <w:pStyle w:val="Figure"/>
              <w:rPr>
                <w:noProof w:val="0"/>
              </w:rPr>
            </w:pPr>
            <w:r w:rsidRPr="00FC71BE">
              <w:rPr>
                <w:noProof w:val="0"/>
              </w:rPr>
              <w:t>(b) Single layer (model 2)</w:t>
            </w:r>
          </w:p>
        </w:tc>
      </w:tr>
      <w:tr w:rsidR="00FC71BE" w:rsidRPr="00FC71BE" w14:paraId="70691C97" w14:textId="77777777">
        <w:tc>
          <w:tcPr>
            <w:tcW w:w="4508" w:type="dxa"/>
            <w:vAlign w:val="center"/>
          </w:tcPr>
          <w:p w14:paraId="771EC3D8" w14:textId="45EB5BAC" w:rsidR="00406EF8" w:rsidRPr="00FC71BE" w:rsidRDefault="00A468DB">
            <w:pPr>
              <w:pStyle w:val="Figure"/>
              <w:rPr>
                <w:noProof w:val="0"/>
              </w:rPr>
            </w:pPr>
            <w:r w:rsidRPr="00FC71BE">
              <w:drawing>
                <wp:inline distT="0" distB="0" distL="0" distR="0" wp14:anchorId="7128BCE2" wp14:editId="20550491">
                  <wp:extent cx="2241451" cy="2160000"/>
                  <wp:effectExtent l="0" t="0" r="6985" b="0"/>
                  <wp:docPr id="890728797" name="Picture 890728797">
                    <a:extLst xmlns:a="http://schemas.openxmlformats.org/drawingml/2006/main">
                      <a:ext uri="{FF2B5EF4-FFF2-40B4-BE49-F238E27FC236}">
                        <a16:creationId xmlns:a16="http://schemas.microsoft.com/office/drawing/2014/main" id="{6BC10580-4A0C-B250-C90F-7CB56301B1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BC10580-4A0C-B250-C90F-7CB56301B185}"/>
                              </a:ext>
                            </a:extLst>
                          </pic:cNvPr>
                          <pic:cNvPicPr>
                            <a:picLocks noChangeAspect="1"/>
                          </pic:cNvPicPr>
                        </pic:nvPicPr>
                        <pic:blipFill>
                          <a:blip r:embed="rId244"/>
                          <a:stretch>
                            <a:fillRect/>
                          </a:stretch>
                        </pic:blipFill>
                        <pic:spPr>
                          <a:xfrm>
                            <a:off x="0" y="0"/>
                            <a:ext cx="2241451" cy="2160000"/>
                          </a:xfrm>
                          <a:prstGeom prst="rect">
                            <a:avLst/>
                          </a:prstGeom>
                        </pic:spPr>
                      </pic:pic>
                    </a:graphicData>
                  </a:graphic>
                </wp:inline>
              </w:drawing>
            </w:r>
          </w:p>
        </w:tc>
        <w:tc>
          <w:tcPr>
            <w:tcW w:w="4508" w:type="dxa"/>
            <w:vAlign w:val="center"/>
          </w:tcPr>
          <w:p w14:paraId="724C33B8" w14:textId="1502974F" w:rsidR="00406EF8" w:rsidRPr="00FC71BE" w:rsidRDefault="002E093C">
            <w:pPr>
              <w:pStyle w:val="Figure"/>
              <w:rPr>
                <w:noProof w:val="0"/>
              </w:rPr>
            </w:pPr>
            <w:r w:rsidRPr="00FC71BE">
              <w:drawing>
                <wp:inline distT="0" distB="0" distL="0" distR="0" wp14:anchorId="1F737609" wp14:editId="05EAB773">
                  <wp:extent cx="2260423" cy="2160000"/>
                  <wp:effectExtent l="0" t="0" r="6985" b="0"/>
                  <wp:docPr id="149732138" name="Picture 149732138">
                    <a:extLst xmlns:a="http://schemas.openxmlformats.org/drawingml/2006/main">
                      <a:ext uri="{FF2B5EF4-FFF2-40B4-BE49-F238E27FC236}">
                        <a16:creationId xmlns:a16="http://schemas.microsoft.com/office/drawing/2014/main" id="{4C9474E5-567A-AB7A-F012-1D4D2EE033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C9474E5-567A-AB7A-F012-1D4D2EE03345}"/>
                              </a:ext>
                            </a:extLst>
                          </pic:cNvPr>
                          <pic:cNvPicPr>
                            <a:picLocks noChangeAspect="1"/>
                          </pic:cNvPicPr>
                        </pic:nvPicPr>
                        <pic:blipFill rotWithShape="1">
                          <a:blip r:embed="rId245"/>
                          <a:srcRect l="11853" t="7221" r="15466" b="10917"/>
                          <a:stretch/>
                        </pic:blipFill>
                        <pic:spPr>
                          <a:xfrm>
                            <a:off x="0" y="0"/>
                            <a:ext cx="2260423" cy="2160000"/>
                          </a:xfrm>
                          <a:prstGeom prst="rect">
                            <a:avLst/>
                          </a:prstGeom>
                        </pic:spPr>
                      </pic:pic>
                    </a:graphicData>
                  </a:graphic>
                </wp:inline>
              </w:drawing>
            </w:r>
          </w:p>
        </w:tc>
      </w:tr>
      <w:tr w:rsidR="00FC71BE" w:rsidRPr="00FC71BE" w14:paraId="00E5CC87" w14:textId="77777777">
        <w:tc>
          <w:tcPr>
            <w:tcW w:w="9016" w:type="dxa"/>
            <w:gridSpan w:val="2"/>
            <w:vAlign w:val="center"/>
          </w:tcPr>
          <w:p w14:paraId="0B7ACBB6" w14:textId="77777777" w:rsidR="00406EF8" w:rsidRPr="00FC71BE" w:rsidRDefault="00406EF8">
            <w:pPr>
              <w:pStyle w:val="Figure"/>
              <w:rPr>
                <w:noProof w:val="0"/>
              </w:rPr>
            </w:pPr>
            <w:r w:rsidRPr="00FC71BE">
              <w:drawing>
                <wp:inline distT="0" distB="0" distL="0" distR="0" wp14:anchorId="6E72BDE4" wp14:editId="42EBD860">
                  <wp:extent cx="4204841" cy="558141"/>
                  <wp:effectExtent l="0" t="0" r="0" b="0"/>
                  <wp:docPr id="704740049" name="Picture 704740049" descr="A picture containing graphical user interface&#10;&#10;Description automatically generated">
                    <a:extLst xmlns:a="http://schemas.openxmlformats.org/drawingml/2006/main">
                      <a:ext uri="{FF2B5EF4-FFF2-40B4-BE49-F238E27FC236}">
                        <a16:creationId xmlns:a16="http://schemas.microsoft.com/office/drawing/2014/main" id="{7521A0ED-4DD8-42FD-B542-26129EB18A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A picture containing graphical user interface&#10;&#10;Description automatically generated">
                            <a:extLst>
                              <a:ext uri="{FF2B5EF4-FFF2-40B4-BE49-F238E27FC236}">
                                <a16:creationId xmlns:a16="http://schemas.microsoft.com/office/drawing/2014/main" id="{7521A0ED-4DD8-42FD-B542-26129EB18AE5}"/>
                              </a:ext>
                            </a:extLst>
                          </pic:cNvPr>
                          <pic:cNvPicPr>
                            <a:picLocks noChangeAspect="1"/>
                          </pic:cNvPicPr>
                        </pic:nvPicPr>
                        <pic:blipFill rotWithShape="1">
                          <a:blip r:embed="rId246"/>
                          <a:srcRect t="10373" b="14313"/>
                          <a:stretch/>
                        </pic:blipFill>
                        <pic:spPr>
                          <a:xfrm>
                            <a:off x="0" y="0"/>
                            <a:ext cx="4344110" cy="576627"/>
                          </a:xfrm>
                          <a:prstGeom prst="rect">
                            <a:avLst/>
                          </a:prstGeom>
                        </pic:spPr>
                      </pic:pic>
                    </a:graphicData>
                  </a:graphic>
                </wp:inline>
              </w:drawing>
            </w:r>
          </w:p>
        </w:tc>
      </w:tr>
      <w:tr w:rsidR="00FC71BE" w:rsidRPr="00FC71BE" w14:paraId="0573F803" w14:textId="77777777">
        <w:tc>
          <w:tcPr>
            <w:tcW w:w="4508" w:type="dxa"/>
            <w:vAlign w:val="center"/>
          </w:tcPr>
          <w:p w14:paraId="0AE40E7E" w14:textId="77777777" w:rsidR="00406EF8" w:rsidRPr="00FC71BE" w:rsidRDefault="00406EF8">
            <w:pPr>
              <w:pStyle w:val="Figure"/>
              <w:rPr>
                <w:noProof w:val="0"/>
              </w:rPr>
            </w:pPr>
            <w:r w:rsidRPr="00FC71BE">
              <w:rPr>
                <w:noProof w:val="0"/>
              </w:rPr>
              <w:t>(c) Double layer (model 1)</w:t>
            </w:r>
          </w:p>
        </w:tc>
        <w:tc>
          <w:tcPr>
            <w:tcW w:w="4508" w:type="dxa"/>
            <w:vAlign w:val="center"/>
          </w:tcPr>
          <w:p w14:paraId="6A0CBB22" w14:textId="77777777" w:rsidR="00406EF8" w:rsidRPr="00FC71BE" w:rsidRDefault="00406EF8">
            <w:pPr>
              <w:pStyle w:val="Figure"/>
              <w:rPr>
                <w:noProof w:val="0"/>
              </w:rPr>
            </w:pPr>
            <w:r w:rsidRPr="00FC71BE">
              <w:rPr>
                <w:noProof w:val="0"/>
              </w:rPr>
              <w:t>(d) Double layer (model 2)</w:t>
            </w:r>
          </w:p>
        </w:tc>
      </w:tr>
    </w:tbl>
    <w:p w14:paraId="4CFE2F0E" w14:textId="1535A11F" w:rsidR="00406EF8" w:rsidRPr="00FC71BE" w:rsidRDefault="00406EF8" w:rsidP="00406EF8">
      <w:pPr>
        <w:pStyle w:val="FigureTitle"/>
      </w:pPr>
      <w:bookmarkStart w:id="343" w:name="_Ref141432037"/>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20</w:t>
        </w:r>
      </w:fldSimple>
      <w:bookmarkEnd w:id="343"/>
      <w:r w:rsidRPr="00FC71BE">
        <w:t>.  Fluid flow velocity at plane 1 for investigated machines by different models.</w:t>
      </w:r>
    </w:p>
    <w:p w14:paraId="4E600D1E" w14:textId="77777777" w:rsidR="00406EF8" w:rsidRPr="00FC71BE" w:rsidRDefault="00406EF8" w:rsidP="00494ACD">
      <w:pPr>
        <w:pStyle w:val="Heading5"/>
        <w:rPr>
          <w:lang w:val="en-GB"/>
        </w:rPr>
      </w:pPr>
      <w:r w:rsidRPr="00FC71BE">
        <w:rPr>
          <w:lang w:val="en-GB"/>
        </w:rPr>
        <w:lastRenderedPageBreak/>
        <w:t>Double layer windings</w:t>
      </w:r>
    </w:p>
    <w:p w14:paraId="55E41A5A" w14:textId="792908C6" w:rsidR="00406EF8" w:rsidRPr="00FC71BE" w:rsidRDefault="00406EF8" w:rsidP="00406EF8">
      <w:r w:rsidRPr="00FC71BE">
        <w:t xml:space="preserve">The same models have also been built to simulate the thermal performances of the double layer SPM machine, and the variations of peak winding temperatures obtained by different models are shown in </w:t>
      </w:r>
      <w:r w:rsidRPr="00FC71BE">
        <w:fldChar w:fldCharType="begin"/>
      </w:r>
      <w:r w:rsidRPr="00FC71BE">
        <w:instrText xml:space="preserve"> REF _Ref141209418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18</w:t>
      </w:r>
      <w:r w:rsidRPr="00FC71BE">
        <w:fldChar w:fldCharType="end"/>
      </w:r>
      <w:r w:rsidRPr="00FC71BE">
        <w:t xml:space="preserve"> (b). After the ferrofluid is introduced, the winding peak temperature is significantly reduced from</w:t>
      </w:r>
      <w:r w:rsidRPr="00FC71BE">
        <w:rPr>
          <w:rStyle w:val="CommentReference"/>
        </w:rPr>
        <w:t xml:space="preserve"> </w:t>
      </w:r>
      <w:r w:rsidRPr="00FC71BE">
        <w:t>141</w:t>
      </w:r>
      <m:oMath>
        <m:r>
          <w:rPr>
            <w:rFonts w:ascii="Cambria Math" w:hAnsi="Cambria Math"/>
          </w:rPr>
          <m:t>℃</m:t>
        </m:r>
      </m:oMath>
      <w:r w:rsidRPr="00FC71BE">
        <w:t xml:space="preserve"> to 133</w:t>
      </w:r>
      <m:oMath>
        <m:r>
          <w:rPr>
            <w:rFonts w:ascii="Cambria Math" w:hAnsi="Cambria Math"/>
          </w:rPr>
          <m:t>℃</m:t>
        </m:r>
      </m:oMath>
      <w:r w:rsidRPr="00FC71BE">
        <w:t xml:space="preserve"> (obtained by model 1) or 135</w:t>
      </w:r>
      <m:oMath>
        <m:r>
          <w:rPr>
            <w:rFonts w:ascii="Cambria Math" w:hAnsi="Cambria Math"/>
          </w:rPr>
          <m:t>℃</m:t>
        </m:r>
      </m:oMath>
      <w:r w:rsidRPr="00FC71BE">
        <w:t xml:space="preserve"> (obtained by model 2). In addition, similar to the single layer machine, the difference between the winding temperatures obtained by models 1 and 2 for the double layer machine is only 1.5%, which is also negligible. However, model 1 cannot well estimate the coolant velocity for the double layer machine as shown in </w:t>
      </w:r>
      <w:r w:rsidRPr="00FC71BE">
        <w:fldChar w:fldCharType="begin"/>
      </w:r>
      <w:r w:rsidRPr="00FC71BE">
        <w:instrText xml:space="preserve"> REF _Ref141432037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20</w:t>
      </w:r>
      <w:r w:rsidRPr="00FC71BE">
        <w:fldChar w:fldCharType="end"/>
      </w:r>
      <w:r w:rsidRPr="00FC71BE">
        <w:t xml:space="preserve"> (c) and (d).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is lower than 1 in most regions of the end space for the double layer machine, as shown in </w:t>
      </w:r>
      <w:r w:rsidRPr="00FC71BE">
        <w:fldChar w:fldCharType="begin"/>
      </w:r>
      <w:r w:rsidRPr="00FC71BE">
        <w:instrText xml:space="preserve"> REF _Ref141207682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17</w:t>
      </w:r>
      <w:r w:rsidRPr="00FC71BE">
        <w:fldChar w:fldCharType="end"/>
      </w:r>
      <w:r w:rsidRPr="00FC71BE">
        <w:t xml:space="preserve">. Model 1, which identifies </w:t>
      </w:r>
      <m:oMath>
        <m:sSub>
          <m:sSubPr>
            <m:ctrlPr>
              <w:rPr>
                <w:rFonts w:ascii="Cambria Math" w:hAnsi="Cambria Math"/>
                <w:i/>
              </w:rPr>
            </m:ctrlPr>
          </m:sSubPr>
          <m:e>
            <m:r>
              <m:rPr>
                <m:sty m:val="bi"/>
              </m:rPr>
              <w:rPr>
                <w:rFonts w:ascii="Cambria Math" w:hAnsi="Cambria Math"/>
              </w:rPr>
              <m:t>K</m:t>
            </m:r>
          </m:e>
          <m:sub>
            <m:d>
              <m:dPr>
                <m:ctrlPr>
                  <w:rPr>
                    <w:rFonts w:ascii="Cambria Math" w:hAnsi="Cambria Math"/>
                    <w:i/>
                  </w:rPr>
                </m:ctrlPr>
              </m:dPr>
              <m:e>
                <m:r>
                  <w:rPr>
                    <w:rFonts w:ascii="Cambria Math" w:hAnsi="Cambria Math"/>
                  </w:rPr>
                  <m:t>R</m:t>
                </m:r>
              </m:e>
            </m:d>
          </m:sub>
        </m:sSub>
      </m:oMath>
      <w:r w:rsidRPr="00FC71BE">
        <w:t xml:space="preserve"> as 1, overestimates the magnetic body, resulting in higher coolant velocity in most end-space regions of the double layer machine, as shown in </w:t>
      </w:r>
      <w:r w:rsidRPr="00FC71BE">
        <w:fldChar w:fldCharType="begin"/>
      </w:r>
      <w:r w:rsidRPr="00FC71BE">
        <w:instrText xml:space="preserve"> REF _Ref141432037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20</w:t>
      </w:r>
      <w:r w:rsidRPr="00FC71BE">
        <w:fldChar w:fldCharType="end"/>
      </w:r>
      <w:r w:rsidRPr="00FC71BE">
        <w:t xml:space="preserve"> (c) and (d). This inevitably leads to overestimation of the cooling efficiency.</w:t>
      </w:r>
    </w:p>
    <w:p w14:paraId="2AD3E276" w14:textId="56053EC6" w:rsidR="00406EF8" w:rsidRPr="00FC71BE" w:rsidRDefault="00406EF8" w:rsidP="00406EF8">
      <w:r w:rsidRPr="00FC71BE">
        <w:t>It is also found that, the temperature reduction in the double layer machine (8</w:t>
      </w:r>
      <m:oMath>
        <m:r>
          <w:rPr>
            <w:rFonts w:ascii="Cambria Math" w:hAnsi="Cambria Math"/>
          </w:rPr>
          <m:t>℃</m:t>
        </m:r>
      </m:oMath>
      <w:r w:rsidRPr="00FC71BE">
        <w:t xml:space="preserve"> or 6</w:t>
      </w:r>
      <m:oMath>
        <m:r>
          <w:rPr>
            <w:rFonts w:ascii="Cambria Math" w:hAnsi="Cambria Math"/>
          </w:rPr>
          <m:t>℃</m:t>
        </m:r>
      </m:oMath>
      <w:r w:rsidRPr="00FC71BE">
        <w:t>) is lower than that of the single layer design (13</w:t>
      </w:r>
      <m:oMath>
        <m:r>
          <w:rPr>
            <w:rFonts w:ascii="Cambria Math" w:hAnsi="Cambria Math"/>
          </w:rPr>
          <m:t>℃</m:t>
        </m:r>
      </m:oMath>
      <w:r w:rsidRPr="00FC71BE">
        <w:t xml:space="preserve"> and 15</w:t>
      </w:r>
      <m:oMath>
        <m:r>
          <w:rPr>
            <w:rFonts w:ascii="Cambria Math" w:hAnsi="Cambria Math"/>
          </w:rPr>
          <m:t>℃</m:t>
        </m:r>
      </m:oMath>
      <w:r w:rsidRPr="00FC71BE">
        <w:t xml:space="preserve">). This is mainly because the number of turns per coil of the double layer winding is half of that of the single layer winding. This leads to lower magnetic field strength (see </w:t>
      </w:r>
      <w:r w:rsidRPr="00FC71BE">
        <w:fldChar w:fldCharType="begin"/>
      </w:r>
      <w:r w:rsidRPr="00FC71BE">
        <w:instrText xml:space="preserve"> REF _Ref141435127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21</w:t>
      </w:r>
      <w:r w:rsidRPr="00FC71BE">
        <w:fldChar w:fldCharType="end"/>
      </w:r>
      <w:r w:rsidRPr="00FC71BE">
        <w:t xml:space="preserve">) in the end space of the double layer machine. The lower value and smaller gradient of magnetic field strength lead to lower magnetic body force for the double layer machine. Therefore, the fluid velocity for the double layer machine is lower than that of the single layer counterpart, as shown in </w:t>
      </w:r>
      <w:r w:rsidRPr="00FC71BE">
        <w:fldChar w:fldCharType="begin"/>
      </w:r>
      <w:r w:rsidRPr="00FC71BE">
        <w:instrText xml:space="preserve"> REF _Ref141432037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20</w:t>
      </w:r>
      <w:r w:rsidRPr="00FC71BE">
        <w:fldChar w:fldCharType="end"/>
      </w:r>
      <w:r w:rsidRPr="00FC71BE">
        <w:t>. The simulation results reveal that the single layer machine benefits more from the ferrofluid cooling system due to its more significant thermomagnetic convection.</w:t>
      </w:r>
    </w:p>
    <w:p w14:paraId="1DA394B2" w14:textId="5BB23CBD" w:rsidR="00406EF8" w:rsidRPr="00FC71BE" w:rsidRDefault="00406EF8" w:rsidP="00406EF8">
      <w:r w:rsidRPr="00FC71BE">
        <w:t xml:space="preserve">Similar to the single layer machine, the cooling efficiency of ferrofluid for the double layer machine will also be improved when the electrical loading increases. As shown in </w:t>
      </w:r>
      <w:r w:rsidRPr="00FC71BE">
        <w:fldChar w:fldCharType="begin"/>
      </w:r>
      <w:r w:rsidRPr="00FC71BE">
        <w:instrText xml:space="preserve"> REF _Ref141189219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16</w:t>
      </w:r>
      <w:r w:rsidRPr="00FC71BE">
        <w:fldChar w:fldCharType="end"/>
      </w:r>
      <w:r w:rsidRPr="00FC71BE">
        <w:t xml:space="preserve"> (b), the thermomagnetic effect is also more significant when the current density increases. Using ferrofluid to replace nanofluid can improve machine temperature reduction from 8</w:t>
      </w:r>
      <m:oMath>
        <m:r>
          <w:rPr>
            <w:rFonts w:ascii="Cambria Math" w:hAnsi="Cambria Math"/>
          </w:rPr>
          <m:t>℃</m:t>
        </m:r>
      </m:oMath>
      <w:r w:rsidRPr="00FC71BE">
        <w:t xml:space="preserve"> (current density at 18.4A/mm</w:t>
      </w:r>
      <w:r w:rsidRPr="00FC71BE">
        <w:rPr>
          <w:vertAlign w:val="superscript"/>
        </w:rPr>
        <w:t>2</w:t>
      </w:r>
      <w:r w:rsidRPr="00FC71BE">
        <w:t>) to 20</w:t>
      </w:r>
      <m:oMath>
        <m:r>
          <w:rPr>
            <w:rFonts w:ascii="Cambria Math" w:hAnsi="Cambria Math"/>
          </w:rPr>
          <m:t>℃</m:t>
        </m:r>
      </m:oMath>
      <w:r w:rsidRPr="00FC71BE">
        <w:t xml:space="preserve"> (current density at 22.1A/mm</w:t>
      </w:r>
      <w:r w:rsidRPr="00FC71BE">
        <w:rPr>
          <w:vertAlign w:val="superscript"/>
        </w:rPr>
        <w:t>2</w:t>
      </w:r>
      <w:r w:rsidRPr="00FC71B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6FED3B37" w14:textId="77777777">
        <w:tc>
          <w:tcPr>
            <w:tcW w:w="4508" w:type="dxa"/>
            <w:vAlign w:val="center"/>
          </w:tcPr>
          <w:p w14:paraId="278C439D" w14:textId="77777777" w:rsidR="00406EF8" w:rsidRPr="00FC71BE" w:rsidRDefault="00406EF8">
            <w:pPr>
              <w:pStyle w:val="Figure"/>
              <w:rPr>
                <w:noProof w:val="0"/>
              </w:rPr>
            </w:pPr>
            <w:r w:rsidRPr="00FC71BE">
              <w:lastRenderedPageBreak/>
              <w:drawing>
                <wp:inline distT="0" distB="0" distL="0" distR="0" wp14:anchorId="6CD8C126" wp14:editId="17C36DC4">
                  <wp:extent cx="2163435" cy="2160000"/>
                  <wp:effectExtent l="0" t="0" r="8890" b="0"/>
                  <wp:docPr id="1291770621" name="Picture 1291770621" descr="Schematic&#10;&#10;Description automatically generated">
                    <a:extLst xmlns:a="http://schemas.openxmlformats.org/drawingml/2006/main">
                      <a:ext uri="{FF2B5EF4-FFF2-40B4-BE49-F238E27FC236}">
                        <a16:creationId xmlns:a16="http://schemas.microsoft.com/office/drawing/2014/main" id="{1C1B1AB4-1979-41CC-8FE5-B042415201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hematic&#10;&#10;Description automatically generated">
                            <a:extLst>
                              <a:ext uri="{FF2B5EF4-FFF2-40B4-BE49-F238E27FC236}">
                                <a16:creationId xmlns:a16="http://schemas.microsoft.com/office/drawing/2014/main" id="{1C1B1AB4-1979-41CC-8FE5-B04241520106}"/>
                              </a:ext>
                            </a:extLst>
                          </pic:cNvPr>
                          <pic:cNvPicPr>
                            <a:picLocks noChangeAspect="1"/>
                          </pic:cNvPicPr>
                        </pic:nvPicPr>
                        <pic:blipFill rotWithShape="1">
                          <a:blip r:embed="rId247" cstate="print">
                            <a:extLst>
                              <a:ext uri="{28A0092B-C50C-407E-A947-70E740481C1C}">
                                <a14:useLocalDpi xmlns:a14="http://schemas.microsoft.com/office/drawing/2010/main" val="0"/>
                              </a:ext>
                            </a:extLst>
                          </a:blip>
                          <a:srcRect l="12434" t="4067" r="24680" b="4210"/>
                          <a:stretch/>
                        </pic:blipFill>
                        <pic:spPr>
                          <a:xfrm>
                            <a:off x="0" y="0"/>
                            <a:ext cx="2163435" cy="2160000"/>
                          </a:xfrm>
                          <a:prstGeom prst="rect">
                            <a:avLst/>
                          </a:prstGeom>
                        </pic:spPr>
                      </pic:pic>
                    </a:graphicData>
                  </a:graphic>
                </wp:inline>
              </w:drawing>
            </w:r>
          </w:p>
        </w:tc>
        <w:tc>
          <w:tcPr>
            <w:tcW w:w="4508" w:type="dxa"/>
            <w:vAlign w:val="center"/>
          </w:tcPr>
          <w:p w14:paraId="4B0A946F" w14:textId="77777777" w:rsidR="00406EF8" w:rsidRPr="00FC71BE" w:rsidRDefault="00406EF8">
            <w:pPr>
              <w:pStyle w:val="Figure"/>
              <w:rPr>
                <w:noProof w:val="0"/>
              </w:rPr>
            </w:pPr>
            <w:r w:rsidRPr="00FC71BE">
              <w:drawing>
                <wp:inline distT="0" distB="0" distL="0" distR="0" wp14:anchorId="32973569" wp14:editId="2F0A2A1F">
                  <wp:extent cx="2153161" cy="2160000"/>
                  <wp:effectExtent l="0" t="0" r="0" b="0"/>
                  <wp:docPr id="1028277129" name="Picture 102827712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hape&#10;&#10;Description automatically generated"/>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153161" cy="2160000"/>
                          </a:xfrm>
                          <a:prstGeom prst="rect">
                            <a:avLst/>
                          </a:prstGeom>
                          <a:noFill/>
                        </pic:spPr>
                      </pic:pic>
                    </a:graphicData>
                  </a:graphic>
                </wp:inline>
              </w:drawing>
            </w:r>
          </w:p>
        </w:tc>
      </w:tr>
      <w:tr w:rsidR="00FC71BE" w:rsidRPr="00FC71BE" w14:paraId="22A9A312" w14:textId="77777777">
        <w:tc>
          <w:tcPr>
            <w:tcW w:w="9016" w:type="dxa"/>
            <w:gridSpan w:val="2"/>
            <w:vAlign w:val="center"/>
          </w:tcPr>
          <w:p w14:paraId="7B05A576" w14:textId="77777777" w:rsidR="00406EF8" w:rsidRPr="00FC71BE" w:rsidRDefault="00406EF8">
            <w:pPr>
              <w:pStyle w:val="Figure"/>
              <w:rPr>
                <w:noProof w:val="0"/>
              </w:rPr>
            </w:pPr>
            <w:r w:rsidRPr="00FC71BE">
              <w:drawing>
                <wp:inline distT="0" distB="0" distL="0" distR="0" wp14:anchorId="14A1205B" wp14:editId="77415339">
                  <wp:extent cx="2948494" cy="468000"/>
                  <wp:effectExtent l="0" t="0" r="4445" b="0"/>
                  <wp:docPr id="1250701601" name="Picture 125070160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creenshot&#10;&#10;Description automatically generated"/>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948494" cy="468000"/>
                          </a:xfrm>
                          <a:prstGeom prst="rect">
                            <a:avLst/>
                          </a:prstGeom>
                          <a:noFill/>
                        </pic:spPr>
                      </pic:pic>
                    </a:graphicData>
                  </a:graphic>
                </wp:inline>
              </w:drawing>
            </w:r>
          </w:p>
        </w:tc>
      </w:tr>
      <w:tr w:rsidR="00FC71BE" w:rsidRPr="00FC71BE" w14:paraId="41945DF4" w14:textId="77777777">
        <w:tc>
          <w:tcPr>
            <w:tcW w:w="4508" w:type="dxa"/>
            <w:vAlign w:val="center"/>
          </w:tcPr>
          <w:p w14:paraId="60E19F1C" w14:textId="77777777" w:rsidR="00406EF8" w:rsidRPr="00FC71BE" w:rsidRDefault="00406EF8">
            <w:pPr>
              <w:pStyle w:val="Figure"/>
              <w:rPr>
                <w:noProof w:val="0"/>
              </w:rPr>
            </w:pPr>
            <w:r w:rsidRPr="00FC71BE">
              <w:rPr>
                <w:noProof w:val="0"/>
              </w:rPr>
              <w:t>(a) Single layer</w:t>
            </w:r>
          </w:p>
        </w:tc>
        <w:tc>
          <w:tcPr>
            <w:tcW w:w="4508" w:type="dxa"/>
            <w:vAlign w:val="center"/>
          </w:tcPr>
          <w:p w14:paraId="4AA1F081" w14:textId="77777777" w:rsidR="00406EF8" w:rsidRPr="00FC71BE" w:rsidRDefault="00406EF8">
            <w:pPr>
              <w:pStyle w:val="Figure"/>
              <w:rPr>
                <w:noProof w:val="0"/>
              </w:rPr>
            </w:pPr>
            <w:r w:rsidRPr="00FC71BE">
              <w:rPr>
                <w:noProof w:val="0"/>
              </w:rPr>
              <w:t>(b) Double layer</w:t>
            </w:r>
          </w:p>
        </w:tc>
      </w:tr>
    </w:tbl>
    <w:p w14:paraId="73E5325A" w14:textId="3F07DC89" w:rsidR="00406EF8" w:rsidRPr="00FC71BE" w:rsidRDefault="00406EF8" w:rsidP="00406EF8">
      <w:pPr>
        <w:pStyle w:val="FigureTitle"/>
      </w:pPr>
      <w:bookmarkStart w:id="344" w:name="_Ref141435127"/>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21</w:t>
        </w:r>
      </w:fldSimple>
      <w:bookmarkEnd w:id="344"/>
      <w:r w:rsidRPr="00FC71BE">
        <w:t>.  Magnetic field strength distribution at plane 1 simulated by model 1 investigated machine at plane 1.</w:t>
      </w:r>
    </w:p>
    <w:p w14:paraId="3AC9A94C" w14:textId="77777777" w:rsidR="00406EF8" w:rsidRPr="00FC71BE" w:rsidRDefault="00406EF8" w:rsidP="00B86C68">
      <w:pPr>
        <w:pStyle w:val="Heading3"/>
        <w:numPr>
          <w:ilvl w:val="2"/>
          <w:numId w:val="49"/>
        </w:numPr>
      </w:pPr>
      <w:bookmarkStart w:id="345" w:name="_Toc157695399"/>
      <w:r w:rsidRPr="00FC71BE">
        <w:t>Electromagnetic Performances Considering Thermal Coupling Models</w:t>
      </w:r>
      <w:bookmarkEnd w:id="345"/>
    </w:p>
    <w:p w14:paraId="65709329" w14:textId="77777777" w:rsidR="00406EF8" w:rsidRPr="00FC71BE" w:rsidRDefault="00406EF8" w:rsidP="00406EF8">
      <w:r w:rsidRPr="00FC71BE">
        <w:t>The above results showed that if the advanced ferrofluid cooling is applied, the machine peak temperature can be significantly reduced. Since the B-H curve of PMs is temperature dependent, the reduction of machine temperature can improve the remanence of the PM material and hence the machine EM performance. The EM performances of the two SPM machines with different cooling systems will be compared in this section.</w:t>
      </w:r>
    </w:p>
    <w:p w14:paraId="2ACA81D5" w14:textId="394D7435" w:rsidR="00406EF8" w:rsidRPr="00FC71BE" w:rsidRDefault="00406EF8" w:rsidP="00406EF8">
      <w:r w:rsidRPr="00FC71BE">
        <w:t>It is worth noting that, to fully reveal the advantages of the ferrofluid cooling, the EM performances of the investigated machines will be compared under almost the same (</w:t>
      </w:r>
      <m:oMath>
        <m:r>
          <w:rPr>
            <w:rFonts w:ascii="Cambria Math" w:hAnsi="Cambria Math"/>
          </w:rPr>
          <m:t>±0.5%</m:t>
        </m:r>
      </m:oMath>
      <w:r w:rsidRPr="00FC71BE">
        <w:t xml:space="preserve">) maximum machine temperature. To meet this requirement, the amplitude of load current for different cooling methods will be different as shown in </w:t>
      </w:r>
      <w:r w:rsidRPr="00FC71BE">
        <w:fldChar w:fldCharType="begin"/>
      </w:r>
      <w:r w:rsidRPr="00FC71BE">
        <w:instrText xml:space="preserve"> REF _Ref141436787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5</w:t>
      </w:r>
      <w:r w:rsidRPr="00FC71BE">
        <w:fldChar w:fldCharType="end"/>
      </w:r>
      <w:r w:rsidRPr="00FC71BE">
        <w:t>. The poor thermal performance of the machines with air in the end-space allow much lower current density to be injected. When the nanofluid cooling is employed, the current density for both machines can be improved, especially for the double layer machine that benefits more from the nanofluid cooling method due to its larger surface area and shorter heat path between hot spot and the end-windings surface. Regarding the ferrofluid cooling, the current densities for both the machines are the same because the single layer machine has more significant thermomagnetic effect although its end-winding surface area is smaller.</w:t>
      </w:r>
    </w:p>
    <w:p w14:paraId="35E39E79" w14:textId="5C82DDCB" w:rsidR="00406EF8" w:rsidRPr="00FC71BE" w:rsidRDefault="00406EF8" w:rsidP="00406EF8">
      <w:r w:rsidRPr="00FC71BE">
        <w:fldChar w:fldCharType="begin"/>
      </w:r>
      <w:r w:rsidRPr="00FC71BE">
        <w:instrText xml:space="preserve"> REF _Ref141436781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6</w:t>
      </w:r>
      <w:r w:rsidRPr="00FC71BE">
        <w:fldChar w:fldCharType="end"/>
      </w:r>
      <w:r w:rsidRPr="00FC71BE">
        <w:t xml:space="preserve"> compares that the torque densities (torque per mass) of the single layer and double layer winding machines when the machine temperatures are almost the same. When nanofluid </w:t>
      </w:r>
      <w:r w:rsidRPr="00FC71BE">
        <w:lastRenderedPageBreak/>
        <w:t xml:space="preserve">is employed to replace air in the end-space, the machine mass is increased by around 0.19kg for both the investigated machines. However, the cooling efficiency for the single layer machine is lower than the double layer machine. Therefore, its torque density is reduced by 0.15Nm/kg, whilst for the double layer machine, it is increased by 0.08Nm/kg. By introducing ferrofluid, the machine thermal performance can be further improved, so does the torque density. However, even if the cooling efficiency of ferrofluid for single layer machine is better than the double layer machine, it is found that this high current density has irreversibly demagnetized the single layer machine. The torque constant of the single layer machine is reduced by 10% due to this irreversible demagnetization. Compared with the single layer machine, the demagnetization withstand capability of the double layer machine is better. Under the same load current, no irreversible demagnetization has occurred for the double layer machine. This allows the double layer machine to achieve a much higher torque density when ferrofluid is employed, as shown in </w:t>
      </w:r>
      <w:r w:rsidRPr="00FC71BE">
        <w:fldChar w:fldCharType="begin"/>
      </w:r>
      <w:r w:rsidRPr="00FC71BE">
        <w:instrText xml:space="preserve"> REF _Ref141436781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6</w:t>
      </w:r>
      <w:r w:rsidRPr="00FC71BE">
        <w:fldChar w:fldCharType="end"/>
      </w:r>
      <w:r w:rsidRPr="00FC71BE">
        <w:t>.</w:t>
      </w:r>
    </w:p>
    <w:p w14:paraId="7843567B" w14:textId="2F590026" w:rsidR="00406EF8" w:rsidRPr="00FC71BE" w:rsidRDefault="00406EF8" w:rsidP="00406EF8">
      <w:r w:rsidRPr="00FC71BE">
        <w:t xml:space="preserve">The torque-speed characteristics of the single layer and double layer machines with different cooling methods have also been compared under the same peak machine temperature, as shown in </w:t>
      </w:r>
      <w:r w:rsidRPr="00FC71BE">
        <w:fldChar w:fldCharType="begin"/>
      </w:r>
      <w:r w:rsidRPr="00FC71BE">
        <w:instrText xml:space="preserve"> REF _Ref141436835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22</w:t>
      </w:r>
      <w:r w:rsidRPr="00FC71BE">
        <w:fldChar w:fldCharType="end"/>
      </w:r>
      <w:r w:rsidRPr="00FC71BE">
        <w:t xml:space="preserve">. It is worth noting that, these characteristics are investigated based on EM-thermal coupling modelling. The results show that the base speed of the double layer machine is much higher than that of the single layer machine because the </w:t>
      </w:r>
      <w:r w:rsidRPr="00FC71BE">
        <w:rPr>
          <w:i/>
          <w:iCs/>
        </w:rPr>
        <w:t>d</w:t>
      </w:r>
      <w:r w:rsidRPr="00FC71BE">
        <w:t xml:space="preserve">- and </w:t>
      </w:r>
      <w:r w:rsidRPr="00FC71BE">
        <w:rPr>
          <w:i/>
          <w:iCs/>
        </w:rPr>
        <w:t>q</w:t>
      </w:r>
      <w:r w:rsidRPr="00FC71BE">
        <w:t>-axis inductances of the double layer machine are nearly half of those of the single layer machine. The torque in the maximum torque per ampere (MTPA) control region of the double layer machine is lower than that of the single layer machine because of its poorer thermal performance. However, benefited from its higher demagnetization withstand capability and thermal performance, the double layer machine with nanofluid and ferrofluid cooling will have higher maximum torque at MTPA control region, as well as better torque performance for the full speed range.</w:t>
      </w:r>
    </w:p>
    <w:p w14:paraId="4A59944F" w14:textId="365515DA" w:rsidR="00406EF8" w:rsidRPr="00FC71BE" w:rsidRDefault="00406EF8" w:rsidP="00406EF8">
      <w:pPr>
        <w:pStyle w:val="Tabletitle"/>
        <w:rPr>
          <w:color w:val="auto"/>
        </w:rPr>
      </w:pPr>
      <w:bookmarkStart w:id="346" w:name="_Ref141436787"/>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5</w:t>
      </w:r>
      <w:r w:rsidR="002839C4" w:rsidRPr="00FC71BE">
        <w:rPr>
          <w:color w:val="auto"/>
        </w:rPr>
        <w:fldChar w:fldCharType="end"/>
      </w:r>
      <w:bookmarkEnd w:id="346"/>
      <w:r w:rsidRPr="00FC71BE">
        <w:rPr>
          <w:color w:val="auto"/>
        </w:rPr>
        <w:t xml:space="preserve">  Current Density for Different Cooling Systems at the Same machine Temperature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6"/>
        <w:gridCol w:w="2195"/>
        <w:gridCol w:w="2195"/>
        <w:gridCol w:w="2190"/>
      </w:tblGrid>
      <w:tr w:rsidR="00FC71BE" w:rsidRPr="00FC71BE" w14:paraId="763CD536" w14:textId="77777777" w:rsidTr="005479E0">
        <w:tc>
          <w:tcPr>
            <w:tcW w:w="1355" w:type="pct"/>
            <w:tcBorders>
              <w:top w:val="double" w:sz="4" w:space="0" w:color="auto"/>
            </w:tcBorders>
          </w:tcPr>
          <w:p w14:paraId="699B7CA1" w14:textId="77777777" w:rsidR="00406EF8" w:rsidRPr="00FC71BE" w:rsidRDefault="00406EF8" w:rsidP="00494ACD">
            <w:pPr>
              <w:pStyle w:val="Table"/>
              <w:rPr>
                <w:color w:val="auto"/>
              </w:rPr>
            </w:pPr>
          </w:p>
        </w:tc>
        <w:tc>
          <w:tcPr>
            <w:tcW w:w="1216" w:type="pct"/>
            <w:tcBorders>
              <w:top w:val="double" w:sz="4" w:space="0" w:color="auto"/>
            </w:tcBorders>
          </w:tcPr>
          <w:p w14:paraId="0D0915D7" w14:textId="77777777" w:rsidR="00406EF8" w:rsidRPr="00FC71BE" w:rsidRDefault="00406EF8" w:rsidP="00494ACD">
            <w:pPr>
              <w:pStyle w:val="Table"/>
              <w:rPr>
                <w:color w:val="auto"/>
              </w:rPr>
            </w:pPr>
            <w:r w:rsidRPr="00FC71BE">
              <w:rPr>
                <w:color w:val="auto"/>
              </w:rPr>
              <w:t>Air</w:t>
            </w:r>
          </w:p>
        </w:tc>
        <w:tc>
          <w:tcPr>
            <w:tcW w:w="1216" w:type="pct"/>
            <w:tcBorders>
              <w:top w:val="double" w:sz="4" w:space="0" w:color="auto"/>
            </w:tcBorders>
          </w:tcPr>
          <w:p w14:paraId="30979B6B" w14:textId="77777777" w:rsidR="00406EF8" w:rsidRPr="00FC71BE" w:rsidRDefault="00406EF8" w:rsidP="00494ACD">
            <w:pPr>
              <w:pStyle w:val="Table"/>
              <w:rPr>
                <w:color w:val="auto"/>
              </w:rPr>
            </w:pPr>
            <w:r w:rsidRPr="00FC71BE">
              <w:rPr>
                <w:color w:val="auto"/>
              </w:rPr>
              <w:t>Nanofluid</w:t>
            </w:r>
          </w:p>
        </w:tc>
        <w:tc>
          <w:tcPr>
            <w:tcW w:w="1213" w:type="pct"/>
            <w:tcBorders>
              <w:top w:val="double" w:sz="4" w:space="0" w:color="auto"/>
            </w:tcBorders>
          </w:tcPr>
          <w:p w14:paraId="43322832" w14:textId="77777777" w:rsidR="00406EF8" w:rsidRPr="00FC71BE" w:rsidRDefault="00406EF8" w:rsidP="00494ACD">
            <w:pPr>
              <w:pStyle w:val="Table"/>
              <w:rPr>
                <w:color w:val="auto"/>
              </w:rPr>
            </w:pPr>
            <w:r w:rsidRPr="00FC71BE">
              <w:rPr>
                <w:color w:val="auto"/>
              </w:rPr>
              <w:t>Ferrofluid</w:t>
            </w:r>
          </w:p>
        </w:tc>
      </w:tr>
      <w:tr w:rsidR="00FC71BE" w:rsidRPr="00FC71BE" w14:paraId="56F90FCF" w14:textId="77777777" w:rsidTr="005479E0">
        <w:tc>
          <w:tcPr>
            <w:tcW w:w="1355" w:type="pct"/>
          </w:tcPr>
          <w:p w14:paraId="16CC6AA9" w14:textId="77777777" w:rsidR="00406EF8" w:rsidRPr="00FC71BE" w:rsidRDefault="00406EF8" w:rsidP="00494ACD">
            <w:pPr>
              <w:pStyle w:val="Table"/>
              <w:rPr>
                <w:color w:val="auto"/>
              </w:rPr>
            </w:pPr>
            <w:r w:rsidRPr="00FC71BE">
              <w:rPr>
                <w:color w:val="auto"/>
              </w:rPr>
              <w:t>Single layer</w:t>
            </w:r>
          </w:p>
        </w:tc>
        <w:tc>
          <w:tcPr>
            <w:tcW w:w="1216" w:type="pct"/>
          </w:tcPr>
          <w:p w14:paraId="3B249A8E" w14:textId="77777777" w:rsidR="00406EF8" w:rsidRPr="00FC71BE" w:rsidRDefault="00406EF8" w:rsidP="00494ACD">
            <w:pPr>
              <w:pStyle w:val="Table"/>
              <w:rPr>
                <w:color w:val="auto"/>
              </w:rPr>
            </w:pPr>
            <w:r w:rsidRPr="00FC71BE">
              <w:rPr>
                <w:color w:val="auto"/>
              </w:rPr>
              <w:t xml:space="preserve">16.6 </w:t>
            </w:r>
            <m:oMath>
              <m:f>
                <m:fPr>
                  <m:type m:val="lin"/>
                  <m:ctrlPr>
                    <w:rPr>
                      <w:rFonts w:ascii="Cambria Math" w:hAnsi="Cambria Math"/>
                      <w:iCs/>
                      <w:color w:val="auto"/>
                    </w:rPr>
                  </m:ctrlPr>
                </m:fPr>
                <m:num>
                  <m:r>
                    <m:rPr>
                      <m:sty m:val="p"/>
                    </m:rPr>
                    <w:rPr>
                      <w:rFonts w:ascii="Cambria Math" w:hAnsi="Cambria Math"/>
                      <w:color w:val="auto"/>
                    </w:rPr>
                    <m:t>A</m:t>
                  </m:r>
                </m:num>
                <m:den>
                  <m:sSup>
                    <m:sSupPr>
                      <m:ctrlPr>
                        <w:rPr>
                          <w:rFonts w:ascii="Cambria Math" w:hAnsi="Cambria Math"/>
                          <w:iCs/>
                          <w:color w:val="auto"/>
                        </w:rPr>
                      </m:ctrlPr>
                    </m:sSupPr>
                    <m:e>
                      <m:r>
                        <m:rPr>
                          <m:sty m:val="p"/>
                        </m:rPr>
                        <w:rPr>
                          <w:rFonts w:ascii="Cambria Math" w:hAnsi="Cambria Math"/>
                          <w:color w:val="auto"/>
                        </w:rPr>
                        <m:t>mm</m:t>
                      </m:r>
                    </m:e>
                    <m:sup>
                      <m:r>
                        <m:rPr>
                          <m:sty m:val="p"/>
                        </m:rPr>
                        <w:rPr>
                          <w:rFonts w:ascii="Cambria Math" w:hAnsi="Cambria Math"/>
                          <w:color w:val="auto"/>
                        </w:rPr>
                        <m:t>2</m:t>
                      </m:r>
                    </m:sup>
                  </m:sSup>
                </m:den>
              </m:f>
            </m:oMath>
          </w:p>
        </w:tc>
        <w:tc>
          <w:tcPr>
            <w:tcW w:w="1216" w:type="pct"/>
          </w:tcPr>
          <w:p w14:paraId="064A062B" w14:textId="77777777" w:rsidR="00406EF8" w:rsidRPr="00FC71BE" w:rsidRDefault="00406EF8" w:rsidP="00494ACD">
            <w:pPr>
              <w:pStyle w:val="Table"/>
              <w:rPr>
                <w:color w:val="auto"/>
              </w:rPr>
            </w:pPr>
            <w:r w:rsidRPr="00FC71BE">
              <w:rPr>
                <w:color w:val="auto"/>
              </w:rPr>
              <w:t xml:space="preserve">17.0 </w:t>
            </w:r>
            <m:oMath>
              <m:f>
                <m:fPr>
                  <m:type m:val="lin"/>
                  <m:ctrlPr>
                    <w:rPr>
                      <w:rFonts w:ascii="Cambria Math" w:hAnsi="Cambria Math"/>
                      <w:iCs/>
                      <w:color w:val="auto"/>
                    </w:rPr>
                  </m:ctrlPr>
                </m:fPr>
                <m:num>
                  <m:r>
                    <m:rPr>
                      <m:sty m:val="p"/>
                    </m:rPr>
                    <w:rPr>
                      <w:rFonts w:ascii="Cambria Math" w:hAnsi="Cambria Math"/>
                      <w:color w:val="auto"/>
                    </w:rPr>
                    <m:t>A</m:t>
                  </m:r>
                </m:num>
                <m:den>
                  <m:sSup>
                    <m:sSupPr>
                      <m:ctrlPr>
                        <w:rPr>
                          <w:rFonts w:ascii="Cambria Math" w:hAnsi="Cambria Math"/>
                          <w:iCs/>
                          <w:color w:val="auto"/>
                        </w:rPr>
                      </m:ctrlPr>
                    </m:sSupPr>
                    <m:e>
                      <m:r>
                        <m:rPr>
                          <m:sty m:val="p"/>
                        </m:rPr>
                        <w:rPr>
                          <w:rFonts w:ascii="Cambria Math" w:hAnsi="Cambria Math"/>
                          <w:color w:val="auto"/>
                        </w:rPr>
                        <m:t>mm</m:t>
                      </m:r>
                    </m:e>
                    <m:sup>
                      <m:r>
                        <m:rPr>
                          <m:sty m:val="p"/>
                        </m:rPr>
                        <w:rPr>
                          <w:rFonts w:ascii="Cambria Math" w:hAnsi="Cambria Math"/>
                          <w:color w:val="auto"/>
                        </w:rPr>
                        <m:t>2</m:t>
                      </m:r>
                    </m:sup>
                  </m:sSup>
                </m:den>
              </m:f>
            </m:oMath>
          </w:p>
        </w:tc>
        <w:tc>
          <w:tcPr>
            <w:tcW w:w="1213" w:type="pct"/>
          </w:tcPr>
          <w:p w14:paraId="60DB4529" w14:textId="77777777" w:rsidR="00406EF8" w:rsidRPr="00FC71BE" w:rsidRDefault="00406EF8" w:rsidP="00494ACD">
            <w:pPr>
              <w:pStyle w:val="Table"/>
              <w:rPr>
                <w:color w:val="auto"/>
              </w:rPr>
            </w:pPr>
            <w:r w:rsidRPr="00FC71BE">
              <w:rPr>
                <w:color w:val="auto"/>
              </w:rPr>
              <w:t xml:space="preserve">18.4 </w:t>
            </w:r>
            <m:oMath>
              <m:f>
                <m:fPr>
                  <m:type m:val="lin"/>
                  <m:ctrlPr>
                    <w:rPr>
                      <w:rFonts w:ascii="Cambria Math" w:hAnsi="Cambria Math"/>
                      <w:iCs/>
                      <w:color w:val="auto"/>
                    </w:rPr>
                  </m:ctrlPr>
                </m:fPr>
                <m:num>
                  <m:r>
                    <m:rPr>
                      <m:sty m:val="p"/>
                    </m:rPr>
                    <w:rPr>
                      <w:rFonts w:ascii="Cambria Math" w:hAnsi="Cambria Math"/>
                      <w:color w:val="auto"/>
                    </w:rPr>
                    <m:t>A</m:t>
                  </m:r>
                </m:num>
                <m:den>
                  <m:sSup>
                    <m:sSupPr>
                      <m:ctrlPr>
                        <w:rPr>
                          <w:rFonts w:ascii="Cambria Math" w:hAnsi="Cambria Math"/>
                          <w:iCs/>
                          <w:color w:val="auto"/>
                        </w:rPr>
                      </m:ctrlPr>
                    </m:sSupPr>
                    <m:e>
                      <m:r>
                        <m:rPr>
                          <m:sty m:val="p"/>
                        </m:rPr>
                        <w:rPr>
                          <w:rFonts w:ascii="Cambria Math" w:hAnsi="Cambria Math"/>
                          <w:color w:val="auto"/>
                        </w:rPr>
                        <m:t>mm</m:t>
                      </m:r>
                    </m:e>
                    <m:sup>
                      <m:r>
                        <m:rPr>
                          <m:sty m:val="p"/>
                        </m:rPr>
                        <w:rPr>
                          <w:rFonts w:ascii="Cambria Math" w:hAnsi="Cambria Math"/>
                          <w:color w:val="auto"/>
                        </w:rPr>
                        <m:t>2</m:t>
                      </m:r>
                    </m:sup>
                  </m:sSup>
                </m:den>
              </m:f>
            </m:oMath>
          </w:p>
        </w:tc>
      </w:tr>
      <w:tr w:rsidR="009944C4" w:rsidRPr="00FC71BE" w14:paraId="7FABD8F4" w14:textId="77777777" w:rsidTr="005479E0">
        <w:trPr>
          <w:trHeight w:val="118"/>
        </w:trPr>
        <w:tc>
          <w:tcPr>
            <w:tcW w:w="1355" w:type="pct"/>
            <w:tcBorders>
              <w:bottom w:val="double" w:sz="4" w:space="0" w:color="auto"/>
            </w:tcBorders>
          </w:tcPr>
          <w:p w14:paraId="2BE050D7" w14:textId="77777777" w:rsidR="00406EF8" w:rsidRPr="00FC71BE" w:rsidRDefault="00406EF8" w:rsidP="00494ACD">
            <w:pPr>
              <w:pStyle w:val="Table"/>
              <w:rPr>
                <w:color w:val="auto"/>
              </w:rPr>
            </w:pPr>
            <w:r w:rsidRPr="00FC71BE">
              <w:rPr>
                <w:color w:val="auto"/>
              </w:rPr>
              <w:t>Double layer</w:t>
            </w:r>
          </w:p>
        </w:tc>
        <w:tc>
          <w:tcPr>
            <w:tcW w:w="1216" w:type="pct"/>
            <w:tcBorders>
              <w:bottom w:val="double" w:sz="4" w:space="0" w:color="auto"/>
            </w:tcBorders>
          </w:tcPr>
          <w:p w14:paraId="578A1D5F" w14:textId="77777777" w:rsidR="00406EF8" w:rsidRPr="00FC71BE" w:rsidRDefault="00406EF8" w:rsidP="00494ACD">
            <w:pPr>
              <w:pStyle w:val="Table"/>
              <w:rPr>
                <w:color w:val="auto"/>
              </w:rPr>
            </w:pPr>
            <w:r w:rsidRPr="00FC71BE">
              <w:rPr>
                <w:color w:val="auto"/>
              </w:rPr>
              <w:t xml:space="preserve">16.2 </w:t>
            </w:r>
            <m:oMath>
              <m:f>
                <m:fPr>
                  <m:type m:val="lin"/>
                  <m:ctrlPr>
                    <w:rPr>
                      <w:rFonts w:ascii="Cambria Math" w:hAnsi="Cambria Math"/>
                      <w:iCs/>
                      <w:color w:val="auto"/>
                    </w:rPr>
                  </m:ctrlPr>
                </m:fPr>
                <m:num>
                  <m:r>
                    <m:rPr>
                      <m:sty m:val="p"/>
                    </m:rPr>
                    <w:rPr>
                      <w:rFonts w:ascii="Cambria Math" w:hAnsi="Cambria Math"/>
                      <w:color w:val="auto"/>
                    </w:rPr>
                    <m:t>A</m:t>
                  </m:r>
                </m:num>
                <m:den>
                  <m:sSup>
                    <m:sSupPr>
                      <m:ctrlPr>
                        <w:rPr>
                          <w:rFonts w:ascii="Cambria Math" w:hAnsi="Cambria Math"/>
                          <w:iCs/>
                          <w:color w:val="auto"/>
                        </w:rPr>
                      </m:ctrlPr>
                    </m:sSupPr>
                    <m:e>
                      <m:r>
                        <m:rPr>
                          <m:sty m:val="p"/>
                        </m:rPr>
                        <w:rPr>
                          <w:rFonts w:ascii="Cambria Math" w:hAnsi="Cambria Math"/>
                          <w:color w:val="auto"/>
                        </w:rPr>
                        <m:t>mm</m:t>
                      </m:r>
                    </m:e>
                    <m:sup>
                      <m:r>
                        <m:rPr>
                          <m:sty m:val="p"/>
                        </m:rPr>
                        <w:rPr>
                          <w:rFonts w:ascii="Cambria Math" w:hAnsi="Cambria Math"/>
                          <w:color w:val="auto"/>
                        </w:rPr>
                        <m:t>2</m:t>
                      </m:r>
                    </m:sup>
                  </m:sSup>
                </m:den>
              </m:f>
            </m:oMath>
          </w:p>
        </w:tc>
        <w:tc>
          <w:tcPr>
            <w:tcW w:w="1216" w:type="pct"/>
            <w:tcBorders>
              <w:bottom w:val="double" w:sz="4" w:space="0" w:color="auto"/>
            </w:tcBorders>
          </w:tcPr>
          <w:p w14:paraId="6895BA79" w14:textId="77777777" w:rsidR="00406EF8" w:rsidRPr="00FC71BE" w:rsidRDefault="00406EF8" w:rsidP="00494ACD">
            <w:pPr>
              <w:pStyle w:val="Table"/>
              <w:rPr>
                <w:color w:val="auto"/>
              </w:rPr>
            </w:pPr>
            <w:r w:rsidRPr="00FC71BE">
              <w:rPr>
                <w:color w:val="auto"/>
              </w:rPr>
              <w:t xml:space="preserve">17.5 </w:t>
            </w:r>
            <m:oMath>
              <m:f>
                <m:fPr>
                  <m:type m:val="lin"/>
                  <m:ctrlPr>
                    <w:rPr>
                      <w:rFonts w:ascii="Cambria Math" w:hAnsi="Cambria Math"/>
                      <w:iCs/>
                      <w:color w:val="auto"/>
                    </w:rPr>
                  </m:ctrlPr>
                </m:fPr>
                <m:num>
                  <m:r>
                    <m:rPr>
                      <m:sty m:val="p"/>
                    </m:rPr>
                    <w:rPr>
                      <w:rFonts w:ascii="Cambria Math" w:hAnsi="Cambria Math"/>
                      <w:color w:val="auto"/>
                    </w:rPr>
                    <m:t>A</m:t>
                  </m:r>
                </m:num>
                <m:den>
                  <m:sSup>
                    <m:sSupPr>
                      <m:ctrlPr>
                        <w:rPr>
                          <w:rFonts w:ascii="Cambria Math" w:hAnsi="Cambria Math"/>
                          <w:iCs/>
                          <w:color w:val="auto"/>
                        </w:rPr>
                      </m:ctrlPr>
                    </m:sSupPr>
                    <m:e>
                      <m:r>
                        <m:rPr>
                          <m:sty m:val="p"/>
                        </m:rPr>
                        <w:rPr>
                          <w:rFonts w:ascii="Cambria Math" w:hAnsi="Cambria Math"/>
                          <w:color w:val="auto"/>
                        </w:rPr>
                        <m:t>mm</m:t>
                      </m:r>
                    </m:e>
                    <m:sup>
                      <m:r>
                        <m:rPr>
                          <m:sty m:val="p"/>
                        </m:rPr>
                        <w:rPr>
                          <w:rFonts w:ascii="Cambria Math" w:hAnsi="Cambria Math"/>
                          <w:color w:val="auto"/>
                        </w:rPr>
                        <m:t>2</m:t>
                      </m:r>
                    </m:sup>
                  </m:sSup>
                </m:den>
              </m:f>
            </m:oMath>
          </w:p>
        </w:tc>
        <w:tc>
          <w:tcPr>
            <w:tcW w:w="1213" w:type="pct"/>
            <w:tcBorders>
              <w:bottom w:val="double" w:sz="4" w:space="0" w:color="auto"/>
            </w:tcBorders>
          </w:tcPr>
          <w:p w14:paraId="531FA28D" w14:textId="77777777" w:rsidR="00406EF8" w:rsidRPr="00FC71BE" w:rsidRDefault="00406EF8" w:rsidP="00494ACD">
            <w:pPr>
              <w:pStyle w:val="Table"/>
              <w:rPr>
                <w:color w:val="auto"/>
              </w:rPr>
            </w:pPr>
            <w:r w:rsidRPr="00FC71BE">
              <w:rPr>
                <w:color w:val="auto"/>
              </w:rPr>
              <w:t xml:space="preserve">18.4 </w:t>
            </w:r>
            <m:oMath>
              <m:f>
                <m:fPr>
                  <m:type m:val="lin"/>
                  <m:ctrlPr>
                    <w:rPr>
                      <w:rFonts w:ascii="Cambria Math" w:hAnsi="Cambria Math"/>
                      <w:iCs/>
                      <w:color w:val="auto"/>
                    </w:rPr>
                  </m:ctrlPr>
                </m:fPr>
                <m:num>
                  <m:r>
                    <m:rPr>
                      <m:sty m:val="p"/>
                    </m:rPr>
                    <w:rPr>
                      <w:rFonts w:ascii="Cambria Math" w:hAnsi="Cambria Math"/>
                      <w:color w:val="auto"/>
                    </w:rPr>
                    <m:t>A</m:t>
                  </m:r>
                </m:num>
                <m:den>
                  <m:sSup>
                    <m:sSupPr>
                      <m:ctrlPr>
                        <w:rPr>
                          <w:rFonts w:ascii="Cambria Math" w:hAnsi="Cambria Math"/>
                          <w:iCs/>
                          <w:color w:val="auto"/>
                        </w:rPr>
                      </m:ctrlPr>
                    </m:sSupPr>
                    <m:e>
                      <m:r>
                        <m:rPr>
                          <m:sty m:val="p"/>
                        </m:rPr>
                        <w:rPr>
                          <w:rFonts w:ascii="Cambria Math" w:hAnsi="Cambria Math"/>
                          <w:color w:val="auto"/>
                        </w:rPr>
                        <m:t>mm</m:t>
                      </m:r>
                    </m:e>
                    <m:sup>
                      <m:r>
                        <m:rPr>
                          <m:sty m:val="p"/>
                        </m:rPr>
                        <w:rPr>
                          <w:rFonts w:ascii="Cambria Math" w:hAnsi="Cambria Math"/>
                          <w:color w:val="auto"/>
                        </w:rPr>
                        <m:t>2</m:t>
                      </m:r>
                    </m:sup>
                  </m:sSup>
                </m:den>
              </m:f>
            </m:oMath>
          </w:p>
        </w:tc>
      </w:tr>
    </w:tbl>
    <w:p w14:paraId="531FC375" w14:textId="77777777" w:rsidR="00C67F59" w:rsidRPr="00FC71BE" w:rsidRDefault="00C67F59" w:rsidP="00406EF8">
      <w:pPr>
        <w:pStyle w:val="Tabletitle"/>
        <w:rPr>
          <w:color w:val="auto"/>
        </w:rPr>
      </w:pPr>
      <w:bookmarkStart w:id="347" w:name="_Ref141436781"/>
    </w:p>
    <w:p w14:paraId="7EAF11C2" w14:textId="3B01E7A0" w:rsidR="00406EF8" w:rsidRPr="00FC71BE" w:rsidRDefault="00406EF8" w:rsidP="00406EF8">
      <w:pPr>
        <w:pStyle w:val="Tabletitle"/>
        <w:rPr>
          <w:color w:val="auto"/>
        </w:rPr>
      </w:pPr>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6</w:t>
      </w:r>
      <w:r w:rsidR="002839C4" w:rsidRPr="00FC71BE">
        <w:rPr>
          <w:color w:val="auto"/>
        </w:rPr>
        <w:fldChar w:fldCharType="end"/>
      </w:r>
      <w:bookmarkEnd w:id="347"/>
      <w:r w:rsidRPr="00FC71BE">
        <w:rPr>
          <w:color w:val="auto"/>
        </w:rPr>
        <w:t xml:space="preserve">  Torque Density for Different Cooling Systems at the Same machine Temperature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6"/>
        <w:gridCol w:w="2195"/>
        <w:gridCol w:w="2195"/>
        <w:gridCol w:w="2179"/>
        <w:gridCol w:w="11"/>
      </w:tblGrid>
      <w:tr w:rsidR="00FC71BE" w:rsidRPr="00FC71BE" w14:paraId="42CCDDC8" w14:textId="77777777" w:rsidTr="00C67F59">
        <w:tc>
          <w:tcPr>
            <w:tcW w:w="1355" w:type="pct"/>
            <w:tcBorders>
              <w:top w:val="double" w:sz="4" w:space="0" w:color="auto"/>
            </w:tcBorders>
          </w:tcPr>
          <w:p w14:paraId="1D4928E7" w14:textId="77777777" w:rsidR="00406EF8" w:rsidRPr="00FC71BE" w:rsidRDefault="00406EF8" w:rsidP="00494ACD">
            <w:pPr>
              <w:pStyle w:val="Table"/>
              <w:rPr>
                <w:color w:val="auto"/>
              </w:rPr>
            </w:pPr>
          </w:p>
        </w:tc>
        <w:tc>
          <w:tcPr>
            <w:tcW w:w="1216" w:type="pct"/>
            <w:tcBorders>
              <w:top w:val="double" w:sz="4" w:space="0" w:color="auto"/>
            </w:tcBorders>
          </w:tcPr>
          <w:p w14:paraId="1AB2EF46" w14:textId="77777777" w:rsidR="00406EF8" w:rsidRPr="00FC71BE" w:rsidRDefault="00406EF8" w:rsidP="00494ACD">
            <w:pPr>
              <w:pStyle w:val="Table"/>
              <w:rPr>
                <w:color w:val="auto"/>
              </w:rPr>
            </w:pPr>
            <w:r w:rsidRPr="00FC71BE">
              <w:rPr>
                <w:color w:val="auto"/>
              </w:rPr>
              <w:t>Air</w:t>
            </w:r>
          </w:p>
        </w:tc>
        <w:tc>
          <w:tcPr>
            <w:tcW w:w="1216" w:type="pct"/>
            <w:tcBorders>
              <w:top w:val="double" w:sz="4" w:space="0" w:color="auto"/>
            </w:tcBorders>
          </w:tcPr>
          <w:p w14:paraId="5D922399" w14:textId="77777777" w:rsidR="00406EF8" w:rsidRPr="00FC71BE" w:rsidRDefault="00406EF8" w:rsidP="00494ACD">
            <w:pPr>
              <w:pStyle w:val="Table"/>
              <w:rPr>
                <w:color w:val="auto"/>
              </w:rPr>
            </w:pPr>
            <w:r w:rsidRPr="00FC71BE">
              <w:rPr>
                <w:color w:val="auto"/>
              </w:rPr>
              <w:t>Nanofluid</w:t>
            </w:r>
          </w:p>
        </w:tc>
        <w:tc>
          <w:tcPr>
            <w:tcW w:w="1213" w:type="pct"/>
            <w:gridSpan w:val="2"/>
            <w:tcBorders>
              <w:top w:val="double" w:sz="4" w:space="0" w:color="auto"/>
            </w:tcBorders>
          </w:tcPr>
          <w:p w14:paraId="4A6C963F" w14:textId="77777777" w:rsidR="00406EF8" w:rsidRPr="00FC71BE" w:rsidRDefault="00406EF8" w:rsidP="00494ACD">
            <w:pPr>
              <w:pStyle w:val="Table"/>
              <w:rPr>
                <w:color w:val="auto"/>
              </w:rPr>
            </w:pPr>
            <w:r w:rsidRPr="00FC71BE">
              <w:rPr>
                <w:color w:val="auto"/>
              </w:rPr>
              <w:t>Ferrofluid</w:t>
            </w:r>
          </w:p>
        </w:tc>
      </w:tr>
      <w:tr w:rsidR="00FC71BE" w:rsidRPr="00FC71BE" w14:paraId="3905D1E9" w14:textId="77777777" w:rsidTr="00C67F59">
        <w:tc>
          <w:tcPr>
            <w:tcW w:w="1355" w:type="pct"/>
          </w:tcPr>
          <w:p w14:paraId="486514E7" w14:textId="77777777" w:rsidR="00406EF8" w:rsidRPr="00FC71BE" w:rsidRDefault="00406EF8" w:rsidP="00494ACD">
            <w:pPr>
              <w:pStyle w:val="Table"/>
              <w:rPr>
                <w:color w:val="auto"/>
              </w:rPr>
            </w:pPr>
            <w:r w:rsidRPr="00FC71BE">
              <w:rPr>
                <w:color w:val="auto"/>
              </w:rPr>
              <w:t>Single layer</w:t>
            </w:r>
          </w:p>
        </w:tc>
        <w:tc>
          <w:tcPr>
            <w:tcW w:w="1216" w:type="pct"/>
          </w:tcPr>
          <w:p w14:paraId="68DFB430" w14:textId="77777777" w:rsidR="00406EF8" w:rsidRPr="00FC71BE" w:rsidRDefault="00406EF8" w:rsidP="00494ACD">
            <w:pPr>
              <w:pStyle w:val="Table"/>
              <w:rPr>
                <w:color w:val="auto"/>
              </w:rPr>
            </w:pPr>
            <w:r w:rsidRPr="00FC71BE">
              <w:rPr>
                <w:color w:val="auto"/>
              </w:rPr>
              <w:t>3.15 Nm/kg</w:t>
            </w:r>
          </w:p>
        </w:tc>
        <w:tc>
          <w:tcPr>
            <w:tcW w:w="1216" w:type="pct"/>
          </w:tcPr>
          <w:p w14:paraId="69108035" w14:textId="77777777" w:rsidR="00406EF8" w:rsidRPr="00FC71BE" w:rsidRDefault="00406EF8" w:rsidP="00494ACD">
            <w:pPr>
              <w:pStyle w:val="Table"/>
              <w:rPr>
                <w:color w:val="auto"/>
              </w:rPr>
            </w:pPr>
            <w:r w:rsidRPr="00FC71BE">
              <w:rPr>
                <w:color w:val="auto"/>
              </w:rPr>
              <w:t>3.00 Nm/kg</w:t>
            </w:r>
          </w:p>
        </w:tc>
        <w:tc>
          <w:tcPr>
            <w:tcW w:w="1213" w:type="pct"/>
            <w:gridSpan w:val="2"/>
          </w:tcPr>
          <w:p w14:paraId="39136B3D" w14:textId="77777777" w:rsidR="00406EF8" w:rsidRPr="00FC71BE" w:rsidRDefault="00406EF8" w:rsidP="00494ACD">
            <w:pPr>
              <w:pStyle w:val="Table"/>
              <w:rPr>
                <w:color w:val="auto"/>
              </w:rPr>
            </w:pPr>
            <w:r w:rsidRPr="00FC71BE">
              <w:rPr>
                <w:color w:val="auto"/>
              </w:rPr>
              <w:t>3.07 Nm/kg</w:t>
            </w:r>
          </w:p>
        </w:tc>
      </w:tr>
      <w:tr w:rsidR="00FC71BE" w:rsidRPr="00FC71BE" w14:paraId="50F6DFDA" w14:textId="77777777" w:rsidTr="00C67F59">
        <w:tc>
          <w:tcPr>
            <w:tcW w:w="1355" w:type="pct"/>
            <w:tcBorders>
              <w:bottom w:val="double" w:sz="4" w:space="0" w:color="auto"/>
            </w:tcBorders>
          </w:tcPr>
          <w:p w14:paraId="2F52ADD0" w14:textId="77777777" w:rsidR="00406EF8" w:rsidRPr="00FC71BE" w:rsidRDefault="00406EF8" w:rsidP="00494ACD">
            <w:pPr>
              <w:pStyle w:val="Table"/>
              <w:rPr>
                <w:color w:val="auto"/>
              </w:rPr>
            </w:pPr>
            <w:r w:rsidRPr="00FC71BE">
              <w:rPr>
                <w:color w:val="auto"/>
              </w:rPr>
              <w:t>Double layer</w:t>
            </w:r>
          </w:p>
        </w:tc>
        <w:tc>
          <w:tcPr>
            <w:tcW w:w="1216" w:type="pct"/>
            <w:tcBorders>
              <w:bottom w:val="double" w:sz="4" w:space="0" w:color="auto"/>
            </w:tcBorders>
          </w:tcPr>
          <w:p w14:paraId="11E2DA0F" w14:textId="77777777" w:rsidR="00406EF8" w:rsidRPr="00FC71BE" w:rsidRDefault="00406EF8" w:rsidP="00494ACD">
            <w:pPr>
              <w:pStyle w:val="Table"/>
              <w:rPr>
                <w:color w:val="auto"/>
              </w:rPr>
            </w:pPr>
            <w:r w:rsidRPr="00FC71BE">
              <w:rPr>
                <w:color w:val="auto"/>
              </w:rPr>
              <w:t>3.17 Nm/kg</w:t>
            </w:r>
          </w:p>
        </w:tc>
        <w:tc>
          <w:tcPr>
            <w:tcW w:w="1216" w:type="pct"/>
            <w:tcBorders>
              <w:bottom w:val="double" w:sz="4" w:space="0" w:color="auto"/>
            </w:tcBorders>
          </w:tcPr>
          <w:p w14:paraId="46D42E97" w14:textId="77777777" w:rsidR="00406EF8" w:rsidRPr="00FC71BE" w:rsidRDefault="00406EF8" w:rsidP="00494ACD">
            <w:pPr>
              <w:pStyle w:val="Table"/>
              <w:rPr>
                <w:color w:val="auto"/>
              </w:rPr>
            </w:pPr>
            <w:r w:rsidRPr="00FC71BE">
              <w:rPr>
                <w:color w:val="auto"/>
              </w:rPr>
              <w:t>3.25 Nm/kg</w:t>
            </w:r>
          </w:p>
        </w:tc>
        <w:tc>
          <w:tcPr>
            <w:tcW w:w="1213" w:type="pct"/>
            <w:gridSpan w:val="2"/>
            <w:tcBorders>
              <w:bottom w:val="double" w:sz="4" w:space="0" w:color="auto"/>
            </w:tcBorders>
          </w:tcPr>
          <w:p w14:paraId="550C3916" w14:textId="77777777" w:rsidR="00406EF8" w:rsidRPr="00FC71BE" w:rsidRDefault="00406EF8" w:rsidP="00494ACD">
            <w:pPr>
              <w:pStyle w:val="Table"/>
              <w:rPr>
                <w:color w:val="auto"/>
              </w:rPr>
            </w:pPr>
            <w:r w:rsidRPr="00FC71BE">
              <w:rPr>
                <w:color w:val="auto"/>
              </w:rPr>
              <w:t>3.39 Nm/kg</w:t>
            </w:r>
          </w:p>
        </w:tc>
      </w:tr>
      <w:tr w:rsidR="00FC71BE" w:rsidRPr="00FC71BE" w14:paraId="7C7DE758" w14:textId="77777777" w:rsidTr="00C67F59">
        <w:trPr>
          <w:gridAfter w:val="1"/>
          <w:wAfter w:w="6" w:type="pct"/>
        </w:trPr>
        <w:tc>
          <w:tcPr>
            <w:tcW w:w="4994" w:type="pct"/>
            <w:gridSpan w:val="4"/>
          </w:tcPr>
          <w:p w14:paraId="718E55C9" w14:textId="77777777" w:rsidR="00406EF8" w:rsidRPr="00FC71BE" w:rsidRDefault="00406EF8">
            <w:pPr>
              <w:pStyle w:val="Figure"/>
              <w:rPr>
                <w:noProof w:val="0"/>
              </w:rPr>
            </w:pPr>
            <w:r w:rsidRPr="00FC71BE">
              <w:lastRenderedPageBreak/>
              <w:drawing>
                <wp:inline distT="0" distB="0" distL="0" distR="0" wp14:anchorId="665BD7A0" wp14:editId="6C6C048A">
                  <wp:extent cx="4363200" cy="2619651"/>
                  <wp:effectExtent l="0" t="0" r="0" b="9525"/>
                  <wp:docPr id="761060747" name="Picture 7610607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363200" cy="2619651"/>
                          </a:xfrm>
                          <a:prstGeom prst="rect">
                            <a:avLst/>
                          </a:prstGeom>
                          <a:noFill/>
                          <a:ln>
                            <a:noFill/>
                          </a:ln>
                        </pic:spPr>
                      </pic:pic>
                    </a:graphicData>
                  </a:graphic>
                </wp:inline>
              </w:drawing>
            </w:r>
          </w:p>
        </w:tc>
      </w:tr>
      <w:tr w:rsidR="00FC71BE" w:rsidRPr="00FC71BE" w14:paraId="5F255ADF" w14:textId="77777777" w:rsidTr="00C67F59">
        <w:trPr>
          <w:gridAfter w:val="1"/>
          <w:wAfter w:w="6" w:type="pct"/>
        </w:trPr>
        <w:tc>
          <w:tcPr>
            <w:tcW w:w="4994" w:type="pct"/>
            <w:gridSpan w:val="4"/>
          </w:tcPr>
          <w:p w14:paraId="05210765" w14:textId="77777777" w:rsidR="00406EF8" w:rsidRPr="00FC71BE" w:rsidRDefault="00406EF8">
            <w:pPr>
              <w:pStyle w:val="Figure"/>
              <w:rPr>
                <w:noProof w:val="0"/>
              </w:rPr>
            </w:pPr>
            <w:r w:rsidRPr="00FC71BE">
              <w:rPr>
                <w:noProof w:val="0"/>
              </w:rPr>
              <w:t>(a) Single layer winding machine</w:t>
            </w:r>
          </w:p>
        </w:tc>
      </w:tr>
      <w:tr w:rsidR="00FC71BE" w:rsidRPr="00FC71BE" w14:paraId="49E4D7D2" w14:textId="77777777" w:rsidTr="00C67F59">
        <w:trPr>
          <w:gridAfter w:val="1"/>
          <w:wAfter w:w="6" w:type="pct"/>
        </w:trPr>
        <w:tc>
          <w:tcPr>
            <w:tcW w:w="4994" w:type="pct"/>
            <w:gridSpan w:val="4"/>
          </w:tcPr>
          <w:p w14:paraId="371C0B28" w14:textId="77777777" w:rsidR="00406EF8" w:rsidRPr="00FC71BE" w:rsidRDefault="00406EF8">
            <w:pPr>
              <w:pStyle w:val="Figure"/>
              <w:rPr>
                <w:noProof w:val="0"/>
              </w:rPr>
            </w:pPr>
            <w:r w:rsidRPr="00FC71BE">
              <w:drawing>
                <wp:inline distT="0" distB="0" distL="0" distR="0" wp14:anchorId="06F72629" wp14:editId="527FA878">
                  <wp:extent cx="4363200" cy="2619651"/>
                  <wp:effectExtent l="0" t="0" r="0" b="9525"/>
                  <wp:docPr id="1831446736" name="Picture 183144673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363200" cy="2619651"/>
                          </a:xfrm>
                          <a:prstGeom prst="rect">
                            <a:avLst/>
                          </a:prstGeom>
                          <a:noFill/>
                          <a:ln>
                            <a:noFill/>
                          </a:ln>
                        </pic:spPr>
                      </pic:pic>
                    </a:graphicData>
                  </a:graphic>
                </wp:inline>
              </w:drawing>
            </w:r>
          </w:p>
        </w:tc>
      </w:tr>
      <w:tr w:rsidR="00FC71BE" w:rsidRPr="00FC71BE" w14:paraId="6E0A44CE" w14:textId="77777777" w:rsidTr="00C67F59">
        <w:trPr>
          <w:gridAfter w:val="1"/>
          <w:wAfter w:w="6" w:type="pct"/>
        </w:trPr>
        <w:tc>
          <w:tcPr>
            <w:tcW w:w="4994" w:type="pct"/>
            <w:gridSpan w:val="4"/>
          </w:tcPr>
          <w:p w14:paraId="6B386868" w14:textId="77777777" w:rsidR="00406EF8" w:rsidRPr="00FC71BE" w:rsidRDefault="00406EF8">
            <w:pPr>
              <w:pStyle w:val="Figure"/>
              <w:rPr>
                <w:noProof w:val="0"/>
              </w:rPr>
            </w:pPr>
            <w:r w:rsidRPr="00FC71BE">
              <w:rPr>
                <w:noProof w:val="0"/>
              </w:rPr>
              <w:t>(b) Double layer winding machine</w:t>
            </w:r>
          </w:p>
        </w:tc>
      </w:tr>
    </w:tbl>
    <w:p w14:paraId="1AFE89C0" w14:textId="6F756E8D" w:rsidR="00406EF8" w:rsidRPr="00FC71BE" w:rsidRDefault="00406EF8" w:rsidP="00406EF8">
      <w:pPr>
        <w:pStyle w:val="FigureTitle"/>
      </w:pPr>
      <w:bookmarkStart w:id="348" w:name="_Ref141436835"/>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22</w:t>
        </w:r>
      </w:fldSimple>
      <w:bookmarkEnd w:id="348"/>
      <w:r w:rsidRPr="00FC71BE">
        <w:t>.  Torque-speed characteristics of investigated machines that employ different cooling methods to reach similar peak machine temperature.</w:t>
      </w:r>
    </w:p>
    <w:p w14:paraId="31F7486B" w14:textId="77777777" w:rsidR="00406EF8" w:rsidRPr="00FC71BE" w:rsidRDefault="00406EF8" w:rsidP="00B86C68">
      <w:pPr>
        <w:pStyle w:val="Heading2"/>
        <w:numPr>
          <w:ilvl w:val="1"/>
          <w:numId w:val="49"/>
        </w:numPr>
      </w:pPr>
      <w:bookmarkStart w:id="349" w:name="_Toc157695400"/>
      <w:r w:rsidRPr="00FC71BE">
        <w:t>Ferrofluid cooling for the Modular Machine</w:t>
      </w:r>
      <w:bookmarkEnd w:id="349"/>
    </w:p>
    <w:p w14:paraId="76A1F727" w14:textId="77777777" w:rsidR="00406EF8" w:rsidRPr="00FC71BE" w:rsidRDefault="00406EF8" w:rsidP="00406EF8">
      <w:r w:rsidRPr="00FC71BE">
        <w:t>Previous sections investigated the cooling efficiency of ferrofluid cooling method for conventional non-modular machines. In this section, the modular machine with ferrofluid cooling will also be investigated. It is worth noting that, to highlight the cooling performance of ferrofluid cooling, the total losses are the same for both the non-modular machine and the modular machines with different FG widths.</w:t>
      </w:r>
    </w:p>
    <w:p w14:paraId="3E937B8B" w14:textId="77777777" w:rsidR="00406EF8" w:rsidRPr="00FC71BE" w:rsidRDefault="00406EF8" w:rsidP="00B86C68">
      <w:pPr>
        <w:pStyle w:val="Heading3"/>
        <w:numPr>
          <w:ilvl w:val="2"/>
          <w:numId w:val="49"/>
        </w:numPr>
      </w:pPr>
      <w:bookmarkStart w:id="350" w:name="_Toc157695401"/>
      <w:r w:rsidRPr="00FC71BE">
        <w:lastRenderedPageBreak/>
        <w:t>Different Machine Topologies</w:t>
      </w:r>
      <w:bookmarkEnd w:id="350"/>
    </w:p>
    <w:p w14:paraId="3AF75E62" w14:textId="24D5C6D4" w:rsidR="00406EF8" w:rsidRPr="00FC71BE" w:rsidRDefault="00406EF8" w:rsidP="00406EF8">
      <w:r w:rsidRPr="00FC71BE">
        <w:t>For all the investigated machines with different coolants (air, nanofluid and ferrofluid), the initial temperature is the inlet temperature (65</w:t>
      </w:r>
      <m:oMath>
        <m:r>
          <w:rPr>
            <w:rFonts w:ascii="Cambria Math" w:hAnsi="Cambria Math"/>
          </w:rPr>
          <m:t>℃</m:t>
        </m:r>
      </m:oMath>
      <w:r w:rsidRPr="00FC71BE">
        <w:t xml:space="preserve">) of the water jacket. The temperature gradually increases to the steady state temperature, as shown in </w:t>
      </w:r>
      <w:r w:rsidRPr="00FC71BE">
        <w:fldChar w:fldCharType="begin"/>
      </w:r>
      <w:r w:rsidRPr="00FC71BE">
        <w:instrText xml:space="preserve"> REF _Ref141698307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23</w:t>
      </w:r>
      <w:r w:rsidRPr="00FC71BE">
        <w:fldChar w:fldCharType="end"/>
      </w:r>
      <w:r w:rsidRPr="00FC71BE">
        <w:t>. The results show that, the maximum end-winding temperatures of the modular (127.8</w:t>
      </w:r>
      <m:oMath>
        <m:r>
          <w:rPr>
            <w:rFonts w:ascii="Cambria Math" w:hAnsi="Cambria Math"/>
          </w:rPr>
          <m:t>℃</m:t>
        </m:r>
      </m:oMath>
      <w:r w:rsidRPr="00FC71BE">
        <w:t>) and non-modular (128.1</w:t>
      </w:r>
      <m:oMath>
        <m:r>
          <w:rPr>
            <w:rFonts w:ascii="Cambria Math" w:hAnsi="Cambria Math"/>
          </w:rPr>
          <m:t>℃</m:t>
        </m:r>
      </m:oMath>
      <w:r w:rsidRPr="00FC71BE">
        <w:t>) machines are very close when air is used as coolant. This indicates that, although the modular machine with 2mm flux gaps rearranges the losses distribution and improve the contact surface area between the stator iron core and coolant (air), the temperature reduction is insignificant due to the poor thermal conductivity of air.</w:t>
      </w:r>
    </w:p>
    <w:p w14:paraId="3EECBC1B" w14:textId="77777777" w:rsidR="00406EF8" w:rsidRPr="00FC71BE" w:rsidRDefault="00406EF8" w:rsidP="00406EF8">
      <w:pPr>
        <w:pStyle w:val="Figure"/>
        <w:rPr>
          <w:noProof w:val="0"/>
        </w:rPr>
      </w:pPr>
      <w:r w:rsidRPr="00FC71BE">
        <w:drawing>
          <wp:inline distT="0" distB="0" distL="0" distR="0" wp14:anchorId="066ED891" wp14:editId="6576E566">
            <wp:extent cx="4363200" cy="2396854"/>
            <wp:effectExtent l="0" t="0" r="0" b="3810"/>
            <wp:docPr id="840267563" name="Picture 840267563"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267563" name="Picture 840267563" descr="A diagram of a graph&#10;&#10;Description automatically generated"/>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363200" cy="2396854"/>
                    </a:xfrm>
                    <a:prstGeom prst="rect">
                      <a:avLst/>
                    </a:prstGeom>
                    <a:noFill/>
                  </pic:spPr>
                </pic:pic>
              </a:graphicData>
            </a:graphic>
          </wp:inline>
        </w:drawing>
      </w:r>
    </w:p>
    <w:p w14:paraId="1AF91DDE" w14:textId="731500D3" w:rsidR="00406EF8" w:rsidRPr="00FC71BE" w:rsidRDefault="00406EF8" w:rsidP="00406EF8">
      <w:pPr>
        <w:pStyle w:val="FigureTitle"/>
      </w:pPr>
      <w:bookmarkStart w:id="351" w:name="_Ref141698307"/>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23</w:t>
        </w:r>
      </w:fldSimple>
      <w:bookmarkEnd w:id="351"/>
      <w:r w:rsidRPr="00FC71BE">
        <w:t>.  Maximum end-winding temperature for the modular (FG=2mm) and non-modular machines (FG=0mm) with different coolants such Air, NF (nanofluid) and FF (ferrofluid).</w:t>
      </w:r>
    </w:p>
    <w:p w14:paraId="61FBA11E" w14:textId="0E617638" w:rsidR="00406EF8" w:rsidRPr="00FC71BE" w:rsidRDefault="00406EF8" w:rsidP="00406EF8">
      <w:r w:rsidRPr="00FC71BE">
        <w:t xml:space="preserve">However, when nanofluid is used, a noticeable temperature reduction can be achieved as the self-circulation of the nanofluid is much more efficient than air, as shown in </w:t>
      </w:r>
      <w:r w:rsidRPr="00FC71BE">
        <w:fldChar w:fldCharType="begin"/>
      </w:r>
      <w:r w:rsidRPr="00FC71BE">
        <w:instrText xml:space="preserve"> REF _Ref141701375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24</w:t>
      </w:r>
      <w:r w:rsidRPr="00FC71BE">
        <w:fldChar w:fldCharType="end"/>
      </w:r>
      <w:r w:rsidRPr="00FC71BE">
        <w:t xml:space="preserve"> and </w:t>
      </w:r>
      <w:r w:rsidRPr="00FC71BE">
        <w:fldChar w:fldCharType="begin"/>
      </w:r>
      <w:r w:rsidRPr="00FC71BE">
        <w:instrText xml:space="preserve"> REF _Ref141701381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25</w:t>
      </w:r>
      <w:r w:rsidRPr="00FC71BE">
        <w:fldChar w:fldCharType="end"/>
      </w:r>
      <w:r w:rsidRPr="00FC71BE">
        <w:t>. This is because thermal conductivity is increased from 0.025W/m/K (air) to 0.19W/m/K (nanofluid). Faster heat transfer rate allows the coolant to move more heat from end-windings to the housing and end-caps. Therefore, compared with air cooling, nanofluid cooling reduces the winding temperature by 3.7</w:t>
      </w:r>
      <m:oMath>
        <m:r>
          <w:rPr>
            <w:rFonts w:ascii="Cambria Math" w:hAnsi="Cambria Math"/>
          </w:rPr>
          <m:t>℃</m:t>
        </m:r>
      </m:oMath>
      <w:r w:rsidRPr="00FC71BE">
        <w:t xml:space="preserve"> for the non-modular machine and the temperature reduction (4.3</w:t>
      </w:r>
      <m:oMath>
        <m:r>
          <w:rPr>
            <w:rFonts w:ascii="Cambria Math" w:hAnsi="Cambria Math"/>
          </w:rPr>
          <m:t>℃</m:t>
        </m:r>
      </m:oMath>
      <w:r w:rsidRPr="00FC71BE">
        <w:t>) is more pronounced when flux gaps are introduced.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FC71BE" w:rsidRPr="00FC71BE" w14:paraId="11E3D463" w14:textId="77777777">
        <w:tc>
          <w:tcPr>
            <w:tcW w:w="3005" w:type="dxa"/>
          </w:tcPr>
          <w:p w14:paraId="0D60E314" w14:textId="77777777" w:rsidR="00406EF8" w:rsidRPr="00FC71BE" w:rsidRDefault="00406EF8">
            <w:pPr>
              <w:pStyle w:val="Figure"/>
              <w:rPr>
                <w:noProof w:val="0"/>
              </w:rPr>
            </w:pPr>
            <w:r w:rsidRPr="00FC71BE">
              <w:lastRenderedPageBreak/>
              <w:drawing>
                <wp:inline distT="0" distB="0" distL="0" distR="0" wp14:anchorId="1D4B7923" wp14:editId="3C0B24BF">
                  <wp:extent cx="1400955" cy="2988000"/>
                  <wp:effectExtent l="0" t="0" r="0" b="3175"/>
                  <wp:docPr id="1631663966" name="Picture 1631663966" descr="A rainbow colored lines on a blu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63966" name="Picture 2" descr="A rainbow colored lines on a blue background&#10;&#10;Description automatically generated with medium confidence"/>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400955" cy="2988000"/>
                          </a:xfrm>
                          <a:prstGeom prst="rect">
                            <a:avLst/>
                          </a:prstGeom>
                          <a:noFill/>
                        </pic:spPr>
                      </pic:pic>
                    </a:graphicData>
                  </a:graphic>
                </wp:inline>
              </w:drawing>
            </w:r>
          </w:p>
        </w:tc>
        <w:tc>
          <w:tcPr>
            <w:tcW w:w="3005" w:type="dxa"/>
          </w:tcPr>
          <w:p w14:paraId="58F42E50" w14:textId="77777777" w:rsidR="00406EF8" w:rsidRPr="00FC71BE" w:rsidRDefault="00406EF8">
            <w:pPr>
              <w:pStyle w:val="Figure"/>
              <w:rPr>
                <w:noProof w:val="0"/>
              </w:rPr>
            </w:pPr>
            <w:r w:rsidRPr="00FC71BE">
              <w:drawing>
                <wp:inline distT="0" distB="0" distL="0" distR="0" wp14:anchorId="1A781056" wp14:editId="51B89012">
                  <wp:extent cx="1440687" cy="2988000"/>
                  <wp:effectExtent l="0" t="0" r="0" b="3175"/>
                  <wp:docPr id="476685902" name="Picture 476685902" descr="A rainbow colored lines on a blue background&#10;&#10;Description automatically generated with medium confidence">
                    <a:extLst xmlns:a="http://schemas.openxmlformats.org/drawingml/2006/main">
                      <a:ext uri="{FF2B5EF4-FFF2-40B4-BE49-F238E27FC236}">
                        <a16:creationId xmlns:a16="http://schemas.microsoft.com/office/drawing/2014/main" id="{3F22E5BB-C725-4450-A780-64D3181813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85902" name="Picture 476685902" descr="A rainbow colored lines on a blue background&#10;&#10;Description automatically generated with medium confidence">
                            <a:extLst>
                              <a:ext uri="{FF2B5EF4-FFF2-40B4-BE49-F238E27FC236}">
                                <a16:creationId xmlns:a16="http://schemas.microsoft.com/office/drawing/2014/main" id="{3F22E5BB-C725-4450-A780-64D31818138D}"/>
                              </a:ext>
                            </a:extLst>
                          </pic:cNvPr>
                          <pic:cNvPicPr>
                            <a:picLocks noChangeAspect="1"/>
                          </pic:cNvPicPr>
                        </pic:nvPicPr>
                        <pic:blipFill rotWithShape="1">
                          <a:blip r:embed="rId254"/>
                          <a:srcRect b="2414"/>
                          <a:stretch/>
                        </pic:blipFill>
                        <pic:spPr bwMode="auto">
                          <a:xfrm>
                            <a:off x="0" y="0"/>
                            <a:ext cx="1440687" cy="2988000"/>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2AA187CF" w14:textId="77777777" w:rsidR="00406EF8" w:rsidRPr="00FC71BE" w:rsidRDefault="00406EF8">
            <w:pPr>
              <w:pStyle w:val="Figure"/>
              <w:rPr>
                <w:noProof w:val="0"/>
              </w:rPr>
            </w:pPr>
            <w:r w:rsidRPr="00FC71BE">
              <w:drawing>
                <wp:inline distT="0" distB="0" distL="0" distR="0" wp14:anchorId="1EFCCDCA" wp14:editId="29A3B344">
                  <wp:extent cx="1401791" cy="2988000"/>
                  <wp:effectExtent l="0" t="0" r="0" b="3175"/>
                  <wp:docPr id="1732299754" name="Picture 1732299754" descr="A close-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99754" name="Picture 1" descr="A close-up of a screen&#10;&#10;Description automatically generated"/>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01791" cy="2988000"/>
                          </a:xfrm>
                          <a:prstGeom prst="rect">
                            <a:avLst/>
                          </a:prstGeom>
                          <a:noFill/>
                        </pic:spPr>
                      </pic:pic>
                    </a:graphicData>
                  </a:graphic>
                </wp:inline>
              </w:drawing>
            </w:r>
          </w:p>
        </w:tc>
      </w:tr>
      <w:tr w:rsidR="00FC71BE" w:rsidRPr="00FC71BE" w14:paraId="293D454C" w14:textId="77777777">
        <w:tc>
          <w:tcPr>
            <w:tcW w:w="3005" w:type="dxa"/>
          </w:tcPr>
          <w:p w14:paraId="6C5798AD" w14:textId="77777777" w:rsidR="00406EF8" w:rsidRPr="00FC71BE" w:rsidRDefault="00406EF8">
            <w:pPr>
              <w:pStyle w:val="Figure"/>
              <w:rPr>
                <w:noProof w:val="0"/>
              </w:rPr>
            </w:pPr>
            <w:r w:rsidRPr="00FC71BE">
              <w:rPr>
                <w:noProof w:val="0"/>
              </w:rPr>
              <w:t>(a) Air cooling</w:t>
            </w:r>
          </w:p>
        </w:tc>
        <w:tc>
          <w:tcPr>
            <w:tcW w:w="3005" w:type="dxa"/>
          </w:tcPr>
          <w:p w14:paraId="77892652" w14:textId="77777777" w:rsidR="00406EF8" w:rsidRPr="00FC71BE" w:rsidRDefault="00406EF8">
            <w:pPr>
              <w:pStyle w:val="Figure"/>
              <w:rPr>
                <w:noProof w:val="0"/>
              </w:rPr>
            </w:pPr>
            <w:r w:rsidRPr="00FC71BE">
              <w:rPr>
                <w:noProof w:val="0"/>
              </w:rPr>
              <w:t>(b) Nanofluid cooling</w:t>
            </w:r>
          </w:p>
        </w:tc>
        <w:tc>
          <w:tcPr>
            <w:tcW w:w="3006" w:type="dxa"/>
          </w:tcPr>
          <w:p w14:paraId="63901332" w14:textId="77777777" w:rsidR="00406EF8" w:rsidRPr="00FC71BE" w:rsidRDefault="00406EF8">
            <w:pPr>
              <w:pStyle w:val="Figure"/>
              <w:rPr>
                <w:noProof w:val="0"/>
              </w:rPr>
            </w:pPr>
            <w:r w:rsidRPr="00FC71BE">
              <w:rPr>
                <w:noProof w:val="0"/>
              </w:rPr>
              <w:t>(c) Ferrofluid cooling</w:t>
            </w:r>
          </w:p>
        </w:tc>
      </w:tr>
    </w:tbl>
    <w:p w14:paraId="2E98502C" w14:textId="6A71904D" w:rsidR="00406EF8" w:rsidRPr="00FC71BE" w:rsidRDefault="00406EF8" w:rsidP="00406EF8">
      <w:pPr>
        <w:pStyle w:val="FigureTitle"/>
      </w:pPr>
      <w:bookmarkStart w:id="352" w:name="_Ref141701375"/>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24</w:t>
        </w:r>
      </w:fldSimple>
      <w:bookmarkEnd w:id="352"/>
      <w:r w:rsidRPr="00FC71BE">
        <w:t>.  Temperature distributions at plane 2 for the non-modular machine different cooling methods.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FC71BE" w:rsidRPr="00FC71BE" w14:paraId="5A8FF912" w14:textId="77777777">
        <w:tc>
          <w:tcPr>
            <w:tcW w:w="3005" w:type="dxa"/>
          </w:tcPr>
          <w:p w14:paraId="2448807A" w14:textId="77777777" w:rsidR="00406EF8" w:rsidRPr="00FC71BE" w:rsidRDefault="00406EF8">
            <w:pPr>
              <w:pStyle w:val="Figure"/>
              <w:rPr>
                <w:noProof w:val="0"/>
              </w:rPr>
            </w:pPr>
            <w:r w:rsidRPr="00FC71BE">
              <w:drawing>
                <wp:inline distT="0" distB="0" distL="0" distR="0" wp14:anchorId="4832F6C8" wp14:editId="24884367">
                  <wp:extent cx="1375969" cy="2988000"/>
                  <wp:effectExtent l="0" t="0" r="0" b="3175"/>
                  <wp:docPr id="1066921459" name="Picture 1066921459" descr="A rainbow colored lines on a blu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21459" name="Picture 3" descr="A rainbow colored lines on a blue background&#10;&#10;Description automatically generated with medium confidence"/>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75969" cy="2988000"/>
                          </a:xfrm>
                          <a:prstGeom prst="rect">
                            <a:avLst/>
                          </a:prstGeom>
                          <a:noFill/>
                        </pic:spPr>
                      </pic:pic>
                    </a:graphicData>
                  </a:graphic>
                </wp:inline>
              </w:drawing>
            </w:r>
          </w:p>
        </w:tc>
        <w:tc>
          <w:tcPr>
            <w:tcW w:w="3005" w:type="dxa"/>
          </w:tcPr>
          <w:p w14:paraId="0C758FA8" w14:textId="77777777" w:rsidR="00406EF8" w:rsidRPr="00FC71BE" w:rsidRDefault="00406EF8">
            <w:pPr>
              <w:pStyle w:val="Figure"/>
              <w:rPr>
                <w:noProof w:val="0"/>
              </w:rPr>
            </w:pPr>
            <w:r w:rsidRPr="00FC71BE">
              <w:drawing>
                <wp:inline distT="0" distB="0" distL="0" distR="0" wp14:anchorId="2BF766C7" wp14:editId="143B251A">
                  <wp:extent cx="1405744" cy="2988000"/>
                  <wp:effectExtent l="0" t="0" r="0" b="3175"/>
                  <wp:docPr id="1231661538" name="Picture 1231661538" descr="A rainbow colored spectrum on a blu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61538" name="Picture 4" descr="A rainbow colored spectrum on a blue background&#10;&#10;Description automatically generated with medium confidence"/>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b="1868"/>
                          <a:stretch/>
                        </pic:blipFill>
                        <pic:spPr bwMode="auto">
                          <a:xfrm>
                            <a:off x="0" y="0"/>
                            <a:ext cx="1405744" cy="29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6" w:type="dxa"/>
          </w:tcPr>
          <w:p w14:paraId="1514D083" w14:textId="77777777" w:rsidR="00406EF8" w:rsidRPr="00FC71BE" w:rsidRDefault="00406EF8">
            <w:pPr>
              <w:pStyle w:val="Figure"/>
              <w:rPr>
                <w:noProof w:val="0"/>
              </w:rPr>
            </w:pPr>
            <w:r w:rsidRPr="00FC71BE">
              <w:drawing>
                <wp:inline distT="0" distB="0" distL="0" distR="0" wp14:anchorId="14F238AA" wp14:editId="56D04051">
                  <wp:extent cx="1385166" cy="2988000"/>
                  <wp:effectExtent l="0" t="0" r="0" b="3175"/>
                  <wp:docPr id="1864207187" name="Picture 1864207187" descr="A rainbow colored lines on a blu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07187" name="Picture 5" descr="A rainbow colored lines on a blue background&#10;&#10;Description automatically generated with medium confidence"/>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385166" cy="2988000"/>
                          </a:xfrm>
                          <a:prstGeom prst="rect">
                            <a:avLst/>
                          </a:prstGeom>
                          <a:noFill/>
                        </pic:spPr>
                      </pic:pic>
                    </a:graphicData>
                  </a:graphic>
                </wp:inline>
              </w:drawing>
            </w:r>
          </w:p>
        </w:tc>
      </w:tr>
      <w:tr w:rsidR="00FC71BE" w:rsidRPr="00FC71BE" w14:paraId="2158C82D" w14:textId="77777777">
        <w:tc>
          <w:tcPr>
            <w:tcW w:w="3005" w:type="dxa"/>
          </w:tcPr>
          <w:p w14:paraId="60530C51" w14:textId="77777777" w:rsidR="00406EF8" w:rsidRPr="00FC71BE" w:rsidRDefault="00406EF8">
            <w:pPr>
              <w:pStyle w:val="Figure"/>
              <w:rPr>
                <w:noProof w:val="0"/>
              </w:rPr>
            </w:pPr>
            <w:r w:rsidRPr="00FC71BE">
              <w:rPr>
                <w:noProof w:val="0"/>
              </w:rPr>
              <w:t>(a) Air cooling</w:t>
            </w:r>
          </w:p>
        </w:tc>
        <w:tc>
          <w:tcPr>
            <w:tcW w:w="3005" w:type="dxa"/>
          </w:tcPr>
          <w:p w14:paraId="6D0C6507" w14:textId="77777777" w:rsidR="00406EF8" w:rsidRPr="00FC71BE" w:rsidRDefault="00406EF8">
            <w:pPr>
              <w:pStyle w:val="Figure"/>
              <w:rPr>
                <w:noProof w:val="0"/>
              </w:rPr>
            </w:pPr>
            <w:r w:rsidRPr="00FC71BE">
              <w:rPr>
                <w:noProof w:val="0"/>
              </w:rPr>
              <w:t>(b) Nanofluid cooling</w:t>
            </w:r>
          </w:p>
        </w:tc>
        <w:tc>
          <w:tcPr>
            <w:tcW w:w="3006" w:type="dxa"/>
          </w:tcPr>
          <w:p w14:paraId="0F8CA313" w14:textId="77777777" w:rsidR="00406EF8" w:rsidRPr="00FC71BE" w:rsidRDefault="00406EF8">
            <w:pPr>
              <w:pStyle w:val="Figure"/>
              <w:rPr>
                <w:noProof w:val="0"/>
              </w:rPr>
            </w:pPr>
            <w:r w:rsidRPr="00FC71BE">
              <w:rPr>
                <w:noProof w:val="0"/>
              </w:rPr>
              <w:t>(c) Ferrofluid cooling</w:t>
            </w:r>
          </w:p>
        </w:tc>
      </w:tr>
    </w:tbl>
    <w:p w14:paraId="660429A2" w14:textId="0763A211" w:rsidR="00406EF8" w:rsidRPr="00FC71BE" w:rsidRDefault="00406EF8" w:rsidP="00406EF8">
      <w:pPr>
        <w:pStyle w:val="FigureTitle"/>
      </w:pPr>
      <w:bookmarkStart w:id="353" w:name="_Ref141701381"/>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25</w:t>
        </w:r>
      </w:fldSimple>
      <w:bookmarkEnd w:id="353"/>
      <w:r w:rsidRPr="00FC71BE">
        <w:t>.  Temperature distributions at plane 2 for the modular machine different cooling methods.</w:t>
      </w:r>
    </w:p>
    <w:p w14:paraId="48BE0A09" w14:textId="25766BCD" w:rsidR="00406EF8" w:rsidRPr="00FC71BE" w:rsidRDefault="00406EF8" w:rsidP="00406EF8">
      <w:r w:rsidRPr="00FC71BE">
        <w:t xml:space="preserve">When nanofluid is replaced by ferrofluid, the machine temperature can be further reduced for both the investigated machines. According to </w:t>
      </w:r>
      <w:r w:rsidRPr="00FC71BE">
        <w:fldChar w:fldCharType="begin"/>
      </w:r>
      <w:r w:rsidRPr="00FC71BE">
        <w:instrText xml:space="preserve"> REF _Ref141701375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24</w:t>
      </w:r>
      <w:r w:rsidRPr="00FC71BE">
        <w:fldChar w:fldCharType="end"/>
      </w:r>
      <w:r w:rsidRPr="00FC71BE">
        <w:t xml:space="preserve"> (c) and </w:t>
      </w:r>
      <w:r w:rsidRPr="00FC71BE">
        <w:fldChar w:fldCharType="begin"/>
      </w:r>
      <w:r w:rsidRPr="00FC71BE">
        <w:instrText xml:space="preserve"> REF _Ref141701381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25</w:t>
      </w:r>
      <w:r w:rsidRPr="00FC71BE">
        <w:fldChar w:fldCharType="end"/>
      </w:r>
      <w:r w:rsidRPr="00FC71BE">
        <w:t xml:space="preserve"> (c), the cooler coolant is attracted by end-windings and moves towards their centres. This is because the direction of the magnetic body force that the ferrofluid is subjected to points towards the end-</w:t>
      </w:r>
      <w:r w:rsidRPr="00FC71BE">
        <w:lastRenderedPageBreak/>
        <w:t xml:space="preserve">windings, which are the sources of magnetic field and heat. Therefore, the cooler coolant can be driven to the centre of the end-windings (hotspot), as shown in </w:t>
      </w:r>
      <w:r w:rsidRPr="00FC71BE">
        <w:fldChar w:fldCharType="begin"/>
      </w:r>
      <w:r w:rsidRPr="00FC71BE">
        <w:instrText xml:space="preserve"> REF _Ref141702173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26</w:t>
      </w:r>
      <w:r w:rsidRPr="00FC71BE">
        <w:fldChar w:fldCharType="end"/>
      </w:r>
      <w:r w:rsidRPr="00FC71BE">
        <w:t>. It can enhance the self-circulation rate of the coolant. As a result, it is found that for the non-modular machine, using the ferrofluid to replace the nanofluid can further reduce the maximum temperature by 10.1</w:t>
      </w:r>
      <m:oMath>
        <m:r>
          <w:rPr>
            <w:rFonts w:ascii="Cambria Math" w:hAnsi="Cambria Math"/>
          </w:rPr>
          <m:t>℃</m:t>
        </m:r>
      </m:oMath>
      <w:r w:rsidRPr="00FC71BE">
        <w:t>, while it is 8.6</w:t>
      </w:r>
      <m:oMath>
        <m:r>
          <w:rPr>
            <w:rFonts w:ascii="Cambria Math" w:hAnsi="Cambria Math"/>
          </w:rPr>
          <m:t>℃</m:t>
        </m:r>
      </m:oMath>
      <w:r w:rsidRPr="00FC71BE">
        <w:t xml:space="preserve"> for the modular machine. It is revealed that, unfortunately, the introduced flux gaps reduce the cooling efficiency of the ferrofluid. This is because different from the magnetic field produced by the end-windings that can generate a coolant circulation between the housing and the end-windings, the magnetic body force of the ferrofluid in the flux gaps drives the cooler coolant, not the warmer coolant, to the housing, as shown in </w:t>
      </w:r>
      <w:r w:rsidRPr="00FC71BE">
        <w:fldChar w:fldCharType="begin"/>
      </w:r>
      <w:r w:rsidRPr="00FC71BE">
        <w:instrText xml:space="preserve"> REF _Ref141702232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27</w:t>
      </w:r>
      <w:r w:rsidRPr="00FC71BE">
        <w:fldChar w:fldCharType="end"/>
      </w:r>
      <w:r w:rsidRPr="00FC71BE">
        <w:t>. As a result, it slightly deteriorates the cooling efficiency of the ferrofluid in the flux gaps.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7282CBD1" w14:textId="77777777">
        <w:tc>
          <w:tcPr>
            <w:tcW w:w="4508" w:type="dxa"/>
          </w:tcPr>
          <w:p w14:paraId="3D93E179" w14:textId="77777777" w:rsidR="00406EF8" w:rsidRPr="00FC71BE" w:rsidRDefault="00406EF8">
            <w:pPr>
              <w:pStyle w:val="Figure"/>
              <w:rPr>
                <w:noProof w:val="0"/>
              </w:rPr>
            </w:pPr>
            <w:r w:rsidRPr="00FC71BE">
              <w:drawing>
                <wp:inline distT="0" distB="0" distL="0" distR="0" wp14:anchorId="3147938A" wp14:editId="6B8D5299">
                  <wp:extent cx="2216737" cy="2160000"/>
                  <wp:effectExtent l="0" t="0" r="0" b="0"/>
                  <wp:docPr id="2076472787" name="Picture 2076472787" descr="Diagram, schematic&#10;&#10;Description automatically generated">
                    <a:extLst xmlns:a="http://schemas.openxmlformats.org/drawingml/2006/main">
                      <a:ext uri="{FF2B5EF4-FFF2-40B4-BE49-F238E27FC236}">
                        <a16:creationId xmlns:a16="http://schemas.microsoft.com/office/drawing/2014/main" id="{A236B4F3-41A5-4BC7-B048-21FA7E40B6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 schematic&#10;&#10;Description automatically generated">
                            <a:extLst>
                              <a:ext uri="{FF2B5EF4-FFF2-40B4-BE49-F238E27FC236}">
                                <a16:creationId xmlns:a16="http://schemas.microsoft.com/office/drawing/2014/main" id="{A236B4F3-41A5-4BC7-B048-21FA7E40B6F3}"/>
                              </a:ext>
                            </a:extLst>
                          </pic:cNvPr>
                          <pic:cNvPicPr>
                            <a:picLocks noChangeAspect="1"/>
                          </pic:cNvPicPr>
                        </pic:nvPicPr>
                        <pic:blipFill rotWithShape="1">
                          <a:blip r:embed="rId259" cstate="print">
                            <a:extLst>
                              <a:ext uri="{28A0092B-C50C-407E-A947-70E740481C1C}">
                                <a14:useLocalDpi xmlns:a14="http://schemas.microsoft.com/office/drawing/2010/main" val="0"/>
                              </a:ext>
                            </a:extLst>
                          </a:blip>
                          <a:srcRect l="16495" t="26547" r="35364" b="26547"/>
                          <a:stretch/>
                        </pic:blipFill>
                        <pic:spPr>
                          <a:xfrm>
                            <a:off x="0" y="0"/>
                            <a:ext cx="2216737" cy="2160000"/>
                          </a:xfrm>
                          <a:prstGeom prst="rect">
                            <a:avLst/>
                          </a:prstGeom>
                        </pic:spPr>
                      </pic:pic>
                    </a:graphicData>
                  </a:graphic>
                </wp:inline>
              </w:drawing>
            </w:r>
          </w:p>
        </w:tc>
        <w:tc>
          <w:tcPr>
            <w:tcW w:w="4508" w:type="dxa"/>
          </w:tcPr>
          <w:p w14:paraId="6D3DAF81" w14:textId="77777777" w:rsidR="00406EF8" w:rsidRPr="00FC71BE" w:rsidRDefault="00406EF8">
            <w:pPr>
              <w:pStyle w:val="Figure"/>
              <w:rPr>
                <w:noProof w:val="0"/>
              </w:rPr>
            </w:pPr>
            <w:r w:rsidRPr="00FC71BE">
              <w:drawing>
                <wp:inline distT="0" distB="0" distL="0" distR="0" wp14:anchorId="21CE0A0D" wp14:editId="65C5F5FE">
                  <wp:extent cx="2203282" cy="2160000"/>
                  <wp:effectExtent l="0" t="0" r="6985" b="0"/>
                  <wp:docPr id="258723072" name="Picture 258723072" descr="Diagram, schematic&#10;&#10;Description automatically generated with medium confidence">
                    <a:extLst xmlns:a="http://schemas.openxmlformats.org/drawingml/2006/main">
                      <a:ext uri="{FF2B5EF4-FFF2-40B4-BE49-F238E27FC236}">
                        <a16:creationId xmlns:a16="http://schemas.microsoft.com/office/drawing/2014/main" id="{9C64DF94-A81B-42D9-A40F-B9DC01711B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iagram, schematic&#10;&#10;Description automatically generated with medium confidence">
                            <a:extLst>
                              <a:ext uri="{FF2B5EF4-FFF2-40B4-BE49-F238E27FC236}">
                                <a16:creationId xmlns:a16="http://schemas.microsoft.com/office/drawing/2014/main" id="{9C64DF94-A81B-42D9-A40F-B9DC01711B03}"/>
                              </a:ext>
                            </a:extLst>
                          </pic:cNvPr>
                          <pic:cNvPicPr>
                            <a:picLocks noChangeAspect="1"/>
                          </pic:cNvPicPr>
                        </pic:nvPicPr>
                        <pic:blipFill rotWithShape="1">
                          <a:blip r:embed="rId260" cstate="print">
                            <a:extLst>
                              <a:ext uri="{28A0092B-C50C-407E-A947-70E740481C1C}">
                                <a14:useLocalDpi xmlns:a14="http://schemas.microsoft.com/office/drawing/2010/main" val="0"/>
                              </a:ext>
                            </a:extLst>
                          </a:blip>
                          <a:srcRect l="16927" t="26958" r="35266" b="26175"/>
                          <a:stretch/>
                        </pic:blipFill>
                        <pic:spPr>
                          <a:xfrm>
                            <a:off x="0" y="0"/>
                            <a:ext cx="2203282" cy="2160000"/>
                          </a:xfrm>
                          <a:prstGeom prst="rect">
                            <a:avLst/>
                          </a:prstGeom>
                        </pic:spPr>
                      </pic:pic>
                    </a:graphicData>
                  </a:graphic>
                </wp:inline>
              </w:drawing>
            </w:r>
          </w:p>
        </w:tc>
      </w:tr>
      <w:tr w:rsidR="00FC71BE" w:rsidRPr="00FC71BE" w14:paraId="77F41E41" w14:textId="77777777">
        <w:tc>
          <w:tcPr>
            <w:tcW w:w="9016" w:type="dxa"/>
            <w:gridSpan w:val="2"/>
          </w:tcPr>
          <w:p w14:paraId="1ED1F6C1" w14:textId="77777777" w:rsidR="00406EF8" w:rsidRPr="00FC71BE" w:rsidRDefault="00406EF8">
            <w:pPr>
              <w:pStyle w:val="Figure"/>
              <w:rPr>
                <w:noProof w:val="0"/>
              </w:rPr>
            </w:pPr>
            <w:r w:rsidRPr="00FC71BE">
              <w:drawing>
                <wp:inline distT="0" distB="0" distL="0" distR="0" wp14:anchorId="3CCD8032" wp14:editId="473B6559">
                  <wp:extent cx="3054262" cy="432000"/>
                  <wp:effectExtent l="0" t="0" r="0" b="6350"/>
                  <wp:docPr id="215849144" name="Picture 215849144" descr="A green and yellow rectangular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49144" name="Picture 215849144" descr="A green and yellow rectangular object&#10;&#10;Description automatically generated with medium confidence"/>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054262" cy="432000"/>
                          </a:xfrm>
                          <a:prstGeom prst="rect">
                            <a:avLst/>
                          </a:prstGeom>
                          <a:noFill/>
                        </pic:spPr>
                      </pic:pic>
                    </a:graphicData>
                  </a:graphic>
                </wp:inline>
              </w:drawing>
            </w:r>
          </w:p>
        </w:tc>
      </w:tr>
      <w:tr w:rsidR="00FC71BE" w:rsidRPr="00FC71BE" w14:paraId="01827FC7" w14:textId="77777777">
        <w:tc>
          <w:tcPr>
            <w:tcW w:w="4508" w:type="dxa"/>
          </w:tcPr>
          <w:p w14:paraId="6B39A324" w14:textId="77777777" w:rsidR="00406EF8" w:rsidRPr="00FC71BE" w:rsidRDefault="00406EF8">
            <w:pPr>
              <w:pStyle w:val="Figure"/>
              <w:rPr>
                <w:noProof w:val="0"/>
              </w:rPr>
            </w:pPr>
            <w:r w:rsidRPr="00FC71BE">
              <w:rPr>
                <w:noProof w:val="0"/>
              </w:rPr>
              <w:t>(a) Non-modular machine with NF</w:t>
            </w:r>
          </w:p>
        </w:tc>
        <w:tc>
          <w:tcPr>
            <w:tcW w:w="4508" w:type="dxa"/>
          </w:tcPr>
          <w:p w14:paraId="1D347BEA" w14:textId="77777777" w:rsidR="00406EF8" w:rsidRPr="00FC71BE" w:rsidRDefault="00406EF8">
            <w:pPr>
              <w:pStyle w:val="Figure"/>
              <w:rPr>
                <w:noProof w:val="0"/>
              </w:rPr>
            </w:pPr>
            <w:r w:rsidRPr="00FC71BE">
              <w:rPr>
                <w:noProof w:val="0"/>
              </w:rPr>
              <w:t>(b) Modular machine with NF</w:t>
            </w:r>
          </w:p>
        </w:tc>
      </w:tr>
      <w:tr w:rsidR="00FC71BE" w:rsidRPr="00FC71BE" w14:paraId="6409C9C5" w14:textId="77777777">
        <w:tc>
          <w:tcPr>
            <w:tcW w:w="4508" w:type="dxa"/>
          </w:tcPr>
          <w:p w14:paraId="066C9883" w14:textId="77777777" w:rsidR="00406EF8" w:rsidRPr="00FC71BE" w:rsidRDefault="00406EF8">
            <w:pPr>
              <w:pStyle w:val="Figure"/>
              <w:rPr>
                <w:noProof w:val="0"/>
              </w:rPr>
            </w:pPr>
            <w:r w:rsidRPr="00FC71BE">
              <w:drawing>
                <wp:inline distT="0" distB="0" distL="0" distR="0" wp14:anchorId="6BC1EB61" wp14:editId="14D26BC6">
                  <wp:extent cx="2170129" cy="2160000"/>
                  <wp:effectExtent l="0" t="0" r="1905" b="0"/>
                  <wp:docPr id="1766363959" name="Picture 1766363959" descr="A circular design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63959" name="Picture 1766363959" descr="A circular design with arrows&#10;&#10;Description automatically generated"/>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170129" cy="2160000"/>
                          </a:xfrm>
                          <a:prstGeom prst="rect">
                            <a:avLst/>
                          </a:prstGeom>
                          <a:noFill/>
                        </pic:spPr>
                      </pic:pic>
                    </a:graphicData>
                  </a:graphic>
                </wp:inline>
              </w:drawing>
            </w:r>
          </w:p>
        </w:tc>
        <w:tc>
          <w:tcPr>
            <w:tcW w:w="4508" w:type="dxa"/>
          </w:tcPr>
          <w:p w14:paraId="0F239B4E" w14:textId="77777777" w:rsidR="00406EF8" w:rsidRPr="00FC71BE" w:rsidRDefault="00406EF8">
            <w:pPr>
              <w:pStyle w:val="Figure"/>
              <w:rPr>
                <w:noProof w:val="0"/>
              </w:rPr>
            </w:pPr>
            <w:r w:rsidRPr="00FC71BE">
              <w:drawing>
                <wp:inline distT="0" distB="0" distL="0" distR="0" wp14:anchorId="202782FF" wp14:editId="4FF02D16">
                  <wp:extent cx="2188659" cy="2160000"/>
                  <wp:effectExtent l="0" t="0" r="2540" b="0"/>
                  <wp:docPr id="504551461" name="Picture 504551461" descr="Diagram, schematic&#10;&#10;Description automatically generated">
                    <a:extLst xmlns:a="http://schemas.openxmlformats.org/drawingml/2006/main">
                      <a:ext uri="{FF2B5EF4-FFF2-40B4-BE49-F238E27FC236}">
                        <a16:creationId xmlns:a16="http://schemas.microsoft.com/office/drawing/2014/main" id="{CDFEEF15-0355-4E41-BD94-8E309EF1DD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 schematic&#10;&#10;Description automatically generated">
                            <a:extLst>
                              <a:ext uri="{FF2B5EF4-FFF2-40B4-BE49-F238E27FC236}">
                                <a16:creationId xmlns:a16="http://schemas.microsoft.com/office/drawing/2014/main" id="{CDFEEF15-0355-4E41-BD94-8E309EF1DD6D}"/>
                              </a:ext>
                            </a:extLst>
                          </pic:cNvPr>
                          <pic:cNvPicPr>
                            <a:picLocks noChangeAspect="1"/>
                          </pic:cNvPicPr>
                        </pic:nvPicPr>
                        <pic:blipFill rotWithShape="1">
                          <a:blip r:embed="rId263" cstate="print">
                            <a:extLst>
                              <a:ext uri="{28A0092B-C50C-407E-A947-70E740481C1C}">
                                <a14:useLocalDpi xmlns:a14="http://schemas.microsoft.com/office/drawing/2010/main" val="0"/>
                              </a:ext>
                            </a:extLst>
                          </a:blip>
                          <a:srcRect l="17084" t="25861" r="34639" b="26488"/>
                          <a:stretch/>
                        </pic:blipFill>
                        <pic:spPr>
                          <a:xfrm>
                            <a:off x="0" y="0"/>
                            <a:ext cx="2188659" cy="2160000"/>
                          </a:xfrm>
                          <a:prstGeom prst="rect">
                            <a:avLst/>
                          </a:prstGeom>
                        </pic:spPr>
                      </pic:pic>
                    </a:graphicData>
                  </a:graphic>
                </wp:inline>
              </w:drawing>
            </w:r>
          </w:p>
        </w:tc>
      </w:tr>
      <w:tr w:rsidR="00FC71BE" w:rsidRPr="00FC71BE" w14:paraId="040F1112" w14:textId="77777777">
        <w:tc>
          <w:tcPr>
            <w:tcW w:w="9016" w:type="dxa"/>
            <w:gridSpan w:val="2"/>
          </w:tcPr>
          <w:p w14:paraId="668E819B" w14:textId="77777777" w:rsidR="00406EF8" w:rsidRPr="00FC71BE" w:rsidRDefault="00406EF8">
            <w:pPr>
              <w:pStyle w:val="Figure"/>
              <w:rPr>
                <w:noProof w:val="0"/>
              </w:rPr>
            </w:pPr>
            <w:r w:rsidRPr="00FC71BE">
              <w:drawing>
                <wp:inline distT="0" distB="0" distL="0" distR="0" wp14:anchorId="76397C73" wp14:editId="505EE671">
                  <wp:extent cx="2997881" cy="432000"/>
                  <wp:effectExtent l="0" t="0" r="0" b="6350"/>
                  <wp:docPr id="852183744" name="Picture 852183744" descr="A colorful bar with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83744" name="Picture 852183744" descr="A colorful bar with black background&#10;&#10;Description automatically generated with medium confidence"/>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997881" cy="432000"/>
                          </a:xfrm>
                          <a:prstGeom prst="rect">
                            <a:avLst/>
                          </a:prstGeom>
                          <a:noFill/>
                        </pic:spPr>
                      </pic:pic>
                    </a:graphicData>
                  </a:graphic>
                </wp:inline>
              </w:drawing>
            </w:r>
          </w:p>
        </w:tc>
      </w:tr>
      <w:tr w:rsidR="00FC71BE" w:rsidRPr="00FC71BE" w14:paraId="1E2D17B9" w14:textId="77777777">
        <w:tc>
          <w:tcPr>
            <w:tcW w:w="4508" w:type="dxa"/>
          </w:tcPr>
          <w:p w14:paraId="510E9962" w14:textId="77777777" w:rsidR="00406EF8" w:rsidRPr="00FC71BE" w:rsidRDefault="00406EF8">
            <w:pPr>
              <w:pStyle w:val="Figure"/>
              <w:rPr>
                <w:noProof w:val="0"/>
              </w:rPr>
            </w:pPr>
            <w:r w:rsidRPr="00FC71BE">
              <w:rPr>
                <w:noProof w:val="0"/>
              </w:rPr>
              <w:t>(c) Non-modular machine with FF</w:t>
            </w:r>
          </w:p>
        </w:tc>
        <w:tc>
          <w:tcPr>
            <w:tcW w:w="4508" w:type="dxa"/>
          </w:tcPr>
          <w:p w14:paraId="381F2722" w14:textId="77777777" w:rsidR="00406EF8" w:rsidRPr="00FC71BE" w:rsidRDefault="00406EF8">
            <w:pPr>
              <w:pStyle w:val="Figure"/>
              <w:rPr>
                <w:noProof w:val="0"/>
              </w:rPr>
            </w:pPr>
            <w:r w:rsidRPr="00FC71BE">
              <w:rPr>
                <w:noProof w:val="0"/>
              </w:rPr>
              <w:t>(d) Modular machine with FF</w:t>
            </w:r>
          </w:p>
        </w:tc>
      </w:tr>
    </w:tbl>
    <w:p w14:paraId="42F3DBEA" w14:textId="489626A2" w:rsidR="00406EF8" w:rsidRPr="00FC71BE" w:rsidRDefault="00406EF8" w:rsidP="00406EF8">
      <w:pPr>
        <w:pStyle w:val="FigureTitle"/>
      </w:pPr>
      <w:bookmarkStart w:id="354" w:name="_Ref141702173"/>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26</w:t>
        </w:r>
      </w:fldSimple>
      <w:bookmarkEnd w:id="354"/>
      <w:r w:rsidRPr="00FC71BE">
        <w:t>.  Coolant velocity distributions at plane 1 of investigated machines with different cooling methods.</w:t>
      </w:r>
    </w:p>
    <w:p w14:paraId="20487355" w14:textId="77777777" w:rsidR="00406EF8" w:rsidRPr="00FC71BE" w:rsidRDefault="00406EF8" w:rsidP="00406EF8">
      <w:pPr>
        <w:pStyle w:val="Figure"/>
        <w:rPr>
          <w:noProof w:val="0"/>
        </w:rPr>
      </w:pPr>
      <w:r w:rsidRPr="00FC71BE">
        <w:lastRenderedPageBreak/>
        <w:drawing>
          <wp:inline distT="0" distB="0" distL="0" distR="0" wp14:anchorId="39565D3D" wp14:editId="4143C86C">
            <wp:extent cx="3427598" cy="2141569"/>
            <wp:effectExtent l="0" t="0" r="1905" b="0"/>
            <wp:docPr id="1975709086" name="Picture 1975709086" descr="A diagram of a car&#10;&#10;Description automatically generated">
              <a:extLst xmlns:a="http://schemas.openxmlformats.org/drawingml/2006/main">
                <a:ext uri="{FF2B5EF4-FFF2-40B4-BE49-F238E27FC236}">
                  <a16:creationId xmlns:a16="http://schemas.microsoft.com/office/drawing/2014/main" id="{FE6EF5F5-3207-4234-9BB2-B64C3B090E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09086" name="Picture 1975709086" descr="A diagram of a car&#10;&#10;Description automatically generated">
                      <a:extLst>
                        <a:ext uri="{FF2B5EF4-FFF2-40B4-BE49-F238E27FC236}">
                          <a16:creationId xmlns:a16="http://schemas.microsoft.com/office/drawing/2014/main" id="{FE6EF5F5-3207-4234-9BB2-B64C3B090E2F}"/>
                        </a:ext>
                      </a:extLst>
                    </pic:cNvPr>
                    <pic:cNvPicPr>
                      <a:picLocks noChangeAspect="1"/>
                    </pic:cNvPicPr>
                  </pic:nvPicPr>
                  <pic:blipFill rotWithShape="1">
                    <a:blip r:embed="rId265"/>
                    <a:srcRect l="13744" t="20162" r="13745" b="1788"/>
                    <a:stretch/>
                  </pic:blipFill>
                  <pic:spPr>
                    <a:xfrm>
                      <a:off x="0" y="0"/>
                      <a:ext cx="3447726" cy="2154145"/>
                    </a:xfrm>
                    <a:prstGeom prst="rect">
                      <a:avLst/>
                    </a:prstGeom>
                  </pic:spPr>
                </pic:pic>
              </a:graphicData>
            </a:graphic>
          </wp:inline>
        </w:drawing>
      </w:r>
    </w:p>
    <w:p w14:paraId="167D36C2" w14:textId="6993E7A5" w:rsidR="00406EF8" w:rsidRPr="00FC71BE" w:rsidRDefault="00406EF8" w:rsidP="00406EF8">
      <w:pPr>
        <w:pStyle w:val="FigureTitle"/>
      </w:pPr>
      <w:bookmarkStart w:id="355" w:name="_Ref141702232"/>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27</w:t>
        </w:r>
      </w:fldSimple>
      <w:bookmarkEnd w:id="355"/>
      <w:r w:rsidRPr="00FC71BE">
        <w:t>.  Magnetic body force vectors in the flux gaps.</w:t>
      </w:r>
    </w:p>
    <w:p w14:paraId="5CAA70C3" w14:textId="77777777" w:rsidR="00406EF8" w:rsidRPr="00FC71BE" w:rsidRDefault="00406EF8" w:rsidP="00B86C68">
      <w:pPr>
        <w:pStyle w:val="Heading3"/>
        <w:numPr>
          <w:ilvl w:val="2"/>
          <w:numId w:val="49"/>
        </w:numPr>
      </w:pPr>
      <w:bookmarkStart w:id="356" w:name="_Toc157695402"/>
      <w:r w:rsidRPr="00FC71BE">
        <w:t>Different Flux Gap Widths</w:t>
      </w:r>
      <w:bookmarkEnd w:id="356"/>
    </w:p>
    <w:p w14:paraId="11B4E333" w14:textId="76BC8326" w:rsidR="00406EF8" w:rsidRPr="00FC71BE" w:rsidRDefault="00406EF8" w:rsidP="00406EF8">
      <w:r w:rsidRPr="00FC71BE">
        <w:t xml:space="preserve">In the section above, the investigations based on modular machines with a 2mm flux gap width has shown improved cooling performance with ferrofluid cooling. In this section, the influence of different flux gap widths on the cooling performance will be investigated. When the flux gap width increases from 0mm (non-modular machine) to 5mm (modular machine), the maximum winding temperatures for air cooling and nanofluid cooling will gradually reduce as shown in </w:t>
      </w:r>
      <w:r w:rsidRPr="00FC71BE">
        <w:fldChar w:fldCharType="begin"/>
      </w:r>
      <w:r w:rsidRPr="00FC71BE">
        <w:instrText xml:space="preserve"> REF _Ref141704095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28</w:t>
      </w:r>
      <w:r w:rsidRPr="00FC71BE">
        <w:fldChar w:fldCharType="end"/>
      </w:r>
      <w:r w:rsidRPr="00FC71BE">
        <w:t xml:space="preserve"> (a), meaning that the cooling efficiency improves. The main reason is that, with the increase in flux gap width, the fluid resistance reduces. The gravitational effect is more significant due to wider flux gaps. Therefore, a faster self-circulation of coolant in the flux gaps can be achieved. For example, the maximum nanofluid velocity in the flux gaps is 0.17mm/s when the flux gap width is 2mm. This value increases to 0.8mm/s when the flux gap width increases to 5mm.</w:t>
      </w:r>
    </w:p>
    <w:p w14:paraId="637CE6C1" w14:textId="3E5E197E" w:rsidR="00406EF8" w:rsidRPr="00FC71BE" w:rsidRDefault="00406EF8" w:rsidP="00406EF8">
      <w:r w:rsidRPr="00FC71BE">
        <w:t>However, when the ferrofluid is used, the trend is not obvious, as some flux gap widths will increase the temperature. This is because although the wider flux gaps will increase gravitational effect of the coolant, same as air and nanofluid cooling, the wider flux gaps can also enhance the influence of magnetic body force. The improved magnetic body force deteriorates the self-circulation of coolant. The temperature difference (</w:t>
      </w:r>
      <w:r w:rsidRPr="00FC71BE">
        <w:rPr>
          <w:rFonts w:cs="Times New Roman"/>
        </w:rPr>
        <w:t>Δ</w:t>
      </w:r>
      <w:r w:rsidRPr="00FC71BE">
        <w:rPr>
          <w:vertAlign w:val="subscript"/>
        </w:rPr>
        <w:t>NF-FF</w:t>
      </w:r>
      <w:r w:rsidRPr="00FC71BE">
        <w:t xml:space="preserve">) between nanofluid and ferrofluid, as shown in </w:t>
      </w:r>
      <w:r w:rsidRPr="00FC71BE">
        <w:fldChar w:fldCharType="begin"/>
      </w:r>
      <w:r w:rsidRPr="00FC71BE">
        <w:instrText xml:space="preserve"> REF _Ref141704095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28</w:t>
      </w:r>
      <w:r w:rsidRPr="00FC71BE">
        <w:fldChar w:fldCharType="end"/>
      </w:r>
      <w:r w:rsidRPr="00FC71BE">
        <w:t>, shows that wider flux gaps will lead to more significant deterioration of the ferrofluid self-circulation.</w:t>
      </w:r>
    </w:p>
    <w:p w14:paraId="49AD620A" w14:textId="77777777" w:rsidR="00406EF8" w:rsidRPr="00FC71BE" w:rsidRDefault="00406EF8" w:rsidP="00406EF8">
      <w:r w:rsidRPr="00FC71BE">
        <w:t>In conclusion, the simulation results have demonstrated that, the flux gap width has significant influence on machine cooling performances. And wider flux gaps have positive influence on the gravitational effect but negative influence on the thermomagnetic effect.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08A85EE6" w14:textId="77777777">
        <w:tc>
          <w:tcPr>
            <w:tcW w:w="9016" w:type="dxa"/>
          </w:tcPr>
          <w:p w14:paraId="1B96F100" w14:textId="77777777" w:rsidR="00406EF8" w:rsidRPr="00FC71BE" w:rsidRDefault="00406EF8">
            <w:pPr>
              <w:pStyle w:val="Figure"/>
              <w:rPr>
                <w:noProof w:val="0"/>
              </w:rPr>
            </w:pPr>
            <w:r w:rsidRPr="00FC71BE">
              <w:lastRenderedPageBreak/>
              <w:drawing>
                <wp:inline distT="0" distB="0" distL="0" distR="0" wp14:anchorId="606CBA37" wp14:editId="4630A7CC">
                  <wp:extent cx="4363200" cy="2619651"/>
                  <wp:effectExtent l="0" t="0" r="0" b="9525"/>
                  <wp:docPr id="1074324907" name="Picture 107432490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363200" cy="2619651"/>
                          </a:xfrm>
                          <a:prstGeom prst="rect">
                            <a:avLst/>
                          </a:prstGeom>
                          <a:noFill/>
                          <a:ln>
                            <a:noFill/>
                          </a:ln>
                        </pic:spPr>
                      </pic:pic>
                    </a:graphicData>
                  </a:graphic>
                </wp:inline>
              </w:drawing>
            </w:r>
          </w:p>
        </w:tc>
      </w:tr>
      <w:tr w:rsidR="00FC71BE" w:rsidRPr="00FC71BE" w14:paraId="3A3B2E46" w14:textId="77777777">
        <w:tc>
          <w:tcPr>
            <w:tcW w:w="9016" w:type="dxa"/>
          </w:tcPr>
          <w:p w14:paraId="3E4D657C" w14:textId="77777777" w:rsidR="00406EF8" w:rsidRPr="00FC71BE" w:rsidRDefault="00406EF8">
            <w:pPr>
              <w:pStyle w:val="Figure"/>
              <w:rPr>
                <w:noProof w:val="0"/>
              </w:rPr>
            </w:pPr>
            <w:r w:rsidRPr="00FC71BE">
              <w:rPr>
                <w:noProof w:val="0"/>
              </w:rPr>
              <w:t>(a) Maximum winding temperature</w:t>
            </w:r>
          </w:p>
        </w:tc>
      </w:tr>
      <w:tr w:rsidR="00FC71BE" w:rsidRPr="00FC71BE" w14:paraId="22F7981D" w14:textId="77777777">
        <w:tc>
          <w:tcPr>
            <w:tcW w:w="9016" w:type="dxa"/>
          </w:tcPr>
          <w:p w14:paraId="0B6B004F" w14:textId="77777777" w:rsidR="00406EF8" w:rsidRPr="00FC71BE" w:rsidRDefault="00406EF8">
            <w:pPr>
              <w:pStyle w:val="Figure"/>
              <w:rPr>
                <w:noProof w:val="0"/>
              </w:rPr>
            </w:pPr>
            <w:r w:rsidRPr="00FC71BE">
              <w:drawing>
                <wp:inline distT="0" distB="0" distL="0" distR="0" wp14:anchorId="53A21274" wp14:editId="0BAAC1B6">
                  <wp:extent cx="4363200" cy="2617054"/>
                  <wp:effectExtent l="0" t="0" r="0" b="0"/>
                  <wp:docPr id="1309438395" name="Picture 130943839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363200" cy="2617054"/>
                          </a:xfrm>
                          <a:prstGeom prst="rect">
                            <a:avLst/>
                          </a:prstGeom>
                          <a:noFill/>
                          <a:ln>
                            <a:noFill/>
                          </a:ln>
                        </pic:spPr>
                      </pic:pic>
                    </a:graphicData>
                  </a:graphic>
                </wp:inline>
              </w:drawing>
            </w:r>
          </w:p>
        </w:tc>
      </w:tr>
      <w:tr w:rsidR="00FC71BE" w:rsidRPr="00FC71BE" w14:paraId="22EF32DF" w14:textId="77777777">
        <w:tc>
          <w:tcPr>
            <w:tcW w:w="9016" w:type="dxa"/>
          </w:tcPr>
          <w:p w14:paraId="0F9359F8" w14:textId="77777777" w:rsidR="00406EF8" w:rsidRPr="00FC71BE" w:rsidRDefault="00406EF8">
            <w:pPr>
              <w:pStyle w:val="Figure"/>
              <w:rPr>
                <w:noProof w:val="0"/>
              </w:rPr>
            </w:pPr>
            <w:r w:rsidRPr="00FC71BE">
              <w:rPr>
                <w:noProof w:val="0"/>
              </w:rPr>
              <w:t>(b) Temperature difference</w:t>
            </w:r>
          </w:p>
        </w:tc>
      </w:tr>
    </w:tbl>
    <w:p w14:paraId="4D7F5C31" w14:textId="1B98EE62" w:rsidR="00406EF8" w:rsidRPr="00FC71BE" w:rsidRDefault="00406EF8" w:rsidP="00406EF8">
      <w:pPr>
        <w:pStyle w:val="FigureTitle"/>
      </w:pPr>
      <w:bookmarkStart w:id="357" w:name="_Ref141704095"/>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28</w:t>
        </w:r>
      </w:fldSimple>
      <w:bookmarkEnd w:id="357"/>
      <w:r w:rsidRPr="00FC71BE">
        <w:t xml:space="preserve">.  </w:t>
      </w:r>
      <w:bookmarkStart w:id="358" w:name="_Hlk121311100"/>
      <w:r w:rsidRPr="00FC71BE">
        <w:t xml:space="preserve">Maximum winding temperatures </w:t>
      </w:r>
      <w:r w:rsidRPr="00FC71BE">
        <w:rPr>
          <w:i/>
        </w:rPr>
        <w:t>vs</w:t>
      </w:r>
      <w:r w:rsidRPr="00FC71BE">
        <w:t xml:space="preserve"> flux gap width for different coolants such as Air, NF and FF, and temperature difference (</w:t>
      </w:r>
      <w:r w:rsidRPr="00FC71BE">
        <w:rPr>
          <w:rFonts w:cs="Times New Roman"/>
        </w:rPr>
        <w:t>Δ</w:t>
      </w:r>
      <w:r w:rsidRPr="00FC71BE">
        <w:rPr>
          <w:vertAlign w:val="subscript"/>
        </w:rPr>
        <w:t>NF-FF</w:t>
      </w:r>
      <w:r w:rsidRPr="00FC71BE">
        <w:t xml:space="preserve">) between NF cooling and FF cooling </w:t>
      </w:r>
      <w:r w:rsidRPr="00FC71BE">
        <w:rPr>
          <w:i/>
        </w:rPr>
        <w:t>vs</w:t>
      </w:r>
      <w:r w:rsidRPr="00FC71BE">
        <w:t xml:space="preserve"> flux gap width</w:t>
      </w:r>
      <w:bookmarkEnd w:id="358"/>
      <w:r w:rsidRPr="00FC71BE">
        <w:t>.</w:t>
      </w:r>
    </w:p>
    <w:p w14:paraId="2A00B312" w14:textId="77777777" w:rsidR="00406EF8" w:rsidRPr="00FC71BE" w:rsidRDefault="00406EF8" w:rsidP="00B86C68">
      <w:pPr>
        <w:pStyle w:val="Heading2"/>
        <w:numPr>
          <w:ilvl w:val="1"/>
          <w:numId w:val="49"/>
        </w:numPr>
      </w:pPr>
      <w:bookmarkStart w:id="359" w:name="_Toc157695403"/>
      <w:r w:rsidRPr="00FC71BE">
        <w:t>Experimental Validation</w:t>
      </w:r>
      <w:bookmarkEnd w:id="359"/>
    </w:p>
    <w:p w14:paraId="77E28942" w14:textId="77777777" w:rsidR="00406EF8" w:rsidRPr="00FC71BE" w:rsidRDefault="00406EF8" w:rsidP="00B86C68">
      <w:pPr>
        <w:pStyle w:val="Heading3"/>
        <w:numPr>
          <w:ilvl w:val="2"/>
          <w:numId w:val="49"/>
        </w:numPr>
      </w:pPr>
      <w:bookmarkStart w:id="360" w:name="_Toc157695404"/>
      <w:r w:rsidRPr="00FC71BE">
        <w:t>Single Coil Motorette</w:t>
      </w:r>
      <w:bookmarkEnd w:id="360"/>
    </w:p>
    <w:p w14:paraId="48B8B35E" w14:textId="77777777" w:rsidR="00406EF8" w:rsidRPr="00FC71BE" w:rsidRDefault="00406EF8" w:rsidP="00AF4190">
      <w:pPr>
        <w:pStyle w:val="Heading4"/>
        <w:numPr>
          <w:ilvl w:val="0"/>
          <w:numId w:val="36"/>
        </w:numPr>
      </w:pPr>
      <w:r w:rsidRPr="00FC71BE">
        <w:t>Motorette and Test Rig Setup</w:t>
      </w:r>
    </w:p>
    <w:p w14:paraId="70C609DE" w14:textId="167E0428" w:rsidR="00406EF8" w:rsidRPr="00FC71BE" w:rsidRDefault="00406EF8" w:rsidP="00406EF8">
      <w:r w:rsidRPr="00FC71BE">
        <w:t xml:space="preserve">In order to further validate the multiphysics models, a motorette has been built, as shown in </w:t>
      </w:r>
      <w:r w:rsidRPr="00FC71BE">
        <w:fldChar w:fldCharType="begin"/>
      </w:r>
      <w:r w:rsidRPr="00FC71BE">
        <w:instrText xml:space="preserve"> REF _Ref141705796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29</w:t>
      </w:r>
      <w:r w:rsidRPr="00FC71BE">
        <w:fldChar w:fldCharType="end"/>
      </w:r>
      <w:r w:rsidRPr="00FC71BE">
        <w:t xml:space="preserve">. The specifications of this motorette are listed in </w:t>
      </w:r>
      <w:r w:rsidRPr="00FC71BE">
        <w:fldChar w:fldCharType="begin"/>
      </w:r>
      <w:r w:rsidRPr="00FC71BE">
        <w:instrText xml:space="preserve"> REF _Ref141705812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7</w:t>
      </w:r>
      <w:r w:rsidRPr="00FC71BE">
        <w:fldChar w:fldCharType="end"/>
      </w:r>
      <w:r w:rsidRPr="00FC71BE">
        <w:t xml:space="preserve">. The geometries of stator lamination and housing are shown in </w:t>
      </w:r>
      <w:r w:rsidRPr="00FC71BE">
        <w:fldChar w:fldCharType="begin"/>
      </w:r>
      <w:r w:rsidRPr="00FC71BE">
        <w:instrText xml:space="preserve"> REF _Ref141705830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30</w:t>
      </w:r>
      <w:r w:rsidRPr="00FC71BE">
        <w:fldChar w:fldCharType="end"/>
      </w:r>
      <w:r w:rsidRPr="00FC71BE">
        <w:t xml:space="preserve"> (a) and (b). An epoxy resin is used to fill the gaps between conductors, as well as the gap between the stator wall and the winding. This helps improve the equivalent thermal conductivity in the stator slots. A ferrofluid called </w:t>
      </w:r>
      <w:r w:rsidRPr="00FC71BE">
        <w:lastRenderedPageBreak/>
        <w:t xml:space="preserve">AMG200-50 manufactured by Liquids Research Ltd has been used for the tests, and its properties are listed in </w:t>
      </w:r>
      <w:r w:rsidRPr="00FC71BE">
        <w:fldChar w:fldCharType="begin"/>
      </w:r>
      <w:r w:rsidRPr="00FC71BE">
        <w:instrText xml:space="preserve"> REF _Ref141705850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8</w:t>
      </w:r>
      <w:r w:rsidRPr="00FC71BE">
        <w:fldChar w:fldCharType="end"/>
      </w:r>
      <w:r w:rsidRPr="00FC71BE">
        <w:t xml:space="preserve">. The water jacket [as shown in </w:t>
      </w:r>
      <w:r w:rsidRPr="00FC71BE">
        <w:fldChar w:fldCharType="begin"/>
      </w:r>
      <w:r w:rsidRPr="00FC71BE">
        <w:instrText xml:space="preserve"> REF _Ref141705830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30</w:t>
      </w:r>
      <w:r w:rsidRPr="00FC71BE">
        <w:fldChar w:fldCharType="end"/>
      </w:r>
      <w:r w:rsidRPr="00FC71BE">
        <w:t xml:space="preserve"> (c)] is located at the back of the motorette. A commercial pump that can supply 1 L/min inlet flow rate to the water jacket is used for the tests.</w:t>
      </w:r>
    </w:p>
    <w:p w14:paraId="787578FD" w14:textId="3FE518D2" w:rsidR="00406EF8" w:rsidRPr="00FC71BE" w:rsidRDefault="00406EF8" w:rsidP="00406EF8">
      <w:r w:rsidRPr="00FC71BE">
        <w:t xml:space="preserve">A test rig with the above motorette is built for the temperature measurements, as shown in </w:t>
      </w:r>
      <w:r w:rsidRPr="00FC71BE">
        <w:fldChar w:fldCharType="begin"/>
      </w:r>
      <w:r w:rsidRPr="00FC71BE">
        <w:instrText xml:space="preserve"> REF _Ref141705872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31</w:t>
      </w:r>
      <w:r w:rsidRPr="00FC71BE">
        <w:fldChar w:fldCharType="end"/>
      </w:r>
      <w:r w:rsidRPr="00FC71BE">
        <w:t xml:space="preserve">. The end-winding temperature is measured using T-type thermocouples with an accuracy of </w:t>
      </w:r>
      <m:oMath>
        <m:r>
          <w:rPr>
            <w:rFonts w:ascii="Cambria Math" w:hAnsi="Cambria Math"/>
          </w:rPr>
          <m:t>±0.5℃</m:t>
        </m:r>
      </m:oMath>
      <w:r w:rsidRPr="00FC71BE">
        <w:t xml:space="preserve"> and temperature results are recorded by Pico TC-08 thermocouple data logger.</w:t>
      </w:r>
    </w:p>
    <w:p w14:paraId="4DAF7F1D" w14:textId="77777777" w:rsidR="00406EF8" w:rsidRPr="00FC71BE" w:rsidRDefault="00406EF8" w:rsidP="00406EF8">
      <w:pPr>
        <w:pStyle w:val="Figure"/>
        <w:rPr>
          <w:noProof w:val="0"/>
        </w:rPr>
      </w:pPr>
      <w:r w:rsidRPr="00FC71BE">
        <w:drawing>
          <wp:inline distT="0" distB="0" distL="0" distR="0" wp14:anchorId="30D6273A" wp14:editId="22ABBA2F">
            <wp:extent cx="2951591" cy="3636000"/>
            <wp:effectExtent l="0" t="0" r="1270" b="3175"/>
            <wp:docPr id="1640258722" name="Picture 1640258722" descr="A picture containing text, indoor, 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indoor, rack&#10;&#10;Description automatically generated"/>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b="7584"/>
                    <a:stretch/>
                  </pic:blipFill>
                  <pic:spPr bwMode="auto">
                    <a:xfrm>
                      <a:off x="0" y="0"/>
                      <a:ext cx="2951591" cy="3636000"/>
                    </a:xfrm>
                    <a:prstGeom prst="rect">
                      <a:avLst/>
                    </a:prstGeom>
                    <a:noFill/>
                    <a:ln>
                      <a:noFill/>
                    </a:ln>
                    <a:extLst>
                      <a:ext uri="{53640926-AAD7-44D8-BBD7-CCE9431645EC}">
                        <a14:shadowObscured xmlns:a14="http://schemas.microsoft.com/office/drawing/2010/main"/>
                      </a:ext>
                    </a:extLst>
                  </pic:spPr>
                </pic:pic>
              </a:graphicData>
            </a:graphic>
          </wp:inline>
        </w:drawing>
      </w:r>
    </w:p>
    <w:p w14:paraId="60AC6974" w14:textId="6DA00A93" w:rsidR="00406EF8" w:rsidRPr="00FC71BE" w:rsidRDefault="00406EF8" w:rsidP="00406EF8">
      <w:pPr>
        <w:pStyle w:val="FigureTitle"/>
      </w:pPr>
      <w:bookmarkStart w:id="361" w:name="_Ref141705796"/>
      <w:r w:rsidRPr="00FC71BE">
        <w:t xml:space="preserve">Fig. </w:t>
      </w:r>
      <w:fldSimple w:instr=" STYLEREF 1 \s ">
        <w:r w:rsidR="007E62C1" w:rsidRPr="00FC71BE">
          <w:rPr>
            <w:noProof/>
          </w:rPr>
          <w:t>5</w:t>
        </w:r>
      </w:fldSimple>
      <w:r w:rsidRPr="00FC71BE">
        <w:t>.</w:t>
      </w:r>
      <w:fldSimple w:instr=" SEQ Fig. \* ARABIC \s 1 ">
        <w:r w:rsidR="007E62C1" w:rsidRPr="00FC71BE">
          <w:rPr>
            <w:noProof/>
          </w:rPr>
          <w:t>29</w:t>
        </w:r>
      </w:fldSimple>
      <w:bookmarkEnd w:id="361"/>
      <w:r w:rsidRPr="00FC71BE">
        <w:t>.  Test motorette.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71BE" w:rsidRPr="00FC71BE" w14:paraId="7C824FF1" w14:textId="77777777">
        <w:tc>
          <w:tcPr>
            <w:tcW w:w="9016" w:type="dxa"/>
            <w:gridSpan w:val="2"/>
          </w:tcPr>
          <w:p w14:paraId="515672E3" w14:textId="77777777" w:rsidR="00406EF8" w:rsidRPr="00FC71BE" w:rsidRDefault="00406EF8">
            <w:pPr>
              <w:pStyle w:val="Figure"/>
              <w:rPr>
                <w:noProof w:val="0"/>
              </w:rPr>
            </w:pPr>
            <w:r w:rsidRPr="00FC71BE">
              <w:lastRenderedPageBreak/>
              <w:drawing>
                <wp:inline distT="0" distB="0" distL="0" distR="0" wp14:anchorId="311255F2" wp14:editId="2777F996">
                  <wp:extent cx="2999232" cy="3779391"/>
                  <wp:effectExtent l="0" t="0" r="0" b="0"/>
                  <wp:docPr id="1872819054" name="Picture 1872819054" descr="Diagram&#10;&#10;Description automatically generated">
                    <a:extLst xmlns:a="http://schemas.openxmlformats.org/drawingml/2006/main">
                      <a:ext uri="{FF2B5EF4-FFF2-40B4-BE49-F238E27FC236}">
                        <a16:creationId xmlns:a16="http://schemas.microsoft.com/office/drawing/2014/main" id="{7B195DA6-957F-4E9A-BADF-680BC7434B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 descr="Diagram&#10;&#10;Description automatically generated">
                            <a:extLst>
                              <a:ext uri="{FF2B5EF4-FFF2-40B4-BE49-F238E27FC236}">
                                <a16:creationId xmlns:a16="http://schemas.microsoft.com/office/drawing/2014/main" id="{7B195DA6-957F-4E9A-BADF-680BC7434BED}"/>
                              </a:ext>
                            </a:extLst>
                          </pic:cNvPr>
                          <pic:cNvPicPr>
                            <a:picLocks noChangeAspect="1"/>
                          </pic:cNvPicPr>
                        </pic:nvPicPr>
                        <pic:blipFill>
                          <a:blip r:embed="rId269"/>
                          <a:stretch>
                            <a:fillRect/>
                          </a:stretch>
                        </pic:blipFill>
                        <pic:spPr>
                          <a:xfrm>
                            <a:off x="0" y="0"/>
                            <a:ext cx="3043101" cy="3834671"/>
                          </a:xfrm>
                          <a:prstGeom prst="rect">
                            <a:avLst/>
                          </a:prstGeom>
                        </pic:spPr>
                      </pic:pic>
                    </a:graphicData>
                  </a:graphic>
                </wp:inline>
              </w:drawing>
            </w:r>
          </w:p>
        </w:tc>
      </w:tr>
      <w:tr w:rsidR="00FC71BE" w:rsidRPr="00FC71BE" w14:paraId="2FC118F7" w14:textId="77777777">
        <w:tc>
          <w:tcPr>
            <w:tcW w:w="9016" w:type="dxa"/>
            <w:gridSpan w:val="2"/>
          </w:tcPr>
          <w:p w14:paraId="2E41DCD1" w14:textId="77777777" w:rsidR="00406EF8" w:rsidRPr="00FC71BE" w:rsidRDefault="00406EF8">
            <w:pPr>
              <w:pStyle w:val="Figure"/>
              <w:rPr>
                <w:noProof w:val="0"/>
              </w:rPr>
            </w:pPr>
            <w:r w:rsidRPr="00FC71BE">
              <w:rPr>
                <w:noProof w:val="0"/>
              </w:rPr>
              <w:t>(a) Stator lamination</w:t>
            </w:r>
          </w:p>
        </w:tc>
      </w:tr>
      <w:tr w:rsidR="00FC71BE" w:rsidRPr="00FC71BE" w14:paraId="1AD4D5AD" w14:textId="77777777">
        <w:tc>
          <w:tcPr>
            <w:tcW w:w="4508" w:type="dxa"/>
          </w:tcPr>
          <w:p w14:paraId="1DE789CF" w14:textId="77777777" w:rsidR="00406EF8" w:rsidRPr="00FC71BE" w:rsidRDefault="00406EF8">
            <w:pPr>
              <w:pStyle w:val="Figure"/>
              <w:rPr>
                <w:noProof w:val="0"/>
              </w:rPr>
            </w:pPr>
            <w:r w:rsidRPr="00FC71BE">
              <w:drawing>
                <wp:inline distT="0" distB="0" distL="0" distR="0" wp14:anchorId="40AEACB5" wp14:editId="082484F5">
                  <wp:extent cx="2318918" cy="4026661"/>
                  <wp:effectExtent l="0" t="0" r="5715" b="0"/>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346552" cy="4074646"/>
                          </a:xfrm>
                          <a:prstGeom prst="rect">
                            <a:avLst/>
                          </a:prstGeom>
                          <a:noFill/>
                        </pic:spPr>
                      </pic:pic>
                    </a:graphicData>
                  </a:graphic>
                </wp:inline>
              </w:drawing>
            </w:r>
          </w:p>
        </w:tc>
        <w:tc>
          <w:tcPr>
            <w:tcW w:w="4508" w:type="dxa"/>
          </w:tcPr>
          <w:p w14:paraId="569E8804" w14:textId="77777777" w:rsidR="00406EF8" w:rsidRPr="00FC71BE" w:rsidRDefault="00406EF8">
            <w:pPr>
              <w:pStyle w:val="Figure"/>
              <w:rPr>
                <w:noProof w:val="0"/>
              </w:rPr>
            </w:pPr>
            <w:r w:rsidRPr="00FC71BE">
              <w:drawing>
                <wp:inline distT="0" distB="0" distL="0" distR="0" wp14:anchorId="7C0D5F60" wp14:editId="2810E4CE">
                  <wp:extent cx="2596896" cy="4057652"/>
                  <wp:effectExtent l="0" t="0" r="0" b="0"/>
                  <wp:docPr id="1292831785" name="Picture 1292831785" descr="Diagram&#10;&#10;Description automatically generated">
                    <a:extLst xmlns:a="http://schemas.openxmlformats.org/drawingml/2006/main">
                      <a:ext uri="{FF2B5EF4-FFF2-40B4-BE49-F238E27FC236}">
                        <a16:creationId xmlns:a16="http://schemas.microsoft.com/office/drawing/2014/main" id="{9AC53591-F5E2-4D9B-98F1-26C3DE1086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Diagram&#10;&#10;Description automatically generated">
                            <a:extLst>
                              <a:ext uri="{FF2B5EF4-FFF2-40B4-BE49-F238E27FC236}">
                                <a16:creationId xmlns:a16="http://schemas.microsoft.com/office/drawing/2014/main" id="{9AC53591-F5E2-4D9B-98F1-26C3DE10865B}"/>
                              </a:ext>
                            </a:extLst>
                          </pic:cNvPr>
                          <pic:cNvPicPr>
                            <a:picLocks noChangeAspect="1"/>
                          </pic:cNvPicPr>
                        </pic:nvPicPr>
                        <pic:blipFill>
                          <a:blip r:embed="rId271"/>
                          <a:stretch>
                            <a:fillRect/>
                          </a:stretch>
                        </pic:blipFill>
                        <pic:spPr>
                          <a:xfrm>
                            <a:off x="0" y="0"/>
                            <a:ext cx="2640574" cy="4125900"/>
                          </a:xfrm>
                          <a:prstGeom prst="rect">
                            <a:avLst/>
                          </a:prstGeom>
                        </pic:spPr>
                      </pic:pic>
                    </a:graphicData>
                  </a:graphic>
                </wp:inline>
              </w:drawing>
            </w:r>
          </w:p>
        </w:tc>
      </w:tr>
      <w:tr w:rsidR="00FC71BE" w:rsidRPr="00FC71BE" w14:paraId="731D9D01" w14:textId="77777777">
        <w:tc>
          <w:tcPr>
            <w:tcW w:w="4508" w:type="dxa"/>
          </w:tcPr>
          <w:p w14:paraId="7216079D" w14:textId="77777777" w:rsidR="00406EF8" w:rsidRPr="00FC71BE" w:rsidRDefault="00406EF8">
            <w:pPr>
              <w:pStyle w:val="Figure"/>
              <w:rPr>
                <w:noProof w:val="0"/>
              </w:rPr>
            </w:pPr>
            <w:r w:rsidRPr="00FC71BE">
              <w:rPr>
                <w:noProof w:val="0"/>
              </w:rPr>
              <w:t>(b) housing</w:t>
            </w:r>
          </w:p>
        </w:tc>
        <w:tc>
          <w:tcPr>
            <w:tcW w:w="4508" w:type="dxa"/>
          </w:tcPr>
          <w:p w14:paraId="522F13F6" w14:textId="77777777" w:rsidR="00406EF8" w:rsidRPr="00FC71BE" w:rsidRDefault="00406EF8">
            <w:pPr>
              <w:pStyle w:val="Figure"/>
              <w:rPr>
                <w:noProof w:val="0"/>
              </w:rPr>
            </w:pPr>
            <w:r w:rsidRPr="00FC71BE">
              <w:rPr>
                <w:noProof w:val="0"/>
              </w:rPr>
              <w:t>(c) water jacket</w:t>
            </w:r>
          </w:p>
        </w:tc>
      </w:tr>
    </w:tbl>
    <w:p w14:paraId="521D2AFF" w14:textId="3E0FDAD4" w:rsidR="00406EF8" w:rsidRPr="00FC71BE" w:rsidRDefault="00406EF8" w:rsidP="00406EF8">
      <w:pPr>
        <w:pStyle w:val="FigureTitle"/>
      </w:pPr>
      <w:bookmarkStart w:id="362" w:name="_Ref141705830"/>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30</w:t>
        </w:r>
      </w:fldSimple>
      <w:bookmarkEnd w:id="362"/>
      <w:r w:rsidRPr="00FC71BE">
        <w:t>.  (a) Stator lamination, (b) housing and (c) water jacket showing the details of the cooling channel.</w:t>
      </w:r>
    </w:p>
    <w:p w14:paraId="44074763" w14:textId="77777777" w:rsidR="00406EF8" w:rsidRPr="00FC71BE" w:rsidRDefault="00406EF8" w:rsidP="00406EF8">
      <w:pPr>
        <w:pStyle w:val="Figure"/>
        <w:rPr>
          <w:noProof w:val="0"/>
        </w:rPr>
      </w:pPr>
      <w:r w:rsidRPr="00FC71BE">
        <w:lastRenderedPageBreak/>
        <w:drawing>
          <wp:inline distT="0" distB="0" distL="0" distR="0" wp14:anchorId="2B26814A" wp14:editId="7F3AAE2C">
            <wp:extent cx="5454378" cy="2128723"/>
            <wp:effectExtent l="0" t="0" r="0" b="5080"/>
            <wp:docPr id="426124910" name="Picture 426124910" descr="A computer on a table&#10;&#10;Description automatically generated with low confidence">
              <a:extLst xmlns:a="http://schemas.openxmlformats.org/drawingml/2006/main">
                <a:ext uri="{FF2B5EF4-FFF2-40B4-BE49-F238E27FC236}">
                  <a16:creationId xmlns:a16="http://schemas.microsoft.com/office/drawing/2014/main" id="{BD7F7CBA-1613-4FDE-A10A-F4D4B6A969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 descr="A computer on a table&#10;&#10;Description automatically generated with low confidence">
                      <a:extLst>
                        <a:ext uri="{FF2B5EF4-FFF2-40B4-BE49-F238E27FC236}">
                          <a16:creationId xmlns:a16="http://schemas.microsoft.com/office/drawing/2014/main" id="{BD7F7CBA-1613-4FDE-A10A-F4D4B6A969DC}"/>
                        </a:ext>
                      </a:extLst>
                    </pic:cNvPr>
                    <pic:cNvPicPr>
                      <a:picLocks noChangeAspect="1"/>
                    </pic:cNvPicPr>
                  </pic:nvPicPr>
                  <pic:blipFill rotWithShape="1">
                    <a:blip r:embed="rId272"/>
                    <a:srcRect l="2211" t="32925" b="16190"/>
                    <a:stretch/>
                  </pic:blipFill>
                  <pic:spPr>
                    <a:xfrm>
                      <a:off x="0" y="0"/>
                      <a:ext cx="5487409" cy="2141614"/>
                    </a:xfrm>
                    <a:prstGeom prst="rect">
                      <a:avLst/>
                    </a:prstGeom>
                  </pic:spPr>
                </pic:pic>
              </a:graphicData>
            </a:graphic>
          </wp:inline>
        </w:drawing>
      </w:r>
    </w:p>
    <w:p w14:paraId="664A7721" w14:textId="13987396" w:rsidR="00406EF8" w:rsidRPr="00FC71BE" w:rsidRDefault="00406EF8" w:rsidP="00406EF8">
      <w:pPr>
        <w:pStyle w:val="FigureTitle"/>
      </w:pPr>
      <w:bookmarkStart w:id="363" w:name="_Ref141705872"/>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31</w:t>
        </w:r>
      </w:fldSimple>
      <w:bookmarkEnd w:id="363"/>
      <w:r w:rsidRPr="00FC71BE">
        <w:t>.  Test rig.</w:t>
      </w:r>
    </w:p>
    <w:p w14:paraId="51C928D8" w14:textId="6606BF19" w:rsidR="00406EF8" w:rsidRPr="00FC71BE" w:rsidRDefault="00406EF8" w:rsidP="00406EF8">
      <w:pPr>
        <w:pStyle w:val="Tabletitle"/>
        <w:rPr>
          <w:color w:val="auto"/>
        </w:rPr>
      </w:pPr>
      <w:bookmarkStart w:id="364" w:name="_Ref141705812"/>
      <w:bookmarkStart w:id="365" w:name="_Ref141705806"/>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7</w:t>
      </w:r>
      <w:r w:rsidR="002839C4" w:rsidRPr="00FC71BE">
        <w:rPr>
          <w:color w:val="auto"/>
        </w:rPr>
        <w:fldChar w:fldCharType="end"/>
      </w:r>
      <w:bookmarkEnd w:id="364"/>
      <w:r w:rsidRPr="00FC71BE">
        <w:rPr>
          <w:color w:val="auto"/>
        </w:rPr>
        <w:t xml:space="preserve">  Specification of Tested Motorette</w:t>
      </w:r>
      <w:bookmarkEnd w:id="36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8"/>
        <w:gridCol w:w="1307"/>
        <w:gridCol w:w="3674"/>
        <w:gridCol w:w="1307"/>
      </w:tblGrid>
      <w:tr w:rsidR="00FC71BE" w:rsidRPr="00FC71BE" w14:paraId="12ED9ECC" w14:textId="77777777">
        <w:tc>
          <w:tcPr>
            <w:tcW w:w="1517" w:type="pct"/>
            <w:tcBorders>
              <w:top w:val="double" w:sz="4" w:space="0" w:color="auto"/>
            </w:tcBorders>
          </w:tcPr>
          <w:p w14:paraId="2D30C9FA" w14:textId="77777777" w:rsidR="00406EF8" w:rsidRPr="00FC71BE" w:rsidRDefault="00406EF8" w:rsidP="00390509">
            <w:pPr>
              <w:pStyle w:val="Table"/>
              <w:rPr>
                <w:color w:val="auto"/>
              </w:rPr>
            </w:pPr>
            <w:r w:rsidRPr="00FC71BE">
              <w:rPr>
                <w:color w:val="auto"/>
              </w:rPr>
              <w:t>Stator width (mm)</w:t>
            </w:r>
          </w:p>
        </w:tc>
        <w:tc>
          <w:tcPr>
            <w:tcW w:w="724" w:type="pct"/>
            <w:tcBorders>
              <w:top w:val="double" w:sz="4" w:space="0" w:color="auto"/>
            </w:tcBorders>
          </w:tcPr>
          <w:p w14:paraId="43C137B0" w14:textId="77777777" w:rsidR="00406EF8" w:rsidRPr="00FC71BE" w:rsidRDefault="00406EF8" w:rsidP="00390509">
            <w:pPr>
              <w:pStyle w:val="Table"/>
              <w:rPr>
                <w:color w:val="auto"/>
              </w:rPr>
            </w:pPr>
            <w:r w:rsidRPr="00FC71BE">
              <w:rPr>
                <w:color w:val="auto"/>
              </w:rPr>
              <w:t>50.4</w:t>
            </w:r>
          </w:p>
        </w:tc>
        <w:tc>
          <w:tcPr>
            <w:tcW w:w="2035" w:type="pct"/>
            <w:tcBorders>
              <w:top w:val="double" w:sz="4" w:space="0" w:color="auto"/>
            </w:tcBorders>
          </w:tcPr>
          <w:p w14:paraId="668239CB" w14:textId="77777777" w:rsidR="00406EF8" w:rsidRPr="00FC71BE" w:rsidRDefault="00406EF8" w:rsidP="00390509">
            <w:pPr>
              <w:pStyle w:val="Table"/>
              <w:rPr>
                <w:color w:val="auto"/>
              </w:rPr>
            </w:pPr>
            <w:r w:rsidRPr="00FC71BE">
              <w:rPr>
                <w:color w:val="auto"/>
              </w:rPr>
              <w:t>Housing width (mm)</w:t>
            </w:r>
          </w:p>
        </w:tc>
        <w:tc>
          <w:tcPr>
            <w:tcW w:w="724" w:type="pct"/>
            <w:tcBorders>
              <w:top w:val="double" w:sz="4" w:space="0" w:color="auto"/>
            </w:tcBorders>
          </w:tcPr>
          <w:p w14:paraId="2CF01F4D" w14:textId="77777777" w:rsidR="00406EF8" w:rsidRPr="00FC71BE" w:rsidRDefault="00406EF8" w:rsidP="00390509">
            <w:pPr>
              <w:pStyle w:val="Table"/>
              <w:rPr>
                <w:color w:val="auto"/>
              </w:rPr>
            </w:pPr>
            <w:r w:rsidRPr="00FC71BE">
              <w:rPr>
                <w:color w:val="auto"/>
              </w:rPr>
              <w:t>62.4</w:t>
            </w:r>
          </w:p>
        </w:tc>
      </w:tr>
      <w:tr w:rsidR="00FC71BE" w:rsidRPr="00FC71BE" w14:paraId="58822C94" w14:textId="77777777">
        <w:tc>
          <w:tcPr>
            <w:tcW w:w="1517" w:type="pct"/>
          </w:tcPr>
          <w:p w14:paraId="40F1B913" w14:textId="77777777" w:rsidR="00406EF8" w:rsidRPr="00FC71BE" w:rsidRDefault="00406EF8" w:rsidP="00390509">
            <w:pPr>
              <w:pStyle w:val="Table"/>
              <w:rPr>
                <w:color w:val="auto"/>
              </w:rPr>
            </w:pPr>
            <w:r w:rsidRPr="00FC71BE">
              <w:rPr>
                <w:color w:val="auto"/>
              </w:rPr>
              <w:t>Stator height (mm)</w:t>
            </w:r>
          </w:p>
        </w:tc>
        <w:tc>
          <w:tcPr>
            <w:tcW w:w="724" w:type="pct"/>
          </w:tcPr>
          <w:p w14:paraId="1455D3E3" w14:textId="77777777" w:rsidR="00406EF8" w:rsidRPr="00FC71BE" w:rsidRDefault="00406EF8" w:rsidP="00390509">
            <w:pPr>
              <w:pStyle w:val="Table"/>
              <w:rPr>
                <w:color w:val="auto"/>
              </w:rPr>
            </w:pPr>
            <w:r w:rsidRPr="00FC71BE">
              <w:rPr>
                <w:color w:val="auto"/>
              </w:rPr>
              <w:t>50</w:t>
            </w:r>
          </w:p>
        </w:tc>
        <w:tc>
          <w:tcPr>
            <w:tcW w:w="2035" w:type="pct"/>
          </w:tcPr>
          <w:p w14:paraId="3BAE77F8" w14:textId="77777777" w:rsidR="00406EF8" w:rsidRPr="00FC71BE" w:rsidRDefault="00406EF8" w:rsidP="00390509">
            <w:pPr>
              <w:pStyle w:val="Table"/>
              <w:rPr>
                <w:color w:val="auto"/>
              </w:rPr>
            </w:pPr>
            <w:r w:rsidRPr="00FC71BE">
              <w:rPr>
                <w:color w:val="auto"/>
              </w:rPr>
              <w:t>Housing height (mm)</w:t>
            </w:r>
          </w:p>
        </w:tc>
        <w:tc>
          <w:tcPr>
            <w:tcW w:w="724" w:type="pct"/>
          </w:tcPr>
          <w:p w14:paraId="2F3D2A07" w14:textId="77777777" w:rsidR="00406EF8" w:rsidRPr="00FC71BE" w:rsidRDefault="00406EF8" w:rsidP="00390509">
            <w:pPr>
              <w:pStyle w:val="Table"/>
              <w:rPr>
                <w:color w:val="auto"/>
              </w:rPr>
            </w:pPr>
            <w:r w:rsidRPr="00FC71BE">
              <w:rPr>
                <w:color w:val="auto"/>
              </w:rPr>
              <w:t>110</w:t>
            </w:r>
          </w:p>
        </w:tc>
      </w:tr>
      <w:tr w:rsidR="00FC71BE" w:rsidRPr="00FC71BE" w14:paraId="0E7DF27F" w14:textId="77777777">
        <w:tc>
          <w:tcPr>
            <w:tcW w:w="1517" w:type="pct"/>
          </w:tcPr>
          <w:p w14:paraId="14F50209" w14:textId="77777777" w:rsidR="00406EF8" w:rsidRPr="00FC71BE" w:rsidRDefault="00406EF8" w:rsidP="00390509">
            <w:pPr>
              <w:pStyle w:val="Table"/>
              <w:rPr>
                <w:color w:val="auto"/>
              </w:rPr>
            </w:pPr>
            <w:r w:rsidRPr="00FC71BE">
              <w:rPr>
                <w:color w:val="auto"/>
              </w:rPr>
              <w:t>Stator depth (mm)</w:t>
            </w:r>
          </w:p>
        </w:tc>
        <w:tc>
          <w:tcPr>
            <w:tcW w:w="724" w:type="pct"/>
          </w:tcPr>
          <w:p w14:paraId="165BC5B3" w14:textId="77777777" w:rsidR="00406EF8" w:rsidRPr="00FC71BE" w:rsidRDefault="00406EF8" w:rsidP="00390509">
            <w:pPr>
              <w:pStyle w:val="Table"/>
              <w:rPr>
                <w:color w:val="auto"/>
              </w:rPr>
            </w:pPr>
            <w:r w:rsidRPr="00FC71BE">
              <w:rPr>
                <w:color w:val="auto"/>
              </w:rPr>
              <w:t>21.5</w:t>
            </w:r>
          </w:p>
        </w:tc>
        <w:tc>
          <w:tcPr>
            <w:tcW w:w="2035" w:type="pct"/>
          </w:tcPr>
          <w:p w14:paraId="59BC20DE" w14:textId="77777777" w:rsidR="00406EF8" w:rsidRPr="00FC71BE" w:rsidRDefault="00406EF8" w:rsidP="00390509">
            <w:pPr>
              <w:pStyle w:val="Table"/>
              <w:rPr>
                <w:color w:val="auto"/>
              </w:rPr>
            </w:pPr>
            <w:r w:rsidRPr="00FC71BE">
              <w:rPr>
                <w:color w:val="auto"/>
              </w:rPr>
              <w:t>Housing depth (mm)</w:t>
            </w:r>
          </w:p>
        </w:tc>
        <w:tc>
          <w:tcPr>
            <w:tcW w:w="724" w:type="pct"/>
          </w:tcPr>
          <w:p w14:paraId="2145D15F" w14:textId="77777777" w:rsidR="00406EF8" w:rsidRPr="00FC71BE" w:rsidRDefault="00406EF8" w:rsidP="00390509">
            <w:pPr>
              <w:pStyle w:val="Table"/>
              <w:rPr>
                <w:color w:val="auto"/>
              </w:rPr>
            </w:pPr>
            <w:r w:rsidRPr="00FC71BE">
              <w:rPr>
                <w:color w:val="auto"/>
              </w:rPr>
              <w:t>24.5</w:t>
            </w:r>
          </w:p>
        </w:tc>
      </w:tr>
      <w:tr w:rsidR="00FC71BE" w:rsidRPr="00FC71BE" w14:paraId="51C65960" w14:textId="77777777">
        <w:trPr>
          <w:trHeight w:val="66"/>
        </w:trPr>
        <w:tc>
          <w:tcPr>
            <w:tcW w:w="1517" w:type="pct"/>
          </w:tcPr>
          <w:p w14:paraId="10CCA278" w14:textId="77777777" w:rsidR="00406EF8" w:rsidRPr="00FC71BE" w:rsidRDefault="00406EF8" w:rsidP="00390509">
            <w:pPr>
              <w:pStyle w:val="Table"/>
              <w:rPr>
                <w:color w:val="auto"/>
              </w:rPr>
            </w:pPr>
            <w:r w:rsidRPr="00FC71BE">
              <w:rPr>
                <w:color w:val="auto"/>
              </w:rPr>
              <w:t>Slot depth (mm)</w:t>
            </w:r>
          </w:p>
        </w:tc>
        <w:tc>
          <w:tcPr>
            <w:tcW w:w="724" w:type="pct"/>
          </w:tcPr>
          <w:p w14:paraId="15818F24" w14:textId="77777777" w:rsidR="00406EF8" w:rsidRPr="00FC71BE" w:rsidRDefault="00406EF8" w:rsidP="00390509">
            <w:pPr>
              <w:pStyle w:val="Table"/>
              <w:rPr>
                <w:color w:val="auto"/>
              </w:rPr>
            </w:pPr>
            <w:r w:rsidRPr="00FC71BE">
              <w:rPr>
                <w:color w:val="auto"/>
              </w:rPr>
              <w:t>17.8</w:t>
            </w:r>
          </w:p>
        </w:tc>
        <w:tc>
          <w:tcPr>
            <w:tcW w:w="2035" w:type="pct"/>
          </w:tcPr>
          <w:p w14:paraId="265D1EBD" w14:textId="77777777" w:rsidR="00406EF8" w:rsidRPr="00FC71BE" w:rsidRDefault="00406EF8" w:rsidP="00390509">
            <w:pPr>
              <w:pStyle w:val="Table"/>
              <w:rPr>
                <w:color w:val="auto"/>
              </w:rPr>
            </w:pPr>
            <w:r w:rsidRPr="00FC71BE">
              <w:rPr>
                <w:color w:val="auto"/>
              </w:rPr>
              <w:t>Housing thickness (mm)</w:t>
            </w:r>
          </w:p>
        </w:tc>
        <w:tc>
          <w:tcPr>
            <w:tcW w:w="724" w:type="pct"/>
          </w:tcPr>
          <w:p w14:paraId="5D70F726" w14:textId="77777777" w:rsidR="00406EF8" w:rsidRPr="00FC71BE" w:rsidRDefault="00406EF8" w:rsidP="00390509">
            <w:pPr>
              <w:pStyle w:val="Table"/>
              <w:rPr>
                <w:color w:val="auto"/>
              </w:rPr>
            </w:pPr>
            <w:r w:rsidRPr="00FC71BE">
              <w:rPr>
                <w:color w:val="auto"/>
              </w:rPr>
              <w:t>5</w:t>
            </w:r>
          </w:p>
        </w:tc>
      </w:tr>
      <w:tr w:rsidR="009944C4" w:rsidRPr="00FC71BE" w14:paraId="4ACFDE5E" w14:textId="77777777">
        <w:tc>
          <w:tcPr>
            <w:tcW w:w="1517" w:type="pct"/>
            <w:tcBorders>
              <w:bottom w:val="double" w:sz="4" w:space="0" w:color="auto"/>
            </w:tcBorders>
          </w:tcPr>
          <w:p w14:paraId="415F9948" w14:textId="77777777" w:rsidR="00406EF8" w:rsidRPr="00FC71BE" w:rsidRDefault="00406EF8" w:rsidP="00390509">
            <w:pPr>
              <w:pStyle w:val="Table"/>
              <w:rPr>
                <w:color w:val="auto"/>
              </w:rPr>
            </w:pPr>
            <w:r w:rsidRPr="00FC71BE">
              <w:rPr>
                <w:color w:val="auto"/>
              </w:rPr>
              <w:t>Slot width (mm)</w:t>
            </w:r>
          </w:p>
        </w:tc>
        <w:tc>
          <w:tcPr>
            <w:tcW w:w="724" w:type="pct"/>
            <w:tcBorders>
              <w:bottom w:val="double" w:sz="4" w:space="0" w:color="auto"/>
            </w:tcBorders>
          </w:tcPr>
          <w:p w14:paraId="0B883E18" w14:textId="77777777" w:rsidR="00406EF8" w:rsidRPr="00FC71BE" w:rsidRDefault="00406EF8" w:rsidP="00390509">
            <w:pPr>
              <w:pStyle w:val="Table"/>
              <w:rPr>
                <w:color w:val="auto"/>
              </w:rPr>
            </w:pPr>
            <w:r w:rsidRPr="00FC71BE">
              <w:rPr>
                <w:color w:val="auto"/>
              </w:rPr>
              <w:t>18.1</w:t>
            </w:r>
          </w:p>
        </w:tc>
        <w:tc>
          <w:tcPr>
            <w:tcW w:w="2035" w:type="pct"/>
            <w:tcBorders>
              <w:bottom w:val="double" w:sz="4" w:space="0" w:color="auto"/>
            </w:tcBorders>
          </w:tcPr>
          <w:p w14:paraId="04C2D785" w14:textId="77777777" w:rsidR="00406EF8" w:rsidRPr="00FC71BE" w:rsidRDefault="00406EF8" w:rsidP="00390509">
            <w:pPr>
              <w:pStyle w:val="Table"/>
              <w:rPr>
                <w:color w:val="auto"/>
              </w:rPr>
            </w:pPr>
            <w:r w:rsidRPr="00FC71BE">
              <w:rPr>
                <w:color w:val="auto"/>
              </w:rPr>
              <w:t>Number of turns</w:t>
            </w:r>
          </w:p>
        </w:tc>
        <w:tc>
          <w:tcPr>
            <w:tcW w:w="724" w:type="pct"/>
            <w:tcBorders>
              <w:bottom w:val="double" w:sz="4" w:space="0" w:color="auto"/>
            </w:tcBorders>
          </w:tcPr>
          <w:p w14:paraId="41D2B0A7" w14:textId="77777777" w:rsidR="00406EF8" w:rsidRPr="00FC71BE" w:rsidRDefault="00406EF8" w:rsidP="00390509">
            <w:pPr>
              <w:pStyle w:val="Table"/>
              <w:rPr>
                <w:color w:val="auto"/>
              </w:rPr>
            </w:pPr>
            <w:r w:rsidRPr="00FC71BE">
              <w:rPr>
                <w:color w:val="auto"/>
              </w:rPr>
              <w:t>50</w:t>
            </w:r>
          </w:p>
        </w:tc>
      </w:tr>
    </w:tbl>
    <w:p w14:paraId="79769E73" w14:textId="77777777" w:rsidR="00131D14" w:rsidRPr="00FC71BE" w:rsidRDefault="00131D14" w:rsidP="00406EF8">
      <w:pPr>
        <w:pStyle w:val="Tabletitle"/>
        <w:rPr>
          <w:color w:val="auto"/>
        </w:rPr>
      </w:pPr>
      <w:bookmarkStart w:id="366" w:name="_Ref141705850"/>
    </w:p>
    <w:p w14:paraId="2392A4FA" w14:textId="4B3CE053" w:rsidR="00406EF8" w:rsidRPr="00FC71BE" w:rsidRDefault="00406EF8" w:rsidP="00406EF8">
      <w:pPr>
        <w:pStyle w:val="Tabletitle"/>
        <w:rPr>
          <w:color w:val="auto"/>
        </w:rPr>
      </w:pPr>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8</w:t>
      </w:r>
      <w:r w:rsidR="002839C4" w:rsidRPr="00FC71BE">
        <w:rPr>
          <w:color w:val="auto"/>
        </w:rPr>
        <w:fldChar w:fldCharType="end"/>
      </w:r>
      <w:bookmarkEnd w:id="366"/>
      <w:r w:rsidRPr="00FC71BE">
        <w:rPr>
          <w:color w:val="auto"/>
        </w:rPr>
        <w:t xml:space="preserve">  Parameters of the Ferrofluid </w:t>
      </w:r>
    </w:p>
    <w:tbl>
      <w:tblPr>
        <w:tblStyle w:val="TableGrid1"/>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4825"/>
        <w:gridCol w:w="4201"/>
      </w:tblGrid>
      <w:tr w:rsidR="00FC71BE" w:rsidRPr="00FC71BE" w14:paraId="1C5D7A19" w14:textId="77777777">
        <w:tc>
          <w:tcPr>
            <w:tcW w:w="2673" w:type="pct"/>
            <w:vAlign w:val="center"/>
          </w:tcPr>
          <w:p w14:paraId="4BCFC2B7" w14:textId="77777777" w:rsidR="00406EF8" w:rsidRPr="00FC71BE" w:rsidRDefault="00406EF8" w:rsidP="00390509">
            <w:pPr>
              <w:pStyle w:val="Table"/>
              <w:rPr>
                <w:color w:val="auto"/>
              </w:rPr>
            </w:pPr>
            <w:r w:rsidRPr="00FC71BE">
              <w:rPr>
                <w:color w:val="auto"/>
              </w:rPr>
              <w:t>Particle volume fraction (%)</w:t>
            </w:r>
          </w:p>
        </w:tc>
        <w:tc>
          <w:tcPr>
            <w:tcW w:w="2327" w:type="pct"/>
            <w:vAlign w:val="center"/>
          </w:tcPr>
          <w:p w14:paraId="7C6DD3A6" w14:textId="77777777" w:rsidR="00406EF8" w:rsidRPr="00FC71BE" w:rsidRDefault="00406EF8" w:rsidP="00390509">
            <w:pPr>
              <w:pStyle w:val="Table"/>
              <w:rPr>
                <w:color w:val="auto"/>
              </w:rPr>
            </w:pPr>
            <m:oMath>
              <m:r>
                <w:rPr>
                  <w:rFonts w:ascii="Cambria Math" w:hAnsi="Cambria Math"/>
                  <w:color w:val="auto"/>
                </w:rPr>
                <m:t>≈</m:t>
              </m:r>
            </m:oMath>
            <w:r w:rsidRPr="00FC71BE">
              <w:rPr>
                <w:color w:val="auto"/>
              </w:rPr>
              <w:t>4</w:t>
            </w:r>
          </w:p>
        </w:tc>
      </w:tr>
      <w:tr w:rsidR="00FC71BE" w:rsidRPr="00FC71BE" w14:paraId="6FA85CD7" w14:textId="77777777">
        <w:tc>
          <w:tcPr>
            <w:tcW w:w="2673" w:type="pct"/>
            <w:vAlign w:val="center"/>
          </w:tcPr>
          <w:p w14:paraId="4921CF0C" w14:textId="77777777" w:rsidR="00406EF8" w:rsidRPr="00FC71BE" w:rsidRDefault="00406EF8" w:rsidP="00390509">
            <w:pPr>
              <w:pStyle w:val="Table"/>
              <w:rPr>
                <w:color w:val="auto"/>
              </w:rPr>
            </w:pPr>
            <w:r w:rsidRPr="00FC71BE">
              <w:rPr>
                <w:color w:val="auto"/>
              </w:rPr>
              <w:t>Saturation Magnetization (A/m)</w:t>
            </w:r>
          </w:p>
        </w:tc>
        <w:tc>
          <w:tcPr>
            <w:tcW w:w="2327" w:type="pct"/>
            <w:vAlign w:val="center"/>
          </w:tcPr>
          <w:p w14:paraId="3110E184" w14:textId="77777777" w:rsidR="00406EF8" w:rsidRPr="00FC71BE" w:rsidRDefault="00406EF8" w:rsidP="00390509">
            <w:pPr>
              <w:pStyle w:val="Table"/>
              <w:rPr>
                <w:color w:val="auto"/>
              </w:rPr>
            </w:pPr>
            <m:oMath>
              <m:r>
                <w:rPr>
                  <w:rFonts w:ascii="Cambria Math" w:hAnsi="Cambria Math"/>
                  <w:color w:val="auto"/>
                </w:rPr>
                <m:t>1.54×</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4</m:t>
                  </m:r>
                </m:sup>
              </m:sSup>
            </m:oMath>
            <w:r w:rsidRPr="00FC71BE">
              <w:rPr>
                <w:color w:val="auto"/>
              </w:rPr>
              <w:t xml:space="preserve"> </w:t>
            </w:r>
          </w:p>
        </w:tc>
      </w:tr>
      <w:tr w:rsidR="00FC71BE" w:rsidRPr="00FC71BE" w14:paraId="5E16884B" w14:textId="77777777">
        <w:tc>
          <w:tcPr>
            <w:tcW w:w="2673" w:type="pct"/>
            <w:vAlign w:val="center"/>
          </w:tcPr>
          <w:p w14:paraId="28FEA6C8" w14:textId="77777777" w:rsidR="00406EF8" w:rsidRPr="00FC71BE" w:rsidRDefault="00406EF8" w:rsidP="00390509">
            <w:pPr>
              <w:pStyle w:val="Table"/>
              <w:rPr>
                <w:color w:val="auto"/>
              </w:rPr>
            </w:pPr>
            <w:r w:rsidRPr="00FC71BE">
              <w:rPr>
                <w:color w:val="auto"/>
              </w:rPr>
              <w:t>Density at 25</w:t>
            </w:r>
            <m:oMath>
              <m:r>
                <w:rPr>
                  <w:rFonts w:ascii="Cambria Math" w:hAnsi="Cambria Math"/>
                  <w:color w:val="auto"/>
                </w:rPr>
                <m:t>℃</m:t>
              </m:r>
            </m:oMath>
            <w:r w:rsidRPr="00FC71BE">
              <w:rPr>
                <w:color w:val="auto"/>
              </w:rPr>
              <w:t>(</w:t>
            </w:r>
            <m:oMath>
              <m:f>
                <m:fPr>
                  <m:type m:val="lin"/>
                  <m:ctrlPr>
                    <w:rPr>
                      <w:rFonts w:ascii="Cambria Math" w:hAnsi="Cambria Math"/>
                      <w:color w:val="auto"/>
                      <w:lang w:eastAsia="zh-CN"/>
                    </w:rPr>
                  </m:ctrlPr>
                </m:fPr>
                <m:num>
                  <m:r>
                    <m:rPr>
                      <m:sty m:val="p"/>
                    </m:rPr>
                    <w:rPr>
                      <w:rFonts w:ascii="Cambria Math" w:hAnsi="Cambria Math"/>
                      <w:color w:val="auto"/>
                      <w:lang w:eastAsia="zh-CN"/>
                    </w:rPr>
                    <m:t>kg</m:t>
                  </m:r>
                </m:num>
                <m:den>
                  <m:sSup>
                    <m:sSupPr>
                      <m:ctrlPr>
                        <w:rPr>
                          <w:rFonts w:ascii="Cambria Math" w:hAnsi="Cambria Math"/>
                          <w:color w:val="auto"/>
                          <w:lang w:eastAsia="zh-CN"/>
                        </w:rPr>
                      </m:ctrlPr>
                    </m:sSupPr>
                    <m:e>
                      <m:r>
                        <m:rPr>
                          <m:sty m:val="p"/>
                        </m:rPr>
                        <w:rPr>
                          <w:rFonts w:ascii="Cambria Math" w:hAnsi="Cambria Math"/>
                          <w:color w:val="auto"/>
                          <w:lang w:eastAsia="zh-CN"/>
                        </w:rPr>
                        <m:t>m</m:t>
                      </m:r>
                    </m:e>
                    <m:sup>
                      <m:r>
                        <m:rPr>
                          <m:sty m:val="p"/>
                        </m:rPr>
                        <w:rPr>
                          <w:rFonts w:ascii="Cambria Math" w:hAnsi="Cambria Math"/>
                          <w:color w:val="auto"/>
                          <w:lang w:eastAsia="zh-CN"/>
                        </w:rPr>
                        <m:t>3</m:t>
                      </m:r>
                    </m:sup>
                  </m:sSup>
                </m:den>
              </m:f>
            </m:oMath>
            <w:r w:rsidRPr="00FC71BE">
              <w:rPr>
                <w:color w:val="auto"/>
              </w:rPr>
              <w:t>)</w:t>
            </w:r>
          </w:p>
        </w:tc>
        <w:tc>
          <w:tcPr>
            <w:tcW w:w="2327" w:type="pct"/>
            <w:vAlign w:val="center"/>
          </w:tcPr>
          <w:p w14:paraId="4C51181A" w14:textId="77777777" w:rsidR="00406EF8" w:rsidRPr="00FC71BE" w:rsidRDefault="00406EF8" w:rsidP="00390509">
            <w:pPr>
              <w:pStyle w:val="Table"/>
              <w:rPr>
                <w:color w:val="auto"/>
              </w:rPr>
            </w:pPr>
            <w:r w:rsidRPr="00FC71BE">
              <w:rPr>
                <w:color w:val="auto"/>
              </w:rPr>
              <w:t>1100</w:t>
            </w:r>
          </w:p>
        </w:tc>
      </w:tr>
      <w:tr w:rsidR="00FC71BE" w:rsidRPr="00FC71BE" w14:paraId="63A4B60D" w14:textId="77777777">
        <w:tc>
          <w:tcPr>
            <w:tcW w:w="2673" w:type="pct"/>
            <w:vAlign w:val="center"/>
          </w:tcPr>
          <w:p w14:paraId="21777FD6" w14:textId="77777777" w:rsidR="00406EF8" w:rsidRPr="00FC71BE" w:rsidRDefault="00406EF8" w:rsidP="00390509">
            <w:pPr>
              <w:pStyle w:val="Table"/>
              <w:rPr>
                <w:color w:val="auto"/>
              </w:rPr>
            </w:pPr>
            <w:r w:rsidRPr="00FC71BE">
              <w:rPr>
                <w:color w:val="auto"/>
              </w:rPr>
              <w:t>Thermal conductivity (</w:t>
            </w:r>
            <m:oMath>
              <m:f>
                <m:fPr>
                  <m:type m:val="lin"/>
                  <m:ctrlPr>
                    <w:rPr>
                      <w:rFonts w:ascii="Cambria Math" w:hAnsi="Cambria Math"/>
                      <w:color w:val="auto"/>
                      <w:lang w:eastAsia="zh-CN"/>
                    </w:rPr>
                  </m:ctrlPr>
                </m:fPr>
                <m:num>
                  <m:r>
                    <m:rPr>
                      <m:sty m:val="p"/>
                    </m:rPr>
                    <w:rPr>
                      <w:rFonts w:ascii="Cambria Math" w:hAnsi="Cambria Math"/>
                      <w:color w:val="auto"/>
                      <w:lang w:eastAsia="zh-CN"/>
                    </w:rPr>
                    <m:t>W</m:t>
                  </m:r>
                </m:num>
                <m:den>
                  <m:r>
                    <m:rPr>
                      <m:sty m:val="p"/>
                    </m:rPr>
                    <w:rPr>
                      <w:rFonts w:ascii="Cambria Math" w:hAnsi="Cambria Math"/>
                      <w:color w:val="auto"/>
                      <w:lang w:eastAsia="zh-CN"/>
                    </w:rPr>
                    <m:t>m∙K</m:t>
                  </m:r>
                </m:den>
              </m:f>
            </m:oMath>
            <w:r w:rsidRPr="00FC71BE">
              <w:rPr>
                <w:color w:val="auto"/>
              </w:rPr>
              <w:t>)</w:t>
            </w:r>
          </w:p>
        </w:tc>
        <w:tc>
          <w:tcPr>
            <w:tcW w:w="2327" w:type="pct"/>
            <w:vAlign w:val="center"/>
          </w:tcPr>
          <w:p w14:paraId="006FFF60" w14:textId="77777777" w:rsidR="00406EF8" w:rsidRPr="00FC71BE" w:rsidRDefault="00406EF8" w:rsidP="00390509">
            <w:pPr>
              <w:pStyle w:val="Table"/>
              <w:rPr>
                <w:color w:val="auto"/>
              </w:rPr>
            </w:pPr>
            <w:r w:rsidRPr="00FC71BE">
              <w:rPr>
                <w:color w:val="auto"/>
              </w:rPr>
              <w:t>0.15</w:t>
            </w:r>
          </w:p>
        </w:tc>
      </w:tr>
      <w:tr w:rsidR="00FC71BE" w:rsidRPr="00FC71BE" w14:paraId="66FB2DA6" w14:textId="77777777">
        <w:tc>
          <w:tcPr>
            <w:tcW w:w="2673" w:type="pct"/>
            <w:tcBorders>
              <w:bottom w:val="nil"/>
            </w:tcBorders>
            <w:vAlign w:val="center"/>
          </w:tcPr>
          <w:p w14:paraId="40E9090F" w14:textId="77777777" w:rsidR="00406EF8" w:rsidRPr="00FC71BE" w:rsidRDefault="00406EF8" w:rsidP="00390509">
            <w:pPr>
              <w:pStyle w:val="Table"/>
              <w:rPr>
                <w:color w:val="auto"/>
              </w:rPr>
            </w:pPr>
            <w:r w:rsidRPr="00FC71BE">
              <w:rPr>
                <w:color w:val="auto"/>
              </w:rPr>
              <w:t>Dynamic viscosity (</w:t>
            </w:r>
            <m:oMath>
              <m:r>
                <m:rPr>
                  <m:sty m:val="p"/>
                </m:rPr>
                <w:rPr>
                  <w:rFonts w:ascii="Cambria Math" w:hAnsi="Cambria Math"/>
                  <w:color w:val="auto"/>
                  <w:lang w:eastAsia="zh-CN"/>
                </w:rPr>
                <m:t>Pa∙s</m:t>
              </m:r>
            </m:oMath>
            <w:r w:rsidRPr="00FC71BE">
              <w:rPr>
                <w:color w:val="auto"/>
              </w:rPr>
              <w:t>)</w:t>
            </w:r>
          </w:p>
        </w:tc>
        <w:tc>
          <w:tcPr>
            <w:tcW w:w="2327" w:type="pct"/>
            <w:tcBorders>
              <w:bottom w:val="nil"/>
            </w:tcBorders>
            <w:vAlign w:val="center"/>
          </w:tcPr>
          <w:p w14:paraId="470D5ED0" w14:textId="77777777" w:rsidR="00406EF8" w:rsidRPr="00FC71BE" w:rsidRDefault="00406EF8" w:rsidP="00390509">
            <w:pPr>
              <w:pStyle w:val="Table"/>
              <w:rPr>
                <w:color w:val="auto"/>
              </w:rPr>
            </w:pPr>
            <w:r w:rsidRPr="00FC71BE">
              <w:rPr>
                <w:color w:val="auto"/>
              </w:rPr>
              <w:t>0.046</w:t>
            </w:r>
          </w:p>
        </w:tc>
      </w:tr>
      <w:tr w:rsidR="00FC71BE" w:rsidRPr="00FC71BE" w14:paraId="0FD3F2B3" w14:textId="77777777">
        <w:tc>
          <w:tcPr>
            <w:tcW w:w="2673" w:type="pct"/>
            <w:tcBorders>
              <w:top w:val="nil"/>
              <w:bottom w:val="nil"/>
            </w:tcBorders>
            <w:vAlign w:val="center"/>
          </w:tcPr>
          <w:p w14:paraId="4D131C36" w14:textId="77777777" w:rsidR="00406EF8" w:rsidRPr="00FC71BE" w:rsidRDefault="00406EF8" w:rsidP="00390509">
            <w:pPr>
              <w:pStyle w:val="Table"/>
              <w:rPr>
                <w:color w:val="auto"/>
                <w:lang w:eastAsia="zh-CN"/>
              </w:rPr>
            </w:pPr>
            <w:r w:rsidRPr="00FC71BE">
              <w:rPr>
                <w:color w:val="auto"/>
                <w:lang w:eastAsia="zh-CN"/>
              </w:rPr>
              <w:t>Initial permeability (at 30Oe)</w:t>
            </w:r>
          </w:p>
        </w:tc>
        <w:tc>
          <w:tcPr>
            <w:tcW w:w="2327" w:type="pct"/>
            <w:tcBorders>
              <w:top w:val="nil"/>
              <w:bottom w:val="nil"/>
            </w:tcBorders>
            <w:vAlign w:val="center"/>
          </w:tcPr>
          <w:p w14:paraId="712E1476" w14:textId="77777777" w:rsidR="00406EF8" w:rsidRPr="00FC71BE" w:rsidRDefault="00406EF8" w:rsidP="00390509">
            <w:pPr>
              <w:pStyle w:val="Table"/>
              <w:rPr>
                <w:color w:val="auto"/>
                <w:lang w:eastAsia="zh-CN"/>
              </w:rPr>
            </w:pPr>
            <w:r w:rsidRPr="00FC71BE">
              <w:rPr>
                <w:color w:val="auto"/>
                <w:lang w:eastAsia="zh-CN"/>
              </w:rPr>
              <w:t>1.68</w:t>
            </w:r>
          </w:p>
        </w:tc>
      </w:tr>
      <w:tr w:rsidR="00FC71BE" w:rsidRPr="00FC71BE" w14:paraId="371C4DB8" w14:textId="77777777">
        <w:tc>
          <w:tcPr>
            <w:tcW w:w="2673" w:type="pct"/>
            <w:tcBorders>
              <w:top w:val="nil"/>
              <w:bottom w:val="nil"/>
            </w:tcBorders>
            <w:vAlign w:val="center"/>
          </w:tcPr>
          <w:p w14:paraId="51126C02" w14:textId="77777777" w:rsidR="00406EF8" w:rsidRPr="00FC71BE" w:rsidRDefault="00406EF8" w:rsidP="00390509">
            <w:pPr>
              <w:pStyle w:val="Table"/>
              <w:rPr>
                <w:color w:val="auto"/>
                <w:lang w:eastAsia="zh-CN"/>
              </w:rPr>
            </w:pPr>
            <w:r w:rsidRPr="00FC71BE">
              <w:rPr>
                <w:color w:val="auto"/>
                <w:lang w:eastAsia="zh-CN"/>
              </w:rPr>
              <w:t>Electrical resistivity (</w:t>
            </w:r>
            <m:oMath>
              <m:r>
                <m:rPr>
                  <m:sty m:val="p"/>
                </m:rPr>
                <w:rPr>
                  <w:rFonts w:ascii="Cambria Math" w:hAnsi="Cambria Math"/>
                  <w:color w:val="auto"/>
                  <w:lang w:eastAsia="zh-CN"/>
                </w:rPr>
                <m:t>Ω/cm</m:t>
              </m:r>
            </m:oMath>
            <w:r w:rsidRPr="00FC71BE">
              <w:rPr>
                <w:color w:val="auto"/>
                <w:lang w:eastAsia="zh-CN"/>
              </w:rPr>
              <w:t>)</w:t>
            </w:r>
          </w:p>
        </w:tc>
        <w:tc>
          <w:tcPr>
            <w:tcW w:w="2327" w:type="pct"/>
            <w:tcBorders>
              <w:top w:val="nil"/>
              <w:bottom w:val="nil"/>
            </w:tcBorders>
            <w:vAlign w:val="center"/>
          </w:tcPr>
          <w:p w14:paraId="4AC65E4B" w14:textId="77777777" w:rsidR="00406EF8" w:rsidRPr="00FC71BE" w:rsidRDefault="00406EF8" w:rsidP="00390509">
            <w:pPr>
              <w:pStyle w:val="Table"/>
              <w:rPr>
                <w:color w:val="auto"/>
                <w:lang w:eastAsia="zh-CN"/>
              </w:rPr>
            </w:pPr>
            <m:oMath>
              <m:r>
                <w:rPr>
                  <w:rFonts w:ascii="Cambria Math" w:hAnsi="Cambria Math"/>
                  <w:color w:val="auto"/>
                  <w:lang w:eastAsia="zh-CN"/>
                </w:rPr>
                <m:t>&gt;</m:t>
              </m:r>
              <m:sSup>
                <m:sSupPr>
                  <m:ctrlPr>
                    <w:rPr>
                      <w:rFonts w:ascii="Cambria Math" w:hAnsi="Cambria Math"/>
                      <w:i/>
                      <w:color w:val="auto"/>
                      <w:lang w:eastAsia="zh-CN"/>
                    </w:rPr>
                  </m:ctrlPr>
                </m:sSupPr>
                <m:e>
                  <m:r>
                    <w:rPr>
                      <w:rFonts w:ascii="Cambria Math" w:hAnsi="Cambria Math"/>
                      <w:color w:val="auto"/>
                      <w:lang w:eastAsia="zh-CN"/>
                    </w:rPr>
                    <m:t>10</m:t>
                  </m:r>
                </m:e>
                <m:sup>
                  <m:r>
                    <w:rPr>
                      <w:rFonts w:ascii="Cambria Math" w:hAnsi="Cambria Math"/>
                      <w:color w:val="auto"/>
                      <w:lang w:eastAsia="zh-CN"/>
                    </w:rPr>
                    <m:t>9</m:t>
                  </m:r>
                </m:sup>
              </m:sSup>
            </m:oMath>
            <w:r w:rsidRPr="00FC71BE">
              <w:rPr>
                <w:color w:val="auto"/>
                <w:lang w:eastAsia="zh-CN"/>
              </w:rPr>
              <w:t xml:space="preserve"> </w:t>
            </w:r>
          </w:p>
        </w:tc>
      </w:tr>
      <w:tr w:rsidR="005E3DFE" w:rsidRPr="00FC71BE" w14:paraId="36C32A0B" w14:textId="77777777">
        <w:tc>
          <w:tcPr>
            <w:tcW w:w="2673" w:type="pct"/>
            <w:tcBorders>
              <w:top w:val="nil"/>
              <w:bottom w:val="double" w:sz="4" w:space="0" w:color="auto"/>
            </w:tcBorders>
            <w:vAlign w:val="center"/>
          </w:tcPr>
          <w:p w14:paraId="53DE69F4" w14:textId="77777777" w:rsidR="00406EF8" w:rsidRPr="00FC71BE" w:rsidRDefault="00406EF8" w:rsidP="00390509">
            <w:pPr>
              <w:pStyle w:val="Table"/>
              <w:rPr>
                <w:color w:val="auto"/>
                <w:lang w:eastAsia="zh-CN"/>
              </w:rPr>
            </w:pPr>
            <w:r w:rsidRPr="00FC71BE">
              <w:rPr>
                <w:color w:val="auto"/>
                <w:lang w:eastAsia="zh-CN"/>
              </w:rPr>
              <w:t>Heat capacity (</w:t>
            </w:r>
            <m:oMath>
              <m:f>
                <m:fPr>
                  <m:type m:val="lin"/>
                  <m:ctrlPr>
                    <w:rPr>
                      <w:rFonts w:ascii="Cambria Math" w:hAnsi="Cambria Math" w:cs="Times New Roman"/>
                      <w:color w:val="auto"/>
                      <w:lang w:eastAsia="zh-CN"/>
                    </w:rPr>
                  </m:ctrlPr>
                </m:fPr>
                <m:num>
                  <m:r>
                    <m:rPr>
                      <m:sty m:val="p"/>
                    </m:rPr>
                    <w:rPr>
                      <w:rFonts w:ascii="Cambria Math" w:hAnsi="Cambria Math" w:cs="Times New Roman"/>
                      <w:color w:val="auto"/>
                      <w:lang w:eastAsia="zh-CN"/>
                    </w:rPr>
                    <m:t>J</m:t>
                  </m:r>
                </m:num>
                <m:den>
                  <m:r>
                    <m:rPr>
                      <m:sty m:val="p"/>
                    </m:rPr>
                    <w:rPr>
                      <w:rFonts w:ascii="Cambria Math" w:hAnsi="Cambria Math" w:cs="Times New Roman"/>
                      <w:color w:val="auto"/>
                      <w:lang w:eastAsia="zh-CN"/>
                    </w:rPr>
                    <m:t>kg/K</m:t>
                  </m:r>
                </m:den>
              </m:f>
            </m:oMath>
            <w:r w:rsidRPr="00FC71BE">
              <w:rPr>
                <w:color w:val="auto"/>
                <w:lang w:eastAsia="zh-CN"/>
              </w:rPr>
              <w:t>)</w:t>
            </w:r>
          </w:p>
        </w:tc>
        <w:tc>
          <w:tcPr>
            <w:tcW w:w="2327" w:type="pct"/>
            <w:tcBorders>
              <w:top w:val="nil"/>
              <w:bottom w:val="double" w:sz="4" w:space="0" w:color="auto"/>
            </w:tcBorders>
            <w:vAlign w:val="center"/>
          </w:tcPr>
          <w:p w14:paraId="169394E1" w14:textId="77777777" w:rsidR="00406EF8" w:rsidRPr="00FC71BE" w:rsidRDefault="00406EF8" w:rsidP="00390509">
            <w:pPr>
              <w:pStyle w:val="Table"/>
              <w:rPr>
                <w:rFonts w:cs="Arial"/>
                <w:color w:val="auto"/>
                <w:lang w:eastAsia="zh-CN"/>
              </w:rPr>
            </w:pPr>
            <w:r w:rsidRPr="00FC71BE">
              <w:rPr>
                <w:rFonts w:cs="Arial"/>
                <w:color w:val="auto"/>
                <w:lang w:eastAsia="zh-CN"/>
              </w:rPr>
              <w:t>1700</w:t>
            </w:r>
          </w:p>
        </w:tc>
      </w:tr>
    </w:tbl>
    <w:p w14:paraId="7830CB93" w14:textId="77777777" w:rsidR="00406EF8" w:rsidRPr="00FC71BE" w:rsidRDefault="00406EF8" w:rsidP="00406EF8">
      <w:pPr>
        <w:ind w:firstLine="0"/>
      </w:pPr>
    </w:p>
    <w:p w14:paraId="02FEAF9B" w14:textId="77777777" w:rsidR="00406EF8" w:rsidRPr="00FC71BE" w:rsidRDefault="00406EF8" w:rsidP="00AF4190">
      <w:pPr>
        <w:pStyle w:val="Heading4"/>
        <w:numPr>
          <w:ilvl w:val="0"/>
          <w:numId w:val="36"/>
        </w:numPr>
      </w:pPr>
      <w:r w:rsidRPr="00FC71BE">
        <w:t>Temperature Measurement</w:t>
      </w:r>
    </w:p>
    <w:p w14:paraId="7FA381AE" w14:textId="77777777" w:rsidR="00406EF8" w:rsidRPr="00FC71BE" w:rsidRDefault="00406EF8" w:rsidP="00406EF8">
      <w:r w:rsidRPr="00FC71BE">
        <w:t>Based on the motorette, a series of 3D multyphysics simulations have been carried out and will be compared against the measurements in this section. In the multyphysics models, the ambient temperature is set to be 22</w:t>
      </w:r>
      <m:oMath>
        <m:r>
          <w:rPr>
            <w:rFonts w:ascii="Cambria Math" w:hAnsi="Cambria Math"/>
          </w:rPr>
          <m:t>℃</m:t>
        </m:r>
      </m:oMath>
      <w:r w:rsidRPr="00FC71BE">
        <w:t xml:space="preserve"> and the convection coefficient on the surfaces of the motorette is 15W/m</w:t>
      </w:r>
      <w:r w:rsidRPr="00FC71BE">
        <w:rPr>
          <w:vertAlign w:val="superscript"/>
        </w:rPr>
        <w:t>2</w:t>
      </w:r>
      <w:r w:rsidRPr="00FC71BE">
        <w:t>/K. The slot fill factor is 0.3, and the corresponding equivalent thermal conductivities of the winding are 0.37 W/m/K and 120 W/m/K in the directions that are perpendicular and parallel to the current, respectively.</w:t>
      </w:r>
    </w:p>
    <w:p w14:paraId="3EB2EF24" w14:textId="21F8A803" w:rsidR="00406EF8" w:rsidRPr="00FC71BE" w:rsidRDefault="00406EF8" w:rsidP="00406EF8">
      <w:r w:rsidRPr="00FC71BE">
        <w:t>A 10A dc current is injected into the coils of the motorette. It can generate 21.5W heat at room temperature (</w:t>
      </w:r>
      <m:oMath>
        <m:r>
          <w:rPr>
            <w:rFonts w:ascii="Cambria Math" w:hAnsi="Cambria Math"/>
          </w:rPr>
          <m:t>≈22℃</m:t>
        </m:r>
      </m:oMath>
      <w:r w:rsidRPr="00FC71BE">
        <w:t xml:space="preserve">). Under these conditions, the temperature of the end-windings has been simulated and measured for the motorette, as shown in </w:t>
      </w:r>
      <w:r w:rsidRPr="00FC71BE">
        <w:fldChar w:fldCharType="begin"/>
      </w:r>
      <w:r w:rsidRPr="00FC71BE">
        <w:instrText xml:space="preserve"> REF _Ref141706037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32</w:t>
      </w:r>
      <w:r w:rsidRPr="00FC71BE">
        <w:fldChar w:fldCharType="end"/>
      </w:r>
      <w:r w:rsidRPr="00FC71BE">
        <w:t xml:space="preserve">. In order to verify the </w:t>
      </w:r>
      <w:r w:rsidRPr="00FC71BE">
        <w:lastRenderedPageBreak/>
        <w:t xml:space="preserve">accuracy of the multiphysics simulations, both oil and ferrofluid have been used as coolant around the end-windings in the simulation and measurement. A very good agreement has been observed between the simulated and measured results, proving the accuracy of the developed multiphysics model in this chapter. In addition, as expected, a significant temperature reduction (by 5.4 </w:t>
      </w:r>
      <m:oMath>
        <m:r>
          <w:rPr>
            <w:rFonts w:ascii="Cambria Math" w:hAnsi="Cambria Math"/>
          </w:rPr>
          <m:t>℃</m:t>
        </m:r>
      </m:oMath>
      <w:r w:rsidRPr="00FC71BE">
        <w:t>) can be achieved when the ferrofluid is used to replace the oil as the coolant around the end-windings.</w:t>
      </w:r>
    </w:p>
    <w:p w14:paraId="718D1D74" w14:textId="77777777" w:rsidR="00406EF8" w:rsidRPr="00FC71BE" w:rsidRDefault="00406EF8" w:rsidP="00406EF8">
      <w:pPr>
        <w:pStyle w:val="Figure"/>
        <w:rPr>
          <w:noProof w:val="0"/>
        </w:rPr>
      </w:pPr>
      <w:r w:rsidRPr="00FC71BE">
        <w:drawing>
          <wp:inline distT="0" distB="0" distL="0" distR="0" wp14:anchorId="0938DA54" wp14:editId="651C843B">
            <wp:extent cx="4363200" cy="2617054"/>
            <wp:effectExtent l="0" t="0" r="0" b="0"/>
            <wp:docPr id="868090585" name="Picture 86809058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with medium confidence"/>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363200" cy="2617054"/>
                    </a:xfrm>
                    <a:prstGeom prst="rect">
                      <a:avLst/>
                    </a:prstGeom>
                    <a:noFill/>
                    <a:ln>
                      <a:noFill/>
                    </a:ln>
                  </pic:spPr>
                </pic:pic>
              </a:graphicData>
            </a:graphic>
          </wp:inline>
        </w:drawing>
      </w:r>
    </w:p>
    <w:p w14:paraId="4DAFE220" w14:textId="2302E965" w:rsidR="00406EF8" w:rsidRPr="00FC71BE" w:rsidRDefault="00406EF8" w:rsidP="00406EF8">
      <w:pPr>
        <w:pStyle w:val="FigureTitle"/>
      </w:pPr>
      <w:bookmarkStart w:id="367" w:name="_Ref141706037"/>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32</w:t>
        </w:r>
      </w:fldSimple>
      <w:bookmarkEnd w:id="367"/>
      <w:r w:rsidRPr="00FC71BE">
        <w:t>.  Simulated and measured peak temperatures of the end-windings with oil and ferrofluid as coolant. The current injected into the coil is 10A.</w:t>
      </w:r>
    </w:p>
    <w:p w14:paraId="08876C6B" w14:textId="77777777" w:rsidR="00406EF8" w:rsidRPr="00FC71BE" w:rsidRDefault="00406EF8" w:rsidP="00406EF8">
      <w:pPr>
        <w:pStyle w:val="Figure"/>
        <w:rPr>
          <w:noProof w:val="0"/>
        </w:rPr>
      </w:pPr>
      <w:r w:rsidRPr="00FC71BE">
        <w:drawing>
          <wp:inline distT="0" distB="0" distL="0" distR="0" wp14:anchorId="1209C2B9" wp14:editId="1B7FED47">
            <wp:extent cx="3435546" cy="2670048"/>
            <wp:effectExtent l="0" t="0" r="0" b="0"/>
            <wp:docPr id="2087294604" name="Picture 2087294604" descr="Diagram, engineering drawing&#10;&#10;Description automatically generated">
              <a:extLst xmlns:a="http://schemas.openxmlformats.org/drawingml/2006/main">
                <a:ext uri="{FF2B5EF4-FFF2-40B4-BE49-F238E27FC236}">
                  <a16:creationId xmlns:a16="http://schemas.microsoft.com/office/drawing/2014/main" id="{9E8C563C-A492-4895-BC45-623592DEFF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7" descr="Diagram, engineering drawing&#10;&#10;Description automatically generated">
                      <a:extLst>
                        <a:ext uri="{FF2B5EF4-FFF2-40B4-BE49-F238E27FC236}">
                          <a16:creationId xmlns:a16="http://schemas.microsoft.com/office/drawing/2014/main" id="{9E8C563C-A492-4895-BC45-623592DEFF7E}"/>
                        </a:ext>
                      </a:extLst>
                    </pic:cNvPr>
                    <pic:cNvPicPr>
                      <a:picLocks noChangeAspect="1"/>
                    </pic:cNvPicPr>
                  </pic:nvPicPr>
                  <pic:blipFill>
                    <a:blip r:embed="rId274"/>
                    <a:stretch>
                      <a:fillRect/>
                    </a:stretch>
                  </pic:blipFill>
                  <pic:spPr>
                    <a:xfrm>
                      <a:off x="0" y="0"/>
                      <a:ext cx="3452720" cy="2683396"/>
                    </a:xfrm>
                    <a:prstGeom prst="rect">
                      <a:avLst/>
                    </a:prstGeom>
                  </pic:spPr>
                </pic:pic>
              </a:graphicData>
            </a:graphic>
          </wp:inline>
        </w:drawing>
      </w:r>
    </w:p>
    <w:p w14:paraId="4E570B87" w14:textId="584A5E3A" w:rsidR="00406EF8" w:rsidRPr="00FC71BE" w:rsidRDefault="00406EF8" w:rsidP="00406EF8">
      <w:pPr>
        <w:pStyle w:val="FigureTitle"/>
      </w:pPr>
      <w:bookmarkStart w:id="368" w:name="_Ref141706413"/>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33</w:t>
        </w:r>
      </w:fldSimple>
      <w:bookmarkEnd w:id="368"/>
      <w:r w:rsidRPr="00FC71BE">
        <w:t>.  Planes chosen to show the fluid dynamics results of the motorette.</w:t>
      </w:r>
    </w:p>
    <w:p w14:paraId="380DC37E" w14:textId="515269BC" w:rsidR="00131D14" w:rsidRPr="00FC71BE" w:rsidRDefault="00131D14" w:rsidP="00131D14">
      <w:r w:rsidRPr="00FC71BE">
        <w:t xml:space="preserve">This significant temperature reduction is mainly due to the magnetic body force exerted on the nanoparticles in the ferrofluid, which significantly increases the coolant velocity. To show this phenomenon, two planes (Plane 1 and Plane 2) in the Multiphysics model have been chosen, </w:t>
      </w:r>
      <w:r w:rsidRPr="00FC71BE">
        <w:lastRenderedPageBreak/>
        <w:t xml:space="preserve">as shown in </w:t>
      </w:r>
      <w:r w:rsidRPr="00FC71BE">
        <w:fldChar w:fldCharType="begin"/>
      </w:r>
      <w:r w:rsidRPr="00FC71BE">
        <w:instrText xml:space="preserve"> REF _Ref141706413 \h </w:instrText>
      </w:r>
      <w:r w:rsidRPr="00FC71BE">
        <w:fldChar w:fldCharType="separate"/>
      </w:r>
      <w:r w:rsidRPr="00FC71BE">
        <w:t xml:space="preserve">Fig. </w:t>
      </w:r>
      <w:r w:rsidRPr="00FC71BE">
        <w:rPr>
          <w:noProof/>
        </w:rPr>
        <w:t>5</w:t>
      </w:r>
      <w:r w:rsidRPr="00FC71BE">
        <w:t>.</w:t>
      </w:r>
      <w:r w:rsidRPr="00FC71BE">
        <w:rPr>
          <w:noProof/>
        </w:rPr>
        <w:t>33</w:t>
      </w:r>
      <w:r w:rsidRPr="00FC71BE">
        <w:fldChar w:fldCharType="end"/>
      </w:r>
      <w:r w:rsidRPr="00FC71BE">
        <w:t xml:space="preserve">. The velocity distributions for the motorette with oil and ferrofluid cooling are shown in </w:t>
      </w:r>
      <w:r w:rsidRPr="00FC71BE">
        <w:fldChar w:fldCharType="begin"/>
      </w:r>
      <w:r w:rsidRPr="00FC71BE">
        <w:instrText xml:space="preserve"> REF _Ref141706418 \h </w:instrText>
      </w:r>
      <w:r w:rsidRPr="00FC71BE">
        <w:fldChar w:fldCharType="separate"/>
      </w:r>
      <w:r w:rsidRPr="00FC71BE">
        <w:t xml:space="preserve">Fig. </w:t>
      </w:r>
      <w:r w:rsidRPr="00FC71BE">
        <w:rPr>
          <w:noProof/>
        </w:rPr>
        <w:t>5</w:t>
      </w:r>
      <w:r w:rsidRPr="00FC71BE">
        <w:t>.</w:t>
      </w:r>
      <w:r w:rsidRPr="00FC71BE">
        <w:rPr>
          <w:noProof/>
        </w:rPr>
        <w:t>34</w:t>
      </w:r>
      <w:r w:rsidRPr="00FC71BE">
        <w:fldChar w:fldCharType="end"/>
      </w:r>
      <w:r w:rsidRPr="00FC71BE">
        <w:t>. Due to magnetic body force (in ferrofluid), the coolant velocity is nearly twice as high as that without magnetic body force (in oil).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2"/>
        <w:gridCol w:w="10"/>
        <w:gridCol w:w="3344"/>
      </w:tblGrid>
      <w:tr w:rsidR="00FC71BE" w:rsidRPr="00FC71BE" w14:paraId="7990D152" w14:textId="77777777">
        <w:tc>
          <w:tcPr>
            <w:tcW w:w="5665" w:type="dxa"/>
            <w:gridSpan w:val="2"/>
            <w:vAlign w:val="center"/>
          </w:tcPr>
          <w:p w14:paraId="7C621EE5" w14:textId="77777777" w:rsidR="00406EF8" w:rsidRPr="00FC71BE" w:rsidRDefault="00406EF8">
            <w:pPr>
              <w:pStyle w:val="Figure"/>
              <w:rPr>
                <w:noProof w:val="0"/>
              </w:rPr>
            </w:pPr>
            <w:r w:rsidRPr="00FC71BE">
              <w:drawing>
                <wp:inline distT="0" distB="0" distL="0" distR="0" wp14:anchorId="15BE8DDE" wp14:editId="4A5545A7">
                  <wp:extent cx="3471264" cy="1697127"/>
                  <wp:effectExtent l="0" t="0" r="0" b="0"/>
                  <wp:docPr id="755917216" name="Picture 755917216" descr="A picture containing text,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monitor&#10;&#10;Description automatically generated"/>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589605" cy="1754985"/>
                          </a:xfrm>
                          <a:prstGeom prst="rect">
                            <a:avLst/>
                          </a:prstGeom>
                          <a:noFill/>
                        </pic:spPr>
                      </pic:pic>
                    </a:graphicData>
                  </a:graphic>
                </wp:inline>
              </w:drawing>
            </w:r>
          </w:p>
        </w:tc>
        <w:tc>
          <w:tcPr>
            <w:tcW w:w="3351" w:type="dxa"/>
            <w:vAlign w:val="center"/>
          </w:tcPr>
          <w:p w14:paraId="5B4823C3" w14:textId="77777777" w:rsidR="00406EF8" w:rsidRPr="00FC71BE" w:rsidRDefault="00406EF8">
            <w:pPr>
              <w:pStyle w:val="Figure"/>
              <w:rPr>
                <w:noProof w:val="0"/>
              </w:rPr>
            </w:pPr>
            <w:r w:rsidRPr="00FC71BE">
              <w:drawing>
                <wp:inline distT="0" distB="0" distL="0" distR="0" wp14:anchorId="445E06DD" wp14:editId="663A150A">
                  <wp:extent cx="1737114" cy="1638605"/>
                  <wp:effectExtent l="0" t="0" r="0" b="0"/>
                  <wp:docPr id="443065375" name="Picture 443065375" descr="Graphical user interface&#10;&#10;Description automatically generated with medium confidence">
                    <a:extLst xmlns:a="http://schemas.openxmlformats.org/drawingml/2006/main">
                      <a:ext uri="{FF2B5EF4-FFF2-40B4-BE49-F238E27FC236}">
                        <a16:creationId xmlns:a16="http://schemas.microsoft.com/office/drawing/2014/main" id="{5DB17261-F8CD-4F61-B480-FC8B71A4CB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Graphical user interface&#10;&#10;Description automatically generated with medium confidence">
                            <a:extLst>
                              <a:ext uri="{FF2B5EF4-FFF2-40B4-BE49-F238E27FC236}">
                                <a16:creationId xmlns:a16="http://schemas.microsoft.com/office/drawing/2014/main" id="{5DB17261-F8CD-4F61-B480-FC8B71A4CB53}"/>
                              </a:ext>
                            </a:extLst>
                          </pic:cNvPr>
                          <pic:cNvPicPr>
                            <a:picLocks noChangeAspect="1"/>
                          </pic:cNvPicPr>
                        </pic:nvPicPr>
                        <pic:blipFill rotWithShape="1">
                          <a:blip r:embed="rId276" cstate="print">
                            <a:extLst>
                              <a:ext uri="{28A0092B-C50C-407E-A947-70E740481C1C}">
                                <a14:useLocalDpi xmlns:a14="http://schemas.microsoft.com/office/drawing/2010/main" val="0"/>
                              </a:ext>
                            </a:extLst>
                          </a:blip>
                          <a:srcRect l="4230" t="38234" r="70531" b="37958"/>
                          <a:stretch/>
                        </pic:blipFill>
                        <pic:spPr bwMode="auto">
                          <a:xfrm>
                            <a:off x="0" y="0"/>
                            <a:ext cx="1792801" cy="1691135"/>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7C488D56" w14:textId="77777777">
        <w:tc>
          <w:tcPr>
            <w:tcW w:w="9016" w:type="dxa"/>
            <w:gridSpan w:val="3"/>
            <w:vAlign w:val="center"/>
          </w:tcPr>
          <w:p w14:paraId="43BB1CB1" w14:textId="77777777" w:rsidR="00406EF8" w:rsidRPr="00FC71BE" w:rsidRDefault="00406EF8">
            <w:pPr>
              <w:pStyle w:val="Figure"/>
              <w:rPr>
                <w:noProof w:val="0"/>
              </w:rPr>
            </w:pPr>
            <w:r w:rsidRPr="00FC71BE">
              <w:drawing>
                <wp:inline distT="0" distB="0" distL="0" distR="0" wp14:anchorId="5D4608C8" wp14:editId="62CBCCED">
                  <wp:extent cx="3226003" cy="617677"/>
                  <wp:effectExtent l="0" t="0" r="0" b="0"/>
                  <wp:docPr id="52" name="Picture 52" descr="Diagram&#10;&#10;Description automatically generated with medium confidence">
                    <a:extLst xmlns:a="http://schemas.openxmlformats.org/drawingml/2006/main">
                      <a:ext uri="{FF2B5EF4-FFF2-40B4-BE49-F238E27FC236}">
                        <a16:creationId xmlns:a16="http://schemas.microsoft.com/office/drawing/2014/main" id="{8F312085-3F36-4FFB-A6E4-2C68728D73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descr="Diagram&#10;&#10;Description automatically generated with medium confidence">
                            <a:extLst>
                              <a:ext uri="{FF2B5EF4-FFF2-40B4-BE49-F238E27FC236}">
                                <a16:creationId xmlns:a16="http://schemas.microsoft.com/office/drawing/2014/main" id="{8F312085-3F36-4FFB-A6E4-2C68728D7334}"/>
                              </a:ext>
                            </a:extLst>
                          </pic:cNvPr>
                          <pic:cNvPicPr>
                            <a:picLocks noChangeAspect="1"/>
                          </pic:cNvPicPr>
                        </pic:nvPicPr>
                        <pic:blipFill>
                          <a:blip r:embed="rId277"/>
                          <a:stretch>
                            <a:fillRect/>
                          </a:stretch>
                        </pic:blipFill>
                        <pic:spPr>
                          <a:xfrm>
                            <a:off x="0" y="0"/>
                            <a:ext cx="3344366" cy="640340"/>
                          </a:xfrm>
                          <a:prstGeom prst="rect">
                            <a:avLst/>
                          </a:prstGeom>
                        </pic:spPr>
                      </pic:pic>
                    </a:graphicData>
                  </a:graphic>
                </wp:inline>
              </w:drawing>
            </w:r>
          </w:p>
        </w:tc>
      </w:tr>
      <w:tr w:rsidR="00FC71BE" w:rsidRPr="00FC71BE" w14:paraId="578ADB4A" w14:textId="77777777">
        <w:tc>
          <w:tcPr>
            <w:tcW w:w="5658" w:type="dxa"/>
            <w:vAlign w:val="center"/>
          </w:tcPr>
          <w:p w14:paraId="066310AF" w14:textId="77777777" w:rsidR="00406EF8" w:rsidRPr="00FC71BE" w:rsidRDefault="00406EF8">
            <w:pPr>
              <w:pStyle w:val="Figure"/>
              <w:rPr>
                <w:noProof w:val="0"/>
              </w:rPr>
            </w:pPr>
            <w:r w:rsidRPr="00FC71BE">
              <w:rPr>
                <w:noProof w:val="0"/>
              </w:rPr>
              <w:t>(a) Oil cooling (Plane 1)</w:t>
            </w:r>
          </w:p>
        </w:tc>
        <w:tc>
          <w:tcPr>
            <w:tcW w:w="3358" w:type="dxa"/>
            <w:gridSpan w:val="2"/>
            <w:vAlign w:val="center"/>
          </w:tcPr>
          <w:p w14:paraId="2183C78B" w14:textId="77777777" w:rsidR="00406EF8" w:rsidRPr="00FC71BE" w:rsidRDefault="00406EF8">
            <w:pPr>
              <w:pStyle w:val="Figure"/>
              <w:rPr>
                <w:noProof w:val="0"/>
              </w:rPr>
            </w:pPr>
            <w:r w:rsidRPr="00FC71BE">
              <w:rPr>
                <w:noProof w:val="0"/>
              </w:rPr>
              <w:t>(b) Oil cooling (Plane 2)</w:t>
            </w:r>
          </w:p>
        </w:tc>
      </w:tr>
      <w:tr w:rsidR="00FC71BE" w:rsidRPr="00FC71BE" w14:paraId="7E07A8F8" w14:textId="77777777">
        <w:tc>
          <w:tcPr>
            <w:tcW w:w="5665" w:type="dxa"/>
            <w:gridSpan w:val="2"/>
            <w:vAlign w:val="center"/>
          </w:tcPr>
          <w:p w14:paraId="050B7DC7" w14:textId="77777777" w:rsidR="00406EF8" w:rsidRPr="00FC71BE" w:rsidRDefault="00406EF8">
            <w:pPr>
              <w:pStyle w:val="Figure"/>
              <w:rPr>
                <w:noProof w:val="0"/>
              </w:rPr>
            </w:pPr>
            <w:r w:rsidRPr="00FC71BE">
              <w:drawing>
                <wp:inline distT="0" distB="0" distL="0" distR="0" wp14:anchorId="3F818BFF" wp14:editId="67E47EB1">
                  <wp:extent cx="3123311" cy="1536146"/>
                  <wp:effectExtent l="0" t="0" r="1270" b="6985"/>
                  <wp:docPr id="792987442" name="Picture 79298744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indoor&#10;&#10;Description automatically generated"/>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281990" cy="1614190"/>
                          </a:xfrm>
                          <a:prstGeom prst="rect">
                            <a:avLst/>
                          </a:prstGeom>
                          <a:noFill/>
                        </pic:spPr>
                      </pic:pic>
                    </a:graphicData>
                  </a:graphic>
                </wp:inline>
              </w:drawing>
            </w:r>
          </w:p>
        </w:tc>
        <w:tc>
          <w:tcPr>
            <w:tcW w:w="3351" w:type="dxa"/>
            <w:vAlign w:val="center"/>
          </w:tcPr>
          <w:p w14:paraId="24E4F13E" w14:textId="77777777" w:rsidR="00406EF8" w:rsidRPr="00FC71BE" w:rsidRDefault="00406EF8">
            <w:pPr>
              <w:pStyle w:val="Figure"/>
              <w:rPr>
                <w:noProof w:val="0"/>
              </w:rPr>
            </w:pPr>
            <w:r w:rsidRPr="00FC71BE">
              <w:drawing>
                <wp:inline distT="0" distB="0" distL="0" distR="0" wp14:anchorId="43DD29F6" wp14:editId="169F9E28">
                  <wp:extent cx="1674315" cy="1514246"/>
                  <wp:effectExtent l="0" t="0" r="2540" b="0"/>
                  <wp:docPr id="955006318" name="Picture 955006318" descr="Graphical user interface&#10;&#10;Description automatically generated">
                    <a:extLst xmlns:a="http://schemas.openxmlformats.org/drawingml/2006/main">
                      <a:ext uri="{FF2B5EF4-FFF2-40B4-BE49-F238E27FC236}">
                        <a16:creationId xmlns:a16="http://schemas.microsoft.com/office/drawing/2014/main" id="{B7F957BE-AB16-45F3-899A-84109D8F99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10;&#10;Description automatically generated">
                            <a:extLst>
                              <a:ext uri="{FF2B5EF4-FFF2-40B4-BE49-F238E27FC236}">
                                <a16:creationId xmlns:a16="http://schemas.microsoft.com/office/drawing/2014/main" id="{B7F957BE-AB16-45F3-899A-84109D8F9941}"/>
                              </a:ext>
                            </a:extLst>
                          </pic:cNvPr>
                          <pic:cNvPicPr>
                            <a:picLocks noChangeAspect="1"/>
                          </pic:cNvPicPr>
                        </pic:nvPicPr>
                        <pic:blipFill rotWithShape="1">
                          <a:blip r:embed="rId279" cstate="print">
                            <a:extLst>
                              <a:ext uri="{28A0092B-C50C-407E-A947-70E740481C1C}">
                                <a14:useLocalDpi xmlns:a14="http://schemas.microsoft.com/office/drawing/2010/main" val="0"/>
                              </a:ext>
                            </a:extLst>
                          </a:blip>
                          <a:srcRect l="3933" t="38196" r="69854" b="38096"/>
                          <a:stretch/>
                        </pic:blipFill>
                        <pic:spPr bwMode="auto">
                          <a:xfrm>
                            <a:off x="0" y="0"/>
                            <a:ext cx="1707559" cy="1544312"/>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5E65244A" w14:textId="77777777">
        <w:tc>
          <w:tcPr>
            <w:tcW w:w="9016" w:type="dxa"/>
            <w:gridSpan w:val="3"/>
            <w:vAlign w:val="center"/>
          </w:tcPr>
          <w:p w14:paraId="06EA1CF2" w14:textId="77777777" w:rsidR="00406EF8" w:rsidRPr="00FC71BE" w:rsidRDefault="00406EF8">
            <w:pPr>
              <w:pStyle w:val="Figure"/>
              <w:rPr>
                <w:noProof w:val="0"/>
              </w:rPr>
            </w:pPr>
            <w:r w:rsidRPr="00FC71BE">
              <w:drawing>
                <wp:inline distT="0" distB="0" distL="0" distR="0" wp14:anchorId="04832B91" wp14:editId="372B14A5">
                  <wp:extent cx="3351686" cy="643737"/>
                  <wp:effectExtent l="0" t="0" r="1270" b="0"/>
                  <wp:docPr id="65" name="Picture 65" descr="Diagram&#10;&#10;Description automatically generated with medium confidence">
                    <a:extLst xmlns:a="http://schemas.openxmlformats.org/drawingml/2006/main">
                      <a:ext uri="{FF2B5EF4-FFF2-40B4-BE49-F238E27FC236}">
                        <a16:creationId xmlns:a16="http://schemas.microsoft.com/office/drawing/2014/main" id="{BA62629B-D4CF-4250-86AD-15D60AF540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descr="Diagram&#10;&#10;Description automatically generated with medium confidence">
                            <a:extLst>
                              <a:ext uri="{FF2B5EF4-FFF2-40B4-BE49-F238E27FC236}">
                                <a16:creationId xmlns:a16="http://schemas.microsoft.com/office/drawing/2014/main" id="{BA62629B-D4CF-4250-86AD-15D60AF54009}"/>
                              </a:ext>
                            </a:extLst>
                          </pic:cNvPr>
                          <pic:cNvPicPr>
                            <a:picLocks noChangeAspect="1"/>
                          </pic:cNvPicPr>
                        </pic:nvPicPr>
                        <pic:blipFill>
                          <a:blip r:embed="rId280"/>
                          <a:stretch>
                            <a:fillRect/>
                          </a:stretch>
                        </pic:blipFill>
                        <pic:spPr>
                          <a:xfrm>
                            <a:off x="0" y="0"/>
                            <a:ext cx="3440801" cy="660853"/>
                          </a:xfrm>
                          <a:prstGeom prst="rect">
                            <a:avLst/>
                          </a:prstGeom>
                        </pic:spPr>
                      </pic:pic>
                    </a:graphicData>
                  </a:graphic>
                </wp:inline>
              </w:drawing>
            </w:r>
          </w:p>
        </w:tc>
      </w:tr>
      <w:tr w:rsidR="00FC71BE" w:rsidRPr="00FC71BE" w14:paraId="34CCCEFD" w14:textId="77777777">
        <w:tc>
          <w:tcPr>
            <w:tcW w:w="5665" w:type="dxa"/>
            <w:gridSpan w:val="2"/>
            <w:vAlign w:val="center"/>
          </w:tcPr>
          <w:p w14:paraId="692E0372" w14:textId="77777777" w:rsidR="00406EF8" w:rsidRPr="00FC71BE" w:rsidRDefault="00406EF8">
            <w:pPr>
              <w:pStyle w:val="Figure"/>
              <w:rPr>
                <w:noProof w:val="0"/>
              </w:rPr>
            </w:pPr>
            <w:r w:rsidRPr="00FC71BE">
              <w:rPr>
                <w:noProof w:val="0"/>
              </w:rPr>
              <w:t>(c) Ferrofluid cooling (Plane 1)</w:t>
            </w:r>
          </w:p>
        </w:tc>
        <w:tc>
          <w:tcPr>
            <w:tcW w:w="3351" w:type="dxa"/>
            <w:vAlign w:val="center"/>
          </w:tcPr>
          <w:p w14:paraId="25472114" w14:textId="77777777" w:rsidR="00406EF8" w:rsidRPr="00FC71BE" w:rsidRDefault="00406EF8">
            <w:pPr>
              <w:pStyle w:val="Figure"/>
              <w:rPr>
                <w:noProof w:val="0"/>
              </w:rPr>
            </w:pPr>
            <w:r w:rsidRPr="00FC71BE">
              <w:rPr>
                <w:noProof w:val="0"/>
              </w:rPr>
              <w:t>(d) Ferrofluid cooling (Plane 2)</w:t>
            </w:r>
          </w:p>
        </w:tc>
      </w:tr>
    </w:tbl>
    <w:p w14:paraId="302D87C5" w14:textId="02EC47C7" w:rsidR="00406EF8" w:rsidRPr="00FC71BE" w:rsidRDefault="00406EF8" w:rsidP="00406EF8">
      <w:pPr>
        <w:pStyle w:val="FigureTitle"/>
      </w:pPr>
      <w:bookmarkStart w:id="369" w:name="_Ref141706418"/>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34</w:t>
        </w:r>
      </w:fldSimple>
      <w:bookmarkEnd w:id="369"/>
      <w:r w:rsidRPr="00FC71BE">
        <w:t>.  Simulated results of coolant velocity for motorette with different coolants.</w:t>
      </w:r>
    </w:p>
    <w:p w14:paraId="5DBE4B75" w14:textId="036871C3" w:rsidR="00406EF8" w:rsidRPr="00FC71BE" w:rsidRDefault="00406EF8" w:rsidP="00406EF8">
      <w:pPr>
        <w:pStyle w:val="Tabletitle"/>
        <w:jc w:val="both"/>
        <w:rPr>
          <w:color w:val="auto"/>
        </w:rPr>
      </w:pPr>
      <w:bookmarkStart w:id="370" w:name="_Ref141706517"/>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9</w:t>
      </w:r>
      <w:r w:rsidR="002839C4" w:rsidRPr="00FC71BE">
        <w:rPr>
          <w:color w:val="auto"/>
        </w:rPr>
        <w:fldChar w:fldCharType="end"/>
      </w:r>
      <w:bookmarkEnd w:id="370"/>
      <w:r w:rsidRPr="00FC71BE">
        <w:rPr>
          <w:color w:val="auto"/>
        </w:rPr>
        <w:t xml:space="preserve">  Measured and Simulated Temperature of the motorette with Ferrofluid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4"/>
        <w:gridCol w:w="2455"/>
        <w:gridCol w:w="2368"/>
        <w:gridCol w:w="2309"/>
      </w:tblGrid>
      <w:tr w:rsidR="00FC71BE" w:rsidRPr="00FC71BE" w14:paraId="6A7EE6EC" w14:textId="77777777">
        <w:tc>
          <w:tcPr>
            <w:tcW w:w="1049" w:type="pct"/>
            <w:tcBorders>
              <w:top w:val="double" w:sz="4" w:space="0" w:color="auto"/>
            </w:tcBorders>
          </w:tcPr>
          <w:p w14:paraId="6861BEDD" w14:textId="77777777" w:rsidR="00406EF8" w:rsidRPr="00FC71BE" w:rsidRDefault="00406EF8" w:rsidP="00AF7FFC">
            <w:pPr>
              <w:pStyle w:val="Table"/>
              <w:rPr>
                <w:color w:val="auto"/>
              </w:rPr>
            </w:pPr>
            <w:r w:rsidRPr="00FC71BE">
              <w:rPr>
                <w:color w:val="auto"/>
              </w:rPr>
              <w:t>Current (A)</w:t>
            </w:r>
          </w:p>
        </w:tc>
        <w:tc>
          <w:tcPr>
            <w:tcW w:w="1360" w:type="pct"/>
            <w:tcBorders>
              <w:top w:val="double" w:sz="4" w:space="0" w:color="auto"/>
            </w:tcBorders>
          </w:tcPr>
          <w:p w14:paraId="08E40BB1" w14:textId="77777777" w:rsidR="00406EF8" w:rsidRPr="00FC71BE" w:rsidRDefault="00406EF8" w:rsidP="00AF7FFC">
            <w:pPr>
              <w:pStyle w:val="Table"/>
              <w:rPr>
                <w:color w:val="auto"/>
              </w:rPr>
            </w:pPr>
            <w:r w:rsidRPr="00FC71BE">
              <w:rPr>
                <w:color w:val="auto"/>
              </w:rPr>
              <w:t>Measured (</w:t>
            </w:r>
            <m:oMath>
              <m:r>
                <w:rPr>
                  <w:rFonts w:ascii="Cambria Math" w:hAnsi="Cambria Math"/>
                  <w:color w:val="auto"/>
                </w:rPr>
                <m:t>℃</m:t>
              </m:r>
            </m:oMath>
            <w:r w:rsidRPr="00FC71BE">
              <w:rPr>
                <w:color w:val="auto"/>
              </w:rPr>
              <w:t>)</w:t>
            </w:r>
          </w:p>
        </w:tc>
        <w:tc>
          <w:tcPr>
            <w:tcW w:w="1312" w:type="pct"/>
            <w:tcBorders>
              <w:top w:val="double" w:sz="4" w:space="0" w:color="auto"/>
            </w:tcBorders>
          </w:tcPr>
          <w:p w14:paraId="2FA12BE4" w14:textId="77777777" w:rsidR="00406EF8" w:rsidRPr="00FC71BE" w:rsidRDefault="00406EF8" w:rsidP="00AF7FFC">
            <w:pPr>
              <w:pStyle w:val="Table"/>
              <w:rPr>
                <w:color w:val="auto"/>
              </w:rPr>
            </w:pPr>
            <w:r w:rsidRPr="00FC71BE">
              <w:rPr>
                <w:color w:val="auto"/>
              </w:rPr>
              <w:t>Simulation (</w:t>
            </w:r>
            <m:oMath>
              <m:r>
                <w:rPr>
                  <w:rFonts w:ascii="Cambria Math" w:hAnsi="Cambria Math"/>
                  <w:color w:val="auto"/>
                </w:rPr>
                <m:t>℃</m:t>
              </m:r>
            </m:oMath>
            <w:r w:rsidRPr="00FC71BE">
              <w:rPr>
                <w:color w:val="auto"/>
              </w:rPr>
              <w:t>)</w:t>
            </w:r>
          </w:p>
        </w:tc>
        <w:tc>
          <w:tcPr>
            <w:tcW w:w="1280" w:type="pct"/>
            <w:tcBorders>
              <w:top w:val="double" w:sz="4" w:space="0" w:color="auto"/>
            </w:tcBorders>
          </w:tcPr>
          <w:p w14:paraId="551D9235" w14:textId="77777777" w:rsidR="00406EF8" w:rsidRPr="00FC71BE" w:rsidRDefault="00406EF8" w:rsidP="00AF7FFC">
            <w:pPr>
              <w:pStyle w:val="Table"/>
              <w:rPr>
                <w:color w:val="auto"/>
              </w:rPr>
            </w:pPr>
            <w:r w:rsidRPr="00FC71BE">
              <w:rPr>
                <w:color w:val="auto"/>
              </w:rPr>
              <w:t>Difference (%)</w:t>
            </w:r>
          </w:p>
        </w:tc>
      </w:tr>
      <w:tr w:rsidR="00FC71BE" w:rsidRPr="00FC71BE" w14:paraId="56A70FF5" w14:textId="77777777">
        <w:tc>
          <w:tcPr>
            <w:tcW w:w="1049" w:type="pct"/>
          </w:tcPr>
          <w:p w14:paraId="216DEC9D" w14:textId="77777777" w:rsidR="00406EF8" w:rsidRPr="00FC71BE" w:rsidRDefault="00406EF8" w:rsidP="00AF7FFC">
            <w:pPr>
              <w:pStyle w:val="Table"/>
              <w:rPr>
                <w:color w:val="auto"/>
              </w:rPr>
            </w:pPr>
            <w:r w:rsidRPr="00FC71BE">
              <w:rPr>
                <w:color w:val="auto"/>
              </w:rPr>
              <w:t>5</w:t>
            </w:r>
          </w:p>
        </w:tc>
        <w:tc>
          <w:tcPr>
            <w:tcW w:w="1360" w:type="pct"/>
          </w:tcPr>
          <w:p w14:paraId="111B06B3" w14:textId="77777777" w:rsidR="00406EF8" w:rsidRPr="00FC71BE" w:rsidRDefault="00406EF8" w:rsidP="00AF7FFC">
            <w:pPr>
              <w:pStyle w:val="Table"/>
              <w:rPr>
                <w:color w:val="auto"/>
              </w:rPr>
            </w:pPr>
            <w:r w:rsidRPr="00FC71BE">
              <w:rPr>
                <w:color w:val="auto"/>
              </w:rPr>
              <w:t>32.0</w:t>
            </w:r>
          </w:p>
        </w:tc>
        <w:tc>
          <w:tcPr>
            <w:tcW w:w="1312" w:type="pct"/>
          </w:tcPr>
          <w:p w14:paraId="54DCB554" w14:textId="77777777" w:rsidR="00406EF8" w:rsidRPr="00FC71BE" w:rsidRDefault="00406EF8" w:rsidP="00AF7FFC">
            <w:pPr>
              <w:pStyle w:val="Table"/>
              <w:rPr>
                <w:color w:val="auto"/>
              </w:rPr>
            </w:pPr>
            <w:r w:rsidRPr="00FC71BE">
              <w:rPr>
                <w:color w:val="auto"/>
              </w:rPr>
              <w:t>33.1</w:t>
            </w:r>
          </w:p>
        </w:tc>
        <w:tc>
          <w:tcPr>
            <w:tcW w:w="1280" w:type="pct"/>
          </w:tcPr>
          <w:p w14:paraId="3225291D" w14:textId="77777777" w:rsidR="00406EF8" w:rsidRPr="00FC71BE" w:rsidRDefault="00406EF8" w:rsidP="00AF7FFC">
            <w:pPr>
              <w:pStyle w:val="Table"/>
              <w:rPr>
                <w:color w:val="auto"/>
              </w:rPr>
            </w:pPr>
            <w:r w:rsidRPr="00FC71BE">
              <w:rPr>
                <w:color w:val="auto"/>
              </w:rPr>
              <w:t>3.4</w:t>
            </w:r>
          </w:p>
        </w:tc>
      </w:tr>
      <w:tr w:rsidR="00FC71BE" w:rsidRPr="00FC71BE" w14:paraId="0EEB3925" w14:textId="77777777">
        <w:tc>
          <w:tcPr>
            <w:tcW w:w="1049" w:type="pct"/>
          </w:tcPr>
          <w:p w14:paraId="621BFC59" w14:textId="77777777" w:rsidR="00406EF8" w:rsidRPr="00FC71BE" w:rsidRDefault="00406EF8" w:rsidP="00AF7FFC">
            <w:pPr>
              <w:pStyle w:val="Table"/>
              <w:rPr>
                <w:color w:val="auto"/>
              </w:rPr>
            </w:pPr>
            <w:r w:rsidRPr="00FC71BE">
              <w:rPr>
                <w:color w:val="auto"/>
              </w:rPr>
              <w:t>6</w:t>
            </w:r>
          </w:p>
        </w:tc>
        <w:tc>
          <w:tcPr>
            <w:tcW w:w="1360" w:type="pct"/>
          </w:tcPr>
          <w:p w14:paraId="66ACD412" w14:textId="77777777" w:rsidR="00406EF8" w:rsidRPr="00FC71BE" w:rsidRDefault="00406EF8" w:rsidP="00AF7FFC">
            <w:pPr>
              <w:pStyle w:val="Table"/>
              <w:rPr>
                <w:color w:val="auto"/>
              </w:rPr>
            </w:pPr>
            <w:r w:rsidRPr="00FC71BE">
              <w:rPr>
                <w:color w:val="auto"/>
              </w:rPr>
              <w:t>35.7</w:t>
            </w:r>
          </w:p>
        </w:tc>
        <w:tc>
          <w:tcPr>
            <w:tcW w:w="1312" w:type="pct"/>
          </w:tcPr>
          <w:p w14:paraId="0F50AC68" w14:textId="77777777" w:rsidR="00406EF8" w:rsidRPr="00FC71BE" w:rsidRDefault="00406EF8" w:rsidP="00AF7FFC">
            <w:pPr>
              <w:pStyle w:val="Table"/>
              <w:rPr>
                <w:color w:val="auto"/>
              </w:rPr>
            </w:pPr>
            <w:r w:rsidRPr="00FC71BE">
              <w:rPr>
                <w:color w:val="auto"/>
              </w:rPr>
              <w:t>36.5</w:t>
            </w:r>
          </w:p>
        </w:tc>
        <w:tc>
          <w:tcPr>
            <w:tcW w:w="1280" w:type="pct"/>
          </w:tcPr>
          <w:p w14:paraId="24F2BA8B" w14:textId="77777777" w:rsidR="00406EF8" w:rsidRPr="00FC71BE" w:rsidRDefault="00406EF8" w:rsidP="00AF7FFC">
            <w:pPr>
              <w:pStyle w:val="Table"/>
              <w:rPr>
                <w:color w:val="auto"/>
              </w:rPr>
            </w:pPr>
            <w:r w:rsidRPr="00FC71BE">
              <w:rPr>
                <w:color w:val="auto"/>
              </w:rPr>
              <w:t>2.2</w:t>
            </w:r>
          </w:p>
        </w:tc>
      </w:tr>
      <w:tr w:rsidR="00FC71BE" w:rsidRPr="00FC71BE" w14:paraId="48C6FF7E" w14:textId="77777777">
        <w:tc>
          <w:tcPr>
            <w:tcW w:w="1049" w:type="pct"/>
          </w:tcPr>
          <w:p w14:paraId="70FC0154" w14:textId="77777777" w:rsidR="00406EF8" w:rsidRPr="00FC71BE" w:rsidRDefault="00406EF8" w:rsidP="00AF7FFC">
            <w:pPr>
              <w:pStyle w:val="Table"/>
              <w:rPr>
                <w:color w:val="auto"/>
              </w:rPr>
            </w:pPr>
            <w:r w:rsidRPr="00FC71BE">
              <w:rPr>
                <w:color w:val="auto"/>
              </w:rPr>
              <w:t>7</w:t>
            </w:r>
          </w:p>
        </w:tc>
        <w:tc>
          <w:tcPr>
            <w:tcW w:w="1360" w:type="pct"/>
          </w:tcPr>
          <w:p w14:paraId="0ECBD8E6" w14:textId="77777777" w:rsidR="00406EF8" w:rsidRPr="00FC71BE" w:rsidRDefault="00406EF8" w:rsidP="00AF7FFC">
            <w:pPr>
              <w:pStyle w:val="Table"/>
              <w:rPr>
                <w:color w:val="auto"/>
              </w:rPr>
            </w:pPr>
            <w:r w:rsidRPr="00FC71BE">
              <w:rPr>
                <w:color w:val="auto"/>
              </w:rPr>
              <w:t>40.0</w:t>
            </w:r>
          </w:p>
        </w:tc>
        <w:tc>
          <w:tcPr>
            <w:tcW w:w="1312" w:type="pct"/>
          </w:tcPr>
          <w:p w14:paraId="3D4C99E4" w14:textId="77777777" w:rsidR="00406EF8" w:rsidRPr="00FC71BE" w:rsidRDefault="00406EF8" w:rsidP="00AF7FFC">
            <w:pPr>
              <w:pStyle w:val="Table"/>
              <w:rPr>
                <w:color w:val="auto"/>
              </w:rPr>
            </w:pPr>
            <w:r w:rsidRPr="00FC71BE">
              <w:rPr>
                <w:color w:val="auto"/>
              </w:rPr>
              <w:t>40.3</w:t>
            </w:r>
          </w:p>
        </w:tc>
        <w:tc>
          <w:tcPr>
            <w:tcW w:w="1280" w:type="pct"/>
          </w:tcPr>
          <w:p w14:paraId="3EB88B5B" w14:textId="77777777" w:rsidR="00406EF8" w:rsidRPr="00FC71BE" w:rsidRDefault="00406EF8" w:rsidP="00AF7FFC">
            <w:pPr>
              <w:pStyle w:val="Table"/>
              <w:rPr>
                <w:color w:val="auto"/>
              </w:rPr>
            </w:pPr>
            <w:r w:rsidRPr="00FC71BE">
              <w:rPr>
                <w:color w:val="auto"/>
              </w:rPr>
              <w:t>0.75</w:t>
            </w:r>
          </w:p>
        </w:tc>
      </w:tr>
      <w:tr w:rsidR="00FC71BE" w:rsidRPr="00FC71BE" w14:paraId="0E109C72" w14:textId="77777777">
        <w:tc>
          <w:tcPr>
            <w:tcW w:w="1049" w:type="pct"/>
          </w:tcPr>
          <w:p w14:paraId="15447206" w14:textId="77777777" w:rsidR="00406EF8" w:rsidRPr="00FC71BE" w:rsidRDefault="00406EF8" w:rsidP="00AF7FFC">
            <w:pPr>
              <w:pStyle w:val="Table"/>
              <w:rPr>
                <w:color w:val="auto"/>
              </w:rPr>
            </w:pPr>
            <w:r w:rsidRPr="00FC71BE">
              <w:rPr>
                <w:color w:val="auto"/>
              </w:rPr>
              <w:t>8</w:t>
            </w:r>
          </w:p>
        </w:tc>
        <w:tc>
          <w:tcPr>
            <w:tcW w:w="1360" w:type="pct"/>
          </w:tcPr>
          <w:p w14:paraId="7DD6FD35" w14:textId="77777777" w:rsidR="00406EF8" w:rsidRPr="00FC71BE" w:rsidRDefault="00406EF8" w:rsidP="00AF7FFC">
            <w:pPr>
              <w:pStyle w:val="Table"/>
              <w:rPr>
                <w:color w:val="auto"/>
              </w:rPr>
            </w:pPr>
            <w:r w:rsidRPr="00FC71BE">
              <w:rPr>
                <w:color w:val="auto"/>
              </w:rPr>
              <w:t>44.1</w:t>
            </w:r>
          </w:p>
        </w:tc>
        <w:tc>
          <w:tcPr>
            <w:tcW w:w="1312" w:type="pct"/>
          </w:tcPr>
          <w:p w14:paraId="3BBCE0D3" w14:textId="77777777" w:rsidR="00406EF8" w:rsidRPr="00FC71BE" w:rsidRDefault="00406EF8" w:rsidP="00AF7FFC">
            <w:pPr>
              <w:pStyle w:val="Table"/>
              <w:rPr>
                <w:color w:val="auto"/>
              </w:rPr>
            </w:pPr>
            <w:r w:rsidRPr="00FC71BE">
              <w:rPr>
                <w:color w:val="auto"/>
              </w:rPr>
              <w:t>44.4</w:t>
            </w:r>
          </w:p>
        </w:tc>
        <w:tc>
          <w:tcPr>
            <w:tcW w:w="1280" w:type="pct"/>
          </w:tcPr>
          <w:p w14:paraId="5809E12F" w14:textId="77777777" w:rsidR="00406EF8" w:rsidRPr="00FC71BE" w:rsidRDefault="00406EF8" w:rsidP="00AF7FFC">
            <w:pPr>
              <w:pStyle w:val="Table"/>
              <w:rPr>
                <w:color w:val="auto"/>
              </w:rPr>
            </w:pPr>
            <w:r w:rsidRPr="00FC71BE">
              <w:rPr>
                <w:color w:val="auto"/>
              </w:rPr>
              <w:t>0.68</w:t>
            </w:r>
          </w:p>
        </w:tc>
      </w:tr>
      <w:tr w:rsidR="00FC71BE" w:rsidRPr="00FC71BE" w14:paraId="6B8C9E77" w14:textId="77777777">
        <w:tc>
          <w:tcPr>
            <w:tcW w:w="1049" w:type="pct"/>
          </w:tcPr>
          <w:p w14:paraId="2E4E891F" w14:textId="77777777" w:rsidR="00406EF8" w:rsidRPr="00FC71BE" w:rsidRDefault="00406EF8" w:rsidP="00AF7FFC">
            <w:pPr>
              <w:pStyle w:val="Table"/>
              <w:rPr>
                <w:color w:val="auto"/>
              </w:rPr>
            </w:pPr>
            <w:r w:rsidRPr="00FC71BE">
              <w:rPr>
                <w:color w:val="auto"/>
              </w:rPr>
              <w:t>9</w:t>
            </w:r>
          </w:p>
        </w:tc>
        <w:tc>
          <w:tcPr>
            <w:tcW w:w="1360" w:type="pct"/>
          </w:tcPr>
          <w:p w14:paraId="15EF3D96" w14:textId="77777777" w:rsidR="00406EF8" w:rsidRPr="00FC71BE" w:rsidRDefault="00406EF8" w:rsidP="00AF7FFC">
            <w:pPr>
              <w:pStyle w:val="Table"/>
              <w:rPr>
                <w:color w:val="auto"/>
              </w:rPr>
            </w:pPr>
            <w:r w:rsidRPr="00FC71BE">
              <w:rPr>
                <w:color w:val="auto"/>
              </w:rPr>
              <w:t>48.8</w:t>
            </w:r>
          </w:p>
        </w:tc>
        <w:tc>
          <w:tcPr>
            <w:tcW w:w="1312" w:type="pct"/>
          </w:tcPr>
          <w:p w14:paraId="161A565F" w14:textId="77777777" w:rsidR="00406EF8" w:rsidRPr="00FC71BE" w:rsidRDefault="00406EF8" w:rsidP="00AF7FFC">
            <w:pPr>
              <w:pStyle w:val="Table"/>
              <w:rPr>
                <w:color w:val="auto"/>
              </w:rPr>
            </w:pPr>
            <w:r w:rsidRPr="00FC71BE">
              <w:rPr>
                <w:color w:val="auto"/>
              </w:rPr>
              <w:t>49.2</w:t>
            </w:r>
          </w:p>
        </w:tc>
        <w:tc>
          <w:tcPr>
            <w:tcW w:w="1280" w:type="pct"/>
          </w:tcPr>
          <w:p w14:paraId="0B703ACE" w14:textId="77777777" w:rsidR="00406EF8" w:rsidRPr="00FC71BE" w:rsidRDefault="00406EF8" w:rsidP="00AF7FFC">
            <w:pPr>
              <w:pStyle w:val="Table"/>
              <w:rPr>
                <w:color w:val="auto"/>
              </w:rPr>
            </w:pPr>
            <w:r w:rsidRPr="00FC71BE">
              <w:rPr>
                <w:color w:val="auto"/>
              </w:rPr>
              <w:t>0.81</w:t>
            </w:r>
          </w:p>
        </w:tc>
      </w:tr>
      <w:tr w:rsidR="005E3DFE" w:rsidRPr="00FC71BE" w14:paraId="26727071" w14:textId="77777777">
        <w:tc>
          <w:tcPr>
            <w:tcW w:w="1049" w:type="pct"/>
            <w:tcBorders>
              <w:bottom w:val="double" w:sz="4" w:space="0" w:color="auto"/>
            </w:tcBorders>
          </w:tcPr>
          <w:p w14:paraId="0CA82CD3" w14:textId="77777777" w:rsidR="00406EF8" w:rsidRPr="00FC71BE" w:rsidRDefault="00406EF8" w:rsidP="00AF7FFC">
            <w:pPr>
              <w:pStyle w:val="Table"/>
              <w:rPr>
                <w:color w:val="auto"/>
              </w:rPr>
            </w:pPr>
            <w:r w:rsidRPr="00FC71BE">
              <w:rPr>
                <w:color w:val="auto"/>
              </w:rPr>
              <w:t>10</w:t>
            </w:r>
          </w:p>
        </w:tc>
        <w:tc>
          <w:tcPr>
            <w:tcW w:w="1360" w:type="pct"/>
            <w:tcBorders>
              <w:bottom w:val="double" w:sz="4" w:space="0" w:color="auto"/>
            </w:tcBorders>
          </w:tcPr>
          <w:p w14:paraId="2ACC5C37" w14:textId="77777777" w:rsidR="00406EF8" w:rsidRPr="00FC71BE" w:rsidRDefault="00406EF8" w:rsidP="00AF7FFC">
            <w:pPr>
              <w:pStyle w:val="Table"/>
              <w:rPr>
                <w:color w:val="auto"/>
              </w:rPr>
            </w:pPr>
            <w:r w:rsidRPr="00FC71BE">
              <w:rPr>
                <w:color w:val="auto"/>
              </w:rPr>
              <w:t>55.8</w:t>
            </w:r>
          </w:p>
        </w:tc>
        <w:tc>
          <w:tcPr>
            <w:tcW w:w="1312" w:type="pct"/>
            <w:tcBorders>
              <w:bottom w:val="double" w:sz="4" w:space="0" w:color="auto"/>
            </w:tcBorders>
          </w:tcPr>
          <w:p w14:paraId="7CFA8158" w14:textId="77777777" w:rsidR="00406EF8" w:rsidRPr="00FC71BE" w:rsidRDefault="00406EF8" w:rsidP="00AF7FFC">
            <w:pPr>
              <w:pStyle w:val="Table"/>
              <w:rPr>
                <w:color w:val="auto"/>
              </w:rPr>
            </w:pPr>
            <w:r w:rsidRPr="00FC71BE">
              <w:rPr>
                <w:color w:val="auto"/>
              </w:rPr>
              <w:t>54.6</w:t>
            </w:r>
          </w:p>
        </w:tc>
        <w:tc>
          <w:tcPr>
            <w:tcW w:w="1280" w:type="pct"/>
            <w:tcBorders>
              <w:bottom w:val="double" w:sz="4" w:space="0" w:color="auto"/>
            </w:tcBorders>
          </w:tcPr>
          <w:p w14:paraId="3141053B" w14:textId="77777777" w:rsidR="00406EF8" w:rsidRPr="00FC71BE" w:rsidRDefault="00406EF8" w:rsidP="00AF7FFC">
            <w:pPr>
              <w:pStyle w:val="Table"/>
              <w:rPr>
                <w:color w:val="auto"/>
              </w:rPr>
            </w:pPr>
            <w:r w:rsidRPr="00FC71BE">
              <w:rPr>
                <w:color w:val="auto"/>
              </w:rPr>
              <w:t>2.1</w:t>
            </w:r>
          </w:p>
        </w:tc>
      </w:tr>
    </w:tbl>
    <w:p w14:paraId="0F5067E2" w14:textId="77777777" w:rsidR="00406EF8" w:rsidRPr="00FC71BE" w:rsidRDefault="00406EF8" w:rsidP="00406EF8"/>
    <w:p w14:paraId="1AAE11DC" w14:textId="72097FCA" w:rsidR="00406EF8" w:rsidRPr="00FC71BE" w:rsidRDefault="00406EF8" w:rsidP="00406EF8">
      <w:r w:rsidRPr="00FC71BE">
        <w:t xml:space="preserve">In addition, the steady-state peak temperature of the end-windings with ferrofluid as coolant has been measured and simulated for different currents. The measured and simulated results </w:t>
      </w:r>
      <w:r w:rsidRPr="00FC71BE">
        <w:lastRenderedPageBreak/>
        <w:t xml:space="preserve">are listed in </w:t>
      </w:r>
      <w:r w:rsidRPr="00FC71BE">
        <w:fldChar w:fldCharType="begin"/>
      </w:r>
      <w:r w:rsidRPr="00FC71BE">
        <w:instrText xml:space="preserve"> REF _Ref141706517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9</w:t>
      </w:r>
      <w:r w:rsidRPr="00FC71BE">
        <w:fldChar w:fldCharType="end"/>
      </w:r>
      <w:r w:rsidRPr="00FC71BE">
        <w:t>. Again, regardless of the current levels, a good agreement can be observed between them.</w:t>
      </w:r>
    </w:p>
    <w:p w14:paraId="22EFE6B6" w14:textId="77777777" w:rsidR="00406EF8" w:rsidRPr="00FC71BE" w:rsidRDefault="00406EF8" w:rsidP="00B86C68">
      <w:pPr>
        <w:pStyle w:val="Heading3"/>
        <w:numPr>
          <w:ilvl w:val="2"/>
          <w:numId w:val="49"/>
        </w:numPr>
      </w:pPr>
      <w:bookmarkStart w:id="371" w:name="_Toc157695405"/>
      <w:r w:rsidRPr="00FC71BE">
        <w:t>Multiple Coils Motorette</w:t>
      </w:r>
      <w:bookmarkEnd w:id="371"/>
    </w:p>
    <w:p w14:paraId="68729A06" w14:textId="77777777" w:rsidR="00406EF8" w:rsidRPr="00FC71BE" w:rsidRDefault="00406EF8" w:rsidP="00AF4190">
      <w:pPr>
        <w:pStyle w:val="Heading4"/>
        <w:numPr>
          <w:ilvl w:val="0"/>
          <w:numId w:val="37"/>
        </w:numPr>
      </w:pPr>
      <w:r w:rsidRPr="00FC71BE">
        <w:t>Motorette and Test Rig Setup</w:t>
      </w:r>
    </w:p>
    <w:p w14:paraId="0F8BC414" w14:textId="2EEE28BA" w:rsidR="00406EF8" w:rsidRPr="00FC71BE" w:rsidRDefault="00406EF8" w:rsidP="00406EF8">
      <w:r w:rsidRPr="00FC71BE">
        <w:t xml:space="preserve">In order to validate the multiphysics models, a motorette has been built, as shown in </w:t>
      </w:r>
      <w:r w:rsidRPr="00FC71BE">
        <w:fldChar w:fldCharType="begin"/>
      </w:r>
      <w:r w:rsidRPr="00FC71BE">
        <w:instrText xml:space="preserve"> REF _Ref147998916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35</w:t>
      </w:r>
      <w:r w:rsidRPr="00FC71BE">
        <w:fldChar w:fldCharType="end"/>
      </w:r>
      <w:r w:rsidRPr="00FC71BE">
        <w:t xml:space="preserve"> (a). The specifications of this motorette are listed in </w:t>
      </w:r>
      <w:r w:rsidRPr="00FC71BE">
        <w:fldChar w:fldCharType="begin"/>
      </w:r>
      <w:r w:rsidRPr="00FC71BE">
        <w:instrText xml:space="preserve"> REF _Ref147998931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10</w:t>
      </w:r>
      <w:r w:rsidRPr="00FC71BE">
        <w:fldChar w:fldCharType="end"/>
      </w:r>
      <w:r w:rsidRPr="00FC71BE">
        <w:t xml:space="preserve">. An epoxy resin is used to fill the gaps between conductors, as well as the gap between the stator wall and the winding. This helps improve the equivalent thermal conductivity in the stator slots and reduce the uncertainty in thermal modelling. The thermal conductivity and density of this epoxy resin are 0.28 </w:t>
      </w:r>
      <m:oMath>
        <m:r>
          <m:rPr>
            <m:sty m:val="p"/>
          </m:rPr>
          <w:rPr>
            <w:rFonts w:ascii="Cambria Math" w:hAnsi="Cambria Math"/>
          </w:rPr>
          <m:t>W/m∙K</m:t>
        </m:r>
      </m:oMath>
      <w:r w:rsidRPr="00FC71BE">
        <w:rPr>
          <w:iCs/>
        </w:rPr>
        <w:t xml:space="preserve"> and 1160 </w:t>
      </w:r>
      <m:oMath>
        <m:r>
          <m:rPr>
            <m:sty m:val="p"/>
          </m:rPr>
          <w:rPr>
            <w:rFonts w:ascii="Cambria Math" w:hAnsi="Cambria Math"/>
          </w:rPr>
          <m:t>kg/</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rsidRPr="00FC71BE">
        <w:t xml:space="preserve">, respectively. A ferrofluid called STG 1010B manufactured by Ferrotec Corporation has been used for the tests, and its properties are listed in </w:t>
      </w:r>
      <w:r w:rsidRPr="00FC71BE">
        <w:fldChar w:fldCharType="begin"/>
      </w:r>
      <w:r w:rsidRPr="00FC71BE">
        <w:instrText xml:space="preserve"> REF _Ref147998943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11</w:t>
      </w:r>
      <w:r w:rsidRPr="00FC71BE">
        <w:fldChar w:fldCharType="end"/>
      </w:r>
      <w:r w:rsidRPr="00FC71BE">
        <w:t xml:space="preserve">. The water jacket is located at the back of the motorette as shown in </w:t>
      </w:r>
      <w:r w:rsidRPr="00FC71BE">
        <w:fldChar w:fldCharType="begin"/>
      </w:r>
      <w:r w:rsidRPr="00FC71BE">
        <w:instrText xml:space="preserve"> REF _Ref147998916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35</w:t>
      </w:r>
      <w:r w:rsidRPr="00FC71BE">
        <w:fldChar w:fldCharType="end"/>
      </w:r>
      <w:r w:rsidRPr="00FC71BE">
        <w:t xml:space="preserve"> (a). A commercial pump that can supply 1 L/min inlet flow rate to the water jacket is used for the tests.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C71BE" w:rsidRPr="00FC71BE" w14:paraId="67F5B373" w14:textId="77777777">
        <w:tc>
          <w:tcPr>
            <w:tcW w:w="9016" w:type="dxa"/>
          </w:tcPr>
          <w:p w14:paraId="7FEDFC51" w14:textId="77777777" w:rsidR="00406EF8" w:rsidRPr="00FC71BE" w:rsidRDefault="00406EF8">
            <w:pPr>
              <w:pStyle w:val="Figure"/>
              <w:rPr>
                <w:noProof w:val="0"/>
              </w:rPr>
            </w:pPr>
            <w:r w:rsidRPr="00FC71BE">
              <w:drawing>
                <wp:inline distT="0" distB="0" distL="0" distR="0" wp14:anchorId="0AC3D5E9" wp14:editId="78CE159C">
                  <wp:extent cx="3972296" cy="3313866"/>
                  <wp:effectExtent l="0" t="0" r="0" b="1270"/>
                  <wp:docPr id="623804149" name="Picture 623804149" descr="A close-up of a machine&#10;&#10;Description automatically generated">
                    <a:extLst xmlns:a="http://schemas.openxmlformats.org/drawingml/2006/main">
                      <a:ext uri="{FF2B5EF4-FFF2-40B4-BE49-F238E27FC236}">
                        <a16:creationId xmlns:a16="http://schemas.microsoft.com/office/drawing/2014/main" id="{419CC326-60DB-4A47-8E75-AE09D2211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A close-up of a machine&#10;&#10;Description automatically generated">
                            <a:extLst>
                              <a:ext uri="{FF2B5EF4-FFF2-40B4-BE49-F238E27FC236}">
                                <a16:creationId xmlns:a16="http://schemas.microsoft.com/office/drawing/2014/main" id="{419CC326-60DB-4A47-8E75-AE09D2211D99}"/>
                              </a:ext>
                            </a:extLst>
                          </pic:cNvPr>
                          <pic:cNvPicPr>
                            <a:picLocks noChangeAspect="1"/>
                          </pic:cNvPicPr>
                        </pic:nvPicPr>
                        <pic:blipFill rotWithShape="1">
                          <a:blip r:embed="rId281"/>
                          <a:srcRect t="2794" b="3604"/>
                          <a:stretch/>
                        </pic:blipFill>
                        <pic:spPr bwMode="auto">
                          <a:xfrm>
                            <a:off x="0" y="0"/>
                            <a:ext cx="3972296" cy="3313866"/>
                          </a:xfrm>
                          <a:prstGeom prst="rect">
                            <a:avLst/>
                          </a:prstGeom>
                          <a:ln>
                            <a:noFill/>
                          </a:ln>
                          <a:extLst>
                            <a:ext uri="{53640926-AAD7-44D8-BBD7-CCE9431645EC}">
                              <a14:shadowObscured xmlns:a14="http://schemas.microsoft.com/office/drawing/2010/main"/>
                            </a:ext>
                          </a:extLst>
                        </pic:spPr>
                      </pic:pic>
                    </a:graphicData>
                  </a:graphic>
                </wp:inline>
              </w:drawing>
            </w:r>
          </w:p>
        </w:tc>
      </w:tr>
      <w:tr w:rsidR="00FC71BE" w:rsidRPr="00FC71BE" w14:paraId="7E912772" w14:textId="77777777">
        <w:tc>
          <w:tcPr>
            <w:tcW w:w="9016" w:type="dxa"/>
          </w:tcPr>
          <w:p w14:paraId="57F21EB7" w14:textId="77777777" w:rsidR="00406EF8" w:rsidRPr="00FC71BE" w:rsidRDefault="00406EF8">
            <w:pPr>
              <w:pStyle w:val="Figure"/>
              <w:rPr>
                <w:noProof w:val="0"/>
              </w:rPr>
            </w:pPr>
            <w:r w:rsidRPr="00FC71BE">
              <w:rPr>
                <w:noProof w:val="0"/>
              </w:rPr>
              <w:t>(a) Tested motorette</w:t>
            </w:r>
          </w:p>
        </w:tc>
      </w:tr>
      <w:tr w:rsidR="00FC71BE" w:rsidRPr="00FC71BE" w14:paraId="0ED60071" w14:textId="77777777">
        <w:tc>
          <w:tcPr>
            <w:tcW w:w="9016" w:type="dxa"/>
          </w:tcPr>
          <w:p w14:paraId="21A33FDF" w14:textId="77777777" w:rsidR="00406EF8" w:rsidRPr="00FC71BE" w:rsidRDefault="00406EF8">
            <w:pPr>
              <w:pStyle w:val="Figure"/>
              <w:rPr>
                <w:noProof w:val="0"/>
              </w:rPr>
            </w:pPr>
            <w:r w:rsidRPr="00FC71BE">
              <w:lastRenderedPageBreak/>
              <w:drawing>
                <wp:inline distT="0" distB="0" distL="0" distR="0" wp14:anchorId="013F49A5" wp14:editId="7DF9EF05">
                  <wp:extent cx="3811756" cy="4815444"/>
                  <wp:effectExtent l="0" t="0" r="0" b="4445"/>
                  <wp:docPr id="715233163" name="Picture 715233163" descr="A diagram of a machine&#10;&#10;Description automatically generated">
                    <a:extLst xmlns:a="http://schemas.openxmlformats.org/drawingml/2006/main">
                      <a:ext uri="{FF2B5EF4-FFF2-40B4-BE49-F238E27FC236}">
                        <a16:creationId xmlns:a16="http://schemas.microsoft.com/office/drawing/2014/main" id="{A1D68575-054D-C84E-8AAA-0749BFAE5E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33163" name="Picture 715233163" descr="A diagram of a machine&#10;&#10;Description automatically generated">
                            <a:extLst>
                              <a:ext uri="{FF2B5EF4-FFF2-40B4-BE49-F238E27FC236}">
                                <a16:creationId xmlns:a16="http://schemas.microsoft.com/office/drawing/2014/main" id="{A1D68575-054D-C84E-8AAA-0749BFAE5E9D}"/>
                              </a:ext>
                            </a:extLst>
                          </pic:cNvPr>
                          <pic:cNvPicPr>
                            <a:picLocks noChangeAspect="1"/>
                          </pic:cNvPicPr>
                        </pic:nvPicPr>
                        <pic:blipFill>
                          <a:blip r:embed="rId282"/>
                          <a:stretch>
                            <a:fillRect/>
                          </a:stretch>
                        </pic:blipFill>
                        <pic:spPr>
                          <a:xfrm>
                            <a:off x="0" y="0"/>
                            <a:ext cx="3811756" cy="4815444"/>
                          </a:xfrm>
                          <a:prstGeom prst="rect">
                            <a:avLst/>
                          </a:prstGeom>
                        </pic:spPr>
                      </pic:pic>
                    </a:graphicData>
                  </a:graphic>
                </wp:inline>
              </w:drawing>
            </w:r>
          </w:p>
        </w:tc>
      </w:tr>
      <w:tr w:rsidR="00FC71BE" w:rsidRPr="00FC71BE" w14:paraId="005E368E" w14:textId="77777777">
        <w:tc>
          <w:tcPr>
            <w:tcW w:w="9016" w:type="dxa"/>
          </w:tcPr>
          <w:p w14:paraId="42DBABE5" w14:textId="77777777" w:rsidR="00406EF8" w:rsidRPr="00FC71BE" w:rsidRDefault="00406EF8">
            <w:pPr>
              <w:pStyle w:val="Figure"/>
              <w:rPr>
                <w:noProof w:val="0"/>
              </w:rPr>
            </w:pPr>
            <w:r w:rsidRPr="00FC71BE">
              <w:rPr>
                <w:noProof w:val="0"/>
              </w:rPr>
              <w:t>(b) Test rig</w:t>
            </w:r>
          </w:p>
        </w:tc>
      </w:tr>
    </w:tbl>
    <w:p w14:paraId="395F8834" w14:textId="021BC036" w:rsidR="00406EF8" w:rsidRPr="00FC71BE" w:rsidRDefault="00406EF8" w:rsidP="00406EF8">
      <w:pPr>
        <w:pStyle w:val="FigureTitle"/>
      </w:pPr>
      <w:bookmarkStart w:id="372" w:name="_Ref147998916"/>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35</w:t>
        </w:r>
      </w:fldSimple>
      <w:bookmarkEnd w:id="372"/>
      <w:r w:rsidRPr="00FC71BE">
        <w:t>. (a) Tested motorette and (b) test rig.</w:t>
      </w:r>
    </w:p>
    <w:p w14:paraId="20F90996" w14:textId="1C0E195F" w:rsidR="00406EF8" w:rsidRPr="00FC71BE" w:rsidRDefault="00406EF8" w:rsidP="00406EF8">
      <w:pPr>
        <w:pStyle w:val="Tabletitle"/>
        <w:jc w:val="both"/>
        <w:rPr>
          <w:color w:val="auto"/>
        </w:rPr>
      </w:pPr>
      <w:bookmarkStart w:id="373" w:name="_Ref147998931"/>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10</w:t>
      </w:r>
      <w:r w:rsidR="002839C4" w:rsidRPr="00FC71BE">
        <w:rPr>
          <w:color w:val="auto"/>
        </w:rPr>
        <w:fldChar w:fldCharType="end"/>
      </w:r>
      <w:bookmarkEnd w:id="373"/>
      <w:r w:rsidRPr="00FC71BE">
        <w:rPr>
          <w:color w:val="auto"/>
        </w:rPr>
        <w:t xml:space="preserve"> Specification of Tested Motorette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54"/>
        <w:gridCol w:w="1016"/>
        <w:gridCol w:w="3553"/>
        <w:gridCol w:w="903"/>
      </w:tblGrid>
      <w:tr w:rsidR="00FC71BE" w:rsidRPr="00FC71BE" w14:paraId="033A9EFB" w14:textId="77777777">
        <w:tc>
          <w:tcPr>
            <w:tcW w:w="1969" w:type="pct"/>
            <w:tcBorders>
              <w:top w:val="double" w:sz="4" w:space="0" w:color="auto"/>
            </w:tcBorders>
          </w:tcPr>
          <w:p w14:paraId="0CF1876D" w14:textId="77777777" w:rsidR="00406EF8" w:rsidRPr="00FC71BE" w:rsidRDefault="00406EF8" w:rsidP="00390509">
            <w:pPr>
              <w:pStyle w:val="Table"/>
              <w:rPr>
                <w:color w:val="auto"/>
              </w:rPr>
            </w:pPr>
            <w:r w:rsidRPr="00FC71BE">
              <w:rPr>
                <w:color w:val="auto"/>
              </w:rPr>
              <w:t>Stator width (mm)</w:t>
            </w:r>
          </w:p>
        </w:tc>
        <w:tc>
          <w:tcPr>
            <w:tcW w:w="563" w:type="pct"/>
            <w:tcBorders>
              <w:top w:val="double" w:sz="4" w:space="0" w:color="auto"/>
            </w:tcBorders>
          </w:tcPr>
          <w:p w14:paraId="28E52276" w14:textId="77777777" w:rsidR="00406EF8" w:rsidRPr="00FC71BE" w:rsidRDefault="00406EF8" w:rsidP="00390509">
            <w:pPr>
              <w:pStyle w:val="Table"/>
              <w:rPr>
                <w:color w:val="auto"/>
              </w:rPr>
            </w:pPr>
            <w:r w:rsidRPr="00FC71BE">
              <w:rPr>
                <w:color w:val="auto"/>
              </w:rPr>
              <w:t>121</w:t>
            </w:r>
          </w:p>
        </w:tc>
        <w:tc>
          <w:tcPr>
            <w:tcW w:w="1968" w:type="pct"/>
            <w:tcBorders>
              <w:top w:val="double" w:sz="4" w:space="0" w:color="auto"/>
            </w:tcBorders>
          </w:tcPr>
          <w:p w14:paraId="7967D5BE" w14:textId="77777777" w:rsidR="00406EF8" w:rsidRPr="00FC71BE" w:rsidRDefault="00406EF8" w:rsidP="00390509">
            <w:pPr>
              <w:pStyle w:val="Table"/>
              <w:rPr>
                <w:color w:val="auto"/>
              </w:rPr>
            </w:pPr>
            <w:r w:rsidRPr="00FC71BE">
              <w:rPr>
                <w:color w:val="auto"/>
              </w:rPr>
              <w:t>Housing width (mm)</w:t>
            </w:r>
          </w:p>
        </w:tc>
        <w:tc>
          <w:tcPr>
            <w:tcW w:w="500" w:type="pct"/>
            <w:tcBorders>
              <w:top w:val="double" w:sz="4" w:space="0" w:color="auto"/>
            </w:tcBorders>
          </w:tcPr>
          <w:p w14:paraId="1F7FC1CD" w14:textId="77777777" w:rsidR="00406EF8" w:rsidRPr="00FC71BE" w:rsidRDefault="00406EF8" w:rsidP="00390509">
            <w:pPr>
              <w:pStyle w:val="Table"/>
              <w:rPr>
                <w:color w:val="auto"/>
              </w:rPr>
            </w:pPr>
            <w:r w:rsidRPr="00FC71BE">
              <w:rPr>
                <w:color w:val="auto"/>
              </w:rPr>
              <w:t>151</w:t>
            </w:r>
          </w:p>
        </w:tc>
      </w:tr>
      <w:tr w:rsidR="00FC71BE" w:rsidRPr="00FC71BE" w14:paraId="032B04E7" w14:textId="77777777">
        <w:tc>
          <w:tcPr>
            <w:tcW w:w="1969" w:type="pct"/>
          </w:tcPr>
          <w:p w14:paraId="7AF1BDED" w14:textId="77777777" w:rsidR="00406EF8" w:rsidRPr="00FC71BE" w:rsidRDefault="00406EF8" w:rsidP="00390509">
            <w:pPr>
              <w:pStyle w:val="Table"/>
              <w:rPr>
                <w:color w:val="auto"/>
              </w:rPr>
            </w:pPr>
            <w:r w:rsidRPr="00FC71BE">
              <w:rPr>
                <w:color w:val="auto"/>
              </w:rPr>
              <w:t>Stator active length (mm)</w:t>
            </w:r>
          </w:p>
        </w:tc>
        <w:tc>
          <w:tcPr>
            <w:tcW w:w="563" w:type="pct"/>
          </w:tcPr>
          <w:p w14:paraId="27101687" w14:textId="77777777" w:rsidR="00406EF8" w:rsidRPr="00FC71BE" w:rsidRDefault="00406EF8" w:rsidP="00390509">
            <w:pPr>
              <w:pStyle w:val="Table"/>
              <w:rPr>
                <w:color w:val="auto"/>
              </w:rPr>
            </w:pPr>
            <w:r w:rsidRPr="00FC71BE">
              <w:rPr>
                <w:color w:val="auto"/>
              </w:rPr>
              <w:t>50</w:t>
            </w:r>
          </w:p>
        </w:tc>
        <w:tc>
          <w:tcPr>
            <w:tcW w:w="1968" w:type="pct"/>
          </w:tcPr>
          <w:p w14:paraId="2F3CF2F7" w14:textId="77777777" w:rsidR="00406EF8" w:rsidRPr="00FC71BE" w:rsidRDefault="00406EF8" w:rsidP="00390509">
            <w:pPr>
              <w:pStyle w:val="Table"/>
              <w:rPr>
                <w:color w:val="auto"/>
              </w:rPr>
            </w:pPr>
            <w:r w:rsidRPr="00FC71BE">
              <w:rPr>
                <w:color w:val="auto"/>
              </w:rPr>
              <w:t>Housing axial length (mm)</w:t>
            </w:r>
          </w:p>
        </w:tc>
        <w:tc>
          <w:tcPr>
            <w:tcW w:w="500" w:type="pct"/>
          </w:tcPr>
          <w:p w14:paraId="5041B0DE" w14:textId="77777777" w:rsidR="00406EF8" w:rsidRPr="00FC71BE" w:rsidRDefault="00406EF8" w:rsidP="00390509">
            <w:pPr>
              <w:pStyle w:val="Table"/>
              <w:rPr>
                <w:color w:val="auto"/>
              </w:rPr>
            </w:pPr>
            <w:r w:rsidRPr="00FC71BE">
              <w:rPr>
                <w:color w:val="auto"/>
              </w:rPr>
              <w:t>130</w:t>
            </w:r>
          </w:p>
        </w:tc>
      </w:tr>
      <w:tr w:rsidR="00FC71BE" w:rsidRPr="00FC71BE" w14:paraId="0C21B324" w14:textId="77777777">
        <w:tc>
          <w:tcPr>
            <w:tcW w:w="1969" w:type="pct"/>
          </w:tcPr>
          <w:p w14:paraId="2467B3A3" w14:textId="77777777" w:rsidR="00406EF8" w:rsidRPr="00FC71BE" w:rsidRDefault="00406EF8" w:rsidP="00390509">
            <w:pPr>
              <w:pStyle w:val="Table"/>
              <w:rPr>
                <w:color w:val="auto"/>
              </w:rPr>
            </w:pPr>
            <w:r w:rsidRPr="00FC71BE">
              <w:rPr>
                <w:color w:val="auto"/>
              </w:rPr>
              <w:t>Stator depth (mm)</w:t>
            </w:r>
          </w:p>
        </w:tc>
        <w:tc>
          <w:tcPr>
            <w:tcW w:w="563" w:type="pct"/>
          </w:tcPr>
          <w:p w14:paraId="39634404" w14:textId="77777777" w:rsidR="00406EF8" w:rsidRPr="00FC71BE" w:rsidRDefault="00406EF8" w:rsidP="00390509">
            <w:pPr>
              <w:pStyle w:val="Table"/>
              <w:rPr>
                <w:color w:val="auto"/>
              </w:rPr>
            </w:pPr>
            <w:r w:rsidRPr="00FC71BE">
              <w:rPr>
                <w:color w:val="auto"/>
              </w:rPr>
              <w:t>21.5</w:t>
            </w:r>
          </w:p>
        </w:tc>
        <w:tc>
          <w:tcPr>
            <w:tcW w:w="1968" w:type="pct"/>
          </w:tcPr>
          <w:p w14:paraId="30352917" w14:textId="77777777" w:rsidR="00406EF8" w:rsidRPr="00FC71BE" w:rsidRDefault="00406EF8" w:rsidP="00390509">
            <w:pPr>
              <w:pStyle w:val="Table"/>
              <w:rPr>
                <w:color w:val="auto"/>
              </w:rPr>
            </w:pPr>
            <w:r w:rsidRPr="00FC71BE">
              <w:rPr>
                <w:color w:val="auto"/>
              </w:rPr>
              <w:t>Housing depth (mm)</w:t>
            </w:r>
          </w:p>
        </w:tc>
        <w:tc>
          <w:tcPr>
            <w:tcW w:w="500" w:type="pct"/>
          </w:tcPr>
          <w:p w14:paraId="027636D1" w14:textId="77777777" w:rsidR="00406EF8" w:rsidRPr="00FC71BE" w:rsidRDefault="00406EF8" w:rsidP="00390509">
            <w:pPr>
              <w:pStyle w:val="Table"/>
              <w:rPr>
                <w:color w:val="auto"/>
              </w:rPr>
            </w:pPr>
            <w:r w:rsidRPr="00FC71BE">
              <w:rPr>
                <w:color w:val="auto"/>
              </w:rPr>
              <w:t>26.5</w:t>
            </w:r>
          </w:p>
        </w:tc>
      </w:tr>
      <w:tr w:rsidR="00FC71BE" w:rsidRPr="00FC71BE" w14:paraId="0B7FC1ED" w14:textId="77777777">
        <w:trPr>
          <w:trHeight w:val="66"/>
        </w:trPr>
        <w:tc>
          <w:tcPr>
            <w:tcW w:w="1969" w:type="pct"/>
          </w:tcPr>
          <w:p w14:paraId="03E21CF0" w14:textId="77777777" w:rsidR="00406EF8" w:rsidRPr="00FC71BE" w:rsidRDefault="00406EF8" w:rsidP="00390509">
            <w:pPr>
              <w:pStyle w:val="Table"/>
              <w:rPr>
                <w:color w:val="auto"/>
              </w:rPr>
            </w:pPr>
            <w:r w:rsidRPr="00FC71BE">
              <w:rPr>
                <w:color w:val="auto"/>
              </w:rPr>
              <w:t>Slot depth (mm)</w:t>
            </w:r>
          </w:p>
        </w:tc>
        <w:tc>
          <w:tcPr>
            <w:tcW w:w="563" w:type="pct"/>
          </w:tcPr>
          <w:p w14:paraId="147CD7C8" w14:textId="77777777" w:rsidR="00406EF8" w:rsidRPr="00FC71BE" w:rsidRDefault="00406EF8" w:rsidP="00390509">
            <w:pPr>
              <w:pStyle w:val="Table"/>
              <w:rPr>
                <w:color w:val="auto"/>
              </w:rPr>
            </w:pPr>
            <w:r w:rsidRPr="00FC71BE">
              <w:rPr>
                <w:color w:val="auto"/>
              </w:rPr>
              <w:t>15.8</w:t>
            </w:r>
          </w:p>
        </w:tc>
        <w:tc>
          <w:tcPr>
            <w:tcW w:w="1968" w:type="pct"/>
          </w:tcPr>
          <w:p w14:paraId="146ECB82" w14:textId="77777777" w:rsidR="00406EF8" w:rsidRPr="00FC71BE" w:rsidRDefault="00406EF8" w:rsidP="00390509">
            <w:pPr>
              <w:pStyle w:val="Table"/>
              <w:rPr>
                <w:color w:val="auto"/>
              </w:rPr>
            </w:pPr>
            <w:r w:rsidRPr="00FC71BE">
              <w:rPr>
                <w:color w:val="auto"/>
              </w:rPr>
              <w:t>Housing inner length (mm)</w:t>
            </w:r>
          </w:p>
        </w:tc>
        <w:tc>
          <w:tcPr>
            <w:tcW w:w="500" w:type="pct"/>
          </w:tcPr>
          <w:p w14:paraId="7982017B" w14:textId="77777777" w:rsidR="00406EF8" w:rsidRPr="00FC71BE" w:rsidRDefault="00406EF8" w:rsidP="00390509">
            <w:pPr>
              <w:pStyle w:val="Table"/>
              <w:rPr>
                <w:color w:val="auto"/>
              </w:rPr>
            </w:pPr>
            <w:r w:rsidRPr="00FC71BE">
              <w:rPr>
                <w:color w:val="auto"/>
              </w:rPr>
              <w:t>100</w:t>
            </w:r>
          </w:p>
        </w:tc>
      </w:tr>
      <w:tr w:rsidR="00FC71BE" w:rsidRPr="00FC71BE" w14:paraId="03D43637" w14:textId="77777777">
        <w:tc>
          <w:tcPr>
            <w:tcW w:w="1969" w:type="pct"/>
          </w:tcPr>
          <w:p w14:paraId="3F3F467D" w14:textId="77777777" w:rsidR="00406EF8" w:rsidRPr="00FC71BE" w:rsidRDefault="00406EF8" w:rsidP="00390509">
            <w:pPr>
              <w:pStyle w:val="Table"/>
              <w:rPr>
                <w:color w:val="auto"/>
              </w:rPr>
            </w:pPr>
            <w:r w:rsidRPr="00FC71BE">
              <w:rPr>
                <w:color w:val="auto"/>
              </w:rPr>
              <w:t>Slot width (mm)</w:t>
            </w:r>
          </w:p>
        </w:tc>
        <w:tc>
          <w:tcPr>
            <w:tcW w:w="563" w:type="pct"/>
          </w:tcPr>
          <w:p w14:paraId="797FF562" w14:textId="77777777" w:rsidR="00406EF8" w:rsidRPr="00FC71BE" w:rsidRDefault="00406EF8" w:rsidP="00390509">
            <w:pPr>
              <w:pStyle w:val="Table"/>
              <w:rPr>
                <w:color w:val="auto"/>
              </w:rPr>
            </w:pPr>
            <w:r w:rsidRPr="00FC71BE">
              <w:rPr>
                <w:color w:val="auto"/>
              </w:rPr>
              <w:t>18.1</w:t>
            </w:r>
          </w:p>
        </w:tc>
        <w:tc>
          <w:tcPr>
            <w:tcW w:w="1968" w:type="pct"/>
          </w:tcPr>
          <w:p w14:paraId="3CF5B7D9" w14:textId="77777777" w:rsidR="00406EF8" w:rsidRPr="00FC71BE" w:rsidRDefault="00406EF8" w:rsidP="00390509">
            <w:pPr>
              <w:pStyle w:val="Table"/>
              <w:rPr>
                <w:color w:val="auto"/>
              </w:rPr>
            </w:pPr>
            <w:r w:rsidRPr="00FC71BE">
              <w:rPr>
                <w:color w:val="auto"/>
              </w:rPr>
              <w:t>Number of turns per coil</w:t>
            </w:r>
          </w:p>
        </w:tc>
        <w:tc>
          <w:tcPr>
            <w:tcW w:w="500" w:type="pct"/>
          </w:tcPr>
          <w:p w14:paraId="399AD46D" w14:textId="77777777" w:rsidR="00406EF8" w:rsidRPr="00FC71BE" w:rsidRDefault="00406EF8" w:rsidP="00390509">
            <w:pPr>
              <w:pStyle w:val="Table"/>
              <w:rPr>
                <w:color w:val="auto"/>
              </w:rPr>
            </w:pPr>
            <w:r w:rsidRPr="00FC71BE">
              <w:rPr>
                <w:color w:val="auto"/>
              </w:rPr>
              <w:t>33</w:t>
            </w:r>
          </w:p>
        </w:tc>
      </w:tr>
      <w:tr w:rsidR="00FC71BE" w:rsidRPr="00FC71BE" w14:paraId="780A6A03" w14:textId="77777777">
        <w:tc>
          <w:tcPr>
            <w:tcW w:w="1969" w:type="pct"/>
            <w:tcBorders>
              <w:bottom w:val="double" w:sz="4" w:space="0" w:color="auto"/>
            </w:tcBorders>
          </w:tcPr>
          <w:p w14:paraId="7F307C92" w14:textId="77777777" w:rsidR="00406EF8" w:rsidRPr="00FC71BE" w:rsidRDefault="00406EF8" w:rsidP="00390509">
            <w:pPr>
              <w:pStyle w:val="Table"/>
              <w:rPr>
                <w:color w:val="auto"/>
              </w:rPr>
            </w:pPr>
            <w:r w:rsidRPr="00FC71BE">
              <w:rPr>
                <w:color w:val="auto"/>
              </w:rPr>
              <w:t>Slot number</w:t>
            </w:r>
          </w:p>
        </w:tc>
        <w:tc>
          <w:tcPr>
            <w:tcW w:w="563" w:type="pct"/>
            <w:tcBorders>
              <w:bottom w:val="double" w:sz="4" w:space="0" w:color="auto"/>
            </w:tcBorders>
          </w:tcPr>
          <w:p w14:paraId="0227EDC5" w14:textId="77777777" w:rsidR="00406EF8" w:rsidRPr="00FC71BE" w:rsidRDefault="00406EF8" w:rsidP="00390509">
            <w:pPr>
              <w:pStyle w:val="Table"/>
              <w:rPr>
                <w:color w:val="auto"/>
              </w:rPr>
            </w:pPr>
            <w:r w:rsidRPr="00FC71BE">
              <w:rPr>
                <w:color w:val="auto"/>
              </w:rPr>
              <w:t>4</w:t>
            </w:r>
          </w:p>
        </w:tc>
        <w:tc>
          <w:tcPr>
            <w:tcW w:w="1968" w:type="pct"/>
            <w:tcBorders>
              <w:bottom w:val="double" w:sz="4" w:space="0" w:color="auto"/>
            </w:tcBorders>
          </w:tcPr>
          <w:p w14:paraId="50D95470" w14:textId="77777777" w:rsidR="00406EF8" w:rsidRPr="00FC71BE" w:rsidRDefault="00406EF8" w:rsidP="00390509">
            <w:pPr>
              <w:pStyle w:val="Table"/>
              <w:rPr>
                <w:color w:val="auto"/>
              </w:rPr>
            </w:pPr>
            <w:r w:rsidRPr="00FC71BE">
              <w:rPr>
                <w:color w:val="auto"/>
              </w:rPr>
              <w:t>Slot fill factor</w:t>
            </w:r>
          </w:p>
        </w:tc>
        <w:tc>
          <w:tcPr>
            <w:tcW w:w="500" w:type="pct"/>
            <w:tcBorders>
              <w:bottom w:val="double" w:sz="4" w:space="0" w:color="auto"/>
            </w:tcBorders>
          </w:tcPr>
          <w:p w14:paraId="3C893D88" w14:textId="77777777" w:rsidR="00406EF8" w:rsidRPr="00FC71BE" w:rsidRDefault="00406EF8" w:rsidP="00390509">
            <w:pPr>
              <w:pStyle w:val="Table"/>
              <w:rPr>
                <w:color w:val="auto"/>
              </w:rPr>
            </w:pPr>
            <w:r w:rsidRPr="00FC71BE">
              <w:rPr>
                <w:color w:val="auto"/>
              </w:rPr>
              <w:t>0.34</w:t>
            </w:r>
          </w:p>
        </w:tc>
      </w:tr>
    </w:tbl>
    <w:p w14:paraId="4291EC9A" w14:textId="17FA3116" w:rsidR="00406EF8" w:rsidRPr="00FC71BE" w:rsidRDefault="00406EF8" w:rsidP="00406EF8">
      <w:pPr>
        <w:pStyle w:val="Tabletitle"/>
        <w:rPr>
          <w:color w:val="auto"/>
        </w:rPr>
      </w:pPr>
      <w:bookmarkStart w:id="374" w:name="_Ref147998943"/>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11</w:t>
      </w:r>
      <w:r w:rsidR="002839C4" w:rsidRPr="00FC71BE">
        <w:rPr>
          <w:color w:val="auto"/>
        </w:rPr>
        <w:fldChar w:fldCharType="end"/>
      </w:r>
      <w:bookmarkEnd w:id="374"/>
      <w:r w:rsidRPr="00FC71BE">
        <w:rPr>
          <w:color w:val="auto"/>
        </w:rPr>
        <w:t xml:space="preserve"> Parameters of the Ferrofluid (Fe</w:t>
      </w:r>
      <w:r w:rsidRPr="00FC71BE">
        <w:rPr>
          <w:color w:val="auto"/>
          <w:vertAlign w:val="subscript"/>
        </w:rPr>
        <w:t>3</w:t>
      </w:r>
      <w:r w:rsidRPr="00FC71BE">
        <w:rPr>
          <w:color w:val="auto"/>
        </w:rPr>
        <w:t>O</w:t>
      </w:r>
      <w:r w:rsidRPr="00FC71BE">
        <w:rPr>
          <w:color w:val="auto"/>
          <w:vertAlign w:val="subscript"/>
        </w:rPr>
        <w:t>4</w:t>
      </w:r>
      <w:r w:rsidRPr="00FC71BE">
        <w:rPr>
          <w:color w:val="auto"/>
        </w:rPr>
        <w:t>)</w:t>
      </w:r>
    </w:p>
    <w:tbl>
      <w:tblPr>
        <w:tblStyle w:val="TableGrid1"/>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996"/>
        <w:gridCol w:w="3415"/>
        <w:gridCol w:w="1143"/>
      </w:tblGrid>
      <w:tr w:rsidR="00FC71BE" w:rsidRPr="00FC71BE" w14:paraId="07707972" w14:textId="77777777">
        <w:tc>
          <w:tcPr>
            <w:tcW w:w="1923" w:type="pct"/>
            <w:vAlign w:val="center"/>
          </w:tcPr>
          <w:p w14:paraId="732E9EFE" w14:textId="77777777" w:rsidR="00406EF8" w:rsidRPr="00FC71BE" w:rsidRDefault="00406EF8" w:rsidP="00390509">
            <w:pPr>
              <w:pStyle w:val="Table"/>
              <w:rPr>
                <w:color w:val="auto"/>
              </w:rPr>
            </w:pPr>
            <w:r w:rsidRPr="00FC71BE">
              <w:rPr>
                <w:color w:val="auto"/>
              </w:rPr>
              <w:t>Saturation magnetization (mT)</w:t>
            </w:r>
          </w:p>
        </w:tc>
        <w:tc>
          <w:tcPr>
            <w:tcW w:w="552" w:type="pct"/>
            <w:vAlign w:val="center"/>
          </w:tcPr>
          <w:p w14:paraId="5E966850" w14:textId="77777777" w:rsidR="00406EF8" w:rsidRPr="00FC71BE" w:rsidRDefault="00406EF8" w:rsidP="00390509">
            <w:pPr>
              <w:pStyle w:val="Table"/>
              <w:rPr>
                <w:color w:val="auto"/>
                <w:vertAlign w:val="subscript"/>
              </w:rPr>
            </w:pPr>
            <w:r w:rsidRPr="00FC71BE">
              <w:rPr>
                <w:color w:val="auto"/>
              </w:rPr>
              <w:t>11</w:t>
            </w:r>
          </w:p>
        </w:tc>
        <w:tc>
          <w:tcPr>
            <w:tcW w:w="1892" w:type="pct"/>
            <w:vAlign w:val="center"/>
          </w:tcPr>
          <w:p w14:paraId="4B2CB096" w14:textId="77777777" w:rsidR="00406EF8" w:rsidRPr="00FC71BE" w:rsidRDefault="00406EF8" w:rsidP="00390509">
            <w:pPr>
              <w:pStyle w:val="Table"/>
              <w:rPr>
                <w:color w:val="auto"/>
              </w:rPr>
            </w:pPr>
            <w:r w:rsidRPr="00FC71BE">
              <w:rPr>
                <w:color w:val="auto"/>
              </w:rPr>
              <w:t>Dynamic viscosity (</w:t>
            </w:r>
            <m:oMath>
              <m:r>
                <m:rPr>
                  <m:sty m:val="p"/>
                </m:rPr>
                <w:rPr>
                  <w:rFonts w:ascii="Cambria Math" w:hAnsi="Cambria Math"/>
                  <w:color w:val="auto"/>
                  <w:lang w:eastAsia="zh-CN"/>
                </w:rPr>
                <m:t>Pa∙s</m:t>
              </m:r>
            </m:oMath>
            <w:r w:rsidRPr="00FC71BE">
              <w:rPr>
                <w:color w:val="auto"/>
              </w:rPr>
              <w:t>)</w:t>
            </w:r>
          </w:p>
        </w:tc>
        <w:tc>
          <w:tcPr>
            <w:tcW w:w="634" w:type="pct"/>
            <w:vAlign w:val="center"/>
          </w:tcPr>
          <w:p w14:paraId="0C7F3713" w14:textId="77777777" w:rsidR="00406EF8" w:rsidRPr="00FC71BE" w:rsidRDefault="00406EF8" w:rsidP="00390509">
            <w:pPr>
              <w:pStyle w:val="Table"/>
              <w:rPr>
                <w:color w:val="auto"/>
              </w:rPr>
            </w:pPr>
            <w:r w:rsidRPr="00FC71BE">
              <w:rPr>
                <w:color w:val="auto"/>
              </w:rPr>
              <w:t>0.1</w:t>
            </w:r>
          </w:p>
        </w:tc>
      </w:tr>
      <w:tr w:rsidR="00FC71BE" w:rsidRPr="00FC71BE" w14:paraId="704F255A" w14:textId="77777777">
        <w:tc>
          <w:tcPr>
            <w:tcW w:w="1923" w:type="pct"/>
            <w:vAlign w:val="center"/>
          </w:tcPr>
          <w:p w14:paraId="00EFBDF8" w14:textId="77777777" w:rsidR="00406EF8" w:rsidRPr="00FC71BE" w:rsidRDefault="00406EF8" w:rsidP="00390509">
            <w:pPr>
              <w:pStyle w:val="Table"/>
              <w:rPr>
                <w:color w:val="auto"/>
              </w:rPr>
            </w:pPr>
            <w:r w:rsidRPr="00FC71BE">
              <w:rPr>
                <w:color w:val="auto"/>
              </w:rPr>
              <w:t>Thermal conductivity (</w:t>
            </w:r>
            <m:oMath>
              <m:f>
                <m:fPr>
                  <m:type m:val="lin"/>
                  <m:ctrlPr>
                    <w:rPr>
                      <w:rFonts w:ascii="Cambria Math" w:hAnsi="Cambria Math"/>
                      <w:color w:val="auto"/>
                      <w:lang w:eastAsia="zh-CN"/>
                    </w:rPr>
                  </m:ctrlPr>
                </m:fPr>
                <m:num>
                  <m:r>
                    <m:rPr>
                      <m:sty m:val="p"/>
                    </m:rPr>
                    <w:rPr>
                      <w:rFonts w:ascii="Cambria Math" w:hAnsi="Cambria Math"/>
                      <w:color w:val="auto"/>
                      <w:lang w:eastAsia="zh-CN"/>
                    </w:rPr>
                    <m:t>W</m:t>
                  </m:r>
                </m:num>
                <m:den>
                  <m:r>
                    <m:rPr>
                      <m:sty m:val="p"/>
                    </m:rPr>
                    <w:rPr>
                      <w:rFonts w:ascii="Cambria Math" w:hAnsi="Cambria Math"/>
                      <w:color w:val="auto"/>
                      <w:lang w:eastAsia="zh-CN"/>
                    </w:rPr>
                    <m:t>m∙K</m:t>
                  </m:r>
                </m:den>
              </m:f>
            </m:oMath>
            <w:r w:rsidRPr="00FC71BE">
              <w:rPr>
                <w:color w:val="auto"/>
              </w:rPr>
              <w:t>)</w:t>
            </w:r>
          </w:p>
        </w:tc>
        <w:tc>
          <w:tcPr>
            <w:tcW w:w="552" w:type="pct"/>
            <w:vAlign w:val="center"/>
          </w:tcPr>
          <w:p w14:paraId="08578560" w14:textId="77777777" w:rsidR="00406EF8" w:rsidRPr="00FC71BE" w:rsidRDefault="00406EF8" w:rsidP="00390509">
            <w:pPr>
              <w:pStyle w:val="Table"/>
              <w:rPr>
                <w:color w:val="auto"/>
              </w:rPr>
            </w:pPr>
            <w:r w:rsidRPr="00FC71BE">
              <w:rPr>
                <w:color w:val="auto"/>
              </w:rPr>
              <w:t>0.15</w:t>
            </w:r>
          </w:p>
        </w:tc>
        <w:tc>
          <w:tcPr>
            <w:tcW w:w="1892" w:type="pct"/>
            <w:vAlign w:val="center"/>
          </w:tcPr>
          <w:p w14:paraId="20A462C9" w14:textId="77777777" w:rsidR="00406EF8" w:rsidRPr="00FC71BE" w:rsidRDefault="00406EF8" w:rsidP="00390509">
            <w:pPr>
              <w:pStyle w:val="Table"/>
              <w:rPr>
                <w:color w:val="auto"/>
              </w:rPr>
            </w:pPr>
            <w:r w:rsidRPr="00FC71BE">
              <w:rPr>
                <w:color w:val="auto"/>
                <w:lang w:eastAsia="zh-CN"/>
              </w:rPr>
              <w:t>Initial permeability (at 30Oe)</w:t>
            </w:r>
          </w:p>
        </w:tc>
        <w:tc>
          <w:tcPr>
            <w:tcW w:w="634" w:type="pct"/>
            <w:vAlign w:val="center"/>
          </w:tcPr>
          <w:p w14:paraId="5D6E6CC2" w14:textId="77777777" w:rsidR="00406EF8" w:rsidRPr="00FC71BE" w:rsidRDefault="00406EF8" w:rsidP="00390509">
            <w:pPr>
              <w:pStyle w:val="Table"/>
              <w:rPr>
                <w:color w:val="auto"/>
              </w:rPr>
            </w:pPr>
            <w:r w:rsidRPr="00FC71BE">
              <w:rPr>
                <w:color w:val="auto"/>
                <w:lang w:eastAsia="zh-CN"/>
              </w:rPr>
              <w:t>1.68</w:t>
            </w:r>
          </w:p>
        </w:tc>
      </w:tr>
      <w:tr w:rsidR="00FC71BE" w:rsidRPr="00FC71BE" w14:paraId="41360594" w14:textId="77777777">
        <w:tc>
          <w:tcPr>
            <w:tcW w:w="1923" w:type="pct"/>
            <w:vAlign w:val="center"/>
          </w:tcPr>
          <w:p w14:paraId="2758F22C" w14:textId="77777777" w:rsidR="00406EF8" w:rsidRPr="00FC71BE" w:rsidRDefault="00406EF8" w:rsidP="00390509">
            <w:pPr>
              <w:pStyle w:val="Table"/>
              <w:rPr>
                <w:color w:val="auto"/>
              </w:rPr>
            </w:pPr>
            <w:r w:rsidRPr="00FC71BE">
              <w:rPr>
                <w:color w:val="auto"/>
              </w:rPr>
              <w:t>Thermal expansion coefficient (</w:t>
            </w:r>
            <m:oMath>
              <m:r>
                <m:rPr>
                  <m:sty m:val="p"/>
                </m:rPr>
                <w:rPr>
                  <w:rFonts w:ascii="Cambria Math" w:hAnsi="Cambria Math"/>
                  <w:color w:val="auto"/>
                  <w:lang w:eastAsia="zh-CN"/>
                </w:rPr>
                <m:t>×</m:t>
              </m:r>
              <m:sSup>
                <m:sSupPr>
                  <m:ctrlPr>
                    <w:rPr>
                      <w:rFonts w:ascii="Cambria Math" w:hAnsi="Cambria Math"/>
                      <w:color w:val="auto"/>
                      <w:lang w:eastAsia="zh-CN"/>
                    </w:rPr>
                  </m:ctrlPr>
                </m:sSupPr>
                <m:e>
                  <m:r>
                    <m:rPr>
                      <m:sty m:val="p"/>
                    </m:rPr>
                    <w:rPr>
                      <w:rFonts w:ascii="Cambria Math" w:hAnsi="Cambria Math"/>
                      <w:color w:val="auto"/>
                      <w:lang w:eastAsia="zh-CN"/>
                    </w:rPr>
                    <m:t>10</m:t>
                  </m:r>
                </m:e>
                <m:sup>
                  <m:r>
                    <m:rPr>
                      <m:sty m:val="p"/>
                    </m:rPr>
                    <w:rPr>
                      <w:rFonts w:ascii="Cambria Math" w:hAnsi="Cambria Math"/>
                      <w:color w:val="auto"/>
                      <w:lang w:eastAsia="zh-CN"/>
                    </w:rPr>
                    <m:t>-4</m:t>
                  </m:r>
                </m:sup>
              </m:sSup>
              <m:f>
                <m:fPr>
                  <m:type m:val="lin"/>
                  <m:ctrlPr>
                    <w:rPr>
                      <w:rFonts w:ascii="Cambria Math" w:hAnsi="Cambria Math"/>
                      <w:color w:val="auto"/>
                      <w:lang w:eastAsia="zh-CN"/>
                    </w:rPr>
                  </m:ctrlPr>
                </m:fPr>
                <m:num>
                  <m:r>
                    <m:rPr>
                      <m:sty m:val="p"/>
                    </m:rPr>
                    <w:rPr>
                      <w:rFonts w:ascii="Cambria Math" w:hAnsi="Cambria Math"/>
                      <w:color w:val="auto"/>
                      <w:lang w:eastAsia="zh-CN"/>
                    </w:rPr>
                    <m:t>1</m:t>
                  </m:r>
                </m:num>
                <m:den>
                  <m:r>
                    <m:rPr>
                      <m:sty m:val="p"/>
                    </m:rPr>
                    <w:rPr>
                      <w:rFonts w:ascii="Cambria Math" w:hAnsi="Cambria Math"/>
                      <w:color w:val="auto"/>
                      <w:lang w:eastAsia="zh-CN"/>
                    </w:rPr>
                    <m:t>K</m:t>
                  </m:r>
                </m:den>
              </m:f>
            </m:oMath>
            <w:r w:rsidRPr="00FC71BE">
              <w:rPr>
                <w:color w:val="auto"/>
              </w:rPr>
              <w:t>)</w:t>
            </w:r>
          </w:p>
        </w:tc>
        <w:tc>
          <w:tcPr>
            <w:tcW w:w="552" w:type="pct"/>
            <w:vAlign w:val="center"/>
          </w:tcPr>
          <w:p w14:paraId="1A4F3ADC" w14:textId="77777777" w:rsidR="00406EF8" w:rsidRPr="00FC71BE" w:rsidRDefault="00406EF8" w:rsidP="00390509">
            <w:pPr>
              <w:pStyle w:val="Table"/>
              <w:rPr>
                <w:color w:val="auto"/>
              </w:rPr>
            </w:pPr>
            <m:oMathPara>
              <m:oMath>
                <m:r>
                  <w:rPr>
                    <w:rFonts w:ascii="Cambria Math" w:hAnsi="Cambria Math"/>
                    <w:color w:val="auto"/>
                    <w:lang w:eastAsia="zh-CN"/>
                  </w:rPr>
                  <m:t>7.5</m:t>
                </m:r>
              </m:oMath>
            </m:oMathPara>
          </w:p>
        </w:tc>
        <w:tc>
          <w:tcPr>
            <w:tcW w:w="1892" w:type="pct"/>
            <w:vAlign w:val="center"/>
          </w:tcPr>
          <w:p w14:paraId="6C91B83A" w14:textId="77777777" w:rsidR="00406EF8" w:rsidRPr="00FC71BE" w:rsidRDefault="00406EF8" w:rsidP="00390509">
            <w:pPr>
              <w:pStyle w:val="Table"/>
              <w:rPr>
                <w:color w:val="auto"/>
              </w:rPr>
            </w:pPr>
            <w:r w:rsidRPr="00FC71BE">
              <w:rPr>
                <w:color w:val="auto"/>
                <w:lang w:eastAsia="zh-CN"/>
              </w:rPr>
              <w:t>Electrical resistivity (</w:t>
            </w:r>
            <m:oMath>
              <m:r>
                <m:rPr>
                  <m:sty m:val="p"/>
                </m:rPr>
                <w:rPr>
                  <w:rFonts w:ascii="Cambria Math" w:hAnsi="Cambria Math"/>
                  <w:color w:val="auto"/>
                  <w:lang w:eastAsia="zh-CN"/>
                </w:rPr>
                <m:t>Ω/cm</m:t>
              </m:r>
            </m:oMath>
            <w:r w:rsidRPr="00FC71BE">
              <w:rPr>
                <w:color w:val="auto"/>
                <w:lang w:eastAsia="zh-CN"/>
              </w:rPr>
              <w:t>)</w:t>
            </w:r>
          </w:p>
        </w:tc>
        <w:tc>
          <w:tcPr>
            <w:tcW w:w="634" w:type="pct"/>
            <w:vAlign w:val="center"/>
          </w:tcPr>
          <w:p w14:paraId="2D556CA7" w14:textId="77777777" w:rsidR="00406EF8" w:rsidRPr="00FC71BE" w:rsidRDefault="00406EF8" w:rsidP="00390509">
            <w:pPr>
              <w:pStyle w:val="Table"/>
              <w:rPr>
                <w:color w:val="auto"/>
              </w:rPr>
            </w:pPr>
            <m:oMathPara>
              <m:oMath>
                <m:r>
                  <w:rPr>
                    <w:rFonts w:ascii="Cambria Math" w:hAnsi="Cambria Math"/>
                    <w:color w:val="auto"/>
                    <w:lang w:eastAsia="zh-CN"/>
                  </w:rPr>
                  <m:t>&gt;</m:t>
                </m:r>
                <m:sSup>
                  <m:sSupPr>
                    <m:ctrlPr>
                      <w:rPr>
                        <w:rFonts w:ascii="Cambria Math" w:hAnsi="Cambria Math"/>
                        <w:i/>
                        <w:color w:val="auto"/>
                        <w:lang w:eastAsia="zh-CN"/>
                      </w:rPr>
                    </m:ctrlPr>
                  </m:sSupPr>
                  <m:e>
                    <m:r>
                      <w:rPr>
                        <w:rFonts w:ascii="Cambria Math" w:hAnsi="Cambria Math"/>
                        <w:color w:val="auto"/>
                        <w:lang w:eastAsia="zh-CN"/>
                      </w:rPr>
                      <m:t>10</m:t>
                    </m:r>
                  </m:e>
                  <m:sup>
                    <m:r>
                      <w:rPr>
                        <w:rFonts w:ascii="Cambria Math" w:hAnsi="Cambria Math"/>
                        <w:color w:val="auto"/>
                        <w:lang w:eastAsia="zh-CN"/>
                      </w:rPr>
                      <m:t>9</m:t>
                    </m:r>
                  </m:sup>
                </m:sSup>
              </m:oMath>
            </m:oMathPara>
          </w:p>
        </w:tc>
      </w:tr>
      <w:tr w:rsidR="005E3DFE" w:rsidRPr="00FC71BE" w14:paraId="518997BA" w14:textId="77777777">
        <w:tc>
          <w:tcPr>
            <w:tcW w:w="1923" w:type="pct"/>
            <w:tcBorders>
              <w:top w:val="nil"/>
              <w:bottom w:val="double" w:sz="4" w:space="0" w:color="auto"/>
            </w:tcBorders>
            <w:vAlign w:val="center"/>
          </w:tcPr>
          <w:p w14:paraId="5080E079" w14:textId="77777777" w:rsidR="00406EF8" w:rsidRPr="00FC71BE" w:rsidRDefault="00406EF8" w:rsidP="00390509">
            <w:pPr>
              <w:pStyle w:val="Table"/>
              <w:rPr>
                <w:color w:val="auto"/>
                <w:lang w:eastAsia="zh-CN"/>
              </w:rPr>
            </w:pPr>
            <w:r w:rsidRPr="00FC71BE">
              <w:rPr>
                <w:color w:val="auto"/>
              </w:rPr>
              <w:t>Density at 25</w:t>
            </w:r>
            <m:oMath>
              <m:r>
                <w:rPr>
                  <w:rFonts w:ascii="Cambria Math" w:hAnsi="Cambria Math"/>
                  <w:color w:val="auto"/>
                </w:rPr>
                <m:t>℃</m:t>
              </m:r>
            </m:oMath>
            <w:r w:rsidRPr="00FC71BE">
              <w:rPr>
                <w:color w:val="auto"/>
              </w:rPr>
              <w:t>(</w:t>
            </w:r>
            <m:oMath>
              <m:f>
                <m:fPr>
                  <m:type m:val="lin"/>
                  <m:ctrlPr>
                    <w:rPr>
                      <w:rFonts w:ascii="Cambria Math" w:hAnsi="Cambria Math"/>
                      <w:color w:val="auto"/>
                      <w:lang w:eastAsia="zh-CN"/>
                    </w:rPr>
                  </m:ctrlPr>
                </m:fPr>
                <m:num>
                  <m:r>
                    <m:rPr>
                      <m:sty m:val="p"/>
                    </m:rPr>
                    <w:rPr>
                      <w:rFonts w:ascii="Cambria Math" w:hAnsi="Cambria Math"/>
                      <w:color w:val="auto"/>
                      <w:lang w:eastAsia="zh-CN"/>
                    </w:rPr>
                    <m:t>kg</m:t>
                  </m:r>
                </m:num>
                <m:den>
                  <m:sSup>
                    <m:sSupPr>
                      <m:ctrlPr>
                        <w:rPr>
                          <w:rFonts w:ascii="Cambria Math" w:hAnsi="Cambria Math"/>
                          <w:color w:val="auto"/>
                          <w:lang w:eastAsia="zh-CN"/>
                        </w:rPr>
                      </m:ctrlPr>
                    </m:sSupPr>
                    <m:e>
                      <m:r>
                        <m:rPr>
                          <m:sty m:val="p"/>
                        </m:rPr>
                        <w:rPr>
                          <w:rFonts w:ascii="Cambria Math" w:hAnsi="Cambria Math"/>
                          <w:color w:val="auto"/>
                          <w:lang w:eastAsia="zh-CN"/>
                        </w:rPr>
                        <m:t>m</m:t>
                      </m:r>
                    </m:e>
                    <m:sup>
                      <m:r>
                        <m:rPr>
                          <m:sty m:val="p"/>
                        </m:rPr>
                        <w:rPr>
                          <w:rFonts w:ascii="Cambria Math" w:hAnsi="Cambria Math"/>
                          <w:color w:val="auto"/>
                          <w:lang w:eastAsia="zh-CN"/>
                        </w:rPr>
                        <m:t>3</m:t>
                      </m:r>
                    </m:sup>
                  </m:sSup>
                </m:den>
              </m:f>
            </m:oMath>
            <w:r w:rsidRPr="00FC71BE">
              <w:rPr>
                <w:color w:val="auto"/>
              </w:rPr>
              <w:t>)</w:t>
            </w:r>
          </w:p>
        </w:tc>
        <w:tc>
          <w:tcPr>
            <w:tcW w:w="552" w:type="pct"/>
            <w:tcBorders>
              <w:top w:val="nil"/>
              <w:bottom w:val="double" w:sz="4" w:space="0" w:color="auto"/>
            </w:tcBorders>
            <w:vAlign w:val="center"/>
          </w:tcPr>
          <w:p w14:paraId="7B305666" w14:textId="77777777" w:rsidR="00406EF8" w:rsidRPr="00FC71BE" w:rsidRDefault="00406EF8" w:rsidP="00390509">
            <w:pPr>
              <w:pStyle w:val="Table"/>
              <w:rPr>
                <w:rFonts w:cs="Arial"/>
                <w:color w:val="auto"/>
                <w:lang w:eastAsia="zh-CN"/>
              </w:rPr>
            </w:pPr>
            <w:r w:rsidRPr="00FC71BE">
              <w:rPr>
                <w:color w:val="auto"/>
              </w:rPr>
              <w:t>940</w:t>
            </w:r>
          </w:p>
        </w:tc>
        <w:tc>
          <w:tcPr>
            <w:tcW w:w="1892" w:type="pct"/>
            <w:tcBorders>
              <w:top w:val="nil"/>
              <w:bottom w:val="double" w:sz="4" w:space="0" w:color="auto"/>
            </w:tcBorders>
            <w:vAlign w:val="center"/>
          </w:tcPr>
          <w:p w14:paraId="086F7C19" w14:textId="77777777" w:rsidR="00406EF8" w:rsidRPr="00FC71BE" w:rsidRDefault="00406EF8" w:rsidP="00390509">
            <w:pPr>
              <w:pStyle w:val="Table"/>
              <w:rPr>
                <w:rFonts w:cs="Arial"/>
                <w:color w:val="auto"/>
                <w:lang w:eastAsia="zh-CN"/>
              </w:rPr>
            </w:pPr>
            <w:r w:rsidRPr="00FC71BE">
              <w:rPr>
                <w:color w:val="auto"/>
                <w:lang w:eastAsia="zh-CN"/>
              </w:rPr>
              <w:t>Heat capacity (</w:t>
            </w:r>
            <m:oMath>
              <m:f>
                <m:fPr>
                  <m:type m:val="lin"/>
                  <m:ctrlPr>
                    <w:rPr>
                      <w:rFonts w:ascii="Cambria Math" w:hAnsi="Cambria Math" w:cs="Times New Roman"/>
                      <w:color w:val="auto"/>
                      <w:lang w:eastAsia="zh-CN"/>
                    </w:rPr>
                  </m:ctrlPr>
                </m:fPr>
                <m:num>
                  <m:r>
                    <m:rPr>
                      <m:sty m:val="p"/>
                    </m:rPr>
                    <w:rPr>
                      <w:rFonts w:ascii="Cambria Math" w:hAnsi="Cambria Math" w:cs="Times New Roman"/>
                      <w:color w:val="auto"/>
                      <w:lang w:eastAsia="zh-CN"/>
                    </w:rPr>
                    <m:t>J</m:t>
                  </m:r>
                </m:num>
                <m:den>
                  <m:r>
                    <m:rPr>
                      <m:sty m:val="p"/>
                    </m:rPr>
                    <w:rPr>
                      <w:rFonts w:ascii="Cambria Math" w:hAnsi="Cambria Math" w:cs="Times New Roman"/>
                      <w:color w:val="auto"/>
                      <w:lang w:eastAsia="zh-CN"/>
                    </w:rPr>
                    <m:t>kg/K</m:t>
                  </m:r>
                </m:den>
              </m:f>
            </m:oMath>
            <w:r w:rsidRPr="00FC71BE">
              <w:rPr>
                <w:color w:val="auto"/>
                <w:lang w:eastAsia="zh-CN"/>
              </w:rPr>
              <w:t>)</w:t>
            </w:r>
          </w:p>
        </w:tc>
        <w:tc>
          <w:tcPr>
            <w:tcW w:w="634" w:type="pct"/>
            <w:tcBorders>
              <w:top w:val="nil"/>
              <w:bottom w:val="double" w:sz="4" w:space="0" w:color="auto"/>
            </w:tcBorders>
            <w:vAlign w:val="center"/>
          </w:tcPr>
          <w:p w14:paraId="37F87412" w14:textId="77777777" w:rsidR="00406EF8" w:rsidRPr="00FC71BE" w:rsidRDefault="00406EF8" w:rsidP="00390509">
            <w:pPr>
              <w:pStyle w:val="Table"/>
              <w:rPr>
                <w:rFonts w:cs="Arial"/>
                <w:color w:val="auto"/>
                <w:lang w:eastAsia="zh-CN"/>
              </w:rPr>
            </w:pPr>
            <w:r w:rsidRPr="00FC71BE">
              <w:rPr>
                <w:rFonts w:cs="Arial"/>
                <w:color w:val="auto"/>
                <w:lang w:eastAsia="zh-CN"/>
              </w:rPr>
              <w:t>1700</w:t>
            </w:r>
          </w:p>
        </w:tc>
      </w:tr>
    </w:tbl>
    <w:p w14:paraId="268E9576" w14:textId="77777777" w:rsidR="00406EF8" w:rsidRPr="00FC71BE" w:rsidRDefault="00406EF8" w:rsidP="00406EF8"/>
    <w:p w14:paraId="47089001" w14:textId="77777777" w:rsidR="00406EF8" w:rsidRPr="00FC71BE" w:rsidRDefault="00406EF8" w:rsidP="00AF4190">
      <w:pPr>
        <w:pStyle w:val="Heading4"/>
        <w:numPr>
          <w:ilvl w:val="0"/>
          <w:numId w:val="37"/>
        </w:numPr>
      </w:pPr>
      <w:r w:rsidRPr="00FC71BE">
        <w:lastRenderedPageBreak/>
        <w:t>Temperature Measurement</w:t>
      </w:r>
    </w:p>
    <w:p w14:paraId="2E8962C9" w14:textId="77777777" w:rsidR="00406EF8" w:rsidRPr="00FC71BE" w:rsidRDefault="00406EF8" w:rsidP="00406EF8">
      <w:r w:rsidRPr="00FC71BE">
        <w:t>3D multiphysics simulations have been carried out and will be compared against the measurements in this section. In the multiphysics models, the ambient temperature is set to be 20</w:t>
      </w:r>
      <m:oMath>
        <m:r>
          <w:rPr>
            <w:rFonts w:ascii="Cambria Math" w:hAnsi="Cambria Math"/>
          </w:rPr>
          <m:t>℃</m:t>
        </m:r>
      </m:oMath>
      <w:r w:rsidRPr="00FC71BE">
        <w:t xml:space="preserve"> and the convection coefficient on the surfaces of the motorette is 8 W/m</w:t>
      </w:r>
      <w:r w:rsidRPr="00FC71BE">
        <w:rPr>
          <w:vertAlign w:val="superscript"/>
        </w:rPr>
        <w:t>2</w:t>
      </w:r>
      <w:r w:rsidRPr="00FC71BE">
        <w:t>/K. It is worth noting that, based on Hashin and Shtrikman approximation, the corresponding equivalent thermal conductivities of the windings are 0.39 W/m/K and 68.8 W/m/K in the directions that are perpendicular and parallel to the current, respectively.</w:t>
      </w:r>
    </w:p>
    <w:p w14:paraId="679F8C7D" w14:textId="0E0BC2C1" w:rsidR="00406EF8" w:rsidRPr="00FC71BE" w:rsidRDefault="00406EF8" w:rsidP="00406EF8">
      <w:r w:rsidRPr="00FC71BE">
        <w:t xml:space="preserve">An 8A dc current is first injected into all coils of the motorette for both the simulations and experiments. To reveal the importance of the model 2, simulations and experiments with ac currents, which have different frequencies but the same rms current (8A), have also been carried out. As expected, for oil cooling, the machine temperatures, specifically the active coil temperature where the thermal couple is located, are almost independent of current supply, i.e., the dc and ac currents (with different frequencies) have almost the same temperatures, as shown in </w:t>
      </w:r>
      <w:r w:rsidRPr="00FC71BE">
        <w:fldChar w:fldCharType="begin"/>
      </w:r>
      <w:r w:rsidRPr="00FC71BE">
        <w:instrText xml:space="preserve"> REF _Ref147999143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36</w:t>
      </w:r>
      <w:r w:rsidRPr="00FC71BE">
        <w:fldChar w:fldCharType="end"/>
      </w:r>
      <w:r w:rsidRPr="00FC71BE">
        <w:t>. This also means that the ac losses can be neglected for the tested motorette. Furthermore, the machine temperature is reduced from 63.3</w:t>
      </w:r>
      <m:oMath>
        <m:r>
          <w:rPr>
            <w:rFonts w:ascii="Cambria Math" w:hAnsi="Cambria Math"/>
          </w:rPr>
          <m:t>℃</m:t>
        </m:r>
      </m:oMath>
      <w:r w:rsidRPr="00FC71BE">
        <w:t xml:space="preserve"> (oil) to 61.2</w:t>
      </w:r>
      <m:oMath>
        <m:r>
          <w:rPr>
            <w:rFonts w:ascii="Cambria Math" w:hAnsi="Cambria Math"/>
          </w:rPr>
          <m:t>℃</m:t>
        </m:r>
      </m:oMath>
      <w:r w:rsidRPr="00FC71BE">
        <w:t xml:space="preserve"> (FF @50Hz ac current supply) and 60.9</w:t>
      </w:r>
      <m:oMath>
        <m:r>
          <w:rPr>
            <w:rFonts w:ascii="Cambria Math" w:hAnsi="Cambria Math"/>
          </w:rPr>
          <m:t>℃</m:t>
        </m:r>
      </m:oMath>
      <w:r w:rsidRPr="00FC71BE">
        <w:t xml:space="preserve"> (FF@100Hz ac current supply). By contrast, when a dc current is supplied, the temperature is reduced to 59.8</w:t>
      </w:r>
      <m:oMath>
        <m:r>
          <w:rPr>
            <w:rFonts w:ascii="Cambria Math" w:hAnsi="Cambria Math"/>
          </w:rPr>
          <m:t>℃</m:t>
        </m:r>
      </m:oMath>
      <w:r w:rsidRPr="00FC71BE">
        <w:t xml:space="preserve"> (FF).</w:t>
      </w:r>
    </w:p>
    <w:p w14:paraId="6EDD7E95" w14:textId="77777777" w:rsidR="00406EF8" w:rsidRPr="00FC71BE" w:rsidRDefault="00406EF8" w:rsidP="00406EF8">
      <w:pPr>
        <w:pStyle w:val="Figure"/>
        <w:rPr>
          <w:noProof w:val="0"/>
        </w:rPr>
      </w:pPr>
      <w:r w:rsidRPr="00FC71BE">
        <w:drawing>
          <wp:inline distT="0" distB="0" distL="0" distR="0" wp14:anchorId="2D53E8C2" wp14:editId="07151C0B">
            <wp:extent cx="5053903" cy="2617200"/>
            <wp:effectExtent l="0" t="0" r="0" b="0"/>
            <wp:docPr id="1729974668" name="Picture 1729974668" descr="A diagram of a machine&#10;&#10;Description automatically generated">
              <a:extLst xmlns:a="http://schemas.openxmlformats.org/drawingml/2006/main">
                <a:ext uri="{FF2B5EF4-FFF2-40B4-BE49-F238E27FC236}">
                  <a16:creationId xmlns:a16="http://schemas.microsoft.com/office/drawing/2014/main" id="{3CDD280A-A290-BAE4-8E00-07EFC63804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diagram of a machine&#10;&#10;Description automatically generated">
                      <a:extLst>
                        <a:ext uri="{FF2B5EF4-FFF2-40B4-BE49-F238E27FC236}">
                          <a16:creationId xmlns:a16="http://schemas.microsoft.com/office/drawing/2014/main" id="{3CDD280A-A290-BAE4-8E00-07EFC63804DA}"/>
                        </a:ext>
                      </a:extLst>
                    </pic:cNvPr>
                    <pic:cNvPicPr>
                      <a:picLocks noChangeAspect="1"/>
                    </pic:cNvPicPr>
                  </pic:nvPicPr>
                  <pic:blipFill>
                    <a:blip r:embed="rId283"/>
                    <a:stretch>
                      <a:fillRect/>
                    </a:stretch>
                  </pic:blipFill>
                  <pic:spPr>
                    <a:xfrm>
                      <a:off x="0" y="0"/>
                      <a:ext cx="5053903" cy="2617200"/>
                    </a:xfrm>
                    <a:prstGeom prst="rect">
                      <a:avLst/>
                    </a:prstGeom>
                  </pic:spPr>
                </pic:pic>
              </a:graphicData>
            </a:graphic>
          </wp:inline>
        </w:drawing>
      </w:r>
    </w:p>
    <w:p w14:paraId="424E1EE7" w14:textId="03EE58E3" w:rsidR="00406EF8" w:rsidRPr="00FC71BE" w:rsidRDefault="00406EF8" w:rsidP="00406EF8">
      <w:pPr>
        <w:pStyle w:val="FigureTitle"/>
      </w:pPr>
      <w:bookmarkStart w:id="375" w:name="_Ref147999143"/>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36</w:t>
        </w:r>
      </w:fldSimple>
      <w:bookmarkEnd w:id="375"/>
      <w:r w:rsidRPr="00FC71BE">
        <w:t xml:space="preserve">. Measured temperatures </w:t>
      </w:r>
      <w:r w:rsidRPr="00FC71BE">
        <w:rPr>
          <w:i/>
        </w:rPr>
        <w:t>vs</w:t>
      </w:r>
      <w:r w:rsidRPr="00FC71BE">
        <w:t xml:space="preserve"> time for both oil and ferrofluid cooling with different current supplies.</w:t>
      </w:r>
    </w:p>
    <w:p w14:paraId="4A0458A9" w14:textId="77777777" w:rsidR="00406EF8" w:rsidRPr="00FC71BE" w:rsidRDefault="00406EF8" w:rsidP="00406EF8">
      <w:pPr>
        <w:pStyle w:val="Figure"/>
        <w:rPr>
          <w:noProof w:val="0"/>
        </w:rPr>
      </w:pPr>
      <w:r w:rsidRPr="00FC71BE">
        <w:lastRenderedPageBreak/>
        <w:drawing>
          <wp:inline distT="0" distB="0" distL="0" distR="0" wp14:anchorId="4FE18300" wp14:editId="315B8AC6">
            <wp:extent cx="3962618" cy="2376000"/>
            <wp:effectExtent l="0" t="0" r="0" b="5715"/>
            <wp:docPr id="1433709633" name="Picture 1433709633" descr="A graph showing the growth of oil and model&#10;&#10;Description automatically generated">
              <a:extLst xmlns:a="http://schemas.openxmlformats.org/drawingml/2006/main">
                <a:ext uri="{FF2B5EF4-FFF2-40B4-BE49-F238E27FC236}">
                  <a16:creationId xmlns:a16="http://schemas.microsoft.com/office/drawing/2014/main" id="{09C8D9CB-2BD4-4853-57D2-FAC6214431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09633" name="Picture 1433709633" descr="A graph showing the growth of oil and model&#10;&#10;Description automatically generated">
                      <a:extLst>
                        <a:ext uri="{FF2B5EF4-FFF2-40B4-BE49-F238E27FC236}">
                          <a16:creationId xmlns:a16="http://schemas.microsoft.com/office/drawing/2014/main" id="{09C8D9CB-2BD4-4853-57D2-FAC6214431F1}"/>
                        </a:ext>
                      </a:extLst>
                    </pic:cNvPr>
                    <pic:cNvPicPr>
                      <a:picLocks noChangeAspect="1"/>
                    </pic:cNvPicPr>
                  </pic:nvPicPr>
                  <pic:blipFill>
                    <a:blip r:embed="rId284"/>
                    <a:stretch>
                      <a:fillRect/>
                    </a:stretch>
                  </pic:blipFill>
                  <pic:spPr>
                    <a:xfrm>
                      <a:off x="0" y="0"/>
                      <a:ext cx="3962618" cy="2376000"/>
                    </a:xfrm>
                    <a:prstGeom prst="rect">
                      <a:avLst/>
                    </a:prstGeom>
                  </pic:spPr>
                </pic:pic>
              </a:graphicData>
            </a:graphic>
          </wp:inline>
        </w:drawing>
      </w:r>
    </w:p>
    <w:p w14:paraId="23CA35F2" w14:textId="2A0E19A4" w:rsidR="00406EF8" w:rsidRPr="00FC71BE" w:rsidRDefault="00406EF8" w:rsidP="00406EF8">
      <w:pPr>
        <w:pStyle w:val="FigureTitle"/>
      </w:pPr>
      <w:bookmarkStart w:id="376" w:name="_Ref147999267"/>
      <w:r w:rsidRPr="00FC71BE">
        <w:t xml:space="preserve">Fig. </w:t>
      </w:r>
      <w:fldSimple w:instr=" STYLEREF 1 \s ">
        <w:r w:rsidR="007E62C1" w:rsidRPr="00FC71BE">
          <w:rPr>
            <w:noProof/>
          </w:rPr>
          <w:t>5</w:t>
        </w:r>
      </w:fldSimple>
      <w:r w:rsidRPr="00FC71BE">
        <w:t>.</w:t>
      </w:r>
      <w:fldSimple w:instr=" SEQ Fig. \* ARABIC \s 1 ">
        <w:r w:rsidR="007E62C1" w:rsidRPr="00FC71BE">
          <w:rPr>
            <w:noProof/>
          </w:rPr>
          <w:t>37</w:t>
        </w:r>
      </w:fldSimple>
      <w:bookmarkEnd w:id="376"/>
      <w:r w:rsidRPr="00FC71BE">
        <w:t xml:space="preserve">. Simulated temperatures </w:t>
      </w:r>
      <w:r w:rsidRPr="00FC71BE">
        <w:rPr>
          <w:i/>
        </w:rPr>
        <w:t>vs</w:t>
      </w:r>
      <w:r w:rsidRPr="00FC71BE">
        <w:t xml:space="preserve"> rotor position for oil and FF cooling. The simulations correspond to the measurements in </w:t>
      </w:r>
      <w:r w:rsidRPr="00FC71BE">
        <w:fldChar w:fldCharType="begin"/>
      </w:r>
      <w:r w:rsidRPr="00FC71BE">
        <w:instrText xml:space="preserve"> REF _Ref147999143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36</w:t>
      </w:r>
      <w:r w:rsidRPr="00FC71BE">
        <w:fldChar w:fldCharType="end"/>
      </w:r>
      <w:r w:rsidRPr="00FC71BE">
        <w:t>.</w:t>
      </w:r>
    </w:p>
    <w:p w14:paraId="1F8443A2" w14:textId="2E92C934" w:rsidR="00406EF8" w:rsidRPr="00FC71BE" w:rsidRDefault="00406EF8" w:rsidP="00406EF8">
      <w:r w:rsidRPr="00FC71BE">
        <w:t xml:space="preserve">Simulations corresponding to the measurements in </w:t>
      </w:r>
      <w:r w:rsidRPr="00FC71BE">
        <w:fldChar w:fldCharType="begin"/>
      </w:r>
      <w:r w:rsidRPr="00FC71BE">
        <w:instrText xml:space="preserve"> REF _Ref147999143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36</w:t>
      </w:r>
      <w:r w:rsidRPr="00FC71BE">
        <w:fldChar w:fldCharType="end"/>
      </w:r>
      <w:r w:rsidRPr="00FC71BE">
        <w:t xml:space="preserve"> have been carried out. It is worth noting that these simulations are only steady-state, as the transient state simulations would be excessively time-consuming. In addition, for FF cooling, both model 1 and model 2 have been used, as shown in </w:t>
      </w:r>
      <w:r w:rsidRPr="00FC71BE">
        <w:fldChar w:fldCharType="begin"/>
      </w:r>
      <w:r w:rsidRPr="00FC71BE">
        <w:instrText xml:space="preserve"> REF _Ref147999267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37</w:t>
      </w:r>
      <w:r w:rsidRPr="00FC71BE">
        <w:fldChar w:fldCharType="end"/>
      </w:r>
      <w:r w:rsidRPr="00FC71BE">
        <w:t xml:space="preserve">. The simulated results shown in </w:t>
      </w:r>
      <w:r w:rsidRPr="00FC71BE">
        <w:fldChar w:fldCharType="begin"/>
      </w:r>
      <w:r w:rsidRPr="00FC71BE">
        <w:instrText xml:space="preserve"> REF _Ref147999267 \h </w:instrText>
      </w:r>
      <w:r w:rsidRPr="00FC71BE">
        <w:fldChar w:fldCharType="separate"/>
      </w:r>
      <w:r w:rsidR="007E62C1" w:rsidRPr="00FC71BE">
        <w:t xml:space="preserve">Fig. </w:t>
      </w:r>
      <w:r w:rsidR="007E62C1" w:rsidRPr="00FC71BE">
        <w:rPr>
          <w:noProof/>
        </w:rPr>
        <w:t>5</w:t>
      </w:r>
      <w:r w:rsidR="007E62C1" w:rsidRPr="00FC71BE">
        <w:t>.</w:t>
      </w:r>
      <w:r w:rsidR="007E62C1" w:rsidRPr="00FC71BE">
        <w:rPr>
          <w:noProof/>
        </w:rPr>
        <w:t>37</w:t>
      </w:r>
      <w:r w:rsidRPr="00FC71BE">
        <w:fldChar w:fldCharType="end"/>
      </w:r>
      <w:r w:rsidRPr="00FC71BE">
        <w:t xml:space="preserve"> have been compared against the measured results, which are listed in </w:t>
      </w:r>
      <w:r w:rsidRPr="00FC71BE">
        <w:fldChar w:fldCharType="begin"/>
      </w:r>
      <w:r w:rsidRPr="00FC71BE">
        <w:instrText xml:space="preserve"> REF _Ref147999288 \h </w:instrText>
      </w:r>
      <w:r w:rsidRPr="00FC71BE">
        <w:fldChar w:fldCharType="separate"/>
      </w:r>
      <w:r w:rsidR="007E62C1" w:rsidRPr="00FC71BE">
        <w:t xml:space="preserve">Table </w:t>
      </w:r>
      <w:r w:rsidR="007E62C1" w:rsidRPr="00FC71BE">
        <w:rPr>
          <w:noProof/>
        </w:rPr>
        <w:t>5</w:t>
      </w:r>
      <w:r w:rsidR="007E62C1" w:rsidRPr="00FC71BE">
        <w:t>.</w:t>
      </w:r>
      <w:r w:rsidR="007E62C1" w:rsidRPr="00FC71BE">
        <w:rPr>
          <w:noProof/>
        </w:rPr>
        <w:t>12</w:t>
      </w:r>
      <w:r w:rsidRPr="00FC71BE">
        <w:fldChar w:fldCharType="end"/>
      </w:r>
      <w:r w:rsidRPr="00FC71BE">
        <w:t>. A generally good agreement can be observed between the simulated and measured results, proving the accuracy of the multiphysics models developed in this paper.</w:t>
      </w:r>
    </w:p>
    <w:p w14:paraId="3023529A" w14:textId="77777777" w:rsidR="00406EF8" w:rsidRPr="00FC71BE" w:rsidRDefault="00406EF8" w:rsidP="00406EF8">
      <w:r w:rsidRPr="00FC71BE">
        <w:t>Both measured and simulated results demonstrated that, compared to oil cooling, using ferrofluid as coolant in the end-winding regions can reduce the machine temperature. This is the case for both ac and dc current supplies. Simulated results also demonstrate that, using magnetic field generated by dc current overestimates the ferrofluid cooling efficiency for the double layer machine. This conclusion has also been observed during the experiments. For example, when oil is replaced by ferrofluid as coolant, for the ac current supply, the motorette’s temperature is reduced by around 2.1</w:t>
      </w:r>
      <m:oMath>
        <m:r>
          <w:rPr>
            <w:rFonts w:ascii="Cambria Math" w:hAnsi="Cambria Math"/>
          </w:rPr>
          <m:t>℃</m:t>
        </m:r>
      </m:oMath>
      <w:r w:rsidRPr="00FC71BE">
        <w:t>, but this reduction is 3.5</w:t>
      </w:r>
      <m:oMath>
        <m:r>
          <w:rPr>
            <w:rFonts w:ascii="Cambria Math" w:hAnsi="Cambria Math"/>
          </w:rPr>
          <m:t>℃</m:t>
        </m:r>
      </m:oMath>
      <w:r w:rsidRPr="00FC71BE">
        <w:t xml:space="preserve"> for the dc current supply. In addition, model 2 cannot fully consider the influence of the frequency of the ac current. However, according to the measured results, this limitation might not be an issue, as the temperature difference between the 50Hz and 100Hz ac currents is negligibly small.</w:t>
      </w:r>
    </w:p>
    <w:p w14:paraId="5624B2FD" w14:textId="150FBB29" w:rsidR="00406EF8" w:rsidRPr="00FC71BE" w:rsidRDefault="00406EF8" w:rsidP="00406EF8">
      <w:pPr>
        <w:pStyle w:val="Tabletitle"/>
        <w:rPr>
          <w:color w:val="auto"/>
        </w:rPr>
      </w:pPr>
      <w:bookmarkStart w:id="377" w:name="_Ref147999288"/>
      <w:r w:rsidRPr="00FC71BE">
        <w:rPr>
          <w:color w:val="auto"/>
        </w:rPr>
        <w:t xml:space="preserve">Table </w:t>
      </w:r>
      <w:r w:rsidR="002839C4" w:rsidRPr="00FC71BE">
        <w:rPr>
          <w:color w:val="auto"/>
        </w:rPr>
        <w:fldChar w:fldCharType="begin"/>
      </w:r>
      <w:r w:rsidR="002839C4" w:rsidRPr="00FC71BE">
        <w:rPr>
          <w:color w:val="auto"/>
        </w:rPr>
        <w:instrText xml:space="preserve"> STYLEREF 1 \s </w:instrText>
      </w:r>
      <w:r w:rsidR="002839C4" w:rsidRPr="00FC71BE">
        <w:rPr>
          <w:color w:val="auto"/>
        </w:rPr>
        <w:fldChar w:fldCharType="separate"/>
      </w:r>
      <w:r w:rsidR="007E62C1" w:rsidRPr="00FC71BE">
        <w:rPr>
          <w:noProof/>
          <w:color w:val="auto"/>
        </w:rPr>
        <w:t>5</w:t>
      </w:r>
      <w:r w:rsidR="002839C4" w:rsidRPr="00FC71BE">
        <w:rPr>
          <w:color w:val="auto"/>
        </w:rPr>
        <w:fldChar w:fldCharType="end"/>
      </w:r>
      <w:r w:rsidRPr="00FC71BE">
        <w:rPr>
          <w:color w:val="auto"/>
        </w:rPr>
        <w:t>.</w:t>
      </w:r>
      <w:r w:rsidR="002839C4" w:rsidRPr="00FC71BE">
        <w:rPr>
          <w:color w:val="auto"/>
        </w:rPr>
        <w:fldChar w:fldCharType="begin"/>
      </w:r>
      <w:r w:rsidR="002839C4" w:rsidRPr="00FC71BE">
        <w:rPr>
          <w:color w:val="auto"/>
        </w:rPr>
        <w:instrText xml:space="preserve"> SEQ Table \* ARABIC \s 1 </w:instrText>
      </w:r>
      <w:r w:rsidR="002839C4" w:rsidRPr="00FC71BE">
        <w:rPr>
          <w:color w:val="auto"/>
        </w:rPr>
        <w:fldChar w:fldCharType="separate"/>
      </w:r>
      <w:r w:rsidR="007E62C1" w:rsidRPr="00FC71BE">
        <w:rPr>
          <w:noProof/>
          <w:color w:val="auto"/>
        </w:rPr>
        <w:t>12</w:t>
      </w:r>
      <w:r w:rsidR="002839C4" w:rsidRPr="00FC71BE">
        <w:rPr>
          <w:color w:val="auto"/>
        </w:rPr>
        <w:fldChar w:fldCharType="end"/>
      </w:r>
      <w:bookmarkEnd w:id="377"/>
      <w:r w:rsidRPr="00FC71BE">
        <w:rPr>
          <w:color w:val="auto"/>
        </w:rPr>
        <w:t xml:space="preserve"> Simulated and Measured Results with Different Coolants.</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2381"/>
        <w:gridCol w:w="2280"/>
        <w:gridCol w:w="2199"/>
        <w:gridCol w:w="2166"/>
      </w:tblGrid>
      <w:tr w:rsidR="00FC71BE" w:rsidRPr="00FC71BE" w14:paraId="6E5EFC12" w14:textId="77777777">
        <w:tc>
          <w:tcPr>
            <w:tcW w:w="1319" w:type="pct"/>
            <w:vAlign w:val="center"/>
          </w:tcPr>
          <w:p w14:paraId="58F373F8" w14:textId="77777777" w:rsidR="00406EF8" w:rsidRPr="00FC71BE" w:rsidRDefault="00406EF8" w:rsidP="009F4DC7">
            <w:pPr>
              <w:pStyle w:val="Table"/>
              <w:rPr>
                <w:color w:val="auto"/>
              </w:rPr>
            </w:pPr>
            <w:r w:rsidRPr="00FC71BE">
              <w:rPr>
                <w:color w:val="auto"/>
              </w:rPr>
              <w:t>Coolant</w:t>
            </w:r>
          </w:p>
        </w:tc>
        <w:tc>
          <w:tcPr>
            <w:tcW w:w="1263" w:type="pct"/>
            <w:vAlign w:val="center"/>
          </w:tcPr>
          <w:p w14:paraId="0EB4C5B1" w14:textId="77777777" w:rsidR="00406EF8" w:rsidRPr="00FC71BE" w:rsidRDefault="00406EF8" w:rsidP="009F4DC7">
            <w:pPr>
              <w:pStyle w:val="Table"/>
              <w:rPr>
                <w:color w:val="auto"/>
              </w:rPr>
            </w:pPr>
            <w:r w:rsidRPr="00FC71BE">
              <w:rPr>
                <w:color w:val="auto"/>
              </w:rPr>
              <w:t>Simulated (</w:t>
            </w:r>
            <m:oMath>
              <m:r>
                <w:rPr>
                  <w:rFonts w:ascii="Cambria Math" w:hAnsi="Cambria Math"/>
                  <w:color w:val="auto"/>
                </w:rPr>
                <m:t>℃</m:t>
              </m:r>
            </m:oMath>
            <w:r w:rsidRPr="00FC71BE">
              <w:rPr>
                <w:color w:val="auto"/>
              </w:rPr>
              <w:t>)</w:t>
            </w:r>
          </w:p>
        </w:tc>
        <w:tc>
          <w:tcPr>
            <w:tcW w:w="1218" w:type="pct"/>
            <w:vAlign w:val="center"/>
          </w:tcPr>
          <w:p w14:paraId="4810CD8C" w14:textId="77777777" w:rsidR="00406EF8" w:rsidRPr="00FC71BE" w:rsidRDefault="00406EF8" w:rsidP="009F4DC7">
            <w:pPr>
              <w:pStyle w:val="Table"/>
              <w:rPr>
                <w:color w:val="auto"/>
              </w:rPr>
            </w:pPr>
            <w:r w:rsidRPr="00FC71BE">
              <w:rPr>
                <w:color w:val="auto"/>
              </w:rPr>
              <w:t>Measured (</w:t>
            </w:r>
            <m:oMath>
              <m:r>
                <w:rPr>
                  <w:rFonts w:ascii="Cambria Math" w:hAnsi="Cambria Math"/>
                  <w:color w:val="auto"/>
                </w:rPr>
                <m:t>℃</m:t>
              </m:r>
            </m:oMath>
            <w:r w:rsidRPr="00FC71BE">
              <w:rPr>
                <w:color w:val="auto"/>
              </w:rPr>
              <w:t>)</w:t>
            </w:r>
          </w:p>
        </w:tc>
        <w:tc>
          <w:tcPr>
            <w:tcW w:w="1200" w:type="pct"/>
            <w:vAlign w:val="center"/>
          </w:tcPr>
          <w:p w14:paraId="47AA612E" w14:textId="77777777" w:rsidR="00406EF8" w:rsidRPr="00FC71BE" w:rsidRDefault="00406EF8" w:rsidP="009F4DC7">
            <w:pPr>
              <w:pStyle w:val="Table"/>
              <w:rPr>
                <w:color w:val="auto"/>
              </w:rPr>
            </w:pPr>
            <w:r w:rsidRPr="00FC71BE">
              <w:rPr>
                <w:color w:val="auto"/>
              </w:rPr>
              <w:t>Difference</w:t>
            </w:r>
          </w:p>
        </w:tc>
      </w:tr>
      <w:tr w:rsidR="00FC71BE" w:rsidRPr="00FC71BE" w14:paraId="10F48717" w14:textId="77777777">
        <w:tc>
          <w:tcPr>
            <w:tcW w:w="1319" w:type="pct"/>
            <w:vAlign w:val="center"/>
          </w:tcPr>
          <w:p w14:paraId="4CF940FD" w14:textId="77777777" w:rsidR="00406EF8" w:rsidRPr="00FC71BE" w:rsidRDefault="00406EF8" w:rsidP="009F4DC7">
            <w:pPr>
              <w:pStyle w:val="Table"/>
              <w:rPr>
                <w:color w:val="auto"/>
              </w:rPr>
            </w:pPr>
            <w:r w:rsidRPr="00FC71BE">
              <w:rPr>
                <w:color w:val="auto"/>
              </w:rPr>
              <w:t>Oil</w:t>
            </w:r>
          </w:p>
        </w:tc>
        <w:tc>
          <w:tcPr>
            <w:tcW w:w="1263" w:type="pct"/>
            <w:vAlign w:val="center"/>
          </w:tcPr>
          <w:p w14:paraId="113F0CE5" w14:textId="77777777" w:rsidR="00406EF8" w:rsidRPr="00FC71BE" w:rsidRDefault="00406EF8" w:rsidP="009F4DC7">
            <w:pPr>
              <w:pStyle w:val="Table"/>
              <w:rPr>
                <w:color w:val="auto"/>
              </w:rPr>
            </w:pPr>
            <w:r w:rsidRPr="00FC71BE">
              <w:rPr>
                <w:color w:val="auto"/>
              </w:rPr>
              <w:t>63.0</w:t>
            </w:r>
          </w:p>
        </w:tc>
        <w:tc>
          <w:tcPr>
            <w:tcW w:w="1218" w:type="pct"/>
            <w:vAlign w:val="center"/>
          </w:tcPr>
          <w:p w14:paraId="3ADE5EA5" w14:textId="77777777" w:rsidR="00406EF8" w:rsidRPr="00FC71BE" w:rsidRDefault="00406EF8" w:rsidP="009F4DC7">
            <w:pPr>
              <w:pStyle w:val="Table"/>
              <w:rPr>
                <w:color w:val="auto"/>
              </w:rPr>
            </w:pPr>
            <w:r w:rsidRPr="00FC71BE">
              <w:rPr>
                <w:color w:val="auto"/>
              </w:rPr>
              <w:t>63.3</w:t>
            </w:r>
          </w:p>
        </w:tc>
        <w:tc>
          <w:tcPr>
            <w:tcW w:w="1200" w:type="pct"/>
            <w:vAlign w:val="center"/>
          </w:tcPr>
          <w:p w14:paraId="7FE1B548" w14:textId="77777777" w:rsidR="00406EF8" w:rsidRPr="00FC71BE" w:rsidRDefault="00406EF8" w:rsidP="009F4DC7">
            <w:pPr>
              <w:pStyle w:val="Table"/>
              <w:rPr>
                <w:color w:val="auto"/>
              </w:rPr>
            </w:pPr>
            <w:r w:rsidRPr="00FC71BE">
              <w:rPr>
                <w:color w:val="auto"/>
              </w:rPr>
              <w:t>0.47%</w:t>
            </w:r>
          </w:p>
        </w:tc>
      </w:tr>
      <w:tr w:rsidR="00FC71BE" w:rsidRPr="00FC71BE" w14:paraId="291D5240" w14:textId="77777777">
        <w:tc>
          <w:tcPr>
            <w:tcW w:w="1319" w:type="pct"/>
            <w:vAlign w:val="center"/>
          </w:tcPr>
          <w:p w14:paraId="0FEF419E" w14:textId="77777777" w:rsidR="00406EF8" w:rsidRPr="00FC71BE" w:rsidRDefault="00406EF8" w:rsidP="009F4DC7">
            <w:pPr>
              <w:pStyle w:val="Table"/>
              <w:rPr>
                <w:color w:val="auto"/>
              </w:rPr>
            </w:pPr>
            <w:r w:rsidRPr="00FC71BE">
              <w:rPr>
                <w:color w:val="auto"/>
              </w:rPr>
              <w:t>Ferrofluid (DC)</w:t>
            </w:r>
          </w:p>
        </w:tc>
        <w:tc>
          <w:tcPr>
            <w:tcW w:w="1263" w:type="pct"/>
            <w:vAlign w:val="center"/>
          </w:tcPr>
          <w:p w14:paraId="68B51014" w14:textId="77777777" w:rsidR="00406EF8" w:rsidRPr="00FC71BE" w:rsidRDefault="00406EF8" w:rsidP="009F4DC7">
            <w:pPr>
              <w:pStyle w:val="Table"/>
              <w:rPr>
                <w:color w:val="auto"/>
              </w:rPr>
            </w:pPr>
            <w:r w:rsidRPr="00FC71BE">
              <w:rPr>
                <w:color w:val="auto"/>
              </w:rPr>
              <w:t>60.4 (Model 1)</w:t>
            </w:r>
          </w:p>
        </w:tc>
        <w:tc>
          <w:tcPr>
            <w:tcW w:w="1218" w:type="pct"/>
            <w:vAlign w:val="center"/>
          </w:tcPr>
          <w:p w14:paraId="0536CCA0" w14:textId="77777777" w:rsidR="00406EF8" w:rsidRPr="00FC71BE" w:rsidRDefault="00406EF8" w:rsidP="009F4DC7">
            <w:pPr>
              <w:pStyle w:val="Table"/>
              <w:rPr>
                <w:color w:val="auto"/>
              </w:rPr>
            </w:pPr>
            <w:r w:rsidRPr="00FC71BE">
              <w:rPr>
                <w:color w:val="auto"/>
              </w:rPr>
              <w:t>59.8</w:t>
            </w:r>
          </w:p>
        </w:tc>
        <w:tc>
          <w:tcPr>
            <w:tcW w:w="1200" w:type="pct"/>
            <w:vAlign w:val="center"/>
          </w:tcPr>
          <w:p w14:paraId="2254C52F" w14:textId="77777777" w:rsidR="00406EF8" w:rsidRPr="00FC71BE" w:rsidRDefault="00406EF8" w:rsidP="009F4DC7">
            <w:pPr>
              <w:pStyle w:val="Table"/>
              <w:rPr>
                <w:color w:val="auto"/>
              </w:rPr>
            </w:pPr>
            <w:r w:rsidRPr="00FC71BE">
              <w:rPr>
                <w:color w:val="auto"/>
              </w:rPr>
              <w:t>1%</w:t>
            </w:r>
          </w:p>
        </w:tc>
      </w:tr>
      <w:tr w:rsidR="00FC71BE" w:rsidRPr="00FC71BE" w14:paraId="01218F2D" w14:textId="77777777">
        <w:trPr>
          <w:trHeight w:val="125"/>
        </w:trPr>
        <w:tc>
          <w:tcPr>
            <w:tcW w:w="1319" w:type="pct"/>
            <w:vMerge w:val="restart"/>
            <w:vAlign w:val="center"/>
          </w:tcPr>
          <w:p w14:paraId="64E9213D" w14:textId="77777777" w:rsidR="00406EF8" w:rsidRPr="00FC71BE" w:rsidRDefault="00406EF8" w:rsidP="009F4DC7">
            <w:pPr>
              <w:pStyle w:val="Table"/>
              <w:rPr>
                <w:color w:val="auto"/>
              </w:rPr>
            </w:pPr>
            <w:r w:rsidRPr="00FC71BE">
              <w:rPr>
                <w:color w:val="auto"/>
              </w:rPr>
              <w:t>Ferrofluid (AC)</w:t>
            </w:r>
          </w:p>
        </w:tc>
        <w:tc>
          <w:tcPr>
            <w:tcW w:w="1263" w:type="pct"/>
            <w:vMerge w:val="restart"/>
            <w:vAlign w:val="center"/>
          </w:tcPr>
          <w:p w14:paraId="5EACFFA5" w14:textId="77777777" w:rsidR="00406EF8" w:rsidRPr="00FC71BE" w:rsidRDefault="00406EF8" w:rsidP="009F4DC7">
            <w:pPr>
              <w:pStyle w:val="Table"/>
              <w:rPr>
                <w:color w:val="auto"/>
              </w:rPr>
            </w:pPr>
            <w:r w:rsidRPr="00FC71BE">
              <w:rPr>
                <w:color w:val="auto"/>
              </w:rPr>
              <w:t>60.6 (Model 2)</w:t>
            </w:r>
          </w:p>
        </w:tc>
        <w:tc>
          <w:tcPr>
            <w:tcW w:w="1218" w:type="pct"/>
            <w:vAlign w:val="center"/>
          </w:tcPr>
          <w:p w14:paraId="2DD838A8" w14:textId="77777777" w:rsidR="00406EF8" w:rsidRPr="00FC71BE" w:rsidRDefault="00406EF8" w:rsidP="009F4DC7">
            <w:pPr>
              <w:pStyle w:val="Table"/>
              <w:rPr>
                <w:color w:val="auto"/>
              </w:rPr>
            </w:pPr>
            <w:r w:rsidRPr="00FC71BE">
              <w:rPr>
                <w:color w:val="auto"/>
              </w:rPr>
              <w:t>61.2 (50Hz)</w:t>
            </w:r>
          </w:p>
        </w:tc>
        <w:tc>
          <w:tcPr>
            <w:tcW w:w="1200" w:type="pct"/>
            <w:vAlign w:val="center"/>
          </w:tcPr>
          <w:p w14:paraId="5B024518" w14:textId="77777777" w:rsidR="00406EF8" w:rsidRPr="00FC71BE" w:rsidRDefault="00406EF8" w:rsidP="009F4DC7">
            <w:pPr>
              <w:pStyle w:val="Table"/>
              <w:rPr>
                <w:color w:val="auto"/>
              </w:rPr>
            </w:pPr>
            <w:r w:rsidRPr="00FC71BE">
              <w:rPr>
                <w:color w:val="auto"/>
              </w:rPr>
              <w:t>0.98% (50Hz)</w:t>
            </w:r>
          </w:p>
        </w:tc>
      </w:tr>
      <w:tr w:rsidR="00FC71BE" w:rsidRPr="00FC71BE" w14:paraId="6C77FA0D" w14:textId="77777777">
        <w:trPr>
          <w:trHeight w:val="125"/>
        </w:trPr>
        <w:tc>
          <w:tcPr>
            <w:tcW w:w="1319" w:type="pct"/>
            <w:vMerge/>
            <w:vAlign w:val="center"/>
          </w:tcPr>
          <w:p w14:paraId="7F7E6292" w14:textId="77777777" w:rsidR="00406EF8" w:rsidRPr="00FC71BE" w:rsidRDefault="00406EF8" w:rsidP="009F4DC7">
            <w:pPr>
              <w:pStyle w:val="Table"/>
              <w:rPr>
                <w:color w:val="auto"/>
              </w:rPr>
            </w:pPr>
          </w:p>
        </w:tc>
        <w:tc>
          <w:tcPr>
            <w:tcW w:w="1263" w:type="pct"/>
            <w:vMerge/>
            <w:vAlign w:val="center"/>
          </w:tcPr>
          <w:p w14:paraId="2E988835" w14:textId="77777777" w:rsidR="00406EF8" w:rsidRPr="00FC71BE" w:rsidRDefault="00406EF8" w:rsidP="009F4DC7">
            <w:pPr>
              <w:pStyle w:val="Table"/>
              <w:rPr>
                <w:color w:val="auto"/>
              </w:rPr>
            </w:pPr>
          </w:p>
        </w:tc>
        <w:tc>
          <w:tcPr>
            <w:tcW w:w="1218" w:type="pct"/>
            <w:vAlign w:val="center"/>
          </w:tcPr>
          <w:p w14:paraId="2CAE205D" w14:textId="77777777" w:rsidR="00406EF8" w:rsidRPr="00FC71BE" w:rsidRDefault="00406EF8" w:rsidP="009F4DC7">
            <w:pPr>
              <w:pStyle w:val="Table"/>
              <w:rPr>
                <w:color w:val="auto"/>
              </w:rPr>
            </w:pPr>
            <w:r w:rsidRPr="00FC71BE">
              <w:rPr>
                <w:color w:val="auto"/>
              </w:rPr>
              <w:t>60.9 (100Hz)</w:t>
            </w:r>
          </w:p>
        </w:tc>
        <w:tc>
          <w:tcPr>
            <w:tcW w:w="1200" w:type="pct"/>
            <w:vAlign w:val="center"/>
          </w:tcPr>
          <w:p w14:paraId="2F1C51B9" w14:textId="77777777" w:rsidR="00406EF8" w:rsidRPr="00FC71BE" w:rsidRDefault="00406EF8" w:rsidP="009F4DC7">
            <w:pPr>
              <w:pStyle w:val="Table"/>
              <w:rPr>
                <w:color w:val="auto"/>
              </w:rPr>
            </w:pPr>
            <w:r w:rsidRPr="00FC71BE">
              <w:rPr>
                <w:color w:val="auto"/>
              </w:rPr>
              <w:t>0.5% (100Hz)</w:t>
            </w:r>
          </w:p>
        </w:tc>
      </w:tr>
    </w:tbl>
    <w:p w14:paraId="67085B31" w14:textId="77777777" w:rsidR="00406EF8" w:rsidRPr="00FC71BE" w:rsidRDefault="00406EF8" w:rsidP="00B86C68">
      <w:pPr>
        <w:pStyle w:val="Heading2"/>
        <w:numPr>
          <w:ilvl w:val="1"/>
          <w:numId w:val="49"/>
        </w:numPr>
      </w:pPr>
      <w:bookmarkStart w:id="378" w:name="_Toc157695406"/>
      <w:r w:rsidRPr="00FC71BE">
        <w:lastRenderedPageBreak/>
        <w:t>Conclusion</w:t>
      </w:r>
      <w:bookmarkEnd w:id="378"/>
    </w:p>
    <w:p w14:paraId="469F4B5B" w14:textId="77777777" w:rsidR="00406EF8" w:rsidRPr="00FC71BE" w:rsidRDefault="00406EF8" w:rsidP="00406EF8">
      <w:r w:rsidRPr="00FC71BE">
        <w:t>A hybrid cooling technology that combines ferrofluid (for end-windings cooling) and housing water jacket has been proposed and investigated in this chapter. 3D multiphysics models using COMSOL have been developed for the simulations. The temperature and magnetic field dependent ferrofluid properties, e.g., magnetization, viscosity, density and thermal conductivity and capacity, have been considered in the 3D multiphysics models to predict the behaviour of ferrofluid in the end-winding region. It is found that the ferrofluid under external magnetic field generated by the windings will mainly be driven by the magnetic body force. The circulation of the ferrofluid will lead to thermomagnetic convection, which enhances the heat transfer between the end-winding and the housing. The results obtained using the developed multiphysics model have shown that, together with the gravitational effect, the ferrofluid can reduce the maximum coil temperatures. When the current density increases, the temperature reduction using ferrofluid cooling is more pronounced.</w:t>
      </w:r>
    </w:p>
    <w:p w14:paraId="681AB2C1" w14:textId="77777777" w:rsidR="00406EF8" w:rsidRPr="00FC71BE" w:rsidRDefault="00406EF8" w:rsidP="00406EF8">
      <w:r w:rsidRPr="00FC71BE">
        <w:t xml:space="preserve">The influence of ferrofluid properties on machine cooling performance has also been investigated. It is found that increasing the concentration of ferrofluid can significantly reduce the peak temperature. This improved cooling performance is mainly </w:t>
      </w:r>
      <w:r w:rsidRPr="00FC71BE">
        <w:rPr>
          <w:iCs/>
        </w:rPr>
        <w:t>attributed to the increase in magnetic body force, which leads to improved thermomagnetic convection. In addition, increasing concentration slightly increases the thermal conductivity and the gravitational effect, which also helps improve machine cooling performance. Similarly, the magnetization of ferrofluid also affects the cooling performance. It is found that the ferrofluid with higher magnetization within the selected machine operating temperature range has better cooling performance due to its higher magnetic body force, and hence more significant thermomagnetic convection. In addition, a faster reduction rate of magnetization when temperature rises will provide a larger gradient of magnetic body force within the ferrofluid, leading to a faster coolant circulation and hence a better machine cooling performance. A motorette has been built and the multiphysics models have been validated by a series of experiments.</w:t>
      </w:r>
    </w:p>
    <w:p w14:paraId="63488801" w14:textId="77777777" w:rsidR="00406EF8" w:rsidRPr="00FC71BE" w:rsidRDefault="00406EF8" w:rsidP="00406EF8">
      <w:r w:rsidRPr="00FC71BE">
        <w:t>The ferrofluid cooling is also employed for the modular SPM machine. The results have also revealed the impacts of flux gaps on the cooling efficiency. Compared to conventional SPM machines without flux gaps, the flux gaps in the modular machines provide extra cooling path for coolant circulation and more contact surface between the coolant and the machine active parts. Therefore, if only the gravity for ferrofluid cooling is considered, the machine temperature reduces further by 0.9</w:t>
      </w:r>
      <m:oMath>
        <m:r>
          <w:rPr>
            <w:rFonts w:ascii="Cambria Math" w:hAnsi="Cambria Math"/>
          </w:rPr>
          <m:t>℃</m:t>
        </m:r>
      </m:oMath>
      <w:r w:rsidRPr="00FC71BE">
        <w:t xml:space="preserve"> when 2mm flux gaps are introduced. This temperature </w:t>
      </w:r>
      <w:r w:rsidRPr="00FC71BE">
        <w:lastRenderedPageBreak/>
        <w:t>reduction is enlarged to 3.4</w:t>
      </w:r>
      <m:oMath>
        <m:r>
          <w:rPr>
            <w:rFonts w:ascii="Cambria Math" w:hAnsi="Cambria Math"/>
          </w:rPr>
          <m:t>℃</m:t>
        </m:r>
      </m:oMath>
      <w:r w:rsidRPr="00FC71BE">
        <w:t xml:space="preserve"> when flux gap width increases to 5mm. However, when magnetic body force for ferrofluid cooling is also considered, the presence of flux gaps deteriorates the cooling performance due to the magnetic body force. Although ferrofluid has been effective in reducing the temperature, for example, 10.1</w:t>
      </w:r>
      <m:oMath>
        <m:r>
          <w:rPr>
            <w:rFonts w:ascii="Cambria Math" w:hAnsi="Cambria Math"/>
          </w:rPr>
          <m:t>℃</m:t>
        </m:r>
      </m:oMath>
      <w:r w:rsidRPr="00FC71BE">
        <w:t xml:space="preserve"> reduction due to magnetic body force for a 0mm flux gap width, i.e., non-modular machine, this reduces to 8.4</w:t>
      </w:r>
      <m:oMath>
        <m:r>
          <w:rPr>
            <w:rFonts w:ascii="Cambria Math" w:hAnsi="Cambria Math"/>
          </w:rPr>
          <m:t>℃</m:t>
        </m:r>
      </m:oMath>
      <w:r w:rsidRPr="00FC71BE">
        <w:t xml:space="preserve"> for the modular machine with a flux gap width of 5mm.</w:t>
      </w:r>
    </w:p>
    <w:p w14:paraId="04F9DEAD" w14:textId="77777777" w:rsidR="00406EF8" w:rsidRPr="00FC71BE" w:rsidRDefault="00406EF8" w:rsidP="00406EF8"/>
    <w:p w14:paraId="4F940D78" w14:textId="77777777" w:rsidR="00406EF8" w:rsidRPr="00FC71BE" w:rsidRDefault="00406EF8" w:rsidP="00406EF8">
      <w:pPr>
        <w:sectPr w:rsidR="00406EF8" w:rsidRPr="00FC71BE" w:rsidSect="00230564">
          <w:pgSz w:w="11906" w:h="16838"/>
          <w:pgMar w:top="1440" w:right="1440" w:bottom="1440" w:left="1440" w:header="708" w:footer="708" w:gutter="0"/>
          <w:cols w:space="708"/>
          <w:docGrid w:linePitch="360"/>
        </w:sectPr>
      </w:pPr>
    </w:p>
    <w:p w14:paraId="161A5191" w14:textId="77777777" w:rsidR="005F54EB" w:rsidRPr="00FC71BE" w:rsidRDefault="005F54EB" w:rsidP="00B86C68">
      <w:pPr>
        <w:pStyle w:val="Heading1"/>
        <w:numPr>
          <w:ilvl w:val="0"/>
          <w:numId w:val="49"/>
        </w:numPr>
        <w:rPr>
          <w:color w:val="auto"/>
        </w:rPr>
      </w:pPr>
      <w:bookmarkStart w:id="379" w:name="_Toc157695407"/>
      <w:r w:rsidRPr="00FC71BE">
        <w:rPr>
          <w:color w:val="auto"/>
        </w:rPr>
        <w:lastRenderedPageBreak/>
        <w:t>Conclusion and Future Work</w:t>
      </w:r>
      <w:bookmarkEnd w:id="379"/>
    </w:p>
    <w:p w14:paraId="0AB7DFCD" w14:textId="77777777" w:rsidR="005F54EB" w:rsidRPr="00FC71BE" w:rsidRDefault="005F54EB" w:rsidP="00B86C68">
      <w:pPr>
        <w:pStyle w:val="Heading2"/>
        <w:numPr>
          <w:ilvl w:val="1"/>
          <w:numId w:val="49"/>
        </w:numPr>
      </w:pPr>
      <w:bookmarkStart w:id="380" w:name="_Toc157695408"/>
      <w:r w:rsidRPr="00FC71BE">
        <w:t>Conclusion</w:t>
      </w:r>
      <w:bookmarkEnd w:id="380"/>
    </w:p>
    <w:p w14:paraId="4B1170D2" w14:textId="77777777" w:rsidR="005F54EB" w:rsidRPr="00FC71BE" w:rsidRDefault="005F54EB" w:rsidP="005F54EB">
      <w:r w:rsidRPr="00FC71BE">
        <w:t>In this thesis, electromagnetic (EM) and thermal performances of modular surface-mounted permanent magnet (SPM) machines have been investigated. The influence of flux gaps has been fully revealed by establishing EM-thermal coupled models. Furthermore, various advanced thermal managements, which fully consider the advantages of flux gaps in cooling designs, have been proposed and investigated for the modular SPM machines. The fluid behaviours for different cooling methods within the investigated modular SPM machine and its non-modular counterpart have been analysed via computational fluid dynamics (CFD) modelling highlighting the benefits of introducing flux gaps in both EM and thermal performances. A comprehensive and detailed conclusion can be drawn based on the findings presented in each chapter.</w:t>
      </w:r>
    </w:p>
    <w:p w14:paraId="77220EB7" w14:textId="77777777" w:rsidR="005F54EB" w:rsidRPr="00FC71BE" w:rsidRDefault="005F54EB" w:rsidP="005F54EB">
      <w:r w:rsidRPr="00FC71BE">
        <w:t>To investigate the influence of flux gaps on the EM performance of modular SPM machines, a genetic algorithm was employed. The optimization process considered the flux gap width as one of the variables, while aiming to globally optimize the modular SPM machine with both 24-slot/28-pole and 24-slot/20-pole configurations. Besides the flux gap width, other variables including stator yoke height, tooth width, flux gap width, split ratio, and rotor yoke thickness were selected for optimization. The objectives include maximizing torque, minimizing torque ripple, reducing copper loss, and minimizing machine mass. The results indicated that introducing flux gap and further increasing flux gap width in machines whose pole number is larger than slot number resulted in improved EM performance. These improvements encompassed an increase in average electromagnetic torque, a reduction in machine mass, lower iron losses, and enhanced efficiency. Conversely, introducing flux gaps in machines whose pole number is smaller than slot number worsened the machine performance, and increasing flux gap width further deteriorated the performance.</w:t>
      </w:r>
    </w:p>
    <w:p w14:paraId="709B67EE" w14:textId="77777777" w:rsidR="005F54EB" w:rsidRPr="00FC71BE" w:rsidRDefault="005F54EB" w:rsidP="005F54EB">
      <w:r w:rsidRPr="00FC71BE">
        <w:t xml:space="preserve">To consider the influence of temperature on machine EM performance, coupled EM-thermal models have been developed based on a combination of the CFD and lumped parameter thermal network (LPTN) model. The coupled models account for the interactions between electromagnetic, fluid dynamics and heat transfer fields within the machines. These models provide a more accurate analysis of dynamic performance of the investigated machines under different operating conditions. They can provide insights into aspects such as the torque-speed </w:t>
      </w:r>
      <w:r w:rsidRPr="00FC71BE">
        <w:lastRenderedPageBreak/>
        <w:t>curve and efficiency map, allowing for a comprehensive understanding of machine behaviour and performance across a range of scenarios. Moreover, the demagnetization characteristics of the machines have been studied using coupled modelling. These studies have revealed that, the stator modularity improves the demagnetization withstand capability of the modular machines. This improvement leads to higher torque, especially under overloading conditions.</w:t>
      </w:r>
    </w:p>
    <w:p w14:paraId="14EF1391" w14:textId="77777777" w:rsidR="005F54EB" w:rsidRPr="00FC71BE" w:rsidRDefault="005F54EB" w:rsidP="005F54EB">
      <w:r w:rsidRPr="00FC71BE">
        <w:t>The impact of flux gaps on machine thermal managements is also clearly demonstrated. Various active cooling technologies were employed in both the investigated modular SPM machine and its non-modular counterpart. The findings from semi-flooded oil cooling and ventilation cooling systems underscore the advantages of introduced flux gaps, which include reduced machine temperature, lowered system flow resistance, enhanced convection coefficient, and increased flow rate. Additionally, the study involves an investigation into the combining flow phenomenon in the modular machines with ventilation cooling systems. It is found that as rotor speed increases, a blocked fluid flow occurs, which can diminish the advantage of flux gaps and result in a limited improvement in reducing flow resistance for the modular machines.</w:t>
      </w:r>
    </w:p>
    <w:p w14:paraId="32CE7020" w14:textId="77777777" w:rsidR="005F54EB" w:rsidRPr="00FC71BE" w:rsidRDefault="005F54EB" w:rsidP="005F54EB">
      <w:r w:rsidRPr="00FC71BE">
        <w:t>Passive cooling technology, specifically ferrofluid cooling, has been utilized in both the modular machine and its non-modular counterpart. To accurately predict the thermomagnetic convection of ferrofluid, 3D multiphysics models were established, considering the strong coupling between EM, fluid dynamics and heat transfer. Ferrofluid takes advantage of the self-circulation induced by magnetic body force, resulting in a significant temperature reduction. The cooling efficiency of ferrofluid cooling proves to be more effective when higher current density is applied. In addition, the influence of physical properties of ferrofluid, such as concentration, saturation magnetization, and Curie temperature, has been compared. It is worth noting that, ferrofluid cooling can achieve high cooling efficiency for both modular and non-modular machines. However, within flux gap regions, the presence of flux gaps slightly worsens the cooling efficiency of ferrofluid.</w:t>
      </w:r>
    </w:p>
    <w:p w14:paraId="4A8CEFAF" w14:textId="5CDC924E" w:rsidR="00E21413" w:rsidRPr="00FC71BE" w:rsidRDefault="00E21413" w:rsidP="005F54EB">
      <w:bookmarkStart w:id="381" w:name="_Hlk148691925"/>
      <w:r w:rsidRPr="00FC71BE">
        <w:t xml:space="preserve">In summary, the </w:t>
      </w:r>
      <w:r w:rsidR="006C4155" w:rsidRPr="00FC71BE">
        <w:t xml:space="preserve">impact of flux gaps on machine’s EM, fluid dynamics, and heat transfer </w:t>
      </w:r>
      <w:r w:rsidR="00D0767C" w:rsidRPr="00FC71BE">
        <w:t>characteristics</w:t>
      </w:r>
      <w:r w:rsidR="006C4155" w:rsidRPr="00FC71BE">
        <w:t xml:space="preserve"> has been </w:t>
      </w:r>
      <w:r w:rsidR="00D0767C" w:rsidRPr="00FC71BE">
        <w:t xml:space="preserve">extensively </w:t>
      </w:r>
      <w:r w:rsidR="00CA337D" w:rsidRPr="00FC71BE">
        <w:t xml:space="preserve">investigated </w:t>
      </w:r>
      <w:r w:rsidR="005F32D1" w:rsidRPr="00FC71BE">
        <w:t>in this thesis</w:t>
      </w:r>
      <w:r w:rsidR="005D2264" w:rsidRPr="00FC71BE">
        <w:t xml:space="preserve">. An </w:t>
      </w:r>
      <w:r w:rsidR="00D0767C" w:rsidRPr="00FC71BE">
        <w:t>optimal</w:t>
      </w:r>
      <w:r w:rsidR="005D2264" w:rsidRPr="00FC71BE">
        <w:t xml:space="preserve"> flux gap width </w:t>
      </w:r>
      <w:r w:rsidR="007B2DBB" w:rsidRPr="00FC71BE">
        <w:t>of approximately</w:t>
      </w:r>
      <w:r w:rsidR="00AC4098" w:rsidRPr="00FC71BE">
        <w:t xml:space="preserve"> 10mm </w:t>
      </w:r>
      <w:r w:rsidR="007B2DBB" w:rsidRPr="00FC71BE">
        <w:t xml:space="preserve">has been identified as the key to achieving the </w:t>
      </w:r>
      <w:r w:rsidR="00AC4098" w:rsidRPr="00FC71BE">
        <w:t>highest torque and power density</w:t>
      </w:r>
      <w:r w:rsidR="00FD6AB0" w:rsidRPr="00FC71BE">
        <w:t xml:space="preserve">, </w:t>
      </w:r>
      <w:r w:rsidR="007B2DBB" w:rsidRPr="00FC71BE">
        <w:t>along with an effective</w:t>
      </w:r>
      <w:r w:rsidR="00FD6AB0" w:rsidRPr="00FC71BE">
        <w:t xml:space="preserve"> cooling </w:t>
      </w:r>
      <w:r w:rsidR="00497A28" w:rsidRPr="00FC71BE">
        <w:t>performance</w:t>
      </w:r>
      <w:r w:rsidR="00513332" w:rsidRPr="00FC71BE">
        <w:t xml:space="preserve"> for different cooling methods. </w:t>
      </w:r>
      <w:r w:rsidR="00EE7316" w:rsidRPr="00FC71BE">
        <w:t>Expanding</w:t>
      </w:r>
      <w:r w:rsidR="00513332" w:rsidRPr="00FC71BE">
        <w:t xml:space="preserve"> </w:t>
      </w:r>
      <w:r w:rsidR="00EE7316" w:rsidRPr="00FC71BE">
        <w:t>the</w:t>
      </w:r>
      <w:r w:rsidR="00513332" w:rsidRPr="00FC71BE">
        <w:t xml:space="preserve"> flux gap width</w:t>
      </w:r>
      <w:r w:rsidR="00EE7316" w:rsidRPr="00FC71BE">
        <w:t xml:space="preserve"> beyond this optimal range</w:t>
      </w:r>
      <w:r w:rsidR="00513332" w:rsidRPr="00FC71BE">
        <w:t xml:space="preserve"> results </w:t>
      </w:r>
      <w:r w:rsidR="00CA337D" w:rsidRPr="00FC71BE">
        <w:t>in</w:t>
      </w:r>
      <w:r w:rsidR="00513332" w:rsidRPr="00FC71BE">
        <w:t xml:space="preserve"> </w:t>
      </w:r>
      <w:r w:rsidR="002D7504" w:rsidRPr="00FC71BE">
        <w:t xml:space="preserve">a reduction in </w:t>
      </w:r>
      <w:r w:rsidR="00513332" w:rsidRPr="00FC71BE">
        <w:t>torque</w:t>
      </w:r>
      <w:r w:rsidR="00515E4C" w:rsidRPr="00FC71BE">
        <w:t xml:space="preserve"> and power density, </w:t>
      </w:r>
      <w:r w:rsidR="00515E4C" w:rsidRPr="00FC71BE">
        <w:lastRenderedPageBreak/>
        <w:t xml:space="preserve">while </w:t>
      </w:r>
      <w:r w:rsidR="002D7504" w:rsidRPr="00FC71BE">
        <w:t>providing only marginal improvements in</w:t>
      </w:r>
      <w:r w:rsidR="00515E4C" w:rsidRPr="00FC71BE">
        <w:t xml:space="preserve"> cooling efficiency, such as </w:t>
      </w:r>
      <w:r w:rsidR="002D7504" w:rsidRPr="00FC71BE">
        <w:t>reduced</w:t>
      </w:r>
      <w:r w:rsidR="001C607F" w:rsidRPr="00FC71BE">
        <w:t xml:space="preserve"> flow resistance and insufficient </w:t>
      </w:r>
      <w:r w:rsidR="00561B91" w:rsidRPr="00FC71BE">
        <w:t>temperature reduction of the investigated machines</w:t>
      </w:r>
      <w:r w:rsidR="00E66367" w:rsidRPr="00FC71BE">
        <w:t>.</w:t>
      </w:r>
    </w:p>
    <w:p w14:paraId="34B05C49" w14:textId="77777777" w:rsidR="005F54EB" w:rsidRPr="00FC71BE" w:rsidRDefault="005F54EB" w:rsidP="00B86C68">
      <w:pPr>
        <w:pStyle w:val="Heading2"/>
        <w:numPr>
          <w:ilvl w:val="1"/>
          <w:numId w:val="49"/>
        </w:numPr>
      </w:pPr>
      <w:bookmarkStart w:id="382" w:name="_Toc157695409"/>
      <w:bookmarkEnd w:id="381"/>
      <w:r w:rsidRPr="00FC71BE">
        <w:t>Future Work</w:t>
      </w:r>
      <w:bookmarkEnd w:id="382"/>
    </w:p>
    <w:p w14:paraId="6CD11C22" w14:textId="77777777" w:rsidR="005F54EB" w:rsidRPr="00FC71BE" w:rsidRDefault="005F54EB" w:rsidP="005F54EB">
      <w:r w:rsidRPr="00FC71BE">
        <w:t>The research undertaken in this thesis has made significant contribution to understanding modular SPM machines. However, for completeness and further expanding our knowledge in this field, some potential work could be explored. They include:</w:t>
      </w:r>
    </w:p>
    <w:p w14:paraId="2D31265C" w14:textId="238FAF6E" w:rsidR="005F54EB" w:rsidRPr="00FC71BE" w:rsidRDefault="00490C75" w:rsidP="00AF4190">
      <w:pPr>
        <w:pStyle w:val="ListParagraph"/>
        <w:numPr>
          <w:ilvl w:val="0"/>
          <w:numId w:val="34"/>
        </w:numPr>
        <w:ind w:left="357" w:hanging="357"/>
      </w:pPr>
      <w:r w:rsidRPr="00FC71BE">
        <w:rPr>
          <w:b/>
          <w:bCs/>
        </w:rPr>
        <w:t>Design of flux gap</w:t>
      </w:r>
      <w:r w:rsidR="001D1B80" w:rsidRPr="00FC71BE">
        <w:rPr>
          <w:b/>
          <w:bCs/>
        </w:rPr>
        <w:t>s</w:t>
      </w:r>
      <w:r w:rsidR="005F54EB" w:rsidRPr="00FC71BE">
        <w:t xml:space="preserve">: Investigate the </w:t>
      </w:r>
      <w:r w:rsidRPr="00FC71BE">
        <w:t>different topologies of flux gap</w:t>
      </w:r>
      <w:r w:rsidR="00BF32DA" w:rsidRPr="00FC71BE">
        <w:t>s</w:t>
      </w:r>
      <w:r w:rsidRPr="00FC71BE">
        <w:t xml:space="preserve"> to create turbulent flow for forced cooling systems</w:t>
      </w:r>
      <w:r w:rsidR="005F54EB" w:rsidRPr="00FC71BE">
        <w:t>.</w:t>
      </w:r>
      <w:r w:rsidRPr="00FC71BE">
        <w:t xml:space="preserve"> It is expected to enhance the cooling efficiency of cooling system.</w:t>
      </w:r>
    </w:p>
    <w:p w14:paraId="11AF5EED" w14:textId="77777777" w:rsidR="005F54EB" w:rsidRPr="00FC71BE" w:rsidRDefault="005F54EB" w:rsidP="00AF4190">
      <w:pPr>
        <w:pStyle w:val="ListParagraph"/>
        <w:numPr>
          <w:ilvl w:val="0"/>
          <w:numId w:val="34"/>
        </w:numPr>
        <w:ind w:left="357" w:hanging="357"/>
      </w:pPr>
      <w:r w:rsidRPr="00FC71BE">
        <w:rPr>
          <w:b/>
          <w:bCs/>
        </w:rPr>
        <w:t>Winding configurations and ferrofluid cooling</w:t>
      </w:r>
      <w:r w:rsidRPr="00FC71BE">
        <w:t>: Investigate the influence of different winding configurations, such as distributed windings, on the cooling efficiency of ferrofluid cooling technology. This study help understand the ferrofluid in various winding arrangements.</w:t>
      </w:r>
    </w:p>
    <w:p w14:paraId="21719BDE" w14:textId="42CFFBC3" w:rsidR="005F54EB" w:rsidRPr="00FC71BE" w:rsidRDefault="00490C75" w:rsidP="00AF4190">
      <w:pPr>
        <w:pStyle w:val="ListParagraph"/>
        <w:numPr>
          <w:ilvl w:val="0"/>
          <w:numId w:val="34"/>
        </w:numPr>
        <w:ind w:left="357" w:hanging="357"/>
      </w:pPr>
      <w:r w:rsidRPr="00FC71BE">
        <w:rPr>
          <w:b/>
          <w:bCs/>
        </w:rPr>
        <w:t>Design of external magnet</w:t>
      </w:r>
      <w:r w:rsidR="00BF32DA" w:rsidRPr="00FC71BE">
        <w:rPr>
          <w:b/>
          <w:bCs/>
        </w:rPr>
        <w:t>s</w:t>
      </w:r>
      <w:r w:rsidRPr="00FC71BE">
        <w:rPr>
          <w:b/>
          <w:bCs/>
        </w:rPr>
        <w:t xml:space="preserve"> for fer</w:t>
      </w:r>
      <w:r w:rsidR="00A1323A" w:rsidRPr="00FC71BE">
        <w:rPr>
          <w:b/>
          <w:bCs/>
        </w:rPr>
        <w:t>rofluid cooling:</w:t>
      </w:r>
      <w:r w:rsidR="00A1323A" w:rsidRPr="00FC71BE">
        <w:t xml:space="preserve"> Introducing magnet around the machine housing. Guiding the flow of ferrofluid to enhance the cooling efficiency of ferrofluid cooling</w:t>
      </w:r>
      <w:r w:rsidR="00344316" w:rsidRPr="00FC71BE">
        <w:t>.</w:t>
      </w:r>
    </w:p>
    <w:p w14:paraId="1E75670C" w14:textId="77777777" w:rsidR="005F54EB" w:rsidRPr="00FC71BE" w:rsidRDefault="005F54EB" w:rsidP="005F54EB">
      <w:r w:rsidRPr="00FC71BE">
        <w:t>The potential future work directions can delve deeper into the refinement of machine designs and optimization strategies, with a particular emphasis on the stator modularity. Moreover, it is worth exploring advanced thermal management techniques tailored to these machine configurations.</w:t>
      </w:r>
    </w:p>
    <w:p w14:paraId="0D83ADF0" w14:textId="77777777" w:rsidR="003C7BE7" w:rsidRPr="00FC71BE" w:rsidRDefault="003C7BE7" w:rsidP="0045562B">
      <w:pPr>
        <w:pStyle w:val="Reference1"/>
        <w:sectPr w:rsidR="003C7BE7" w:rsidRPr="00FC71BE" w:rsidSect="00230564">
          <w:pgSz w:w="11906" w:h="16838"/>
          <w:pgMar w:top="1440" w:right="1440" w:bottom="1440" w:left="1440" w:header="708" w:footer="708" w:gutter="0"/>
          <w:cols w:space="708"/>
          <w:docGrid w:linePitch="360"/>
        </w:sectPr>
      </w:pPr>
    </w:p>
    <w:p w14:paraId="6FE2CA2A" w14:textId="676A3693" w:rsidR="003F1EA9" w:rsidRPr="00FC71BE" w:rsidRDefault="0000133B" w:rsidP="00DA6AFF">
      <w:pPr>
        <w:pStyle w:val="Heading1"/>
        <w:rPr>
          <w:color w:val="auto"/>
        </w:rPr>
      </w:pPr>
      <w:bookmarkStart w:id="383" w:name="_Toc157695410"/>
      <w:r w:rsidRPr="00FC71BE">
        <w:rPr>
          <w:color w:val="auto"/>
        </w:rPr>
        <w:lastRenderedPageBreak/>
        <w:t>Reference</w:t>
      </w:r>
      <w:bookmarkEnd w:id="383"/>
    </w:p>
    <w:p w14:paraId="15F88BD8" w14:textId="77777777" w:rsidR="00304D60" w:rsidRPr="00FC71BE" w:rsidRDefault="0000133B" w:rsidP="003115A5">
      <w:pPr>
        <w:pStyle w:val="Reference"/>
        <w:rPr>
          <w:noProof w:val="0"/>
        </w:rPr>
      </w:pPr>
      <w:r w:rsidRPr="00FC71BE">
        <w:rPr>
          <w:noProof w:val="0"/>
        </w:rPr>
        <w:fldChar w:fldCharType="begin"/>
      </w:r>
      <w:r w:rsidRPr="00FC71BE">
        <w:rPr>
          <w:noProof w:val="0"/>
        </w:rPr>
        <w:instrText xml:space="preserve"> ADDIN EN.REFLIST </w:instrText>
      </w:r>
      <w:r w:rsidRPr="00FC71BE">
        <w:rPr>
          <w:noProof w:val="0"/>
        </w:rPr>
        <w:fldChar w:fldCharType="separate"/>
      </w:r>
      <w:r w:rsidR="00304D60" w:rsidRPr="00FC71BE">
        <w:rPr>
          <w:noProof w:val="0"/>
        </w:rPr>
        <w:t>[1]</w:t>
      </w:r>
      <w:r w:rsidR="00304D60" w:rsidRPr="00FC71BE">
        <w:rPr>
          <w:noProof w:val="0"/>
        </w:rPr>
        <w:tab/>
        <w:t xml:space="preserve">Z. Q. Zhu and D. Howe, "Electrical machines and drives for electric, hybrid, and fuel cell vehicles," </w:t>
      </w:r>
      <w:r w:rsidR="00304D60" w:rsidRPr="00FC71BE">
        <w:rPr>
          <w:i/>
          <w:noProof w:val="0"/>
        </w:rPr>
        <w:t xml:space="preserve">Proceedings of the IEEE, </w:t>
      </w:r>
      <w:r w:rsidR="00304D60" w:rsidRPr="00FC71BE">
        <w:rPr>
          <w:noProof w:val="0"/>
        </w:rPr>
        <w:t>vol. 95, no. 4, pp. 746-765, 2007.</w:t>
      </w:r>
    </w:p>
    <w:p w14:paraId="22EDD6A5" w14:textId="77777777" w:rsidR="00304D60" w:rsidRPr="00FC71BE" w:rsidRDefault="00304D60" w:rsidP="003115A5">
      <w:pPr>
        <w:pStyle w:val="Reference"/>
        <w:rPr>
          <w:noProof w:val="0"/>
        </w:rPr>
      </w:pPr>
      <w:r w:rsidRPr="00FC71BE">
        <w:rPr>
          <w:noProof w:val="0"/>
        </w:rPr>
        <w:t>[2]</w:t>
      </w:r>
      <w:r w:rsidRPr="00FC71BE">
        <w:rPr>
          <w:noProof w:val="0"/>
        </w:rPr>
        <w:tab/>
        <w:t xml:space="preserve">D. Gerling, </w:t>
      </w:r>
      <w:r w:rsidRPr="00FC71BE">
        <w:rPr>
          <w:i/>
          <w:noProof w:val="0"/>
        </w:rPr>
        <w:t>Electrical Machines</w:t>
      </w:r>
      <w:r w:rsidRPr="00FC71BE">
        <w:rPr>
          <w:noProof w:val="0"/>
        </w:rPr>
        <w:t>. Springer, 2016.</w:t>
      </w:r>
    </w:p>
    <w:p w14:paraId="051CCF1C" w14:textId="77777777" w:rsidR="00304D60" w:rsidRPr="00FC71BE" w:rsidRDefault="00304D60" w:rsidP="003115A5">
      <w:pPr>
        <w:pStyle w:val="Reference"/>
        <w:rPr>
          <w:noProof w:val="0"/>
        </w:rPr>
      </w:pPr>
      <w:r w:rsidRPr="00FC71BE">
        <w:rPr>
          <w:noProof w:val="0"/>
        </w:rPr>
        <w:t>[3]</w:t>
      </w:r>
      <w:r w:rsidRPr="00FC71BE">
        <w:rPr>
          <w:noProof w:val="0"/>
        </w:rPr>
        <w:tab/>
        <w:t xml:space="preserve">D. Staton, E. Chong, S. Pickering, and A. Boglietti, </w:t>
      </w:r>
      <w:r w:rsidRPr="00FC71BE">
        <w:rPr>
          <w:i/>
          <w:noProof w:val="0"/>
        </w:rPr>
        <w:t>Cooling of Rotating Electrical Machines: Fundamentals, Modelling, Testing and Design</w:t>
      </w:r>
      <w:r w:rsidRPr="00FC71BE">
        <w:rPr>
          <w:noProof w:val="0"/>
        </w:rPr>
        <w:t>. IET, 2022.</w:t>
      </w:r>
    </w:p>
    <w:p w14:paraId="49643540" w14:textId="77777777" w:rsidR="00304D60" w:rsidRPr="00FC71BE" w:rsidRDefault="00304D60" w:rsidP="003115A5">
      <w:pPr>
        <w:pStyle w:val="Reference"/>
        <w:rPr>
          <w:noProof w:val="0"/>
        </w:rPr>
      </w:pPr>
      <w:r w:rsidRPr="00FC71BE">
        <w:rPr>
          <w:noProof w:val="0"/>
        </w:rPr>
        <w:t>[4]</w:t>
      </w:r>
      <w:r w:rsidRPr="00FC71BE">
        <w:rPr>
          <w:noProof w:val="0"/>
        </w:rPr>
        <w:tab/>
        <w:t xml:space="preserve">P. H. Mellor, D. Roberts, and D. Turner, "Lumped parameter thermal model for electrical machines of TEFC design," in </w:t>
      </w:r>
      <w:r w:rsidRPr="00FC71BE">
        <w:rPr>
          <w:i/>
          <w:noProof w:val="0"/>
        </w:rPr>
        <w:t>IEE Proceedings B (Electric Power Applications)</w:t>
      </w:r>
      <w:r w:rsidRPr="00FC71BE">
        <w:rPr>
          <w:noProof w:val="0"/>
        </w:rPr>
        <w:t xml:space="preserve">, 1991, vol. 138, no. 5: IET, pp. 205-218. </w:t>
      </w:r>
    </w:p>
    <w:p w14:paraId="5A918F1F" w14:textId="77777777" w:rsidR="00304D60" w:rsidRPr="00FC71BE" w:rsidRDefault="00304D60" w:rsidP="003115A5">
      <w:pPr>
        <w:pStyle w:val="Reference"/>
        <w:rPr>
          <w:noProof w:val="0"/>
        </w:rPr>
      </w:pPr>
      <w:r w:rsidRPr="00FC71BE">
        <w:rPr>
          <w:noProof w:val="0"/>
        </w:rPr>
        <w:t>[5]</w:t>
      </w:r>
      <w:r w:rsidRPr="00FC71BE">
        <w:rPr>
          <w:noProof w:val="0"/>
        </w:rPr>
        <w:tab/>
        <w:t xml:space="preserve">D. Gerling and G. Dajaku, "Novel lumped-parameter thermal model for electrical systems," in </w:t>
      </w:r>
      <w:r w:rsidRPr="00FC71BE">
        <w:rPr>
          <w:i/>
          <w:noProof w:val="0"/>
        </w:rPr>
        <w:t>2005 European Conference on Power Electronics and Applications</w:t>
      </w:r>
      <w:r w:rsidRPr="00FC71BE">
        <w:rPr>
          <w:noProof w:val="0"/>
        </w:rPr>
        <w:t xml:space="preserve">, 2005: IEEE, pp. 10 pp.-P. 10. </w:t>
      </w:r>
    </w:p>
    <w:p w14:paraId="4DDFD895" w14:textId="77777777" w:rsidR="00304D60" w:rsidRPr="00FC71BE" w:rsidRDefault="00304D60" w:rsidP="003115A5">
      <w:pPr>
        <w:pStyle w:val="Reference"/>
        <w:rPr>
          <w:noProof w:val="0"/>
        </w:rPr>
      </w:pPr>
      <w:r w:rsidRPr="00FC71BE">
        <w:rPr>
          <w:noProof w:val="0"/>
        </w:rPr>
        <w:t>[6]</w:t>
      </w:r>
      <w:r w:rsidRPr="00FC71BE">
        <w:rPr>
          <w:noProof w:val="0"/>
        </w:rPr>
        <w:tab/>
        <w:t xml:space="preserve">M. Aydin, S. Huang, and T. A. Lipo, "Axial flux permanent magnet disc machines: A review," in </w:t>
      </w:r>
      <w:r w:rsidRPr="00FC71BE">
        <w:rPr>
          <w:i/>
          <w:noProof w:val="0"/>
        </w:rPr>
        <w:t>Conf. Record of SPEEDAM</w:t>
      </w:r>
      <w:r w:rsidRPr="00FC71BE">
        <w:rPr>
          <w:noProof w:val="0"/>
        </w:rPr>
        <w:t xml:space="preserve">, 2004, vol. 8, pp. 61-71. </w:t>
      </w:r>
    </w:p>
    <w:p w14:paraId="493D7247" w14:textId="77777777" w:rsidR="00304D60" w:rsidRPr="00FC71BE" w:rsidRDefault="00304D60" w:rsidP="003115A5">
      <w:pPr>
        <w:pStyle w:val="Reference"/>
        <w:rPr>
          <w:noProof w:val="0"/>
        </w:rPr>
      </w:pPr>
      <w:r w:rsidRPr="00FC71BE">
        <w:rPr>
          <w:noProof w:val="0"/>
        </w:rPr>
        <w:t>[7]</w:t>
      </w:r>
      <w:r w:rsidRPr="00FC71BE">
        <w:rPr>
          <w:noProof w:val="0"/>
        </w:rPr>
        <w:tab/>
        <w:t xml:space="preserve">T. He, Z. Zhu, F. Eastham, Y. Wang, H. Bin, D. Wu, L. Gong, and J. Chen, "Permanent magnet machines for high-speed applications," </w:t>
      </w:r>
      <w:r w:rsidRPr="00FC71BE">
        <w:rPr>
          <w:i/>
          <w:noProof w:val="0"/>
        </w:rPr>
        <w:t xml:space="preserve">World Electric Vehicle Journal, </w:t>
      </w:r>
      <w:r w:rsidRPr="00FC71BE">
        <w:rPr>
          <w:noProof w:val="0"/>
        </w:rPr>
        <w:t>vol. 13, no. 1, p. 18, 2022.</w:t>
      </w:r>
    </w:p>
    <w:p w14:paraId="06D62478" w14:textId="77777777" w:rsidR="00304D60" w:rsidRPr="00FC71BE" w:rsidRDefault="00304D60" w:rsidP="003115A5">
      <w:pPr>
        <w:pStyle w:val="Reference"/>
        <w:rPr>
          <w:noProof w:val="0"/>
        </w:rPr>
      </w:pPr>
      <w:r w:rsidRPr="00FC71BE">
        <w:rPr>
          <w:noProof w:val="0"/>
        </w:rPr>
        <w:t>[8]</w:t>
      </w:r>
      <w:r w:rsidRPr="00FC71BE">
        <w:rPr>
          <w:noProof w:val="0"/>
        </w:rPr>
        <w:tab/>
        <w:t xml:space="preserve">S. Morimoto, "Trend of permanent magnet synchronous machines," </w:t>
      </w:r>
      <w:r w:rsidRPr="00FC71BE">
        <w:rPr>
          <w:i/>
          <w:noProof w:val="0"/>
        </w:rPr>
        <w:t xml:space="preserve">IEEJ Transactions on Electrical and Electronic Engineering, </w:t>
      </w:r>
      <w:r w:rsidRPr="00FC71BE">
        <w:rPr>
          <w:noProof w:val="0"/>
        </w:rPr>
        <w:t>vol. 2, no. 2, pp. 101-108, 2007.</w:t>
      </w:r>
    </w:p>
    <w:p w14:paraId="53DA32BF" w14:textId="77777777" w:rsidR="00304D60" w:rsidRPr="00FC71BE" w:rsidRDefault="00304D60" w:rsidP="003115A5">
      <w:pPr>
        <w:pStyle w:val="Reference"/>
        <w:rPr>
          <w:noProof w:val="0"/>
        </w:rPr>
      </w:pPr>
      <w:r w:rsidRPr="00FC71BE">
        <w:rPr>
          <w:noProof w:val="0"/>
        </w:rPr>
        <w:t>[9]</w:t>
      </w:r>
      <w:r w:rsidRPr="00FC71BE">
        <w:rPr>
          <w:noProof w:val="0"/>
        </w:rPr>
        <w:tab/>
        <w:t xml:space="preserve">A. Vagati, G. Pellegrino, and P. Guglielmi, "Comparison between SPM and IPM motor drives for EV application," in </w:t>
      </w:r>
      <w:r w:rsidRPr="00FC71BE">
        <w:rPr>
          <w:i/>
          <w:noProof w:val="0"/>
        </w:rPr>
        <w:t>The XIX International Conference on Electrical Machines-ICEM 2010</w:t>
      </w:r>
      <w:r w:rsidRPr="00FC71BE">
        <w:rPr>
          <w:noProof w:val="0"/>
        </w:rPr>
        <w:t xml:space="preserve">, 2010: IEEE, pp. 1-6. </w:t>
      </w:r>
    </w:p>
    <w:p w14:paraId="1067B164" w14:textId="77777777" w:rsidR="00304D60" w:rsidRPr="00FC71BE" w:rsidRDefault="00304D60" w:rsidP="003115A5">
      <w:pPr>
        <w:pStyle w:val="Reference"/>
        <w:rPr>
          <w:noProof w:val="0"/>
        </w:rPr>
      </w:pPr>
      <w:r w:rsidRPr="00FC71BE">
        <w:rPr>
          <w:noProof w:val="0"/>
        </w:rPr>
        <w:t>[10]</w:t>
      </w:r>
      <w:r w:rsidRPr="00FC71BE">
        <w:rPr>
          <w:noProof w:val="0"/>
        </w:rPr>
        <w:tab/>
        <w:t xml:space="preserve">P. B. Reddy, A. M. El-Refaie, K.-K. Huh, J. K. Tangudu, and T. M. Jahns, "Comparison of interior and surface PM machines equipped with fractional-slot concentrated windings for hybrid traction applications," </w:t>
      </w:r>
      <w:r w:rsidRPr="00FC71BE">
        <w:rPr>
          <w:i/>
          <w:noProof w:val="0"/>
        </w:rPr>
        <w:t xml:space="preserve">IEEE Transactions on Energy Conversion, </w:t>
      </w:r>
      <w:r w:rsidRPr="00FC71BE">
        <w:rPr>
          <w:noProof w:val="0"/>
        </w:rPr>
        <w:t>vol. 27, no. 3, pp. 593-602, 2012.</w:t>
      </w:r>
    </w:p>
    <w:p w14:paraId="1EFB6C5C" w14:textId="77777777" w:rsidR="00304D60" w:rsidRPr="00FC71BE" w:rsidRDefault="00304D60" w:rsidP="003115A5">
      <w:pPr>
        <w:pStyle w:val="Reference"/>
        <w:rPr>
          <w:noProof w:val="0"/>
        </w:rPr>
      </w:pPr>
      <w:r w:rsidRPr="00FC71BE">
        <w:rPr>
          <w:noProof w:val="0"/>
        </w:rPr>
        <w:t>[11]</w:t>
      </w:r>
      <w:r w:rsidRPr="00FC71BE">
        <w:rPr>
          <w:noProof w:val="0"/>
        </w:rPr>
        <w:tab/>
        <w:t xml:space="preserve">G. Pellegrino, A. Vagati, P. Guglielmi, and B. Boazzo, "Performance comparison between surface-mounted and interior PM motor drives for electric vehicle application," </w:t>
      </w:r>
      <w:r w:rsidRPr="00FC71BE">
        <w:rPr>
          <w:i/>
          <w:noProof w:val="0"/>
        </w:rPr>
        <w:t xml:space="preserve">IEEE Transactions on Industrial Electronics, </w:t>
      </w:r>
      <w:r w:rsidRPr="00FC71BE">
        <w:rPr>
          <w:noProof w:val="0"/>
        </w:rPr>
        <w:t>vol. 59, no. 2, pp. 803-811, 2011.</w:t>
      </w:r>
    </w:p>
    <w:p w14:paraId="0F6AEC9E" w14:textId="77777777" w:rsidR="00304D60" w:rsidRPr="00FC71BE" w:rsidRDefault="00304D60" w:rsidP="003115A5">
      <w:pPr>
        <w:pStyle w:val="Reference"/>
        <w:rPr>
          <w:noProof w:val="0"/>
        </w:rPr>
      </w:pPr>
      <w:r w:rsidRPr="00FC71BE">
        <w:rPr>
          <w:noProof w:val="0"/>
        </w:rPr>
        <w:t>[12]</w:t>
      </w:r>
      <w:r w:rsidRPr="00FC71BE">
        <w:rPr>
          <w:noProof w:val="0"/>
        </w:rPr>
        <w:tab/>
        <w:t xml:space="preserve">T. J. Kim, S. M. Hwang, K. T. Kim, W. B. Jung, and C. U. Kim, "Comparison of dynamic responses for IPM and SPM motors by considering mechanical and magnetic coupling," </w:t>
      </w:r>
      <w:r w:rsidRPr="00FC71BE">
        <w:rPr>
          <w:i/>
          <w:noProof w:val="0"/>
        </w:rPr>
        <w:t xml:space="preserve">IEEE Transactions on Magnetics, </w:t>
      </w:r>
      <w:r w:rsidRPr="00FC71BE">
        <w:rPr>
          <w:noProof w:val="0"/>
        </w:rPr>
        <w:t>vol. 37, no. 4, pp. 2818-2820, 2001.</w:t>
      </w:r>
    </w:p>
    <w:p w14:paraId="4866F130" w14:textId="77777777" w:rsidR="00304D60" w:rsidRPr="00FC71BE" w:rsidRDefault="00304D60" w:rsidP="003115A5">
      <w:pPr>
        <w:pStyle w:val="Reference"/>
        <w:rPr>
          <w:noProof w:val="0"/>
        </w:rPr>
      </w:pPr>
      <w:r w:rsidRPr="00FC71BE">
        <w:rPr>
          <w:noProof w:val="0"/>
        </w:rPr>
        <w:t>[13]</w:t>
      </w:r>
      <w:r w:rsidRPr="00FC71BE">
        <w:rPr>
          <w:noProof w:val="0"/>
        </w:rPr>
        <w:tab/>
        <w:t xml:space="preserve">A. Damiano, A. Floris, G. Fois, M. Porru, and A. Serpi, "Modelling and design of PM retention sleeves for High-Speed PM Synchronous Machines," in </w:t>
      </w:r>
      <w:r w:rsidRPr="00FC71BE">
        <w:rPr>
          <w:i/>
          <w:noProof w:val="0"/>
        </w:rPr>
        <w:t>2016 6th International Electric Drives Production Conference (EDPC)</w:t>
      </w:r>
      <w:r w:rsidRPr="00FC71BE">
        <w:rPr>
          <w:noProof w:val="0"/>
        </w:rPr>
        <w:t xml:space="preserve">, 2016: IEEE, pp. 118-125. </w:t>
      </w:r>
    </w:p>
    <w:p w14:paraId="0F0929B5" w14:textId="77777777" w:rsidR="00304D60" w:rsidRPr="00FC71BE" w:rsidRDefault="00304D60" w:rsidP="003115A5">
      <w:pPr>
        <w:pStyle w:val="Reference"/>
        <w:rPr>
          <w:noProof w:val="0"/>
        </w:rPr>
      </w:pPr>
      <w:r w:rsidRPr="00FC71BE">
        <w:rPr>
          <w:noProof w:val="0"/>
        </w:rPr>
        <w:t>[14]</w:t>
      </w:r>
      <w:r w:rsidRPr="00FC71BE">
        <w:rPr>
          <w:noProof w:val="0"/>
        </w:rPr>
        <w:tab/>
        <w:t xml:space="preserve">M. Fakam, D. Verbeke, M. Hecquet, V. Lanfranchi, P. Brochet, and A. Randria, "Electromagnetic noise comparaison between’SPM’and’IPM’concentrated winding </w:t>
      </w:r>
      <w:r w:rsidRPr="00FC71BE">
        <w:rPr>
          <w:noProof w:val="0"/>
        </w:rPr>
        <w:lastRenderedPageBreak/>
        <w:t xml:space="preserve">synchronous machine," in </w:t>
      </w:r>
      <w:r w:rsidRPr="00FC71BE">
        <w:rPr>
          <w:i/>
          <w:noProof w:val="0"/>
        </w:rPr>
        <w:t>XV International Symposium on Electromagnetic Fields in Mechatronics, Electrical and Electronic Engineering</w:t>
      </w:r>
      <w:r w:rsidRPr="00FC71BE">
        <w:rPr>
          <w:noProof w:val="0"/>
        </w:rPr>
        <w:t xml:space="preserve">, 2011. </w:t>
      </w:r>
    </w:p>
    <w:p w14:paraId="0DD09905" w14:textId="77777777" w:rsidR="00304D60" w:rsidRPr="00FC71BE" w:rsidRDefault="00304D60" w:rsidP="003115A5">
      <w:pPr>
        <w:pStyle w:val="Reference"/>
        <w:rPr>
          <w:noProof w:val="0"/>
        </w:rPr>
      </w:pPr>
      <w:r w:rsidRPr="00FC71BE">
        <w:rPr>
          <w:noProof w:val="0"/>
        </w:rPr>
        <w:t>[15]</w:t>
      </w:r>
      <w:r w:rsidRPr="00FC71BE">
        <w:rPr>
          <w:noProof w:val="0"/>
        </w:rPr>
        <w:tab/>
        <w:t xml:space="preserve">N. Zhao, N. Schofield, and Y. Hu, "Phase voltage distortion of IPM and SPM machines with distributed windings in field weakening region," </w:t>
      </w:r>
      <w:r w:rsidRPr="00FC71BE">
        <w:rPr>
          <w:i/>
          <w:noProof w:val="0"/>
        </w:rPr>
        <w:t xml:space="preserve">The Journal of Engineering, </w:t>
      </w:r>
      <w:r w:rsidRPr="00FC71BE">
        <w:rPr>
          <w:noProof w:val="0"/>
        </w:rPr>
        <w:t>vol. 2019, no. 17, pp. 3872-3877, 2019.</w:t>
      </w:r>
    </w:p>
    <w:p w14:paraId="2F7DDCB3" w14:textId="77777777" w:rsidR="00304D60" w:rsidRPr="00FC71BE" w:rsidRDefault="00304D60" w:rsidP="003115A5">
      <w:pPr>
        <w:pStyle w:val="Reference"/>
        <w:rPr>
          <w:noProof w:val="0"/>
        </w:rPr>
      </w:pPr>
      <w:r w:rsidRPr="00FC71BE">
        <w:rPr>
          <w:noProof w:val="0"/>
        </w:rPr>
        <w:t>[16]</w:t>
      </w:r>
      <w:r w:rsidRPr="00FC71BE">
        <w:rPr>
          <w:noProof w:val="0"/>
        </w:rPr>
        <w:tab/>
        <w:t xml:space="preserve">H. Chen, R. Qu, J. Li, and B. Zhao, "Comparison of interior and surface permanent magnet machines with fractional slot concentrated windings for direct-drive wind generators," in </w:t>
      </w:r>
      <w:r w:rsidRPr="00FC71BE">
        <w:rPr>
          <w:i/>
          <w:noProof w:val="0"/>
        </w:rPr>
        <w:t>2014 17th International Conference on Electrical Machines and Systems (ICEMS)</w:t>
      </w:r>
      <w:r w:rsidRPr="00FC71BE">
        <w:rPr>
          <w:noProof w:val="0"/>
        </w:rPr>
        <w:t xml:space="preserve">, 2014: IEEE, pp. 2612-2617. </w:t>
      </w:r>
    </w:p>
    <w:p w14:paraId="32804F4D" w14:textId="77777777" w:rsidR="00304D60" w:rsidRPr="00FC71BE" w:rsidRDefault="00304D60" w:rsidP="003115A5">
      <w:pPr>
        <w:pStyle w:val="Reference"/>
        <w:rPr>
          <w:noProof w:val="0"/>
        </w:rPr>
      </w:pPr>
      <w:r w:rsidRPr="00FC71BE">
        <w:rPr>
          <w:noProof w:val="0"/>
        </w:rPr>
        <w:t>[17]</w:t>
      </w:r>
      <w:r w:rsidRPr="00FC71BE">
        <w:rPr>
          <w:noProof w:val="0"/>
        </w:rPr>
        <w:tab/>
        <w:t xml:space="preserve">R. Dutta and M. Rahman, "Design and analysis of an interior permanent magnet (IPM) machine with very wide constant power operation range," </w:t>
      </w:r>
      <w:r w:rsidRPr="00FC71BE">
        <w:rPr>
          <w:i/>
          <w:noProof w:val="0"/>
        </w:rPr>
        <w:t xml:space="preserve">IEEE Transactions on Energy Conversion, </w:t>
      </w:r>
      <w:r w:rsidRPr="00FC71BE">
        <w:rPr>
          <w:noProof w:val="0"/>
        </w:rPr>
        <w:t>vol. 23, no. 1, pp. 25-33, 2008.</w:t>
      </w:r>
    </w:p>
    <w:p w14:paraId="6FE3E6EB" w14:textId="77777777" w:rsidR="00304D60" w:rsidRPr="00FC71BE" w:rsidRDefault="00304D60" w:rsidP="003115A5">
      <w:pPr>
        <w:pStyle w:val="Reference"/>
        <w:rPr>
          <w:noProof w:val="0"/>
        </w:rPr>
      </w:pPr>
      <w:r w:rsidRPr="00FC71BE">
        <w:rPr>
          <w:noProof w:val="0"/>
        </w:rPr>
        <w:t>[18]</w:t>
      </w:r>
      <w:r w:rsidRPr="00FC71BE">
        <w:rPr>
          <w:noProof w:val="0"/>
        </w:rPr>
        <w:tab/>
        <w:t xml:space="preserve">E. Agamloh, A. Von Jouanne, and A. Yokochi, "An overview of electric machine trends in modern electric vehicles," </w:t>
      </w:r>
      <w:r w:rsidRPr="00FC71BE">
        <w:rPr>
          <w:i/>
          <w:noProof w:val="0"/>
        </w:rPr>
        <w:t xml:space="preserve">Machines, </w:t>
      </w:r>
      <w:r w:rsidRPr="00FC71BE">
        <w:rPr>
          <w:noProof w:val="0"/>
        </w:rPr>
        <w:t>vol. 8, no. 2, p. 20, 2020.</w:t>
      </w:r>
    </w:p>
    <w:p w14:paraId="1A004A6E" w14:textId="77777777" w:rsidR="00304D60" w:rsidRPr="00FC71BE" w:rsidRDefault="00304D60" w:rsidP="003115A5">
      <w:pPr>
        <w:pStyle w:val="Reference"/>
        <w:rPr>
          <w:noProof w:val="0"/>
        </w:rPr>
      </w:pPr>
      <w:r w:rsidRPr="00FC71BE">
        <w:rPr>
          <w:noProof w:val="0"/>
        </w:rPr>
        <w:t>[19]</w:t>
      </w:r>
      <w:r w:rsidRPr="00FC71BE">
        <w:rPr>
          <w:noProof w:val="0"/>
        </w:rPr>
        <w:tab/>
        <w:t xml:space="preserve">T. Husain and S. T. Lee, "Design considerations for magnet configurations in IPM rotor for high speed traction applications," in </w:t>
      </w:r>
      <w:r w:rsidRPr="00FC71BE">
        <w:rPr>
          <w:i/>
          <w:noProof w:val="0"/>
        </w:rPr>
        <w:t>2019 IEEE Energy Conversion Congress and Exposition (ECCE)</w:t>
      </w:r>
      <w:r w:rsidRPr="00FC71BE">
        <w:rPr>
          <w:noProof w:val="0"/>
        </w:rPr>
        <w:t xml:space="preserve">, 2019: IEEE, pp. 6062-6069. </w:t>
      </w:r>
    </w:p>
    <w:p w14:paraId="3C83CF7B" w14:textId="77777777" w:rsidR="00304D60" w:rsidRPr="00FC71BE" w:rsidRDefault="00304D60" w:rsidP="003115A5">
      <w:pPr>
        <w:pStyle w:val="Reference"/>
        <w:rPr>
          <w:noProof w:val="0"/>
        </w:rPr>
      </w:pPr>
      <w:r w:rsidRPr="00FC71BE">
        <w:rPr>
          <w:noProof w:val="0"/>
        </w:rPr>
        <w:t>[20]</w:t>
      </w:r>
      <w:r w:rsidRPr="00FC71BE">
        <w:rPr>
          <w:noProof w:val="0"/>
        </w:rPr>
        <w:tab/>
        <w:t xml:space="preserve">L. Guo and L. Parsa, "Effects of magnet shape on torque characteristics of interior permanent magnet machines," in </w:t>
      </w:r>
      <w:r w:rsidRPr="00FC71BE">
        <w:rPr>
          <w:i/>
          <w:noProof w:val="0"/>
        </w:rPr>
        <w:t>2009 IEEE Electric Ship Technologies Symposium</w:t>
      </w:r>
      <w:r w:rsidRPr="00FC71BE">
        <w:rPr>
          <w:noProof w:val="0"/>
        </w:rPr>
        <w:t xml:space="preserve">, 2009: IEEE, pp. 93-97. </w:t>
      </w:r>
    </w:p>
    <w:p w14:paraId="19EC6A51" w14:textId="77777777" w:rsidR="00304D60" w:rsidRPr="00FC71BE" w:rsidRDefault="00304D60" w:rsidP="003115A5">
      <w:pPr>
        <w:pStyle w:val="Reference"/>
        <w:rPr>
          <w:noProof w:val="0"/>
        </w:rPr>
      </w:pPr>
      <w:r w:rsidRPr="00FC71BE">
        <w:rPr>
          <w:noProof w:val="0"/>
        </w:rPr>
        <w:t>[21]</w:t>
      </w:r>
      <w:r w:rsidRPr="00FC71BE">
        <w:rPr>
          <w:noProof w:val="0"/>
        </w:rPr>
        <w:tab/>
        <w:t xml:space="preserve">M. Hajdinjak and D. Miljavec, "Analytical calculation of the magnetic field distribution in slotless brushless machines with U-shaped interior permanent magnets," </w:t>
      </w:r>
      <w:r w:rsidRPr="00FC71BE">
        <w:rPr>
          <w:i/>
          <w:noProof w:val="0"/>
        </w:rPr>
        <w:t xml:space="preserve">IEEE Transactions on Industrial Electronics, </w:t>
      </w:r>
      <w:r w:rsidRPr="00FC71BE">
        <w:rPr>
          <w:noProof w:val="0"/>
        </w:rPr>
        <w:t>vol. 67, no. 8, pp. 6721-6731, 2019.</w:t>
      </w:r>
    </w:p>
    <w:p w14:paraId="17621862" w14:textId="77777777" w:rsidR="00304D60" w:rsidRPr="00FC71BE" w:rsidRDefault="00304D60" w:rsidP="003115A5">
      <w:pPr>
        <w:pStyle w:val="Reference"/>
        <w:rPr>
          <w:noProof w:val="0"/>
        </w:rPr>
      </w:pPr>
      <w:r w:rsidRPr="00FC71BE">
        <w:rPr>
          <w:noProof w:val="0"/>
        </w:rPr>
        <w:t>[22]</w:t>
      </w:r>
      <w:r w:rsidRPr="00FC71BE">
        <w:rPr>
          <w:noProof w:val="0"/>
        </w:rPr>
        <w:tab/>
        <w:t xml:space="preserve">F. Charih, F. Dubas, C. Espanet, and D. Chamagne, "Performances comparison of PM machines with different rotor topologies and similar slot and pole numbers," in </w:t>
      </w:r>
      <w:r w:rsidRPr="00FC71BE">
        <w:rPr>
          <w:i/>
          <w:noProof w:val="0"/>
        </w:rPr>
        <w:t>International Symposium on Power Electronics Power Electronics, Electrical Drives, Automation and Motion</w:t>
      </w:r>
      <w:r w:rsidRPr="00FC71BE">
        <w:rPr>
          <w:noProof w:val="0"/>
        </w:rPr>
        <w:t xml:space="preserve">, 2012: IEEE, pp. 56-59. </w:t>
      </w:r>
    </w:p>
    <w:p w14:paraId="42D9E629" w14:textId="77777777" w:rsidR="00304D60" w:rsidRPr="00FC71BE" w:rsidRDefault="00304D60" w:rsidP="003115A5">
      <w:pPr>
        <w:pStyle w:val="Reference"/>
        <w:rPr>
          <w:noProof w:val="0"/>
        </w:rPr>
      </w:pPr>
      <w:r w:rsidRPr="00FC71BE">
        <w:rPr>
          <w:noProof w:val="0"/>
        </w:rPr>
        <w:t>[23]</w:t>
      </w:r>
      <w:r w:rsidRPr="00FC71BE">
        <w:rPr>
          <w:noProof w:val="0"/>
        </w:rPr>
        <w:tab/>
        <w:t xml:space="preserve">Y. H. Hu, S. S. Zhu, C. Liu, and K. Wang, "Electromagnetic performance analysis of interior PM machines for electric vehicle applications," </w:t>
      </w:r>
      <w:r w:rsidRPr="00FC71BE">
        <w:rPr>
          <w:i/>
          <w:noProof w:val="0"/>
        </w:rPr>
        <w:t xml:space="preserve">IEEE Transactions on Energy Conversion, </w:t>
      </w:r>
      <w:r w:rsidRPr="00FC71BE">
        <w:rPr>
          <w:noProof w:val="0"/>
        </w:rPr>
        <w:t>vol. 33, no. 1, pp. 199-208, 2017.</w:t>
      </w:r>
    </w:p>
    <w:p w14:paraId="3914150E" w14:textId="77777777" w:rsidR="00304D60" w:rsidRPr="00FC71BE" w:rsidRDefault="00304D60" w:rsidP="003115A5">
      <w:pPr>
        <w:pStyle w:val="Reference"/>
        <w:rPr>
          <w:noProof w:val="0"/>
        </w:rPr>
      </w:pPr>
      <w:r w:rsidRPr="00FC71BE">
        <w:rPr>
          <w:noProof w:val="0"/>
        </w:rPr>
        <w:t>[24]</w:t>
      </w:r>
      <w:r w:rsidRPr="00FC71BE">
        <w:rPr>
          <w:noProof w:val="0"/>
        </w:rPr>
        <w:tab/>
        <w:t xml:space="preserve">S. Zhu, Y. Hu, C. Liu, and K. Wang, "Iron loss and efficiency analysis of interior PM machines for electric vehicle applications," </w:t>
      </w:r>
      <w:r w:rsidRPr="00FC71BE">
        <w:rPr>
          <w:i/>
          <w:noProof w:val="0"/>
        </w:rPr>
        <w:t xml:space="preserve">IEEE Transactions on Industrial Electronics, </w:t>
      </w:r>
      <w:r w:rsidRPr="00FC71BE">
        <w:rPr>
          <w:noProof w:val="0"/>
        </w:rPr>
        <w:t>vol. 65, no. 1, pp. 114-124, 2017.</w:t>
      </w:r>
    </w:p>
    <w:p w14:paraId="6D55D034" w14:textId="77777777" w:rsidR="00304D60" w:rsidRPr="00FC71BE" w:rsidRDefault="00304D60" w:rsidP="003115A5">
      <w:pPr>
        <w:pStyle w:val="Reference"/>
        <w:rPr>
          <w:noProof w:val="0"/>
        </w:rPr>
      </w:pPr>
      <w:r w:rsidRPr="00FC71BE">
        <w:rPr>
          <w:noProof w:val="0"/>
        </w:rPr>
        <w:t>[25]</w:t>
      </w:r>
      <w:r w:rsidRPr="00FC71BE">
        <w:rPr>
          <w:noProof w:val="0"/>
        </w:rPr>
        <w:tab/>
        <w:t xml:space="preserve">P. Akiki, M. H. Hassan, M. Bensetti, P. Dessante, J.-C. Vannier, D. Prieto, and M. McClelland, "Multiphysics design of a V-shape IPM motor," </w:t>
      </w:r>
      <w:r w:rsidRPr="00FC71BE">
        <w:rPr>
          <w:i/>
          <w:noProof w:val="0"/>
        </w:rPr>
        <w:t xml:space="preserve">IEEE Transactions on Energy Conversion, </w:t>
      </w:r>
      <w:r w:rsidRPr="00FC71BE">
        <w:rPr>
          <w:noProof w:val="0"/>
        </w:rPr>
        <w:t>vol. 33, no. 3, pp. 1141-1153, 2018.</w:t>
      </w:r>
    </w:p>
    <w:p w14:paraId="56D1B1AA" w14:textId="77777777" w:rsidR="00304D60" w:rsidRPr="00FC71BE" w:rsidRDefault="00304D60" w:rsidP="003115A5">
      <w:pPr>
        <w:pStyle w:val="Reference"/>
        <w:rPr>
          <w:noProof w:val="0"/>
        </w:rPr>
      </w:pPr>
      <w:r w:rsidRPr="00FC71BE">
        <w:rPr>
          <w:noProof w:val="0"/>
        </w:rPr>
        <w:t>[26]</w:t>
      </w:r>
      <w:r w:rsidRPr="00FC71BE">
        <w:rPr>
          <w:noProof w:val="0"/>
        </w:rPr>
        <w:tab/>
        <w:t xml:space="preserve">J. D. McFarland, T. Jahns, A. M. EL-Refaie, and P. B. Reddy, "Effect of magnet properties on power density and flux-weakening performance of high-speed interior permanent magnet synchronous machines," in </w:t>
      </w:r>
      <w:r w:rsidRPr="00FC71BE">
        <w:rPr>
          <w:i/>
          <w:noProof w:val="0"/>
        </w:rPr>
        <w:t>2014 IEEE Energy Conversion Congress and Exposition (ECCE)</w:t>
      </w:r>
      <w:r w:rsidRPr="00FC71BE">
        <w:rPr>
          <w:noProof w:val="0"/>
        </w:rPr>
        <w:t xml:space="preserve">, 2014: IEEE, pp. 4218-4225. </w:t>
      </w:r>
    </w:p>
    <w:p w14:paraId="66B0C874" w14:textId="77777777" w:rsidR="00304D60" w:rsidRPr="00FC71BE" w:rsidRDefault="00304D60" w:rsidP="003115A5">
      <w:pPr>
        <w:pStyle w:val="Reference"/>
        <w:rPr>
          <w:noProof w:val="0"/>
        </w:rPr>
      </w:pPr>
      <w:r w:rsidRPr="00FC71BE">
        <w:rPr>
          <w:noProof w:val="0"/>
        </w:rPr>
        <w:lastRenderedPageBreak/>
        <w:t>[27]</w:t>
      </w:r>
      <w:r w:rsidRPr="00FC71BE">
        <w:rPr>
          <w:noProof w:val="0"/>
        </w:rPr>
        <w:tab/>
        <w:t xml:space="preserve">S. H. Han, T. M. Jahns, and Z. Q. Zhu, "Design tradeoffs between stator core loss and torque ripple in IPM machines," in </w:t>
      </w:r>
      <w:r w:rsidRPr="00FC71BE">
        <w:rPr>
          <w:i/>
          <w:noProof w:val="0"/>
        </w:rPr>
        <w:t>2008 IEEE Industry Applications Society Annual Meeting</w:t>
      </w:r>
      <w:r w:rsidRPr="00FC71BE">
        <w:rPr>
          <w:noProof w:val="0"/>
        </w:rPr>
        <w:t xml:space="preserve">, 2008: IEEE, pp. 1-8. </w:t>
      </w:r>
    </w:p>
    <w:p w14:paraId="174F4F19" w14:textId="77777777" w:rsidR="00304D60" w:rsidRPr="00FC71BE" w:rsidRDefault="00304D60" w:rsidP="003115A5">
      <w:pPr>
        <w:pStyle w:val="Reference"/>
        <w:rPr>
          <w:noProof w:val="0"/>
        </w:rPr>
      </w:pPr>
      <w:r w:rsidRPr="00FC71BE">
        <w:rPr>
          <w:noProof w:val="0"/>
        </w:rPr>
        <w:t>[28]</w:t>
      </w:r>
      <w:r w:rsidRPr="00FC71BE">
        <w:rPr>
          <w:noProof w:val="0"/>
        </w:rPr>
        <w:tab/>
        <w:t xml:space="preserve">G. B. Zhang and G. J. Li, "Performance Comparison of Optimized Stator-Mounted Permanent Magnet Machines Focusing on PM Usage," in </w:t>
      </w:r>
      <w:r w:rsidRPr="00FC71BE">
        <w:rPr>
          <w:i/>
          <w:noProof w:val="0"/>
        </w:rPr>
        <w:t>2022 IEEE Energy Conversion Congress and Exposition (ECCE)</w:t>
      </w:r>
      <w:r w:rsidRPr="00FC71BE">
        <w:rPr>
          <w:noProof w:val="0"/>
        </w:rPr>
        <w:t xml:space="preserve">, 2022: IEEE, pp. 1-7. </w:t>
      </w:r>
    </w:p>
    <w:p w14:paraId="593FF7D2" w14:textId="77777777" w:rsidR="00304D60" w:rsidRPr="00FC71BE" w:rsidRDefault="00304D60" w:rsidP="003115A5">
      <w:pPr>
        <w:pStyle w:val="Reference"/>
        <w:rPr>
          <w:noProof w:val="0"/>
        </w:rPr>
      </w:pPr>
      <w:r w:rsidRPr="00FC71BE">
        <w:rPr>
          <w:noProof w:val="0"/>
        </w:rPr>
        <w:t>[29]</w:t>
      </w:r>
      <w:r w:rsidRPr="00FC71BE">
        <w:rPr>
          <w:noProof w:val="0"/>
        </w:rPr>
        <w:tab/>
        <w:t xml:space="preserve">G. B. Zhang and G. J. Li, "Comparative Study of Stator-mounted PM Machines Focusing on Thermal Performance," in </w:t>
      </w:r>
      <w:r w:rsidRPr="00FC71BE">
        <w:rPr>
          <w:i/>
          <w:noProof w:val="0"/>
        </w:rPr>
        <w:t>2023 IEEE International Electric Machines &amp; Drives Conference (IEMDC)</w:t>
      </w:r>
      <w:r w:rsidRPr="00FC71BE">
        <w:rPr>
          <w:noProof w:val="0"/>
        </w:rPr>
        <w:t xml:space="preserve">, 2023: IEEE, pp. 1-7. </w:t>
      </w:r>
    </w:p>
    <w:p w14:paraId="54D68906" w14:textId="77777777" w:rsidR="00304D60" w:rsidRPr="00FC71BE" w:rsidRDefault="00304D60" w:rsidP="003115A5">
      <w:pPr>
        <w:pStyle w:val="Reference"/>
        <w:rPr>
          <w:noProof w:val="0"/>
        </w:rPr>
      </w:pPr>
      <w:r w:rsidRPr="00FC71BE">
        <w:rPr>
          <w:noProof w:val="0"/>
        </w:rPr>
        <w:t>[30]</w:t>
      </w:r>
      <w:r w:rsidRPr="00FC71BE">
        <w:rPr>
          <w:noProof w:val="0"/>
        </w:rPr>
        <w:tab/>
        <w:t xml:space="preserve">M. Cheng, W. Hua, J. Zhang, and W. Zhao, "Overview of stator-permanent magnet brushless machines," </w:t>
      </w:r>
      <w:r w:rsidRPr="00FC71BE">
        <w:rPr>
          <w:i/>
          <w:noProof w:val="0"/>
        </w:rPr>
        <w:t xml:space="preserve">IEEE Transactions on Industrial Electronics, </w:t>
      </w:r>
      <w:r w:rsidRPr="00FC71BE">
        <w:rPr>
          <w:noProof w:val="0"/>
        </w:rPr>
        <w:t>vol. 58, no. 11, pp. 5087-5101, 2011.</w:t>
      </w:r>
    </w:p>
    <w:p w14:paraId="33D1B812" w14:textId="77777777" w:rsidR="00304D60" w:rsidRPr="00FC71BE" w:rsidRDefault="00304D60" w:rsidP="003115A5">
      <w:pPr>
        <w:pStyle w:val="Reference"/>
        <w:rPr>
          <w:noProof w:val="0"/>
        </w:rPr>
      </w:pPr>
      <w:r w:rsidRPr="00FC71BE">
        <w:rPr>
          <w:noProof w:val="0"/>
        </w:rPr>
        <w:t>[31]</w:t>
      </w:r>
      <w:r w:rsidRPr="00FC71BE">
        <w:rPr>
          <w:noProof w:val="0"/>
        </w:rPr>
        <w:tab/>
        <w:t>Z. Chen and E. Spooner, "A modular, permanent-magnet generator for variable speed wind turbines," 1995.</w:t>
      </w:r>
    </w:p>
    <w:p w14:paraId="6D3CDBCF" w14:textId="77777777" w:rsidR="00304D60" w:rsidRPr="00FC71BE" w:rsidRDefault="00304D60" w:rsidP="003115A5">
      <w:pPr>
        <w:pStyle w:val="Reference"/>
        <w:rPr>
          <w:noProof w:val="0"/>
        </w:rPr>
      </w:pPr>
      <w:r w:rsidRPr="00FC71BE">
        <w:rPr>
          <w:noProof w:val="0"/>
        </w:rPr>
        <w:t>[32]</w:t>
      </w:r>
      <w:r w:rsidRPr="00FC71BE">
        <w:rPr>
          <w:noProof w:val="0"/>
        </w:rPr>
        <w:tab/>
        <w:t xml:space="preserve">E. Spooner, A. Williamson, and G. Catto, "Modular design of permanent-magnet generators for wind turbines," </w:t>
      </w:r>
      <w:r w:rsidRPr="00FC71BE">
        <w:rPr>
          <w:i/>
          <w:noProof w:val="0"/>
        </w:rPr>
        <w:t xml:space="preserve">IEE Proceedings-Electric Power Applications, </w:t>
      </w:r>
      <w:r w:rsidRPr="00FC71BE">
        <w:rPr>
          <w:noProof w:val="0"/>
        </w:rPr>
        <w:t>vol. 143, no. 5, pp. 388-395, 1996.</w:t>
      </w:r>
    </w:p>
    <w:p w14:paraId="4B71F056" w14:textId="77777777" w:rsidR="00304D60" w:rsidRPr="00FC71BE" w:rsidRDefault="00304D60" w:rsidP="003115A5">
      <w:pPr>
        <w:pStyle w:val="Reference"/>
        <w:rPr>
          <w:noProof w:val="0"/>
        </w:rPr>
      </w:pPr>
      <w:r w:rsidRPr="00FC71BE">
        <w:rPr>
          <w:noProof w:val="0"/>
        </w:rPr>
        <w:t>[33]</w:t>
      </w:r>
      <w:r w:rsidRPr="00FC71BE">
        <w:rPr>
          <w:noProof w:val="0"/>
        </w:rPr>
        <w:tab/>
        <w:t xml:space="preserve">E. Spooner and A. Williamson, "Modular, permanent-magnet wind-turbine generators," in </w:t>
      </w:r>
      <w:r w:rsidRPr="00FC71BE">
        <w:rPr>
          <w:i/>
          <w:noProof w:val="0"/>
        </w:rPr>
        <w:t>IAS'96. Conference Record of the 1996 IEEE Industry Applications Conference Thirty-First IAS Annual Meeting</w:t>
      </w:r>
      <w:r w:rsidRPr="00FC71BE">
        <w:rPr>
          <w:noProof w:val="0"/>
        </w:rPr>
        <w:t xml:space="preserve">, 1996, vol. 1: IEEE, pp. 497-502. </w:t>
      </w:r>
    </w:p>
    <w:p w14:paraId="682C51A3" w14:textId="77777777" w:rsidR="00304D60" w:rsidRPr="00FC71BE" w:rsidRDefault="00304D60" w:rsidP="003115A5">
      <w:pPr>
        <w:pStyle w:val="Reference"/>
        <w:rPr>
          <w:noProof w:val="0"/>
        </w:rPr>
      </w:pPr>
      <w:r w:rsidRPr="00FC71BE">
        <w:rPr>
          <w:noProof w:val="0"/>
        </w:rPr>
        <w:t>[34]</w:t>
      </w:r>
      <w:r w:rsidRPr="00FC71BE">
        <w:rPr>
          <w:noProof w:val="0"/>
        </w:rPr>
        <w:tab/>
        <w:t xml:space="preserve">Z. Q. Zhu, Z. Azar, and G. Ombach, "Influence of additional air gaps between stator segments on cogging torque of permanent-magnet machines having modular stators," </w:t>
      </w:r>
      <w:r w:rsidRPr="00FC71BE">
        <w:rPr>
          <w:i/>
          <w:noProof w:val="0"/>
        </w:rPr>
        <w:t xml:space="preserve">IEEE Transactions on Magnetics, </w:t>
      </w:r>
      <w:r w:rsidRPr="00FC71BE">
        <w:rPr>
          <w:noProof w:val="0"/>
        </w:rPr>
        <w:t>vol. 48, no. 6, pp. 2049-2055, 2011.</w:t>
      </w:r>
    </w:p>
    <w:p w14:paraId="76373B27" w14:textId="77777777" w:rsidR="00304D60" w:rsidRPr="00FC71BE" w:rsidRDefault="00304D60" w:rsidP="003115A5">
      <w:pPr>
        <w:pStyle w:val="Reference"/>
        <w:rPr>
          <w:noProof w:val="0"/>
        </w:rPr>
      </w:pPr>
      <w:r w:rsidRPr="00FC71BE">
        <w:rPr>
          <w:noProof w:val="0"/>
        </w:rPr>
        <w:t>[35]</w:t>
      </w:r>
      <w:r w:rsidRPr="00FC71BE">
        <w:rPr>
          <w:noProof w:val="0"/>
        </w:rPr>
        <w:tab/>
        <w:t xml:space="preserve">E. Hoang, H. B. Ahmed, and J. Lucidarme, "Switching flux permanent magnet polyphased synchronous machines," in </w:t>
      </w:r>
      <w:r w:rsidRPr="00FC71BE">
        <w:rPr>
          <w:i/>
          <w:noProof w:val="0"/>
        </w:rPr>
        <w:t>EPE 97</w:t>
      </w:r>
      <w:r w:rsidRPr="00FC71BE">
        <w:rPr>
          <w:noProof w:val="0"/>
        </w:rPr>
        <w:t xml:space="preserve">, 1997. </w:t>
      </w:r>
    </w:p>
    <w:p w14:paraId="614C9C5B" w14:textId="77777777" w:rsidR="00304D60" w:rsidRPr="00FC71BE" w:rsidRDefault="00304D60" w:rsidP="003115A5">
      <w:pPr>
        <w:pStyle w:val="Reference"/>
        <w:rPr>
          <w:noProof w:val="0"/>
        </w:rPr>
      </w:pPr>
      <w:r w:rsidRPr="00FC71BE">
        <w:rPr>
          <w:noProof w:val="0"/>
        </w:rPr>
        <w:t>[36]</w:t>
      </w:r>
      <w:r w:rsidRPr="00FC71BE">
        <w:rPr>
          <w:noProof w:val="0"/>
        </w:rPr>
        <w:tab/>
        <w:t xml:space="preserve">R. L. Owen, Z. Q. Zhu, A. S. Thomas, G. W. Jewell, and D. Howe, "Alternate poles wound flux-switching permanent-magnet brushless AC machines," </w:t>
      </w:r>
      <w:r w:rsidRPr="00FC71BE">
        <w:rPr>
          <w:i/>
          <w:noProof w:val="0"/>
        </w:rPr>
        <w:t xml:space="preserve">IEEE Transactions on Industry Applications, </w:t>
      </w:r>
      <w:r w:rsidRPr="00FC71BE">
        <w:rPr>
          <w:noProof w:val="0"/>
        </w:rPr>
        <w:t>vol. 46, no. 2, pp. 790-797, 2010.</w:t>
      </w:r>
    </w:p>
    <w:p w14:paraId="6891C8DF" w14:textId="77777777" w:rsidR="00304D60" w:rsidRPr="00FC71BE" w:rsidRDefault="00304D60" w:rsidP="003115A5">
      <w:pPr>
        <w:pStyle w:val="Reference"/>
        <w:rPr>
          <w:noProof w:val="0"/>
        </w:rPr>
      </w:pPr>
      <w:r w:rsidRPr="00FC71BE">
        <w:rPr>
          <w:noProof w:val="0"/>
        </w:rPr>
        <w:t>[37]</w:t>
      </w:r>
      <w:r w:rsidRPr="00FC71BE">
        <w:rPr>
          <w:noProof w:val="0"/>
        </w:rPr>
        <w:tab/>
        <w:t xml:space="preserve">M. J. Jin, C. F. Wang, J. X. Shen, and B. Xia, "A modular permanent-magnet flux-switching linear machine with fault-tolerant capability," </w:t>
      </w:r>
      <w:r w:rsidRPr="00FC71BE">
        <w:rPr>
          <w:i/>
          <w:noProof w:val="0"/>
        </w:rPr>
        <w:t xml:space="preserve">IEEE Transactions on Magnetics, </w:t>
      </w:r>
      <w:r w:rsidRPr="00FC71BE">
        <w:rPr>
          <w:noProof w:val="0"/>
        </w:rPr>
        <w:t>vol. 45, no. 8, pp. 3179-3186, 2009.</w:t>
      </w:r>
    </w:p>
    <w:p w14:paraId="12122808" w14:textId="77777777" w:rsidR="00304D60" w:rsidRPr="00FC71BE" w:rsidRDefault="00304D60" w:rsidP="003115A5">
      <w:pPr>
        <w:pStyle w:val="Reference"/>
        <w:rPr>
          <w:noProof w:val="0"/>
        </w:rPr>
      </w:pPr>
      <w:r w:rsidRPr="00FC71BE">
        <w:rPr>
          <w:noProof w:val="0"/>
        </w:rPr>
        <w:t>[38]</w:t>
      </w:r>
      <w:r w:rsidRPr="00FC71BE">
        <w:rPr>
          <w:noProof w:val="0"/>
        </w:rPr>
        <w:tab/>
        <w:t xml:space="preserve">G. J. Li, Z. Q. Zhu, M. Foster, and D. Stone, "Comparative studies of modular and unequal tooth PM machines either with or without tooth tips," </w:t>
      </w:r>
      <w:r w:rsidRPr="00FC71BE">
        <w:rPr>
          <w:i/>
          <w:noProof w:val="0"/>
        </w:rPr>
        <w:t xml:space="preserve">IEEE transactions on magnetics, </w:t>
      </w:r>
      <w:r w:rsidRPr="00FC71BE">
        <w:rPr>
          <w:noProof w:val="0"/>
        </w:rPr>
        <w:t>vol. 50, no. 7, pp. 1-10, 2014.</w:t>
      </w:r>
    </w:p>
    <w:p w14:paraId="79C426B3" w14:textId="77777777" w:rsidR="00304D60" w:rsidRPr="00FC71BE" w:rsidRDefault="00304D60" w:rsidP="003115A5">
      <w:pPr>
        <w:pStyle w:val="Reference"/>
        <w:rPr>
          <w:noProof w:val="0"/>
        </w:rPr>
      </w:pPr>
      <w:r w:rsidRPr="00FC71BE">
        <w:rPr>
          <w:noProof w:val="0"/>
        </w:rPr>
        <w:t>[39]</w:t>
      </w:r>
      <w:r w:rsidRPr="00FC71BE">
        <w:rPr>
          <w:noProof w:val="0"/>
        </w:rPr>
        <w:tab/>
        <w:t xml:space="preserve">G. J. Li, B. Ren, and Z. Q. Zhu, "Design guidelines for fractional slot multi‐phase modular permanent magnet machines," </w:t>
      </w:r>
      <w:r w:rsidRPr="00FC71BE">
        <w:rPr>
          <w:i/>
          <w:noProof w:val="0"/>
        </w:rPr>
        <w:t xml:space="preserve">IET Electric Power Applications, </w:t>
      </w:r>
      <w:r w:rsidRPr="00FC71BE">
        <w:rPr>
          <w:noProof w:val="0"/>
        </w:rPr>
        <w:t>vol. 11, no. 6, pp. 1023-1031, 2017.</w:t>
      </w:r>
    </w:p>
    <w:p w14:paraId="27A15E2A" w14:textId="77777777" w:rsidR="00304D60" w:rsidRPr="00FC71BE" w:rsidRDefault="00304D60" w:rsidP="003115A5">
      <w:pPr>
        <w:pStyle w:val="Reference"/>
        <w:rPr>
          <w:noProof w:val="0"/>
        </w:rPr>
      </w:pPr>
      <w:r w:rsidRPr="00FC71BE">
        <w:rPr>
          <w:noProof w:val="0"/>
        </w:rPr>
        <w:lastRenderedPageBreak/>
        <w:t>[40]</w:t>
      </w:r>
      <w:r w:rsidRPr="00FC71BE">
        <w:rPr>
          <w:noProof w:val="0"/>
        </w:rPr>
        <w:tab/>
        <w:t xml:space="preserve">G.-J. Li and Z.-Q. Zhu, "Demagnetization of modular surface mounted permanent magnet machines," in </w:t>
      </w:r>
      <w:r w:rsidRPr="00FC71BE">
        <w:rPr>
          <w:i/>
          <w:noProof w:val="0"/>
        </w:rPr>
        <w:t>2016 XXII International Conference on Electrical Machines (ICEM)</w:t>
      </w:r>
      <w:r w:rsidRPr="00FC71BE">
        <w:rPr>
          <w:noProof w:val="0"/>
        </w:rPr>
        <w:t xml:space="preserve">, 2016: IEEE, pp. 702-708. </w:t>
      </w:r>
    </w:p>
    <w:p w14:paraId="05BA8FD7" w14:textId="77777777" w:rsidR="00304D60" w:rsidRPr="00FC71BE" w:rsidRDefault="00304D60" w:rsidP="003115A5">
      <w:pPr>
        <w:pStyle w:val="Reference"/>
        <w:rPr>
          <w:noProof w:val="0"/>
        </w:rPr>
      </w:pPr>
      <w:r w:rsidRPr="00FC71BE">
        <w:rPr>
          <w:noProof w:val="0"/>
        </w:rPr>
        <w:t>[41]</w:t>
      </w:r>
      <w:r w:rsidRPr="00FC71BE">
        <w:rPr>
          <w:noProof w:val="0"/>
        </w:rPr>
        <w:tab/>
        <w:t xml:space="preserve">G. J. Li, X. B. Liang, Z. Q. Zhu, J. Ojeda, and M. Gabsi, "Vibrations and Acoustic Noise Analyses of Modular SPM Machines," in </w:t>
      </w:r>
      <w:r w:rsidRPr="00FC71BE">
        <w:rPr>
          <w:i/>
          <w:noProof w:val="0"/>
        </w:rPr>
        <w:t>2020 IEEE Energy Conversion Congress and Exposition (ECCE)</w:t>
      </w:r>
      <w:r w:rsidRPr="00FC71BE">
        <w:rPr>
          <w:noProof w:val="0"/>
        </w:rPr>
        <w:t xml:space="preserve">, 2020: IEEE, pp. 5567-5573. </w:t>
      </w:r>
    </w:p>
    <w:p w14:paraId="2A96808A" w14:textId="77777777" w:rsidR="00304D60" w:rsidRPr="00FC71BE" w:rsidRDefault="00304D60" w:rsidP="003115A5">
      <w:pPr>
        <w:pStyle w:val="Reference"/>
        <w:rPr>
          <w:noProof w:val="0"/>
        </w:rPr>
      </w:pPr>
      <w:r w:rsidRPr="00FC71BE">
        <w:rPr>
          <w:noProof w:val="0"/>
        </w:rPr>
        <w:t>[42]</w:t>
      </w:r>
      <w:r w:rsidRPr="00FC71BE">
        <w:rPr>
          <w:noProof w:val="0"/>
        </w:rPr>
        <w:tab/>
        <w:t xml:space="preserve">G. J. Li, Z. Q. Zhu, W. Q. Chu, M. P. Foster, and D. A. Stone, "Influence of flux gaps on electromagnetic performance of novel modular PM machines," </w:t>
      </w:r>
      <w:r w:rsidRPr="00FC71BE">
        <w:rPr>
          <w:i/>
          <w:noProof w:val="0"/>
        </w:rPr>
        <w:t xml:space="preserve">IEEE Transactions on Energy Conversion, </w:t>
      </w:r>
      <w:r w:rsidRPr="00FC71BE">
        <w:rPr>
          <w:noProof w:val="0"/>
        </w:rPr>
        <w:t>vol. 29, no. 3, pp. 716-726, 2014.</w:t>
      </w:r>
    </w:p>
    <w:p w14:paraId="71F5ADD6" w14:textId="77777777" w:rsidR="00304D60" w:rsidRPr="00FC71BE" w:rsidRDefault="00304D60" w:rsidP="003115A5">
      <w:pPr>
        <w:pStyle w:val="Reference"/>
        <w:rPr>
          <w:noProof w:val="0"/>
        </w:rPr>
      </w:pPr>
      <w:r w:rsidRPr="00FC71BE">
        <w:rPr>
          <w:noProof w:val="0"/>
        </w:rPr>
        <w:t>[43]</w:t>
      </w:r>
      <w:r w:rsidRPr="00FC71BE">
        <w:rPr>
          <w:noProof w:val="0"/>
        </w:rPr>
        <w:tab/>
        <w:t xml:space="preserve">G. J. Li and Z. Q. Zhu, "Analytical modeling of modular and unequal tooth width surface-mounted permanent magnet machines," </w:t>
      </w:r>
      <w:r w:rsidRPr="00FC71BE">
        <w:rPr>
          <w:i/>
          <w:noProof w:val="0"/>
        </w:rPr>
        <w:t xml:space="preserve">IEEE transactions on magnetics, </w:t>
      </w:r>
      <w:r w:rsidRPr="00FC71BE">
        <w:rPr>
          <w:noProof w:val="0"/>
        </w:rPr>
        <w:t>vol. 51, no. 9, pp. 1-9, 2015.</w:t>
      </w:r>
    </w:p>
    <w:p w14:paraId="4048F9E4" w14:textId="77777777" w:rsidR="00304D60" w:rsidRPr="00FC71BE" w:rsidRDefault="00304D60" w:rsidP="003115A5">
      <w:pPr>
        <w:pStyle w:val="Reference"/>
        <w:rPr>
          <w:noProof w:val="0"/>
        </w:rPr>
      </w:pPr>
      <w:r w:rsidRPr="00FC71BE">
        <w:rPr>
          <w:noProof w:val="0"/>
        </w:rPr>
        <w:t>[44]</w:t>
      </w:r>
      <w:r w:rsidRPr="00FC71BE">
        <w:rPr>
          <w:noProof w:val="0"/>
        </w:rPr>
        <w:tab/>
        <w:t xml:space="preserve">G. J. Li, B. Ren, Z. Q. Zhu, M. Foster, and D. Stone, "Demagnetization withstand capability enhancement of surface mounted PM machines using stator modularity," </w:t>
      </w:r>
      <w:r w:rsidRPr="00FC71BE">
        <w:rPr>
          <w:i/>
          <w:noProof w:val="0"/>
        </w:rPr>
        <w:t xml:space="preserve">IEEE Transactions on Industry Applications, </w:t>
      </w:r>
      <w:r w:rsidRPr="00FC71BE">
        <w:rPr>
          <w:noProof w:val="0"/>
        </w:rPr>
        <w:t>vol. 54, no. 2, pp. 1302-1311, 2017.</w:t>
      </w:r>
    </w:p>
    <w:p w14:paraId="010B053D" w14:textId="77777777" w:rsidR="00304D60" w:rsidRPr="00FC71BE" w:rsidRDefault="00304D60" w:rsidP="003115A5">
      <w:pPr>
        <w:pStyle w:val="Reference"/>
        <w:rPr>
          <w:noProof w:val="0"/>
        </w:rPr>
      </w:pPr>
      <w:r w:rsidRPr="00FC71BE">
        <w:rPr>
          <w:noProof w:val="0"/>
        </w:rPr>
        <w:t>[45]</w:t>
      </w:r>
      <w:r w:rsidRPr="00FC71BE">
        <w:rPr>
          <w:noProof w:val="0"/>
        </w:rPr>
        <w:tab/>
        <w:t xml:space="preserve">B. Ren, G. J. Li, Z. Q. Zhu, M. Foster, and D. Stone, "Performance comparison between consequent‐pole and inset modular permanent magnet machines," </w:t>
      </w:r>
      <w:r w:rsidRPr="00FC71BE">
        <w:rPr>
          <w:i/>
          <w:noProof w:val="0"/>
        </w:rPr>
        <w:t xml:space="preserve">The Journal of Engineering, </w:t>
      </w:r>
      <w:r w:rsidRPr="00FC71BE">
        <w:rPr>
          <w:noProof w:val="0"/>
        </w:rPr>
        <w:t>vol. 2019, no. 17, pp. 3951-3955, 2019.</w:t>
      </w:r>
    </w:p>
    <w:p w14:paraId="66520CDC" w14:textId="77777777" w:rsidR="00304D60" w:rsidRPr="00FC71BE" w:rsidRDefault="00304D60" w:rsidP="003115A5">
      <w:pPr>
        <w:pStyle w:val="Reference"/>
        <w:rPr>
          <w:noProof w:val="0"/>
        </w:rPr>
      </w:pPr>
      <w:r w:rsidRPr="00FC71BE">
        <w:rPr>
          <w:noProof w:val="0"/>
        </w:rPr>
        <w:t>[46]</w:t>
      </w:r>
      <w:r w:rsidRPr="00FC71BE">
        <w:rPr>
          <w:noProof w:val="0"/>
        </w:rPr>
        <w:tab/>
        <w:t xml:space="preserve">B. Ren, G. J. Li, Z. Q. Zhu, M. P. Foster, and D. A. Stone, "Study of manufacturing tolerance of modular permanent magnet machines: Segment radial displacement," in </w:t>
      </w:r>
      <w:r w:rsidRPr="00FC71BE">
        <w:rPr>
          <w:i/>
          <w:noProof w:val="0"/>
        </w:rPr>
        <w:t>2019 IEEE International Electric Machines &amp; Drives Conference (IEMDC)</w:t>
      </w:r>
      <w:r w:rsidRPr="00FC71BE">
        <w:rPr>
          <w:noProof w:val="0"/>
        </w:rPr>
        <w:t xml:space="preserve">, 2019: IEEE, pp. 615-622. </w:t>
      </w:r>
    </w:p>
    <w:p w14:paraId="2D9C2B12" w14:textId="77777777" w:rsidR="00304D60" w:rsidRPr="00FC71BE" w:rsidRDefault="00304D60" w:rsidP="003115A5">
      <w:pPr>
        <w:pStyle w:val="Reference"/>
        <w:rPr>
          <w:noProof w:val="0"/>
        </w:rPr>
      </w:pPr>
      <w:r w:rsidRPr="00FC71BE">
        <w:rPr>
          <w:noProof w:val="0"/>
        </w:rPr>
        <w:t>[47]</w:t>
      </w:r>
      <w:r w:rsidRPr="00FC71BE">
        <w:rPr>
          <w:noProof w:val="0"/>
        </w:rPr>
        <w:tab/>
        <w:t xml:space="preserve">R. Zhou, G. J. Li, K. Zhang, Z. Q. Zhu, M. P. Foster, and D. A. Stone, "Performance investigation of consequent-pole PM machines with E-core and C-core modular stators," </w:t>
      </w:r>
      <w:r w:rsidRPr="00FC71BE">
        <w:rPr>
          <w:i/>
          <w:noProof w:val="0"/>
        </w:rPr>
        <w:t xml:space="preserve">IEEE Transactions on Energy Conversion, </w:t>
      </w:r>
      <w:r w:rsidRPr="00FC71BE">
        <w:rPr>
          <w:noProof w:val="0"/>
        </w:rPr>
        <w:t>vol. 36, no. 2, pp. 1169-1179, 2020.</w:t>
      </w:r>
    </w:p>
    <w:p w14:paraId="6EB51C1B" w14:textId="77777777" w:rsidR="00304D60" w:rsidRPr="00FC71BE" w:rsidRDefault="00304D60" w:rsidP="003115A5">
      <w:pPr>
        <w:pStyle w:val="Reference"/>
        <w:rPr>
          <w:noProof w:val="0"/>
        </w:rPr>
      </w:pPr>
      <w:r w:rsidRPr="00FC71BE">
        <w:rPr>
          <w:noProof w:val="0"/>
        </w:rPr>
        <w:t>[48]</w:t>
      </w:r>
      <w:r w:rsidRPr="00FC71BE">
        <w:rPr>
          <w:noProof w:val="0"/>
        </w:rPr>
        <w:tab/>
        <w:t xml:space="preserve">G. Dajaku and D. Gerling, "A novel 12-teeth/10-poles PM machine with flux barriers in stator yoke," in </w:t>
      </w:r>
      <w:r w:rsidRPr="00FC71BE">
        <w:rPr>
          <w:i/>
          <w:noProof w:val="0"/>
        </w:rPr>
        <w:t>2012 XXth International Conference on Electrical Machines</w:t>
      </w:r>
      <w:r w:rsidRPr="00FC71BE">
        <w:rPr>
          <w:noProof w:val="0"/>
        </w:rPr>
        <w:t xml:space="preserve">, 2012: IEEE, pp. 36-40. </w:t>
      </w:r>
    </w:p>
    <w:p w14:paraId="009A729F" w14:textId="77777777" w:rsidR="00304D60" w:rsidRPr="00FC71BE" w:rsidRDefault="00304D60" w:rsidP="003115A5">
      <w:pPr>
        <w:pStyle w:val="Reference"/>
        <w:rPr>
          <w:noProof w:val="0"/>
        </w:rPr>
      </w:pPr>
      <w:r w:rsidRPr="00FC71BE">
        <w:rPr>
          <w:noProof w:val="0"/>
        </w:rPr>
        <w:t>[49]</w:t>
      </w:r>
      <w:r w:rsidRPr="00FC71BE">
        <w:rPr>
          <w:noProof w:val="0"/>
        </w:rPr>
        <w:tab/>
        <w:t xml:space="preserve">G. Dajaku and D. Gerling, "Analysis of different PM machines with concentrated windings and flux barriers in stator core," in </w:t>
      </w:r>
      <w:r w:rsidRPr="00FC71BE">
        <w:rPr>
          <w:i/>
          <w:noProof w:val="0"/>
        </w:rPr>
        <w:t>2014 International Conference on Electrical Machines (ICEM)</w:t>
      </w:r>
      <w:r w:rsidRPr="00FC71BE">
        <w:rPr>
          <w:noProof w:val="0"/>
        </w:rPr>
        <w:t xml:space="preserve">, 2014: IEEE, pp. 375-384. </w:t>
      </w:r>
    </w:p>
    <w:p w14:paraId="5F0A0EEA" w14:textId="77777777" w:rsidR="00304D60" w:rsidRPr="00FC71BE" w:rsidRDefault="00304D60" w:rsidP="003115A5">
      <w:pPr>
        <w:pStyle w:val="Reference"/>
        <w:rPr>
          <w:noProof w:val="0"/>
        </w:rPr>
      </w:pPr>
      <w:r w:rsidRPr="00FC71BE">
        <w:rPr>
          <w:noProof w:val="0"/>
        </w:rPr>
        <w:t>[50]</w:t>
      </w:r>
      <w:r w:rsidRPr="00FC71BE">
        <w:rPr>
          <w:noProof w:val="0"/>
        </w:rPr>
        <w:tab/>
        <w:t xml:space="preserve">J. W. Gerold and D. Gerling, "Analysis of Different Arrangements of Flux Barriers and Different Pole Pairs in a Stator with Concentrated Winding," in </w:t>
      </w:r>
      <w:r w:rsidRPr="00FC71BE">
        <w:rPr>
          <w:i/>
          <w:noProof w:val="0"/>
        </w:rPr>
        <w:t>2018 XIII International Conference on Electrical Machines (ICEM)</w:t>
      </w:r>
      <w:r w:rsidRPr="00FC71BE">
        <w:rPr>
          <w:noProof w:val="0"/>
        </w:rPr>
        <w:t xml:space="preserve">, 2018: IEEE, pp. 58-64. </w:t>
      </w:r>
    </w:p>
    <w:p w14:paraId="067B8823" w14:textId="77777777" w:rsidR="00304D60" w:rsidRPr="00FC71BE" w:rsidRDefault="00304D60" w:rsidP="003115A5">
      <w:pPr>
        <w:pStyle w:val="Reference"/>
        <w:rPr>
          <w:noProof w:val="0"/>
        </w:rPr>
      </w:pPr>
      <w:r w:rsidRPr="00FC71BE">
        <w:rPr>
          <w:noProof w:val="0"/>
        </w:rPr>
        <w:t>[51]</w:t>
      </w:r>
      <w:r w:rsidRPr="00FC71BE">
        <w:rPr>
          <w:noProof w:val="0"/>
        </w:rPr>
        <w:tab/>
        <w:t xml:space="preserve">G. Li, X. Ma, G. Jewell, and Z. Zhu, "Novel modular switched reluctance machines for performance improvement," </w:t>
      </w:r>
      <w:r w:rsidRPr="00FC71BE">
        <w:rPr>
          <w:i/>
          <w:noProof w:val="0"/>
        </w:rPr>
        <w:t xml:space="preserve">IEEE Transactions on Energy Conversion, </w:t>
      </w:r>
      <w:r w:rsidRPr="00FC71BE">
        <w:rPr>
          <w:noProof w:val="0"/>
        </w:rPr>
        <w:t>vol. 33, no. 3, pp. 1255-1265, 2018.</w:t>
      </w:r>
    </w:p>
    <w:p w14:paraId="348930AF" w14:textId="77777777" w:rsidR="00304D60" w:rsidRPr="00FC71BE" w:rsidRDefault="00304D60" w:rsidP="003115A5">
      <w:pPr>
        <w:pStyle w:val="Reference"/>
        <w:rPr>
          <w:noProof w:val="0"/>
        </w:rPr>
      </w:pPr>
      <w:r w:rsidRPr="00FC71BE">
        <w:rPr>
          <w:noProof w:val="0"/>
        </w:rPr>
        <w:t>[52]</w:t>
      </w:r>
      <w:r w:rsidRPr="00FC71BE">
        <w:rPr>
          <w:noProof w:val="0"/>
        </w:rPr>
        <w:tab/>
        <w:t xml:space="preserve">C. Lee and R. Krishnan, "New designs of a two-phase E-core switched reluctance machine by optimizing the magnetic structure for a specific application: Concept, design, </w:t>
      </w:r>
      <w:r w:rsidRPr="00FC71BE">
        <w:rPr>
          <w:noProof w:val="0"/>
        </w:rPr>
        <w:lastRenderedPageBreak/>
        <w:t xml:space="preserve">and analysis," </w:t>
      </w:r>
      <w:r w:rsidRPr="00FC71BE">
        <w:rPr>
          <w:i/>
          <w:noProof w:val="0"/>
        </w:rPr>
        <w:t xml:space="preserve">IEEE Transactions on Industry Applications, </w:t>
      </w:r>
      <w:r w:rsidRPr="00FC71BE">
        <w:rPr>
          <w:noProof w:val="0"/>
        </w:rPr>
        <w:t>vol. 45, no. 5, pp. 1804-1814, 2009.</w:t>
      </w:r>
    </w:p>
    <w:p w14:paraId="5EC38FB2" w14:textId="77777777" w:rsidR="00304D60" w:rsidRPr="00FC71BE" w:rsidRDefault="00304D60" w:rsidP="003115A5">
      <w:pPr>
        <w:pStyle w:val="Reference"/>
        <w:rPr>
          <w:noProof w:val="0"/>
        </w:rPr>
      </w:pPr>
      <w:r w:rsidRPr="00FC71BE">
        <w:rPr>
          <w:noProof w:val="0"/>
        </w:rPr>
        <w:t>[53]</w:t>
      </w:r>
      <w:r w:rsidRPr="00FC71BE">
        <w:rPr>
          <w:noProof w:val="0"/>
        </w:rPr>
        <w:tab/>
        <w:t xml:space="preserve">S. H. Mao and M. C. Tsai, "A novel switched reluctance motor with C-core stators," </w:t>
      </w:r>
      <w:r w:rsidRPr="00FC71BE">
        <w:rPr>
          <w:i/>
          <w:noProof w:val="0"/>
        </w:rPr>
        <w:t xml:space="preserve">IEEE Transactions on Magnetics, </w:t>
      </w:r>
      <w:r w:rsidRPr="00FC71BE">
        <w:rPr>
          <w:noProof w:val="0"/>
        </w:rPr>
        <w:t>vol. 41, no. 12, pp. 4413-4420, 2005.</w:t>
      </w:r>
    </w:p>
    <w:p w14:paraId="2996F018" w14:textId="77777777" w:rsidR="00304D60" w:rsidRPr="00FC71BE" w:rsidRDefault="00304D60" w:rsidP="003115A5">
      <w:pPr>
        <w:pStyle w:val="Reference"/>
        <w:rPr>
          <w:noProof w:val="0"/>
        </w:rPr>
      </w:pPr>
      <w:r w:rsidRPr="00FC71BE">
        <w:rPr>
          <w:noProof w:val="0"/>
        </w:rPr>
        <w:t>[54]</w:t>
      </w:r>
      <w:r w:rsidRPr="00FC71BE">
        <w:rPr>
          <w:noProof w:val="0"/>
        </w:rPr>
        <w:tab/>
        <w:t xml:space="preserve">S. Ulbrich, J. Kopte, and J. Proske, "Cooling fin optimization on a TEFC electrical machine housing using a 2-D conjugate heat transfer model," </w:t>
      </w:r>
      <w:r w:rsidRPr="00FC71BE">
        <w:rPr>
          <w:i/>
          <w:noProof w:val="0"/>
        </w:rPr>
        <w:t xml:space="preserve">IEEE Transactions on Industrial Electronics, </w:t>
      </w:r>
      <w:r w:rsidRPr="00FC71BE">
        <w:rPr>
          <w:noProof w:val="0"/>
        </w:rPr>
        <w:t>vol. 65, no. 2, pp. 1711-1718, 2017.</w:t>
      </w:r>
    </w:p>
    <w:p w14:paraId="6A8B0CB3" w14:textId="77777777" w:rsidR="00304D60" w:rsidRPr="00FC71BE" w:rsidRDefault="00304D60" w:rsidP="003115A5">
      <w:pPr>
        <w:pStyle w:val="Reference"/>
        <w:rPr>
          <w:noProof w:val="0"/>
        </w:rPr>
      </w:pPr>
      <w:r w:rsidRPr="00FC71BE">
        <w:rPr>
          <w:noProof w:val="0"/>
        </w:rPr>
        <w:t>[55]</w:t>
      </w:r>
      <w:r w:rsidRPr="00FC71BE">
        <w:rPr>
          <w:noProof w:val="0"/>
        </w:rPr>
        <w:tab/>
        <w:t xml:space="preserve">G. Gilson, T. Raminosoa, S. Pickering, C. Gerada, and D. Hann, "A combined electromagnetic and thermal optimisation of an aerospace electric motor," in </w:t>
      </w:r>
      <w:r w:rsidRPr="00FC71BE">
        <w:rPr>
          <w:i/>
          <w:noProof w:val="0"/>
        </w:rPr>
        <w:t>The XIX International Conference on Electrical Machines-ICEM 2010</w:t>
      </w:r>
      <w:r w:rsidRPr="00FC71BE">
        <w:rPr>
          <w:noProof w:val="0"/>
        </w:rPr>
        <w:t xml:space="preserve">, 2010: IEEE, pp. 1-7. </w:t>
      </w:r>
    </w:p>
    <w:p w14:paraId="306BE108" w14:textId="77777777" w:rsidR="00304D60" w:rsidRPr="00FC71BE" w:rsidRDefault="00304D60" w:rsidP="003115A5">
      <w:pPr>
        <w:pStyle w:val="Reference"/>
        <w:rPr>
          <w:noProof w:val="0"/>
        </w:rPr>
      </w:pPr>
      <w:r w:rsidRPr="00FC71BE">
        <w:rPr>
          <w:noProof w:val="0"/>
        </w:rPr>
        <w:t>[56]</w:t>
      </w:r>
      <w:r w:rsidRPr="00FC71BE">
        <w:rPr>
          <w:noProof w:val="0"/>
        </w:rPr>
        <w:tab/>
        <w:t xml:space="preserve">Y. H. Gai, M. Kimiabeigi, Y. C. Chong, J. D. Widmer, X. Deng, M. Popescu, J. Goss, D. A. Staton, and A. Steven, "Cooling of automotive traction motors: Schemes, examples, and computation methods," </w:t>
      </w:r>
      <w:r w:rsidRPr="00FC71BE">
        <w:rPr>
          <w:i/>
          <w:noProof w:val="0"/>
        </w:rPr>
        <w:t xml:space="preserve">IEEE Transactions on Industrial Electronics, </w:t>
      </w:r>
      <w:r w:rsidRPr="00FC71BE">
        <w:rPr>
          <w:noProof w:val="0"/>
        </w:rPr>
        <w:t>vol. 66, no. 3, pp. 1681-1692, 2018.</w:t>
      </w:r>
    </w:p>
    <w:p w14:paraId="26965073" w14:textId="77777777" w:rsidR="00304D60" w:rsidRPr="00FC71BE" w:rsidRDefault="00304D60" w:rsidP="003115A5">
      <w:pPr>
        <w:pStyle w:val="Reference"/>
        <w:rPr>
          <w:noProof w:val="0"/>
        </w:rPr>
      </w:pPr>
      <w:r w:rsidRPr="00FC71BE">
        <w:rPr>
          <w:noProof w:val="0"/>
        </w:rPr>
        <w:t>[57]</w:t>
      </w:r>
      <w:r w:rsidRPr="00FC71BE">
        <w:rPr>
          <w:noProof w:val="0"/>
        </w:rPr>
        <w:tab/>
        <w:t xml:space="preserve">D. Staton, A. Boglietti, and A. Cavagnino, "Solving the more difficult aspects of electric motor thermal analysis in small and medium size industrial induction motors," </w:t>
      </w:r>
      <w:r w:rsidRPr="00FC71BE">
        <w:rPr>
          <w:i/>
          <w:noProof w:val="0"/>
        </w:rPr>
        <w:t xml:space="preserve">IEEE Transactions on Energy conversion, </w:t>
      </w:r>
      <w:r w:rsidRPr="00FC71BE">
        <w:rPr>
          <w:noProof w:val="0"/>
        </w:rPr>
        <w:t>vol. 20, no. 3, pp. 620-628, 2005.</w:t>
      </w:r>
    </w:p>
    <w:p w14:paraId="54B65F11" w14:textId="77777777" w:rsidR="00304D60" w:rsidRPr="00FC71BE" w:rsidRDefault="00304D60" w:rsidP="003115A5">
      <w:pPr>
        <w:pStyle w:val="Reference"/>
        <w:rPr>
          <w:noProof w:val="0"/>
        </w:rPr>
      </w:pPr>
      <w:r w:rsidRPr="00FC71BE">
        <w:rPr>
          <w:noProof w:val="0"/>
        </w:rPr>
        <w:t>[58]</w:t>
      </w:r>
      <w:r w:rsidRPr="00FC71BE">
        <w:rPr>
          <w:noProof w:val="0"/>
        </w:rPr>
        <w:tab/>
        <w:t xml:space="preserve">A. Boglietti, A. Cavagnino, and D. A. Staton, "TEFC induction motors thermal models: A parameter sensitivity analysis," in </w:t>
      </w:r>
      <w:r w:rsidRPr="00FC71BE">
        <w:rPr>
          <w:i/>
          <w:noProof w:val="0"/>
        </w:rPr>
        <w:t>Conference Record of the 2004 IEEE Industry Applications Conference, 2004. 39th IAS Annual Meeting.</w:t>
      </w:r>
      <w:r w:rsidRPr="00FC71BE">
        <w:rPr>
          <w:noProof w:val="0"/>
        </w:rPr>
        <w:t xml:space="preserve">, 2004, vol. 4: IEEE, pp. 2469-2476. </w:t>
      </w:r>
    </w:p>
    <w:p w14:paraId="5BECCEB2" w14:textId="77777777" w:rsidR="00304D60" w:rsidRPr="00FC71BE" w:rsidRDefault="00304D60" w:rsidP="003115A5">
      <w:pPr>
        <w:pStyle w:val="Reference"/>
        <w:rPr>
          <w:noProof w:val="0"/>
        </w:rPr>
      </w:pPr>
      <w:r w:rsidRPr="00FC71BE">
        <w:rPr>
          <w:noProof w:val="0"/>
        </w:rPr>
        <w:t>[59]</w:t>
      </w:r>
      <w:r w:rsidRPr="00FC71BE">
        <w:rPr>
          <w:noProof w:val="0"/>
        </w:rPr>
        <w:tab/>
        <w:t xml:space="preserve">M. A. Valenzuela and J. A. Tapia, "Heat transfer and thermal design of finned frames for TEFC variable-speed motors," </w:t>
      </w:r>
      <w:r w:rsidRPr="00FC71BE">
        <w:rPr>
          <w:i/>
          <w:noProof w:val="0"/>
        </w:rPr>
        <w:t xml:space="preserve">IEEE Transactions on Industrial Electronics, </w:t>
      </w:r>
      <w:r w:rsidRPr="00FC71BE">
        <w:rPr>
          <w:noProof w:val="0"/>
        </w:rPr>
        <w:t>vol. 55, no. 10, pp. 3500-3508, 2008.</w:t>
      </w:r>
    </w:p>
    <w:p w14:paraId="0C96CDAE" w14:textId="1CEE1516" w:rsidR="00304D60" w:rsidRPr="00FC71BE" w:rsidRDefault="00304D60" w:rsidP="003115A5">
      <w:pPr>
        <w:pStyle w:val="Reference"/>
        <w:rPr>
          <w:noProof w:val="0"/>
        </w:rPr>
      </w:pPr>
      <w:r w:rsidRPr="00FC71BE">
        <w:rPr>
          <w:noProof w:val="0"/>
        </w:rPr>
        <w:t>[60]</w:t>
      </w:r>
      <w:r w:rsidRPr="00FC71BE">
        <w:rPr>
          <w:noProof w:val="0"/>
        </w:rPr>
        <w:tab/>
        <w:t xml:space="preserve">ANSYS CFX. ANSYS CFX material database [Online] Available: </w:t>
      </w:r>
      <w:hyperlink r:id="rId285" w:history="1">
        <w:r w:rsidRPr="00FC71BE">
          <w:rPr>
            <w:rStyle w:val="Hyperlink"/>
            <w:noProof w:val="0"/>
            <w:color w:val="auto"/>
          </w:rPr>
          <w:t>https://www.ansys.com</w:t>
        </w:r>
      </w:hyperlink>
    </w:p>
    <w:p w14:paraId="41E97F2E" w14:textId="77777777" w:rsidR="00304D60" w:rsidRPr="00FC71BE" w:rsidRDefault="00304D60" w:rsidP="003115A5">
      <w:pPr>
        <w:pStyle w:val="Reference"/>
        <w:rPr>
          <w:noProof w:val="0"/>
        </w:rPr>
      </w:pPr>
      <w:r w:rsidRPr="00FC71BE">
        <w:rPr>
          <w:noProof w:val="0"/>
        </w:rPr>
        <w:t>[61]</w:t>
      </w:r>
      <w:r w:rsidRPr="00FC71BE">
        <w:rPr>
          <w:noProof w:val="0"/>
        </w:rPr>
        <w:tab/>
        <w:t xml:space="preserve">M. Polikarpova, P. Lindh, J. Tapia, and J. Pyrhönen, "Application of potting material for a 100 kW radial flux PMSM," in </w:t>
      </w:r>
      <w:r w:rsidRPr="00FC71BE">
        <w:rPr>
          <w:i/>
          <w:noProof w:val="0"/>
        </w:rPr>
        <w:t>2014 International Conference on Electrical Machines (ICEM)</w:t>
      </w:r>
      <w:r w:rsidRPr="00FC71BE">
        <w:rPr>
          <w:noProof w:val="0"/>
        </w:rPr>
        <w:t xml:space="preserve">, 2014: IEEE, pp. 2146-2151. </w:t>
      </w:r>
    </w:p>
    <w:p w14:paraId="4115CCDD" w14:textId="798AF27E" w:rsidR="00304D60" w:rsidRPr="00FC71BE" w:rsidRDefault="00304D60" w:rsidP="003115A5">
      <w:pPr>
        <w:pStyle w:val="Reference"/>
        <w:rPr>
          <w:noProof w:val="0"/>
        </w:rPr>
      </w:pPr>
      <w:r w:rsidRPr="00FC71BE">
        <w:rPr>
          <w:noProof w:val="0"/>
        </w:rPr>
        <w:t>[62]</w:t>
      </w:r>
      <w:r w:rsidRPr="00FC71BE">
        <w:rPr>
          <w:noProof w:val="0"/>
        </w:rPr>
        <w:tab/>
        <w:t xml:space="preserve">Lord Corp. technical data file. Thermoset SC-320 Thermally Conductive Silicone Encapsulant [Online] Available: </w:t>
      </w:r>
      <w:hyperlink r:id="rId286" w:history="1">
        <w:r w:rsidRPr="00FC71BE">
          <w:rPr>
            <w:rStyle w:val="Hyperlink"/>
            <w:noProof w:val="0"/>
            <w:color w:val="auto"/>
          </w:rPr>
          <w:t>www.lord.com</w:t>
        </w:r>
      </w:hyperlink>
    </w:p>
    <w:p w14:paraId="00EFBB29" w14:textId="77777777" w:rsidR="00304D60" w:rsidRPr="00FC71BE" w:rsidRDefault="00304D60" w:rsidP="003115A5">
      <w:pPr>
        <w:pStyle w:val="Reference"/>
        <w:rPr>
          <w:noProof w:val="0"/>
        </w:rPr>
      </w:pPr>
      <w:r w:rsidRPr="00FC71BE">
        <w:rPr>
          <w:noProof w:val="0"/>
        </w:rPr>
        <w:t>[63]</w:t>
      </w:r>
      <w:r w:rsidRPr="00FC71BE">
        <w:rPr>
          <w:noProof w:val="0"/>
        </w:rPr>
        <w:tab/>
        <w:t xml:space="preserve">D. Tracy, L. Nguyen, R. Giberti, A. Gallo, C. Bischof, J. Sweet, and A. Hsia, "Reliability of aluminum-nitride filled mold compound," in </w:t>
      </w:r>
      <w:r w:rsidRPr="00FC71BE">
        <w:rPr>
          <w:i/>
          <w:noProof w:val="0"/>
        </w:rPr>
        <w:t>1997 Proceedings 47th Electronic Components and Technology Conference</w:t>
      </w:r>
      <w:r w:rsidRPr="00FC71BE">
        <w:rPr>
          <w:noProof w:val="0"/>
        </w:rPr>
        <w:t xml:space="preserve">, 1997: IEEE, pp. 72-77. </w:t>
      </w:r>
    </w:p>
    <w:p w14:paraId="7625EDB2" w14:textId="77777777" w:rsidR="00304D60" w:rsidRPr="00FC71BE" w:rsidRDefault="00304D60" w:rsidP="003115A5">
      <w:pPr>
        <w:pStyle w:val="Reference"/>
        <w:rPr>
          <w:noProof w:val="0"/>
        </w:rPr>
      </w:pPr>
      <w:r w:rsidRPr="00FC71BE">
        <w:rPr>
          <w:noProof w:val="0"/>
        </w:rPr>
        <w:t>[64]</w:t>
      </w:r>
      <w:r w:rsidRPr="00FC71BE">
        <w:rPr>
          <w:noProof w:val="0"/>
        </w:rPr>
        <w:tab/>
        <w:t xml:space="preserve">H. Li, K. W. Klontz, V. E. Ferrell, and D. Barber, "Thermal models and electrical machine performance improvement using encapsulation material," </w:t>
      </w:r>
      <w:r w:rsidRPr="00FC71BE">
        <w:rPr>
          <w:i/>
          <w:noProof w:val="0"/>
        </w:rPr>
        <w:t xml:space="preserve">IEEE Transactions on Industry Applications, </w:t>
      </w:r>
      <w:r w:rsidRPr="00FC71BE">
        <w:rPr>
          <w:noProof w:val="0"/>
        </w:rPr>
        <w:t>vol. 53, no. 2, pp. 1063-1069, 2016.</w:t>
      </w:r>
    </w:p>
    <w:p w14:paraId="71EE3241" w14:textId="4084D7DD" w:rsidR="00304D60" w:rsidRPr="00FC71BE" w:rsidRDefault="00304D60" w:rsidP="003115A5">
      <w:pPr>
        <w:pStyle w:val="Reference"/>
        <w:rPr>
          <w:noProof w:val="0"/>
        </w:rPr>
      </w:pPr>
      <w:r w:rsidRPr="00FC71BE">
        <w:rPr>
          <w:noProof w:val="0"/>
        </w:rPr>
        <w:t>[65]</w:t>
      </w:r>
      <w:r w:rsidRPr="00FC71BE">
        <w:rPr>
          <w:noProof w:val="0"/>
        </w:rPr>
        <w:tab/>
        <w:t xml:space="preserve">Electrolube. Epoxy Resin ER2218 Technical reference [Online] Available: </w:t>
      </w:r>
      <w:hyperlink r:id="rId287" w:history="1">
        <w:r w:rsidRPr="00FC71BE">
          <w:rPr>
            <w:rStyle w:val="Hyperlink"/>
            <w:noProof w:val="0"/>
            <w:color w:val="auto"/>
          </w:rPr>
          <w:t>https://uk.rs-online.com</w:t>
        </w:r>
      </w:hyperlink>
    </w:p>
    <w:p w14:paraId="1DD1E2B1" w14:textId="77777777" w:rsidR="00304D60" w:rsidRPr="00FC71BE" w:rsidRDefault="00304D60" w:rsidP="003115A5">
      <w:pPr>
        <w:pStyle w:val="Reference"/>
        <w:rPr>
          <w:noProof w:val="0"/>
        </w:rPr>
      </w:pPr>
      <w:r w:rsidRPr="00FC71BE">
        <w:rPr>
          <w:noProof w:val="0"/>
        </w:rPr>
        <w:lastRenderedPageBreak/>
        <w:t>[66]</w:t>
      </w:r>
      <w:r w:rsidRPr="00FC71BE">
        <w:rPr>
          <w:noProof w:val="0"/>
        </w:rPr>
        <w:tab/>
        <w:t xml:space="preserve">M. Biasion, F. J. Fernandes, P. J. da Costa Branco, S. Vaschetto, A. Cavagnino, and A. Tenconi, "A comparison of cryogenic-cooled and superconducting electrical machines," in </w:t>
      </w:r>
      <w:r w:rsidRPr="00FC71BE">
        <w:rPr>
          <w:i/>
          <w:noProof w:val="0"/>
        </w:rPr>
        <w:t>2021 IEEE Energy Conversion Congress and Exposition (ECCE)</w:t>
      </w:r>
      <w:r w:rsidRPr="00FC71BE">
        <w:rPr>
          <w:noProof w:val="0"/>
        </w:rPr>
        <w:t xml:space="preserve">, 2021: IEEE, pp. 4045-4052. </w:t>
      </w:r>
    </w:p>
    <w:p w14:paraId="7F3DF129" w14:textId="77777777" w:rsidR="00304D60" w:rsidRPr="00FC71BE" w:rsidRDefault="00304D60" w:rsidP="003115A5">
      <w:pPr>
        <w:pStyle w:val="Reference"/>
        <w:rPr>
          <w:noProof w:val="0"/>
        </w:rPr>
      </w:pPr>
      <w:r w:rsidRPr="00FC71BE">
        <w:rPr>
          <w:noProof w:val="0"/>
        </w:rPr>
        <w:t>[67]</w:t>
      </w:r>
      <w:r w:rsidRPr="00FC71BE">
        <w:rPr>
          <w:noProof w:val="0"/>
        </w:rPr>
        <w:tab/>
        <w:t xml:space="preserve">S. Vaschetto, M. A. Darmani, A. Cavagnino, and A. Tenconi, "Nanofluids for rotating electrical machines cooling: perspectives and challenges," in </w:t>
      </w:r>
      <w:r w:rsidRPr="00FC71BE">
        <w:rPr>
          <w:i/>
          <w:noProof w:val="0"/>
        </w:rPr>
        <w:t>2019 21st European Conference on Power Electronics and Applications (EPE'19 ECCE Europe)</w:t>
      </w:r>
      <w:r w:rsidRPr="00FC71BE">
        <w:rPr>
          <w:noProof w:val="0"/>
        </w:rPr>
        <w:t xml:space="preserve">, 2019: IEEE, pp. P. 1-P. 10. </w:t>
      </w:r>
    </w:p>
    <w:p w14:paraId="7FB6DC90" w14:textId="77777777" w:rsidR="00304D60" w:rsidRPr="00FC71BE" w:rsidRDefault="00304D60" w:rsidP="003115A5">
      <w:pPr>
        <w:pStyle w:val="Reference"/>
        <w:rPr>
          <w:noProof w:val="0"/>
        </w:rPr>
      </w:pPr>
      <w:r w:rsidRPr="00FC71BE">
        <w:rPr>
          <w:noProof w:val="0"/>
        </w:rPr>
        <w:t>[68]</w:t>
      </w:r>
      <w:r w:rsidRPr="00FC71BE">
        <w:rPr>
          <w:noProof w:val="0"/>
        </w:rPr>
        <w:tab/>
        <w:t xml:space="preserve">G. Karimi Moghaddam, R. D. Gould, S. Bhattacharya, and D. D. Tremelling, "Thermomagnetic liquid cooling: A novel electric machine thermal management solution," in </w:t>
      </w:r>
      <w:r w:rsidRPr="00FC71BE">
        <w:rPr>
          <w:i/>
          <w:noProof w:val="0"/>
        </w:rPr>
        <w:t>2014 IEEE Energy Conversion Congress and Exposition (ECCE)</w:t>
      </w:r>
      <w:r w:rsidRPr="00FC71BE">
        <w:rPr>
          <w:noProof w:val="0"/>
        </w:rPr>
        <w:t xml:space="preserve">, 2014: IEEE, pp. 1482-1489. </w:t>
      </w:r>
    </w:p>
    <w:p w14:paraId="2E86DD4C" w14:textId="77777777" w:rsidR="00304D60" w:rsidRPr="00FC71BE" w:rsidRDefault="00304D60" w:rsidP="003115A5">
      <w:pPr>
        <w:pStyle w:val="Reference"/>
        <w:rPr>
          <w:noProof w:val="0"/>
        </w:rPr>
      </w:pPr>
      <w:r w:rsidRPr="00FC71BE">
        <w:rPr>
          <w:noProof w:val="0"/>
        </w:rPr>
        <w:t>[69]</w:t>
      </w:r>
      <w:r w:rsidRPr="00FC71BE">
        <w:rPr>
          <w:noProof w:val="0"/>
        </w:rPr>
        <w:tab/>
        <w:t xml:space="preserve">I. T’Jollyn, J. Nonneman, S. Vanhee, and M. De Paepe, "Measurements on Thermal Buffering of Electric Machine Peak Loads With Phase Change Materials," in </w:t>
      </w:r>
      <w:r w:rsidRPr="00FC71BE">
        <w:rPr>
          <w:i/>
          <w:noProof w:val="0"/>
        </w:rPr>
        <w:t>2022 International Conference on Electrical Machines (ICEM)</w:t>
      </w:r>
      <w:r w:rsidRPr="00FC71BE">
        <w:rPr>
          <w:noProof w:val="0"/>
        </w:rPr>
        <w:t xml:space="preserve">, 2022: IEEE, pp. 1934-1940. </w:t>
      </w:r>
    </w:p>
    <w:p w14:paraId="3C84C7AB" w14:textId="77777777" w:rsidR="00304D60" w:rsidRPr="00FC71BE" w:rsidRDefault="00304D60" w:rsidP="003115A5">
      <w:pPr>
        <w:pStyle w:val="Reference"/>
        <w:rPr>
          <w:noProof w:val="0"/>
        </w:rPr>
      </w:pPr>
      <w:r w:rsidRPr="00FC71BE">
        <w:rPr>
          <w:noProof w:val="0"/>
        </w:rPr>
        <w:t>[70]</w:t>
      </w:r>
      <w:r w:rsidRPr="00FC71BE">
        <w:rPr>
          <w:noProof w:val="0"/>
        </w:rPr>
        <w:tab/>
        <w:t xml:space="preserve">F. Y. Zhang, D. Gerada, Z. Y. Xu, X. C. Zhang, C. Tighe, H. Zhang, and C. Gerada, "Back-iron extension thermal benefits for electrical machines with concentrated windings," </w:t>
      </w:r>
      <w:r w:rsidRPr="00FC71BE">
        <w:rPr>
          <w:i/>
          <w:noProof w:val="0"/>
        </w:rPr>
        <w:t xml:space="preserve">IEEE Transactions on Industrial Electronics, </w:t>
      </w:r>
      <w:r w:rsidRPr="00FC71BE">
        <w:rPr>
          <w:noProof w:val="0"/>
        </w:rPr>
        <w:t>vol. 67, no. 3, pp. 1728-1738, 2019.</w:t>
      </w:r>
    </w:p>
    <w:p w14:paraId="1A0A8477" w14:textId="77777777" w:rsidR="00304D60" w:rsidRPr="00FC71BE" w:rsidRDefault="00304D60" w:rsidP="003115A5">
      <w:pPr>
        <w:pStyle w:val="Reference"/>
        <w:rPr>
          <w:noProof w:val="0"/>
        </w:rPr>
      </w:pPr>
      <w:r w:rsidRPr="00FC71BE">
        <w:rPr>
          <w:noProof w:val="0"/>
        </w:rPr>
        <w:t>[71]</w:t>
      </w:r>
      <w:r w:rsidRPr="00FC71BE">
        <w:rPr>
          <w:noProof w:val="0"/>
        </w:rPr>
        <w:tab/>
        <w:t xml:space="preserve">R. Wrobel and A. Hussein, "Design considerations of heat guides fabricated using additive manufacturing for enhanced heat transfer in electrical machines," in </w:t>
      </w:r>
      <w:r w:rsidRPr="00FC71BE">
        <w:rPr>
          <w:i/>
          <w:noProof w:val="0"/>
        </w:rPr>
        <w:t>2018 IEEE Energy Conversion Congress and Exposition (ECCE)</w:t>
      </w:r>
      <w:r w:rsidRPr="00FC71BE">
        <w:rPr>
          <w:noProof w:val="0"/>
        </w:rPr>
        <w:t xml:space="preserve">, 2018: IEEE, pp. 6506-6513. </w:t>
      </w:r>
    </w:p>
    <w:p w14:paraId="32B7144D" w14:textId="77777777" w:rsidR="00304D60" w:rsidRPr="00FC71BE" w:rsidRDefault="00304D60" w:rsidP="003115A5">
      <w:pPr>
        <w:pStyle w:val="Reference"/>
        <w:rPr>
          <w:noProof w:val="0"/>
        </w:rPr>
      </w:pPr>
      <w:r w:rsidRPr="00FC71BE">
        <w:rPr>
          <w:noProof w:val="0"/>
        </w:rPr>
        <w:t>[72]</w:t>
      </w:r>
      <w:r w:rsidRPr="00FC71BE">
        <w:rPr>
          <w:noProof w:val="0"/>
        </w:rPr>
        <w:tab/>
        <w:t xml:space="preserve">W. Sixel, M. Liu, G. Nellis, and B. Sarlioglu, "Cooling of windings in electric machines via 3-D printed heat exchanger," </w:t>
      </w:r>
      <w:r w:rsidRPr="00FC71BE">
        <w:rPr>
          <w:i/>
          <w:noProof w:val="0"/>
        </w:rPr>
        <w:t xml:space="preserve">IEEE Transactions on Industry Applications, </w:t>
      </w:r>
      <w:r w:rsidRPr="00FC71BE">
        <w:rPr>
          <w:noProof w:val="0"/>
        </w:rPr>
        <w:t>vol. 56, no. 5, pp. 4718-4726, 2020.</w:t>
      </w:r>
    </w:p>
    <w:p w14:paraId="3EDA78CF" w14:textId="77777777" w:rsidR="00304D60" w:rsidRPr="00FC71BE" w:rsidRDefault="00304D60" w:rsidP="003115A5">
      <w:pPr>
        <w:pStyle w:val="Reference"/>
        <w:rPr>
          <w:noProof w:val="0"/>
        </w:rPr>
      </w:pPr>
      <w:r w:rsidRPr="00FC71BE">
        <w:rPr>
          <w:noProof w:val="0"/>
        </w:rPr>
        <w:t>[73]</w:t>
      </w:r>
      <w:r w:rsidRPr="00FC71BE">
        <w:rPr>
          <w:noProof w:val="0"/>
        </w:rPr>
        <w:tab/>
        <w:t xml:space="preserve">R. Wrobel and R. J. McGlen, "Heat pipes in thermal management of electrical machines–A review," </w:t>
      </w:r>
      <w:r w:rsidRPr="00FC71BE">
        <w:rPr>
          <w:i/>
          <w:noProof w:val="0"/>
        </w:rPr>
        <w:t xml:space="preserve">Thermal Science and Engineering Progress, </w:t>
      </w:r>
      <w:r w:rsidRPr="00FC71BE">
        <w:rPr>
          <w:noProof w:val="0"/>
        </w:rPr>
        <w:t>vol. 26, p. 101053, 2021.</w:t>
      </w:r>
    </w:p>
    <w:p w14:paraId="26DD7AB1" w14:textId="77777777" w:rsidR="00304D60" w:rsidRPr="00FC71BE" w:rsidRDefault="00304D60" w:rsidP="003115A5">
      <w:pPr>
        <w:pStyle w:val="Reference"/>
        <w:rPr>
          <w:noProof w:val="0"/>
        </w:rPr>
      </w:pPr>
      <w:r w:rsidRPr="00FC71BE">
        <w:rPr>
          <w:noProof w:val="0"/>
        </w:rPr>
        <w:t>[74]</w:t>
      </w:r>
      <w:r w:rsidRPr="00FC71BE">
        <w:rPr>
          <w:noProof w:val="0"/>
        </w:rPr>
        <w:tab/>
        <w:t xml:space="preserve">M. Polikarpova, P. Ponomarev, P. Lindh, I. Petrov, W. Jara, V. Naumanen, J. A. Tapia, and J. Pyrhönen, "Hybrid cooling method of axial-flux permanent-magnet machines for vehicle applications," </w:t>
      </w:r>
      <w:r w:rsidRPr="00FC71BE">
        <w:rPr>
          <w:i/>
          <w:noProof w:val="0"/>
        </w:rPr>
        <w:t xml:space="preserve">IEEE Transactions on Industrial Electronics, </w:t>
      </w:r>
      <w:r w:rsidRPr="00FC71BE">
        <w:rPr>
          <w:noProof w:val="0"/>
        </w:rPr>
        <w:t>vol. 62, no. 12, pp. 7382-7390, 2015.</w:t>
      </w:r>
    </w:p>
    <w:p w14:paraId="2BA512F0" w14:textId="77777777" w:rsidR="00304D60" w:rsidRPr="00FC71BE" w:rsidRDefault="00304D60" w:rsidP="003115A5">
      <w:pPr>
        <w:pStyle w:val="Reference"/>
        <w:rPr>
          <w:noProof w:val="0"/>
        </w:rPr>
      </w:pPr>
      <w:r w:rsidRPr="00FC71BE">
        <w:rPr>
          <w:noProof w:val="0"/>
        </w:rPr>
        <w:t>[75]</w:t>
      </w:r>
      <w:r w:rsidRPr="00FC71BE">
        <w:rPr>
          <w:noProof w:val="0"/>
        </w:rPr>
        <w:tab/>
        <w:t xml:space="preserve">D. G. Dorrell, M.-F. Hsieh, M. Popescu, L. Evans, D. A. Staton, and V. Grout, "A review of the design issues and techniques for radial-flux brushless surface and internal rare-earth permanent-magnet motors," </w:t>
      </w:r>
      <w:r w:rsidRPr="00FC71BE">
        <w:rPr>
          <w:i/>
          <w:noProof w:val="0"/>
        </w:rPr>
        <w:t xml:space="preserve">IEEE Transactions on Industrial Electronics, </w:t>
      </w:r>
      <w:r w:rsidRPr="00FC71BE">
        <w:rPr>
          <w:noProof w:val="0"/>
        </w:rPr>
        <w:t>vol. 58, no. 9, pp. 3741-3757, 2010.</w:t>
      </w:r>
    </w:p>
    <w:p w14:paraId="0B777672" w14:textId="77777777" w:rsidR="00304D60" w:rsidRPr="00FC71BE" w:rsidRDefault="00304D60" w:rsidP="003115A5">
      <w:pPr>
        <w:pStyle w:val="Reference"/>
        <w:rPr>
          <w:noProof w:val="0"/>
        </w:rPr>
      </w:pPr>
      <w:r w:rsidRPr="00FC71BE">
        <w:rPr>
          <w:noProof w:val="0"/>
        </w:rPr>
        <w:t>[76]</w:t>
      </w:r>
      <w:r w:rsidRPr="00FC71BE">
        <w:rPr>
          <w:noProof w:val="0"/>
        </w:rPr>
        <w:tab/>
        <w:t>M. Polikarpova, "Liquid cooling solutions for rotating permanent magnet synchronous machines," 2014.</w:t>
      </w:r>
    </w:p>
    <w:p w14:paraId="1D5DED38" w14:textId="6FEA77D3" w:rsidR="00304D60" w:rsidRPr="00FC71BE" w:rsidRDefault="00304D60" w:rsidP="003115A5">
      <w:pPr>
        <w:pStyle w:val="Reference"/>
        <w:rPr>
          <w:noProof w:val="0"/>
        </w:rPr>
      </w:pPr>
      <w:r w:rsidRPr="00FC71BE">
        <w:rPr>
          <w:noProof w:val="0"/>
        </w:rPr>
        <w:t>[77]</w:t>
      </w:r>
      <w:r w:rsidRPr="00FC71BE">
        <w:rPr>
          <w:noProof w:val="0"/>
        </w:rPr>
        <w:tab/>
        <w:t xml:space="preserve">ANSYS Motor design Ltd., "ANSYS MotorCAD database." [Online]. Available: </w:t>
      </w:r>
      <w:hyperlink r:id="rId288" w:history="1">
        <w:r w:rsidRPr="00FC71BE">
          <w:rPr>
            <w:rStyle w:val="Hyperlink"/>
            <w:noProof w:val="0"/>
            <w:color w:val="auto"/>
          </w:rPr>
          <w:t>https://www.motor-design.com</w:t>
        </w:r>
      </w:hyperlink>
      <w:r w:rsidRPr="00FC71BE">
        <w:rPr>
          <w:noProof w:val="0"/>
        </w:rPr>
        <w:t>.</w:t>
      </w:r>
    </w:p>
    <w:p w14:paraId="30C0DC47" w14:textId="77777777" w:rsidR="00304D60" w:rsidRPr="00FC71BE" w:rsidRDefault="00304D60" w:rsidP="003115A5">
      <w:pPr>
        <w:pStyle w:val="Reference"/>
        <w:rPr>
          <w:noProof w:val="0"/>
        </w:rPr>
      </w:pPr>
      <w:r w:rsidRPr="00FC71BE">
        <w:rPr>
          <w:noProof w:val="0"/>
        </w:rPr>
        <w:lastRenderedPageBreak/>
        <w:t>[78]</w:t>
      </w:r>
      <w:r w:rsidRPr="00FC71BE">
        <w:rPr>
          <w:noProof w:val="0"/>
        </w:rPr>
        <w:tab/>
        <w:t xml:space="preserve">H. C. Lahne, D. Gerling, D. Staton, and Y. C. Chong, "Design of a 50000 rpm high-speed high-power six-phase PMSM for use in aircraft applications," in </w:t>
      </w:r>
      <w:r w:rsidRPr="00FC71BE">
        <w:rPr>
          <w:i/>
          <w:noProof w:val="0"/>
        </w:rPr>
        <w:t>2016 Eleventh International Conference on Ecological Vehicles and Renewable Energies (EVER)</w:t>
      </w:r>
      <w:r w:rsidRPr="00FC71BE">
        <w:rPr>
          <w:noProof w:val="0"/>
        </w:rPr>
        <w:t xml:space="preserve">, 2016: IEEE, pp. 1-11. </w:t>
      </w:r>
    </w:p>
    <w:p w14:paraId="54DF55F7" w14:textId="77777777" w:rsidR="00304D60" w:rsidRPr="00FC71BE" w:rsidRDefault="00304D60" w:rsidP="003115A5">
      <w:pPr>
        <w:pStyle w:val="Reference"/>
        <w:rPr>
          <w:noProof w:val="0"/>
        </w:rPr>
      </w:pPr>
      <w:r w:rsidRPr="00FC71BE">
        <w:rPr>
          <w:noProof w:val="0"/>
        </w:rPr>
        <w:t>[79]</w:t>
      </w:r>
      <w:r w:rsidRPr="00FC71BE">
        <w:rPr>
          <w:noProof w:val="0"/>
        </w:rPr>
        <w:tab/>
        <w:t xml:space="preserve">M. Roffi, F. J. Ferreira, and A. T. De Almeida, "Comparison of different cooling fan designs for electric motors," in </w:t>
      </w:r>
      <w:r w:rsidRPr="00FC71BE">
        <w:rPr>
          <w:i/>
          <w:noProof w:val="0"/>
        </w:rPr>
        <w:t>2017 IEEE International Electric Machines and Drives Conference (IEMDC)</w:t>
      </w:r>
      <w:r w:rsidRPr="00FC71BE">
        <w:rPr>
          <w:noProof w:val="0"/>
        </w:rPr>
        <w:t xml:space="preserve">, 2017: IEEE, pp. 1-7. </w:t>
      </w:r>
    </w:p>
    <w:p w14:paraId="67CB6CFF" w14:textId="77777777" w:rsidR="00304D60" w:rsidRPr="00FC71BE" w:rsidRDefault="00304D60" w:rsidP="003115A5">
      <w:pPr>
        <w:pStyle w:val="Reference"/>
        <w:rPr>
          <w:noProof w:val="0"/>
        </w:rPr>
      </w:pPr>
      <w:r w:rsidRPr="00FC71BE">
        <w:rPr>
          <w:noProof w:val="0"/>
        </w:rPr>
        <w:t>[80]</w:t>
      </w:r>
      <w:r w:rsidRPr="00FC71BE">
        <w:rPr>
          <w:noProof w:val="0"/>
        </w:rPr>
        <w:tab/>
        <w:t xml:space="preserve">A. Boglietti, A. Cavagnino, M. Lazzari, and A. Pastorelli, "A simplified thermal model for variable speed self cooled industrial induction motor," in </w:t>
      </w:r>
      <w:r w:rsidRPr="00FC71BE">
        <w:rPr>
          <w:i/>
          <w:noProof w:val="0"/>
        </w:rPr>
        <w:t>Conference Record of the 2002 IEEE Industry Applications Conference. 37th IAS Annual Meeting (Cat. No. 02CH37344)</w:t>
      </w:r>
      <w:r w:rsidRPr="00FC71BE">
        <w:rPr>
          <w:noProof w:val="0"/>
        </w:rPr>
        <w:t xml:space="preserve">, 2002, vol. 2: IEEE, pp. 723-730. </w:t>
      </w:r>
    </w:p>
    <w:p w14:paraId="70AA110A" w14:textId="77777777" w:rsidR="00304D60" w:rsidRPr="00FC71BE" w:rsidRDefault="00304D60" w:rsidP="003115A5">
      <w:pPr>
        <w:pStyle w:val="Reference"/>
        <w:rPr>
          <w:noProof w:val="0"/>
        </w:rPr>
      </w:pPr>
      <w:r w:rsidRPr="00FC71BE">
        <w:rPr>
          <w:noProof w:val="0"/>
        </w:rPr>
        <w:t>[81]</w:t>
      </w:r>
      <w:r w:rsidRPr="00FC71BE">
        <w:rPr>
          <w:noProof w:val="0"/>
        </w:rPr>
        <w:tab/>
        <w:t xml:space="preserve">C. Kral, A. Haumer, M. Haigis, H. Lang, and H. Kapeller, "Comparison of a CFD analysis and a thermal equivalent circuit model of a TEFC induction machine with measurements," </w:t>
      </w:r>
      <w:r w:rsidRPr="00FC71BE">
        <w:rPr>
          <w:i/>
          <w:noProof w:val="0"/>
        </w:rPr>
        <w:t xml:space="preserve">IEEE Transactions on Energy Conversion, </w:t>
      </w:r>
      <w:r w:rsidRPr="00FC71BE">
        <w:rPr>
          <w:noProof w:val="0"/>
        </w:rPr>
        <w:t>vol. 24, no. 4, pp. 809-818, 2009.</w:t>
      </w:r>
    </w:p>
    <w:p w14:paraId="60E03605" w14:textId="77777777" w:rsidR="00304D60" w:rsidRPr="00FC71BE" w:rsidRDefault="00304D60" w:rsidP="003115A5">
      <w:pPr>
        <w:pStyle w:val="Reference"/>
        <w:rPr>
          <w:noProof w:val="0"/>
        </w:rPr>
      </w:pPr>
      <w:r w:rsidRPr="00FC71BE">
        <w:rPr>
          <w:noProof w:val="0"/>
        </w:rPr>
        <w:t>[82]</w:t>
      </w:r>
      <w:r w:rsidRPr="00FC71BE">
        <w:rPr>
          <w:noProof w:val="0"/>
        </w:rPr>
        <w:tab/>
        <w:t xml:space="preserve">Z. Q. Zhu and D. Liang, "Perspective of Thermal Analysis and Management for Permanent Magnet Machines, with Particular Reference to Hotspot Temperatures," </w:t>
      </w:r>
      <w:r w:rsidRPr="00FC71BE">
        <w:rPr>
          <w:i/>
          <w:noProof w:val="0"/>
        </w:rPr>
        <w:t xml:space="preserve">Energies, </w:t>
      </w:r>
      <w:r w:rsidRPr="00FC71BE">
        <w:rPr>
          <w:noProof w:val="0"/>
        </w:rPr>
        <w:t>vol. 15, no. 21, p. 8189, 2022.</w:t>
      </w:r>
    </w:p>
    <w:p w14:paraId="731EDF01" w14:textId="77777777" w:rsidR="00304D60" w:rsidRPr="00FC71BE" w:rsidRDefault="00304D60" w:rsidP="003115A5">
      <w:pPr>
        <w:pStyle w:val="Reference"/>
        <w:rPr>
          <w:noProof w:val="0"/>
        </w:rPr>
      </w:pPr>
      <w:r w:rsidRPr="00FC71BE">
        <w:rPr>
          <w:noProof w:val="0"/>
        </w:rPr>
        <w:t>[83]</w:t>
      </w:r>
      <w:r w:rsidRPr="00FC71BE">
        <w:rPr>
          <w:noProof w:val="0"/>
        </w:rPr>
        <w:tab/>
        <w:t xml:space="preserve">S. Mizuno, S. Noda, M. Matsushita, T. Koyama, and S. Shiraishi, "Development of a totally enclosed fan-cooled traction motor," </w:t>
      </w:r>
      <w:r w:rsidRPr="00FC71BE">
        <w:rPr>
          <w:i/>
          <w:noProof w:val="0"/>
        </w:rPr>
        <w:t xml:space="preserve">IEEE Transactions on Industry Applications, </w:t>
      </w:r>
      <w:r w:rsidRPr="00FC71BE">
        <w:rPr>
          <w:noProof w:val="0"/>
        </w:rPr>
        <w:t>vol. 49, no. 4, pp. 1508-1514, 2013.</w:t>
      </w:r>
    </w:p>
    <w:p w14:paraId="69AB4380" w14:textId="77777777" w:rsidR="00304D60" w:rsidRPr="00FC71BE" w:rsidRDefault="00304D60" w:rsidP="003115A5">
      <w:pPr>
        <w:pStyle w:val="Reference"/>
        <w:rPr>
          <w:noProof w:val="0"/>
        </w:rPr>
      </w:pPr>
      <w:r w:rsidRPr="00FC71BE">
        <w:rPr>
          <w:noProof w:val="0"/>
        </w:rPr>
        <w:t>[84]</w:t>
      </w:r>
      <w:r w:rsidRPr="00FC71BE">
        <w:rPr>
          <w:noProof w:val="0"/>
        </w:rPr>
        <w:tab/>
        <w:t xml:space="preserve">C. Micallef, S. J. Pickering, K. A. Simmons, and K. J. Bradley, "Improved cooling in the end region of a strip-wound totally enclosed fan-cooled induction electric machine," </w:t>
      </w:r>
      <w:r w:rsidRPr="00FC71BE">
        <w:rPr>
          <w:i/>
          <w:noProof w:val="0"/>
        </w:rPr>
        <w:t xml:space="preserve">IEEE Transactions on industrial electronics, </w:t>
      </w:r>
      <w:r w:rsidRPr="00FC71BE">
        <w:rPr>
          <w:noProof w:val="0"/>
        </w:rPr>
        <w:t>vol. 55, no. 10, pp. 3517-3524, 2008.</w:t>
      </w:r>
    </w:p>
    <w:p w14:paraId="3D1C27BB" w14:textId="77777777" w:rsidR="00304D60" w:rsidRPr="00FC71BE" w:rsidRDefault="00304D60" w:rsidP="003115A5">
      <w:pPr>
        <w:pStyle w:val="Reference"/>
        <w:rPr>
          <w:noProof w:val="0"/>
        </w:rPr>
      </w:pPr>
      <w:r w:rsidRPr="00FC71BE">
        <w:rPr>
          <w:noProof w:val="0"/>
        </w:rPr>
        <w:t>[85]</w:t>
      </w:r>
      <w:r w:rsidRPr="00FC71BE">
        <w:rPr>
          <w:noProof w:val="0"/>
        </w:rPr>
        <w:tab/>
        <w:t xml:space="preserve">J. Mugglestone, D. Lampard, and S. J. Pickering, "Effects of end winding porosity upon the flow field and ventilation losses in the end region of TEFC induction machines," </w:t>
      </w:r>
      <w:r w:rsidRPr="00FC71BE">
        <w:rPr>
          <w:i/>
          <w:noProof w:val="0"/>
        </w:rPr>
        <w:t xml:space="preserve">IEE Proceedings-Electric Power Applications, </w:t>
      </w:r>
      <w:r w:rsidRPr="00FC71BE">
        <w:rPr>
          <w:noProof w:val="0"/>
        </w:rPr>
        <w:t>vol. 145, no. 5, pp. 423-428, 1998.</w:t>
      </w:r>
    </w:p>
    <w:p w14:paraId="46CC8A05" w14:textId="77777777" w:rsidR="00304D60" w:rsidRPr="00FC71BE" w:rsidRDefault="00304D60" w:rsidP="003115A5">
      <w:pPr>
        <w:pStyle w:val="Reference"/>
        <w:rPr>
          <w:noProof w:val="0"/>
        </w:rPr>
      </w:pPr>
      <w:r w:rsidRPr="00FC71BE">
        <w:rPr>
          <w:noProof w:val="0"/>
        </w:rPr>
        <w:t>[86]</w:t>
      </w:r>
      <w:r w:rsidRPr="00FC71BE">
        <w:rPr>
          <w:noProof w:val="0"/>
        </w:rPr>
        <w:tab/>
        <w:t xml:space="preserve">J. Mugglestone, S. J. Pickering, and D. Lampard, "Effect of geometric changes on the flow and heat transfer in the end region of a TEFC induction motor," in </w:t>
      </w:r>
      <w:r w:rsidRPr="00FC71BE">
        <w:rPr>
          <w:i/>
          <w:noProof w:val="0"/>
        </w:rPr>
        <w:t>1999. Ninth International Conference on Electrical Machines and Drives (Conf. Publ. No. 468)</w:t>
      </w:r>
      <w:r w:rsidRPr="00FC71BE">
        <w:rPr>
          <w:noProof w:val="0"/>
        </w:rPr>
        <w:t xml:space="preserve">, 1999: IET, pp. 40-44. </w:t>
      </w:r>
    </w:p>
    <w:p w14:paraId="2DAA069A" w14:textId="77777777" w:rsidR="00304D60" w:rsidRPr="00FC71BE" w:rsidRDefault="00304D60" w:rsidP="003115A5">
      <w:pPr>
        <w:pStyle w:val="Reference"/>
        <w:rPr>
          <w:noProof w:val="0"/>
        </w:rPr>
      </w:pPr>
      <w:r w:rsidRPr="00FC71BE">
        <w:rPr>
          <w:noProof w:val="0"/>
        </w:rPr>
        <w:t>[87]</w:t>
      </w:r>
      <w:r w:rsidRPr="00FC71BE">
        <w:rPr>
          <w:noProof w:val="0"/>
        </w:rPr>
        <w:tab/>
        <w:t xml:space="preserve">C. Yung, "Cool facts about cooling electric motors," in </w:t>
      </w:r>
      <w:r w:rsidRPr="00FC71BE">
        <w:rPr>
          <w:i/>
          <w:noProof w:val="0"/>
        </w:rPr>
        <w:t>Industry Applications Society 60th Annual Petroleum and Chemical Industry Conference</w:t>
      </w:r>
      <w:r w:rsidRPr="00FC71BE">
        <w:rPr>
          <w:noProof w:val="0"/>
        </w:rPr>
        <w:t xml:space="preserve">, 2013: IEEE, pp. 1-10. </w:t>
      </w:r>
    </w:p>
    <w:p w14:paraId="73F38FB4" w14:textId="77777777" w:rsidR="00304D60" w:rsidRPr="00FC71BE" w:rsidRDefault="00304D60" w:rsidP="003115A5">
      <w:pPr>
        <w:pStyle w:val="Reference"/>
        <w:rPr>
          <w:noProof w:val="0"/>
        </w:rPr>
      </w:pPr>
      <w:r w:rsidRPr="00FC71BE">
        <w:rPr>
          <w:noProof w:val="0"/>
        </w:rPr>
        <w:t>[88]</w:t>
      </w:r>
      <w:r w:rsidRPr="00FC71BE">
        <w:rPr>
          <w:noProof w:val="0"/>
        </w:rPr>
        <w:tab/>
        <w:t xml:space="preserve">A. S. Fawzal, R. M. Cirstea, K. N. Gyftakis, T. J. Woolmer, M. Dickison, and M. Blundell, "Fan performance analysis for rotor cooling of axial flux permanent magnet machines," </w:t>
      </w:r>
      <w:r w:rsidRPr="00FC71BE">
        <w:rPr>
          <w:i/>
          <w:noProof w:val="0"/>
        </w:rPr>
        <w:t xml:space="preserve">IEEE Transactions on Industry Applications, </w:t>
      </w:r>
      <w:r w:rsidRPr="00FC71BE">
        <w:rPr>
          <w:noProof w:val="0"/>
        </w:rPr>
        <w:t>vol. 53, no. 4, pp. 3295-3304, 2017.</w:t>
      </w:r>
    </w:p>
    <w:p w14:paraId="1D80AAF0" w14:textId="77777777" w:rsidR="00304D60" w:rsidRPr="00FC71BE" w:rsidRDefault="00304D60" w:rsidP="003115A5">
      <w:pPr>
        <w:pStyle w:val="Reference"/>
        <w:rPr>
          <w:noProof w:val="0"/>
        </w:rPr>
      </w:pPr>
      <w:r w:rsidRPr="00FC71BE">
        <w:rPr>
          <w:noProof w:val="0"/>
        </w:rPr>
        <w:t>[89]</w:t>
      </w:r>
      <w:r w:rsidRPr="00FC71BE">
        <w:rPr>
          <w:noProof w:val="0"/>
        </w:rPr>
        <w:tab/>
        <w:t xml:space="preserve">D. A. Staton and A. Cavagnino, "Convection heat transfer and flow calculations suitable for electric machines thermal models," </w:t>
      </w:r>
      <w:r w:rsidRPr="00FC71BE">
        <w:rPr>
          <w:i/>
          <w:noProof w:val="0"/>
        </w:rPr>
        <w:t xml:space="preserve">IEEE transactions on industrial electronics, </w:t>
      </w:r>
      <w:r w:rsidRPr="00FC71BE">
        <w:rPr>
          <w:noProof w:val="0"/>
        </w:rPr>
        <w:t>vol. 55, no. 10, pp. 3509-3516, 2008.</w:t>
      </w:r>
    </w:p>
    <w:p w14:paraId="32020E28" w14:textId="77777777" w:rsidR="00304D60" w:rsidRPr="00FC71BE" w:rsidRDefault="00304D60" w:rsidP="003115A5">
      <w:pPr>
        <w:pStyle w:val="Reference"/>
        <w:rPr>
          <w:noProof w:val="0"/>
        </w:rPr>
      </w:pPr>
      <w:r w:rsidRPr="00FC71BE">
        <w:rPr>
          <w:noProof w:val="0"/>
        </w:rPr>
        <w:lastRenderedPageBreak/>
        <w:t>[90]</w:t>
      </w:r>
      <w:r w:rsidRPr="00FC71BE">
        <w:rPr>
          <w:noProof w:val="0"/>
        </w:rPr>
        <w:tab/>
        <w:t xml:space="preserve">Y. Sato, S. Ishikawa, T. Okubo, M. Abe, and K. Tamai, "Development of high response motor and inverter system for the Nissan LEAF electric vehicle," SAE Technical Paper, 0148-7191, 2011. </w:t>
      </w:r>
    </w:p>
    <w:p w14:paraId="5ED08014" w14:textId="77777777" w:rsidR="00304D60" w:rsidRPr="00FC71BE" w:rsidRDefault="00304D60" w:rsidP="003115A5">
      <w:pPr>
        <w:pStyle w:val="Reference"/>
        <w:rPr>
          <w:noProof w:val="0"/>
        </w:rPr>
      </w:pPr>
      <w:r w:rsidRPr="00FC71BE">
        <w:rPr>
          <w:noProof w:val="0"/>
        </w:rPr>
        <w:t>[91]</w:t>
      </w:r>
      <w:r w:rsidRPr="00FC71BE">
        <w:rPr>
          <w:noProof w:val="0"/>
        </w:rPr>
        <w:tab/>
        <w:t xml:space="preserve">J. Doerr, T. Attensperger, L. Wittmann, and T. Enzinger, "The new electric axle drives from audi," </w:t>
      </w:r>
      <w:r w:rsidRPr="00FC71BE">
        <w:rPr>
          <w:i/>
          <w:noProof w:val="0"/>
        </w:rPr>
        <w:t xml:space="preserve">MTZ worldwide, </w:t>
      </w:r>
      <w:r w:rsidRPr="00FC71BE">
        <w:rPr>
          <w:noProof w:val="0"/>
        </w:rPr>
        <w:t>vol. 79, no. 6, pp. 18-25, 2018.</w:t>
      </w:r>
    </w:p>
    <w:p w14:paraId="1FD75D0E" w14:textId="77777777" w:rsidR="00304D60" w:rsidRPr="00FC71BE" w:rsidRDefault="00304D60" w:rsidP="003115A5">
      <w:pPr>
        <w:pStyle w:val="Reference"/>
        <w:rPr>
          <w:noProof w:val="0"/>
        </w:rPr>
      </w:pPr>
      <w:r w:rsidRPr="00FC71BE">
        <w:rPr>
          <w:noProof w:val="0"/>
        </w:rPr>
        <w:t>[92]</w:t>
      </w:r>
      <w:r w:rsidRPr="00FC71BE">
        <w:rPr>
          <w:noProof w:val="0"/>
        </w:rPr>
        <w:tab/>
        <w:t xml:space="preserve">B. Zhang, R. Qu, W. Xu, J. Wang, and Y. Chen, "Thermal model of totally enclosed water-cooled permanent magnet synchronous machines for electric vehicle applications," in </w:t>
      </w:r>
      <w:r w:rsidRPr="00FC71BE">
        <w:rPr>
          <w:i/>
          <w:noProof w:val="0"/>
        </w:rPr>
        <w:t>2014 International Conference on Electrical Machines (ICEM)</w:t>
      </w:r>
      <w:r w:rsidRPr="00FC71BE">
        <w:rPr>
          <w:noProof w:val="0"/>
        </w:rPr>
        <w:t xml:space="preserve">, 2014: IEEE, pp. 2205-2211. </w:t>
      </w:r>
    </w:p>
    <w:p w14:paraId="0CD134C0" w14:textId="77777777" w:rsidR="00304D60" w:rsidRPr="00FC71BE" w:rsidRDefault="00304D60" w:rsidP="003115A5">
      <w:pPr>
        <w:pStyle w:val="Reference"/>
        <w:rPr>
          <w:noProof w:val="0"/>
        </w:rPr>
      </w:pPr>
      <w:r w:rsidRPr="00FC71BE">
        <w:rPr>
          <w:noProof w:val="0"/>
        </w:rPr>
        <w:t>[93]</w:t>
      </w:r>
      <w:r w:rsidRPr="00FC71BE">
        <w:rPr>
          <w:noProof w:val="0"/>
        </w:rPr>
        <w:tab/>
        <w:t xml:space="preserve">L. Z. Ye, D. S. Li, Y. J. Ma, and B. F. Jiao, "Design and performance of a water-cooled permanent magnet retarder for heavy vehicles," </w:t>
      </w:r>
      <w:r w:rsidRPr="00FC71BE">
        <w:rPr>
          <w:i/>
          <w:noProof w:val="0"/>
        </w:rPr>
        <w:t xml:space="preserve">IEEE Transactions on Energy Conversion, </w:t>
      </w:r>
      <w:r w:rsidRPr="00FC71BE">
        <w:rPr>
          <w:noProof w:val="0"/>
        </w:rPr>
        <w:t>vol. 26, no. 3, pp. 953-958, 2011.</w:t>
      </w:r>
    </w:p>
    <w:p w14:paraId="66F9AD59" w14:textId="77777777" w:rsidR="00304D60" w:rsidRPr="00FC71BE" w:rsidRDefault="00304D60" w:rsidP="003115A5">
      <w:pPr>
        <w:pStyle w:val="Reference"/>
        <w:rPr>
          <w:noProof w:val="0"/>
        </w:rPr>
      </w:pPr>
      <w:r w:rsidRPr="00FC71BE">
        <w:rPr>
          <w:noProof w:val="0"/>
        </w:rPr>
        <w:t>[94]</w:t>
      </w:r>
      <w:r w:rsidRPr="00FC71BE">
        <w:rPr>
          <w:noProof w:val="0"/>
        </w:rPr>
        <w:tab/>
        <w:t xml:space="preserve">Y. C. Chong, D. Staton, Y. Gai, H. Adam, and M. Popescu, "Review of advanced cooling systems of modern electric machines for Emobility application," in </w:t>
      </w:r>
      <w:r w:rsidRPr="00FC71BE">
        <w:rPr>
          <w:i/>
          <w:noProof w:val="0"/>
        </w:rPr>
        <w:t>2021 IEEE Workshop on Electrical Machines Design, Control and Diagnosis (WEMDCD)</w:t>
      </w:r>
      <w:r w:rsidRPr="00FC71BE">
        <w:rPr>
          <w:noProof w:val="0"/>
        </w:rPr>
        <w:t xml:space="preserve">, 2021: IEEE, pp. 149-154. </w:t>
      </w:r>
    </w:p>
    <w:p w14:paraId="15C6DCF6" w14:textId="77777777" w:rsidR="00304D60" w:rsidRPr="00FC71BE" w:rsidRDefault="00304D60" w:rsidP="003115A5">
      <w:pPr>
        <w:pStyle w:val="Reference"/>
        <w:rPr>
          <w:noProof w:val="0"/>
        </w:rPr>
      </w:pPr>
      <w:r w:rsidRPr="00FC71BE">
        <w:rPr>
          <w:noProof w:val="0"/>
        </w:rPr>
        <w:t>[95]</w:t>
      </w:r>
      <w:r w:rsidRPr="00FC71BE">
        <w:rPr>
          <w:noProof w:val="0"/>
        </w:rPr>
        <w:tab/>
        <w:t xml:space="preserve">E. Sayed, M. Abdalmagid, G. Pietrini, N.-M. Sa’adeh, A. D. Callegaro, C. Goldstein, and A. Emadi, "Review of electric machines in more-/hybrid-/turbo-electric aircraft," </w:t>
      </w:r>
      <w:r w:rsidRPr="00FC71BE">
        <w:rPr>
          <w:i/>
          <w:noProof w:val="0"/>
        </w:rPr>
        <w:t xml:space="preserve">IEEE Transactions on Transportation Electrification, </w:t>
      </w:r>
      <w:r w:rsidRPr="00FC71BE">
        <w:rPr>
          <w:noProof w:val="0"/>
        </w:rPr>
        <w:t>vol. 7, no. 4, pp. 2976-3005, 2021.</w:t>
      </w:r>
    </w:p>
    <w:p w14:paraId="3CEF4816" w14:textId="77777777" w:rsidR="00304D60" w:rsidRPr="00FC71BE" w:rsidRDefault="00304D60" w:rsidP="003115A5">
      <w:pPr>
        <w:pStyle w:val="Reference"/>
        <w:rPr>
          <w:noProof w:val="0"/>
        </w:rPr>
      </w:pPr>
      <w:r w:rsidRPr="00FC71BE">
        <w:rPr>
          <w:noProof w:val="0"/>
        </w:rPr>
        <w:t>[96]</w:t>
      </w:r>
      <w:r w:rsidRPr="00FC71BE">
        <w:rPr>
          <w:noProof w:val="0"/>
        </w:rPr>
        <w:tab/>
        <w:t xml:space="preserve">T. Burress and S. Campbell, "Benchmarking EV and HEV power electronics and electric machines," in </w:t>
      </w:r>
      <w:r w:rsidRPr="00FC71BE">
        <w:rPr>
          <w:i/>
          <w:noProof w:val="0"/>
        </w:rPr>
        <w:t>2013 IEEE Transportation Electrification Conference and Expo (ITEC)</w:t>
      </w:r>
      <w:r w:rsidRPr="00FC71BE">
        <w:rPr>
          <w:noProof w:val="0"/>
        </w:rPr>
        <w:t xml:space="preserve">, 2013: IEEE, pp. 1-6. </w:t>
      </w:r>
    </w:p>
    <w:p w14:paraId="4BAD711C" w14:textId="77777777" w:rsidR="00304D60" w:rsidRPr="00FC71BE" w:rsidRDefault="00304D60" w:rsidP="003115A5">
      <w:pPr>
        <w:pStyle w:val="Reference"/>
        <w:rPr>
          <w:noProof w:val="0"/>
        </w:rPr>
      </w:pPr>
      <w:r w:rsidRPr="00FC71BE">
        <w:rPr>
          <w:noProof w:val="0"/>
        </w:rPr>
        <w:t>[97]</w:t>
      </w:r>
      <w:r w:rsidRPr="00FC71BE">
        <w:rPr>
          <w:noProof w:val="0"/>
        </w:rPr>
        <w:tab/>
        <w:t xml:space="preserve">V. Madonna, A. Walker, P. Giangrande, G. Serra, C. Gerada, and M. Galea, "Improved thermal management and analysis for stator end-windings of electrical machines," </w:t>
      </w:r>
      <w:r w:rsidRPr="00FC71BE">
        <w:rPr>
          <w:i/>
          <w:noProof w:val="0"/>
        </w:rPr>
        <w:t xml:space="preserve">IEEE Transactions on Industrial Electronics, </w:t>
      </w:r>
      <w:r w:rsidRPr="00FC71BE">
        <w:rPr>
          <w:noProof w:val="0"/>
        </w:rPr>
        <w:t>vol. 66, no. 7, pp. 5057-5069, 2018.</w:t>
      </w:r>
    </w:p>
    <w:p w14:paraId="3F2AB52F" w14:textId="77777777" w:rsidR="00304D60" w:rsidRPr="00FC71BE" w:rsidRDefault="00304D60" w:rsidP="003115A5">
      <w:pPr>
        <w:pStyle w:val="Reference"/>
        <w:rPr>
          <w:noProof w:val="0"/>
        </w:rPr>
      </w:pPr>
      <w:r w:rsidRPr="00FC71BE">
        <w:rPr>
          <w:noProof w:val="0"/>
        </w:rPr>
        <w:t>[98]</w:t>
      </w:r>
      <w:r w:rsidRPr="00FC71BE">
        <w:rPr>
          <w:noProof w:val="0"/>
        </w:rPr>
        <w:tab/>
        <w:t xml:space="preserve">Y. H. Gai, J. D. Widmer, A. Steven, Y. C. Chong, M. Kimiabeigi, J. Goss, and M. Popescu, "Numerical and experimental calculation of CHTC in an oil-based shaft cooling system for a high-speed high-power PMSM," </w:t>
      </w:r>
      <w:r w:rsidRPr="00FC71BE">
        <w:rPr>
          <w:i/>
          <w:noProof w:val="0"/>
        </w:rPr>
        <w:t xml:space="preserve">IEEE Transactions on Industrial Electronics, </w:t>
      </w:r>
      <w:r w:rsidRPr="00FC71BE">
        <w:rPr>
          <w:noProof w:val="0"/>
        </w:rPr>
        <w:t>vol. 67, no. 6, pp. 4371-4380, 2019.</w:t>
      </w:r>
    </w:p>
    <w:p w14:paraId="5987FC52" w14:textId="77777777" w:rsidR="00304D60" w:rsidRPr="00FC71BE" w:rsidRDefault="00304D60" w:rsidP="003115A5">
      <w:pPr>
        <w:pStyle w:val="Reference"/>
        <w:rPr>
          <w:noProof w:val="0"/>
        </w:rPr>
      </w:pPr>
      <w:r w:rsidRPr="00FC71BE">
        <w:rPr>
          <w:noProof w:val="0"/>
        </w:rPr>
        <w:t>[99]</w:t>
      </w:r>
      <w:r w:rsidRPr="00FC71BE">
        <w:rPr>
          <w:noProof w:val="0"/>
        </w:rPr>
        <w:tab/>
        <w:t xml:space="preserve">Y. Gai, M. Kimiabeigi, Y. C. Chong, J. D. Widmer, J. Goss, U. SanAndres, A. Steven, and D. A. Staton, "On the measurement and modeling of the heat transfer coefficient of a hollow-shaft rotary cooling system for a traction motor," </w:t>
      </w:r>
      <w:r w:rsidRPr="00FC71BE">
        <w:rPr>
          <w:i/>
          <w:noProof w:val="0"/>
        </w:rPr>
        <w:t xml:space="preserve">IEEE Transactions on Industry Applications, </w:t>
      </w:r>
      <w:r w:rsidRPr="00FC71BE">
        <w:rPr>
          <w:noProof w:val="0"/>
        </w:rPr>
        <w:t>vol. 54, no. 6, pp. 5978-5987, 2018.</w:t>
      </w:r>
    </w:p>
    <w:p w14:paraId="6F263DD4" w14:textId="77777777" w:rsidR="00304D60" w:rsidRPr="00FC71BE" w:rsidRDefault="00304D60" w:rsidP="003115A5">
      <w:pPr>
        <w:pStyle w:val="Reference"/>
        <w:rPr>
          <w:noProof w:val="0"/>
        </w:rPr>
      </w:pPr>
      <w:r w:rsidRPr="00FC71BE">
        <w:rPr>
          <w:noProof w:val="0"/>
        </w:rPr>
        <w:t>[100]</w:t>
      </w:r>
      <w:r w:rsidRPr="00FC71BE">
        <w:rPr>
          <w:noProof w:val="0"/>
        </w:rPr>
        <w:tab/>
        <w:t xml:space="preserve">Y. Gai, M. Kimiabeigi, J. Widmer, Y. Chong, J. Goss, U. SanAndres, and D. Staton, "Shaft cooling and the influence on the electromagnetic performance of traction motors," in </w:t>
      </w:r>
      <w:r w:rsidRPr="00FC71BE">
        <w:rPr>
          <w:i/>
          <w:noProof w:val="0"/>
        </w:rPr>
        <w:t>2017 IEEE International Electric Machines and Drives Conference (IEMDC)</w:t>
      </w:r>
      <w:r w:rsidRPr="00FC71BE">
        <w:rPr>
          <w:noProof w:val="0"/>
        </w:rPr>
        <w:t xml:space="preserve">, 2017: IEEE, pp. 1-6. </w:t>
      </w:r>
    </w:p>
    <w:p w14:paraId="3F455A65" w14:textId="77777777" w:rsidR="00304D60" w:rsidRPr="00FC71BE" w:rsidRDefault="00304D60" w:rsidP="003115A5">
      <w:pPr>
        <w:pStyle w:val="Reference"/>
        <w:rPr>
          <w:noProof w:val="0"/>
        </w:rPr>
      </w:pPr>
      <w:r w:rsidRPr="00FC71BE">
        <w:rPr>
          <w:noProof w:val="0"/>
        </w:rPr>
        <w:t>[101]</w:t>
      </w:r>
      <w:r w:rsidRPr="00FC71BE">
        <w:rPr>
          <w:noProof w:val="0"/>
        </w:rPr>
        <w:tab/>
        <w:t xml:space="preserve">Z. Huang, S. Nategh, V. Lassila, M. Alaküla, and J. Yuan, "Direct oil cooling of traction motors in hybrid drives," in </w:t>
      </w:r>
      <w:r w:rsidRPr="00FC71BE">
        <w:rPr>
          <w:i/>
          <w:noProof w:val="0"/>
        </w:rPr>
        <w:t>2012 IEEE International Electric Vehicle Conference</w:t>
      </w:r>
      <w:r w:rsidRPr="00FC71BE">
        <w:rPr>
          <w:noProof w:val="0"/>
        </w:rPr>
        <w:t xml:space="preserve">, 2012: IEEE, pp. 1-8. </w:t>
      </w:r>
    </w:p>
    <w:p w14:paraId="66B96B0E" w14:textId="77777777" w:rsidR="00304D60" w:rsidRPr="00FC71BE" w:rsidRDefault="00304D60" w:rsidP="003115A5">
      <w:pPr>
        <w:pStyle w:val="Reference"/>
        <w:rPr>
          <w:noProof w:val="0"/>
        </w:rPr>
      </w:pPr>
      <w:r w:rsidRPr="00FC71BE">
        <w:rPr>
          <w:noProof w:val="0"/>
        </w:rPr>
        <w:lastRenderedPageBreak/>
        <w:t>[102]</w:t>
      </w:r>
      <w:r w:rsidRPr="00FC71BE">
        <w:rPr>
          <w:noProof w:val="0"/>
        </w:rPr>
        <w:tab/>
        <w:t xml:space="preserve">A. La Rocca, Z. Xu, P. Arumugam, S. Pickering, C. Eastwick, C. Gerada, and S. Bozhko, "Thermal management of a high speed permanent magnet machine for an aeroengine," in </w:t>
      </w:r>
      <w:r w:rsidRPr="00FC71BE">
        <w:rPr>
          <w:i/>
          <w:noProof w:val="0"/>
        </w:rPr>
        <w:t>2016 XXII International Conference on Electrical Machines (ICEM)</w:t>
      </w:r>
      <w:r w:rsidRPr="00FC71BE">
        <w:rPr>
          <w:noProof w:val="0"/>
        </w:rPr>
        <w:t xml:space="preserve">, 2016: IEEE, pp. 2732-2737. </w:t>
      </w:r>
    </w:p>
    <w:p w14:paraId="26B3EF09" w14:textId="77777777" w:rsidR="00304D60" w:rsidRPr="00FC71BE" w:rsidRDefault="00304D60" w:rsidP="003115A5">
      <w:pPr>
        <w:pStyle w:val="Reference"/>
        <w:rPr>
          <w:noProof w:val="0"/>
        </w:rPr>
      </w:pPr>
      <w:r w:rsidRPr="00FC71BE">
        <w:rPr>
          <w:noProof w:val="0"/>
        </w:rPr>
        <w:t>[103]</w:t>
      </w:r>
      <w:r w:rsidRPr="00FC71BE">
        <w:rPr>
          <w:noProof w:val="0"/>
        </w:rPr>
        <w:tab/>
        <w:t xml:space="preserve">M. Schiefer and M. Doppelbauer, "Indirect slot cooling for high-power-density machines with concentrated winding," in </w:t>
      </w:r>
      <w:r w:rsidRPr="00FC71BE">
        <w:rPr>
          <w:i/>
          <w:noProof w:val="0"/>
        </w:rPr>
        <w:t>2015 IEEE International Electric Machines &amp; Drives Conference (IEMDC)</w:t>
      </w:r>
      <w:r w:rsidRPr="00FC71BE">
        <w:rPr>
          <w:noProof w:val="0"/>
        </w:rPr>
        <w:t xml:space="preserve">, 2015: IEEE, pp. 1820-1825. </w:t>
      </w:r>
    </w:p>
    <w:p w14:paraId="1F63658C" w14:textId="77777777" w:rsidR="00304D60" w:rsidRPr="00FC71BE" w:rsidRDefault="00304D60" w:rsidP="003115A5">
      <w:pPr>
        <w:pStyle w:val="Reference"/>
        <w:rPr>
          <w:noProof w:val="0"/>
        </w:rPr>
      </w:pPr>
      <w:r w:rsidRPr="00FC71BE">
        <w:rPr>
          <w:noProof w:val="0"/>
        </w:rPr>
        <w:t>[104]</w:t>
      </w:r>
      <w:r w:rsidRPr="00FC71BE">
        <w:rPr>
          <w:noProof w:val="0"/>
        </w:rPr>
        <w:tab/>
        <w:t xml:space="preserve">R. Zhou, G. J. Li, Z. Q. Zhu, M. Foster, D. Stone, C. J. Jia, and P. McKeever, "Novel liquid cooling technology for modular consequent-pole PM machines," in </w:t>
      </w:r>
      <w:r w:rsidRPr="00FC71BE">
        <w:rPr>
          <w:i/>
          <w:noProof w:val="0"/>
        </w:rPr>
        <w:t>2021 IEEE International Electric Machines &amp; Drives Conference (IEMDC)</w:t>
      </w:r>
      <w:r w:rsidRPr="00FC71BE">
        <w:rPr>
          <w:noProof w:val="0"/>
        </w:rPr>
        <w:t xml:space="preserve">, 2021: IEEE, pp. 1-7. </w:t>
      </w:r>
    </w:p>
    <w:p w14:paraId="124293E1" w14:textId="77777777" w:rsidR="00304D60" w:rsidRPr="00FC71BE" w:rsidRDefault="00304D60" w:rsidP="003115A5">
      <w:pPr>
        <w:pStyle w:val="Reference"/>
        <w:rPr>
          <w:noProof w:val="0"/>
        </w:rPr>
      </w:pPr>
      <w:r w:rsidRPr="00FC71BE">
        <w:rPr>
          <w:noProof w:val="0"/>
        </w:rPr>
        <w:t>[105]</w:t>
      </w:r>
      <w:r w:rsidRPr="00FC71BE">
        <w:rPr>
          <w:noProof w:val="0"/>
        </w:rPr>
        <w:tab/>
        <w:t xml:space="preserve">P. Ponomarev, M. Polikarpova, and J. Pyrhönen, "Thermal modeling of directly-oil-cooled permanent magnet synchronous machine," in </w:t>
      </w:r>
      <w:r w:rsidRPr="00FC71BE">
        <w:rPr>
          <w:i/>
          <w:noProof w:val="0"/>
        </w:rPr>
        <w:t>2012 XXth International Conference on Electrical Machines</w:t>
      </w:r>
      <w:r w:rsidRPr="00FC71BE">
        <w:rPr>
          <w:noProof w:val="0"/>
        </w:rPr>
        <w:t xml:space="preserve">, 2012: IEEE, pp. 1882-1887. </w:t>
      </w:r>
    </w:p>
    <w:p w14:paraId="33A4F05D" w14:textId="77777777" w:rsidR="00304D60" w:rsidRPr="00FC71BE" w:rsidRDefault="00304D60" w:rsidP="003115A5">
      <w:pPr>
        <w:pStyle w:val="Reference"/>
        <w:rPr>
          <w:noProof w:val="0"/>
        </w:rPr>
      </w:pPr>
      <w:r w:rsidRPr="00FC71BE">
        <w:rPr>
          <w:noProof w:val="0"/>
        </w:rPr>
        <w:t>[106]</w:t>
      </w:r>
      <w:r w:rsidRPr="00FC71BE">
        <w:rPr>
          <w:noProof w:val="0"/>
        </w:rPr>
        <w:tab/>
        <w:t xml:space="preserve">F. Y. Zhang, D. Gerada, Z. Y. Xu, C. Liu, H. Zhang, T. J. Zou, Y. C. Chong, and C. Gerada, "A thermal modeling approach and experimental validation for an oil spray-cooled hairpin winding machine," </w:t>
      </w:r>
      <w:r w:rsidRPr="00FC71BE">
        <w:rPr>
          <w:i/>
          <w:noProof w:val="0"/>
        </w:rPr>
        <w:t xml:space="preserve">IEEE Transactions on Transportation Electrification, </w:t>
      </w:r>
      <w:r w:rsidRPr="00FC71BE">
        <w:rPr>
          <w:noProof w:val="0"/>
        </w:rPr>
        <w:t>vol. 7, no. 4, pp. 2914-2926, 2021.</w:t>
      </w:r>
    </w:p>
    <w:p w14:paraId="0FB2A6ED" w14:textId="77777777" w:rsidR="00304D60" w:rsidRPr="00FC71BE" w:rsidRDefault="00304D60" w:rsidP="003115A5">
      <w:pPr>
        <w:pStyle w:val="Reference"/>
        <w:rPr>
          <w:noProof w:val="0"/>
        </w:rPr>
      </w:pPr>
      <w:r w:rsidRPr="00FC71BE">
        <w:rPr>
          <w:noProof w:val="0"/>
        </w:rPr>
        <w:t>[107]</w:t>
      </w:r>
      <w:r w:rsidRPr="00FC71BE">
        <w:rPr>
          <w:noProof w:val="0"/>
        </w:rPr>
        <w:tab/>
        <w:t xml:space="preserve">A. La Rocca, A. Fregni, S. La Rocca, and C. Gerada, "Numerical Thermal Modelling of Multiphase Spray Cooling of Hairpin Windings," in </w:t>
      </w:r>
      <w:r w:rsidRPr="00FC71BE">
        <w:rPr>
          <w:i/>
          <w:noProof w:val="0"/>
        </w:rPr>
        <w:t>2020 International Conference on Electrotechnical Complexes and Systems (ICOECS)</w:t>
      </w:r>
      <w:r w:rsidRPr="00FC71BE">
        <w:rPr>
          <w:noProof w:val="0"/>
        </w:rPr>
        <w:t xml:space="preserve">, 2020: IEEE, pp. 1-5. </w:t>
      </w:r>
    </w:p>
    <w:p w14:paraId="68A8E071" w14:textId="77777777" w:rsidR="00304D60" w:rsidRPr="00FC71BE" w:rsidRDefault="00304D60" w:rsidP="003115A5">
      <w:pPr>
        <w:pStyle w:val="Reference"/>
        <w:rPr>
          <w:noProof w:val="0"/>
        </w:rPr>
      </w:pPr>
      <w:r w:rsidRPr="00FC71BE">
        <w:rPr>
          <w:noProof w:val="0"/>
        </w:rPr>
        <w:t>[108]</w:t>
      </w:r>
      <w:r w:rsidRPr="00FC71BE">
        <w:rPr>
          <w:noProof w:val="0"/>
        </w:rPr>
        <w:tab/>
        <w:t xml:space="preserve">K. Bennion and G. Moreno, "Convective heat transfer coefficients of automatic transmission fluid jets with implications for electric machine thermal management," in </w:t>
      </w:r>
      <w:r w:rsidRPr="00FC71BE">
        <w:rPr>
          <w:i/>
          <w:noProof w:val="0"/>
        </w:rPr>
        <w:t>International Electronic Packaging Technical Conference and Exhibition</w:t>
      </w:r>
      <w:r w:rsidRPr="00FC71BE">
        <w:rPr>
          <w:noProof w:val="0"/>
        </w:rPr>
        <w:t xml:space="preserve">, 2015, vol. 56901: American Society of Mechanical Engineers, p. V003T04A010. </w:t>
      </w:r>
    </w:p>
    <w:p w14:paraId="2D18EB8E" w14:textId="77777777" w:rsidR="00304D60" w:rsidRPr="00FC71BE" w:rsidRDefault="00304D60" w:rsidP="003115A5">
      <w:pPr>
        <w:pStyle w:val="Reference"/>
        <w:rPr>
          <w:noProof w:val="0"/>
        </w:rPr>
      </w:pPr>
      <w:r w:rsidRPr="00FC71BE">
        <w:rPr>
          <w:noProof w:val="0"/>
        </w:rPr>
        <w:t>[109]</w:t>
      </w:r>
      <w:r w:rsidRPr="00FC71BE">
        <w:rPr>
          <w:noProof w:val="0"/>
        </w:rPr>
        <w:tab/>
        <w:t xml:space="preserve">C. F. Ma, Q. Zheng, S. C. Lee, and T. Gomi, "Impingement heat transfer and recovery effect with submerged jets of large Prandtl number liquid—I. Unconfined circular jets," </w:t>
      </w:r>
      <w:r w:rsidRPr="00FC71BE">
        <w:rPr>
          <w:i/>
          <w:noProof w:val="0"/>
        </w:rPr>
        <w:t xml:space="preserve">International journal of heat and mass transfer, </w:t>
      </w:r>
      <w:r w:rsidRPr="00FC71BE">
        <w:rPr>
          <w:noProof w:val="0"/>
        </w:rPr>
        <w:t>vol. 40, no. 6, pp. 1481-1490, 1997.</w:t>
      </w:r>
    </w:p>
    <w:p w14:paraId="2F38DCAF" w14:textId="77777777" w:rsidR="00304D60" w:rsidRPr="00FC71BE" w:rsidRDefault="00304D60" w:rsidP="003115A5">
      <w:pPr>
        <w:pStyle w:val="Reference"/>
        <w:rPr>
          <w:noProof w:val="0"/>
        </w:rPr>
      </w:pPr>
      <w:r w:rsidRPr="00FC71BE">
        <w:rPr>
          <w:noProof w:val="0"/>
        </w:rPr>
        <w:t>[110]</w:t>
      </w:r>
      <w:r w:rsidRPr="00FC71BE">
        <w:rPr>
          <w:noProof w:val="0"/>
        </w:rPr>
        <w:tab/>
        <w:t xml:space="preserve">R. Zhou, G. J. Li, Z. Q. Zhu, M. P. Foster, and D. A. Stone, "Improved cooling in modular consequent pole PM machine utilizing flux gaps," in </w:t>
      </w:r>
      <w:r w:rsidRPr="00FC71BE">
        <w:rPr>
          <w:i/>
          <w:noProof w:val="0"/>
        </w:rPr>
        <w:t>2020 IEEE Energy Conversion Congress and Exposition (ECCE)</w:t>
      </w:r>
      <w:r w:rsidRPr="00FC71BE">
        <w:rPr>
          <w:noProof w:val="0"/>
        </w:rPr>
        <w:t xml:space="preserve">, 2020: IEEE, pp. 4253-4260. </w:t>
      </w:r>
    </w:p>
    <w:p w14:paraId="437ED236" w14:textId="77777777" w:rsidR="00304D60" w:rsidRPr="00FC71BE" w:rsidRDefault="00304D60" w:rsidP="003115A5">
      <w:pPr>
        <w:pStyle w:val="Reference"/>
        <w:rPr>
          <w:noProof w:val="0"/>
        </w:rPr>
      </w:pPr>
      <w:r w:rsidRPr="00FC71BE">
        <w:rPr>
          <w:noProof w:val="0"/>
        </w:rPr>
        <w:t>[111]</w:t>
      </w:r>
      <w:r w:rsidRPr="00FC71BE">
        <w:rPr>
          <w:noProof w:val="0"/>
        </w:rPr>
        <w:tab/>
        <w:t xml:space="preserve">A. Nollau and D. Gerling, "A flux barrier cooling for traction motors in hybrid drives," in </w:t>
      </w:r>
      <w:r w:rsidRPr="00FC71BE">
        <w:rPr>
          <w:i/>
          <w:noProof w:val="0"/>
        </w:rPr>
        <w:t>2015 IEEE International Electric Machines &amp; Drives Conference (IEMDC)</w:t>
      </w:r>
      <w:r w:rsidRPr="00FC71BE">
        <w:rPr>
          <w:noProof w:val="0"/>
        </w:rPr>
        <w:t xml:space="preserve">, 2015: IEEE, pp. 1103-1108. </w:t>
      </w:r>
    </w:p>
    <w:p w14:paraId="5B45075D" w14:textId="77777777" w:rsidR="00304D60" w:rsidRPr="00FC71BE" w:rsidRDefault="00304D60" w:rsidP="003115A5">
      <w:pPr>
        <w:pStyle w:val="Reference"/>
        <w:rPr>
          <w:noProof w:val="0"/>
        </w:rPr>
      </w:pPr>
      <w:r w:rsidRPr="00FC71BE">
        <w:rPr>
          <w:noProof w:val="0"/>
        </w:rPr>
        <w:t>[112]</w:t>
      </w:r>
      <w:r w:rsidRPr="00FC71BE">
        <w:rPr>
          <w:noProof w:val="0"/>
        </w:rPr>
        <w:tab/>
        <w:t xml:space="preserve">G. Dajaku and D. Gerling, "Low costs and high-efficiency electric machines," in </w:t>
      </w:r>
      <w:r w:rsidRPr="00FC71BE">
        <w:rPr>
          <w:i/>
          <w:noProof w:val="0"/>
        </w:rPr>
        <w:t>2012 2nd International Electric Drives Production Conference (EDPC)</w:t>
      </w:r>
      <w:r w:rsidRPr="00FC71BE">
        <w:rPr>
          <w:noProof w:val="0"/>
        </w:rPr>
        <w:t xml:space="preserve">, 2012: IEEE, pp. 1-7. </w:t>
      </w:r>
    </w:p>
    <w:p w14:paraId="421FB363" w14:textId="77777777" w:rsidR="00304D60" w:rsidRPr="00FC71BE" w:rsidRDefault="00304D60" w:rsidP="003115A5">
      <w:pPr>
        <w:pStyle w:val="Reference"/>
        <w:rPr>
          <w:noProof w:val="0"/>
        </w:rPr>
      </w:pPr>
      <w:r w:rsidRPr="00FC71BE">
        <w:rPr>
          <w:noProof w:val="0"/>
        </w:rPr>
        <w:t>[113]</w:t>
      </w:r>
      <w:r w:rsidRPr="00FC71BE">
        <w:rPr>
          <w:noProof w:val="0"/>
        </w:rPr>
        <w:tab/>
        <w:t xml:space="preserve">G. Dajaku, W. Xie, and D. Gerling, "Reduction of low space harmonics for the fractional slot concentrated windings using a novel stator design," </w:t>
      </w:r>
      <w:r w:rsidRPr="00FC71BE">
        <w:rPr>
          <w:i/>
          <w:noProof w:val="0"/>
        </w:rPr>
        <w:t xml:space="preserve">IEEE Transactions on Magnetics, </w:t>
      </w:r>
      <w:r w:rsidRPr="00FC71BE">
        <w:rPr>
          <w:noProof w:val="0"/>
        </w:rPr>
        <w:t>vol. 50, no. 5, pp. 1-12, 2013.</w:t>
      </w:r>
    </w:p>
    <w:p w14:paraId="4FE99A5C" w14:textId="77777777" w:rsidR="00304D60" w:rsidRPr="00FC71BE" w:rsidRDefault="00304D60" w:rsidP="003115A5">
      <w:pPr>
        <w:pStyle w:val="Reference"/>
        <w:rPr>
          <w:noProof w:val="0"/>
        </w:rPr>
      </w:pPr>
      <w:r w:rsidRPr="00FC71BE">
        <w:rPr>
          <w:noProof w:val="0"/>
        </w:rPr>
        <w:t>[114]</w:t>
      </w:r>
      <w:r w:rsidRPr="00FC71BE">
        <w:rPr>
          <w:noProof w:val="0"/>
        </w:rPr>
        <w:tab/>
        <w:t xml:space="preserve">R. Hooke and T. A. Jeeves, "``Direct Search''Solution of Numerical and Statistical Problems," </w:t>
      </w:r>
      <w:r w:rsidRPr="00FC71BE">
        <w:rPr>
          <w:i/>
          <w:noProof w:val="0"/>
        </w:rPr>
        <w:t xml:space="preserve">Journal of the ACM (JACM), </w:t>
      </w:r>
      <w:r w:rsidRPr="00FC71BE">
        <w:rPr>
          <w:noProof w:val="0"/>
        </w:rPr>
        <w:t>vol. 8, no. 2, pp. 212-229, 1961.</w:t>
      </w:r>
    </w:p>
    <w:p w14:paraId="01664115" w14:textId="77777777" w:rsidR="00304D60" w:rsidRPr="00FC71BE" w:rsidRDefault="00304D60" w:rsidP="003115A5">
      <w:pPr>
        <w:pStyle w:val="Reference"/>
        <w:rPr>
          <w:noProof w:val="0"/>
        </w:rPr>
      </w:pPr>
      <w:r w:rsidRPr="00FC71BE">
        <w:rPr>
          <w:noProof w:val="0"/>
        </w:rPr>
        <w:lastRenderedPageBreak/>
        <w:t>[115]</w:t>
      </w:r>
      <w:r w:rsidRPr="00FC71BE">
        <w:rPr>
          <w:noProof w:val="0"/>
        </w:rPr>
        <w:tab/>
        <w:t xml:space="preserve">G. C. D. Sousa, B. K. Bose, and J. G. Cleland, "Fuzzy logic based on-line efficiency optimization control of an indirect vector-controlled induction motor drive," </w:t>
      </w:r>
      <w:r w:rsidRPr="00FC71BE">
        <w:rPr>
          <w:i/>
          <w:noProof w:val="0"/>
        </w:rPr>
        <w:t xml:space="preserve">IEEE Transactions on Industrial Electronics, </w:t>
      </w:r>
      <w:r w:rsidRPr="00FC71BE">
        <w:rPr>
          <w:noProof w:val="0"/>
        </w:rPr>
        <w:t>vol. 42, no. 2, pp. 192-198, 1995.</w:t>
      </w:r>
    </w:p>
    <w:p w14:paraId="084F9777" w14:textId="77777777" w:rsidR="00304D60" w:rsidRPr="00FC71BE" w:rsidRDefault="00304D60" w:rsidP="003115A5">
      <w:pPr>
        <w:pStyle w:val="Reference"/>
        <w:rPr>
          <w:noProof w:val="0"/>
        </w:rPr>
      </w:pPr>
      <w:r w:rsidRPr="00FC71BE">
        <w:rPr>
          <w:noProof w:val="0"/>
        </w:rPr>
        <w:t>[116]</w:t>
      </w:r>
      <w:r w:rsidRPr="00FC71BE">
        <w:rPr>
          <w:noProof w:val="0"/>
        </w:rPr>
        <w:tab/>
        <w:t xml:space="preserve">Y. Duan, R. Harley, and T. Habetler, "Comparison of particle swarm optimization and genetic algorithm in the design of permanent magnet motors," in </w:t>
      </w:r>
      <w:r w:rsidRPr="00FC71BE">
        <w:rPr>
          <w:i/>
          <w:noProof w:val="0"/>
        </w:rPr>
        <w:t>2009 IEEE 6th international power electronics and motion control conference</w:t>
      </w:r>
      <w:r w:rsidRPr="00FC71BE">
        <w:rPr>
          <w:noProof w:val="0"/>
        </w:rPr>
        <w:t xml:space="preserve">, 2009: IEEE, pp. 822-825. </w:t>
      </w:r>
    </w:p>
    <w:p w14:paraId="6861C055" w14:textId="77777777" w:rsidR="00304D60" w:rsidRPr="00FC71BE" w:rsidRDefault="00304D60" w:rsidP="003115A5">
      <w:pPr>
        <w:pStyle w:val="Reference"/>
        <w:rPr>
          <w:noProof w:val="0"/>
        </w:rPr>
      </w:pPr>
      <w:r w:rsidRPr="00FC71BE">
        <w:rPr>
          <w:noProof w:val="0"/>
        </w:rPr>
        <w:t>[117]</w:t>
      </w:r>
      <w:r w:rsidRPr="00FC71BE">
        <w:rPr>
          <w:noProof w:val="0"/>
        </w:rPr>
        <w:tab/>
        <w:t xml:space="preserve">N. Bianchi and S. Bolognani, "Design optimisation of electric motors by genetic algorithms," </w:t>
      </w:r>
      <w:r w:rsidRPr="00FC71BE">
        <w:rPr>
          <w:i/>
          <w:noProof w:val="0"/>
        </w:rPr>
        <w:t xml:space="preserve">IEE Proceedings-Electric Power Applications, </w:t>
      </w:r>
      <w:r w:rsidRPr="00FC71BE">
        <w:rPr>
          <w:noProof w:val="0"/>
        </w:rPr>
        <w:t>vol. 145, no. 5, pp. 475-483, 1998.</w:t>
      </w:r>
    </w:p>
    <w:p w14:paraId="215F89B0" w14:textId="77777777" w:rsidR="00304D60" w:rsidRPr="00FC71BE" w:rsidRDefault="00304D60" w:rsidP="003115A5">
      <w:pPr>
        <w:pStyle w:val="Reference"/>
        <w:rPr>
          <w:noProof w:val="0"/>
        </w:rPr>
      </w:pPr>
      <w:r w:rsidRPr="00FC71BE">
        <w:rPr>
          <w:noProof w:val="0"/>
        </w:rPr>
        <w:t>[118]</w:t>
      </w:r>
      <w:r w:rsidRPr="00FC71BE">
        <w:rPr>
          <w:noProof w:val="0"/>
        </w:rPr>
        <w:tab/>
        <w:t xml:space="preserve">O. A. Mohammed and G. Uler, "A hybrid technique for the optimal design of electromagnetic devices using direct search and genetic algorithms," </w:t>
      </w:r>
      <w:r w:rsidRPr="00FC71BE">
        <w:rPr>
          <w:i/>
          <w:noProof w:val="0"/>
        </w:rPr>
        <w:t xml:space="preserve">IEEE Transactions on Magnetics, </w:t>
      </w:r>
      <w:r w:rsidRPr="00FC71BE">
        <w:rPr>
          <w:noProof w:val="0"/>
        </w:rPr>
        <w:t>vol. 33, no. 2, pp. 1931-1934, 1997.</w:t>
      </w:r>
    </w:p>
    <w:p w14:paraId="62FCA9C3" w14:textId="77777777" w:rsidR="00304D60" w:rsidRPr="00FC71BE" w:rsidRDefault="00304D60" w:rsidP="003115A5">
      <w:pPr>
        <w:pStyle w:val="Reference"/>
        <w:rPr>
          <w:noProof w:val="0"/>
        </w:rPr>
      </w:pPr>
      <w:r w:rsidRPr="00FC71BE">
        <w:rPr>
          <w:noProof w:val="0"/>
        </w:rPr>
        <w:t>[119]</w:t>
      </w:r>
      <w:r w:rsidRPr="00FC71BE">
        <w:rPr>
          <w:noProof w:val="0"/>
        </w:rPr>
        <w:tab/>
        <w:t xml:space="preserve">S. Wang, X. Meng, N. Guo, H. Li, J. Qiu, J. G. Zhu, Y. Guo, D. Liu, Y. Wang, and W. Xu, "Multilevel optimization for surface mounted PM machine incorporating with FEM," </w:t>
      </w:r>
      <w:r w:rsidRPr="00FC71BE">
        <w:rPr>
          <w:i/>
          <w:noProof w:val="0"/>
        </w:rPr>
        <w:t xml:space="preserve">IEEE Transactions on Magnetics, </w:t>
      </w:r>
      <w:r w:rsidRPr="00FC71BE">
        <w:rPr>
          <w:noProof w:val="0"/>
        </w:rPr>
        <w:t>vol. 45, no. 10, pp. 4700-4703, 2009.</w:t>
      </w:r>
    </w:p>
    <w:p w14:paraId="77C7C3BB" w14:textId="77777777" w:rsidR="00304D60" w:rsidRPr="00FC71BE" w:rsidRDefault="00304D60" w:rsidP="003115A5">
      <w:pPr>
        <w:pStyle w:val="Reference"/>
        <w:rPr>
          <w:noProof w:val="0"/>
        </w:rPr>
      </w:pPr>
      <w:r w:rsidRPr="00FC71BE">
        <w:rPr>
          <w:noProof w:val="0"/>
        </w:rPr>
        <w:t>[120]</w:t>
      </w:r>
      <w:r w:rsidRPr="00FC71BE">
        <w:rPr>
          <w:noProof w:val="0"/>
        </w:rPr>
        <w:tab/>
        <w:t xml:space="preserve">A. Mahmoudi, S. Kahourzade, N. Abd Rahim, and W. P. Hew, "Design, analysis, and prototyping of an axial-flux permanent magnet motor based on genetic algorithm and finite-element analysis," </w:t>
      </w:r>
      <w:r w:rsidRPr="00FC71BE">
        <w:rPr>
          <w:i/>
          <w:noProof w:val="0"/>
        </w:rPr>
        <w:t xml:space="preserve">IEEE Transactions on Magnetics, </w:t>
      </w:r>
      <w:r w:rsidRPr="00FC71BE">
        <w:rPr>
          <w:noProof w:val="0"/>
        </w:rPr>
        <w:t>vol. 49, no. 4, pp. 1479-1492, 2012.</w:t>
      </w:r>
    </w:p>
    <w:p w14:paraId="6B59255A" w14:textId="77777777" w:rsidR="00304D60" w:rsidRPr="00FC71BE" w:rsidRDefault="00304D60" w:rsidP="003115A5">
      <w:pPr>
        <w:pStyle w:val="Reference"/>
        <w:rPr>
          <w:noProof w:val="0"/>
        </w:rPr>
      </w:pPr>
      <w:r w:rsidRPr="00FC71BE">
        <w:rPr>
          <w:noProof w:val="0"/>
        </w:rPr>
        <w:t>[121]</w:t>
      </w:r>
      <w:r w:rsidRPr="00FC71BE">
        <w:rPr>
          <w:noProof w:val="0"/>
        </w:rPr>
        <w:tab/>
        <w:t xml:space="preserve">W. Min, J. T. Chen, Z. Q. Zhu, Y. Zhu, M. Zhang, and G. H. Duan, "Optimization and comparison of novel E-core and C-core linear switched flux PM machines," </w:t>
      </w:r>
      <w:r w:rsidRPr="00FC71BE">
        <w:rPr>
          <w:i/>
          <w:noProof w:val="0"/>
        </w:rPr>
        <w:t xml:space="preserve">IEEE Transactions on Magnetics, </w:t>
      </w:r>
      <w:r w:rsidRPr="00FC71BE">
        <w:rPr>
          <w:noProof w:val="0"/>
        </w:rPr>
        <w:t>vol. 47, no. 8, pp. 2134-2141, 2011.</w:t>
      </w:r>
    </w:p>
    <w:p w14:paraId="7E8BA4EB" w14:textId="77777777" w:rsidR="00304D60" w:rsidRPr="00FC71BE" w:rsidRDefault="00304D60" w:rsidP="003115A5">
      <w:pPr>
        <w:pStyle w:val="Reference"/>
        <w:rPr>
          <w:noProof w:val="0"/>
        </w:rPr>
      </w:pPr>
      <w:r w:rsidRPr="00FC71BE">
        <w:rPr>
          <w:noProof w:val="0"/>
        </w:rPr>
        <w:t>[122]</w:t>
      </w:r>
      <w:r w:rsidRPr="00FC71BE">
        <w:rPr>
          <w:noProof w:val="0"/>
        </w:rPr>
        <w:tab/>
        <w:t xml:space="preserve">K. J. Han, H. S. Cho, D. H. Cho, and H. K. Jung, "Optimal core shape design for cogging torque reduction of brushless DC motor using genetic algorithm," </w:t>
      </w:r>
      <w:r w:rsidRPr="00FC71BE">
        <w:rPr>
          <w:i/>
          <w:noProof w:val="0"/>
        </w:rPr>
        <w:t xml:space="preserve">IEEE Transactions on Magnetics, </w:t>
      </w:r>
      <w:r w:rsidRPr="00FC71BE">
        <w:rPr>
          <w:noProof w:val="0"/>
        </w:rPr>
        <w:t>vol. 36, no. 4, pp. 1927-1931, 2000.</w:t>
      </w:r>
    </w:p>
    <w:p w14:paraId="7B8FD81A" w14:textId="77777777" w:rsidR="00304D60" w:rsidRPr="00FC71BE" w:rsidRDefault="00304D60" w:rsidP="003115A5">
      <w:pPr>
        <w:pStyle w:val="Reference"/>
        <w:rPr>
          <w:noProof w:val="0"/>
        </w:rPr>
      </w:pPr>
      <w:r w:rsidRPr="00FC71BE">
        <w:rPr>
          <w:noProof w:val="0"/>
        </w:rPr>
        <w:t>[123]</w:t>
      </w:r>
      <w:r w:rsidRPr="00FC71BE">
        <w:rPr>
          <w:noProof w:val="0"/>
        </w:rPr>
        <w:tab/>
        <w:t xml:space="preserve">W. Ouyang, D. Zarko, and T. Lipo, "Permanent magnet machine design practice and optimization," in </w:t>
      </w:r>
      <w:r w:rsidRPr="00FC71BE">
        <w:rPr>
          <w:i/>
          <w:noProof w:val="0"/>
        </w:rPr>
        <w:t>Conference Record of the 2006 IEEE Industry Applications Conference Forty-First IAS Annual Meeting</w:t>
      </w:r>
      <w:r w:rsidRPr="00FC71BE">
        <w:rPr>
          <w:noProof w:val="0"/>
        </w:rPr>
        <w:t xml:space="preserve">, 2006, vol. 4: IEEE, pp. 1905-1911. </w:t>
      </w:r>
    </w:p>
    <w:p w14:paraId="778CF681" w14:textId="77777777" w:rsidR="00304D60" w:rsidRPr="00FC71BE" w:rsidRDefault="00304D60" w:rsidP="003115A5">
      <w:pPr>
        <w:pStyle w:val="Reference"/>
        <w:rPr>
          <w:noProof w:val="0"/>
        </w:rPr>
      </w:pPr>
      <w:r w:rsidRPr="00FC71BE">
        <w:rPr>
          <w:noProof w:val="0"/>
        </w:rPr>
        <w:t>[124]</w:t>
      </w:r>
      <w:r w:rsidRPr="00FC71BE">
        <w:rPr>
          <w:noProof w:val="0"/>
        </w:rPr>
        <w:tab/>
        <w:t xml:space="preserve">M. Lukaniszyn, M. Jagiela, and R. Wrobel, "Optimization of permanent magnet shape for minimum cogging torque using a genetic algorithm," </w:t>
      </w:r>
      <w:r w:rsidRPr="00FC71BE">
        <w:rPr>
          <w:i/>
          <w:noProof w:val="0"/>
        </w:rPr>
        <w:t xml:space="preserve">IEEE Transactions on Magnetics, </w:t>
      </w:r>
      <w:r w:rsidRPr="00FC71BE">
        <w:rPr>
          <w:noProof w:val="0"/>
        </w:rPr>
        <w:t>vol. 40, no. 2, pp. 1228-1231, 2004.</w:t>
      </w:r>
    </w:p>
    <w:p w14:paraId="38CE5353" w14:textId="77777777" w:rsidR="00304D60" w:rsidRPr="00FC71BE" w:rsidRDefault="00304D60" w:rsidP="003115A5">
      <w:pPr>
        <w:pStyle w:val="Reference"/>
        <w:rPr>
          <w:noProof w:val="0"/>
        </w:rPr>
      </w:pPr>
      <w:r w:rsidRPr="00FC71BE">
        <w:rPr>
          <w:noProof w:val="0"/>
        </w:rPr>
        <w:t>[125]</w:t>
      </w:r>
      <w:r w:rsidRPr="00FC71BE">
        <w:rPr>
          <w:noProof w:val="0"/>
        </w:rPr>
        <w:tab/>
        <w:t xml:space="preserve">M. Ruba, F. Jurca, L. Czumbil, D. D. Micu, C. Martis, A. Polycarpou, and R. Rizzo, "Synchronous reluctance machine geometry optimisation through a genetic algorithm based technique," </w:t>
      </w:r>
      <w:r w:rsidRPr="00FC71BE">
        <w:rPr>
          <w:i/>
          <w:noProof w:val="0"/>
        </w:rPr>
        <w:t xml:space="preserve">IET Electric Power Applications, </w:t>
      </w:r>
      <w:r w:rsidRPr="00FC71BE">
        <w:rPr>
          <w:noProof w:val="0"/>
        </w:rPr>
        <w:t>vol. 12, no. 3, pp. 431-438, 2018.</w:t>
      </w:r>
    </w:p>
    <w:p w14:paraId="42452AE2" w14:textId="77777777" w:rsidR="00304D60" w:rsidRPr="00FC71BE" w:rsidRDefault="00304D60" w:rsidP="003115A5">
      <w:pPr>
        <w:pStyle w:val="Reference"/>
        <w:rPr>
          <w:noProof w:val="0"/>
        </w:rPr>
      </w:pPr>
      <w:r w:rsidRPr="00FC71BE">
        <w:rPr>
          <w:noProof w:val="0"/>
        </w:rPr>
        <w:t>[126]</w:t>
      </w:r>
      <w:r w:rsidRPr="00FC71BE">
        <w:rPr>
          <w:noProof w:val="0"/>
        </w:rPr>
        <w:tab/>
        <w:t xml:space="preserve">C. Lai, G. Feng, K. L. V. Iyer, K. Mukherjee, and N. C. Kar, "Genetic algorithm-based current optimization for torque ripple reduction of interior PMSMs," </w:t>
      </w:r>
      <w:r w:rsidRPr="00FC71BE">
        <w:rPr>
          <w:i/>
          <w:noProof w:val="0"/>
        </w:rPr>
        <w:t xml:space="preserve">IEEE Transactions on Industry Applications, </w:t>
      </w:r>
      <w:r w:rsidRPr="00FC71BE">
        <w:rPr>
          <w:noProof w:val="0"/>
        </w:rPr>
        <w:t>vol. 53, no. 5, pp. 4493-4503, 2017.</w:t>
      </w:r>
    </w:p>
    <w:p w14:paraId="4A877DF0" w14:textId="77777777" w:rsidR="00304D60" w:rsidRPr="00FC71BE" w:rsidRDefault="00304D60" w:rsidP="003115A5">
      <w:pPr>
        <w:pStyle w:val="Reference"/>
        <w:rPr>
          <w:noProof w:val="0"/>
        </w:rPr>
      </w:pPr>
      <w:r w:rsidRPr="00FC71BE">
        <w:rPr>
          <w:noProof w:val="0"/>
        </w:rPr>
        <w:lastRenderedPageBreak/>
        <w:t>[127]</w:t>
      </w:r>
      <w:r w:rsidRPr="00FC71BE">
        <w:rPr>
          <w:noProof w:val="0"/>
        </w:rPr>
        <w:tab/>
        <w:t xml:space="preserve">S. Ruoho, T. Santa-Nokki, J. Kolehmainen, and A. Arkkio, "Modeling magnet length in 2-D finite-element analysis of electric machines," </w:t>
      </w:r>
      <w:r w:rsidRPr="00FC71BE">
        <w:rPr>
          <w:i/>
          <w:noProof w:val="0"/>
        </w:rPr>
        <w:t xml:space="preserve">IEEE Transactions on Magnetics, </w:t>
      </w:r>
      <w:r w:rsidRPr="00FC71BE">
        <w:rPr>
          <w:noProof w:val="0"/>
        </w:rPr>
        <w:t>vol. 45, no. 8, pp. 3114-3120, 2009.</w:t>
      </w:r>
    </w:p>
    <w:p w14:paraId="086E9C3F" w14:textId="77777777" w:rsidR="00304D60" w:rsidRPr="00FC71BE" w:rsidRDefault="00304D60" w:rsidP="003115A5">
      <w:pPr>
        <w:pStyle w:val="Reference"/>
        <w:rPr>
          <w:noProof w:val="0"/>
        </w:rPr>
      </w:pPr>
      <w:r w:rsidRPr="00FC71BE">
        <w:rPr>
          <w:noProof w:val="0"/>
        </w:rPr>
        <w:t>[128]</w:t>
      </w:r>
      <w:r w:rsidRPr="00FC71BE">
        <w:rPr>
          <w:noProof w:val="0"/>
        </w:rPr>
        <w:tab/>
        <w:t xml:space="preserve">Z. Q. Zhu, "A simple method for measuring cogging torque in permanent magnet machines," in </w:t>
      </w:r>
      <w:r w:rsidRPr="00FC71BE">
        <w:rPr>
          <w:i/>
          <w:noProof w:val="0"/>
        </w:rPr>
        <w:t>2009 IEEE Power &amp; Energy Society General Meeting</w:t>
      </w:r>
      <w:r w:rsidRPr="00FC71BE">
        <w:rPr>
          <w:noProof w:val="0"/>
        </w:rPr>
        <w:t xml:space="preserve">, 2009: IEEE, pp. 1-4. </w:t>
      </w:r>
    </w:p>
    <w:p w14:paraId="3D758330" w14:textId="77777777" w:rsidR="00304D60" w:rsidRPr="00FC71BE" w:rsidRDefault="00304D60" w:rsidP="003115A5">
      <w:pPr>
        <w:pStyle w:val="Reference"/>
        <w:rPr>
          <w:noProof w:val="0"/>
        </w:rPr>
      </w:pPr>
      <w:r w:rsidRPr="00FC71BE">
        <w:rPr>
          <w:noProof w:val="0"/>
        </w:rPr>
        <w:t>[129]</w:t>
      </w:r>
      <w:r w:rsidRPr="00FC71BE">
        <w:rPr>
          <w:noProof w:val="0"/>
        </w:rPr>
        <w:tab/>
        <w:t xml:space="preserve">D. Joo, J. H. Cho, K. Woo, B. T. Kim, and D. K. Kim, "Electromagnetic field and thermal linked analysis of interior permanent-magnet synchronous motor for agricultural electric vehicle," </w:t>
      </w:r>
      <w:r w:rsidRPr="00FC71BE">
        <w:rPr>
          <w:i/>
          <w:noProof w:val="0"/>
        </w:rPr>
        <w:t xml:space="preserve">IEEE transactions on magnetics, </w:t>
      </w:r>
      <w:r w:rsidRPr="00FC71BE">
        <w:rPr>
          <w:noProof w:val="0"/>
        </w:rPr>
        <w:t>vol. 47, no. 10, pp. 4242-4245, 2011.</w:t>
      </w:r>
    </w:p>
    <w:p w14:paraId="28EE4722" w14:textId="77777777" w:rsidR="00304D60" w:rsidRPr="00FC71BE" w:rsidRDefault="00304D60" w:rsidP="003115A5">
      <w:pPr>
        <w:pStyle w:val="Reference"/>
        <w:rPr>
          <w:noProof w:val="0"/>
        </w:rPr>
      </w:pPr>
      <w:r w:rsidRPr="00FC71BE">
        <w:rPr>
          <w:noProof w:val="0"/>
        </w:rPr>
        <w:t>[130]</w:t>
      </w:r>
      <w:r w:rsidRPr="00FC71BE">
        <w:rPr>
          <w:noProof w:val="0"/>
        </w:rPr>
        <w:tab/>
        <w:t xml:space="preserve">P. Zhou, D. Lin, Y. Xiao, N. Lambert, and M. Rahman, "Temperature-dependent demagnetization model of permanent magnets for finite element analysis," </w:t>
      </w:r>
      <w:r w:rsidRPr="00FC71BE">
        <w:rPr>
          <w:i/>
          <w:noProof w:val="0"/>
        </w:rPr>
        <w:t xml:space="preserve">IEEE transactions on magnetics, </w:t>
      </w:r>
      <w:r w:rsidRPr="00FC71BE">
        <w:rPr>
          <w:noProof w:val="0"/>
        </w:rPr>
        <w:t>vol. 48, no. 2, pp. 1031-1034, 2012.</w:t>
      </w:r>
    </w:p>
    <w:p w14:paraId="7F9F6722" w14:textId="77777777" w:rsidR="00304D60" w:rsidRPr="00FC71BE" w:rsidRDefault="00304D60" w:rsidP="003115A5">
      <w:pPr>
        <w:pStyle w:val="Reference"/>
        <w:rPr>
          <w:noProof w:val="0"/>
        </w:rPr>
      </w:pPr>
      <w:r w:rsidRPr="00FC71BE">
        <w:rPr>
          <w:noProof w:val="0"/>
        </w:rPr>
        <w:t>[131]</w:t>
      </w:r>
      <w:r w:rsidRPr="00FC71BE">
        <w:rPr>
          <w:noProof w:val="0"/>
        </w:rPr>
        <w:tab/>
        <w:t xml:space="preserve">J. H. Dellinger, </w:t>
      </w:r>
      <w:r w:rsidRPr="00FC71BE">
        <w:rPr>
          <w:i/>
          <w:noProof w:val="0"/>
        </w:rPr>
        <w:t>The temperature coefficient of resistance of copper</w:t>
      </w:r>
      <w:r w:rsidRPr="00FC71BE">
        <w:rPr>
          <w:noProof w:val="0"/>
        </w:rPr>
        <w:t xml:space="preserve"> (no. 147). US Department of Commerce and Labor, Bureau of Standards, 1911.</w:t>
      </w:r>
    </w:p>
    <w:p w14:paraId="74CDA92B" w14:textId="77777777" w:rsidR="00304D60" w:rsidRPr="00FC71BE" w:rsidRDefault="00304D60" w:rsidP="003115A5">
      <w:pPr>
        <w:pStyle w:val="Reference"/>
        <w:rPr>
          <w:noProof w:val="0"/>
        </w:rPr>
      </w:pPr>
      <w:r w:rsidRPr="00FC71BE">
        <w:rPr>
          <w:noProof w:val="0"/>
        </w:rPr>
        <w:t>[132]</w:t>
      </w:r>
      <w:r w:rsidRPr="00FC71BE">
        <w:rPr>
          <w:noProof w:val="0"/>
        </w:rPr>
        <w:tab/>
        <w:t xml:space="preserve">W. Jiang and T. M. Jahns, "Development of efficient electromagnetic-thermal coupled model of electric machines based on finite element analysis," in </w:t>
      </w:r>
      <w:r w:rsidRPr="00FC71BE">
        <w:rPr>
          <w:i/>
          <w:noProof w:val="0"/>
        </w:rPr>
        <w:t>2013 International Electric Machines &amp; Drives Conference</w:t>
      </w:r>
      <w:r w:rsidRPr="00FC71BE">
        <w:rPr>
          <w:noProof w:val="0"/>
        </w:rPr>
        <w:t xml:space="preserve">, 2013: IEEE, pp. 816-823. </w:t>
      </w:r>
    </w:p>
    <w:p w14:paraId="4B2C5613" w14:textId="77777777" w:rsidR="00304D60" w:rsidRPr="00FC71BE" w:rsidRDefault="00304D60" w:rsidP="003115A5">
      <w:pPr>
        <w:pStyle w:val="Reference"/>
        <w:rPr>
          <w:noProof w:val="0"/>
        </w:rPr>
      </w:pPr>
      <w:r w:rsidRPr="00FC71BE">
        <w:rPr>
          <w:noProof w:val="0"/>
        </w:rPr>
        <w:t>[133]</w:t>
      </w:r>
      <w:r w:rsidRPr="00FC71BE">
        <w:rPr>
          <w:noProof w:val="0"/>
        </w:rPr>
        <w:tab/>
        <w:t xml:space="preserve">Y. W. Shi, J. B. Wang, and B. Wang, "Electromagnetic-thermal coupled simulation under various fault conditions of a triple redundant 9-phase PMASynRM," </w:t>
      </w:r>
      <w:r w:rsidRPr="00FC71BE">
        <w:rPr>
          <w:i/>
          <w:noProof w:val="0"/>
        </w:rPr>
        <w:t xml:space="preserve">IEEE Transactions on Industry Applications, </w:t>
      </w:r>
      <w:r w:rsidRPr="00FC71BE">
        <w:rPr>
          <w:noProof w:val="0"/>
        </w:rPr>
        <w:t>vol. 56, no. 1, pp. 128-137, 2019.</w:t>
      </w:r>
    </w:p>
    <w:p w14:paraId="2E54892E" w14:textId="77777777" w:rsidR="00304D60" w:rsidRPr="00FC71BE" w:rsidRDefault="00304D60" w:rsidP="003115A5">
      <w:pPr>
        <w:pStyle w:val="Reference"/>
        <w:rPr>
          <w:noProof w:val="0"/>
        </w:rPr>
      </w:pPr>
      <w:r w:rsidRPr="00FC71BE">
        <w:rPr>
          <w:noProof w:val="0"/>
        </w:rPr>
        <w:t>[134]</w:t>
      </w:r>
      <w:r w:rsidRPr="00FC71BE">
        <w:rPr>
          <w:noProof w:val="0"/>
        </w:rPr>
        <w:tab/>
        <w:t xml:space="preserve">K. T. Wu, Y. D. Yao, and I. Klik, "Electrical and magnetic properties of NdFeB films," </w:t>
      </w:r>
      <w:r w:rsidRPr="00FC71BE">
        <w:rPr>
          <w:i/>
          <w:noProof w:val="0"/>
        </w:rPr>
        <w:t xml:space="preserve">Applied surface science, </w:t>
      </w:r>
      <w:r w:rsidRPr="00FC71BE">
        <w:rPr>
          <w:noProof w:val="0"/>
        </w:rPr>
        <w:t>vol. 113, pp. 174-177, 1997.</w:t>
      </w:r>
    </w:p>
    <w:p w14:paraId="2131E66C" w14:textId="77777777" w:rsidR="00304D60" w:rsidRPr="00FC71BE" w:rsidRDefault="00304D60" w:rsidP="003115A5">
      <w:pPr>
        <w:pStyle w:val="Reference"/>
        <w:rPr>
          <w:noProof w:val="0"/>
        </w:rPr>
      </w:pPr>
      <w:r w:rsidRPr="00FC71BE">
        <w:rPr>
          <w:noProof w:val="0"/>
        </w:rPr>
        <w:t>[135]</w:t>
      </w:r>
      <w:r w:rsidRPr="00FC71BE">
        <w:rPr>
          <w:noProof w:val="0"/>
        </w:rPr>
        <w:tab/>
        <w:t xml:space="preserve">A. M. El Refaie, N. C. Harris, T. M. Jahns, and K. M. Rahman, "Thermal analysis of multibarrier interior PM synchronous machine using lumped parameter model," </w:t>
      </w:r>
      <w:r w:rsidRPr="00FC71BE">
        <w:rPr>
          <w:i/>
          <w:noProof w:val="0"/>
        </w:rPr>
        <w:t xml:space="preserve">IEEE Transactions on Energy Conversion, </w:t>
      </w:r>
      <w:r w:rsidRPr="00FC71BE">
        <w:rPr>
          <w:noProof w:val="0"/>
        </w:rPr>
        <w:t>vol. 19, no. 2, pp. 303-309, 2004.</w:t>
      </w:r>
    </w:p>
    <w:p w14:paraId="0D5E0DD3" w14:textId="77777777" w:rsidR="00304D60" w:rsidRPr="00FC71BE" w:rsidRDefault="00304D60" w:rsidP="003115A5">
      <w:pPr>
        <w:pStyle w:val="Reference"/>
        <w:rPr>
          <w:noProof w:val="0"/>
        </w:rPr>
      </w:pPr>
      <w:r w:rsidRPr="00FC71BE">
        <w:rPr>
          <w:noProof w:val="0"/>
        </w:rPr>
        <w:t>[136]</w:t>
      </w:r>
      <w:r w:rsidRPr="00FC71BE">
        <w:rPr>
          <w:noProof w:val="0"/>
        </w:rPr>
        <w:tab/>
        <w:t xml:space="preserve">J. Nerg, M. Rilla, and J. Pyrhonen, "Thermal analysis of radial-flux electrical machines with a high power density," </w:t>
      </w:r>
      <w:r w:rsidRPr="00FC71BE">
        <w:rPr>
          <w:i/>
          <w:noProof w:val="0"/>
        </w:rPr>
        <w:t xml:space="preserve">IEEE Transactions on industrial electronics, </w:t>
      </w:r>
      <w:r w:rsidRPr="00FC71BE">
        <w:rPr>
          <w:noProof w:val="0"/>
        </w:rPr>
        <w:t>vol. 55, no. 10, pp. 3543-3554, 2008.</w:t>
      </w:r>
    </w:p>
    <w:p w14:paraId="7E64BE21" w14:textId="77777777" w:rsidR="00304D60" w:rsidRPr="00FC71BE" w:rsidRDefault="00304D60" w:rsidP="003115A5">
      <w:pPr>
        <w:pStyle w:val="Reference"/>
        <w:rPr>
          <w:noProof w:val="0"/>
        </w:rPr>
      </w:pPr>
      <w:r w:rsidRPr="00FC71BE">
        <w:rPr>
          <w:noProof w:val="0"/>
        </w:rPr>
        <w:t>[137]</w:t>
      </w:r>
      <w:r w:rsidRPr="00FC71BE">
        <w:rPr>
          <w:noProof w:val="0"/>
        </w:rPr>
        <w:tab/>
        <w:t>D. Roberts, "The application of an induction motor thermal model to motor protection and other functions," 1989.</w:t>
      </w:r>
    </w:p>
    <w:p w14:paraId="79D5E244" w14:textId="77777777" w:rsidR="00304D60" w:rsidRPr="00FC71BE" w:rsidRDefault="00304D60" w:rsidP="003115A5">
      <w:pPr>
        <w:pStyle w:val="Reference"/>
        <w:rPr>
          <w:noProof w:val="0"/>
        </w:rPr>
      </w:pPr>
      <w:r w:rsidRPr="00FC71BE">
        <w:rPr>
          <w:noProof w:val="0"/>
        </w:rPr>
        <w:t>[138]</w:t>
      </w:r>
      <w:r w:rsidRPr="00FC71BE">
        <w:rPr>
          <w:noProof w:val="0"/>
        </w:rPr>
        <w:tab/>
        <w:t xml:space="preserve">S. Mezani, N. Takorabet, and B. Laporte, "A combined electromagnetic and thermal analysis of induction motors," </w:t>
      </w:r>
      <w:r w:rsidRPr="00FC71BE">
        <w:rPr>
          <w:i/>
          <w:noProof w:val="0"/>
        </w:rPr>
        <w:t xml:space="preserve">IEEE transactions on Magnetics, </w:t>
      </w:r>
      <w:r w:rsidRPr="00FC71BE">
        <w:rPr>
          <w:noProof w:val="0"/>
        </w:rPr>
        <w:t>vol. 41, no. 5, pp. 1572-1575, 2005.</w:t>
      </w:r>
    </w:p>
    <w:p w14:paraId="5F965B06" w14:textId="77777777" w:rsidR="00304D60" w:rsidRPr="00FC71BE" w:rsidRDefault="00304D60" w:rsidP="003115A5">
      <w:pPr>
        <w:pStyle w:val="Reference"/>
        <w:rPr>
          <w:noProof w:val="0"/>
        </w:rPr>
      </w:pPr>
      <w:r w:rsidRPr="00FC71BE">
        <w:rPr>
          <w:noProof w:val="0"/>
        </w:rPr>
        <w:t>[139]</w:t>
      </w:r>
      <w:r w:rsidRPr="00FC71BE">
        <w:rPr>
          <w:noProof w:val="0"/>
        </w:rPr>
        <w:tab/>
        <w:t xml:space="preserve">H. Terzioğlu and A. C. Agacayak, "Real-Time Investigation of Temperature Effect on Induction Motor Equivalent Circuit Parameter Change," </w:t>
      </w:r>
      <w:r w:rsidRPr="00FC71BE">
        <w:rPr>
          <w:i/>
          <w:noProof w:val="0"/>
        </w:rPr>
        <w:t xml:space="preserve">Elektronika ir Elektrotechnika, </w:t>
      </w:r>
      <w:r w:rsidRPr="00FC71BE">
        <w:rPr>
          <w:noProof w:val="0"/>
        </w:rPr>
        <w:t>2022.</w:t>
      </w:r>
    </w:p>
    <w:p w14:paraId="6733E264" w14:textId="77777777" w:rsidR="00304D60" w:rsidRPr="00FC71BE" w:rsidRDefault="00304D60" w:rsidP="003115A5">
      <w:pPr>
        <w:pStyle w:val="Reference"/>
        <w:rPr>
          <w:noProof w:val="0"/>
        </w:rPr>
      </w:pPr>
      <w:r w:rsidRPr="00FC71BE">
        <w:rPr>
          <w:noProof w:val="0"/>
        </w:rPr>
        <w:t>[140]</w:t>
      </w:r>
      <w:r w:rsidRPr="00FC71BE">
        <w:rPr>
          <w:noProof w:val="0"/>
        </w:rPr>
        <w:tab/>
        <w:t xml:space="preserve">N. Simpson, R. Wrobel, and P. H. Mellor, "Estimation of equivalent thermal parameters of impregnated electrical windings," </w:t>
      </w:r>
      <w:r w:rsidRPr="00FC71BE">
        <w:rPr>
          <w:i/>
          <w:noProof w:val="0"/>
        </w:rPr>
        <w:t xml:space="preserve">IEEE Transactions on Industry Applications, </w:t>
      </w:r>
      <w:r w:rsidRPr="00FC71BE">
        <w:rPr>
          <w:noProof w:val="0"/>
        </w:rPr>
        <w:t>vol. 49, no. 6, pp. 2505-2515, 2013.</w:t>
      </w:r>
    </w:p>
    <w:p w14:paraId="382F7277" w14:textId="77777777" w:rsidR="00304D60" w:rsidRPr="00FC71BE" w:rsidRDefault="00304D60" w:rsidP="003115A5">
      <w:pPr>
        <w:pStyle w:val="Reference"/>
        <w:rPr>
          <w:noProof w:val="0"/>
        </w:rPr>
      </w:pPr>
      <w:r w:rsidRPr="00FC71BE">
        <w:rPr>
          <w:noProof w:val="0"/>
        </w:rPr>
        <w:lastRenderedPageBreak/>
        <w:t>[141]</w:t>
      </w:r>
      <w:r w:rsidRPr="00FC71BE">
        <w:rPr>
          <w:noProof w:val="0"/>
        </w:rPr>
        <w:tab/>
        <w:t xml:space="preserve">T. Sebastian, "Temperature effects on torque production and efficiency of PM motors using NdFeB magnets," </w:t>
      </w:r>
      <w:r w:rsidRPr="00FC71BE">
        <w:rPr>
          <w:i/>
          <w:noProof w:val="0"/>
        </w:rPr>
        <w:t xml:space="preserve">IEEE Transactions on Industry Applications, </w:t>
      </w:r>
      <w:r w:rsidRPr="00FC71BE">
        <w:rPr>
          <w:noProof w:val="0"/>
        </w:rPr>
        <w:t>vol. 31, no. 2, pp. 353-357, 1995.</w:t>
      </w:r>
    </w:p>
    <w:p w14:paraId="3723677E" w14:textId="77777777" w:rsidR="00304D60" w:rsidRPr="00FC71BE" w:rsidRDefault="00304D60" w:rsidP="003115A5">
      <w:pPr>
        <w:pStyle w:val="Reference"/>
        <w:rPr>
          <w:noProof w:val="0"/>
        </w:rPr>
      </w:pPr>
      <w:r w:rsidRPr="00FC71BE">
        <w:rPr>
          <w:noProof w:val="0"/>
        </w:rPr>
        <w:t>[142]</w:t>
      </w:r>
      <w:r w:rsidRPr="00FC71BE">
        <w:rPr>
          <w:noProof w:val="0"/>
        </w:rPr>
        <w:tab/>
        <w:t xml:space="preserve">D. K. Woo and B. H. Jeong, "Irreversible demagnetization of permanent magnet in a surface-mounted permanent magnet motor with overhang structure," </w:t>
      </w:r>
      <w:r w:rsidRPr="00FC71BE">
        <w:rPr>
          <w:i/>
          <w:noProof w:val="0"/>
        </w:rPr>
        <w:t xml:space="preserve">IEEE Transactions on Magnetics, </w:t>
      </w:r>
      <w:r w:rsidRPr="00FC71BE">
        <w:rPr>
          <w:noProof w:val="0"/>
        </w:rPr>
        <w:t>vol. 52, no. 4, pp. 1-6, 2015.</w:t>
      </w:r>
    </w:p>
    <w:p w14:paraId="1BC945F3" w14:textId="77777777" w:rsidR="00304D60" w:rsidRPr="00FC71BE" w:rsidRDefault="00304D60" w:rsidP="003115A5">
      <w:pPr>
        <w:pStyle w:val="Reference"/>
        <w:rPr>
          <w:noProof w:val="0"/>
        </w:rPr>
      </w:pPr>
      <w:r w:rsidRPr="00FC71BE">
        <w:rPr>
          <w:noProof w:val="0"/>
        </w:rPr>
        <w:t>[143]</w:t>
      </w:r>
      <w:r w:rsidRPr="00FC71BE">
        <w:rPr>
          <w:noProof w:val="0"/>
        </w:rPr>
        <w:tab/>
        <w:t xml:space="preserve">Z. Q. Zhu, Y. Pang, D. Howe, S. Iwasaki, R. Deodhar, and A. Pride, "Analysis of electromagnetic performance of flux-switching permanent-magnet machines by nonlinear adaptive lumped parameter magnetic circuit model," </w:t>
      </w:r>
      <w:r w:rsidRPr="00FC71BE">
        <w:rPr>
          <w:i/>
          <w:noProof w:val="0"/>
        </w:rPr>
        <w:t xml:space="preserve">IEEE Transactions on magnetics, </w:t>
      </w:r>
      <w:r w:rsidRPr="00FC71BE">
        <w:rPr>
          <w:noProof w:val="0"/>
        </w:rPr>
        <w:t>vol. 41, no. 11, pp. 4277-4287, 2005.</w:t>
      </w:r>
    </w:p>
    <w:p w14:paraId="2A97F02A" w14:textId="77777777" w:rsidR="00304D60" w:rsidRPr="00FC71BE" w:rsidRDefault="00304D60" w:rsidP="003115A5">
      <w:pPr>
        <w:pStyle w:val="Reference"/>
        <w:rPr>
          <w:noProof w:val="0"/>
        </w:rPr>
      </w:pPr>
      <w:r w:rsidRPr="00FC71BE">
        <w:rPr>
          <w:noProof w:val="0"/>
        </w:rPr>
        <w:t>[144]</w:t>
      </w:r>
      <w:r w:rsidRPr="00FC71BE">
        <w:rPr>
          <w:noProof w:val="0"/>
        </w:rPr>
        <w:tab/>
        <w:t xml:space="preserve">G. Choi and T. Jahns, "Post-demagnetization characteristics of permanent magnet synchronous machines," in </w:t>
      </w:r>
      <w:r w:rsidRPr="00FC71BE">
        <w:rPr>
          <w:i/>
          <w:noProof w:val="0"/>
        </w:rPr>
        <w:t>2015 IEEE Energy Conversion Congress and Exposition (ECCE)</w:t>
      </w:r>
      <w:r w:rsidRPr="00FC71BE">
        <w:rPr>
          <w:noProof w:val="0"/>
        </w:rPr>
        <w:t xml:space="preserve">, 2015: IEEE, pp. 1781-1788. </w:t>
      </w:r>
    </w:p>
    <w:p w14:paraId="6E9EAF98" w14:textId="573D4CC2" w:rsidR="00304D60" w:rsidRPr="00FC71BE" w:rsidRDefault="00304D60" w:rsidP="003115A5">
      <w:pPr>
        <w:pStyle w:val="Reference"/>
        <w:rPr>
          <w:noProof w:val="0"/>
        </w:rPr>
      </w:pPr>
      <w:r w:rsidRPr="00FC71BE">
        <w:rPr>
          <w:noProof w:val="0"/>
        </w:rPr>
        <w:t>[145]</w:t>
      </w:r>
      <w:r w:rsidRPr="00FC71BE">
        <w:rPr>
          <w:noProof w:val="0"/>
        </w:rPr>
        <w:tab/>
      </w:r>
      <w:r w:rsidRPr="00FC71BE">
        <w:rPr>
          <w:i/>
          <w:noProof w:val="0"/>
        </w:rPr>
        <w:t>Motors and Generators</w:t>
      </w:r>
      <w:r w:rsidRPr="00FC71BE">
        <w:rPr>
          <w:noProof w:val="0"/>
        </w:rPr>
        <w:t xml:space="preserve">, National Electrical Manufacturers Association, 2021. [Online]. Available: </w:t>
      </w:r>
      <w:hyperlink r:id="rId289" w:history="1">
        <w:r w:rsidRPr="00FC71BE">
          <w:rPr>
            <w:rStyle w:val="Hyperlink"/>
            <w:noProof w:val="0"/>
            <w:color w:val="auto"/>
          </w:rPr>
          <w:t>https://www.nema.org/Standards/view/Motors-and-Generators</w:t>
        </w:r>
      </w:hyperlink>
      <w:r w:rsidRPr="00FC71BE">
        <w:rPr>
          <w:noProof w:val="0"/>
        </w:rPr>
        <w:t xml:space="preserve"> </w:t>
      </w:r>
    </w:p>
    <w:p w14:paraId="7372C5D8" w14:textId="77777777" w:rsidR="00304D60" w:rsidRPr="00FC71BE" w:rsidRDefault="00304D60" w:rsidP="003115A5">
      <w:pPr>
        <w:pStyle w:val="Reference"/>
        <w:rPr>
          <w:noProof w:val="0"/>
        </w:rPr>
      </w:pPr>
      <w:r w:rsidRPr="00FC71BE">
        <w:rPr>
          <w:noProof w:val="0"/>
        </w:rPr>
        <w:t>[146]</w:t>
      </w:r>
      <w:r w:rsidRPr="00FC71BE">
        <w:rPr>
          <w:noProof w:val="0"/>
        </w:rPr>
        <w:tab/>
        <w:t xml:space="preserve">Y. C. Chong, "Thermal analysis and air flow modelling of electrical machines," Ph.D. dissertation, Dept. Mech. Eng., Edinburgh Univ., Edinburgh, U.K., 2015. </w:t>
      </w:r>
    </w:p>
    <w:p w14:paraId="0FD345E0" w14:textId="77777777" w:rsidR="00304D60" w:rsidRPr="00FC71BE" w:rsidRDefault="00304D60" w:rsidP="003115A5">
      <w:pPr>
        <w:pStyle w:val="Reference"/>
        <w:rPr>
          <w:noProof w:val="0"/>
        </w:rPr>
      </w:pPr>
      <w:r w:rsidRPr="00FC71BE">
        <w:rPr>
          <w:noProof w:val="0"/>
        </w:rPr>
        <w:t>[147]</w:t>
      </w:r>
      <w:r w:rsidRPr="00FC71BE">
        <w:rPr>
          <w:noProof w:val="0"/>
        </w:rPr>
        <w:tab/>
        <w:t xml:space="preserve">C. Micallef, "End winding cooling in electric machines," University of Nottingham, 2006. </w:t>
      </w:r>
    </w:p>
    <w:p w14:paraId="1AC13050" w14:textId="77777777" w:rsidR="00304D60" w:rsidRPr="00FC71BE" w:rsidRDefault="00304D60" w:rsidP="003115A5">
      <w:pPr>
        <w:pStyle w:val="Reference"/>
        <w:rPr>
          <w:noProof w:val="0"/>
        </w:rPr>
      </w:pPr>
      <w:r w:rsidRPr="00FC71BE">
        <w:rPr>
          <w:noProof w:val="0"/>
        </w:rPr>
        <w:t>[148]</w:t>
      </w:r>
      <w:r w:rsidRPr="00FC71BE">
        <w:rPr>
          <w:noProof w:val="0"/>
        </w:rPr>
        <w:tab/>
        <w:t xml:space="preserve">Z. Q. Zhu and D. W. Liang, "Perspective of Thermal Analysis and Management for Permanent Magnet Machines, with Particular Reference to Hotspot Temperatures," </w:t>
      </w:r>
      <w:r w:rsidRPr="00FC71BE">
        <w:rPr>
          <w:i/>
          <w:noProof w:val="0"/>
        </w:rPr>
        <w:t xml:space="preserve">Energies, </w:t>
      </w:r>
      <w:r w:rsidRPr="00FC71BE">
        <w:rPr>
          <w:noProof w:val="0"/>
        </w:rPr>
        <w:t>vol. 15, no. 21, p. 8189, 2022.</w:t>
      </w:r>
    </w:p>
    <w:p w14:paraId="79BD8482" w14:textId="77777777" w:rsidR="00304D60" w:rsidRPr="00FC71BE" w:rsidRDefault="00304D60" w:rsidP="003115A5">
      <w:pPr>
        <w:pStyle w:val="Reference"/>
        <w:rPr>
          <w:noProof w:val="0"/>
        </w:rPr>
      </w:pPr>
      <w:r w:rsidRPr="00FC71BE">
        <w:rPr>
          <w:noProof w:val="0"/>
        </w:rPr>
        <w:t>[149]</w:t>
      </w:r>
      <w:r w:rsidRPr="00FC71BE">
        <w:rPr>
          <w:noProof w:val="0"/>
        </w:rPr>
        <w:tab/>
        <w:t xml:space="preserve">S. Nategh, A. Boglietti, D. Barber, Y. Liu, and R. Brammer, "Thermal and manufacturing aspects of traction motors potting: A deep experimental evaluation," </w:t>
      </w:r>
      <w:r w:rsidRPr="00FC71BE">
        <w:rPr>
          <w:i/>
          <w:noProof w:val="0"/>
        </w:rPr>
        <w:t xml:space="preserve">IEEE Transactions on Energy Conversion, </w:t>
      </w:r>
      <w:r w:rsidRPr="00FC71BE">
        <w:rPr>
          <w:noProof w:val="0"/>
        </w:rPr>
        <w:t>vol. 35, no. 2, pp. 1026-1035, 2020.</w:t>
      </w:r>
    </w:p>
    <w:p w14:paraId="70ED720A" w14:textId="77777777" w:rsidR="00304D60" w:rsidRPr="00FC71BE" w:rsidRDefault="00304D60" w:rsidP="003115A5">
      <w:pPr>
        <w:pStyle w:val="Reference"/>
        <w:rPr>
          <w:noProof w:val="0"/>
        </w:rPr>
      </w:pPr>
      <w:r w:rsidRPr="00FC71BE">
        <w:rPr>
          <w:noProof w:val="0"/>
        </w:rPr>
        <w:t>[150]</w:t>
      </w:r>
      <w:r w:rsidRPr="00FC71BE">
        <w:rPr>
          <w:noProof w:val="0"/>
        </w:rPr>
        <w:tab/>
        <w:t xml:space="preserve">S. Ayat, C. Serghine, T. Klonowski, S. Yon, A. Mutabazi, and S. McDaniel, "The use of phase change material for the cooling of electric machine windings formed with hollow conductors," in </w:t>
      </w:r>
      <w:r w:rsidRPr="00FC71BE">
        <w:rPr>
          <w:i/>
          <w:noProof w:val="0"/>
        </w:rPr>
        <w:t>2019 IEEE International Electric Machines &amp; Drives Conference (IEMDC)</w:t>
      </w:r>
      <w:r w:rsidRPr="00FC71BE">
        <w:rPr>
          <w:noProof w:val="0"/>
        </w:rPr>
        <w:t xml:space="preserve">, 2019: IEEE, pp. 1195-1201. </w:t>
      </w:r>
    </w:p>
    <w:p w14:paraId="52185DDD" w14:textId="77777777" w:rsidR="00304D60" w:rsidRPr="00FC71BE" w:rsidRDefault="00304D60" w:rsidP="003115A5">
      <w:pPr>
        <w:pStyle w:val="Reference"/>
        <w:rPr>
          <w:noProof w:val="0"/>
        </w:rPr>
      </w:pPr>
      <w:r w:rsidRPr="00FC71BE">
        <w:rPr>
          <w:noProof w:val="0"/>
        </w:rPr>
        <w:t>[151]</w:t>
      </w:r>
      <w:r w:rsidRPr="00FC71BE">
        <w:rPr>
          <w:noProof w:val="0"/>
        </w:rPr>
        <w:tab/>
        <w:t xml:space="preserve">M. Galea, C. Gerada, T. Raminosoa, and P. Wheeler, "A thermal improvement technique for the phase windings of electrical machines," </w:t>
      </w:r>
      <w:r w:rsidRPr="00FC71BE">
        <w:rPr>
          <w:i/>
          <w:noProof w:val="0"/>
        </w:rPr>
        <w:t xml:space="preserve">IEEE Transactions on Industry Applications, </w:t>
      </w:r>
      <w:r w:rsidRPr="00FC71BE">
        <w:rPr>
          <w:noProof w:val="0"/>
        </w:rPr>
        <w:t>vol. 48, no. 1, pp. 79-87, 2011.</w:t>
      </w:r>
    </w:p>
    <w:p w14:paraId="3248ED2B" w14:textId="77777777" w:rsidR="00304D60" w:rsidRPr="00FC71BE" w:rsidRDefault="00304D60" w:rsidP="003115A5">
      <w:pPr>
        <w:pStyle w:val="Reference"/>
        <w:rPr>
          <w:noProof w:val="0"/>
        </w:rPr>
      </w:pPr>
      <w:r w:rsidRPr="00FC71BE">
        <w:rPr>
          <w:noProof w:val="0"/>
        </w:rPr>
        <w:t>[152]</w:t>
      </w:r>
      <w:r w:rsidRPr="00FC71BE">
        <w:rPr>
          <w:noProof w:val="0"/>
        </w:rPr>
        <w:tab/>
        <w:t xml:space="preserve">M. Bradford, "The application of heat pipes to cooling rotating electrical machines," in </w:t>
      </w:r>
      <w:r w:rsidRPr="00FC71BE">
        <w:rPr>
          <w:i/>
          <w:noProof w:val="0"/>
        </w:rPr>
        <w:t>1989 Fourth International Conference on Electrical Machines and Drives Conf. Publ. No.??)</w:t>
      </w:r>
      <w:r w:rsidRPr="00FC71BE">
        <w:rPr>
          <w:noProof w:val="0"/>
        </w:rPr>
        <w:t xml:space="preserve">, 1989: IET, pp. 145-149. </w:t>
      </w:r>
    </w:p>
    <w:p w14:paraId="0A09AD43" w14:textId="77777777" w:rsidR="00304D60" w:rsidRPr="00FC71BE" w:rsidRDefault="00304D60" w:rsidP="003115A5">
      <w:pPr>
        <w:pStyle w:val="Reference"/>
        <w:rPr>
          <w:noProof w:val="0"/>
        </w:rPr>
      </w:pPr>
      <w:r w:rsidRPr="00FC71BE">
        <w:rPr>
          <w:noProof w:val="0"/>
        </w:rPr>
        <w:t>[153]</w:t>
      </w:r>
      <w:r w:rsidRPr="00FC71BE">
        <w:rPr>
          <w:noProof w:val="0"/>
        </w:rPr>
        <w:tab/>
        <w:t xml:space="preserve">Y. L. Sun, S. W. Zhang, G. Chen, Y. Tang, and F. Y. Liang, "Experimental and numerical investigation on a novel heat pipe based cooling strategy for permanent magnet synchronous motors," </w:t>
      </w:r>
      <w:r w:rsidRPr="00FC71BE">
        <w:rPr>
          <w:i/>
          <w:noProof w:val="0"/>
        </w:rPr>
        <w:t xml:space="preserve">Applied Thermal Engineering, </w:t>
      </w:r>
      <w:r w:rsidRPr="00FC71BE">
        <w:rPr>
          <w:noProof w:val="0"/>
        </w:rPr>
        <w:t>vol. 170, p. 114970, 2020.</w:t>
      </w:r>
    </w:p>
    <w:p w14:paraId="2C1ACF99" w14:textId="77777777" w:rsidR="00304D60" w:rsidRPr="00FC71BE" w:rsidRDefault="00304D60" w:rsidP="003115A5">
      <w:pPr>
        <w:pStyle w:val="Reference"/>
        <w:rPr>
          <w:noProof w:val="0"/>
        </w:rPr>
      </w:pPr>
      <w:r w:rsidRPr="00FC71BE">
        <w:rPr>
          <w:noProof w:val="0"/>
        </w:rPr>
        <w:lastRenderedPageBreak/>
        <w:t>[154]</w:t>
      </w:r>
      <w:r w:rsidRPr="00FC71BE">
        <w:rPr>
          <w:noProof w:val="0"/>
        </w:rPr>
        <w:tab/>
        <w:t xml:space="preserve">A. Boglietti and A. Cavagnino, "Analysis of the endwinding cooling effects in TEFC induction motors," in </w:t>
      </w:r>
      <w:r w:rsidRPr="00FC71BE">
        <w:rPr>
          <w:i/>
          <w:noProof w:val="0"/>
        </w:rPr>
        <w:t>Conference Record of the 2006 IEEE Industry Applications Conference Forty-First IAS Annual Meeting</w:t>
      </w:r>
      <w:r w:rsidRPr="00FC71BE">
        <w:rPr>
          <w:noProof w:val="0"/>
        </w:rPr>
        <w:t xml:space="preserve">, 2006, vol. 2: IEEE, pp. 797-804. </w:t>
      </w:r>
    </w:p>
    <w:p w14:paraId="309FEEA4" w14:textId="77777777" w:rsidR="00304D60" w:rsidRPr="00FC71BE" w:rsidRDefault="00304D60" w:rsidP="003115A5">
      <w:pPr>
        <w:pStyle w:val="Reference"/>
        <w:rPr>
          <w:noProof w:val="0"/>
        </w:rPr>
      </w:pPr>
      <w:r w:rsidRPr="00FC71BE">
        <w:rPr>
          <w:noProof w:val="0"/>
        </w:rPr>
        <w:t>[155]</w:t>
      </w:r>
      <w:r w:rsidRPr="00FC71BE">
        <w:rPr>
          <w:noProof w:val="0"/>
        </w:rPr>
        <w:tab/>
        <w:t xml:space="preserve">M. Popescu, D. A. Staton, A. Boglietti, A. Cavagnino, D. Hawkins, and J. Goss, "Modern heat extraction systems for power traction machines—A review," </w:t>
      </w:r>
      <w:r w:rsidRPr="00FC71BE">
        <w:rPr>
          <w:i/>
          <w:noProof w:val="0"/>
        </w:rPr>
        <w:t xml:space="preserve">IEEE Transactions on Industry Applications, </w:t>
      </w:r>
      <w:r w:rsidRPr="00FC71BE">
        <w:rPr>
          <w:noProof w:val="0"/>
        </w:rPr>
        <w:t>vol. 52, no. 3, pp. 2167-2175, 2016.</w:t>
      </w:r>
    </w:p>
    <w:p w14:paraId="5902E7D8" w14:textId="77777777" w:rsidR="00304D60" w:rsidRPr="00FC71BE" w:rsidRDefault="00304D60" w:rsidP="003115A5">
      <w:pPr>
        <w:pStyle w:val="Reference"/>
        <w:rPr>
          <w:noProof w:val="0"/>
        </w:rPr>
      </w:pPr>
      <w:r w:rsidRPr="00FC71BE">
        <w:rPr>
          <w:noProof w:val="0"/>
        </w:rPr>
        <w:t>[156]</w:t>
      </w:r>
      <w:r w:rsidRPr="00FC71BE">
        <w:rPr>
          <w:noProof w:val="0"/>
        </w:rPr>
        <w:tab/>
        <w:t xml:space="preserve">H. Zhou, W. Tao, G. Jiang, G.-J. Li, and G. Liu, "Reduction of saturation and unipolar leakage flux in consequent-pole PMV machine," </w:t>
      </w:r>
      <w:r w:rsidRPr="00FC71BE">
        <w:rPr>
          <w:i/>
          <w:noProof w:val="0"/>
        </w:rPr>
        <w:t xml:space="preserve">IEEE Journal of Emerging and Selected Topics in Power Electronics, </w:t>
      </w:r>
      <w:r w:rsidRPr="00FC71BE">
        <w:rPr>
          <w:noProof w:val="0"/>
        </w:rPr>
        <w:t>vol. 10, no. 2, pp. 1870-1880, 2021.</w:t>
      </w:r>
    </w:p>
    <w:p w14:paraId="73319706" w14:textId="77777777" w:rsidR="00304D60" w:rsidRPr="00FC71BE" w:rsidRDefault="00304D60" w:rsidP="003115A5">
      <w:pPr>
        <w:pStyle w:val="Reference"/>
        <w:rPr>
          <w:noProof w:val="0"/>
        </w:rPr>
      </w:pPr>
      <w:r w:rsidRPr="00FC71BE">
        <w:rPr>
          <w:noProof w:val="0"/>
        </w:rPr>
        <w:t>[157]</w:t>
      </w:r>
      <w:r w:rsidRPr="00FC71BE">
        <w:rPr>
          <w:noProof w:val="0"/>
        </w:rPr>
        <w:tab/>
        <w:t>C. Micallef, S. J. Pickering, K. A. Simmons, and K. J. Bradley, "An alternative cooling arrangement for the end region of a totally enclosed fan cooled (TEFC) induction motor," 2008.</w:t>
      </w:r>
    </w:p>
    <w:p w14:paraId="2D24C9B3" w14:textId="77777777" w:rsidR="00304D60" w:rsidRPr="00FC71BE" w:rsidRDefault="00304D60" w:rsidP="003115A5">
      <w:pPr>
        <w:pStyle w:val="Reference"/>
        <w:rPr>
          <w:noProof w:val="0"/>
        </w:rPr>
      </w:pPr>
      <w:r w:rsidRPr="00FC71BE">
        <w:rPr>
          <w:noProof w:val="0"/>
        </w:rPr>
        <w:t>[158]</w:t>
      </w:r>
      <w:r w:rsidRPr="00FC71BE">
        <w:rPr>
          <w:noProof w:val="0"/>
        </w:rPr>
        <w:tab/>
        <w:t xml:space="preserve">Z. Xu, A. La Rocca, P. Arumugam, S. J. Pickering, C. Gerada, S. Bozhko, D. Gerada, and H. Zhang, "A semi-flooded cooling for a high speed machine: Concept, design and practice of an oil sleeve," in </w:t>
      </w:r>
      <w:r w:rsidRPr="00FC71BE">
        <w:rPr>
          <w:i/>
          <w:noProof w:val="0"/>
        </w:rPr>
        <w:t>IECON 2017-43rd Annual Conference of the IEEE Industrial Electronics Society</w:t>
      </w:r>
      <w:r w:rsidRPr="00FC71BE">
        <w:rPr>
          <w:noProof w:val="0"/>
        </w:rPr>
        <w:t xml:space="preserve">, 2017: IEEE, pp. 8557-8562. </w:t>
      </w:r>
    </w:p>
    <w:p w14:paraId="5D209593" w14:textId="77777777" w:rsidR="00304D60" w:rsidRPr="00FC71BE" w:rsidRDefault="00304D60" w:rsidP="003115A5">
      <w:pPr>
        <w:pStyle w:val="Reference"/>
        <w:rPr>
          <w:noProof w:val="0"/>
        </w:rPr>
      </w:pPr>
      <w:r w:rsidRPr="00FC71BE">
        <w:rPr>
          <w:noProof w:val="0"/>
        </w:rPr>
        <w:t>[159]</w:t>
      </w:r>
      <w:r w:rsidRPr="00FC71BE">
        <w:rPr>
          <w:noProof w:val="0"/>
        </w:rPr>
        <w:tab/>
        <w:t xml:space="preserve">R. Zhou, G. J. Li, Z. Q. Zhu, M. P. Foster, D. A. Stone, C. J. Jia, and P. McKeever, "Novel liquid cooling technology for modular consequent-pole PM machines," in </w:t>
      </w:r>
      <w:r w:rsidRPr="00FC71BE">
        <w:rPr>
          <w:i/>
          <w:noProof w:val="0"/>
        </w:rPr>
        <w:t>2021 IEEE International Electric Machines &amp; Drives Conference (IEMDC)</w:t>
      </w:r>
      <w:r w:rsidRPr="00FC71BE">
        <w:rPr>
          <w:noProof w:val="0"/>
        </w:rPr>
        <w:t xml:space="preserve">, 2021: IEEE, pp. 1-7. </w:t>
      </w:r>
    </w:p>
    <w:p w14:paraId="22A02371" w14:textId="77777777" w:rsidR="00304D60" w:rsidRPr="00FC71BE" w:rsidRDefault="00304D60" w:rsidP="003115A5">
      <w:pPr>
        <w:pStyle w:val="Reference"/>
        <w:rPr>
          <w:noProof w:val="0"/>
        </w:rPr>
      </w:pPr>
      <w:r w:rsidRPr="00FC71BE">
        <w:rPr>
          <w:noProof w:val="0"/>
        </w:rPr>
        <w:t>[160]</w:t>
      </w:r>
      <w:r w:rsidRPr="00FC71BE">
        <w:rPr>
          <w:noProof w:val="0"/>
        </w:rPr>
        <w:tab/>
        <w:t xml:space="preserve">J. A. Worden and J. M. Mundulas, "Understanding, diagnosing, and repairing leaks in water-cooled generator stator windings," </w:t>
      </w:r>
      <w:r w:rsidRPr="00FC71BE">
        <w:rPr>
          <w:i/>
          <w:noProof w:val="0"/>
        </w:rPr>
        <w:t xml:space="preserve">GE Power Systems GER-3751A, </w:t>
      </w:r>
      <w:r w:rsidRPr="00FC71BE">
        <w:rPr>
          <w:noProof w:val="0"/>
        </w:rPr>
        <w:t>2001.</w:t>
      </w:r>
    </w:p>
    <w:p w14:paraId="155A851B" w14:textId="77777777" w:rsidR="00304D60" w:rsidRPr="00FC71BE" w:rsidRDefault="00304D60" w:rsidP="003115A5">
      <w:pPr>
        <w:pStyle w:val="Reference"/>
        <w:rPr>
          <w:noProof w:val="0"/>
        </w:rPr>
      </w:pPr>
      <w:r w:rsidRPr="00FC71BE">
        <w:rPr>
          <w:noProof w:val="0"/>
        </w:rPr>
        <w:t>[161]</w:t>
      </w:r>
      <w:r w:rsidRPr="00FC71BE">
        <w:rPr>
          <w:noProof w:val="0"/>
        </w:rPr>
        <w:tab/>
        <w:t xml:space="preserve">R. Camilleri, P. Beard, D. A. Howey, and M. D. McCulloch, "Prediction and measurement of the heat transfer coefficient in a direct oil-cooled electrical machine with segmented stator," </w:t>
      </w:r>
      <w:r w:rsidRPr="00FC71BE">
        <w:rPr>
          <w:i/>
          <w:noProof w:val="0"/>
        </w:rPr>
        <w:t xml:space="preserve">IEEE Transactions on Industrial Electronics, </w:t>
      </w:r>
      <w:r w:rsidRPr="00FC71BE">
        <w:rPr>
          <w:noProof w:val="0"/>
        </w:rPr>
        <w:t>vol. 65, no. 1, pp. 94-102, 2017.</w:t>
      </w:r>
    </w:p>
    <w:p w14:paraId="2F93D13F" w14:textId="77777777" w:rsidR="00304D60" w:rsidRPr="00FC71BE" w:rsidRDefault="00304D60" w:rsidP="003115A5">
      <w:pPr>
        <w:pStyle w:val="Reference"/>
        <w:rPr>
          <w:noProof w:val="0"/>
        </w:rPr>
      </w:pPr>
      <w:r w:rsidRPr="00FC71BE">
        <w:rPr>
          <w:noProof w:val="0"/>
        </w:rPr>
        <w:t>[162]</w:t>
      </w:r>
      <w:r w:rsidRPr="00FC71BE">
        <w:rPr>
          <w:noProof w:val="0"/>
        </w:rPr>
        <w:tab/>
        <w:t xml:space="preserve">Y. Liu, Z. R. Zhang, C. Wang, W. W. Geng, and T. Yang, "Design and analysis of oil-immersed cooling stator with nonoverlapping concentrated winding for high-power ironless stator axial-flux permanent magnet machines," </w:t>
      </w:r>
      <w:r w:rsidRPr="00FC71BE">
        <w:rPr>
          <w:i/>
          <w:noProof w:val="0"/>
        </w:rPr>
        <w:t xml:space="preserve">IEEE Transactions on Industrial Electronics, </w:t>
      </w:r>
      <w:r w:rsidRPr="00FC71BE">
        <w:rPr>
          <w:noProof w:val="0"/>
        </w:rPr>
        <w:t>vol. 68, no. 4, pp. 2876-2886, 2020.</w:t>
      </w:r>
    </w:p>
    <w:p w14:paraId="6F56E118" w14:textId="77777777" w:rsidR="00304D60" w:rsidRPr="00FC71BE" w:rsidRDefault="00304D60" w:rsidP="003115A5">
      <w:pPr>
        <w:pStyle w:val="Reference"/>
        <w:rPr>
          <w:noProof w:val="0"/>
        </w:rPr>
      </w:pPr>
      <w:r w:rsidRPr="00FC71BE">
        <w:rPr>
          <w:noProof w:val="0"/>
        </w:rPr>
        <w:t>[163]</w:t>
      </w:r>
      <w:r w:rsidRPr="00FC71BE">
        <w:rPr>
          <w:noProof w:val="0"/>
        </w:rPr>
        <w:tab/>
        <w:t xml:space="preserve">L. Ye, F. Tao, L. Qi, and W. Xuhui, "Experimental investigation on heat transfer of directly-oil-cooled permanent magnet motor," in </w:t>
      </w:r>
      <w:r w:rsidRPr="00FC71BE">
        <w:rPr>
          <w:i/>
          <w:noProof w:val="0"/>
        </w:rPr>
        <w:t>2016 19th International Conference on Electrical Machines and Systems (ICEMS)</w:t>
      </w:r>
      <w:r w:rsidRPr="00FC71BE">
        <w:rPr>
          <w:noProof w:val="0"/>
        </w:rPr>
        <w:t xml:space="preserve">, 2016: IEEE, pp. 1-4. </w:t>
      </w:r>
    </w:p>
    <w:p w14:paraId="66FD3022" w14:textId="77777777" w:rsidR="00304D60" w:rsidRPr="00FC71BE" w:rsidRDefault="00304D60" w:rsidP="003115A5">
      <w:pPr>
        <w:pStyle w:val="Reference"/>
        <w:rPr>
          <w:noProof w:val="0"/>
        </w:rPr>
      </w:pPr>
      <w:r w:rsidRPr="00FC71BE">
        <w:rPr>
          <w:noProof w:val="0"/>
        </w:rPr>
        <w:t>[164]</w:t>
      </w:r>
      <w:r w:rsidRPr="00FC71BE">
        <w:rPr>
          <w:noProof w:val="0"/>
        </w:rPr>
        <w:tab/>
        <w:t xml:space="preserve">R. Wrobel and B. Mecrow, "Additive manufacturing in construction of electrical machines–a review," in </w:t>
      </w:r>
      <w:r w:rsidRPr="00FC71BE">
        <w:rPr>
          <w:i/>
          <w:noProof w:val="0"/>
        </w:rPr>
        <w:t>2019 IEEE Workshop on Electrical Machines Design, Control and Diagnosis (WEMDCD)</w:t>
      </w:r>
      <w:r w:rsidRPr="00FC71BE">
        <w:rPr>
          <w:noProof w:val="0"/>
        </w:rPr>
        <w:t xml:space="preserve">, 2019, vol. 1: IEEE, pp. 15-22. </w:t>
      </w:r>
    </w:p>
    <w:p w14:paraId="05DCA997" w14:textId="77777777" w:rsidR="00304D60" w:rsidRPr="00FC71BE" w:rsidRDefault="00304D60" w:rsidP="003115A5">
      <w:pPr>
        <w:pStyle w:val="Reference"/>
        <w:rPr>
          <w:noProof w:val="0"/>
        </w:rPr>
      </w:pPr>
      <w:r w:rsidRPr="00FC71BE">
        <w:rPr>
          <w:noProof w:val="0"/>
        </w:rPr>
        <w:t>[165]</w:t>
      </w:r>
      <w:r w:rsidRPr="00FC71BE">
        <w:rPr>
          <w:noProof w:val="0"/>
        </w:rPr>
        <w:tab/>
        <w:t xml:space="preserve">G. Venturini, G. Volpe, and M. Popescu, "Slot water jacket cooling system for traction electrical machines with hairpin windings: Analysis and comparison," in </w:t>
      </w:r>
      <w:r w:rsidRPr="00FC71BE">
        <w:rPr>
          <w:i/>
          <w:noProof w:val="0"/>
        </w:rPr>
        <w:t>2021 IEEE International Electric Machines &amp; Drives Conference (IEMDC)</w:t>
      </w:r>
      <w:r w:rsidRPr="00FC71BE">
        <w:rPr>
          <w:noProof w:val="0"/>
        </w:rPr>
        <w:t xml:space="preserve">, 2021: IEEE, pp. 1-6. </w:t>
      </w:r>
    </w:p>
    <w:p w14:paraId="0CCA20E4" w14:textId="77777777" w:rsidR="00304D60" w:rsidRPr="00FC71BE" w:rsidRDefault="00304D60" w:rsidP="003115A5">
      <w:pPr>
        <w:pStyle w:val="Reference"/>
        <w:rPr>
          <w:noProof w:val="0"/>
        </w:rPr>
      </w:pPr>
      <w:r w:rsidRPr="00FC71BE">
        <w:rPr>
          <w:noProof w:val="0"/>
        </w:rPr>
        <w:lastRenderedPageBreak/>
        <w:t>[166]</w:t>
      </w:r>
      <w:r w:rsidRPr="00FC71BE">
        <w:rPr>
          <w:noProof w:val="0"/>
        </w:rPr>
        <w:tab/>
        <w:t xml:space="preserve">V. Madonna, P. Giangrande, A. Walker, and M. Galea, "On the effects of advanced end-winding cooling on the design and performance of electrical machines," in </w:t>
      </w:r>
      <w:r w:rsidRPr="00FC71BE">
        <w:rPr>
          <w:i/>
          <w:noProof w:val="0"/>
        </w:rPr>
        <w:t>2018 XIII International Conference on Electrical Machines (ICEM)</w:t>
      </w:r>
      <w:r w:rsidRPr="00FC71BE">
        <w:rPr>
          <w:noProof w:val="0"/>
        </w:rPr>
        <w:t xml:space="preserve">, 2018: IEEE, pp. 311-317. </w:t>
      </w:r>
    </w:p>
    <w:p w14:paraId="486CAC5A" w14:textId="77777777" w:rsidR="00304D60" w:rsidRPr="00FC71BE" w:rsidRDefault="00304D60" w:rsidP="003115A5">
      <w:pPr>
        <w:pStyle w:val="Reference"/>
        <w:rPr>
          <w:noProof w:val="0"/>
        </w:rPr>
      </w:pPr>
      <w:r w:rsidRPr="00FC71BE">
        <w:rPr>
          <w:noProof w:val="0"/>
        </w:rPr>
        <w:t>[167]</w:t>
      </w:r>
      <w:r w:rsidRPr="00FC71BE">
        <w:rPr>
          <w:noProof w:val="0"/>
        </w:rPr>
        <w:tab/>
        <w:t xml:space="preserve">X. F. Yang, A. Fatemi, T. Nehl, L. Hao, W. Zeng, and S. Parrish, "Comparative study of three stator cooling jackets for electric machine of mild hybrid vehicle," </w:t>
      </w:r>
      <w:r w:rsidRPr="00FC71BE">
        <w:rPr>
          <w:i/>
          <w:noProof w:val="0"/>
        </w:rPr>
        <w:t xml:space="preserve">IEEE Transactions on Industry Applications, </w:t>
      </w:r>
      <w:r w:rsidRPr="00FC71BE">
        <w:rPr>
          <w:noProof w:val="0"/>
        </w:rPr>
        <w:t>vol. 57, no. 2, pp. 1193-1201, 2020.</w:t>
      </w:r>
    </w:p>
    <w:p w14:paraId="081EB994" w14:textId="77777777" w:rsidR="00304D60" w:rsidRPr="00FC71BE" w:rsidRDefault="00304D60" w:rsidP="003115A5">
      <w:pPr>
        <w:pStyle w:val="Reference"/>
        <w:rPr>
          <w:noProof w:val="0"/>
        </w:rPr>
      </w:pPr>
      <w:r w:rsidRPr="00FC71BE">
        <w:rPr>
          <w:noProof w:val="0"/>
        </w:rPr>
        <w:t>[168]</w:t>
      </w:r>
      <w:r w:rsidRPr="00FC71BE">
        <w:rPr>
          <w:noProof w:val="0"/>
        </w:rPr>
        <w:tab/>
        <w:t xml:space="preserve">A. Nollau and D. Gerling, "Novel cooling methods using flux-barriers," in </w:t>
      </w:r>
      <w:r w:rsidRPr="00FC71BE">
        <w:rPr>
          <w:i/>
          <w:noProof w:val="0"/>
        </w:rPr>
        <w:t>2014 International Conference on Electrical Machines (ICEM)</w:t>
      </w:r>
      <w:r w:rsidRPr="00FC71BE">
        <w:rPr>
          <w:noProof w:val="0"/>
        </w:rPr>
        <w:t xml:space="preserve">, 2014: IEEE, pp. 1328-1333. </w:t>
      </w:r>
    </w:p>
    <w:p w14:paraId="37D99158" w14:textId="77777777" w:rsidR="00304D60" w:rsidRPr="00FC71BE" w:rsidRDefault="00304D60" w:rsidP="003115A5">
      <w:pPr>
        <w:pStyle w:val="Reference"/>
        <w:rPr>
          <w:noProof w:val="0"/>
        </w:rPr>
      </w:pPr>
      <w:r w:rsidRPr="00FC71BE">
        <w:rPr>
          <w:noProof w:val="0"/>
        </w:rPr>
        <w:t>[169]</w:t>
      </w:r>
      <w:r w:rsidRPr="00FC71BE">
        <w:rPr>
          <w:noProof w:val="0"/>
        </w:rPr>
        <w:tab/>
        <w:t xml:space="preserve">J. L. Taylor, "Calculating air flow through electrical machines," </w:t>
      </w:r>
      <w:r w:rsidRPr="00FC71BE">
        <w:rPr>
          <w:i/>
          <w:noProof w:val="0"/>
        </w:rPr>
        <w:t xml:space="preserve">Electr. Times, </w:t>
      </w:r>
      <w:r w:rsidRPr="00FC71BE">
        <w:rPr>
          <w:noProof w:val="0"/>
        </w:rPr>
        <w:t>pp. 82-84, 1960.</w:t>
      </w:r>
    </w:p>
    <w:p w14:paraId="1704D245" w14:textId="77777777" w:rsidR="00304D60" w:rsidRPr="00FC71BE" w:rsidRDefault="00304D60" w:rsidP="003115A5">
      <w:pPr>
        <w:pStyle w:val="Reference"/>
        <w:rPr>
          <w:noProof w:val="0"/>
        </w:rPr>
      </w:pPr>
      <w:r w:rsidRPr="00FC71BE">
        <w:rPr>
          <w:noProof w:val="0"/>
        </w:rPr>
        <w:t>[170]</w:t>
      </w:r>
      <w:r w:rsidRPr="00FC71BE">
        <w:rPr>
          <w:noProof w:val="0"/>
        </w:rPr>
        <w:tab/>
        <w:t xml:space="preserve">I. E. Idel'čik, </w:t>
      </w:r>
      <w:r w:rsidRPr="00FC71BE">
        <w:rPr>
          <w:i/>
          <w:noProof w:val="0"/>
        </w:rPr>
        <w:t>Handbook of hydraulic resistance: coefficients of local resistance and of friction</w:t>
      </w:r>
      <w:r w:rsidRPr="00FC71BE">
        <w:rPr>
          <w:noProof w:val="0"/>
        </w:rPr>
        <w:t>. Israel Program for Scientific Translations, 1966.</w:t>
      </w:r>
    </w:p>
    <w:p w14:paraId="2C8D38A7" w14:textId="77777777" w:rsidR="00304D60" w:rsidRPr="00FC71BE" w:rsidRDefault="00304D60" w:rsidP="003115A5">
      <w:pPr>
        <w:pStyle w:val="Reference"/>
        <w:rPr>
          <w:noProof w:val="0"/>
        </w:rPr>
      </w:pPr>
      <w:r w:rsidRPr="00FC71BE">
        <w:rPr>
          <w:noProof w:val="0"/>
        </w:rPr>
        <w:t>[171]</w:t>
      </w:r>
      <w:r w:rsidRPr="00FC71BE">
        <w:rPr>
          <w:noProof w:val="0"/>
        </w:rPr>
        <w:tab/>
        <w:t xml:space="preserve">H. K. Versteeg and W. Malalasekera, </w:t>
      </w:r>
      <w:r w:rsidRPr="00FC71BE">
        <w:rPr>
          <w:i/>
          <w:noProof w:val="0"/>
        </w:rPr>
        <w:t>An introduction to computational fluid dynamics: the finite volume method</w:t>
      </w:r>
      <w:r w:rsidRPr="00FC71BE">
        <w:rPr>
          <w:noProof w:val="0"/>
        </w:rPr>
        <w:t>. Pearson education, 2007.</w:t>
      </w:r>
    </w:p>
    <w:p w14:paraId="519207DA" w14:textId="77777777" w:rsidR="00304D60" w:rsidRPr="00FC71BE" w:rsidRDefault="00304D60" w:rsidP="003115A5">
      <w:pPr>
        <w:pStyle w:val="Reference"/>
        <w:rPr>
          <w:noProof w:val="0"/>
        </w:rPr>
      </w:pPr>
      <w:r w:rsidRPr="00FC71BE">
        <w:rPr>
          <w:noProof w:val="0"/>
        </w:rPr>
        <w:t>[172]</w:t>
      </w:r>
      <w:r w:rsidRPr="00FC71BE">
        <w:rPr>
          <w:noProof w:val="0"/>
        </w:rPr>
        <w:tab/>
        <w:t>G. Alfonsi, "Reynolds-averaged Navier–Stokes equations for turbulence modeling," 2009.</w:t>
      </w:r>
    </w:p>
    <w:p w14:paraId="4EFA2885" w14:textId="77777777" w:rsidR="00304D60" w:rsidRPr="00FC71BE" w:rsidRDefault="00304D60" w:rsidP="003115A5">
      <w:pPr>
        <w:pStyle w:val="Reference"/>
        <w:rPr>
          <w:noProof w:val="0"/>
        </w:rPr>
      </w:pPr>
      <w:r w:rsidRPr="00FC71BE">
        <w:rPr>
          <w:noProof w:val="0"/>
        </w:rPr>
        <w:t>[173]</w:t>
      </w:r>
      <w:r w:rsidRPr="00FC71BE">
        <w:rPr>
          <w:noProof w:val="0"/>
        </w:rPr>
        <w:tab/>
        <w:t xml:space="preserve">D. Coles, "The law of the wake in the turbulent boundary layer," </w:t>
      </w:r>
      <w:r w:rsidRPr="00FC71BE">
        <w:rPr>
          <w:i/>
          <w:noProof w:val="0"/>
        </w:rPr>
        <w:t xml:space="preserve">Journal of Fluid Mechanics, </w:t>
      </w:r>
      <w:r w:rsidRPr="00FC71BE">
        <w:rPr>
          <w:noProof w:val="0"/>
        </w:rPr>
        <w:t>vol. 1, no. 2, pp. 191-226, 1956.</w:t>
      </w:r>
    </w:p>
    <w:p w14:paraId="6A00AF60" w14:textId="77777777" w:rsidR="00304D60" w:rsidRPr="00FC71BE" w:rsidRDefault="00304D60" w:rsidP="003115A5">
      <w:pPr>
        <w:pStyle w:val="Reference"/>
        <w:rPr>
          <w:noProof w:val="0"/>
        </w:rPr>
      </w:pPr>
      <w:r w:rsidRPr="00FC71BE">
        <w:rPr>
          <w:noProof w:val="0"/>
        </w:rPr>
        <w:t>[174]</w:t>
      </w:r>
      <w:r w:rsidRPr="00FC71BE">
        <w:rPr>
          <w:noProof w:val="0"/>
        </w:rPr>
        <w:tab/>
        <w:t xml:space="preserve">P. G. Huang and P. Bradshaw, "Law of the wall for turbulent flows in pressure gradients," </w:t>
      </w:r>
      <w:r w:rsidRPr="00FC71BE">
        <w:rPr>
          <w:i/>
          <w:noProof w:val="0"/>
        </w:rPr>
        <w:t xml:space="preserve">AIAA journal, </w:t>
      </w:r>
      <w:r w:rsidRPr="00FC71BE">
        <w:rPr>
          <w:noProof w:val="0"/>
        </w:rPr>
        <w:t>vol. 33, no. 4, pp. 624-632, 1995.</w:t>
      </w:r>
    </w:p>
    <w:p w14:paraId="41D6A86C" w14:textId="77777777" w:rsidR="00304D60" w:rsidRPr="00FC71BE" w:rsidRDefault="00304D60" w:rsidP="003115A5">
      <w:pPr>
        <w:pStyle w:val="Reference"/>
        <w:rPr>
          <w:noProof w:val="0"/>
        </w:rPr>
      </w:pPr>
      <w:r w:rsidRPr="00FC71BE">
        <w:rPr>
          <w:noProof w:val="0"/>
        </w:rPr>
        <w:t>[175]</w:t>
      </w:r>
      <w:r w:rsidRPr="00FC71BE">
        <w:rPr>
          <w:noProof w:val="0"/>
        </w:rPr>
        <w:tab/>
        <w:t xml:space="preserve">T. Von Karman, "The analogy between fluid friction and heat transfer," </w:t>
      </w:r>
      <w:r w:rsidRPr="00FC71BE">
        <w:rPr>
          <w:i/>
          <w:noProof w:val="0"/>
        </w:rPr>
        <w:t xml:space="preserve">Transactions of the American Society of Mechanical Engineers, </w:t>
      </w:r>
      <w:r w:rsidRPr="00FC71BE">
        <w:rPr>
          <w:noProof w:val="0"/>
        </w:rPr>
        <w:t>vol. 61, no. 8, pp. 705-710, 1939.</w:t>
      </w:r>
    </w:p>
    <w:p w14:paraId="4641E60F" w14:textId="77777777" w:rsidR="00304D60" w:rsidRPr="00FC71BE" w:rsidRDefault="00304D60" w:rsidP="003115A5">
      <w:pPr>
        <w:pStyle w:val="Reference"/>
        <w:rPr>
          <w:noProof w:val="0"/>
        </w:rPr>
      </w:pPr>
      <w:r w:rsidRPr="00FC71BE">
        <w:rPr>
          <w:noProof w:val="0"/>
        </w:rPr>
        <w:t>[176]</w:t>
      </w:r>
      <w:r w:rsidRPr="00FC71BE">
        <w:rPr>
          <w:noProof w:val="0"/>
        </w:rPr>
        <w:tab/>
        <w:t xml:space="preserve">G. I. Taylor, "Conditions at the surface of a hot body exposed to the wind," </w:t>
      </w:r>
      <w:r w:rsidRPr="00FC71BE">
        <w:rPr>
          <w:i/>
          <w:noProof w:val="0"/>
        </w:rPr>
        <w:t xml:space="preserve">Rep. Memo. of the British Advisory Committee for Aeronautics, </w:t>
      </w:r>
      <w:r w:rsidRPr="00FC71BE">
        <w:rPr>
          <w:noProof w:val="0"/>
        </w:rPr>
        <w:t>vol. 272, pp. 423-429, 1916.</w:t>
      </w:r>
    </w:p>
    <w:p w14:paraId="464AAAE2" w14:textId="77777777" w:rsidR="00304D60" w:rsidRPr="00FC71BE" w:rsidRDefault="00304D60" w:rsidP="003115A5">
      <w:pPr>
        <w:pStyle w:val="Reference"/>
        <w:rPr>
          <w:noProof w:val="0"/>
        </w:rPr>
      </w:pPr>
      <w:r w:rsidRPr="00FC71BE">
        <w:rPr>
          <w:noProof w:val="0"/>
        </w:rPr>
        <w:t>[177]</w:t>
      </w:r>
      <w:r w:rsidRPr="00FC71BE">
        <w:rPr>
          <w:noProof w:val="0"/>
        </w:rPr>
        <w:tab/>
        <w:t xml:space="preserve">ANSYS, </w:t>
      </w:r>
      <w:r w:rsidRPr="00FC71BE">
        <w:rPr>
          <w:i/>
          <w:noProof w:val="0"/>
        </w:rPr>
        <w:t>ANSYS CFX-Solver Theory guide Version 2021 R2</w:t>
      </w:r>
      <w:r w:rsidRPr="00FC71BE">
        <w:rPr>
          <w:noProof w:val="0"/>
        </w:rPr>
        <w:t>. Canonsburg, PA, US: ANSYS, Inc., 2021.</w:t>
      </w:r>
    </w:p>
    <w:p w14:paraId="0F4711CE" w14:textId="77777777" w:rsidR="00304D60" w:rsidRPr="00FC71BE" w:rsidRDefault="00304D60" w:rsidP="003115A5">
      <w:pPr>
        <w:pStyle w:val="Reference"/>
        <w:rPr>
          <w:noProof w:val="0"/>
          <w:lang w:val="es-ES"/>
        </w:rPr>
      </w:pPr>
      <w:r w:rsidRPr="00FC71BE">
        <w:rPr>
          <w:noProof w:val="0"/>
        </w:rPr>
        <w:t>[178]</w:t>
      </w:r>
      <w:r w:rsidRPr="00FC71BE">
        <w:rPr>
          <w:noProof w:val="0"/>
        </w:rPr>
        <w:tab/>
        <w:t xml:space="preserve">D. C. Wilcox, </w:t>
      </w:r>
      <w:r w:rsidRPr="00FC71BE">
        <w:rPr>
          <w:i/>
          <w:noProof w:val="0"/>
        </w:rPr>
        <w:t>Turbulence modeling for CFD</w:t>
      </w:r>
      <w:r w:rsidRPr="00FC71BE">
        <w:rPr>
          <w:noProof w:val="0"/>
        </w:rPr>
        <w:t xml:space="preserve">. </w:t>
      </w:r>
      <w:r w:rsidRPr="00FC71BE">
        <w:rPr>
          <w:noProof w:val="0"/>
          <w:lang w:val="es-ES"/>
        </w:rPr>
        <w:t>DCW industries La Canada, CA, 1998.</w:t>
      </w:r>
    </w:p>
    <w:p w14:paraId="68197DB4" w14:textId="25C6868A" w:rsidR="00304D60" w:rsidRPr="00FC71BE" w:rsidRDefault="00304D60" w:rsidP="003115A5">
      <w:pPr>
        <w:pStyle w:val="Reference"/>
        <w:rPr>
          <w:noProof w:val="0"/>
        </w:rPr>
      </w:pPr>
      <w:r w:rsidRPr="00FC71BE">
        <w:rPr>
          <w:noProof w:val="0"/>
        </w:rPr>
        <w:t>[179]</w:t>
      </w:r>
      <w:r w:rsidRPr="00FC71BE">
        <w:rPr>
          <w:noProof w:val="0"/>
        </w:rPr>
        <w:tab/>
        <w:t xml:space="preserve">ANSYS Motor Design Ltd., 2022, "ANSYS Motor-CAD material database", Software built-in database, Wrexham. [Online] Available: </w:t>
      </w:r>
      <w:hyperlink r:id="rId290" w:history="1">
        <w:r w:rsidRPr="00FC71BE">
          <w:rPr>
            <w:rStyle w:val="Hyperlink"/>
            <w:noProof w:val="0"/>
            <w:color w:val="auto"/>
          </w:rPr>
          <w:t>www.motor-design.com</w:t>
        </w:r>
      </w:hyperlink>
    </w:p>
    <w:p w14:paraId="381EF090" w14:textId="77777777" w:rsidR="00304D60" w:rsidRPr="00FC71BE" w:rsidRDefault="00304D60" w:rsidP="003115A5">
      <w:pPr>
        <w:pStyle w:val="Reference"/>
        <w:rPr>
          <w:noProof w:val="0"/>
        </w:rPr>
      </w:pPr>
      <w:r w:rsidRPr="00FC71BE">
        <w:rPr>
          <w:noProof w:val="0"/>
        </w:rPr>
        <w:t>[180]</w:t>
      </w:r>
      <w:r w:rsidRPr="00FC71BE">
        <w:rPr>
          <w:noProof w:val="0"/>
        </w:rPr>
        <w:tab/>
        <w:t xml:space="preserve">J. D. Webb, "The flow of air through axial cooling ducts in a rotor," </w:t>
      </w:r>
      <w:r w:rsidRPr="00FC71BE">
        <w:rPr>
          <w:i/>
          <w:noProof w:val="0"/>
        </w:rPr>
        <w:t xml:space="preserve">The English Electric Company Ltd. Department Mechanical Engineering Laboratory, Whetstone, Report No. W/M (2A) p, </w:t>
      </w:r>
      <w:r w:rsidRPr="00FC71BE">
        <w:rPr>
          <w:noProof w:val="0"/>
        </w:rPr>
        <w:t>vol. 85, 1964.</w:t>
      </w:r>
    </w:p>
    <w:p w14:paraId="2517196F" w14:textId="77777777" w:rsidR="00304D60" w:rsidRPr="00FC71BE" w:rsidRDefault="00304D60" w:rsidP="003115A5">
      <w:pPr>
        <w:pStyle w:val="Reference"/>
        <w:rPr>
          <w:noProof w:val="0"/>
        </w:rPr>
      </w:pPr>
      <w:r w:rsidRPr="00FC71BE">
        <w:rPr>
          <w:noProof w:val="0"/>
        </w:rPr>
        <w:t>[181]</w:t>
      </w:r>
      <w:r w:rsidRPr="00FC71BE">
        <w:rPr>
          <w:noProof w:val="0"/>
        </w:rPr>
        <w:tab/>
        <w:t xml:space="preserve">Y. C. Chong, D. A. Staton, M. Mueller, and J. Chick, "Pressure loss measurement in rotor-stator gap of radial flux electrical machines," in </w:t>
      </w:r>
      <w:r w:rsidRPr="00FC71BE">
        <w:rPr>
          <w:i/>
          <w:noProof w:val="0"/>
        </w:rPr>
        <w:t>2014 International Conference on Electrical Machines (ICEM)</w:t>
      </w:r>
      <w:r w:rsidRPr="00FC71BE">
        <w:rPr>
          <w:noProof w:val="0"/>
        </w:rPr>
        <w:t xml:space="preserve">, 2014: IEEE, pp. 2172-2178. </w:t>
      </w:r>
    </w:p>
    <w:p w14:paraId="43D7547E" w14:textId="77777777" w:rsidR="00304D60" w:rsidRPr="00FC71BE" w:rsidRDefault="00304D60" w:rsidP="003115A5">
      <w:pPr>
        <w:pStyle w:val="Reference"/>
        <w:rPr>
          <w:noProof w:val="0"/>
        </w:rPr>
      </w:pPr>
      <w:r w:rsidRPr="00FC71BE">
        <w:rPr>
          <w:noProof w:val="0"/>
        </w:rPr>
        <w:lastRenderedPageBreak/>
        <w:t>[182]</w:t>
      </w:r>
      <w:r w:rsidRPr="00FC71BE">
        <w:rPr>
          <w:noProof w:val="0"/>
        </w:rPr>
        <w:tab/>
        <w:t xml:space="preserve">Y. Yamada, "Resistance of a flow through an annulus with an inner rotating cylinder," </w:t>
      </w:r>
      <w:r w:rsidRPr="00FC71BE">
        <w:rPr>
          <w:i/>
          <w:noProof w:val="0"/>
        </w:rPr>
        <w:t xml:space="preserve">Bulletin of JSME, </w:t>
      </w:r>
      <w:r w:rsidRPr="00FC71BE">
        <w:rPr>
          <w:noProof w:val="0"/>
        </w:rPr>
        <w:t>vol. 5, no. 18, pp. 302-310, 1962.</w:t>
      </w:r>
    </w:p>
    <w:p w14:paraId="0E6741BA" w14:textId="77777777" w:rsidR="00304D60" w:rsidRPr="00FC71BE" w:rsidRDefault="00304D60" w:rsidP="003115A5">
      <w:pPr>
        <w:pStyle w:val="Reference"/>
        <w:rPr>
          <w:noProof w:val="0"/>
        </w:rPr>
      </w:pPr>
      <w:r w:rsidRPr="00FC71BE">
        <w:rPr>
          <w:noProof w:val="0"/>
        </w:rPr>
        <w:t>[183]</w:t>
      </w:r>
      <w:r w:rsidRPr="00FC71BE">
        <w:rPr>
          <w:noProof w:val="0"/>
        </w:rPr>
        <w:tab/>
        <w:t xml:space="preserve">W. Lian, Y. Xuan, and Q. Li, "Characterization of miniature automatic energy transport devices based on the thermomagnetic effect," </w:t>
      </w:r>
      <w:r w:rsidRPr="00FC71BE">
        <w:rPr>
          <w:i/>
          <w:noProof w:val="0"/>
        </w:rPr>
        <w:t xml:space="preserve">Energy Conversion and management, </w:t>
      </w:r>
      <w:r w:rsidRPr="00FC71BE">
        <w:rPr>
          <w:noProof w:val="0"/>
        </w:rPr>
        <w:t>vol. 50, no. 1, pp. 35-42, 2009.</w:t>
      </w:r>
    </w:p>
    <w:p w14:paraId="28434526" w14:textId="77777777" w:rsidR="00304D60" w:rsidRPr="00FC71BE" w:rsidRDefault="00304D60" w:rsidP="003115A5">
      <w:pPr>
        <w:pStyle w:val="Reference"/>
        <w:rPr>
          <w:noProof w:val="0"/>
        </w:rPr>
      </w:pPr>
      <w:r w:rsidRPr="00FC71BE">
        <w:rPr>
          <w:noProof w:val="0"/>
        </w:rPr>
        <w:t>[184]</w:t>
      </w:r>
      <w:r w:rsidRPr="00FC71BE">
        <w:rPr>
          <w:noProof w:val="0"/>
        </w:rPr>
        <w:tab/>
        <w:t xml:space="preserve">M. Petit, Y. Avenas, A. Kedous-Lebouc, W. Cherief, and E. Rullière, "Experimental study of a static system based on a magneto-thermal coupling in ferrofluids," </w:t>
      </w:r>
      <w:r w:rsidRPr="00FC71BE">
        <w:rPr>
          <w:i/>
          <w:noProof w:val="0"/>
        </w:rPr>
        <w:t xml:space="preserve">International journal of refrigeration, </w:t>
      </w:r>
      <w:r w:rsidRPr="00FC71BE">
        <w:rPr>
          <w:noProof w:val="0"/>
        </w:rPr>
        <w:t>vol. 37, pp. 201-208, 2014.</w:t>
      </w:r>
    </w:p>
    <w:p w14:paraId="69D65C98" w14:textId="77777777" w:rsidR="00304D60" w:rsidRPr="00FC71BE" w:rsidRDefault="00304D60" w:rsidP="003115A5">
      <w:pPr>
        <w:pStyle w:val="Reference"/>
        <w:rPr>
          <w:noProof w:val="0"/>
        </w:rPr>
      </w:pPr>
      <w:r w:rsidRPr="00FC71BE">
        <w:rPr>
          <w:noProof w:val="0"/>
        </w:rPr>
        <w:t>[185]</w:t>
      </w:r>
      <w:r w:rsidRPr="00FC71BE">
        <w:rPr>
          <w:noProof w:val="0"/>
        </w:rPr>
        <w:tab/>
        <w:t xml:space="preserve">S. N. El Dine, X. Mininger, C. Nore, R. Zanella, F. Bouillault, and J.-L. Guermond, "Impact of magnets on ferrofluid cooling process: Experimental and numerical approaches," </w:t>
      </w:r>
      <w:r w:rsidRPr="00FC71BE">
        <w:rPr>
          <w:i/>
          <w:noProof w:val="0"/>
        </w:rPr>
        <w:t xml:space="preserve">IEEE Transactions on Magnetics, </w:t>
      </w:r>
      <w:r w:rsidRPr="00FC71BE">
        <w:rPr>
          <w:noProof w:val="0"/>
        </w:rPr>
        <w:t>vol. 56, no. 1, pp. 1-4, 2019.</w:t>
      </w:r>
    </w:p>
    <w:p w14:paraId="42822EB4" w14:textId="77777777" w:rsidR="00304D60" w:rsidRPr="00FC71BE" w:rsidRDefault="00304D60" w:rsidP="003115A5">
      <w:pPr>
        <w:pStyle w:val="Reference"/>
        <w:rPr>
          <w:noProof w:val="0"/>
        </w:rPr>
      </w:pPr>
      <w:r w:rsidRPr="00FC71BE">
        <w:rPr>
          <w:noProof w:val="0"/>
        </w:rPr>
        <w:t>[186]</w:t>
      </w:r>
      <w:r w:rsidRPr="00FC71BE">
        <w:rPr>
          <w:noProof w:val="0"/>
        </w:rPr>
        <w:tab/>
        <w:t xml:space="preserve">R. Zanella, C. Nore, X. Mininger, F. Bouillault, and J.-L. Guermond, "Numerical study of cooling by ferrofluids in an electrical transformer using an axisymmetric model," </w:t>
      </w:r>
      <w:r w:rsidRPr="00FC71BE">
        <w:rPr>
          <w:i/>
          <w:noProof w:val="0"/>
        </w:rPr>
        <w:t xml:space="preserve">IEEE Transactions on Magnetics, </w:t>
      </w:r>
      <w:r w:rsidRPr="00FC71BE">
        <w:rPr>
          <w:noProof w:val="0"/>
        </w:rPr>
        <w:t>vol. 57, no. 7, pp. 1-4, 2021.</w:t>
      </w:r>
    </w:p>
    <w:p w14:paraId="1BCD5B2C" w14:textId="77777777" w:rsidR="00304D60" w:rsidRPr="00FC71BE" w:rsidRDefault="00304D60" w:rsidP="003115A5">
      <w:pPr>
        <w:pStyle w:val="Reference"/>
        <w:rPr>
          <w:noProof w:val="0"/>
        </w:rPr>
      </w:pPr>
      <w:r w:rsidRPr="00FC71BE">
        <w:rPr>
          <w:noProof w:val="0"/>
        </w:rPr>
        <w:t>[187]</w:t>
      </w:r>
      <w:r w:rsidRPr="00FC71BE">
        <w:rPr>
          <w:noProof w:val="0"/>
        </w:rPr>
        <w:tab/>
        <w:t xml:space="preserve">L. Pîslaru Dănescu, A. M. Morega, M. Morega, V. Stoica, O. M. Marinică, F. Nouraş, N. Păduraru, I. Borbáth, and T. Borbáth, "Prototyping a ferrofluid-cooled transformer," </w:t>
      </w:r>
      <w:r w:rsidRPr="00FC71BE">
        <w:rPr>
          <w:i/>
          <w:noProof w:val="0"/>
        </w:rPr>
        <w:t xml:space="preserve">IEEE Transactions on Industry Applications, </w:t>
      </w:r>
      <w:r w:rsidRPr="00FC71BE">
        <w:rPr>
          <w:noProof w:val="0"/>
        </w:rPr>
        <w:t>vol. 49, no. 3, pp. 1289-1298, 2013.</w:t>
      </w:r>
    </w:p>
    <w:p w14:paraId="137B1456" w14:textId="77777777" w:rsidR="00304D60" w:rsidRPr="00FC71BE" w:rsidRDefault="00304D60" w:rsidP="003115A5">
      <w:pPr>
        <w:pStyle w:val="Reference"/>
        <w:rPr>
          <w:noProof w:val="0"/>
        </w:rPr>
      </w:pPr>
      <w:r w:rsidRPr="00FC71BE">
        <w:rPr>
          <w:noProof w:val="0"/>
        </w:rPr>
        <w:t>[188]</w:t>
      </w:r>
      <w:r w:rsidRPr="00FC71BE">
        <w:rPr>
          <w:noProof w:val="0"/>
        </w:rPr>
        <w:tab/>
        <w:t xml:space="preserve">J. Patel, K. Parekh, and R. Upadhyay, "Prevention of hot spot temperature in a distribution transformer using magnetic fluid as a coolant," </w:t>
      </w:r>
      <w:r w:rsidRPr="00FC71BE">
        <w:rPr>
          <w:i/>
          <w:noProof w:val="0"/>
        </w:rPr>
        <w:t xml:space="preserve">International Journal of Thermal Sciences, </w:t>
      </w:r>
      <w:r w:rsidRPr="00FC71BE">
        <w:rPr>
          <w:noProof w:val="0"/>
        </w:rPr>
        <w:t>vol. 103, pp. 35-40, 2016.</w:t>
      </w:r>
    </w:p>
    <w:p w14:paraId="679E9870" w14:textId="77777777" w:rsidR="00304D60" w:rsidRPr="00FC71BE" w:rsidRDefault="00304D60" w:rsidP="003115A5">
      <w:pPr>
        <w:pStyle w:val="Reference"/>
        <w:rPr>
          <w:noProof w:val="0"/>
        </w:rPr>
      </w:pPr>
      <w:r w:rsidRPr="00FC71BE">
        <w:rPr>
          <w:noProof w:val="0"/>
        </w:rPr>
        <w:t>[189]</w:t>
      </w:r>
      <w:r w:rsidRPr="00FC71BE">
        <w:rPr>
          <w:noProof w:val="0"/>
        </w:rPr>
        <w:tab/>
        <w:t xml:space="preserve">R. E. Rosensweig, </w:t>
      </w:r>
      <w:r w:rsidRPr="00FC71BE">
        <w:rPr>
          <w:i/>
          <w:noProof w:val="0"/>
        </w:rPr>
        <w:t>Ferrohydrodynamics</w:t>
      </w:r>
      <w:r w:rsidRPr="00FC71BE">
        <w:rPr>
          <w:noProof w:val="0"/>
        </w:rPr>
        <w:t>. Courier Corporation, 2013.</w:t>
      </w:r>
    </w:p>
    <w:p w14:paraId="3979A77E" w14:textId="77777777" w:rsidR="00304D60" w:rsidRPr="00FC71BE" w:rsidRDefault="00304D60" w:rsidP="003115A5">
      <w:pPr>
        <w:pStyle w:val="Reference"/>
        <w:rPr>
          <w:noProof w:val="0"/>
        </w:rPr>
      </w:pPr>
      <w:r w:rsidRPr="00FC71BE">
        <w:rPr>
          <w:noProof w:val="0"/>
        </w:rPr>
        <w:t>[190]</w:t>
      </w:r>
      <w:r w:rsidRPr="00FC71BE">
        <w:rPr>
          <w:noProof w:val="0"/>
        </w:rPr>
        <w:tab/>
        <w:t>B. Berkovsky, V. F. Medvedev, and M. S. Krakov, "Magnetic fluids: engineering applications," 1993.</w:t>
      </w:r>
    </w:p>
    <w:p w14:paraId="3004427A" w14:textId="77777777" w:rsidR="00304D60" w:rsidRPr="00FC71BE" w:rsidRDefault="00304D60" w:rsidP="003115A5">
      <w:pPr>
        <w:pStyle w:val="Reference"/>
        <w:rPr>
          <w:noProof w:val="0"/>
        </w:rPr>
      </w:pPr>
      <w:r w:rsidRPr="00FC71BE">
        <w:rPr>
          <w:noProof w:val="0"/>
        </w:rPr>
        <w:t>[191]</w:t>
      </w:r>
      <w:r w:rsidRPr="00FC71BE">
        <w:rPr>
          <w:noProof w:val="0"/>
        </w:rPr>
        <w:tab/>
        <w:t xml:space="preserve">S. W. Charles, "The preparation of magnetic fluids," </w:t>
      </w:r>
      <w:r w:rsidRPr="00FC71BE">
        <w:rPr>
          <w:i/>
          <w:noProof w:val="0"/>
        </w:rPr>
        <w:t xml:space="preserve">Ferrofluids: magnetically controllable fluids and their applications, </w:t>
      </w:r>
      <w:r w:rsidRPr="00FC71BE">
        <w:rPr>
          <w:noProof w:val="0"/>
        </w:rPr>
        <w:t>pp. 3-18, 2002.</w:t>
      </w:r>
    </w:p>
    <w:p w14:paraId="266F9162" w14:textId="77777777" w:rsidR="00304D60" w:rsidRPr="00FC71BE" w:rsidRDefault="00304D60" w:rsidP="003115A5">
      <w:pPr>
        <w:pStyle w:val="Reference"/>
        <w:rPr>
          <w:noProof w:val="0"/>
        </w:rPr>
      </w:pPr>
      <w:r w:rsidRPr="00FC71BE">
        <w:rPr>
          <w:noProof w:val="0"/>
        </w:rPr>
        <w:t>[192]</w:t>
      </w:r>
      <w:r w:rsidRPr="00FC71BE">
        <w:rPr>
          <w:noProof w:val="0"/>
        </w:rPr>
        <w:tab/>
        <w:t xml:space="preserve">S. Chikazumi, </w:t>
      </w:r>
      <w:r w:rsidRPr="00FC71BE">
        <w:rPr>
          <w:i/>
          <w:noProof w:val="0"/>
        </w:rPr>
        <w:t>Physics of ferromagnetism</w:t>
      </w:r>
      <w:r w:rsidRPr="00FC71BE">
        <w:rPr>
          <w:noProof w:val="0"/>
        </w:rPr>
        <w:t xml:space="preserve"> (no. 94). Oxford university press, 1997.</w:t>
      </w:r>
    </w:p>
    <w:p w14:paraId="0E163F99" w14:textId="77777777" w:rsidR="00304D60" w:rsidRPr="00FC71BE" w:rsidRDefault="00304D60" w:rsidP="003115A5">
      <w:pPr>
        <w:pStyle w:val="Reference"/>
        <w:rPr>
          <w:noProof w:val="0"/>
        </w:rPr>
      </w:pPr>
      <w:r w:rsidRPr="00FC71BE">
        <w:rPr>
          <w:noProof w:val="0"/>
        </w:rPr>
        <w:t>[193]</w:t>
      </w:r>
      <w:r w:rsidRPr="00FC71BE">
        <w:rPr>
          <w:noProof w:val="0"/>
        </w:rPr>
        <w:tab/>
        <w:t xml:space="preserve">H. Hezaveh, A. Fazlali, and I. Noshadi, "Synthesis, rheological properties and magnetoviscos effect of Fe2O3/paraffin ferrofluids," </w:t>
      </w:r>
      <w:r w:rsidRPr="00FC71BE">
        <w:rPr>
          <w:i/>
          <w:noProof w:val="0"/>
        </w:rPr>
        <w:t xml:space="preserve">Journal of the Taiwan Institute of Chemical Engineers, </w:t>
      </w:r>
      <w:r w:rsidRPr="00FC71BE">
        <w:rPr>
          <w:noProof w:val="0"/>
        </w:rPr>
        <w:t>vol. 43, no. 1, pp. 159-164, 2012.</w:t>
      </w:r>
    </w:p>
    <w:p w14:paraId="3E4B6056" w14:textId="77777777" w:rsidR="00304D60" w:rsidRPr="00FC71BE" w:rsidRDefault="00304D60" w:rsidP="003115A5">
      <w:pPr>
        <w:pStyle w:val="Reference"/>
        <w:rPr>
          <w:noProof w:val="0"/>
        </w:rPr>
      </w:pPr>
      <w:r w:rsidRPr="00FC71BE">
        <w:rPr>
          <w:noProof w:val="0"/>
        </w:rPr>
        <w:t>[194]</w:t>
      </w:r>
      <w:r w:rsidRPr="00FC71BE">
        <w:rPr>
          <w:noProof w:val="0"/>
        </w:rPr>
        <w:tab/>
        <w:t xml:space="preserve">J. P. McTague, "Magnetoviscosity of magnetic colloids," </w:t>
      </w:r>
      <w:r w:rsidRPr="00FC71BE">
        <w:rPr>
          <w:i/>
          <w:noProof w:val="0"/>
        </w:rPr>
        <w:t xml:space="preserve">The Journal of Chemical Physics, </w:t>
      </w:r>
      <w:r w:rsidRPr="00FC71BE">
        <w:rPr>
          <w:noProof w:val="0"/>
        </w:rPr>
        <w:t>vol. 51, no. 1, pp. 133-136, 1969.</w:t>
      </w:r>
    </w:p>
    <w:p w14:paraId="57B348AC" w14:textId="77777777" w:rsidR="00304D60" w:rsidRPr="00FC71BE" w:rsidRDefault="00304D60" w:rsidP="003115A5">
      <w:pPr>
        <w:pStyle w:val="Reference"/>
        <w:rPr>
          <w:noProof w:val="0"/>
        </w:rPr>
      </w:pPr>
      <w:r w:rsidRPr="00FC71BE">
        <w:rPr>
          <w:noProof w:val="0"/>
        </w:rPr>
        <w:t>[195]</w:t>
      </w:r>
      <w:r w:rsidRPr="00FC71BE">
        <w:rPr>
          <w:noProof w:val="0"/>
        </w:rPr>
        <w:tab/>
        <w:t xml:space="preserve">S. Odenbach and S. Thurm, "Magnetoviscous effects in ferrofluids," in </w:t>
      </w:r>
      <w:r w:rsidRPr="00FC71BE">
        <w:rPr>
          <w:i/>
          <w:noProof w:val="0"/>
        </w:rPr>
        <w:t>Ferrofluids: magnetically controllable fluids and their applications</w:t>
      </w:r>
      <w:r w:rsidRPr="00FC71BE">
        <w:rPr>
          <w:noProof w:val="0"/>
        </w:rPr>
        <w:t>: Springer, 2002, pp. 185-201.</w:t>
      </w:r>
    </w:p>
    <w:p w14:paraId="540C5BE2" w14:textId="77777777" w:rsidR="00304D60" w:rsidRPr="00FC71BE" w:rsidRDefault="00304D60" w:rsidP="003115A5">
      <w:pPr>
        <w:pStyle w:val="Reference"/>
        <w:rPr>
          <w:noProof w:val="0"/>
        </w:rPr>
      </w:pPr>
      <w:r w:rsidRPr="00FC71BE">
        <w:rPr>
          <w:noProof w:val="0"/>
        </w:rPr>
        <w:t>[196]</w:t>
      </w:r>
      <w:r w:rsidRPr="00FC71BE">
        <w:rPr>
          <w:noProof w:val="0"/>
        </w:rPr>
        <w:tab/>
        <w:t xml:space="preserve">S. Karim and L. Rosenhead, "The second coefficient of viscosity of liquids and gases," </w:t>
      </w:r>
      <w:r w:rsidRPr="00FC71BE">
        <w:rPr>
          <w:i/>
          <w:noProof w:val="0"/>
        </w:rPr>
        <w:t xml:space="preserve">Reviews of Modern Physics, </w:t>
      </w:r>
      <w:r w:rsidRPr="00FC71BE">
        <w:rPr>
          <w:noProof w:val="0"/>
        </w:rPr>
        <w:t>vol. 24, no. 2, p. 108, 1952.</w:t>
      </w:r>
    </w:p>
    <w:p w14:paraId="6EC25FDD" w14:textId="77777777" w:rsidR="00304D60" w:rsidRPr="00FC71BE" w:rsidRDefault="00304D60" w:rsidP="003115A5">
      <w:pPr>
        <w:pStyle w:val="Reference"/>
        <w:rPr>
          <w:noProof w:val="0"/>
        </w:rPr>
      </w:pPr>
      <w:r w:rsidRPr="00FC71BE">
        <w:rPr>
          <w:noProof w:val="0"/>
        </w:rPr>
        <w:t>[197]</w:t>
      </w:r>
      <w:r w:rsidRPr="00FC71BE">
        <w:rPr>
          <w:noProof w:val="0"/>
        </w:rPr>
        <w:tab/>
        <w:t xml:space="preserve">T. H. Boyer, "The force on a magnetic dipole," </w:t>
      </w:r>
      <w:r w:rsidRPr="00FC71BE">
        <w:rPr>
          <w:i/>
          <w:noProof w:val="0"/>
        </w:rPr>
        <w:t xml:space="preserve">American Journal of Physics, </w:t>
      </w:r>
      <w:r w:rsidRPr="00FC71BE">
        <w:rPr>
          <w:noProof w:val="0"/>
        </w:rPr>
        <w:t>vol. 56, no. 8, pp. 688-692, 1988.</w:t>
      </w:r>
    </w:p>
    <w:p w14:paraId="3746F2FA" w14:textId="77777777" w:rsidR="00304D60" w:rsidRPr="00FC71BE" w:rsidRDefault="00304D60" w:rsidP="003115A5">
      <w:pPr>
        <w:pStyle w:val="Reference"/>
        <w:rPr>
          <w:noProof w:val="0"/>
        </w:rPr>
      </w:pPr>
      <w:r w:rsidRPr="00FC71BE">
        <w:rPr>
          <w:noProof w:val="0"/>
        </w:rPr>
        <w:lastRenderedPageBreak/>
        <w:t>[198]</w:t>
      </w:r>
      <w:r w:rsidRPr="00FC71BE">
        <w:rPr>
          <w:noProof w:val="0"/>
        </w:rPr>
        <w:tab/>
        <w:t xml:space="preserve">L. Cecchini and A. Chiolerio, "The magnetic body force in ferrofluids," </w:t>
      </w:r>
      <w:r w:rsidRPr="00FC71BE">
        <w:rPr>
          <w:i/>
          <w:noProof w:val="0"/>
        </w:rPr>
        <w:t xml:space="preserve">Journal of Physics D: Applied Physics, </w:t>
      </w:r>
      <w:r w:rsidRPr="00FC71BE">
        <w:rPr>
          <w:noProof w:val="0"/>
        </w:rPr>
        <w:t>vol. 54, no. 35, p. 355002, 2021.</w:t>
      </w:r>
    </w:p>
    <w:p w14:paraId="4777D06A" w14:textId="77777777" w:rsidR="00304D60" w:rsidRPr="00FC71BE" w:rsidRDefault="00304D60" w:rsidP="003115A5">
      <w:pPr>
        <w:pStyle w:val="Reference"/>
        <w:rPr>
          <w:noProof w:val="0"/>
        </w:rPr>
      </w:pPr>
      <w:r w:rsidRPr="00FC71BE">
        <w:rPr>
          <w:noProof w:val="0"/>
        </w:rPr>
        <w:t>[199]</w:t>
      </w:r>
      <w:r w:rsidRPr="00FC71BE">
        <w:rPr>
          <w:noProof w:val="0"/>
        </w:rPr>
        <w:tab/>
        <w:t xml:space="preserve">Y. Aharonov and A. Casher, "Topological quantum effects for neutral particles," </w:t>
      </w:r>
      <w:r w:rsidRPr="00FC71BE">
        <w:rPr>
          <w:i/>
          <w:noProof w:val="0"/>
        </w:rPr>
        <w:t xml:space="preserve">Physical Review Letters, </w:t>
      </w:r>
      <w:r w:rsidRPr="00FC71BE">
        <w:rPr>
          <w:noProof w:val="0"/>
        </w:rPr>
        <w:t>vol. 53, no. 4, p. 319, 1984.</w:t>
      </w:r>
    </w:p>
    <w:p w14:paraId="03BD4D5A" w14:textId="77777777" w:rsidR="00304D60" w:rsidRPr="00FC71BE" w:rsidRDefault="00304D60" w:rsidP="003115A5">
      <w:pPr>
        <w:pStyle w:val="Reference"/>
        <w:rPr>
          <w:noProof w:val="0"/>
        </w:rPr>
      </w:pPr>
      <w:r w:rsidRPr="00FC71BE">
        <w:rPr>
          <w:noProof w:val="0"/>
        </w:rPr>
        <w:t>[200]</w:t>
      </w:r>
      <w:r w:rsidRPr="00FC71BE">
        <w:rPr>
          <w:noProof w:val="0"/>
        </w:rPr>
        <w:tab/>
        <w:t xml:space="preserve">M. Kaviany, </w:t>
      </w:r>
      <w:r w:rsidRPr="00FC71BE">
        <w:rPr>
          <w:i/>
          <w:noProof w:val="0"/>
        </w:rPr>
        <w:t>Essentials of heat transfer: principles, materials, and applications</w:t>
      </w:r>
      <w:r w:rsidRPr="00FC71BE">
        <w:rPr>
          <w:noProof w:val="0"/>
        </w:rPr>
        <w:t>. Cambridge University Press, 2011.</w:t>
      </w:r>
    </w:p>
    <w:p w14:paraId="05C19BB7" w14:textId="74795A18" w:rsidR="00EE7069" w:rsidRPr="00FC71BE" w:rsidRDefault="0000133B" w:rsidP="003115A5">
      <w:pPr>
        <w:pStyle w:val="Reference"/>
      </w:pPr>
      <w:r w:rsidRPr="00FC71BE">
        <w:rPr>
          <w:noProof w:val="0"/>
        </w:rPr>
        <w:fldChar w:fldCharType="end"/>
      </w:r>
      <w:r w:rsidR="0008788B" w:rsidRPr="00FC71BE">
        <w:rPr>
          <w:noProof w:val="0"/>
        </w:rPr>
        <w:fldChar w:fldCharType="begin"/>
      </w:r>
      <w:r w:rsidR="0008788B" w:rsidRPr="00FC71BE">
        <w:rPr>
          <w:noProof w:val="0"/>
        </w:rPr>
        <w:instrText xml:space="preserve"> ADDIN </w:instrText>
      </w:r>
      <w:r w:rsidR="0008788B" w:rsidRPr="00FC71BE">
        <w:rPr>
          <w:noProof w:val="0"/>
        </w:rPr>
        <w:fldChar w:fldCharType="end"/>
      </w:r>
    </w:p>
    <w:sectPr w:rsidR="00EE7069" w:rsidRPr="00FC71B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78F3A1" w14:textId="77777777" w:rsidR="002143AD" w:rsidRPr="00700316" w:rsidRDefault="002143AD" w:rsidP="00862237">
      <w:pPr>
        <w:spacing w:after="0" w:line="240" w:lineRule="auto"/>
      </w:pPr>
      <w:r w:rsidRPr="00700316">
        <w:separator/>
      </w:r>
    </w:p>
  </w:endnote>
  <w:endnote w:type="continuationSeparator" w:id="0">
    <w:p w14:paraId="18305A24" w14:textId="77777777" w:rsidR="002143AD" w:rsidRPr="00700316" w:rsidRDefault="002143AD" w:rsidP="00862237">
      <w:pPr>
        <w:spacing w:after="0" w:line="240" w:lineRule="auto"/>
      </w:pPr>
      <w:r w:rsidRPr="00700316">
        <w:continuationSeparator/>
      </w:r>
    </w:p>
  </w:endnote>
  <w:endnote w:type="continuationNotice" w:id="1">
    <w:p w14:paraId="78EC6164" w14:textId="77777777" w:rsidR="002143AD" w:rsidRPr="00700316" w:rsidRDefault="002143A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altName w:val="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7C3E1" w14:textId="3730F3BF" w:rsidR="000C6FF7" w:rsidRPr="00700316" w:rsidRDefault="000C6FF7" w:rsidP="005968EE">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8187820"/>
      <w:docPartObj>
        <w:docPartGallery w:val="Page Numbers (Bottom of Page)"/>
        <w:docPartUnique/>
      </w:docPartObj>
    </w:sdtPr>
    <w:sdtEndPr/>
    <w:sdtContent>
      <w:p w14:paraId="1C896ADB" w14:textId="77777777" w:rsidR="005968EE" w:rsidRPr="00700316" w:rsidRDefault="005968EE" w:rsidP="005968EE">
        <w:pPr>
          <w:pStyle w:val="Footer"/>
          <w:jc w:val="center"/>
        </w:pPr>
        <w:r w:rsidRPr="00700316">
          <w:fldChar w:fldCharType="begin"/>
        </w:r>
        <w:r w:rsidRPr="00700316">
          <w:instrText xml:space="preserve"> PAGE   \* MERGEFORMAT </w:instrText>
        </w:r>
        <w:r w:rsidRPr="00700316">
          <w:fldChar w:fldCharType="separate"/>
        </w:r>
        <w:r w:rsidRPr="00700316">
          <w:t>2</w:t>
        </w:r>
        <w:r w:rsidRPr="00700316">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0246986"/>
      <w:docPartObj>
        <w:docPartGallery w:val="Page Numbers (Bottom of Page)"/>
        <w:docPartUnique/>
      </w:docPartObj>
    </w:sdtPr>
    <w:sdtEndPr/>
    <w:sdtContent>
      <w:p w14:paraId="59D98551" w14:textId="77777777" w:rsidR="00AF4190" w:rsidRPr="00700316" w:rsidRDefault="003C7BE7" w:rsidP="005968EE">
        <w:pPr>
          <w:pStyle w:val="Footer"/>
          <w:jc w:val="center"/>
        </w:pPr>
        <w:r w:rsidRPr="00700316">
          <w:fldChar w:fldCharType="begin"/>
        </w:r>
        <w:r w:rsidRPr="00700316">
          <w:instrText xml:space="preserve"> PAGE   \* MERGEFORMAT </w:instrText>
        </w:r>
        <w:r w:rsidRPr="00700316">
          <w:fldChar w:fldCharType="separate"/>
        </w:r>
        <w:r w:rsidRPr="00700316">
          <w:t>2</w:t>
        </w:r>
        <w:r w:rsidRPr="00700316">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464893" w14:textId="77777777" w:rsidR="002143AD" w:rsidRPr="00700316" w:rsidRDefault="002143AD" w:rsidP="00862237">
      <w:pPr>
        <w:spacing w:after="0" w:line="240" w:lineRule="auto"/>
      </w:pPr>
      <w:r w:rsidRPr="00700316">
        <w:separator/>
      </w:r>
    </w:p>
  </w:footnote>
  <w:footnote w:type="continuationSeparator" w:id="0">
    <w:p w14:paraId="0D08040C" w14:textId="77777777" w:rsidR="002143AD" w:rsidRPr="00700316" w:rsidRDefault="002143AD" w:rsidP="00862237">
      <w:pPr>
        <w:spacing w:after="0" w:line="240" w:lineRule="auto"/>
      </w:pPr>
      <w:r w:rsidRPr="00700316">
        <w:continuationSeparator/>
      </w:r>
    </w:p>
  </w:footnote>
  <w:footnote w:type="continuationNotice" w:id="1">
    <w:p w14:paraId="37EC1187" w14:textId="77777777" w:rsidR="002143AD" w:rsidRPr="00700316" w:rsidRDefault="002143A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46B4B"/>
    <w:multiLevelType w:val="multilevel"/>
    <w:tmpl w:val="20FE2A70"/>
    <w:lvl w:ilvl="0">
      <w:start w:val="1"/>
      <w:numFmt w:val="decimal"/>
      <w:lvlText w:val="Chapter %1"/>
      <w:lvlJc w:val="left"/>
      <w:pPr>
        <w:ind w:left="0" w:firstLine="0"/>
      </w:pPr>
      <w:rPr>
        <w:rFonts w:hint="eastAsia"/>
      </w:rPr>
    </w:lvl>
    <w:lvl w:ilvl="1">
      <w:start w:val="1"/>
      <w:numFmt w:val="decimal"/>
      <w:suff w:val="space"/>
      <w:lvlText w:val="%1.%2."/>
      <w:lvlJc w:val="left"/>
      <w:pPr>
        <w:ind w:left="0" w:firstLine="0"/>
      </w:pPr>
      <w:rPr>
        <w:rFonts w:ascii="Times New Roman" w:hAnsi="Times New Roman" w:hint="eastAsia"/>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1.%2.%3"/>
      <w:lvlJc w:val="left"/>
      <w:pPr>
        <w:ind w:left="0" w:firstLine="0"/>
      </w:pPr>
      <w:rPr>
        <w:rFonts w:hint="eastAsia"/>
      </w:rPr>
    </w:lvl>
    <w:lvl w:ilvl="3">
      <w:start w:val="1"/>
      <w:numFmt w:val="upperLetter"/>
      <w:suff w:val="space"/>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1" w15:restartNumberingAfterBreak="0">
    <w:nsid w:val="022168D6"/>
    <w:multiLevelType w:val="hybridMultilevel"/>
    <w:tmpl w:val="4C06EED8"/>
    <w:lvl w:ilvl="0" w:tplc="6EB4754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8517B6"/>
    <w:multiLevelType w:val="hybridMultilevel"/>
    <w:tmpl w:val="BD34E9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F64330"/>
    <w:multiLevelType w:val="hybridMultilevel"/>
    <w:tmpl w:val="72A4A06A"/>
    <w:lvl w:ilvl="0" w:tplc="08090017">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 w15:restartNumberingAfterBreak="0">
    <w:nsid w:val="0F29433B"/>
    <w:multiLevelType w:val="hybridMultilevel"/>
    <w:tmpl w:val="AD40E216"/>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FF5532D"/>
    <w:multiLevelType w:val="hybridMultilevel"/>
    <w:tmpl w:val="1B3C1F82"/>
    <w:lvl w:ilvl="0" w:tplc="FFFFFFFF">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6" w15:restartNumberingAfterBreak="0">
    <w:nsid w:val="102A3EF3"/>
    <w:multiLevelType w:val="hybridMultilevel"/>
    <w:tmpl w:val="E190D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9C20E5"/>
    <w:multiLevelType w:val="hybridMultilevel"/>
    <w:tmpl w:val="4E64B88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13240D47"/>
    <w:multiLevelType w:val="hybridMultilevel"/>
    <w:tmpl w:val="998E5568"/>
    <w:lvl w:ilvl="0" w:tplc="6270C1E8">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6F455DA"/>
    <w:multiLevelType w:val="multilevel"/>
    <w:tmpl w:val="19B21728"/>
    <w:lvl w:ilvl="0">
      <w:start w:val="1"/>
      <w:numFmt w:val="decimal"/>
      <w:lvlText w:val="Chapter %1"/>
      <w:lvlJc w:val="left"/>
      <w:pPr>
        <w:ind w:left="0" w:firstLine="0"/>
      </w:pPr>
      <w:rPr>
        <w:rFonts w:hint="eastAsia"/>
      </w:rPr>
    </w:lvl>
    <w:lvl w:ilvl="1">
      <w:start w:val="1"/>
      <w:numFmt w:val="decimal"/>
      <w:suff w:val="space"/>
      <w:lvlText w:val="%1.%2."/>
      <w:lvlJc w:val="left"/>
      <w:pPr>
        <w:ind w:left="0" w:firstLine="0"/>
      </w:pPr>
      <w:rPr>
        <w:rFonts w:ascii="Times New Roman" w:hAnsi="Times New Roman" w:hint="eastAsia"/>
        <w:bCs w:val="0"/>
        <w:i w:val="0"/>
        <w:iCs w:val="0"/>
        <w:caps w:val="0"/>
        <w:smallCaps w:val="0"/>
        <w:strike w:val="0"/>
        <w:dstrike w:val="0"/>
        <w:outline w:val="0"/>
        <w:shadow w:val="0"/>
        <w:emboss w:val="0"/>
        <w:imprint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1.%2.%3"/>
      <w:lvlJc w:val="left"/>
      <w:pPr>
        <w:ind w:left="0" w:firstLine="0"/>
      </w:pPr>
      <w:rPr>
        <w:rFonts w:hint="eastAsia"/>
      </w:rPr>
    </w:lvl>
    <w:lvl w:ilvl="3">
      <w:start w:val="1"/>
      <w:numFmt w:val="upperLetter"/>
      <w:suff w:val="space"/>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10" w15:restartNumberingAfterBreak="0">
    <w:nsid w:val="18FD5142"/>
    <w:multiLevelType w:val="multilevel"/>
    <w:tmpl w:val="305C9CAA"/>
    <w:styleLink w:val="ThesisStyle"/>
    <w:lvl w:ilvl="0">
      <w:start w:val="1"/>
      <w:numFmt w:val="decimal"/>
      <w:lvlText w:val="Chapter %1"/>
      <w:lvlJc w:val="left"/>
      <w:pPr>
        <w:ind w:left="0" w:firstLine="0"/>
      </w:pPr>
      <w:rPr>
        <w:rFonts w:hint="eastAsia"/>
      </w:rPr>
    </w:lvl>
    <w:lvl w:ilvl="1">
      <w:start w:val="1"/>
      <w:numFmt w:val="decimal"/>
      <w:suff w:val="space"/>
      <w:lvlText w:val="%1.%2."/>
      <w:lvlJc w:val="left"/>
      <w:pPr>
        <w:ind w:left="0" w:firstLine="0"/>
      </w:pPr>
      <w:rPr>
        <w:rFonts w:ascii="Times New Roman" w:hAnsi="Times New Roman" w:hint="eastAsia"/>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suff w:val="space"/>
      <w:lvlText w:val="%1.%2.%3"/>
      <w:lvlJc w:val="left"/>
      <w:pPr>
        <w:ind w:left="0" w:firstLine="0"/>
      </w:pPr>
      <w:rPr>
        <w:rFonts w:hint="eastAsia"/>
      </w:rPr>
    </w:lvl>
    <w:lvl w:ilvl="3">
      <w:start w:val="1"/>
      <w:numFmt w:val="upperLetter"/>
      <w:suff w:val="space"/>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11" w15:restartNumberingAfterBreak="0">
    <w:nsid w:val="1AF136D0"/>
    <w:multiLevelType w:val="multilevel"/>
    <w:tmpl w:val="19B21728"/>
    <w:lvl w:ilvl="0">
      <w:start w:val="1"/>
      <w:numFmt w:val="decimal"/>
      <w:lvlText w:val="Chapter %1"/>
      <w:lvlJc w:val="left"/>
      <w:pPr>
        <w:ind w:left="0" w:firstLine="0"/>
      </w:pPr>
      <w:rPr>
        <w:rFonts w:hint="eastAsia"/>
      </w:rPr>
    </w:lvl>
    <w:lvl w:ilvl="1">
      <w:start w:val="1"/>
      <w:numFmt w:val="decimal"/>
      <w:suff w:val="space"/>
      <w:lvlText w:val="%1.%2."/>
      <w:lvlJc w:val="left"/>
      <w:pPr>
        <w:ind w:left="0" w:firstLine="0"/>
      </w:pPr>
      <w:rPr>
        <w:rFonts w:ascii="Times New Roman" w:hAnsi="Times New Roman" w:hint="eastAsia"/>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1.%2.%3"/>
      <w:lvlJc w:val="left"/>
      <w:pPr>
        <w:ind w:left="0" w:firstLine="0"/>
      </w:pPr>
      <w:rPr>
        <w:rFonts w:hint="eastAsia"/>
      </w:rPr>
    </w:lvl>
    <w:lvl w:ilvl="3">
      <w:start w:val="1"/>
      <w:numFmt w:val="upperLetter"/>
      <w:suff w:val="space"/>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12" w15:restartNumberingAfterBreak="0">
    <w:nsid w:val="1E4C0126"/>
    <w:multiLevelType w:val="hybridMultilevel"/>
    <w:tmpl w:val="6698410A"/>
    <w:lvl w:ilvl="0" w:tplc="979835CC">
      <w:start w:val="1"/>
      <w:numFmt w:val="upperLetter"/>
      <w:pStyle w:val="Heading4"/>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EA60AE0"/>
    <w:multiLevelType w:val="hybridMultilevel"/>
    <w:tmpl w:val="998E5568"/>
    <w:lvl w:ilvl="0" w:tplc="6270C1E8">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134027E"/>
    <w:multiLevelType w:val="hybridMultilevel"/>
    <w:tmpl w:val="86224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8B5FB3"/>
    <w:multiLevelType w:val="hybridMultilevel"/>
    <w:tmpl w:val="65BC3A00"/>
    <w:lvl w:ilvl="0" w:tplc="EA3813B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A1F2B13"/>
    <w:multiLevelType w:val="hybridMultilevel"/>
    <w:tmpl w:val="85D01898"/>
    <w:lvl w:ilvl="0" w:tplc="CABC1680">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2CDA6616"/>
    <w:multiLevelType w:val="hybridMultilevel"/>
    <w:tmpl w:val="6DFAA6E0"/>
    <w:lvl w:ilvl="0" w:tplc="6156A3C0">
      <w:start w:val="1"/>
      <w:numFmt w:val="decimal"/>
      <w:lvlText w:val="%1."/>
      <w:lvlJc w:val="left"/>
      <w:pPr>
        <w:ind w:left="1004" w:hanging="360"/>
      </w:pPr>
      <w:rPr>
        <w:rFonts w:hint="eastAsia"/>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8" w15:restartNumberingAfterBreak="0">
    <w:nsid w:val="2EC205E7"/>
    <w:multiLevelType w:val="hybridMultilevel"/>
    <w:tmpl w:val="17B278C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F90564B"/>
    <w:multiLevelType w:val="hybridMultilevel"/>
    <w:tmpl w:val="A538C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1B22D1A"/>
    <w:multiLevelType w:val="hybridMultilevel"/>
    <w:tmpl w:val="FA9CEE18"/>
    <w:lvl w:ilvl="0" w:tplc="6156A3C0">
      <w:start w:val="1"/>
      <w:numFmt w:val="decimal"/>
      <w:lvlText w:val="%1."/>
      <w:lvlJc w:val="left"/>
      <w:pPr>
        <w:ind w:left="1004" w:hanging="360"/>
      </w:pPr>
      <w:rPr>
        <w:rFonts w:hint="eastAsia"/>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1" w15:restartNumberingAfterBreak="0">
    <w:nsid w:val="38BD5D81"/>
    <w:multiLevelType w:val="hybridMultilevel"/>
    <w:tmpl w:val="88968728"/>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2" w15:restartNumberingAfterBreak="0">
    <w:nsid w:val="3A45257E"/>
    <w:multiLevelType w:val="hybridMultilevel"/>
    <w:tmpl w:val="59826A3E"/>
    <w:lvl w:ilvl="0" w:tplc="08090017">
      <w:start w:val="1"/>
      <w:numFmt w:val="lowerLetter"/>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41977C2C"/>
    <w:multiLevelType w:val="hybridMultilevel"/>
    <w:tmpl w:val="998E5568"/>
    <w:lvl w:ilvl="0" w:tplc="6270C1E8">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32C3EAD"/>
    <w:multiLevelType w:val="multilevel"/>
    <w:tmpl w:val="EB92093A"/>
    <w:lvl w:ilvl="0">
      <w:start w:val="1"/>
      <w:numFmt w:val="upperRoman"/>
      <w:lvlText w:val="%1."/>
      <w:lvlJc w:val="left"/>
      <w:pPr>
        <w:ind w:left="0" w:firstLine="0"/>
      </w:pPr>
      <w:rPr>
        <w:rFonts w:hint="default"/>
      </w:rPr>
    </w:lvl>
    <w:lvl w:ilvl="1">
      <w:start w:val="1"/>
      <w:numFmt w:val="upperLetter"/>
      <w:lvlText w:val="%2."/>
      <w:lvlJc w:val="left"/>
      <w:pPr>
        <w:ind w:left="0" w:firstLine="0"/>
      </w:pPr>
      <w:rPr>
        <w:rFonts w:hint="default"/>
      </w:rPr>
    </w:lvl>
    <w:lvl w:ilvl="2">
      <w:start w:val="1"/>
      <w:numFmt w:val="decimal"/>
      <w:lvlText w:val="%3."/>
      <w:lvlJc w:val="left"/>
      <w:pPr>
        <w:ind w:left="0" w:firstLine="0"/>
      </w:pPr>
      <w:rPr>
        <w:rFonts w:hint="default"/>
      </w:rPr>
    </w:lvl>
    <w:lvl w:ilvl="3">
      <w:start w:val="1"/>
      <w:numFmt w:val="lowerLetter"/>
      <w:lvlText w:val="%4)"/>
      <w:lvlJc w:val="left"/>
      <w:pPr>
        <w:ind w:left="0" w:firstLine="0"/>
      </w:pPr>
      <w:rPr>
        <w:rFonts w:hint="default"/>
      </w:rPr>
    </w:lvl>
    <w:lvl w:ilvl="4">
      <w:start w:val="1"/>
      <w:numFmt w:val="decimal"/>
      <w:pStyle w:val="Heading5"/>
      <w:lvlText w:val="(%5)"/>
      <w:lvlJc w:val="left"/>
      <w:pPr>
        <w:ind w:left="0" w:firstLine="0"/>
      </w:pPr>
      <w:rPr>
        <w:rFonts w:hint="default"/>
      </w:rPr>
    </w:lvl>
    <w:lvl w:ilvl="5">
      <w:start w:val="1"/>
      <w:numFmt w:val="lowerLetter"/>
      <w:pStyle w:val="Heading6"/>
      <w:lvlText w:val="(%6)"/>
      <w:lvlJc w:val="left"/>
      <w:pPr>
        <w:ind w:left="0" w:firstLine="0"/>
      </w:pPr>
      <w:rPr>
        <w:rFonts w:hint="default"/>
      </w:rPr>
    </w:lvl>
    <w:lvl w:ilvl="6">
      <w:start w:val="1"/>
      <w:numFmt w:val="lowerRoman"/>
      <w:pStyle w:val="Heading7"/>
      <w:lvlText w:val="(%7)"/>
      <w:lvlJc w:val="left"/>
      <w:pPr>
        <w:ind w:left="0" w:firstLine="0"/>
      </w:pPr>
      <w:rPr>
        <w:rFonts w:hint="default"/>
      </w:rPr>
    </w:lvl>
    <w:lvl w:ilvl="7">
      <w:start w:val="1"/>
      <w:numFmt w:val="lowerLetter"/>
      <w:pStyle w:val="Heading8"/>
      <w:lvlText w:val="(%8)"/>
      <w:lvlJc w:val="left"/>
      <w:pPr>
        <w:ind w:left="0" w:firstLine="0"/>
      </w:pPr>
      <w:rPr>
        <w:rFonts w:hint="default"/>
      </w:rPr>
    </w:lvl>
    <w:lvl w:ilvl="8">
      <w:start w:val="1"/>
      <w:numFmt w:val="lowerRoman"/>
      <w:pStyle w:val="Heading9"/>
      <w:lvlText w:val="(%9)"/>
      <w:lvlJc w:val="left"/>
      <w:pPr>
        <w:ind w:left="0" w:firstLine="0"/>
      </w:pPr>
      <w:rPr>
        <w:rFonts w:hint="default"/>
      </w:rPr>
    </w:lvl>
  </w:abstractNum>
  <w:abstractNum w:abstractNumId="25" w15:restartNumberingAfterBreak="0">
    <w:nsid w:val="436A7428"/>
    <w:multiLevelType w:val="multilevel"/>
    <w:tmpl w:val="19B21728"/>
    <w:lvl w:ilvl="0">
      <w:start w:val="1"/>
      <w:numFmt w:val="decimal"/>
      <w:lvlText w:val="Chapter %1"/>
      <w:lvlJc w:val="left"/>
      <w:pPr>
        <w:ind w:left="0" w:firstLine="0"/>
      </w:pPr>
      <w:rPr>
        <w:rFonts w:hint="eastAsia"/>
      </w:rPr>
    </w:lvl>
    <w:lvl w:ilvl="1">
      <w:start w:val="1"/>
      <w:numFmt w:val="decimal"/>
      <w:suff w:val="space"/>
      <w:lvlText w:val="%1.%2."/>
      <w:lvlJc w:val="left"/>
      <w:pPr>
        <w:ind w:left="0" w:firstLine="0"/>
      </w:pPr>
      <w:rPr>
        <w:rFonts w:ascii="Times New Roman" w:hAnsi="Times New Roman" w:hint="eastAsia"/>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1.%2.%3"/>
      <w:lvlJc w:val="left"/>
      <w:pPr>
        <w:ind w:left="0" w:firstLine="0"/>
      </w:pPr>
      <w:rPr>
        <w:rFonts w:hint="eastAsia"/>
      </w:rPr>
    </w:lvl>
    <w:lvl w:ilvl="3">
      <w:start w:val="1"/>
      <w:numFmt w:val="upperLetter"/>
      <w:suff w:val="space"/>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26" w15:restartNumberingAfterBreak="0">
    <w:nsid w:val="448B5358"/>
    <w:multiLevelType w:val="hybridMultilevel"/>
    <w:tmpl w:val="594C40E6"/>
    <w:lvl w:ilvl="0" w:tplc="0809000B">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7" w15:restartNumberingAfterBreak="0">
    <w:nsid w:val="47147D00"/>
    <w:multiLevelType w:val="hybridMultilevel"/>
    <w:tmpl w:val="5C906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4C0C26"/>
    <w:multiLevelType w:val="hybridMultilevel"/>
    <w:tmpl w:val="86A626DE"/>
    <w:lvl w:ilvl="0" w:tplc="08090001">
      <w:start w:val="1"/>
      <w:numFmt w:val="bullet"/>
      <w:lvlText w:val=""/>
      <w:lvlJc w:val="left"/>
      <w:pPr>
        <w:ind w:left="1724" w:hanging="360"/>
      </w:pPr>
      <w:rPr>
        <w:rFonts w:ascii="Symbol" w:hAnsi="Symbol" w:hint="default"/>
      </w:rPr>
    </w:lvl>
    <w:lvl w:ilvl="1" w:tplc="08090003" w:tentative="1">
      <w:start w:val="1"/>
      <w:numFmt w:val="bullet"/>
      <w:lvlText w:val="o"/>
      <w:lvlJc w:val="left"/>
      <w:pPr>
        <w:ind w:left="2444" w:hanging="360"/>
      </w:pPr>
      <w:rPr>
        <w:rFonts w:ascii="Courier New" w:hAnsi="Courier New" w:cs="Courier New" w:hint="default"/>
      </w:rPr>
    </w:lvl>
    <w:lvl w:ilvl="2" w:tplc="08090005" w:tentative="1">
      <w:start w:val="1"/>
      <w:numFmt w:val="bullet"/>
      <w:lvlText w:val=""/>
      <w:lvlJc w:val="left"/>
      <w:pPr>
        <w:ind w:left="3164" w:hanging="360"/>
      </w:pPr>
      <w:rPr>
        <w:rFonts w:ascii="Wingdings" w:hAnsi="Wingdings" w:hint="default"/>
      </w:rPr>
    </w:lvl>
    <w:lvl w:ilvl="3" w:tplc="08090001" w:tentative="1">
      <w:start w:val="1"/>
      <w:numFmt w:val="bullet"/>
      <w:lvlText w:val=""/>
      <w:lvlJc w:val="left"/>
      <w:pPr>
        <w:ind w:left="3884" w:hanging="360"/>
      </w:pPr>
      <w:rPr>
        <w:rFonts w:ascii="Symbol" w:hAnsi="Symbol" w:hint="default"/>
      </w:rPr>
    </w:lvl>
    <w:lvl w:ilvl="4" w:tplc="08090003" w:tentative="1">
      <w:start w:val="1"/>
      <w:numFmt w:val="bullet"/>
      <w:lvlText w:val="o"/>
      <w:lvlJc w:val="left"/>
      <w:pPr>
        <w:ind w:left="4604" w:hanging="360"/>
      </w:pPr>
      <w:rPr>
        <w:rFonts w:ascii="Courier New" w:hAnsi="Courier New" w:cs="Courier New" w:hint="default"/>
      </w:rPr>
    </w:lvl>
    <w:lvl w:ilvl="5" w:tplc="08090005" w:tentative="1">
      <w:start w:val="1"/>
      <w:numFmt w:val="bullet"/>
      <w:lvlText w:val=""/>
      <w:lvlJc w:val="left"/>
      <w:pPr>
        <w:ind w:left="5324" w:hanging="360"/>
      </w:pPr>
      <w:rPr>
        <w:rFonts w:ascii="Wingdings" w:hAnsi="Wingdings" w:hint="default"/>
      </w:rPr>
    </w:lvl>
    <w:lvl w:ilvl="6" w:tplc="08090001" w:tentative="1">
      <w:start w:val="1"/>
      <w:numFmt w:val="bullet"/>
      <w:lvlText w:val=""/>
      <w:lvlJc w:val="left"/>
      <w:pPr>
        <w:ind w:left="6044" w:hanging="360"/>
      </w:pPr>
      <w:rPr>
        <w:rFonts w:ascii="Symbol" w:hAnsi="Symbol" w:hint="default"/>
      </w:rPr>
    </w:lvl>
    <w:lvl w:ilvl="7" w:tplc="08090003" w:tentative="1">
      <w:start w:val="1"/>
      <w:numFmt w:val="bullet"/>
      <w:lvlText w:val="o"/>
      <w:lvlJc w:val="left"/>
      <w:pPr>
        <w:ind w:left="6764" w:hanging="360"/>
      </w:pPr>
      <w:rPr>
        <w:rFonts w:ascii="Courier New" w:hAnsi="Courier New" w:cs="Courier New" w:hint="default"/>
      </w:rPr>
    </w:lvl>
    <w:lvl w:ilvl="8" w:tplc="08090005" w:tentative="1">
      <w:start w:val="1"/>
      <w:numFmt w:val="bullet"/>
      <w:lvlText w:val=""/>
      <w:lvlJc w:val="left"/>
      <w:pPr>
        <w:ind w:left="7484" w:hanging="360"/>
      </w:pPr>
      <w:rPr>
        <w:rFonts w:ascii="Wingdings" w:hAnsi="Wingdings" w:hint="default"/>
      </w:rPr>
    </w:lvl>
  </w:abstractNum>
  <w:abstractNum w:abstractNumId="29" w15:restartNumberingAfterBreak="0">
    <w:nsid w:val="53C74353"/>
    <w:multiLevelType w:val="multilevel"/>
    <w:tmpl w:val="19B21728"/>
    <w:lvl w:ilvl="0">
      <w:start w:val="1"/>
      <w:numFmt w:val="decimal"/>
      <w:lvlText w:val="Chapter %1"/>
      <w:lvlJc w:val="left"/>
      <w:pPr>
        <w:ind w:left="0" w:firstLine="0"/>
      </w:pPr>
      <w:rPr>
        <w:rFonts w:hint="eastAsia"/>
      </w:rPr>
    </w:lvl>
    <w:lvl w:ilvl="1">
      <w:start w:val="1"/>
      <w:numFmt w:val="decimal"/>
      <w:suff w:val="space"/>
      <w:lvlText w:val="%1.%2."/>
      <w:lvlJc w:val="left"/>
      <w:pPr>
        <w:ind w:left="0" w:firstLine="0"/>
      </w:pPr>
      <w:rPr>
        <w:rFonts w:ascii="Times New Roman" w:hAnsi="Times New Roman" w:hint="eastAsia"/>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1.%2.%3"/>
      <w:lvlJc w:val="left"/>
      <w:pPr>
        <w:ind w:left="0" w:firstLine="0"/>
      </w:pPr>
      <w:rPr>
        <w:rFonts w:hint="eastAsia"/>
      </w:rPr>
    </w:lvl>
    <w:lvl w:ilvl="3">
      <w:start w:val="1"/>
      <w:numFmt w:val="upperLetter"/>
      <w:suff w:val="space"/>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30" w15:restartNumberingAfterBreak="0">
    <w:nsid w:val="5525251B"/>
    <w:multiLevelType w:val="hybridMultilevel"/>
    <w:tmpl w:val="7FA66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5A30B8B"/>
    <w:multiLevelType w:val="hybridMultilevel"/>
    <w:tmpl w:val="08BC8F3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2" w15:restartNumberingAfterBreak="0">
    <w:nsid w:val="5F2E3460"/>
    <w:multiLevelType w:val="hybridMultilevel"/>
    <w:tmpl w:val="998E5568"/>
    <w:lvl w:ilvl="0" w:tplc="6270C1E8">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7BC527C"/>
    <w:multiLevelType w:val="multilevel"/>
    <w:tmpl w:val="406CDF9A"/>
    <w:styleLink w:val="Style1"/>
    <w:lvl w:ilvl="0">
      <w:start w:val="1"/>
      <w:numFmt w:val="decimal"/>
      <w:pStyle w:val="MDPI37itemize"/>
      <w:lvlText w:val="%1."/>
      <w:lvlJc w:val="left"/>
      <w:pPr>
        <w:ind w:left="3033" w:hanging="425"/>
      </w:pPr>
      <w:rPr>
        <w:b w:val="0"/>
        <w:i w:val="0"/>
        <w:position w:val="0"/>
        <w:sz w:val="20"/>
        <w:vertAlign w:val="baseline"/>
      </w:rPr>
    </w:lvl>
    <w:lvl w:ilvl="1">
      <w:start w:val="1"/>
      <w:numFmt w:val="lowerLetter"/>
      <w:lvlText w:val="%2."/>
      <w:lvlJc w:val="left"/>
      <w:pPr>
        <w:ind w:left="4048" w:hanging="360"/>
      </w:pPr>
    </w:lvl>
    <w:lvl w:ilvl="2">
      <w:start w:val="1"/>
      <w:numFmt w:val="lowerRoman"/>
      <w:lvlText w:val="%3."/>
      <w:lvlJc w:val="right"/>
      <w:pPr>
        <w:ind w:left="4768" w:hanging="180"/>
      </w:pPr>
    </w:lvl>
    <w:lvl w:ilvl="3">
      <w:start w:val="1"/>
      <w:numFmt w:val="decimal"/>
      <w:lvlText w:val="%4."/>
      <w:lvlJc w:val="left"/>
      <w:pPr>
        <w:ind w:left="5488" w:hanging="360"/>
      </w:pPr>
    </w:lvl>
    <w:lvl w:ilvl="4">
      <w:start w:val="1"/>
      <w:numFmt w:val="lowerLetter"/>
      <w:lvlText w:val="%5."/>
      <w:lvlJc w:val="left"/>
      <w:pPr>
        <w:ind w:left="6208" w:hanging="360"/>
      </w:pPr>
    </w:lvl>
    <w:lvl w:ilvl="5">
      <w:start w:val="1"/>
      <w:numFmt w:val="lowerRoman"/>
      <w:lvlText w:val="%6."/>
      <w:lvlJc w:val="right"/>
      <w:pPr>
        <w:ind w:left="6928" w:hanging="180"/>
      </w:pPr>
    </w:lvl>
    <w:lvl w:ilvl="6">
      <w:start w:val="1"/>
      <w:numFmt w:val="decimal"/>
      <w:lvlText w:val="%7."/>
      <w:lvlJc w:val="left"/>
      <w:pPr>
        <w:ind w:left="7648" w:hanging="360"/>
      </w:pPr>
    </w:lvl>
    <w:lvl w:ilvl="7">
      <w:start w:val="1"/>
      <w:numFmt w:val="lowerLetter"/>
      <w:lvlText w:val="%8."/>
      <w:lvlJc w:val="left"/>
      <w:pPr>
        <w:ind w:left="8368" w:hanging="360"/>
      </w:pPr>
    </w:lvl>
    <w:lvl w:ilvl="8">
      <w:start w:val="1"/>
      <w:numFmt w:val="lowerRoman"/>
      <w:lvlText w:val="%9."/>
      <w:lvlJc w:val="right"/>
      <w:pPr>
        <w:ind w:left="9088" w:hanging="180"/>
      </w:pPr>
    </w:lvl>
  </w:abstractNum>
  <w:abstractNum w:abstractNumId="34" w15:restartNumberingAfterBreak="0">
    <w:nsid w:val="708B5120"/>
    <w:multiLevelType w:val="multilevel"/>
    <w:tmpl w:val="19B21728"/>
    <w:lvl w:ilvl="0">
      <w:start w:val="1"/>
      <w:numFmt w:val="decimal"/>
      <w:lvlText w:val="Chapter %1"/>
      <w:lvlJc w:val="left"/>
      <w:pPr>
        <w:ind w:left="0" w:firstLine="0"/>
      </w:pPr>
      <w:rPr>
        <w:rFonts w:hint="eastAsia"/>
      </w:rPr>
    </w:lvl>
    <w:lvl w:ilvl="1">
      <w:start w:val="1"/>
      <w:numFmt w:val="decimal"/>
      <w:suff w:val="space"/>
      <w:lvlText w:val="%1.%2."/>
      <w:lvlJc w:val="left"/>
      <w:pPr>
        <w:ind w:left="0" w:firstLine="0"/>
      </w:pPr>
      <w:rPr>
        <w:rFonts w:ascii="Times New Roman" w:hAnsi="Times New Roman" w:hint="eastAsia"/>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1.%2.%3"/>
      <w:lvlJc w:val="left"/>
      <w:pPr>
        <w:ind w:left="0" w:firstLine="0"/>
      </w:pPr>
      <w:rPr>
        <w:rFonts w:hint="eastAsia"/>
      </w:rPr>
    </w:lvl>
    <w:lvl w:ilvl="3">
      <w:start w:val="1"/>
      <w:numFmt w:val="upperLetter"/>
      <w:suff w:val="space"/>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35" w15:restartNumberingAfterBreak="0">
    <w:nsid w:val="722378EB"/>
    <w:multiLevelType w:val="hybridMultilevel"/>
    <w:tmpl w:val="78828FC4"/>
    <w:lvl w:ilvl="0" w:tplc="C9A423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25C02A6"/>
    <w:multiLevelType w:val="hybridMultilevel"/>
    <w:tmpl w:val="F15E55E6"/>
    <w:lvl w:ilvl="0" w:tplc="79AE979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F15A92"/>
    <w:multiLevelType w:val="hybridMultilevel"/>
    <w:tmpl w:val="9BB4E264"/>
    <w:styleLink w:val="LFO22"/>
    <w:lvl w:ilvl="0" w:tplc="56BA74D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7597024"/>
    <w:multiLevelType w:val="multilevel"/>
    <w:tmpl w:val="19B21728"/>
    <w:lvl w:ilvl="0">
      <w:start w:val="1"/>
      <w:numFmt w:val="decimal"/>
      <w:lvlText w:val="Chapter %1"/>
      <w:lvlJc w:val="left"/>
      <w:pPr>
        <w:ind w:left="0" w:firstLine="0"/>
      </w:pPr>
      <w:rPr>
        <w:rFonts w:hint="eastAsia"/>
      </w:rPr>
    </w:lvl>
    <w:lvl w:ilvl="1">
      <w:start w:val="1"/>
      <w:numFmt w:val="decimal"/>
      <w:suff w:val="space"/>
      <w:lvlText w:val="%1.%2."/>
      <w:lvlJc w:val="left"/>
      <w:pPr>
        <w:ind w:left="0" w:firstLine="0"/>
      </w:pPr>
      <w:rPr>
        <w:rFonts w:ascii="Times New Roman" w:hAnsi="Times New Roman" w:hint="eastAsia"/>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pStyle w:val="Heading3"/>
      <w:suff w:val="space"/>
      <w:lvlText w:val="%1.%2.%3"/>
      <w:lvlJc w:val="left"/>
      <w:pPr>
        <w:ind w:left="0" w:firstLine="0"/>
      </w:pPr>
      <w:rPr>
        <w:rFonts w:hint="eastAsia"/>
      </w:rPr>
    </w:lvl>
    <w:lvl w:ilvl="3">
      <w:start w:val="1"/>
      <w:numFmt w:val="upperLetter"/>
      <w:suff w:val="space"/>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39" w15:restartNumberingAfterBreak="0">
    <w:nsid w:val="79EA5C73"/>
    <w:multiLevelType w:val="multilevel"/>
    <w:tmpl w:val="305C9CAA"/>
    <w:numStyleLink w:val="ThesisStyle"/>
  </w:abstractNum>
  <w:num w:numId="1">
    <w:abstractNumId w:val="10"/>
  </w:num>
  <w:num w:numId="2">
    <w:abstractNumId w:val="9"/>
  </w:num>
  <w:num w:numId="3">
    <w:abstractNumId w:val="12"/>
  </w:num>
  <w:num w:numId="4">
    <w:abstractNumId w:val="17"/>
  </w:num>
  <w:num w:numId="5">
    <w:abstractNumId w:val="37"/>
  </w:num>
  <w:num w:numId="6">
    <w:abstractNumId w:val="33"/>
  </w:num>
  <w:num w:numId="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num>
  <w:num w:numId="9">
    <w:abstractNumId w:val="24"/>
  </w:num>
  <w:num w:numId="10">
    <w:abstractNumId w:val="12"/>
    <w:lvlOverride w:ilvl="0">
      <w:startOverride w:val="1"/>
    </w:lvlOverride>
  </w:num>
  <w:num w:numId="11">
    <w:abstractNumId w:val="4"/>
  </w:num>
  <w:num w:numId="12">
    <w:abstractNumId w:val="13"/>
  </w:num>
  <w:num w:numId="13">
    <w:abstractNumId w:val="3"/>
  </w:num>
  <w:num w:numId="14">
    <w:abstractNumId w:val="21"/>
  </w:num>
  <w:num w:numId="15">
    <w:abstractNumId w:val="5"/>
  </w:num>
  <w:num w:numId="16">
    <w:abstractNumId w:val="16"/>
  </w:num>
  <w:num w:numId="17">
    <w:abstractNumId w:val="18"/>
  </w:num>
  <w:num w:numId="18">
    <w:abstractNumId w:val="7"/>
  </w:num>
  <w:num w:numId="19">
    <w:abstractNumId w:val="14"/>
  </w:num>
  <w:num w:numId="20">
    <w:abstractNumId w:val="19"/>
  </w:num>
  <w:num w:numId="21">
    <w:abstractNumId w:val="27"/>
  </w:num>
  <w:num w:numId="22">
    <w:abstractNumId w:val="6"/>
  </w:num>
  <w:num w:numId="23">
    <w:abstractNumId w:val="30"/>
  </w:num>
  <w:num w:numId="24">
    <w:abstractNumId w:val="2"/>
  </w:num>
  <w:num w:numId="25">
    <w:abstractNumId w:val="28"/>
  </w:num>
  <w:num w:numId="26">
    <w:abstractNumId w:val="38"/>
  </w:num>
  <w:num w:numId="27">
    <w:abstractNumId w:val="29"/>
  </w:num>
  <w:num w:numId="28">
    <w:abstractNumId w:val="12"/>
    <w:lvlOverride w:ilvl="0">
      <w:startOverride w:val="1"/>
    </w:lvlOverride>
  </w:num>
  <w:num w:numId="29">
    <w:abstractNumId w:val="22"/>
  </w:num>
  <w:num w:numId="30">
    <w:abstractNumId w:val="12"/>
    <w:lvlOverride w:ilvl="0">
      <w:startOverride w:val="1"/>
    </w:lvlOverride>
  </w:num>
  <w:num w:numId="31">
    <w:abstractNumId w:val="26"/>
  </w:num>
  <w:num w:numId="32">
    <w:abstractNumId w:val="12"/>
  </w:num>
  <w:num w:numId="33">
    <w:abstractNumId w:val="12"/>
    <w:lvlOverride w:ilvl="0">
      <w:startOverride w:val="1"/>
    </w:lvlOverride>
  </w:num>
  <w:num w:numId="34">
    <w:abstractNumId w:val="31"/>
  </w:num>
  <w:num w:numId="35">
    <w:abstractNumId w:val="23"/>
  </w:num>
  <w:num w:numId="36">
    <w:abstractNumId w:val="8"/>
  </w:num>
  <w:num w:numId="37">
    <w:abstractNumId w:val="32"/>
  </w:num>
  <w:num w:numId="38">
    <w:abstractNumId w:val="39"/>
  </w:num>
  <w:num w:numId="39">
    <w:abstractNumId w:val="12"/>
  </w:num>
  <w:num w:numId="40">
    <w:abstractNumId w:val="12"/>
    <w:lvlOverride w:ilvl="0">
      <w:startOverride w:val="1"/>
    </w:lvlOverride>
  </w:num>
  <w:num w:numId="41">
    <w:abstractNumId w:val="12"/>
    <w:lvlOverride w:ilvl="0">
      <w:startOverride w:val="1"/>
    </w:lvlOverride>
  </w:num>
  <w:num w:numId="42">
    <w:abstractNumId w:val="0"/>
  </w:num>
  <w:num w:numId="43">
    <w:abstractNumId w:val="34"/>
  </w:num>
  <w:num w:numId="44">
    <w:abstractNumId w:val="25"/>
  </w:num>
  <w:num w:numId="45">
    <w:abstractNumId w:val="36"/>
  </w:num>
  <w:num w:numId="46">
    <w:abstractNumId w:val="35"/>
  </w:num>
  <w:num w:numId="47">
    <w:abstractNumId w:val="1"/>
  </w:num>
  <w:num w:numId="48">
    <w:abstractNumId w:val="15"/>
  </w:num>
  <w:num w:numId="49">
    <w:abstractNumId w:val="1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IEEE Copy&lt;/Style&gt;&lt;LeftDelim&gt;{&lt;/LeftDelim&gt;&lt;RightDelim&gt;}&lt;/RightDelim&gt;&lt;FontName&gt;Times New Roman&lt;/FontName&gt;&lt;FontSize&gt;2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f2p5e05jx0x9jep00uvx0s1fvaww2dfa0r9&quot;&gt;My EndNote Library&lt;record-ids&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3&lt;/item&gt;&lt;item&gt;75&lt;/item&gt;&lt;item&gt;76&lt;/item&gt;&lt;item&gt;77&lt;/item&gt;&lt;item&gt;78&lt;/item&gt;&lt;item&gt;79&lt;/item&gt;&lt;item&gt;80&lt;/item&gt;&lt;item&gt;81&lt;/item&gt;&lt;item&gt;82&lt;/item&gt;&lt;item&gt;83&lt;/item&gt;&lt;item&gt;84&lt;/item&gt;&lt;item&gt;85&lt;/item&gt;&lt;item&gt;86&lt;/item&gt;&lt;item&gt;88&lt;/item&gt;&lt;item&gt;89&lt;/item&gt;&lt;item&gt;90&lt;/item&gt;&lt;item&gt;91&lt;/item&gt;&lt;item&gt;94&lt;/item&gt;&lt;item&gt;95&lt;/item&gt;&lt;item&gt;96&lt;/item&gt;&lt;item&gt;97&lt;/item&gt;&lt;item&gt;98&lt;/item&gt;&lt;item&gt;99&lt;/item&gt;&lt;item&gt;100&lt;/item&gt;&lt;item&gt;101&lt;/item&gt;&lt;item&gt;102&lt;/item&gt;&lt;item&gt;103&lt;/item&gt;&lt;item&gt;104&lt;/item&gt;&lt;item&gt;105&lt;/item&gt;&lt;item&gt;106&lt;/item&gt;&lt;item&gt;108&lt;/item&gt;&lt;item&gt;109&lt;/item&gt;&lt;item&gt;110&lt;/item&gt;&lt;item&gt;112&lt;/item&gt;&lt;item&gt;113&lt;/item&gt;&lt;item&gt;114&lt;/item&gt;&lt;item&gt;115&lt;/item&gt;&lt;item&gt;116&lt;/item&gt;&lt;item&gt;117&lt;/item&gt;&lt;item&gt;118&lt;/item&gt;&lt;item&gt;120&lt;/item&gt;&lt;item&gt;121&lt;/item&gt;&lt;item&gt;122&lt;/item&gt;&lt;item&gt;123&lt;/item&gt;&lt;item&gt;124&lt;/item&gt;&lt;item&gt;125&lt;/item&gt;&lt;item&gt;126&lt;/item&gt;&lt;item&gt;127&lt;/item&gt;&lt;item&gt;128&lt;/item&gt;&lt;item&gt;129&lt;/item&gt;&lt;item&gt;130&lt;/item&gt;&lt;item&gt;132&lt;/item&gt;&lt;item&gt;133&lt;/item&gt;&lt;item&gt;136&lt;/item&gt;&lt;item&gt;138&lt;/item&gt;&lt;item&gt;140&lt;/item&gt;&lt;item&gt;141&lt;/item&gt;&lt;item&gt;142&lt;/item&gt;&lt;item&gt;143&lt;/item&gt;&lt;item&gt;144&lt;/item&gt;&lt;item&gt;145&lt;/item&gt;&lt;item&gt;147&lt;/item&gt;&lt;item&gt;149&lt;/item&gt;&lt;item&gt;150&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5&lt;/item&gt;&lt;item&gt;176&lt;/item&gt;&lt;item&gt;177&lt;/item&gt;&lt;item&gt;179&lt;/item&gt;&lt;item&gt;180&lt;/item&gt;&lt;item&gt;181&lt;/item&gt;&lt;item&gt;182&lt;/item&gt;&lt;item&gt;183&lt;/item&gt;&lt;item&gt;184&lt;/item&gt;&lt;item&gt;185&lt;/item&gt;&lt;item&gt;186&lt;/item&gt;&lt;item&gt;187&lt;/item&gt;&lt;item&gt;189&lt;/item&gt;&lt;item&gt;190&lt;/item&gt;&lt;item&gt;191&lt;/item&gt;&lt;/record-ids&gt;&lt;/item&gt;&lt;/Libraries&gt;"/>
  </w:docVars>
  <w:rsids>
    <w:rsidRoot w:val="000B01FC"/>
    <w:rsid w:val="0000133B"/>
    <w:rsid w:val="00001EBF"/>
    <w:rsid w:val="000031EC"/>
    <w:rsid w:val="000032B0"/>
    <w:rsid w:val="0000363C"/>
    <w:rsid w:val="00004FC5"/>
    <w:rsid w:val="00006DC1"/>
    <w:rsid w:val="0000775C"/>
    <w:rsid w:val="0001238B"/>
    <w:rsid w:val="000141AA"/>
    <w:rsid w:val="000150BB"/>
    <w:rsid w:val="00015448"/>
    <w:rsid w:val="00016EAE"/>
    <w:rsid w:val="00016FC9"/>
    <w:rsid w:val="00017FED"/>
    <w:rsid w:val="00021F88"/>
    <w:rsid w:val="00022904"/>
    <w:rsid w:val="0002413C"/>
    <w:rsid w:val="000246A2"/>
    <w:rsid w:val="00025739"/>
    <w:rsid w:val="00025D61"/>
    <w:rsid w:val="00027E4A"/>
    <w:rsid w:val="00030743"/>
    <w:rsid w:val="00031785"/>
    <w:rsid w:val="00032B7D"/>
    <w:rsid w:val="000331F6"/>
    <w:rsid w:val="00033518"/>
    <w:rsid w:val="00035066"/>
    <w:rsid w:val="000377E5"/>
    <w:rsid w:val="00040670"/>
    <w:rsid w:val="000406E3"/>
    <w:rsid w:val="00040A63"/>
    <w:rsid w:val="00041A03"/>
    <w:rsid w:val="00043259"/>
    <w:rsid w:val="00043BBD"/>
    <w:rsid w:val="000441A4"/>
    <w:rsid w:val="00045838"/>
    <w:rsid w:val="000465DD"/>
    <w:rsid w:val="000466F8"/>
    <w:rsid w:val="000469C0"/>
    <w:rsid w:val="000513F6"/>
    <w:rsid w:val="00051B99"/>
    <w:rsid w:val="0005390B"/>
    <w:rsid w:val="00053DD2"/>
    <w:rsid w:val="00053FBA"/>
    <w:rsid w:val="000545F1"/>
    <w:rsid w:val="000566CA"/>
    <w:rsid w:val="000570AA"/>
    <w:rsid w:val="00057673"/>
    <w:rsid w:val="000615EA"/>
    <w:rsid w:val="000615ED"/>
    <w:rsid w:val="00061DF4"/>
    <w:rsid w:val="0006237F"/>
    <w:rsid w:val="000630C2"/>
    <w:rsid w:val="00063DAE"/>
    <w:rsid w:val="0006413A"/>
    <w:rsid w:val="00064293"/>
    <w:rsid w:val="00065499"/>
    <w:rsid w:val="000666F5"/>
    <w:rsid w:val="00066E33"/>
    <w:rsid w:val="00070484"/>
    <w:rsid w:val="000705F0"/>
    <w:rsid w:val="000712D5"/>
    <w:rsid w:val="00071D0D"/>
    <w:rsid w:val="00071E65"/>
    <w:rsid w:val="000727D0"/>
    <w:rsid w:val="000753BF"/>
    <w:rsid w:val="0007543C"/>
    <w:rsid w:val="000802EE"/>
    <w:rsid w:val="0008067B"/>
    <w:rsid w:val="000830F7"/>
    <w:rsid w:val="00083ED8"/>
    <w:rsid w:val="000840FC"/>
    <w:rsid w:val="000843BF"/>
    <w:rsid w:val="00085482"/>
    <w:rsid w:val="000859B4"/>
    <w:rsid w:val="0008788B"/>
    <w:rsid w:val="00092B70"/>
    <w:rsid w:val="00093DC1"/>
    <w:rsid w:val="0009443D"/>
    <w:rsid w:val="0009502F"/>
    <w:rsid w:val="00095163"/>
    <w:rsid w:val="00097D72"/>
    <w:rsid w:val="000A0534"/>
    <w:rsid w:val="000A1BC3"/>
    <w:rsid w:val="000A1E1D"/>
    <w:rsid w:val="000A2F7A"/>
    <w:rsid w:val="000A3C55"/>
    <w:rsid w:val="000A3C89"/>
    <w:rsid w:val="000A458A"/>
    <w:rsid w:val="000A6BA9"/>
    <w:rsid w:val="000A6DDA"/>
    <w:rsid w:val="000A752F"/>
    <w:rsid w:val="000B0064"/>
    <w:rsid w:val="000B01FC"/>
    <w:rsid w:val="000B1AD3"/>
    <w:rsid w:val="000B3FAD"/>
    <w:rsid w:val="000B43EA"/>
    <w:rsid w:val="000B5319"/>
    <w:rsid w:val="000B5FE7"/>
    <w:rsid w:val="000B784F"/>
    <w:rsid w:val="000C03CB"/>
    <w:rsid w:val="000C08F8"/>
    <w:rsid w:val="000C106F"/>
    <w:rsid w:val="000C1B23"/>
    <w:rsid w:val="000C29E7"/>
    <w:rsid w:val="000C2AE1"/>
    <w:rsid w:val="000C3D1A"/>
    <w:rsid w:val="000C486D"/>
    <w:rsid w:val="000C514C"/>
    <w:rsid w:val="000C52B6"/>
    <w:rsid w:val="000C6273"/>
    <w:rsid w:val="000C650C"/>
    <w:rsid w:val="000C6FF7"/>
    <w:rsid w:val="000C71D6"/>
    <w:rsid w:val="000D1145"/>
    <w:rsid w:val="000D1FAE"/>
    <w:rsid w:val="000D233B"/>
    <w:rsid w:val="000D366B"/>
    <w:rsid w:val="000D5210"/>
    <w:rsid w:val="000D5DC7"/>
    <w:rsid w:val="000D5EB7"/>
    <w:rsid w:val="000D7978"/>
    <w:rsid w:val="000E0314"/>
    <w:rsid w:val="000E08D1"/>
    <w:rsid w:val="000E10EF"/>
    <w:rsid w:val="000E15DB"/>
    <w:rsid w:val="000E20D2"/>
    <w:rsid w:val="000E43D1"/>
    <w:rsid w:val="000E4E97"/>
    <w:rsid w:val="000E5208"/>
    <w:rsid w:val="000E6CC4"/>
    <w:rsid w:val="000E761F"/>
    <w:rsid w:val="000E7C64"/>
    <w:rsid w:val="000F12BD"/>
    <w:rsid w:val="000F2E6E"/>
    <w:rsid w:val="000F3051"/>
    <w:rsid w:val="000F4D5D"/>
    <w:rsid w:val="000F5F9C"/>
    <w:rsid w:val="000F6893"/>
    <w:rsid w:val="000F798E"/>
    <w:rsid w:val="00101310"/>
    <w:rsid w:val="0010240A"/>
    <w:rsid w:val="00103049"/>
    <w:rsid w:val="0010373C"/>
    <w:rsid w:val="00103B0D"/>
    <w:rsid w:val="00105C25"/>
    <w:rsid w:val="00110C59"/>
    <w:rsid w:val="00110FD6"/>
    <w:rsid w:val="001112C8"/>
    <w:rsid w:val="00111377"/>
    <w:rsid w:val="00111D43"/>
    <w:rsid w:val="0011398E"/>
    <w:rsid w:val="00113C04"/>
    <w:rsid w:val="00115840"/>
    <w:rsid w:val="001171DA"/>
    <w:rsid w:val="00117808"/>
    <w:rsid w:val="001237EB"/>
    <w:rsid w:val="0012520E"/>
    <w:rsid w:val="001277BF"/>
    <w:rsid w:val="00127912"/>
    <w:rsid w:val="00130F49"/>
    <w:rsid w:val="001311F2"/>
    <w:rsid w:val="00131359"/>
    <w:rsid w:val="00131D14"/>
    <w:rsid w:val="00131D5E"/>
    <w:rsid w:val="00132161"/>
    <w:rsid w:val="00132DC5"/>
    <w:rsid w:val="00132FAB"/>
    <w:rsid w:val="00133108"/>
    <w:rsid w:val="0013322A"/>
    <w:rsid w:val="0013359B"/>
    <w:rsid w:val="00133B9A"/>
    <w:rsid w:val="001347CE"/>
    <w:rsid w:val="00137763"/>
    <w:rsid w:val="00140B1E"/>
    <w:rsid w:val="00142CBE"/>
    <w:rsid w:val="001430F4"/>
    <w:rsid w:val="0014377D"/>
    <w:rsid w:val="00143C07"/>
    <w:rsid w:val="00143C60"/>
    <w:rsid w:val="001450BA"/>
    <w:rsid w:val="00146A04"/>
    <w:rsid w:val="00151E50"/>
    <w:rsid w:val="0015280B"/>
    <w:rsid w:val="00153C7E"/>
    <w:rsid w:val="00154D7F"/>
    <w:rsid w:val="00154EA8"/>
    <w:rsid w:val="001578AA"/>
    <w:rsid w:val="00160369"/>
    <w:rsid w:val="001614CE"/>
    <w:rsid w:val="00161FA0"/>
    <w:rsid w:val="001626FB"/>
    <w:rsid w:val="00163200"/>
    <w:rsid w:val="001637DD"/>
    <w:rsid w:val="00164749"/>
    <w:rsid w:val="00165164"/>
    <w:rsid w:val="00165CA4"/>
    <w:rsid w:val="00166F0C"/>
    <w:rsid w:val="00171DD2"/>
    <w:rsid w:val="00175C5A"/>
    <w:rsid w:val="00175C8F"/>
    <w:rsid w:val="0017686C"/>
    <w:rsid w:val="001779FB"/>
    <w:rsid w:val="00180C8E"/>
    <w:rsid w:val="00181317"/>
    <w:rsid w:val="00181CD2"/>
    <w:rsid w:val="00183358"/>
    <w:rsid w:val="00184ED4"/>
    <w:rsid w:val="00185ADD"/>
    <w:rsid w:val="00185E5A"/>
    <w:rsid w:val="001861B7"/>
    <w:rsid w:val="00186B10"/>
    <w:rsid w:val="00186BF9"/>
    <w:rsid w:val="00186D1A"/>
    <w:rsid w:val="0019155D"/>
    <w:rsid w:val="00195624"/>
    <w:rsid w:val="00195C96"/>
    <w:rsid w:val="00197854"/>
    <w:rsid w:val="00197985"/>
    <w:rsid w:val="001A0B50"/>
    <w:rsid w:val="001A2528"/>
    <w:rsid w:val="001A28E4"/>
    <w:rsid w:val="001A2D14"/>
    <w:rsid w:val="001A38CB"/>
    <w:rsid w:val="001A3C4F"/>
    <w:rsid w:val="001A505A"/>
    <w:rsid w:val="001A5340"/>
    <w:rsid w:val="001A63E4"/>
    <w:rsid w:val="001A6C53"/>
    <w:rsid w:val="001B5E3E"/>
    <w:rsid w:val="001B74A2"/>
    <w:rsid w:val="001B7B59"/>
    <w:rsid w:val="001B7E19"/>
    <w:rsid w:val="001C0838"/>
    <w:rsid w:val="001C19A9"/>
    <w:rsid w:val="001C28A2"/>
    <w:rsid w:val="001C3252"/>
    <w:rsid w:val="001C4891"/>
    <w:rsid w:val="001C5436"/>
    <w:rsid w:val="001C607F"/>
    <w:rsid w:val="001C61D2"/>
    <w:rsid w:val="001C725E"/>
    <w:rsid w:val="001C7376"/>
    <w:rsid w:val="001D18D2"/>
    <w:rsid w:val="001D1B80"/>
    <w:rsid w:val="001D2F02"/>
    <w:rsid w:val="001D3087"/>
    <w:rsid w:val="001D369A"/>
    <w:rsid w:val="001D5C98"/>
    <w:rsid w:val="001D6026"/>
    <w:rsid w:val="001E0E7A"/>
    <w:rsid w:val="001E16E0"/>
    <w:rsid w:val="001E2BBA"/>
    <w:rsid w:val="001E31CC"/>
    <w:rsid w:val="001E433F"/>
    <w:rsid w:val="001E6C7E"/>
    <w:rsid w:val="001F0980"/>
    <w:rsid w:val="001F2149"/>
    <w:rsid w:val="001F29B2"/>
    <w:rsid w:val="001F4CD2"/>
    <w:rsid w:val="001F640F"/>
    <w:rsid w:val="00200FE2"/>
    <w:rsid w:val="002012A6"/>
    <w:rsid w:val="002015EE"/>
    <w:rsid w:val="00201D46"/>
    <w:rsid w:val="002028E0"/>
    <w:rsid w:val="002055B7"/>
    <w:rsid w:val="00211747"/>
    <w:rsid w:val="00212C7F"/>
    <w:rsid w:val="00213F4B"/>
    <w:rsid w:val="002143AD"/>
    <w:rsid w:val="0021456D"/>
    <w:rsid w:val="00214BF6"/>
    <w:rsid w:val="00215ACF"/>
    <w:rsid w:val="00215FDE"/>
    <w:rsid w:val="002164C9"/>
    <w:rsid w:val="0022077F"/>
    <w:rsid w:val="002218EB"/>
    <w:rsid w:val="00221C69"/>
    <w:rsid w:val="00221C9A"/>
    <w:rsid w:val="00222D46"/>
    <w:rsid w:val="002238D0"/>
    <w:rsid w:val="00225722"/>
    <w:rsid w:val="00227214"/>
    <w:rsid w:val="002277B7"/>
    <w:rsid w:val="00227865"/>
    <w:rsid w:val="00230193"/>
    <w:rsid w:val="00230564"/>
    <w:rsid w:val="00230B0D"/>
    <w:rsid w:val="00230D7C"/>
    <w:rsid w:val="00231141"/>
    <w:rsid w:val="002319BF"/>
    <w:rsid w:val="00231E92"/>
    <w:rsid w:val="0023390A"/>
    <w:rsid w:val="0023457C"/>
    <w:rsid w:val="00234DEC"/>
    <w:rsid w:val="00235EB5"/>
    <w:rsid w:val="00236446"/>
    <w:rsid w:val="00237239"/>
    <w:rsid w:val="002373B2"/>
    <w:rsid w:val="0023770E"/>
    <w:rsid w:val="002406B6"/>
    <w:rsid w:val="00240FB0"/>
    <w:rsid w:val="00243AA4"/>
    <w:rsid w:val="002448BB"/>
    <w:rsid w:val="002464CF"/>
    <w:rsid w:val="00246BD3"/>
    <w:rsid w:val="00247747"/>
    <w:rsid w:val="00247B1F"/>
    <w:rsid w:val="00251D0A"/>
    <w:rsid w:val="00252829"/>
    <w:rsid w:val="00252A04"/>
    <w:rsid w:val="00253B3C"/>
    <w:rsid w:val="00254377"/>
    <w:rsid w:val="00254927"/>
    <w:rsid w:val="00255504"/>
    <w:rsid w:val="00255783"/>
    <w:rsid w:val="0025694D"/>
    <w:rsid w:val="00257003"/>
    <w:rsid w:val="00257EA8"/>
    <w:rsid w:val="00260C2A"/>
    <w:rsid w:val="0026249F"/>
    <w:rsid w:val="00262941"/>
    <w:rsid w:val="0026310C"/>
    <w:rsid w:val="00263705"/>
    <w:rsid w:val="00264CBC"/>
    <w:rsid w:val="00264F79"/>
    <w:rsid w:val="00265065"/>
    <w:rsid w:val="00265857"/>
    <w:rsid w:val="00265CBA"/>
    <w:rsid w:val="00266B58"/>
    <w:rsid w:val="0026780B"/>
    <w:rsid w:val="00267EB0"/>
    <w:rsid w:val="00270A0F"/>
    <w:rsid w:val="00271F8E"/>
    <w:rsid w:val="0027201E"/>
    <w:rsid w:val="0027293C"/>
    <w:rsid w:val="00272C53"/>
    <w:rsid w:val="00273224"/>
    <w:rsid w:val="00274472"/>
    <w:rsid w:val="002744A0"/>
    <w:rsid w:val="00274748"/>
    <w:rsid w:val="00274D01"/>
    <w:rsid w:val="002751C6"/>
    <w:rsid w:val="00275D8C"/>
    <w:rsid w:val="002766C0"/>
    <w:rsid w:val="002769EE"/>
    <w:rsid w:val="0027774D"/>
    <w:rsid w:val="002801E0"/>
    <w:rsid w:val="00281301"/>
    <w:rsid w:val="00281AB4"/>
    <w:rsid w:val="002834AC"/>
    <w:rsid w:val="002834FB"/>
    <w:rsid w:val="002839C4"/>
    <w:rsid w:val="002844EC"/>
    <w:rsid w:val="002847BB"/>
    <w:rsid w:val="00284AD2"/>
    <w:rsid w:val="00285C5A"/>
    <w:rsid w:val="002862A0"/>
    <w:rsid w:val="00286625"/>
    <w:rsid w:val="002866C9"/>
    <w:rsid w:val="00290BC6"/>
    <w:rsid w:val="00291151"/>
    <w:rsid w:val="00291831"/>
    <w:rsid w:val="002926DB"/>
    <w:rsid w:val="00292DCB"/>
    <w:rsid w:val="00295379"/>
    <w:rsid w:val="00297590"/>
    <w:rsid w:val="00297987"/>
    <w:rsid w:val="00297EE8"/>
    <w:rsid w:val="002A0E36"/>
    <w:rsid w:val="002A108C"/>
    <w:rsid w:val="002A3FAF"/>
    <w:rsid w:val="002A61DF"/>
    <w:rsid w:val="002A66D4"/>
    <w:rsid w:val="002B0CF1"/>
    <w:rsid w:val="002B1100"/>
    <w:rsid w:val="002B2C04"/>
    <w:rsid w:val="002B4B86"/>
    <w:rsid w:val="002B4E48"/>
    <w:rsid w:val="002B6456"/>
    <w:rsid w:val="002B7934"/>
    <w:rsid w:val="002B79DE"/>
    <w:rsid w:val="002C15C8"/>
    <w:rsid w:val="002C19DA"/>
    <w:rsid w:val="002C249C"/>
    <w:rsid w:val="002C27B6"/>
    <w:rsid w:val="002C2950"/>
    <w:rsid w:val="002C3623"/>
    <w:rsid w:val="002C3652"/>
    <w:rsid w:val="002C41D2"/>
    <w:rsid w:val="002C5F3D"/>
    <w:rsid w:val="002C6442"/>
    <w:rsid w:val="002D0241"/>
    <w:rsid w:val="002D0524"/>
    <w:rsid w:val="002D0BE1"/>
    <w:rsid w:val="002D1732"/>
    <w:rsid w:val="002D1C96"/>
    <w:rsid w:val="002D3F5B"/>
    <w:rsid w:val="002D4069"/>
    <w:rsid w:val="002D578C"/>
    <w:rsid w:val="002D7504"/>
    <w:rsid w:val="002E0472"/>
    <w:rsid w:val="002E093C"/>
    <w:rsid w:val="002E16D7"/>
    <w:rsid w:val="002E3A39"/>
    <w:rsid w:val="002E49EE"/>
    <w:rsid w:val="002E62DE"/>
    <w:rsid w:val="002E6F4F"/>
    <w:rsid w:val="002F021B"/>
    <w:rsid w:val="002F046C"/>
    <w:rsid w:val="002F0941"/>
    <w:rsid w:val="002F0E6C"/>
    <w:rsid w:val="002F0F5A"/>
    <w:rsid w:val="002F2375"/>
    <w:rsid w:val="002F369B"/>
    <w:rsid w:val="002F4783"/>
    <w:rsid w:val="002F57E9"/>
    <w:rsid w:val="002F5AC8"/>
    <w:rsid w:val="002F70DB"/>
    <w:rsid w:val="002F7101"/>
    <w:rsid w:val="00300FB5"/>
    <w:rsid w:val="003020D1"/>
    <w:rsid w:val="00304D60"/>
    <w:rsid w:val="0030596F"/>
    <w:rsid w:val="00305DBC"/>
    <w:rsid w:val="00306A7E"/>
    <w:rsid w:val="003070E2"/>
    <w:rsid w:val="00310285"/>
    <w:rsid w:val="003115A5"/>
    <w:rsid w:val="00312D7B"/>
    <w:rsid w:val="00313152"/>
    <w:rsid w:val="00314296"/>
    <w:rsid w:val="00314F19"/>
    <w:rsid w:val="00315CA0"/>
    <w:rsid w:val="003171D5"/>
    <w:rsid w:val="00317E6B"/>
    <w:rsid w:val="00317FD1"/>
    <w:rsid w:val="00320B85"/>
    <w:rsid w:val="00322B7F"/>
    <w:rsid w:val="0032385C"/>
    <w:rsid w:val="00325163"/>
    <w:rsid w:val="00325DB9"/>
    <w:rsid w:val="00330859"/>
    <w:rsid w:val="003310D0"/>
    <w:rsid w:val="00331A81"/>
    <w:rsid w:val="00331F8F"/>
    <w:rsid w:val="0033339D"/>
    <w:rsid w:val="00334780"/>
    <w:rsid w:val="00334824"/>
    <w:rsid w:val="00334858"/>
    <w:rsid w:val="00337BF5"/>
    <w:rsid w:val="00337C7E"/>
    <w:rsid w:val="00340CFC"/>
    <w:rsid w:val="00341E34"/>
    <w:rsid w:val="00342440"/>
    <w:rsid w:val="00342AC3"/>
    <w:rsid w:val="003441A9"/>
    <w:rsid w:val="00344316"/>
    <w:rsid w:val="00344BF7"/>
    <w:rsid w:val="00347325"/>
    <w:rsid w:val="003478D6"/>
    <w:rsid w:val="003502A0"/>
    <w:rsid w:val="00350E9A"/>
    <w:rsid w:val="00351345"/>
    <w:rsid w:val="00352249"/>
    <w:rsid w:val="00352373"/>
    <w:rsid w:val="00352570"/>
    <w:rsid w:val="003543EF"/>
    <w:rsid w:val="00354E71"/>
    <w:rsid w:val="00355D46"/>
    <w:rsid w:val="0035614F"/>
    <w:rsid w:val="003562AD"/>
    <w:rsid w:val="00356995"/>
    <w:rsid w:val="00357255"/>
    <w:rsid w:val="0035747D"/>
    <w:rsid w:val="00357F16"/>
    <w:rsid w:val="0036002E"/>
    <w:rsid w:val="00360323"/>
    <w:rsid w:val="00361825"/>
    <w:rsid w:val="003654E0"/>
    <w:rsid w:val="0036687F"/>
    <w:rsid w:val="00367AE9"/>
    <w:rsid w:val="00367FA6"/>
    <w:rsid w:val="0037090F"/>
    <w:rsid w:val="00371C81"/>
    <w:rsid w:val="00371CF5"/>
    <w:rsid w:val="00372240"/>
    <w:rsid w:val="0037227E"/>
    <w:rsid w:val="003726E2"/>
    <w:rsid w:val="0037301E"/>
    <w:rsid w:val="0037370B"/>
    <w:rsid w:val="00373CCF"/>
    <w:rsid w:val="0037472B"/>
    <w:rsid w:val="00374D39"/>
    <w:rsid w:val="00375969"/>
    <w:rsid w:val="00376343"/>
    <w:rsid w:val="00377A48"/>
    <w:rsid w:val="0038141A"/>
    <w:rsid w:val="00381AE1"/>
    <w:rsid w:val="0038686D"/>
    <w:rsid w:val="003868C4"/>
    <w:rsid w:val="003870D9"/>
    <w:rsid w:val="00390509"/>
    <w:rsid w:val="00390A46"/>
    <w:rsid w:val="0039112E"/>
    <w:rsid w:val="0039153F"/>
    <w:rsid w:val="00391C58"/>
    <w:rsid w:val="00391F6E"/>
    <w:rsid w:val="003924B1"/>
    <w:rsid w:val="00393439"/>
    <w:rsid w:val="003937BF"/>
    <w:rsid w:val="00393CB5"/>
    <w:rsid w:val="00394025"/>
    <w:rsid w:val="0039595D"/>
    <w:rsid w:val="003965EC"/>
    <w:rsid w:val="003978C1"/>
    <w:rsid w:val="003A0A09"/>
    <w:rsid w:val="003A0DF5"/>
    <w:rsid w:val="003A12BC"/>
    <w:rsid w:val="003A13F0"/>
    <w:rsid w:val="003A18B4"/>
    <w:rsid w:val="003A1F4A"/>
    <w:rsid w:val="003A375A"/>
    <w:rsid w:val="003A5199"/>
    <w:rsid w:val="003A6B1D"/>
    <w:rsid w:val="003A7057"/>
    <w:rsid w:val="003A71F8"/>
    <w:rsid w:val="003A7796"/>
    <w:rsid w:val="003A7B18"/>
    <w:rsid w:val="003B04C5"/>
    <w:rsid w:val="003B2AC6"/>
    <w:rsid w:val="003B3107"/>
    <w:rsid w:val="003B3760"/>
    <w:rsid w:val="003B48F7"/>
    <w:rsid w:val="003B55DB"/>
    <w:rsid w:val="003B573E"/>
    <w:rsid w:val="003B5A14"/>
    <w:rsid w:val="003B5D95"/>
    <w:rsid w:val="003B5F60"/>
    <w:rsid w:val="003B6356"/>
    <w:rsid w:val="003B6375"/>
    <w:rsid w:val="003B73A5"/>
    <w:rsid w:val="003C13DA"/>
    <w:rsid w:val="003C2B87"/>
    <w:rsid w:val="003C3E5E"/>
    <w:rsid w:val="003C5F72"/>
    <w:rsid w:val="003C6688"/>
    <w:rsid w:val="003C6EF9"/>
    <w:rsid w:val="003C7BE7"/>
    <w:rsid w:val="003D08CF"/>
    <w:rsid w:val="003D1774"/>
    <w:rsid w:val="003D1E22"/>
    <w:rsid w:val="003D28B1"/>
    <w:rsid w:val="003D2A7C"/>
    <w:rsid w:val="003D316A"/>
    <w:rsid w:val="003D3266"/>
    <w:rsid w:val="003D3B73"/>
    <w:rsid w:val="003D3CF1"/>
    <w:rsid w:val="003D3F61"/>
    <w:rsid w:val="003D4095"/>
    <w:rsid w:val="003D51C4"/>
    <w:rsid w:val="003E0AAD"/>
    <w:rsid w:val="003E1706"/>
    <w:rsid w:val="003E30E4"/>
    <w:rsid w:val="003E3583"/>
    <w:rsid w:val="003E38B1"/>
    <w:rsid w:val="003E42C7"/>
    <w:rsid w:val="003E4937"/>
    <w:rsid w:val="003E6358"/>
    <w:rsid w:val="003E76B9"/>
    <w:rsid w:val="003E7F2B"/>
    <w:rsid w:val="003F086C"/>
    <w:rsid w:val="003F0A9A"/>
    <w:rsid w:val="003F108D"/>
    <w:rsid w:val="003F1130"/>
    <w:rsid w:val="003F13A5"/>
    <w:rsid w:val="003F14DD"/>
    <w:rsid w:val="003F1CD2"/>
    <w:rsid w:val="003F1EA9"/>
    <w:rsid w:val="003F3CA0"/>
    <w:rsid w:val="003F6244"/>
    <w:rsid w:val="00400530"/>
    <w:rsid w:val="00401459"/>
    <w:rsid w:val="00402A20"/>
    <w:rsid w:val="00402FD8"/>
    <w:rsid w:val="00403887"/>
    <w:rsid w:val="0040558C"/>
    <w:rsid w:val="00405CF6"/>
    <w:rsid w:val="00406EF8"/>
    <w:rsid w:val="00407CE0"/>
    <w:rsid w:val="00410F14"/>
    <w:rsid w:val="00411A54"/>
    <w:rsid w:val="00412725"/>
    <w:rsid w:val="00412FD5"/>
    <w:rsid w:val="004136A4"/>
    <w:rsid w:val="00413FE8"/>
    <w:rsid w:val="00414765"/>
    <w:rsid w:val="00414ECE"/>
    <w:rsid w:val="004151D9"/>
    <w:rsid w:val="00416180"/>
    <w:rsid w:val="00416DE2"/>
    <w:rsid w:val="00417329"/>
    <w:rsid w:val="0041769B"/>
    <w:rsid w:val="00421835"/>
    <w:rsid w:val="00422A64"/>
    <w:rsid w:val="0042308E"/>
    <w:rsid w:val="00427A69"/>
    <w:rsid w:val="00431DF2"/>
    <w:rsid w:val="004322FD"/>
    <w:rsid w:val="004328F9"/>
    <w:rsid w:val="004338A6"/>
    <w:rsid w:val="00433B62"/>
    <w:rsid w:val="004351E0"/>
    <w:rsid w:val="004356C4"/>
    <w:rsid w:val="00435F3F"/>
    <w:rsid w:val="00441780"/>
    <w:rsid w:val="004419F6"/>
    <w:rsid w:val="00441D0C"/>
    <w:rsid w:val="00442045"/>
    <w:rsid w:val="00444BD7"/>
    <w:rsid w:val="0044614A"/>
    <w:rsid w:val="00447055"/>
    <w:rsid w:val="00450AE2"/>
    <w:rsid w:val="00450D7F"/>
    <w:rsid w:val="00451B4E"/>
    <w:rsid w:val="004528F7"/>
    <w:rsid w:val="0045321C"/>
    <w:rsid w:val="0045335D"/>
    <w:rsid w:val="00454166"/>
    <w:rsid w:val="0045562B"/>
    <w:rsid w:val="00455CC9"/>
    <w:rsid w:val="00455FD5"/>
    <w:rsid w:val="004563FB"/>
    <w:rsid w:val="004568F3"/>
    <w:rsid w:val="00460F77"/>
    <w:rsid w:val="004618A0"/>
    <w:rsid w:val="0046278D"/>
    <w:rsid w:val="0046298E"/>
    <w:rsid w:val="00462AA5"/>
    <w:rsid w:val="004636BF"/>
    <w:rsid w:val="004636F0"/>
    <w:rsid w:val="004645E4"/>
    <w:rsid w:val="004656AD"/>
    <w:rsid w:val="004705D9"/>
    <w:rsid w:val="004727AC"/>
    <w:rsid w:val="00476550"/>
    <w:rsid w:val="00476759"/>
    <w:rsid w:val="00476EB5"/>
    <w:rsid w:val="00480340"/>
    <w:rsid w:val="00480FD6"/>
    <w:rsid w:val="004811A1"/>
    <w:rsid w:val="00481B8B"/>
    <w:rsid w:val="004846C1"/>
    <w:rsid w:val="00486B61"/>
    <w:rsid w:val="00487BB8"/>
    <w:rsid w:val="0049086A"/>
    <w:rsid w:val="00490C75"/>
    <w:rsid w:val="00490F12"/>
    <w:rsid w:val="00493631"/>
    <w:rsid w:val="00494593"/>
    <w:rsid w:val="00494ACD"/>
    <w:rsid w:val="0049791F"/>
    <w:rsid w:val="00497A28"/>
    <w:rsid w:val="00497AFA"/>
    <w:rsid w:val="004A04BD"/>
    <w:rsid w:val="004A094B"/>
    <w:rsid w:val="004A1A4A"/>
    <w:rsid w:val="004A1B69"/>
    <w:rsid w:val="004A1EA2"/>
    <w:rsid w:val="004A295A"/>
    <w:rsid w:val="004B0C33"/>
    <w:rsid w:val="004B1091"/>
    <w:rsid w:val="004B129E"/>
    <w:rsid w:val="004B14F8"/>
    <w:rsid w:val="004B3721"/>
    <w:rsid w:val="004B3CD4"/>
    <w:rsid w:val="004B4C58"/>
    <w:rsid w:val="004B5192"/>
    <w:rsid w:val="004B5733"/>
    <w:rsid w:val="004B725A"/>
    <w:rsid w:val="004C0084"/>
    <w:rsid w:val="004C1E4A"/>
    <w:rsid w:val="004C23AB"/>
    <w:rsid w:val="004C3034"/>
    <w:rsid w:val="004C3F24"/>
    <w:rsid w:val="004C4150"/>
    <w:rsid w:val="004C4CCD"/>
    <w:rsid w:val="004C5F20"/>
    <w:rsid w:val="004C6F50"/>
    <w:rsid w:val="004D353E"/>
    <w:rsid w:val="004D36E5"/>
    <w:rsid w:val="004D46E2"/>
    <w:rsid w:val="004D4C56"/>
    <w:rsid w:val="004D4E44"/>
    <w:rsid w:val="004D4E67"/>
    <w:rsid w:val="004D5909"/>
    <w:rsid w:val="004D7857"/>
    <w:rsid w:val="004E24CF"/>
    <w:rsid w:val="004E579A"/>
    <w:rsid w:val="004E6481"/>
    <w:rsid w:val="004E7FC6"/>
    <w:rsid w:val="004F0E49"/>
    <w:rsid w:val="004F13C8"/>
    <w:rsid w:val="004F153F"/>
    <w:rsid w:val="004F19E5"/>
    <w:rsid w:val="004F3E47"/>
    <w:rsid w:val="004F707B"/>
    <w:rsid w:val="00501A0C"/>
    <w:rsid w:val="00501FAA"/>
    <w:rsid w:val="00502485"/>
    <w:rsid w:val="00502D5B"/>
    <w:rsid w:val="00502FEB"/>
    <w:rsid w:val="00504804"/>
    <w:rsid w:val="00505626"/>
    <w:rsid w:val="00505629"/>
    <w:rsid w:val="00507F46"/>
    <w:rsid w:val="00510E09"/>
    <w:rsid w:val="005122D8"/>
    <w:rsid w:val="00513332"/>
    <w:rsid w:val="00514210"/>
    <w:rsid w:val="00514BDA"/>
    <w:rsid w:val="0051546A"/>
    <w:rsid w:val="00515E4C"/>
    <w:rsid w:val="00515F33"/>
    <w:rsid w:val="0051655A"/>
    <w:rsid w:val="005219AB"/>
    <w:rsid w:val="005227DF"/>
    <w:rsid w:val="00524713"/>
    <w:rsid w:val="005247AF"/>
    <w:rsid w:val="0052614A"/>
    <w:rsid w:val="00531EC1"/>
    <w:rsid w:val="00531FD0"/>
    <w:rsid w:val="00533941"/>
    <w:rsid w:val="00533FAB"/>
    <w:rsid w:val="0053420B"/>
    <w:rsid w:val="00534481"/>
    <w:rsid w:val="00534585"/>
    <w:rsid w:val="0053627A"/>
    <w:rsid w:val="00536CC4"/>
    <w:rsid w:val="0053739E"/>
    <w:rsid w:val="0053799C"/>
    <w:rsid w:val="00541697"/>
    <w:rsid w:val="00541DEC"/>
    <w:rsid w:val="00542A8E"/>
    <w:rsid w:val="0054311A"/>
    <w:rsid w:val="00544F76"/>
    <w:rsid w:val="0054585B"/>
    <w:rsid w:val="00545DB8"/>
    <w:rsid w:val="00547340"/>
    <w:rsid w:val="0054768A"/>
    <w:rsid w:val="005479E0"/>
    <w:rsid w:val="00550288"/>
    <w:rsid w:val="005504DF"/>
    <w:rsid w:val="00551481"/>
    <w:rsid w:val="00552656"/>
    <w:rsid w:val="00552ADD"/>
    <w:rsid w:val="00555D56"/>
    <w:rsid w:val="00555F68"/>
    <w:rsid w:val="00556611"/>
    <w:rsid w:val="0055663C"/>
    <w:rsid w:val="00556F97"/>
    <w:rsid w:val="005619DE"/>
    <w:rsid w:val="00561B91"/>
    <w:rsid w:val="00561CC7"/>
    <w:rsid w:val="00562351"/>
    <w:rsid w:val="00564B94"/>
    <w:rsid w:val="00566A38"/>
    <w:rsid w:val="00566B45"/>
    <w:rsid w:val="005676E1"/>
    <w:rsid w:val="00567A18"/>
    <w:rsid w:val="00570A73"/>
    <w:rsid w:val="005712B7"/>
    <w:rsid w:val="00571F8D"/>
    <w:rsid w:val="0057285E"/>
    <w:rsid w:val="0057339F"/>
    <w:rsid w:val="0057392E"/>
    <w:rsid w:val="005745BE"/>
    <w:rsid w:val="00574728"/>
    <w:rsid w:val="00576A23"/>
    <w:rsid w:val="00580BF2"/>
    <w:rsid w:val="00581EC4"/>
    <w:rsid w:val="005824C9"/>
    <w:rsid w:val="00582945"/>
    <w:rsid w:val="00582B3D"/>
    <w:rsid w:val="005834BD"/>
    <w:rsid w:val="005857E8"/>
    <w:rsid w:val="00586219"/>
    <w:rsid w:val="00587E58"/>
    <w:rsid w:val="005901D0"/>
    <w:rsid w:val="00591054"/>
    <w:rsid w:val="00591465"/>
    <w:rsid w:val="005914DC"/>
    <w:rsid w:val="005915A6"/>
    <w:rsid w:val="00591787"/>
    <w:rsid w:val="005926B8"/>
    <w:rsid w:val="00593439"/>
    <w:rsid w:val="00593D14"/>
    <w:rsid w:val="00595605"/>
    <w:rsid w:val="00595AD9"/>
    <w:rsid w:val="00595BBE"/>
    <w:rsid w:val="00595F48"/>
    <w:rsid w:val="005963AB"/>
    <w:rsid w:val="005968EE"/>
    <w:rsid w:val="00596C42"/>
    <w:rsid w:val="005A0E1A"/>
    <w:rsid w:val="005A48D5"/>
    <w:rsid w:val="005A5467"/>
    <w:rsid w:val="005A6DAB"/>
    <w:rsid w:val="005A758B"/>
    <w:rsid w:val="005B0634"/>
    <w:rsid w:val="005B2ABC"/>
    <w:rsid w:val="005B2E87"/>
    <w:rsid w:val="005B634F"/>
    <w:rsid w:val="005B7638"/>
    <w:rsid w:val="005C1180"/>
    <w:rsid w:val="005C12DE"/>
    <w:rsid w:val="005C2391"/>
    <w:rsid w:val="005C29A8"/>
    <w:rsid w:val="005C3293"/>
    <w:rsid w:val="005C3C3A"/>
    <w:rsid w:val="005C3FCA"/>
    <w:rsid w:val="005C4432"/>
    <w:rsid w:val="005C51BD"/>
    <w:rsid w:val="005C52E7"/>
    <w:rsid w:val="005D0ED6"/>
    <w:rsid w:val="005D108A"/>
    <w:rsid w:val="005D1A3F"/>
    <w:rsid w:val="005D2264"/>
    <w:rsid w:val="005D2CD9"/>
    <w:rsid w:val="005D2E17"/>
    <w:rsid w:val="005D31BA"/>
    <w:rsid w:val="005D392A"/>
    <w:rsid w:val="005D3F87"/>
    <w:rsid w:val="005D5BD6"/>
    <w:rsid w:val="005D6AFD"/>
    <w:rsid w:val="005D756D"/>
    <w:rsid w:val="005E01FB"/>
    <w:rsid w:val="005E1A29"/>
    <w:rsid w:val="005E2564"/>
    <w:rsid w:val="005E383B"/>
    <w:rsid w:val="005E399D"/>
    <w:rsid w:val="005E3DFE"/>
    <w:rsid w:val="005E424B"/>
    <w:rsid w:val="005E729F"/>
    <w:rsid w:val="005F0423"/>
    <w:rsid w:val="005F1350"/>
    <w:rsid w:val="005F2E31"/>
    <w:rsid w:val="005F32D1"/>
    <w:rsid w:val="005F54EB"/>
    <w:rsid w:val="005F5D97"/>
    <w:rsid w:val="005F60AB"/>
    <w:rsid w:val="005F6C3D"/>
    <w:rsid w:val="005F7EE0"/>
    <w:rsid w:val="00600CBB"/>
    <w:rsid w:val="006020B3"/>
    <w:rsid w:val="00602F7B"/>
    <w:rsid w:val="00603348"/>
    <w:rsid w:val="00606B3A"/>
    <w:rsid w:val="00607E20"/>
    <w:rsid w:val="00610BF3"/>
    <w:rsid w:val="00610FB4"/>
    <w:rsid w:val="00611B00"/>
    <w:rsid w:val="006126ED"/>
    <w:rsid w:val="00612893"/>
    <w:rsid w:val="0061556C"/>
    <w:rsid w:val="006211BA"/>
    <w:rsid w:val="00622922"/>
    <w:rsid w:val="00622D8B"/>
    <w:rsid w:val="006234B5"/>
    <w:rsid w:val="00625A11"/>
    <w:rsid w:val="00625CD2"/>
    <w:rsid w:val="00625F4C"/>
    <w:rsid w:val="00626D53"/>
    <w:rsid w:val="00626FED"/>
    <w:rsid w:val="00630371"/>
    <w:rsid w:val="006307C3"/>
    <w:rsid w:val="006316FA"/>
    <w:rsid w:val="00631973"/>
    <w:rsid w:val="00631B92"/>
    <w:rsid w:val="00632115"/>
    <w:rsid w:val="0063249C"/>
    <w:rsid w:val="00632825"/>
    <w:rsid w:val="0063293D"/>
    <w:rsid w:val="00632ECD"/>
    <w:rsid w:val="006330DE"/>
    <w:rsid w:val="00634371"/>
    <w:rsid w:val="00634736"/>
    <w:rsid w:val="00636A22"/>
    <w:rsid w:val="00641265"/>
    <w:rsid w:val="0064258E"/>
    <w:rsid w:val="006428F1"/>
    <w:rsid w:val="00643356"/>
    <w:rsid w:val="00643E82"/>
    <w:rsid w:val="0064765E"/>
    <w:rsid w:val="00650C1E"/>
    <w:rsid w:val="00650CBF"/>
    <w:rsid w:val="00651122"/>
    <w:rsid w:val="00651FD5"/>
    <w:rsid w:val="006520A5"/>
    <w:rsid w:val="006524E7"/>
    <w:rsid w:val="00653E85"/>
    <w:rsid w:val="00655B40"/>
    <w:rsid w:val="00655BF6"/>
    <w:rsid w:val="0065703E"/>
    <w:rsid w:val="00660444"/>
    <w:rsid w:val="00661BE5"/>
    <w:rsid w:val="006631E2"/>
    <w:rsid w:val="00663CBB"/>
    <w:rsid w:val="0066447D"/>
    <w:rsid w:val="006650F1"/>
    <w:rsid w:val="00665602"/>
    <w:rsid w:val="00666409"/>
    <w:rsid w:val="0066682C"/>
    <w:rsid w:val="00670D6C"/>
    <w:rsid w:val="00673067"/>
    <w:rsid w:val="00673405"/>
    <w:rsid w:val="00674D1B"/>
    <w:rsid w:val="006755B1"/>
    <w:rsid w:val="00675885"/>
    <w:rsid w:val="00675B11"/>
    <w:rsid w:val="00675CC6"/>
    <w:rsid w:val="0068016E"/>
    <w:rsid w:val="00680943"/>
    <w:rsid w:val="006809C3"/>
    <w:rsid w:val="00680D9A"/>
    <w:rsid w:val="00682422"/>
    <w:rsid w:val="00682CB1"/>
    <w:rsid w:val="00683BE4"/>
    <w:rsid w:val="00685C7C"/>
    <w:rsid w:val="00686B30"/>
    <w:rsid w:val="006875DD"/>
    <w:rsid w:val="00687796"/>
    <w:rsid w:val="00690D49"/>
    <w:rsid w:val="00691832"/>
    <w:rsid w:val="00691F09"/>
    <w:rsid w:val="00693407"/>
    <w:rsid w:val="006964DF"/>
    <w:rsid w:val="00696535"/>
    <w:rsid w:val="0069654A"/>
    <w:rsid w:val="00697D1B"/>
    <w:rsid w:val="006A0A5C"/>
    <w:rsid w:val="006A20AE"/>
    <w:rsid w:val="006A20B7"/>
    <w:rsid w:val="006A2DAE"/>
    <w:rsid w:val="006A452C"/>
    <w:rsid w:val="006A51CB"/>
    <w:rsid w:val="006A6189"/>
    <w:rsid w:val="006A6A9A"/>
    <w:rsid w:val="006A7524"/>
    <w:rsid w:val="006A77A7"/>
    <w:rsid w:val="006B0210"/>
    <w:rsid w:val="006B1EB7"/>
    <w:rsid w:val="006B23A6"/>
    <w:rsid w:val="006B2F1D"/>
    <w:rsid w:val="006B3165"/>
    <w:rsid w:val="006B39D5"/>
    <w:rsid w:val="006B4C78"/>
    <w:rsid w:val="006B51A0"/>
    <w:rsid w:val="006B71F0"/>
    <w:rsid w:val="006B74FD"/>
    <w:rsid w:val="006C2107"/>
    <w:rsid w:val="006C2480"/>
    <w:rsid w:val="006C24F5"/>
    <w:rsid w:val="006C3377"/>
    <w:rsid w:val="006C4155"/>
    <w:rsid w:val="006C5E48"/>
    <w:rsid w:val="006C6954"/>
    <w:rsid w:val="006D105C"/>
    <w:rsid w:val="006D1B09"/>
    <w:rsid w:val="006D29F3"/>
    <w:rsid w:val="006D2DE9"/>
    <w:rsid w:val="006D3EB4"/>
    <w:rsid w:val="006D6918"/>
    <w:rsid w:val="006D6F96"/>
    <w:rsid w:val="006D7AC8"/>
    <w:rsid w:val="006E01DC"/>
    <w:rsid w:val="006E0395"/>
    <w:rsid w:val="006E0F92"/>
    <w:rsid w:val="006E13E9"/>
    <w:rsid w:val="006E3ADE"/>
    <w:rsid w:val="006E4112"/>
    <w:rsid w:val="006E4B91"/>
    <w:rsid w:val="006E4C42"/>
    <w:rsid w:val="006E4CB6"/>
    <w:rsid w:val="006E4EF0"/>
    <w:rsid w:val="006E51A2"/>
    <w:rsid w:val="006E622B"/>
    <w:rsid w:val="006E67AC"/>
    <w:rsid w:val="006E6817"/>
    <w:rsid w:val="006E6D7D"/>
    <w:rsid w:val="006F0A08"/>
    <w:rsid w:val="006F4C9A"/>
    <w:rsid w:val="006F5BEC"/>
    <w:rsid w:val="006F72F3"/>
    <w:rsid w:val="006F74DA"/>
    <w:rsid w:val="006F7741"/>
    <w:rsid w:val="006F78D6"/>
    <w:rsid w:val="007001D1"/>
    <w:rsid w:val="00700316"/>
    <w:rsid w:val="00700D4A"/>
    <w:rsid w:val="00701070"/>
    <w:rsid w:val="0070221A"/>
    <w:rsid w:val="0070244F"/>
    <w:rsid w:val="00702933"/>
    <w:rsid w:val="007040C6"/>
    <w:rsid w:val="00706439"/>
    <w:rsid w:val="007073F5"/>
    <w:rsid w:val="00707B76"/>
    <w:rsid w:val="007103D1"/>
    <w:rsid w:val="00712D06"/>
    <w:rsid w:val="00713E0C"/>
    <w:rsid w:val="007147C5"/>
    <w:rsid w:val="00714CA1"/>
    <w:rsid w:val="00715745"/>
    <w:rsid w:val="00715898"/>
    <w:rsid w:val="00715F4A"/>
    <w:rsid w:val="00716F7C"/>
    <w:rsid w:val="007203A8"/>
    <w:rsid w:val="00720710"/>
    <w:rsid w:val="0072138C"/>
    <w:rsid w:val="0072452A"/>
    <w:rsid w:val="0072653C"/>
    <w:rsid w:val="007265D3"/>
    <w:rsid w:val="007268CC"/>
    <w:rsid w:val="00727232"/>
    <w:rsid w:val="00731B1D"/>
    <w:rsid w:val="00731E32"/>
    <w:rsid w:val="00732729"/>
    <w:rsid w:val="00732E26"/>
    <w:rsid w:val="00734300"/>
    <w:rsid w:val="0073634E"/>
    <w:rsid w:val="00736F64"/>
    <w:rsid w:val="00740356"/>
    <w:rsid w:val="00740851"/>
    <w:rsid w:val="00740C50"/>
    <w:rsid w:val="0074137D"/>
    <w:rsid w:val="00741959"/>
    <w:rsid w:val="00741C48"/>
    <w:rsid w:val="00742388"/>
    <w:rsid w:val="0074257D"/>
    <w:rsid w:val="0074395E"/>
    <w:rsid w:val="0074415D"/>
    <w:rsid w:val="0074442C"/>
    <w:rsid w:val="00744E24"/>
    <w:rsid w:val="00744FBC"/>
    <w:rsid w:val="0074762D"/>
    <w:rsid w:val="00747CCA"/>
    <w:rsid w:val="00751177"/>
    <w:rsid w:val="0075187A"/>
    <w:rsid w:val="00751A72"/>
    <w:rsid w:val="0075241A"/>
    <w:rsid w:val="007548EC"/>
    <w:rsid w:val="0075673B"/>
    <w:rsid w:val="0076026D"/>
    <w:rsid w:val="007608FC"/>
    <w:rsid w:val="00765455"/>
    <w:rsid w:val="0076575F"/>
    <w:rsid w:val="00767752"/>
    <w:rsid w:val="0077035B"/>
    <w:rsid w:val="00771EC3"/>
    <w:rsid w:val="007729E0"/>
    <w:rsid w:val="00772C32"/>
    <w:rsid w:val="00773390"/>
    <w:rsid w:val="0077406A"/>
    <w:rsid w:val="007742B1"/>
    <w:rsid w:val="00775828"/>
    <w:rsid w:val="00776337"/>
    <w:rsid w:val="0077707C"/>
    <w:rsid w:val="00782218"/>
    <w:rsid w:val="0078317A"/>
    <w:rsid w:val="0078416D"/>
    <w:rsid w:val="007844C4"/>
    <w:rsid w:val="00784ADD"/>
    <w:rsid w:val="007869A5"/>
    <w:rsid w:val="00786E54"/>
    <w:rsid w:val="00787B46"/>
    <w:rsid w:val="00791097"/>
    <w:rsid w:val="007910F3"/>
    <w:rsid w:val="00791A86"/>
    <w:rsid w:val="007921BA"/>
    <w:rsid w:val="007936F4"/>
    <w:rsid w:val="007953AF"/>
    <w:rsid w:val="00795787"/>
    <w:rsid w:val="00796863"/>
    <w:rsid w:val="00796DDF"/>
    <w:rsid w:val="007976A3"/>
    <w:rsid w:val="00797C6D"/>
    <w:rsid w:val="007A0BC5"/>
    <w:rsid w:val="007A11F6"/>
    <w:rsid w:val="007A3B69"/>
    <w:rsid w:val="007A44DE"/>
    <w:rsid w:val="007A5502"/>
    <w:rsid w:val="007A68A1"/>
    <w:rsid w:val="007A7E6E"/>
    <w:rsid w:val="007B0539"/>
    <w:rsid w:val="007B129D"/>
    <w:rsid w:val="007B23B1"/>
    <w:rsid w:val="007B2DBB"/>
    <w:rsid w:val="007B3789"/>
    <w:rsid w:val="007B46BD"/>
    <w:rsid w:val="007B4ECC"/>
    <w:rsid w:val="007B613A"/>
    <w:rsid w:val="007B6848"/>
    <w:rsid w:val="007C1F57"/>
    <w:rsid w:val="007C3F85"/>
    <w:rsid w:val="007C4259"/>
    <w:rsid w:val="007C43B5"/>
    <w:rsid w:val="007C55A0"/>
    <w:rsid w:val="007C5F48"/>
    <w:rsid w:val="007C644E"/>
    <w:rsid w:val="007C68CC"/>
    <w:rsid w:val="007D1F38"/>
    <w:rsid w:val="007D2709"/>
    <w:rsid w:val="007D2D3C"/>
    <w:rsid w:val="007D374A"/>
    <w:rsid w:val="007D37B8"/>
    <w:rsid w:val="007D3F53"/>
    <w:rsid w:val="007D4DF3"/>
    <w:rsid w:val="007D6C45"/>
    <w:rsid w:val="007D72A5"/>
    <w:rsid w:val="007E0469"/>
    <w:rsid w:val="007E0A3C"/>
    <w:rsid w:val="007E20A5"/>
    <w:rsid w:val="007E30C5"/>
    <w:rsid w:val="007E3CB0"/>
    <w:rsid w:val="007E3F06"/>
    <w:rsid w:val="007E4BA3"/>
    <w:rsid w:val="007E4BC8"/>
    <w:rsid w:val="007E55CC"/>
    <w:rsid w:val="007E62C1"/>
    <w:rsid w:val="007E72FC"/>
    <w:rsid w:val="007E7F50"/>
    <w:rsid w:val="007F0B2B"/>
    <w:rsid w:val="007F3224"/>
    <w:rsid w:val="007F3FD5"/>
    <w:rsid w:val="007F44FC"/>
    <w:rsid w:val="007F5409"/>
    <w:rsid w:val="007F55AC"/>
    <w:rsid w:val="007F5771"/>
    <w:rsid w:val="007F5B44"/>
    <w:rsid w:val="007F5D15"/>
    <w:rsid w:val="007F65F5"/>
    <w:rsid w:val="007F6629"/>
    <w:rsid w:val="007F6C2A"/>
    <w:rsid w:val="007F7049"/>
    <w:rsid w:val="007F7077"/>
    <w:rsid w:val="007F7C39"/>
    <w:rsid w:val="007F7EFC"/>
    <w:rsid w:val="00803C02"/>
    <w:rsid w:val="0080530B"/>
    <w:rsid w:val="0080563D"/>
    <w:rsid w:val="00807BDE"/>
    <w:rsid w:val="00810B93"/>
    <w:rsid w:val="00810DAB"/>
    <w:rsid w:val="00810DE9"/>
    <w:rsid w:val="0081228E"/>
    <w:rsid w:val="00813908"/>
    <w:rsid w:val="00814185"/>
    <w:rsid w:val="00814E68"/>
    <w:rsid w:val="00815F2B"/>
    <w:rsid w:val="0081642E"/>
    <w:rsid w:val="00816FB3"/>
    <w:rsid w:val="0081777E"/>
    <w:rsid w:val="00822125"/>
    <w:rsid w:val="008234FF"/>
    <w:rsid w:val="00823FE1"/>
    <w:rsid w:val="0082412A"/>
    <w:rsid w:val="00824E1B"/>
    <w:rsid w:val="00826261"/>
    <w:rsid w:val="008267FC"/>
    <w:rsid w:val="00827309"/>
    <w:rsid w:val="00831FCC"/>
    <w:rsid w:val="008320C9"/>
    <w:rsid w:val="00832E34"/>
    <w:rsid w:val="0083325F"/>
    <w:rsid w:val="00835006"/>
    <w:rsid w:val="00835301"/>
    <w:rsid w:val="00840C1E"/>
    <w:rsid w:val="00840FFB"/>
    <w:rsid w:val="008419C1"/>
    <w:rsid w:val="00841FAE"/>
    <w:rsid w:val="00842E59"/>
    <w:rsid w:val="008436F5"/>
    <w:rsid w:val="00844369"/>
    <w:rsid w:val="00844F56"/>
    <w:rsid w:val="00844FEF"/>
    <w:rsid w:val="008467ED"/>
    <w:rsid w:val="008469B8"/>
    <w:rsid w:val="00846BE2"/>
    <w:rsid w:val="00846C31"/>
    <w:rsid w:val="00846C59"/>
    <w:rsid w:val="008470FA"/>
    <w:rsid w:val="00850DC9"/>
    <w:rsid w:val="008520AF"/>
    <w:rsid w:val="00852153"/>
    <w:rsid w:val="008522AF"/>
    <w:rsid w:val="00852CE1"/>
    <w:rsid w:val="0085385F"/>
    <w:rsid w:val="00853BD4"/>
    <w:rsid w:val="008546C5"/>
    <w:rsid w:val="00854D17"/>
    <w:rsid w:val="008559A4"/>
    <w:rsid w:val="00855EA4"/>
    <w:rsid w:val="008617C4"/>
    <w:rsid w:val="00862237"/>
    <w:rsid w:val="00862A95"/>
    <w:rsid w:val="00863E46"/>
    <w:rsid w:val="00863F59"/>
    <w:rsid w:val="008643AC"/>
    <w:rsid w:val="00864C93"/>
    <w:rsid w:val="008654E2"/>
    <w:rsid w:val="00866551"/>
    <w:rsid w:val="008668C7"/>
    <w:rsid w:val="008700C5"/>
    <w:rsid w:val="008707E6"/>
    <w:rsid w:val="00871136"/>
    <w:rsid w:val="00871F91"/>
    <w:rsid w:val="00872ED1"/>
    <w:rsid w:val="00872FD5"/>
    <w:rsid w:val="00873233"/>
    <w:rsid w:val="00874612"/>
    <w:rsid w:val="008774A7"/>
    <w:rsid w:val="00877E06"/>
    <w:rsid w:val="00880555"/>
    <w:rsid w:val="00880E11"/>
    <w:rsid w:val="00884C25"/>
    <w:rsid w:val="0088527B"/>
    <w:rsid w:val="008863DD"/>
    <w:rsid w:val="008906E6"/>
    <w:rsid w:val="0089098B"/>
    <w:rsid w:val="00893322"/>
    <w:rsid w:val="00894E07"/>
    <w:rsid w:val="008962B2"/>
    <w:rsid w:val="008A087D"/>
    <w:rsid w:val="008A14D9"/>
    <w:rsid w:val="008A1DDC"/>
    <w:rsid w:val="008A2300"/>
    <w:rsid w:val="008A3B7C"/>
    <w:rsid w:val="008B0707"/>
    <w:rsid w:val="008B1328"/>
    <w:rsid w:val="008B18AB"/>
    <w:rsid w:val="008B2046"/>
    <w:rsid w:val="008B2293"/>
    <w:rsid w:val="008B2B4B"/>
    <w:rsid w:val="008B2D91"/>
    <w:rsid w:val="008B60E2"/>
    <w:rsid w:val="008B67C7"/>
    <w:rsid w:val="008B68F0"/>
    <w:rsid w:val="008B7D41"/>
    <w:rsid w:val="008C155E"/>
    <w:rsid w:val="008C22E8"/>
    <w:rsid w:val="008C4056"/>
    <w:rsid w:val="008C430A"/>
    <w:rsid w:val="008C4619"/>
    <w:rsid w:val="008C513E"/>
    <w:rsid w:val="008C566F"/>
    <w:rsid w:val="008C5BFE"/>
    <w:rsid w:val="008C6091"/>
    <w:rsid w:val="008C6AA7"/>
    <w:rsid w:val="008C7491"/>
    <w:rsid w:val="008C78A8"/>
    <w:rsid w:val="008D021B"/>
    <w:rsid w:val="008D18FC"/>
    <w:rsid w:val="008D2032"/>
    <w:rsid w:val="008D5FC1"/>
    <w:rsid w:val="008D781B"/>
    <w:rsid w:val="008D7E70"/>
    <w:rsid w:val="008E0E1C"/>
    <w:rsid w:val="008E492B"/>
    <w:rsid w:val="008E56B5"/>
    <w:rsid w:val="008E5D26"/>
    <w:rsid w:val="008F09C9"/>
    <w:rsid w:val="008F48E7"/>
    <w:rsid w:val="008F4B36"/>
    <w:rsid w:val="008F6232"/>
    <w:rsid w:val="008F7826"/>
    <w:rsid w:val="0090009F"/>
    <w:rsid w:val="00900806"/>
    <w:rsid w:val="009017DF"/>
    <w:rsid w:val="009022D2"/>
    <w:rsid w:val="00903895"/>
    <w:rsid w:val="00903B8D"/>
    <w:rsid w:val="009040A4"/>
    <w:rsid w:val="009045B5"/>
    <w:rsid w:val="009054A1"/>
    <w:rsid w:val="009059DC"/>
    <w:rsid w:val="00906636"/>
    <w:rsid w:val="00912351"/>
    <w:rsid w:val="00912C7C"/>
    <w:rsid w:val="009138C8"/>
    <w:rsid w:val="00913D8B"/>
    <w:rsid w:val="009147C5"/>
    <w:rsid w:val="00914820"/>
    <w:rsid w:val="00916C33"/>
    <w:rsid w:val="00916D57"/>
    <w:rsid w:val="00917440"/>
    <w:rsid w:val="00917819"/>
    <w:rsid w:val="00917DC8"/>
    <w:rsid w:val="00917F96"/>
    <w:rsid w:val="0092122F"/>
    <w:rsid w:val="009247DF"/>
    <w:rsid w:val="009257F2"/>
    <w:rsid w:val="00926665"/>
    <w:rsid w:val="00927AA4"/>
    <w:rsid w:val="00927BC3"/>
    <w:rsid w:val="00927D15"/>
    <w:rsid w:val="009316A1"/>
    <w:rsid w:val="009330B3"/>
    <w:rsid w:val="00933771"/>
    <w:rsid w:val="00933E3B"/>
    <w:rsid w:val="009344F0"/>
    <w:rsid w:val="009348D3"/>
    <w:rsid w:val="00935CE5"/>
    <w:rsid w:val="00935F39"/>
    <w:rsid w:val="009375B6"/>
    <w:rsid w:val="009378DE"/>
    <w:rsid w:val="00940339"/>
    <w:rsid w:val="00941442"/>
    <w:rsid w:val="00941C89"/>
    <w:rsid w:val="00942A0C"/>
    <w:rsid w:val="0094307D"/>
    <w:rsid w:val="00944E0D"/>
    <w:rsid w:val="009465C6"/>
    <w:rsid w:val="009477BE"/>
    <w:rsid w:val="00947806"/>
    <w:rsid w:val="009502B9"/>
    <w:rsid w:val="009515B6"/>
    <w:rsid w:val="009525D3"/>
    <w:rsid w:val="009536E5"/>
    <w:rsid w:val="0095521B"/>
    <w:rsid w:val="0095564D"/>
    <w:rsid w:val="009556F7"/>
    <w:rsid w:val="009636C7"/>
    <w:rsid w:val="00965B6A"/>
    <w:rsid w:val="00965CC5"/>
    <w:rsid w:val="00967630"/>
    <w:rsid w:val="009700BB"/>
    <w:rsid w:val="00971842"/>
    <w:rsid w:val="00973DC3"/>
    <w:rsid w:val="0097403E"/>
    <w:rsid w:val="00975ED4"/>
    <w:rsid w:val="00976103"/>
    <w:rsid w:val="00976487"/>
    <w:rsid w:val="00976A61"/>
    <w:rsid w:val="00980114"/>
    <w:rsid w:val="00981C9E"/>
    <w:rsid w:val="009832A1"/>
    <w:rsid w:val="00983543"/>
    <w:rsid w:val="009836B5"/>
    <w:rsid w:val="00983F26"/>
    <w:rsid w:val="00984B9D"/>
    <w:rsid w:val="0098566A"/>
    <w:rsid w:val="00986330"/>
    <w:rsid w:val="009869B9"/>
    <w:rsid w:val="00987348"/>
    <w:rsid w:val="00991034"/>
    <w:rsid w:val="00991E96"/>
    <w:rsid w:val="00992554"/>
    <w:rsid w:val="00993B81"/>
    <w:rsid w:val="009944C4"/>
    <w:rsid w:val="009969A0"/>
    <w:rsid w:val="00997834"/>
    <w:rsid w:val="009A0848"/>
    <w:rsid w:val="009A3272"/>
    <w:rsid w:val="009A3773"/>
    <w:rsid w:val="009A3FB1"/>
    <w:rsid w:val="009A7E63"/>
    <w:rsid w:val="009B03E6"/>
    <w:rsid w:val="009B0864"/>
    <w:rsid w:val="009B1984"/>
    <w:rsid w:val="009B26E1"/>
    <w:rsid w:val="009B2B88"/>
    <w:rsid w:val="009B379C"/>
    <w:rsid w:val="009B42D0"/>
    <w:rsid w:val="009B4931"/>
    <w:rsid w:val="009B581C"/>
    <w:rsid w:val="009B62EC"/>
    <w:rsid w:val="009C0B20"/>
    <w:rsid w:val="009C3AE4"/>
    <w:rsid w:val="009C412B"/>
    <w:rsid w:val="009C637E"/>
    <w:rsid w:val="009C6D18"/>
    <w:rsid w:val="009C6F9F"/>
    <w:rsid w:val="009C7624"/>
    <w:rsid w:val="009D16CE"/>
    <w:rsid w:val="009D3243"/>
    <w:rsid w:val="009D35EC"/>
    <w:rsid w:val="009D4297"/>
    <w:rsid w:val="009D4323"/>
    <w:rsid w:val="009D5FC3"/>
    <w:rsid w:val="009D6490"/>
    <w:rsid w:val="009D6A04"/>
    <w:rsid w:val="009D7396"/>
    <w:rsid w:val="009E0C0D"/>
    <w:rsid w:val="009E1481"/>
    <w:rsid w:val="009E278F"/>
    <w:rsid w:val="009E35EC"/>
    <w:rsid w:val="009E5741"/>
    <w:rsid w:val="009E627B"/>
    <w:rsid w:val="009E7005"/>
    <w:rsid w:val="009F04A6"/>
    <w:rsid w:val="009F1AB7"/>
    <w:rsid w:val="009F1C15"/>
    <w:rsid w:val="009F1FC5"/>
    <w:rsid w:val="009F2003"/>
    <w:rsid w:val="009F38EE"/>
    <w:rsid w:val="009F4262"/>
    <w:rsid w:val="009F4DC7"/>
    <w:rsid w:val="009F500C"/>
    <w:rsid w:val="009F591F"/>
    <w:rsid w:val="009F77D2"/>
    <w:rsid w:val="00A00CAA"/>
    <w:rsid w:val="00A0240A"/>
    <w:rsid w:val="00A034AE"/>
    <w:rsid w:val="00A03737"/>
    <w:rsid w:val="00A03B6D"/>
    <w:rsid w:val="00A04B2D"/>
    <w:rsid w:val="00A05EDE"/>
    <w:rsid w:val="00A07C12"/>
    <w:rsid w:val="00A07CAD"/>
    <w:rsid w:val="00A1023E"/>
    <w:rsid w:val="00A1028E"/>
    <w:rsid w:val="00A11880"/>
    <w:rsid w:val="00A12930"/>
    <w:rsid w:val="00A1323A"/>
    <w:rsid w:val="00A1546B"/>
    <w:rsid w:val="00A165E0"/>
    <w:rsid w:val="00A1793F"/>
    <w:rsid w:val="00A17A95"/>
    <w:rsid w:val="00A2054A"/>
    <w:rsid w:val="00A20CA3"/>
    <w:rsid w:val="00A20CBD"/>
    <w:rsid w:val="00A213A3"/>
    <w:rsid w:val="00A21B4B"/>
    <w:rsid w:val="00A21F57"/>
    <w:rsid w:val="00A22B52"/>
    <w:rsid w:val="00A24F66"/>
    <w:rsid w:val="00A25E41"/>
    <w:rsid w:val="00A26848"/>
    <w:rsid w:val="00A26AA4"/>
    <w:rsid w:val="00A26BA5"/>
    <w:rsid w:val="00A27EDA"/>
    <w:rsid w:val="00A300A2"/>
    <w:rsid w:val="00A316E2"/>
    <w:rsid w:val="00A3211D"/>
    <w:rsid w:val="00A337B8"/>
    <w:rsid w:val="00A346BE"/>
    <w:rsid w:val="00A3481D"/>
    <w:rsid w:val="00A35165"/>
    <w:rsid w:val="00A35394"/>
    <w:rsid w:val="00A35859"/>
    <w:rsid w:val="00A373B5"/>
    <w:rsid w:val="00A3748F"/>
    <w:rsid w:val="00A37D73"/>
    <w:rsid w:val="00A37DE8"/>
    <w:rsid w:val="00A37FBF"/>
    <w:rsid w:val="00A40E28"/>
    <w:rsid w:val="00A418A5"/>
    <w:rsid w:val="00A43294"/>
    <w:rsid w:val="00A439EF"/>
    <w:rsid w:val="00A454A9"/>
    <w:rsid w:val="00A45B11"/>
    <w:rsid w:val="00A46092"/>
    <w:rsid w:val="00A468DB"/>
    <w:rsid w:val="00A46922"/>
    <w:rsid w:val="00A46B0D"/>
    <w:rsid w:val="00A46F84"/>
    <w:rsid w:val="00A47732"/>
    <w:rsid w:val="00A47FE5"/>
    <w:rsid w:val="00A524ED"/>
    <w:rsid w:val="00A5302C"/>
    <w:rsid w:val="00A53245"/>
    <w:rsid w:val="00A53B4D"/>
    <w:rsid w:val="00A53B60"/>
    <w:rsid w:val="00A545E9"/>
    <w:rsid w:val="00A550E3"/>
    <w:rsid w:val="00A56DD0"/>
    <w:rsid w:val="00A57C48"/>
    <w:rsid w:val="00A602F3"/>
    <w:rsid w:val="00A60E7F"/>
    <w:rsid w:val="00A612E6"/>
    <w:rsid w:val="00A621B8"/>
    <w:rsid w:val="00A626AF"/>
    <w:rsid w:val="00A630D5"/>
    <w:rsid w:val="00A631D6"/>
    <w:rsid w:val="00A63397"/>
    <w:rsid w:val="00A656DB"/>
    <w:rsid w:val="00A65FE9"/>
    <w:rsid w:val="00A660AE"/>
    <w:rsid w:val="00A7002F"/>
    <w:rsid w:val="00A726FC"/>
    <w:rsid w:val="00A72E3F"/>
    <w:rsid w:val="00A72FCD"/>
    <w:rsid w:val="00A731B6"/>
    <w:rsid w:val="00A73686"/>
    <w:rsid w:val="00A73744"/>
    <w:rsid w:val="00A7547D"/>
    <w:rsid w:val="00A77504"/>
    <w:rsid w:val="00A81DAC"/>
    <w:rsid w:val="00A8227F"/>
    <w:rsid w:val="00A833C5"/>
    <w:rsid w:val="00A840AE"/>
    <w:rsid w:val="00A863D5"/>
    <w:rsid w:val="00A86695"/>
    <w:rsid w:val="00A8730A"/>
    <w:rsid w:val="00A87E77"/>
    <w:rsid w:val="00A9027A"/>
    <w:rsid w:val="00A90307"/>
    <w:rsid w:val="00A90A14"/>
    <w:rsid w:val="00A90AD4"/>
    <w:rsid w:val="00A90C8F"/>
    <w:rsid w:val="00A912EF"/>
    <w:rsid w:val="00A924A4"/>
    <w:rsid w:val="00A9317F"/>
    <w:rsid w:val="00A943FA"/>
    <w:rsid w:val="00AA145E"/>
    <w:rsid w:val="00AA36AF"/>
    <w:rsid w:val="00AA3AC1"/>
    <w:rsid w:val="00AA4E55"/>
    <w:rsid w:val="00AA5840"/>
    <w:rsid w:val="00AA5F16"/>
    <w:rsid w:val="00AA61F3"/>
    <w:rsid w:val="00AA704F"/>
    <w:rsid w:val="00AA7097"/>
    <w:rsid w:val="00AB0957"/>
    <w:rsid w:val="00AB0A6C"/>
    <w:rsid w:val="00AB1EB9"/>
    <w:rsid w:val="00AB2192"/>
    <w:rsid w:val="00AB286A"/>
    <w:rsid w:val="00AB3108"/>
    <w:rsid w:val="00AB3E98"/>
    <w:rsid w:val="00AB5CD9"/>
    <w:rsid w:val="00AB713F"/>
    <w:rsid w:val="00AC15DE"/>
    <w:rsid w:val="00AC26F9"/>
    <w:rsid w:val="00AC2D45"/>
    <w:rsid w:val="00AC3014"/>
    <w:rsid w:val="00AC4098"/>
    <w:rsid w:val="00AC47F7"/>
    <w:rsid w:val="00AC5328"/>
    <w:rsid w:val="00AC607D"/>
    <w:rsid w:val="00AC6D04"/>
    <w:rsid w:val="00AC7E62"/>
    <w:rsid w:val="00AD2305"/>
    <w:rsid w:val="00AD3F97"/>
    <w:rsid w:val="00AD43F0"/>
    <w:rsid w:val="00AD483B"/>
    <w:rsid w:val="00AD57B8"/>
    <w:rsid w:val="00AD7D1F"/>
    <w:rsid w:val="00AE0098"/>
    <w:rsid w:val="00AE150A"/>
    <w:rsid w:val="00AE1F72"/>
    <w:rsid w:val="00AE363F"/>
    <w:rsid w:val="00AE37FD"/>
    <w:rsid w:val="00AE4A08"/>
    <w:rsid w:val="00AE4ECB"/>
    <w:rsid w:val="00AE51D5"/>
    <w:rsid w:val="00AE60E4"/>
    <w:rsid w:val="00AE6CA1"/>
    <w:rsid w:val="00AE7313"/>
    <w:rsid w:val="00AE7476"/>
    <w:rsid w:val="00AF04E3"/>
    <w:rsid w:val="00AF093E"/>
    <w:rsid w:val="00AF0E11"/>
    <w:rsid w:val="00AF1DE9"/>
    <w:rsid w:val="00AF224B"/>
    <w:rsid w:val="00AF2EC7"/>
    <w:rsid w:val="00AF3D47"/>
    <w:rsid w:val="00AF4190"/>
    <w:rsid w:val="00AF42D8"/>
    <w:rsid w:val="00AF6334"/>
    <w:rsid w:val="00AF744F"/>
    <w:rsid w:val="00AF7FFC"/>
    <w:rsid w:val="00B00483"/>
    <w:rsid w:val="00B00E06"/>
    <w:rsid w:val="00B012EA"/>
    <w:rsid w:val="00B01914"/>
    <w:rsid w:val="00B01C97"/>
    <w:rsid w:val="00B0263A"/>
    <w:rsid w:val="00B0264F"/>
    <w:rsid w:val="00B034CA"/>
    <w:rsid w:val="00B03AD4"/>
    <w:rsid w:val="00B04040"/>
    <w:rsid w:val="00B0443A"/>
    <w:rsid w:val="00B0554E"/>
    <w:rsid w:val="00B05EDB"/>
    <w:rsid w:val="00B06197"/>
    <w:rsid w:val="00B07B15"/>
    <w:rsid w:val="00B10BD3"/>
    <w:rsid w:val="00B10D59"/>
    <w:rsid w:val="00B1189F"/>
    <w:rsid w:val="00B11CB1"/>
    <w:rsid w:val="00B11CCE"/>
    <w:rsid w:val="00B11D31"/>
    <w:rsid w:val="00B1245C"/>
    <w:rsid w:val="00B127A7"/>
    <w:rsid w:val="00B135AA"/>
    <w:rsid w:val="00B146AA"/>
    <w:rsid w:val="00B146B4"/>
    <w:rsid w:val="00B159E7"/>
    <w:rsid w:val="00B17589"/>
    <w:rsid w:val="00B17764"/>
    <w:rsid w:val="00B20CFF"/>
    <w:rsid w:val="00B219E3"/>
    <w:rsid w:val="00B22008"/>
    <w:rsid w:val="00B257D7"/>
    <w:rsid w:val="00B25AA9"/>
    <w:rsid w:val="00B26775"/>
    <w:rsid w:val="00B27687"/>
    <w:rsid w:val="00B302FD"/>
    <w:rsid w:val="00B309A6"/>
    <w:rsid w:val="00B30A6B"/>
    <w:rsid w:val="00B3173A"/>
    <w:rsid w:val="00B31760"/>
    <w:rsid w:val="00B31CFC"/>
    <w:rsid w:val="00B327AB"/>
    <w:rsid w:val="00B32C45"/>
    <w:rsid w:val="00B33649"/>
    <w:rsid w:val="00B33F05"/>
    <w:rsid w:val="00B34D51"/>
    <w:rsid w:val="00B3605C"/>
    <w:rsid w:val="00B368A4"/>
    <w:rsid w:val="00B36955"/>
    <w:rsid w:val="00B36BE3"/>
    <w:rsid w:val="00B40989"/>
    <w:rsid w:val="00B40D44"/>
    <w:rsid w:val="00B40DF2"/>
    <w:rsid w:val="00B4117D"/>
    <w:rsid w:val="00B430C9"/>
    <w:rsid w:val="00B4598C"/>
    <w:rsid w:val="00B464DB"/>
    <w:rsid w:val="00B5033C"/>
    <w:rsid w:val="00B503CD"/>
    <w:rsid w:val="00B50F68"/>
    <w:rsid w:val="00B51567"/>
    <w:rsid w:val="00B51C2E"/>
    <w:rsid w:val="00B522EE"/>
    <w:rsid w:val="00B52AA5"/>
    <w:rsid w:val="00B54E88"/>
    <w:rsid w:val="00B54F1D"/>
    <w:rsid w:val="00B55595"/>
    <w:rsid w:val="00B55CAC"/>
    <w:rsid w:val="00B56EFC"/>
    <w:rsid w:val="00B573FF"/>
    <w:rsid w:val="00B62570"/>
    <w:rsid w:val="00B62CE8"/>
    <w:rsid w:val="00B63147"/>
    <w:rsid w:val="00B6365B"/>
    <w:rsid w:val="00B63804"/>
    <w:rsid w:val="00B64B88"/>
    <w:rsid w:val="00B71094"/>
    <w:rsid w:val="00B7146E"/>
    <w:rsid w:val="00B71487"/>
    <w:rsid w:val="00B71FE1"/>
    <w:rsid w:val="00B72469"/>
    <w:rsid w:val="00B73971"/>
    <w:rsid w:val="00B7401A"/>
    <w:rsid w:val="00B75CF0"/>
    <w:rsid w:val="00B772B8"/>
    <w:rsid w:val="00B8067F"/>
    <w:rsid w:val="00B8069F"/>
    <w:rsid w:val="00B80E49"/>
    <w:rsid w:val="00B8202F"/>
    <w:rsid w:val="00B83923"/>
    <w:rsid w:val="00B84833"/>
    <w:rsid w:val="00B84DB9"/>
    <w:rsid w:val="00B85580"/>
    <w:rsid w:val="00B86C68"/>
    <w:rsid w:val="00B91E14"/>
    <w:rsid w:val="00B938F7"/>
    <w:rsid w:val="00B93E16"/>
    <w:rsid w:val="00B9447C"/>
    <w:rsid w:val="00B94693"/>
    <w:rsid w:val="00B94D82"/>
    <w:rsid w:val="00B95C16"/>
    <w:rsid w:val="00B97605"/>
    <w:rsid w:val="00BA1404"/>
    <w:rsid w:val="00BA1825"/>
    <w:rsid w:val="00BA33ED"/>
    <w:rsid w:val="00BA3E02"/>
    <w:rsid w:val="00BA430E"/>
    <w:rsid w:val="00BA7CCE"/>
    <w:rsid w:val="00BB0B7D"/>
    <w:rsid w:val="00BB0E91"/>
    <w:rsid w:val="00BB0F4F"/>
    <w:rsid w:val="00BB1038"/>
    <w:rsid w:val="00BB16AA"/>
    <w:rsid w:val="00BB1B1A"/>
    <w:rsid w:val="00BB204B"/>
    <w:rsid w:val="00BB2344"/>
    <w:rsid w:val="00BB2E19"/>
    <w:rsid w:val="00BB3187"/>
    <w:rsid w:val="00BB3937"/>
    <w:rsid w:val="00BB53E9"/>
    <w:rsid w:val="00BB55FC"/>
    <w:rsid w:val="00BB6682"/>
    <w:rsid w:val="00BB7693"/>
    <w:rsid w:val="00BC1E22"/>
    <w:rsid w:val="00BC3F08"/>
    <w:rsid w:val="00BC48F0"/>
    <w:rsid w:val="00BC4ABB"/>
    <w:rsid w:val="00BC589D"/>
    <w:rsid w:val="00BD0FA5"/>
    <w:rsid w:val="00BD19FB"/>
    <w:rsid w:val="00BD1C5C"/>
    <w:rsid w:val="00BD2360"/>
    <w:rsid w:val="00BD2A59"/>
    <w:rsid w:val="00BD3F3B"/>
    <w:rsid w:val="00BD4EEE"/>
    <w:rsid w:val="00BD626C"/>
    <w:rsid w:val="00BD68E2"/>
    <w:rsid w:val="00BE1972"/>
    <w:rsid w:val="00BE1BB5"/>
    <w:rsid w:val="00BE258A"/>
    <w:rsid w:val="00BE3223"/>
    <w:rsid w:val="00BE3E23"/>
    <w:rsid w:val="00BE51C8"/>
    <w:rsid w:val="00BE6040"/>
    <w:rsid w:val="00BE60BD"/>
    <w:rsid w:val="00BE74C4"/>
    <w:rsid w:val="00BE77FE"/>
    <w:rsid w:val="00BE7883"/>
    <w:rsid w:val="00BF0AB9"/>
    <w:rsid w:val="00BF3141"/>
    <w:rsid w:val="00BF31F4"/>
    <w:rsid w:val="00BF32DA"/>
    <w:rsid w:val="00BF4BB3"/>
    <w:rsid w:val="00BF5344"/>
    <w:rsid w:val="00BF6E62"/>
    <w:rsid w:val="00C00940"/>
    <w:rsid w:val="00C00974"/>
    <w:rsid w:val="00C03F2D"/>
    <w:rsid w:val="00C06CEC"/>
    <w:rsid w:val="00C077EB"/>
    <w:rsid w:val="00C07D51"/>
    <w:rsid w:val="00C10E88"/>
    <w:rsid w:val="00C111CC"/>
    <w:rsid w:val="00C113CF"/>
    <w:rsid w:val="00C11822"/>
    <w:rsid w:val="00C11EFA"/>
    <w:rsid w:val="00C12854"/>
    <w:rsid w:val="00C12B37"/>
    <w:rsid w:val="00C13426"/>
    <w:rsid w:val="00C16108"/>
    <w:rsid w:val="00C17C3A"/>
    <w:rsid w:val="00C20348"/>
    <w:rsid w:val="00C224B9"/>
    <w:rsid w:val="00C228FD"/>
    <w:rsid w:val="00C22EFC"/>
    <w:rsid w:val="00C22F6B"/>
    <w:rsid w:val="00C230FA"/>
    <w:rsid w:val="00C24194"/>
    <w:rsid w:val="00C2631A"/>
    <w:rsid w:val="00C2791D"/>
    <w:rsid w:val="00C30AA2"/>
    <w:rsid w:val="00C30CEB"/>
    <w:rsid w:val="00C3185A"/>
    <w:rsid w:val="00C3295A"/>
    <w:rsid w:val="00C330EA"/>
    <w:rsid w:val="00C336B4"/>
    <w:rsid w:val="00C343C2"/>
    <w:rsid w:val="00C35073"/>
    <w:rsid w:val="00C4058D"/>
    <w:rsid w:val="00C40C9C"/>
    <w:rsid w:val="00C411F5"/>
    <w:rsid w:val="00C421F0"/>
    <w:rsid w:val="00C42235"/>
    <w:rsid w:val="00C42A65"/>
    <w:rsid w:val="00C42E5E"/>
    <w:rsid w:val="00C44609"/>
    <w:rsid w:val="00C45B5D"/>
    <w:rsid w:val="00C4771F"/>
    <w:rsid w:val="00C50785"/>
    <w:rsid w:val="00C51E1B"/>
    <w:rsid w:val="00C51F32"/>
    <w:rsid w:val="00C52509"/>
    <w:rsid w:val="00C52900"/>
    <w:rsid w:val="00C52929"/>
    <w:rsid w:val="00C52E9A"/>
    <w:rsid w:val="00C53E36"/>
    <w:rsid w:val="00C5491B"/>
    <w:rsid w:val="00C54DBA"/>
    <w:rsid w:val="00C56E32"/>
    <w:rsid w:val="00C60750"/>
    <w:rsid w:val="00C63777"/>
    <w:rsid w:val="00C65134"/>
    <w:rsid w:val="00C65583"/>
    <w:rsid w:val="00C65D2D"/>
    <w:rsid w:val="00C66791"/>
    <w:rsid w:val="00C66A31"/>
    <w:rsid w:val="00C67277"/>
    <w:rsid w:val="00C673A1"/>
    <w:rsid w:val="00C673CD"/>
    <w:rsid w:val="00C67F59"/>
    <w:rsid w:val="00C718A1"/>
    <w:rsid w:val="00C7287D"/>
    <w:rsid w:val="00C72B8D"/>
    <w:rsid w:val="00C733ED"/>
    <w:rsid w:val="00C7345D"/>
    <w:rsid w:val="00C74A6A"/>
    <w:rsid w:val="00C75B1C"/>
    <w:rsid w:val="00C760D7"/>
    <w:rsid w:val="00C76383"/>
    <w:rsid w:val="00C77294"/>
    <w:rsid w:val="00C7736A"/>
    <w:rsid w:val="00C77FE2"/>
    <w:rsid w:val="00C820A8"/>
    <w:rsid w:val="00C820D0"/>
    <w:rsid w:val="00C82246"/>
    <w:rsid w:val="00C82778"/>
    <w:rsid w:val="00C82EB2"/>
    <w:rsid w:val="00C82F65"/>
    <w:rsid w:val="00C83DB0"/>
    <w:rsid w:val="00C84245"/>
    <w:rsid w:val="00C845E1"/>
    <w:rsid w:val="00C84E27"/>
    <w:rsid w:val="00C858BC"/>
    <w:rsid w:val="00C85C4D"/>
    <w:rsid w:val="00C87DB8"/>
    <w:rsid w:val="00C90D13"/>
    <w:rsid w:val="00C9313D"/>
    <w:rsid w:val="00C935BD"/>
    <w:rsid w:val="00C935F5"/>
    <w:rsid w:val="00C93F24"/>
    <w:rsid w:val="00C941E8"/>
    <w:rsid w:val="00C9453D"/>
    <w:rsid w:val="00C9534F"/>
    <w:rsid w:val="00C954A2"/>
    <w:rsid w:val="00C97724"/>
    <w:rsid w:val="00C97838"/>
    <w:rsid w:val="00C97C5B"/>
    <w:rsid w:val="00CA0792"/>
    <w:rsid w:val="00CA07F3"/>
    <w:rsid w:val="00CA0EE0"/>
    <w:rsid w:val="00CA17AE"/>
    <w:rsid w:val="00CA289B"/>
    <w:rsid w:val="00CA2C17"/>
    <w:rsid w:val="00CA3018"/>
    <w:rsid w:val="00CA337D"/>
    <w:rsid w:val="00CA3C91"/>
    <w:rsid w:val="00CA43DB"/>
    <w:rsid w:val="00CA5B05"/>
    <w:rsid w:val="00CA6787"/>
    <w:rsid w:val="00CA7515"/>
    <w:rsid w:val="00CB0421"/>
    <w:rsid w:val="00CB0742"/>
    <w:rsid w:val="00CB285B"/>
    <w:rsid w:val="00CB28CD"/>
    <w:rsid w:val="00CB60DE"/>
    <w:rsid w:val="00CB7401"/>
    <w:rsid w:val="00CB7C42"/>
    <w:rsid w:val="00CC12B8"/>
    <w:rsid w:val="00CC17E5"/>
    <w:rsid w:val="00CC2CCB"/>
    <w:rsid w:val="00CD0325"/>
    <w:rsid w:val="00CD0657"/>
    <w:rsid w:val="00CD0DD1"/>
    <w:rsid w:val="00CD13CB"/>
    <w:rsid w:val="00CD1714"/>
    <w:rsid w:val="00CD1DA3"/>
    <w:rsid w:val="00CD2F0A"/>
    <w:rsid w:val="00CD31B4"/>
    <w:rsid w:val="00CD3A04"/>
    <w:rsid w:val="00CD483E"/>
    <w:rsid w:val="00CD4B34"/>
    <w:rsid w:val="00CD5346"/>
    <w:rsid w:val="00CD536A"/>
    <w:rsid w:val="00CD59E1"/>
    <w:rsid w:val="00CD5CA1"/>
    <w:rsid w:val="00CE1DC8"/>
    <w:rsid w:val="00CE1F5C"/>
    <w:rsid w:val="00CE2EBA"/>
    <w:rsid w:val="00CE342A"/>
    <w:rsid w:val="00CE38F0"/>
    <w:rsid w:val="00CE4239"/>
    <w:rsid w:val="00CE474F"/>
    <w:rsid w:val="00CE4779"/>
    <w:rsid w:val="00CE49EF"/>
    <w:rsid w:val="00CE6D7D"/>
    <w:rsid w:val="00CF004E"/>
    <w:rsid w:val="00CF0400"/>
    <w:rsid w:val="00CF19DC"/>
    <w:rsid w:val="00CF2BF8"/>
    <w:rsid w:val="00CF3B7C"/>
    <w:rsid w:val="00CF5A2D"/>
    <w:rsid w:val="00CF685E"/>
    <w:rsid w:val="00CF7494"/>
    <w:rsid w:val="00D0027E"/>
    <w:rsid w:val="00D033D5"/>
    <w:rsid w:val="00D0617B"/>
    <w:rsid w:val="00D0767C"/>
    <w:rsid w:val="00D10E6A"/>
    <w:rsid w:val="00D11E94"/>
    <w:rsid w:val="00D1277D"/>
    <w:rsid w:val="00D13231"/>
    <w:rsid w:val="00D143D5"/>
    <w:rsid w:val="00D14B5F"/>
    <w:rsid w:val="00D154DB"/>
    <w:rsid w:val="00D15F9A"/>
    <w:rsid w:val="00D16541"/>
    <w:rsid w:val="00D172CB"/>
    <w:rsid w:val="00D200B2"/>
    <w:rsid w:val="00D214B0"/>
    <w:rsid w:val="00D2424D"/>
    <w:rsid w:val="00D249C7"/>
    <w:rsid w:val="00D25879"/>
    <w:rsid w:val="00D2712C"/>
    <w:rsid w:val="00D27565"/>
    <w:rsid w:val="00D3114C"/>
    <w:rsid w:val="00D32461"/>
    <w:rsid w:val="00D32ECC"/>
    <w:rsid w:val="00D348D3"/>
    <w:rsid w:val="00D34E0C"/>
    <w:rsid w:val="00D36B29"/>
    <w:rsid w:val="00D3757C"/>
    <w:rsid w:val="00D40846"/>
    <w:rsid w:val="00D40AFF"/>
    <w:rsid w:val="00D42152"/>
    <w:rsid w:val="00D42372"/>
    <w:rsid w:val="00D44659"/>
    <w:rsid w:val="00D44FDA"/>
    <w:rsid w:val="00D461CA"/>
    <w:rsid w:val="00D46710"/>
    <w:rsid w:val="00D47AA4"/>
    <w:rsid w:val="00D47B87"/>
    <w:rsid w:val="00D47F2D"/>
    <w:rsid w:val="00D47F40"/>
    <w:rsid w:val="00D50EE3"/>
    <w:rsid w:val="00D52353"/>
    <w:rsid w:val="00D537BC"/>
    <w:rsid w:val="00D54F13"/>
    <w:rsid w:val="00D55341"/>
    <w:rsid w:val="00D5622C"/>
    <w:rsid w:val="00D57E2B"/>
    <w:rsid w:val="00D60633"/>
    <w:rsid w:val="00D61B0B"/>
    <w:rsid w:val="00D62BA5"/>
    <w:rsid w:val="00D62BBA"/>
    <w:rsid w:val="00D6621A"/>
    <w:rsid w:val="00D667DA"/>
    <w:rsid w:val="00D669AB"/>
    <w:rsid w:val="00D71B35"/>
    <w:rsid w:val="00D723E2"/>
    <w:rsid w:val="00D7560A"/>
    <w:rsid w:val="00D76B29"/>
    <w:rsid w:val="00D772C0"/>
    <w:rsid w:val="00D80E68"/>
    <w:rsid w:val="00D8120B"/>
    <w:rsid w:val="00D816F8"/>
    <w:rsid w:val="00D850E7"/>
    <w:rsid w:val="00D87A86"/>
    <w:rsid w:val="00D9073F"/>
    <w:rsid w:val="00D908F8"/>
    <w:rsid w:val="00D91063"/>
    <w:rsid w:val="00D91402"/>
    <w:rsid w:val="00D94050"/>
    <w:rsid w:val="00D94734"/>
    <w:rsid w:val="00D95A29"/>
    <w:rsid w:val="00D96831"/>
    <w:rsid w:val="00DA0B19"/>
    <w:rsid w:val="00DA0EF5"/>
    <w:rsid w:val="00DA1443"/>
    <w:rsid w:val="00DA32D8"/>
    <w:rsid w:val="00DA4484"/>
    <w:rsid w:val="00DA517B"/>
    <w:rsid w:val="00DA6AFF"/>
    <w:rsid w:val="00DA741E"/>
    <w:rsid w:val="00DA79DA"/>
    <w:rsid w:val="00DA7D9E"/>
    <w:rsid w:val="00DB1E1F"/>
    <w:rsid w:val="00DB1FE3"/>
    <w:rsid w:val="00DB372B"/>
    <w:rsid w:val="00DB3BA9"/>
    <w:rsid w:val="00DB40B4"/>
    <w:rsid w:val="00DB52F5"/>
    <w:rsid w:val="00DB6F0C"/>
    <w:rsid w:val="00DB7C31"/>
    <w:rsid w:val="00DC10F3"/>
    <w:rsid w:val="00DC4D8D"/>
    <w:rsid w:val="00DC5094"/>
    <w:rsid w:val="00DC52E8"/>
    <w:rsid w:val="00DC60D4"/>
    <w:rsid w:val="00DC62C3"/>
    <w:rsid w:val="00DC6655"/>
    <w:rsid w:val="00DD06D0"/>
    <w:rsid w:val="00DD17F5"/>
    <w:rsid w:val="00DD187A"/>
    <w:rsid w:val="00DD29FF"/>
    <w:rsid w:val="00DD2FBA"/>
    <w:rsid w:val="00DD3514"/>
    <w:rsid w:val="00DD3D26"/>
    <w:rsid w:val="00DD4337"/>
    <w:rsid w:val="00DD6FFE"/>
    <w:rsid w:val="00DD7F25"/>
    <w:rsid w:val="00DD7F78"/>
    <w:rsid w:val="00DE0F56"/>
    <w:rsid w:val="00DE0F60"/>
    <w:rsid w:val="00DE2733"/>
    <w:rsid w:val="00DE2B9A"/>
    <w:rsid w:val="00DE319D"/>
    <w:rsid w:val="00DE31C9"/>
    <w:rsid w:val="00DE348A"/>
    <w:rsid w:val="00DE358B"/>
    <w:rsid w:val="00DE4868"/>
    <w:rsid w:val="00DE4902"/>
    <w:rsid w:val="00DE59F5"/>
    <w:rsid w:val="00DE6922"/>
    <w:rsid w:val="00DE7868"/>
    <w:rsid w:val="00DE7E9B"/>
    <w:rsid w:val="00DF164A"/>
    <w:rsid w:val="00DF23B3"/>
    <w:rsid w:val="00DF3631"/>
    <w:rsid w:val="00DF4B69"/>
    <w:rsid w:val="00DF5800"/>
    <w:rsid w:val="00DF5E93"/>
    <w:rsid w:val="00DF7725"/>
    <w:rsid w:val="00E005B9"/>
    <w:rsid w:val="00E00E1B"/>
    <w:rsid w:val="00E0141E"/>
    <w:rsid w:val="00E02C3F"/>
    <w:rsid w:val="00E0325C"/>
    <w:rsid w:val="00E036D9"/>
    <w:rsid w:val="00E05118"/>
    <w:rsid w:val="00E05AF2"/>
    <w:rsid w:val="00E07827"/>
    <w:rsid w:val="00E107DD"/>
    <w:rsid w:val="00E117B7"/>
    <w:rsid w:val="00E11FF0"/>
    <w:rsid w:val="00E12278"/>
    <w:rsid w:val="00E13483"/>
    <w:rsid w:val="00E147AE"/>
    <w:rsid w:val="00E14BDE"/>
    <w:rsid w:val="00E14E41"/>
    <w:rsid w:val="00E1547A"/>
    <w:rsid w:val="00E15C83"/>
    <w:rsid w:val="00E177EE"/>
    <w:rsid w:val="00E17BE6"/>
    <w:rsid w:val="00E209AC"/>
    <w:rsid w:val="00E21413"/>
    <w:rsid w:val="00E22A36"/>
    <w:rsid w:val="00E254C1"/>
    <w:rsid w:val="00E260F1"/>
    <w:rsid w:val="00E264DA"/>
    <w:rsid w:val="00E26ABC"/>
    <w:rsid w:val="00E30672"/>
    <w:rsid w:val="00E318B7"/>
    <w:rsid w:val="00E31EC0"/>
    <w:rsid w:val="00E3355C"/>
    <w:rsid w:val="00E34973"/>
    <w:rsid w:val="00E36712"/>
    <w:rsid w:val="00E36B8B"/>
    <w:rsid w:val="00E42014"/>
    <w:rsid w:val="00E42128"/>
    <w:rsid w:val="00E44F31"/>
    <w:rsid w:val="00E44FC8"/>
    <w:rsid w:val="00E46D5C"/>
    <w:rsid w:val="00E507FB"/>
    <w:rsid w:val="00E50A64"/>
    <w:rsid w:val="00E5176C"/>
    <w:rsid w:val="00E524FB"/>
    <w:rsid w:val="00E567A6"/>
    <w:rsid w:val="00E567F2"/>
    <w:rsid w:val="00E57A47"/>
    <w:rsid w:val="00E60330"/>
    <w:rsid w:val="00E60E43"/>
    <w:rsid w:val="00E6543C"/>
    <w:rsid w:val="00E66367"/>
    <w:rsid w:val="00E7034E"/>
    <w:rsid w:val="00E704B9"/>
    <w:rsid w:val="00E73649"/>
    <w:rsid w:val="00E74BC2"/>
    <w:rsid w:val="00E74F5C"/>
    <w:rsid w:val="00E75199"/>
    <w:rsid w:val="00E7534A"/>
    <w:rsid w:val="00E77322"/>
    <w:rsid w:val="00E77F8F"/>
    <w:rsid w:val="00E80007"/>
    <w:rsid w:val="00E81736"/>
    <w:rsid w:val="00E85159"/>
    <w:rsid w:val="00E85D43"/>
    <w:rsid w:val="00E85D8A"/>
    <w:rsid w:val="00E86401"/>
    <w:rsid w:val="00E87C16"/>
    <w:rsid w:val="00E90D52"/>
    <w:rsid w:val="00E91428"/>
    <w:rsid w:val="00E91EB2"/>
    <w:rsid w:val="00E94A10"/>
    <w:rsid w:val="00E952F6"/>
    <w:rsid w:val="00E95B6A"/>
    <w:rsid w:val="00E96E93"/>
    <w:rsid w:val="00EA0CF5"/>
    <w:rsid w:val="00EA15E6"/>
    <w:rsid w:val="00EA3698"/>
    <w:rsid w:val="00EA38FF"/>
    <w:rsid w:val="00EA3A20"/>
    <w:rsid w:val="00EA47D3"/>
    <w:rsid w:val="00EA56A8"/>
    <w:rsid w:val="00EA63CD"/>
    <w:rsid w:val="00EA65B1"/>
    <w:rsid w:val="00EB0E4F"/>
    <w:rsid w:val="00EB0F38"/>
    <w:rsid w:val="00EB4DCB"/>
    <w:rsid w:val="00EB74F3"/>
    <w:rsid w:val="00EB7886"/>
    <w:rsid w:val="00EC0CEC"/>
    <w:rsid w:val="00EC1FE5"/>
    <w:rsid w:val="00EC2443"/>
    <w:rsid w:val="00EC2AE9"/>
    <w:rsid w:val="00EC4012"/>
    <w:rsid w:val="00EC4886"/>
    <w:rsid w:val="00EC6600"/>
    <w:rsid w:val="00EC6AB5"/>
    <w:rsid w:val="00EC7548"/>
    <w:rsid w:val="00EC7827"/>
    <w:rsid w:val="00ED037A"/>
    <w:rsid w:val="00ED0670"/>
    <w:rsid w:val="00ED101D"/>
    <w:rsid w:val="00ED12E4"/>
    <w:rsid w:val="00ED3D57"/>
    <w:rsid w:val="00ED46AA"/>
    <w:rsid w:val="00ED495F"/>
    <w:rsid w:val="00ED6D4F"/>
    <w:rsid w:val="00ED7B01"/>
    <w:rsid w:val="00EE02EE"/>
    <w:rsid w:val="00EE1734"/>
    <w:rsid w:val="00EE237C"/>
    <w:rsid w:val="00EE26F9"/>
    <w:rsid w:val="00EE2A23"/>
    <w:rsid w:val="00EE2C57"/>
    <w:rsid w:val="00EE386A"/>
    <w:rsid w:val="00EE7069"/>
    <w:rsid w:val="00EE7316"/>
    <w:rsid w:val="00EE7483"/>
    <w:rsid w:val="00EF03CE"/>
    <w:rsid w:val="00EF245E"/>
    <w:rsid w:val="00EF2F47"/>
    <w:rsid w:val="00EF3B22"/>
    <w:rsid w:val="00EF4402"/>
    <w:rsid w:val="00F0008D"/>
    <w:rsid w:val="00F00DC6"/>
    <w:rsid w:val="00F01121"/>
    <w:rsid w:val="00F01480"/>
    <w:rsid w:val="00F02707"/>
    <w:rsid w:val="00F058C3"/>
    <w:rsid w:val="00F07FE3"/>
    <w:rsid w:val="00F10532"/>
    <w:rsid w:val="00F11BD9"/>
    <w:rsid w:val="00F12681"/>
    <w:rsid w:val="00F12B24"/>
    <w:rsid w:val="00F1371A"/>
    <w:rsid w:val="00F13946"/>
    <w:rsid w:val="00F14461"/>
    <w:rsid w:val="00F149C0"/>
    <w:rsid w:val="00F14DF9"/>
    <w:rsid w:val="00F15B7E"/>
    <w:rsid w:val="00F1624C"/>
    <w:rsid w:val="00F16E55"/>
    <w:rsid w:val="00F20336"/>
    <w:rsid w:val="00F21EA6"/>
    <w:rsid w:val="00F22BD7"/>
    <w:rsid w:val="00F23CC1"/>
    <w:rsid w:val="00F27677"/>
    <w:rsid w:val="00F27E22"/>
    <w:rsid w:val="00F30E90"/>
    <w:rsid w:val="00F33E5B"/>
    <w:rsid w:val="00F33FAA"/>
    <w:rsid w:val="00F36178"/>
    <w:rsid w:val="00F3709D"/>
    <w:rsid w:val="00F3747A"/>
    <w:rsid w:val="00F40AAB"/>
    <w:rsid w:val="00F41D91"/>
    <w:rsid w:val="00F41EF1"/>
    <w:rsid w:val="00F427B8"/>
    <w:rsid w:val="00F442A0"/>
    <w:rsid w:val="00F45C1E"/>
    <w:rsid w:val="00F469EE"/>
    <w:rsid w:val="00F51967"/>
    <w:rsid w:val="00F52708"/>
    <w:rsid w:val="00F531BC"/>
    <w:rsid w:val="00F53CA3"/>
    <w:rsid w:val="00F5450E"/>
    <w:rsid w:val="00F546A9"/>
    <w:rsid w:val="00F54995"/>
    <w:rsid w:val="00F54A3D"/>
    <w:rsid w:val="00F56878"/>
    <w:rsid w:val="00F57CC6"/>
    <w:rsid w:val="00F6001E"/>
    <w:rsid w:val="00F60761"/>
    <w:rsid w:val="00F60E34"/>
    <w:rsid w:val="00F6249B"/>
    <w:rsid w:val="00F6292C"/>
    <w:rsid w:val="00F64FDD"/>
    <w:rsid w:val="00F652E7"/>
    <w:rsid w:val="00F65613"/>
    <w:rsid w:val="00F65C37"/>
    <w:rsid w:val="00F65F14"/>
    <w:rsid w:val="00F664A5"/>
    <w:rsid w:val="00F66BF7"/>
    <w:rsid w:val="00F674DD"/>
    <w:rsid w:val="00F70478"/>
    <w:rsid w:val="00F70C11"/>
    <w:rsid w:val="00F70DC8"/>
    <w:rsid w:val="00F71CD6"/>
    <w:rsid w:val="00F749B8"/>
    <w:rsid w:val="00F75B89"/>
    <w:rsid w:val="00F802F4"/>
    <w:rsid w:val="00F80FA3"/>
    <w:rsid w:val="00F8177A"/>
    <w:rsid w:val="00F82630"/>
    <w:rsid w:val="00F85EF4"/>
    <w:rsid w:val="00F865D4"/>
    <w:rsid w:val="00F869FB"/>
    <w:rsid w:val="00F87B48"/>
    <w:rsid w:val="00F921A1"/>
    <w:rsid w:val="00F925C9"/>
    <w:rsid w:val="00F931E3"/>
    <w:rsid w:val="00F96205"/>
    <w:rsid w:val="00F96695"/>
    <w:rsid w:val="00FA0527"/>
    <w:rsid w:val="00FA2D7C"/>
    <w:rsid w:val="00FA3117"/>
    <w:rsid w:val="00FA3952"/>
    <w:rsid w:val="00FA62CF"/>
    <w:rsid w:val="00FA6FB5"/>
    <w:rsid w:val="00FB1E4C"/>
    <w:rsid w:val="00FB3324"/>
    <w:rsid w:val="00FB3EB7"/>
    <w:rsid w:val="00FB4AB6"/>
    <w:rsid w:val="00FB4BCD"/>
    <w:rsid w:val="00FB5049"/>
    <w:rsid w:val="00FB514B"/>
    <w:rsid w:val="00FB534E"/>
    <w:rsid w:val="00FB6F79"/>
    <w:rsid w:val="00FC0D16"/>
    <w:rsid w:val="00FC1701"/>
    <w:rsid w:val="00FC1BAC"/>
    <w:rsid w:val="00FC2D62"/>
    <w:rsid w:val="00FC5DF2"/>
    <w:rsid w:val="00FC71BE"/>
    <w:rsid w:val="00FC7F31"/>
    <w:rsid w:val="00FD0737"/>
    <w:rsid w:val="00FD1063"/>
    <w:rsid w:val="00FD31D1"/>
    <w:rsid w:val="00FD45C5"/>
    <w:rsid w:val="00FD6358"/>
    <w:rsid w:val="00FD64A9"/>
    <w:rsid w:val="00FD6AB0"/>
    <w:rsid w:val="00FD7103"/>
    <w:rsid w:val="00FD7162"/>
    <w:rsid w:val="00FE02D3"/>
    <w:rsid w:val="00FE0921"/>
    <w:rsid w:val="00FE1E43"/>
    <w:rsid w:val="00FE2502"/>
    <w:rsid w:val="00FE3374"/>
    <w:rsid w:val="00FE3576"/>
    <w:rsid w:val="00FE6148"/>
    <w:rsid w:val="00FE638B"/>
    <w:rsid w:val="00FE67A6"/>
    <w:rsid w:val="00FE6A1E"/>
    <w:rsid w:val="00FE7C58"/>
    <w:rsid w:val="00FF0D7A"/>
    <w:rsid w:val="00FF2060"/>
    <w:rsid w:val="00FF3425"/>
    <w:rsid w:val="00FF4F62"/>
    <w:rsid w:val="00FF52B4"/>
    <w:rsid w:val="00FF570A"/>
    <w:rsid w:val="00FF5994"/>
    <w:rsid w:val="00FF6709"/>
    <w:rsid w:val="00FF791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9D626F"/>
  <w15:chartTrackingRefBased/>
  <w15:docId w15:val="{D520F2B5-F693-491D-B62C-2C128D494A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01FC"/>
    <w:pPr>
      <w:spacing w:line="360" w:lineRule="auto"/>
      <w:ind w:firstLine="284"/>
      <w:jc w:val="both"/>
    </w:pPr>
    <w:rPr>
      <w:rFonts w:ascii="Times New Roman" w:hAnsi="Times New Roman"/>
      <w:sz w:val="24"/>
    </w:rPr>
  </w:style>
  <w:style w:type="paragraph" w:styleId="Heading1">
    <w:name w:val="heading 1"/>
    <w:basedOn w:val="Normal"/>
    <w:next w:val="Normal"/>
    <w:link w:val="Heading1Char"/>
    <w:autoRedefine/>
    <w:uiPriority w:val="9"/>
    <w:qFormat/>
    <w:rsid w:val="00DA6AFF"/>
    <w:pPr>
      <w:keepNext/>
      <w:keepLines/>
      <w:ind w:firstLine="0"/>
      <w:jc w:val="left"/>
      <w:outlineLvl w:val="0"/>
    </w:pPr>
    <w:rPr>
      <w:rFonts w:eastAsiaTheme="majorEastAsia" w:cstheme="majorBidi"/>
      <w:b/>
      <w:color w:val="000000" w:themeColor="text1"/>
      <w:sz w:val="40"/>
      <w:szCs w:val="32"/>
    </w:rPr>
  </w:style>
  <w:style w:type="paragraph" w:styleId="Heading2">
    <w:name w:val="heading 2"/>
    <w:basedOn w:val="Normal"/>
    <w:next w:val="Normal"/>
    <w:link w:val="Heading2Char"/>
    <w:uiPriority w:val="9"/>
    <w:unhideWhenUsed/>
    <w:qFormat/>
    <w:rsid w:val="000032B0"/>
    <w:pPr>
      <w:keepNext/>
      <w:keepLines/>
      <w:spacing w:before="40"/>
      <w:ind w:firstLine="0"/>
      <w:outlineLvl w:val="1"/>
    </w:pPr>
    <w:rPr>
      <w:rFonts w:eastAsiaTheme="majorEastAsia" w:cstheme="majorBidi"/>
      <w:b/>
      <w:sz w:val="32"/>
      <w:szCs w:val="26"/>
    </w:rPr>
  </w:style>
  <w:style w:type="paragraph" w:styleId="Heading3">
    <w:name w:val="heading 3"/>
    <w:basedOn w:val="Normal"/>
    <w:next w:val="Normal"/>
    <w:link w:val="Heading3Char"/>
    <w:uiPriority w:val="9"/>
    <w:unhideWhenUsed/>
    <w:qFormat/>
    <w:rsid w:val="000032B0"/>
    <w:pPr>
      <w:keepNext/>
      <w:keepLines/>
      <w:numPr>
        <w:ilvl w:val="2"/>
        <w:numId w:val="26"/>
      </w:numPr>
      <w:spacing w:after="6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9375B6"/>
    <w:pPr>
      <w:keepNext/>
      <w:keepLines/>
      <w:numPr>
        <w:numId w:val="32"/>
      </w:numPr>
      <w:spacing w:after="60"/>
      <w:outlineLvl w:val="3"/>
    </w:pPr>
    <w:rPr>
      <w:rFonts w:eastAsiaTheme="majorEastAsia" w:cstheme="majorBidi"/>
      <w:b/>
      <w:iCs/>
    </w:rPr>
  </w:style>
  <w:style w:type="paragraph" w:styleId="Heading5">
    <w:name w:val="heading 5"/>
    <w:basedOn w:val="Normal"/>
    <w:next w:val="Normal"/>
    <w:link w:val="Heading5Char"/>
    <w:uiPriority w:val="9"/>
    <w:unhideWhenUsed/>
    <w:qFormat/>
    <w:rsid w:val="00494ACD"/>
    <w:pPr>
      <w:keepNext/>
      <w:keepLines/>
      <w:numPr>
        <w:ilvl w:val="4"/>
        <w:numId w:val="9"/>
      </w:numPr>
      <w:spacing w:before="40" w:after="0" w:line="240" w:lineRule="auto"/>
      <w:outlineLvl w:val="4"/>
    </w:pPr>
    <w:rPr>
      <w:rFonts w:eastAsiaTheme="majorEastAsia" w:cstheme="majorBidi"/>
      <w:i/>
      <w:lang w:val="en-US" w:eastAsia="en-US"/>
    </w:rPr>
  </w:style>
  <w:style w:type="paragraph" w:styleId="Heading6">
    <w:name w:val="heading 6"/>
    <w:basedOn w:val="Normal"/>
    <w:next w:val="Normal"/>
    <w:link w:val="Heading6Char"/>
    <w:uiPriority w:val="9"/>
    <w:semiHidden/>
    <w:unhideWhenUsed/>
    <w:qFormat/>
    <w:rsid w:val="005676E1"/>
    <w:pPr>
      <w:keepNext/>
      <w:keepLines/>
      <w:numPr>
        <w:ilvl w:val="5"/>
        <w:numId w:val="9"/>
      </w:numPr>
      <w:spacing w:before="40" w:after="0" w:line="240" w:lineRule="auto"/>
      <w:outlineLvl w:val="5"/>
    </w:pPr>
    <w:rPr>
      <w:rFonts w:asciiTheme="majorHAnsi" w:eastAsiaTheme="majorEastAsia" w:hAnsiTheme="majorHAnsi" w:cstheme="majorBidi"/>
      <w:color w:val="1F3763" w:themeColor="accent1" w:themeShade="7F"/>
      <w:sz w:val="20"/>
      <w:lang w:val="en-US" w:eastAsia="en-US"/>
    </w:rPr>
  </w:style>
  <w:style w:type="paragraph" w:styleId="Heading7">
    <w:name w:val="heading 7"/>
    <w:basedOn w:val="Normal"/>
    <w:next w:val="Normal"/>
    <w:link w:val="Heading7Char"/>
    <w:uiPriority w:val="9"/>
    <w:semiHidden/>
    <w:unhideWhenUsed/>
    <w:qFormat/>
    <w:rsid w:val="005676E1"/>
    <w:pPr>
      <w:keepNext/>
      <w:keepLines/>
      <w:numPr>
        <w:ilvl w:val="6"/>
        <w:numId w:val="9"/>
      </w:numPr>
      <w:spacing w:before="40" w:after="0" w:line="240" w:lineRule="auto"/>
      <w:outlineLvl w:val="6"/>
    </w:pPr>
    <w:rPr>
      <w:rFonts w:asciiTheme="majorHAnsi" w:eastAsiaTheme="majorEastAsia" w:hAnsiTheme="majorHAnsi" w:cstheme="majorBidi"/>
      <w:i/>
      <w:iCs/>
      <w:color w:val="1F3763" w:themeColor="accent1" w:themeShade="7F"/>
      <w:sz w:val="20"/>
      <w:lang w:val="en-US" w:eastAsia="en-US"/>
    </w:rPr>
  </w:style>
  <w:style w:type="paragraph" w:styleId="Heading8">
    <w:name w:val="heading 8"/>
    <w:basedOn w:val="Normal"/>
    <w:next w:val="Normal"/>
    <w:link w:val="Heading8Char"/>
    <w:uiPriority w:val="9"/>
    <w:semiHidden/>
    <w:unhideWhenUsed/>
    <w:qFormat/>
    <w:rsid w:val="005676E1"/>
    <w:pPr>
      <w:keepNext/>
      <w:keepLines/>
      <w:numPr>
        <w:ilvl w:val="7"/>
        <w:numId w:val="9"/>
      </w:numPr>
      <w:spacing w:before="40" w:after="0" w:line="240" w:lineRule="auto"/>
      <w:outlineLvl w:val="7"/>
    </w:pPr>
    <w:rPr>
      <w:rFonts w:asciiTheme="majorHAnsi" w:eastAsiaTheme="majorEastAsia" w:hAnsiTheme="majorHAnsi" w:cstheme="majorBidi"/>
      <w:color w:val="272727" w:themeColor="text1" w:themeTint="D8"/>
      <w:sz w:val="21"/>
      <w:szCs w:val="21"/>
      <w:lang w:val="en-US" w:eastAsia="en-US"/>
    </w:rPr>
  </w:style>
  <w:style w:type="paragraph" w:styleId="Heading9">
    <w:name w:val="heading 9"/>
    <w:basedOn w:val="Normal"/>
    <w:next w:val="Normal"/>
    <w:link w:val="Heading9Char"/>
    <w:uiPriority w:val="9"/>
    <w:semiHidden/>
    <w:unhideWhenUsed/>
    <w:qFormat/>
    <w:rsid w:val="005676E1"/>
    <w:pPr>
      <w:keepNext/>
      <w:keepLines/>
      <w:numPr>
        <w:ilvl w:val="8"/>
        <w:numId w:val="9"/>
      </w:numPr>
      <w:spacing w:before="40" w:after="0" w:line="240" w:lineRule="auto"/>
      <w:outlineLvl w:val="8"/>
    </w:pPr>
    <w:rPr>
      <w:rFonts w:asciiTheme="majorHAnsi" w:eastAsiaTheme="majorEastAsia" w:hAnsiTheme="majorHAnsi" w:cstheme="majorBidi"/>
      <w:i/>
      <w:iCs/>
      <w:color w:val="272727" w:themeColor="text1" w:themeTint="D8"/>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B01FC"/>
    <w:pPr>
      <w:spacing w:after="0" w:line="240" w:lineRule="auto"/>
    </w:pPr>
    <w:rPr>
      <w:lang w:val="en-US" w:eastAsia="ja-JP"/>
    </w:rPr>
  </w:style>
  <w:style w:type="character" w:customStyle="1" w:styleId="NoSpacingChar">
    <w:name w:val="No Spacing Char"/>
    <w:basedOn w:val="DefaultParagraphFont"/>
    <w:link w:val="NoSpacing"/>
    <w:uiPriority w:val="1"/>
    <w:rsid w:val="000B01FC"/>
    <w:rPr>
      <w:lang w:val="en-US" w:eastAsia="ja-JP"/>
    </w:rPr>
  </w:style>
  <w:style w:type="character" w:customStyle="1" w:styleId="Heading1Char">
    <w:name w:val="Heading 1 Char"/>
    <w:basedOn w:val="DefaultParagraphFont"/>
    <w:link w:val="Heading1"/>
    <w:uiPriority w:val="9"/>
    <w:rsid w:val="00DA6AFF"/>
    <w:rPr>
      <w:rFonts w:ascii="Times New Roman" w:eastAsiaTheme="majorEastAsia" w:hAnsi="Times New Roman" w:cstheme="majorBidi"/>
      <w:b/>
      <w:color w:val="000000" w:themeColor="text1"/>
      <w:sz w:val="40"/>
      <w:szCs w:val="32"/>
    </w:rPr>
  </w:style>
  <w:style w:type="character" w:customStyle="1" w:styleId="Heading2Char">
    <w:name w:val="Heading 2 Char"/>
    <w:basedOn w:val="DefaultParagraphFont"/>
    <w:link w:val="Heading2"/>
    <w:uiPriority w:val="9"/>
    <w:rsid w:val="000032B0"/>
    <w:rPr>
      <w:rFonts w:ascii="Times New Roman" w:eastAsiaTheme="majorEastAsia" w:hAnsi="Times New Roman" w:cstheme="majorBidi"/>
      <w:b/>
      <w:sz w:val="32"/>
      <w:szCs w:val="26"/>
    </w:rPr>
  </w:style>
  <w:style w:type="character" w:customStyle="1" w:styleId="Heading3Char">
    <w:name w:val="Heading 3 Char"/>
    <w:basedOn w:val="DefaultParagraphFont"/>
    <w:link w:val="Heading3"/>
    <w:uiPriority w:val="9"/>
    <w:rsid w:val="000032B0"/>
    <w:rPr>
      <w:rFonts w:ascii="Times New Roman" w:eastAsiaTheme="majorEastAsia" w:hAnsi="Times New Roman" w:cstheme="majorBidi"/>
      <w:b/>
      <w:sz w:val="24"/>
      <w:szCs w:val="24"/>
    </w:rPr>
  </w:style>
  <w:style w:type="paragraph" w:styleId="Header">
    <w:name w:val="header"/>
    <w:basedOn w:val="Normal"/>
    <w:link w:val="HeaderChar"/>
    <w:uiPriority w:val="99"/>
    <w:unhideWhenUsed/>
    <w:rsid w:val="00862237"/>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2237"/>
    <w:rPr>
      <w:rFonts w:ascii="Times New Roman" w:hAnsi="Times New Roman"/>
      <w:sz w:val="24"/>
    </w:rPr>
  </w:style>
  <w:style w:type="paragraph" w:styleId="Footer">
    <w:name w:val="footer"/>
    <w:basedOn w:val="Normal"/>
    <w:link w:val="FooterChar"/>
    <w:uiPriority w:val="99"/>
    <w:unhideWhenUsed/>
    <w:rsid w:val="00862237"/>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2237"/>
    <w:rPr>
      <w:rFonts w:ascii="Times New Roman" w:hAnsi="Times New Roman"/>
      <w:sz w:val="24"/>
    </w:rPr>
  </w:style>
  <w:style w:type="character" w:customStyle="1" w:styleId="Heading4Char">
    <w:name w:val="Heading 4 Char"/>
    <w:basedOn w:val="DefaultParagraphFont"/>
    <w:link w:val="Heading4"/>
    <w:uiPriority w:val="9"/>
    <w:rsid w:val="009375B6"/>
    <w:rPr>
      <w:rFonts w:ascii="Times New Roman" w:eastAsiaTheme="majorEastAsia" w:hAnsi="Times New Roman" w:cstheme="majorBidi"/>
      <w:b/>
      <w:iCs/>
      <w:sz w:val="24"/>
    </w:rPr>
  </w:style>
  <w:style w:type="numbering" w:customStyle="1" w:styleId="ThesisStyle">
    <w:name w:val="Thesis Style"/>
    <w:uiPriority w:val="99"/>
    <w:rsid w:val="00862237"/>
    <w:pPr>
      <w:numPr>
        <w:numId w:val="1"/>
      </w:numPr>
    </w:pPr>
  </w:style>
  <w:style w:type="paragraph" w:styleId="ListParagraph">
    <w:name w:val="List Paragraph"/>
    <w:basedOn w:val="Normal"/>
    <w:uiPriority w:val="34"/>
    <w:qFormat/>
    <w:rsid w:val="00862237"/>
    <w:pPr>
      <w:ind w:left="720"/>
      <w:contextualSpacing/>
    </w:pPr>
  </w:style>
  <w:style w:type="table" w:styleId="TableGrid">
    <w:name w:val="Table Grid"/>
    <w:basedOn w:val="TableNormal"/>
    <w:uiPriority w:val="39"/>
    <w:qFormat/>
    <w:rsid w:val="00862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862237"/>
    <w:pPr>
      <w:spacing w:after="0"/>
      <w:jc w:val="center"/>
    </w:pPr>
    <w:rPr>
      <w:rFonts w:cs="Times New Roman"/>
      <w:noProof/>
      <w:sz w:val="40"/>
    </w:rPr>
  </w:style>
  <w:style w:type="character" w:customStyle="1" w:styleId="EndNoteBibliographyTitleChar">
    <w:name w:val="EndNote Bibliography Title Char"/>
    <w:basedOn w:val="DefaultParagraphFont"/>
    <w:link w:val="EndNoteBibliographyTitle"/>
    <w:rsid w:val="00862237"/>
    <w:rPr>
      <w:rFonts w:ascii="Times New Roman" w:hAnsi="Times New Roman" w:cs="Times New Roman"/>
      <w:noProof/>
      <w:sz w:val="40"/>
    </w:rPr>
  </w:style>
  <w:style w:type="paragraph" w:customStyle="1" w:styleId="EndNoteBibliography">
    <w:name w:val="EndNote Bibliography"/>
    <w:basedOn w:val="Normal"/>
    <w:link w:val="EndNoteBibliographyChar"/>
    <w:rsid w:val="00862237"/>
    <w:pPr>
      <w:spacing w:line="240" w:lineRule="auto"/>
      <w:jc w:val="left"/>
    </w:pPr>
    <w:rPr>
      <w:rFonts w:cs="Times New Roman"/>
      <w:noProof/>
      <w:sz w:val="40"/>
    </w:rPr>
  </w:style>
  <w:style w:type="character" w:customStyle="1" w:styleId="EndNoteBibliographyChar">
    <w:name w:val="EndNote Bibliography Char"/>
    <w:basedOn w:val="DefaultParagraphFont"/>
    <w:link w:val="EndNoteBibliography"/>
    <w:rsid w:val="00862237"/>
    <w:rPr>
      <w:rFonts w:ascii="Times New Roman" w:hAnsi="Times New Roman" w:cs="Times New Roman"/>
      <w:noProof/>
      <w:sz w:val="40"/>
    </w:rPr>
  </w:style>
  <w:style w:type="paragraph" w:customStyle="1" w:styleId="Reference">
    <w:name w:val="Reference"/>
    <w:basedOn w:val="EndNoteBibliography"/>
    <w:link w:val="ReferenceChar"/>
    <w:qFormat/>
    <w:rsid w:val="00862237"/>
    <w:pPr>
      <w:spacing w:after="240"/>
      <w:ind w:left="578" w:hanging="578"/>
      <w:jc w:val="both"/>
    </w:pPr>
    <w:rPr>
      <w:sz w:val="24"/>
    </w:rPr>
  </w:style>
  <w:style w:type="paragraph" w:customStyle="1" w:styleId="Figure">
    <w:name w:val="Figure"/>
    <w:basedOn w:val="Normal"/>
    <w:link w:val="FigureChar"/>
    <w:qFormat/>
    <w:rsid w:val="00A3481D"/>
    <w:pPr>
      <w:spacing w:after="0" w:line="240" w:lineRule="auto"/>
      <w:ind w:firstLine="0"/>
      <w:jc w:val="center"/>
    </w:pPr>
    <w:rPr>
      <w:noProof/>
    </w:rPr>
  </w:style>
  <w:style w:type="character" w:customStyle="1" w:styleId="ReferenceChar">
    <w:name w:val="Reference Char"/>
    <w:basedOn w:val="EndNoteBibliographyChar"/>
    <w:link w:val="Reference"/>
    <w:rsid w:val="00862237"/>
    <w:rPr>
      <w:rFonts w:ascii="Times New Roman" w:hAnsi="Times New Roman" w:cs="Times New Roman"/>
      <w:noProof/>
      <w:sz w:val="24"/>
    </w:rPr>
  </w:style>
  <w:style w:type="paragraph" w:styleId="Caption">
    <w:name w:val="caption"/>
    <w:basedOn w:val="Normal"/>
    <w:next w:val="Normal"/>
    <w:link w:val="CaptionChar"/>
    <w:uiPriority w:val="35"/>
    <w:unhideWhenUsed/>
    <w:qFormat/>
    <w:rsid w:val="00862237"/>
    <w:pPr>
      <w:spacing w:after="200" w:line="240" w:lineRule="auto"/>
    </w:pPr>
    <w:rPr>
      <w:i/>
      <w:iCs/>
      <w:color w:val="44546A" w:themeColor="text2"/>
      <w:sz w:val="18"/>
      <w:szCs w:val="18"/>
    </w:rPr>
  </w:style>
  <w:style w:type="character" w:customStyle="1" w:styleId="FigureChar">
    <w:name w:val="Figure Char"/>
    <w:basedOn w:val="DefaultParagraphFont"/>
    <w:link w:val="Figure"/>
    <w:rsid w:val="00A3481D"/>
    <w:rPr>
      <w:rFonts w:ascii="Times New Roman" w:hAnsi="Times New Roman"/>
      <w:noProof/>
      <w:sz w:val="24"/>
    </w:rPr>
  </w:style>
  <w:style w:type="paragraph" w:customStyle="1" w:styleId="FigureTitle">
    <w:name w:val="Figure Title"/>
    <w:basedOn w:val="Caption"/>
    <w:link w:val="FigureTitleChar"/>
    <w:qFormat/>
    <w:rsid w:val="005122D8"/>
    <w:pPr>
      <w:spacing w:line="360" w:lineRule="auto"/>
      <w:ind w:firstLine="0"/>
    </w:pPr>
    <w:rPr>
      <w:i w:val="0"/>
      <w:color w:val="auto"/>
      <w:sz w:val="24"/>
    </w:rPr>
  </w:style>
  <w:style w:type="paragraph" w:customStyle="1" w:styleId="Table">
    <w:name w:val="Table"/>
    <w:basedOn w:val="Normal"/>
    <w:link w:val="TableChar"/>
    <w:qFormat/>
    <w:rsid w:val="00862237"/>
    <w:pPr>
      <w:spacing w:after="0" w:line="240" w:lineRule="auto"/>
      <w:ind w:firstLine="0"/>
      <w:jc w:val="center"/>
    </w:pPr>
    <w:rPr>
      <w:rFonts w:eastAsia="宋体"/>
      <w:color w:val="000000" w:themeColor="text1"/>
      <w:lang w:eastAsia="en-US"/>
    </w:rPr>
  </w:style>
  <w:style w:type="character" w:customStyle="1" w:styleId="CaptionChar">
    <w:name w:val="Caption Char"/>
    <w:basedOn w:val="DefaultParagraphFont"/>
    <w:link w:val="Caption"/>
    <w:uiPriority w:val="35"/>
    <w:rsid w:val="00862237"/>
    <w:rPr>
      <w:rFonts w:ascii="Times New Roman" w:hAnsi="Times New Roman"/>
      <w:i/>
      <w:iCs/>
      <w:color w:val="44546A" w:themeColor="text2"/>
      <w:sz w:val="18"/>
      <w:szCs w:val="18"/>
    </w:rPr>
  </w:style>
  <w:style w:type="character" w:customStyle="1" w:styleId="FigureTitleChar">
    <w:name w:val="Figure Title Char"/>
    <w:basedOn w:val="CaptionChar"/>
    <w:link w:val="FigureTitle"/>
    <w:rsid w:val="005122D8"/>
    <w:rPr>
      <w:rFonts w:ascii="Times New Roman" w:hAnsi="Times New Roman"/>
      <w:i w:val="0"/>
      <w:iCs/>
      <w:color w:val="44546A" w:themeColor="text2"/>
      <w:sz w:val="24"/>
      <w:szCs w:val="18"/>
    </w:rPr>
  </w:style>
  <w:style w:type="paragraph" w:customStyle="1" w:styleId="Tabletitle">
    <w:name w:val="Table title"/>
    <w:basedOn w:val="Caption"/>
    <w:link w:val="TabletitleChar"/>
    <w:autoRedefine/>
    <w:qFormat/>
    <w:rsid w:val="00F10532"/>
    <w:pPr>
      <w:pBdr>
        <w:bottom w:val="single" w:sz="4" w:space="1" w:color="auto"/>
      </w:pBdr>
      <w:spacing w:before="120" w:after="0"/>
      <w:ind w:firstLine="0"/>
      <w:jc w:val="left"/>
    </w:pPr>
    <w:rPr>
      <w:rFonts w:eastAsia="宋体" w:cs="Times New Roman"/>
      <w:i w:val="0"/>
      <w:iCs w:val="0"/>
      <w:smallCaps/>
      <w:color w:val="000000" w:themeColor="text1"/>
      <w:sz w:val="24"/>
      <w:szCs w:val="24"/>
      <w:lang w:eastAsia="en-US"/>
    </w:rPr>
  </w:style>
  <w:style w:type="character" w:customStyle="1" w:styleId="TableChar">
    <w:name w:val="Table Char"/>
    <w:basedOn w:val="DefaultParagraphFont"/>
    <w:link w:val="Table"/>
    <w:rsid w:val="00862237"/>
    <w:rPr>
      <w:rFonts w:ascii="Times New Roman" w:eastAsia="宋体" w:hAnsi="Times New Roman"/>
      <w:color w:val="000000" w:themeColor="text1"/>
      <w:sz w:val="24"/>
      <w:lang w:eastAsia="en-US"/>
    </w:rPr>
  </w:style>
  <w:style w:type="character" w:customStyle="1" w:styleId="TabletitleChar">
    <w:name w:val="Table title Char"/>
    <w:basedOn w:val="CaptionChar"/>
    <w:link w:val="Tabletitle"/>
    <w:rsid w:val="00F10532"/>
    <w:rPr>
      <w:rFonts w:ascii="Times New Roman" w:eastAsia="宋体" w:hAnsi="Times New Roman" w:cs="Times New Roman"/>
      <w:i w:val="0"/>
      <w:iCs w:val="0"/>
      <w:smallCaps/>
      <w:color w:val="000000" w:themeColor="text1"/>
      <w:sz w:val="24"/>
      <w:szCs w:val="24"/>
      <w:lang w:eastAsia="en-US"/>
    </w:rPr>
  </w:style>
  <w:style w:type="paragraph" w:customStyle="1" w:styleId="equation">
    <w:name w:val="equation"/>
    <w:basedOn w:val="Normal"/>
    <w:link w:val="equationChar"/>
    <w:autoRedefine/>
    <w:qFormat/>
    <w:rsid w:val="00862237"/>
    <w:pPr>
      <w:spacing w:before="120" w:after="120" w:line="252" w:lineRule="auto"/>
      <w:ind w:firstLine="0"/>
      <w:jc w:val="center"/>
    </w:pPr>
    <w:rPr>
      <w:rFonts w:eastAsia="宋体" w:cs="Times New Roman"/>
      <w:color w:val="000000" w:themeColor="text1"/>
      <w:lang w:eastAsia="en-US"/>
    </w:rPr>
  </w:style>
  <w:style w:type="character" w:customStyle="1" w:styleId="equationChar">
    <w:name w:val="equation Char"/>
    <w:basedOn w:val="DefaultParagraphFont"/>
    <w:link w:val="equation"/>
    <w:rsid w:val="00862237"/>
    <w:rPr>
      <w:rFonts w:ascii="Times New Roman" w:eastAsia="宋体" w:hAnsi="Times New Roman" w:cs="Times New Roman"/>
      <w:color w:val="000000" w:themeColor="text1"/>
      <w:sz w:val="24"/>
      <w:lang w:eastAsia="en-US"/>
    </w:rPr>
  </w:style>
  <w:style w:type="paragraph" w:customStyle="1" w:styleId="MDPI31text">
    <w:name w:val="MDPI_3.1_text"/>
    <w:link w:val="MDPI31textChar"/>
    <w:autoRedefine/>
    <w:rsid w:val="00C66A31"/>
    <w:pPr>
      <w:suppressLineNumbers/>
      <w:autoSpaceDN w:val="0"/>
      <w:snapToGrid w:val="0"/>
      <w:spacing w:after="0" w:line="228" w:lineRule="auto"/>
      <w:ind w:left="2608" w:firstLine="425"/>
      <w:jc w:val="both"/>
      <w:textAlignment w:val="baseline"/>
    </w:pPr>
    <w:rPr>
      <w:rFonts w:ascii="Palatino Linotype" w:eastAsia="Times New Roman" w:hAnsi="Palatino Linotype" w:cs="Times New Roman"/>
      <w:color w:val="000000"/>
      <w:sz w:val="20"/>
      <w:lang w:val="en-US" w:eastAsia="de-DE" w:bidi="en-US"/>
    </w:rPr>
  </w:style>
  <w:style w:type="character" w:styleId="PlaceholderText">
    <w:name w:val="Placeholder Text"/>
    <w:basedOn w:val="DefaultParagraphFont"/>
    <w:uiPriority w:val="99"/>
    <w:semiHidden/>
    <w:rsid w:val="006B4C78"/>
    <w:rPr>
      <w:color w:val="808080"/>
    </w:rPr>
  </w:style>
  <w:style w:type="paragraph" w:customStyle="1" w:styleId="MDPI37itemize">
    <w:name w:val="MDPI_3.7_itemize"/>
    <w:rsid w:val="00132DC5"/>
    <w:pPr>
      <w:numPr>
        <w:numId w:val="6"/>
      </w:numPr>
      <w:autoSpaceDN w:val="0"/>
      <w:snapToGrid w:val="0"/>
      <w:spacing w:after="0" w:line="228" w:lineRule="auto"/>
      <w:ind w:left="720" w:hanging="360"/>
      <w:jc w:val="both"/>
      <w:textAlignment w:val="baseline"/>
    </w:pPr>
    <w:rPr>
      <w:rFonts w:ascii="Palatino Linotype" w:eastAsia="Times New Roman" w:hAnsi="Palatino Linotype" w:cs="Times New Roman"/>
      <w:color w:val="000000"/>
      <w:sz w:val="20"/>
      <w:lang w:val="en-US" w:eastAsia="de-DE" w:bidi="en-US"/>
    </w:rPr>
  </w:style>
  <w:style w:type="numbering" w:customStyle="1" w:styleId="LFO22">
    <w:name w:val="LFO22"/>
    <w:basedOn w:val="NoList"/>
    <w:rsid w:val="00132DC5"/>
    <w:pPr>
      <w:numPr>
        <w:numId w:val="5"/>
      </w:numPr>
    </w:pPr>
  </w:style>
  <w:style w:type="paragraph" w:customStyle="1" w:styleId="MDPI41tablecaption">
    <w:name w:val="MDPI_4.1_table_caption"/>
    <w:rsid w:val="009C6F9F"/>
    <w:pPr>
      <w:autoSpaceDN w:val="0"/>
      <w:snapToGrid w:val="0"/>
      <w:spacing w:before="240" w:after="120" w:line="228" w:lineRule="auto"/>
      <w:ind w:left="2608"/>
      <w:jc w:val="both"/>
      <w:textAlignment w:val="baseline"/>
    </w:pPr>
    <w:rPr>
      <w:rFonts w:ascii="Palatino Linotype" w:eastAsia="Times New Roman" w:hAnsi="Palatino Linotype" w:cs="Cordia New"/>
      <w:color w:val="000000"/>
      <w:sz w:val="18"/>
      <w:lang w:val="en-US" w:eastAsia="de-DE" w:bidi="en-US"/>
    </w:rPr>
  </w:style>
  <w:style w:type="paragraph" w:customStyle="1" w:styleId="MDPI42tablebody">
    <w:name w:val="MDPI_4.2_table_body"/>
    <w:rsid w:val="009C6F9F"/>
    <w:pPr>
      <w:autoSpaceDN w:val="0"/>
      <w:snapToGrid w:val="0"/>
      <w:spacing w:after="0" w:line="260" w:lineRule="atLeast"/>
      <w:jc w:val="center"/>
      <w:textAlignment w:val="baseline"/>
    </w:pPr>
    <w:rPr>
      <w:rFonts w:ascii="Palatino Linotype" w:eastAsia="Times New Roman" w:hAnsi="Palatino Linotype" w:cs="Times New Roman"/>
      <w:color w:val="000000"/>
      <w:sz w:val="20"/>
      <w:szCs w:val="20"/>
      <w:lang w:val="en-US" w:eastAsia="de-DE" w:bidi="en-US"/>
    </w:rPr>
  </w:style>
  <w:style w:type="paragraph" w:customStyle="1" w:styleId="MDPI43tablefooter">
    <w:name w:val="MDPI_4.3_table_footer"/>
    <w:next w:val="MDPI31text"/>
    <w:rsid w:val="009C6F9F"/>
    <w:pPr>
      <w:autoSpaceDN w:val="0"/>
      <w:snapToGrid w:val="0"/>
      <w:spacing w:after="0" w:line="228" w:lineRule="auto"/>
      <w:ind w:left="2608"/>
      <w:jc w:val="both"/>
      <w:textAlignment w:val="baseline"/>
    </w:pPr>
    <w:rPr>
      <w:rFonts w:ascii="Palatino Linotype" w:eastAsia="Times New Roman" w:hAnsi="Palatino Linotype" w:cs="Cordia New"/>
      <w:color w:val="000000"/>
      <w:sz w:val="18"/>
      <w:lang w:val="en-US" w:eastAsia="de-DE" w:bidi="en-US"/>
    </w:rPr>
  </w:style>
  <w:style w:type="numbering" w:customStyle="1" w:styleId="Style1">
    <w:name w:val="Style1"/>
    <w:uiPriority w:val="99"/>
    <w:rsid w:val="00826261"/>
    <w:pPr>
      <w:numPr>
        <w:numId w:val="6"/>
      </w:numPr>
    </w:pPr>
  </w:style>
  <w:style w:type="table" w:customStyle="1" w:styleId="TableGrid1">
    <w:name w:val="Table Grid1"/>
    <w:basedOn w:val="TableNormal"/>
    <w:next w:val="TableGrid"/>
    <w:uiPriority w:val="39"/>
    <w:qFormat/>
    <w:rsid w:val="00826261"/>
    <w:pPr>
      <w:spacing w:after="0" w:line="240" w:lineRule="auto"/>
    </w:pPr>
    <w:rPr>
      <w:rFonts w:eastAsia="宋体"/>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quationnumber">
    <w:name w:val="Equation number"/>
    <w:basedOn w:val="Figure"/>
    <w:link w:val="EquationnumberChar"/>
    <w:qFormat/>
    <w:rsid w:val="00826261"/>
    <w:rPr>
      <w:rFonts w:eastAsia="宋体"/>
      <w:sz w:val="20"/>
      <w:lang w:val="en-US" w:eastAsia="en-US"/>
    </w:rPr>
  </w:style>
  <w:style w:type="character" w:customStyle="1" w:styleId="EquationnumberChar">
    <w:name w:val="Equation number Char"/>
    <w:basedOn w:val="FigureChar"/>
    <w:link w:val="Equationnumber"/>
    <w:rsid w:val="00826261"/>
    <w:rPr>
      <w:rFonts w:ascii="Times New Roman" w:eastAsia="宋体" w:hAnsi="Times New Roman"/>
      <w:noProof/>
      <w:sz w:val="20"/>
      <w:lang w:val="en-US" w:eastAsia="en-US"/>
    </w:rPr>
  </w:style>
  <w:style w:type="character" w:customStyle="1" w:styleId="MDPI31textChar">
    <w:name w:val="MDPI_3.1_text Char"/>
    <w:link w:val="MDPI31text"/>
    <w:rsid w:val="001450BA"/>
    <w:rPr>
      <w:rFonts w:ascii="Palatino Linotype" w:eastAsia="Times New Roman" w:hAnsi="Palatino Linotype" w:cs="Times New Roman"/>
      <w:color w:val="000000"/>
      <w:sz w:val="20"/>
      <w:lang w:val="en-US" w:eastAsia="de-DE" w:bidi="en-US"/>
    </w:rPr>
  </w:style>
  <w:style w:type="paragraph" w:customStyle="1" w:styleId="Sentencewhere">
    <w:name w:val="Sentence_where"/>
    <w:basedOn w:val="MDPI31text"/>
    <w:link w:val="SentencewhereChar"/>
    <w:qFormat/>
    <w:rsid w:val="00186B10"/>
    <w:pPr>
      <w:ind w:firstLine="0"/>
    </w:pPr>
  </w:style>
  <w:style w:type="character" w:customStyle="1" w:styleId="SentencewhereChar">
    <w:name w:val="Sentence_where Char"/>
    <w:basedOn w:val="MDPI31textChar"/>
    <w:link w:val="Sentencewhere"/>
    <w:rsid w:val="00186B10"/>
    <w:rPr>
      <w:rFonts w:ascii="Palatino Linotype" w:eastAsia="Times New Roman" w:hAnsi="Palatino Linotype" w:cs="Times New Roman"/>
      <w:color w:val="000000"/>
      <w:sz w:val="20"/>
      <w:lang w:val="en-US" w:eastAsia="de-DE" w:bidi="en-US"/>
    </w:rPr>
  </w:style>
  <w:style w:type="character" w:styleId="CommentReference">
    <w:name w:val="annotation reference"/>
    <w:basedOn w:val="DefaultParagraphFont"/>
    <w:uiPriority w:val="99"/>
    <w:semiHidden/>
    <w:unhideWhenUsed/>
    <w:rsid w:val="00342440"/>
    <w:rPr>
      <w:sz w:val="16"/>
      <w:szCs w:val="16"/>
    </w:rPr>
  </w:style>
  <w:style w:type="paragraph" w:styleId="CommentText">
    <w:name w:val="annotation text"/>
    <w:basedOn w:val="Normal"/>
    <w:link w:val="CommentTextChar"/>
    <w:uiPriority w:val="99"/>
    <w:unhideWhenUsed/>
    <w:rsid w:val="00342440"/>
    <w:pPr>
      <w:spacing w:after="0" w:line="240" w:lineRule="auto"/>
    </w:pPr>
    <w:rPr>
      <w:rFonts w:eastAsia="宋体"/>
      <w:color w:val="000000" w:themeColor="text1"/>
      <w:sz w:val="20"/>
      <w:szCs w:val="20"/>
      <w:lang w:val="en-US" w:eastAsia="en-US"/>
    </w:rPr>
  </w:style>
  <w:style w:type="character" w:customStyle="1" w:styleId="CommentTextChar">
    <w:name w:val="Comment Text Char"/>
    <w:basedOn w:val="DefaultParagraphFont"/>
    <w:link w:val="CommentText"/>
    <w:uiPriority w:val="99"/>
    <w:rsid w:val="00342440"/>
    <w:rPr>
      <w:rFonts w:ascii="Times New Roman" w:eastAsia="宋体" w:hAnsi="Times New Roman"/>
      <w:color w:val="000000" w:themeColor="text1"/>
      <w:sz w:val="20"/>
      <w:szCs w:val="20"/>
      <w:lang w:val="en-US" w:eastAsia="en-US"/>
    </w:rPr>
  </w:style>
  <w:style w:type="paragraph" w:customStyle="1" w:styleId="Abstract">
    <w:name w:val="Abstract"/>
    <w:basedOn w:val="Normal"/>
    <w:link w:val="AbstractChar"/>
    <w:qFormat/>
    <w:rsid w:val="00342440"/>
    <w:pPr>
      <w:spacing w:before="20" w:after="0" w:line="240" w:lineRule="auto"/>
      <w:ind w:firstLine="204"/>
    </w:pPr>
    <w:rPr>
      <w:rFonts w:eastAsia="宋体"/>
      <w:b/>
      <w:color w:val="000000" w:themeColor="text1"/>
      <w:sz w:val="18"/>
      <w:lang w:val="en-US" w:eastAsia="en-US"/>
    </w:rPr>
  </w:style>
  <w:style w:type="character" w:customStyle="1" w:styleId="AbstractChar">
    <w:name w:val="Abstract Char"/>
    <w:basedOn w:val="DefaultParagraphFont"/>
    <w:link w:val="Abstract"/>
    <w:rsid w:val="00342440"/>
    <w:rPr>
      <w:rFonts w:ascii="Times New Roman" w:eastAsia="宋体" w:hAnsi="Times New Roman"/>
      <w:b/>
      <w:color w:val="000000" w:themeColor="text1"/>
      <w:sz w:val="18"/>
      <w:lang w:val="en-US" w:eastAsia="en-US"/>
    </w:rPr>
  </w:style>
  <w:style w:type="character" w:customStyle="1" w:styleId="Heading5Char">
    <w:name w:val="Heading 5 Char"/>
    <w:basedOn w:val="DefaultParagraphFont"/>
    <w:link w:val="Heading5"/>
    <w:uiPriority w:val="9"/>
    <w:rsid w:val="00494ACD"/>
    <w:rPr>
      <w:rFonts w:ascii="Times New Roman" w:eastAsiaTheme="majorEastAsia" w:hAnsi="Times New Roman" w:cstheme="majorBidi"/>
      <w:i/>
      <w:sz w:val="24"/>
      <w:lang w:val="en-US" w:eastAsia="en-US"/>
    </w:rPr>
  </w:style>
  <w:style w:type="character" w:customStyle="1" w:styleId="Heading6Char">
    <w:name w:val="Heading 6 Char"/>
    <w:basedOn w:val="DefaultParagraphFont"/>
    <w:link w:val="Heading6"/>
    <w:uiPriority w:val="9"/>
    <w:semiHidden/>
    <w:rsid w:val="005676E1"/>
    <w:rPr>
      <w:rFonts w:asciiTheme="majorHAnsi" w:eastAsiaTheme="majorEastAsia" w:hAnsiTheme="majorHAnsi" w:cstheme="majorBidi"/>
      <w:color w:val="1F3763" w:themeColor="accent1" w:themeShade="7F"/>
      <w:sz w:val="20"/>
      <w:lang w:val="en-US" w:eastAsia="en-US"/>
    </w:rPr>
  </w:style>
  <w:style w:type="character" w:customStyle="1" w:styleId="Heading7Char">
    <w:name w:val="Heading 7 Char"/>
    <w:basedOn w:val="DefaultParagraphFont"/>
    <w:link w:val="Heading7"/>
    <w:uiPriority w:val="9"/>
    <w:semiHidden/>
    <w:rsid w:val="005676E1"/>
    <w:rPr>
      <w:rFonts w:asciiTheme="majorHAnsi" w:eastAsiaTheme="majorEastAsia" w:hAnsiTheme="majorHAnsi" w:cstheme="majorBidi"/>
      <w:i/>
      <w:iCs/>
      <w:color w:val="1F3763" w:themeColor="accent1" w:themeShade="7F"/>
      <w:sz w:val="20"/>
      <w:lang w:val="en-US" w:eastAsia="en-US"/>
    </w:rPr>
  </w:style>
  <w:style w:type="character" w:customStyle="1" w:styleId="Heading8Char">
    <w:name w:val="Heading 8 Char"/>
    <w:basedOn w:val="DefaultParagraphFont"/>
    <w:link w:val="Heading8"/>
    <w:uiPriority w:val="9"/>
    <w:semiHidden/>
    <w:rsid w:val="005676E1"/>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5676E1"/>
    <w:rPr>
      <w:rFonts w:asciiTheme="majorHAnsi" w:eastAsiaTheme="majorEastAsia" w:hAnsiTheme="majorHAnsi" w:cstheme="majorBidi"/>
      <w:i/>
      <w:iCs/>
      <w:color w:val="272727" w:themeColor="text1" w:themeTint="D8"/>
      <w:sz w:val="21"/>
      <w:szCs w:val="21"/>
      <w:lang w:val="en-US" w:eastAsia="en-US"/>
    </w:rPr>
  </w:style>
  <w:style w:type="paragraph" w:customStyle="1" w:styleId="Figurecomment">
    <w:name w:val="Figure comment"/>
    <w:basedOn w:val="Normal"/>
    <w:link w:val="FigurecommentChar"/>
    <w:qFormat/>
    <w:rsid w:val="005676E1"/>
    <w:pPr>
      <w:spacing w:after="120" w:line="240" w:lineRule="auto"/>
      <w:ind w:firstLine="0"/>
    </w:pPr>
    <w:rPr>
      <w:rFonts w:eastAsia="宋体"/>
      <w:color w:val="000000" w:themeColor="text1"/>
      <w:sz w:val="16"/>
      <w:lang w:val="en-US" w:eastAsia="en-US"/>
    </w:rPr>
  </w:style>
  <w:style w:type="character" w:customStyle="1" w:styleId="FigurecommentChar">
    <w:name w:val="Figure comment Char"/>
    <w:basedOn w:val="DefaultParagraphFont"/>
    <w:link w:val="Figurecomment"/>
    <w:rsid w:val="005676E1"/>
    <w:rPr>
      <w:rFonts w:ascii="Times New Roman" w:eastAsia="宋体" w:hAnsi="Times New Roman"/>
      <w:color w:val="000000" w:themeColor="text1"/>
      <w:sz w:val="16"/>
      <w:lang w:val="en-US" w:eastAsia="en-US"/>
    </w:rPr>
  </w:style>
  <w:style w:type="paragraph" w:styleId="BalloonText">
    <w:name w:val="Balloon Text"/>
    <w:basedOn w:val="Normal"/>
    <w:link w:val="BalloonTextChar"/>
    <w:uiPriority w:val="99"/>
    <w:semiHidden/>
    <w:unhideWhenUsed/>
    <w:rsid w:val="005676E1"/>
    <w:pPr>
      <w:spacing w:after="0" w:line="240" w:lineRule="auto"/>
    </w:pPr>
    <w:rPr>
      <w:rFonts w:ascii="Segoe UI" w:eastAsia="宋体" w:hAnsi="Segoe UI" w:cs="Segoe UI"/>
      <w:color w:val="000000" w:themeColor="text1"/>
      <w:sz w:val="18"/>
      <w:szCs w:val="18"/>
      <w:lang w:val="en-US" w:eastAsia="en-US"/>
    </w:rPr>
  </w:style>
  <w:style w:type="character" w:customStyle="1" w:styleId="BalloonTextChar">
    <w:name w:val="Balloon Text Char"/>
    <w:basedOn w:val="DefaultParagraphFont"/>
    <w:link w:val="BalloonText"/>
    <w:uiPriority w:val="99"/>
    <w:semiHidden/>
    <w:rsid w:val="005676E1"/>
    <w:rPr>
      <w:rFonts w:ascii="Segoe UI" w:eastAsia="宋体" w:hAnsi="Segoe UI" w:cs="Segoe UI"/>
      <w:color w:val="000000" w:themeColor="text1"/>
      <w:sz w:val="18"/>
      <w:szCs w:val="18"/>
      <w:lang w:val="en-US" w:eastAsia="en-US"/>
    </w:rPr>
  </w:style>
  <w:style w:type="paragraph" w:styleId="Title">
    <w:name w:val="Title"/>
    <w:basedOn w:val="Normal"/>
    <w:next w:val="Normal"/>
    <w:link w:val="TitleChar"/>
    <w:qFormat/>
    <w:rsid w:val="005676E1"/>
    <w:pPr>
      <w:framePr w:w="9360" w:hSpace="187" w:vSpace="187" w:wrap="notBeside" w:vAnchor="text" w:hAnchor="page" w:xAlign="center" w:y="1"/>
      <w:autoSpaceDE w:val="0"/>
      <w:autoSpaceDN w:val="0"/>
      <w:spacing w:after="0" w:line="240" w:lineRule="auto"/>
      <w:ind w:firstLine="0"/>
      <w:jc w:val="center"/>
    </w:pPr>
    <w:rPr>
      <w:rFonts w:cs="Times New Roman"/>
      <w:color w:val="000000" w:themeColor="text1"/>
      <w:kern w:val="28"/>
      <w:sz w:val="48"/>
      <w:szCs w:val="48"/>
      <w:lang w:val="en-US" w:eastAsia="en-US"/>
    </w:rPr>
  </w:style>
  <w:style w:type="character" w:customStyle="1" w:styleId="TitleChar">
    <w:name w:val="Title Char"/>
    <w:basedOn w:val="DefaultParagraphFont"/>
    <w:link w:val="Title"/>
    <w:rsid w:val="005676E1"/>
    <w:rPr>
      <w:rFonts w:ascii="Times New Roman" w:hAnsi="Times New Roman" w:cs="Times New Roman"/>
      <w:color w:val="000000" w:themeColor="text1"/>
      <w:kern w:val="28"/>
      <w:sz w:val="48"/>
      <w:szCs w:val="48"/>
      <w:lang w:val="en-US" w:eastAsia="en-US"/>
    </w:rPr>
  </w:style>
  <w:style w:type="paragraph" w:styleId="CommentSubject">
    <w:name w:val="annotation subject"/>
    <w:basedOn w:val="CommentText"/>
    <w:next w:val="CommentText"/>
    <w:link w:val="CommentSubjectChar"/>
    <w:uiPriority w:val="99"/>
    <w:semiHidden/>
    <w:unhideWhenUsed/>
    <w:rsid w:val="005676E1"/>
    <w:rPr>
      <w:b/>
      <w:bCs/>
    </w:rPr>
  </w:style>
  <w:style w:type="character" w:customStyle="1" w:styleId="CommentSubjectChar">
    <w:name w:val="Comment Subject Char"/>
    <w:basedOn w:val="CommentTextChar"/>
    <w:link w:val="CommentSubject"/>
    <w:uiPriority w:val="99"/>
    <w:semiHidden/>
    <w:rsid w:val="005676E1"/>
    <w:rPr>
      <w:rFonts w:ascii="Times New Roman" w:eastAsia="宋体" w:hAnsi="Times New Roman"/>
      <w:b/>
      <w:bCs/>
      <w:color w:val="000000" w:themeColor="text1"/>
      <w:sz w:val="20"/>
      <w:szCs w:val="20"/>
      <w:lang w:val="en-US" w:eastAsia="en-US"/>
    </w:rPr>
  </w:style>
  <w:style w:type="paragraph" w:customStyle="1" w:styleId="reference0">
    <w:name w:val="reference"/>
    <w:basedOn w:val="Normal"/>
    <w:link w:val="referenceChar0"/>
    <w:rsid w:val="005676E1"/>
    <w:pPr>
      <w:spacing w:after="0" w:line="240" w:lineRule="auto"/>
      <w:ind w:left="357" w:hanging="357"/>
    </w:pPr>
    <w:rPr>
      <w:rFonts w:eastAsia="宋体"/>
      <w:color w:val="000000" w:themeColor="text1"/>
      <w:sz w:val="16"/>
    </w:rPr>
  </w:style>
  <w:style w:type="character" w:customStyle="1" w:styleId="referenceChar0">
    <w:name w:val="reference Char"/>
    <w:basedOn w:val="DefaultParagraphFont"/>
    <w:link w:val="reference0"/>
    <w:rsid w:val="005676E1"/>
    <w:rPr>
      <w:rFonts w:ascii="Times New Roman" w:eastAsia="宋体" w:hAnsi="Times New Roman"/>
      <w:color w:val="000000" w:themeColor="text1"/>
      <w:sz w:val="16"/>
    </w:rPr>
  </w:style>
  <w:style w:type="paragraph" w:customStyle="1" w:styleId="Tabletext">
    <w:name w:val="Table text"/>
    <w:basedOn w:val="Normal"/>
    <w:link w:val="TabletextChar"/>
    <w:rsid w:val="005676E1"/>
    <w:pPr>
      <w:spacing w:after="0" w:line="240" w:lineRule="auto"/>
      <w:ind w:firstLine="0"/>
      <w:jc w:val="left"/>
    </w:pPr>
    <w:rPr>
      <w:rFonts w:eastAsia="宋体"/>
      <w:color w:val="000000" w:themeColor="text1"/>
      <w:sz w:val="16"/>
      <w:lang w:val="en-US" w:eastAsia="en-US"/>
    </w:rPr>
  </w:style>
  <w:style w:type="character" w:customStyle="1" w:styleId="TabletextChar">
    <w:name w:val="Table text Char"/>
    <w:basedOn w:val="DefaultParagraphFont"/>
    <w:link w:val="Tabletext"/>
    <w:rsid w:val="005676E1"/>
    <w:rPr>
      <w:rFonts w:ascii="Times New Roman" w:eastAsia="宋体" w:hAnsi="Times New Roman"/>
      <w:color w:val="000000" w:themeColor="text1"/>
      <w:sz w:val="16"/>
      <w:lang w:val="en-US" w:eastAsia="en-US"/>
    </w:rPr>
  </w:style>
  <w:style w:type="paragraph" w:styleId="Revision">
    <w:name w:val="Revision"/>
    <w:hidden/>
    <w:uiPriority w:val="99"/>
    <w:semiHidden/>
    <w:rsid w:val="005676E1"/>
    <w:pPr>
      <w:spacing w:after="0" w:line="240" w:lineRule="auto"/>
    </w:pPr>
    <w:rPr>
      <w:rFonts w:ascii="Times New Roman" w:eastAsia="宋体" w:hAnsi="Times New Roman"/>
      <w:color w:val="000000" w:themeColor="text1"/>
      <w:sz w:val="20"/>
      <w:lang w:val="en-US" w:eastAsia="en-US"/>
    </w:rPr>
  </w:style>
  <w:style w:type="character" w:styleId="Hyperlink">
    <w:name w:val="Hyperlink"/>
    <w:basedOn w:val="DefaultParagraphFont"/>
    <w:uiPriority w:val="99"/>
    <w:unhideWhenUsed/>
    <w:rsid w:val="00416180"/>
    <w:rPr>
      <w:color w:val="0563C1" w:themeColor="hyperlink"/>
      <w:u w:val="single"/>
    </w:rPr>
  </w:style>
  <w:style w:type="character" w:styleId="UnresolvedMention">
    <w:name w:val="Unresolved Mention"/>
    <w:basedOn w:val="DefaultParagraphFont"/>
    <w:uiPriority w:val="99"/>
    <w:semiHidden/>
    <w:unhideWhenUsed/>
    <w:rsid w:val="00416180"/>
    <w:rPr>
      <w:color w:val="605E5C"/>
      <w:shd w:val="clear" w:color="auto" w:fill="E1DFDD"/>
    </w:rPr>
  </w:style>
  <w:style w:type="paragraph" w:customStyle="1" w:styleId="MDPI17abstract">
    <w:name w:val="MDPI_1.7_abstract"/>
    <w:next w:val="Normal"/>
    <w:rsid w:val="00C56E32"/>
    <w:pPr>
      <w:adjustRightInd w:val="0"/>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Capital">
    <w:name w:val="Capital"/>
    <w:basedOn w:val="Normal"/>
    <w:link w:val="CapitalChar"/>
    <w:qFormat/>
    <w:rsid w:val="00C56E32"/>
    <w:pPr>
      <w:spacing w:after="0" w:line="240" w:lineRule="auto"/>
      <w:ind w:firstLine="0"/>
    </w:pPr>
    <w:rPr>
      <w:rFonts w:eastAsia="宋体"/>
      <w:color w:val="000000" w:themeColor="text1"/>
      <w:sz w:val="20"/>
    </w:rPr>
  </w:style>
  <w:style w:type="character" w:customStyle="1" w:styleId="CapitalChar">
    <w:name w:val="Capital Char"/>
    <w:basedOn w:val="DefaultParagraphFont"/>
    <w:link w:val="Capital"/>
    <w:rsid w:val="00C56E32"/>
    <w:rPr>
      <w:rFonts w:ascii="Times New Roman" w:eastAsia="宋体" w:hAnsi="Times New Roman"/>
      <w:color w:val="000000" w:themeColor="text1"/>
      <w:sz w:val="20"/>
    </w:rPr>
  </w:style>
  <w:style w:type="paragraph" w:customStyle="1" w:styleId="Reference1">
    <w:name w:val="Reference#"/>
    <w:basedOn w:val="Normal"/>
    <w:link w:val="ReferenceChar1"/>
    <w:autoRedefine/>
    <w:rsid w:val="0045562B"/>
    <w:pPr>
      <w:ind w:firstLine="0"/>
    </w:pPr>
  </w:style>
  <w:style w:type="character" w:customStyle="1" w:styleId="ReferenceChar1">
    <w:name w:val="Reference# Char"/>
    <w:basedOn w:val="DefaultParagraphFont"/>
    <w:link w:val="Reference1"/>
    <w:rsid w:val="0045562B"/>
    <w:rPr>
      <w:rFonts w:ascii="Times New Roman" w:hAnsi="Times New Roman"/>
      <w:sz w:val="24"/>
    </w:rPr>
  </w:style>
  <w:style w:type="paragraph" w:styleId="TOC1">
    <w:name w:val="toc 1"/>
    <w:basedOn w:val="Normal"/>
    <w:next w:val="Normal"/>
    <w:link w:val="TOC1Char"/>
    <w:autoRedefine/>
    <w:uiPriority w:val="39"/>
    <w:unhideWhenUsed/>
    <w:rsid w:val="00AF4190"/>
    <w:pPr>
      <w:spacing w:after="100"/>
    </w:pPr>
  </w:style>
  <w:style w:type="paragraph" w:styleId="TOC2">
    <w:name w:val="toc 2"/>
    <w:basedOn w:val="Normal"/>
    <w:next w:val="Normal"/>
    <w:autoRedefine/>
    <w:uiPriority w:val="39"/>
    <w:unhideWhenUsed/>
    <w:rsid w:val="00AF4190"/>
    <w:pPr>
      <w:spacing w:after="100"/>
      <w:ind w:left="240"/>
    </w:pPr>
  </w:style>
  <w:style w:type="paragraph" w:styleId="TOC3">
    <w:name w:val="toc 3"/>
    <w:basedOn w:val="Normal"/>
    <w:next w:val="Normal"/>
    <w:autoRedefine/>
    <w:uiPriority w:val="39"/>
    <w:unhideWhenUsed/>
    <w:rsid w:val="00AF4190"/>
    <w:pPr>
      <w:spacing w:after="100"/>
      <w:ind w:left="480"/>
    </w:pPr>
  </w:style>
  <w:style w:type="paragraph" w:styleId="TOC4">
    <w:name w:val="toc 4"/>
    <w:basedOn w:val="Normal"/>
    <w:next w:val="Normal"/>
    <w:autoRedefine/>
    <w:uiPriority w:val="39"/>
    <w:unhideWhenUsed/>
    <w:rsid w:val="00AF4190"/>
    <w:pPr>
      <w:spacing w:after="100"/>
      <w:ind w:left="720"/>
    </w:pPr>
  </w:style>
  <w:style w:type="paragraph" w:customStyle="1" w:styleId="Content">
    <w:name w:val="Content"/>
    <w:basedOn w:val="TOC1"/>
    <w:link w:val="ContentChar"/>
    <w:autoRedefine/>
    <w:qFormat/>
    <w:rsid w:val="00AF4190"/>
    <w:pPr>
      <w:tabs>
        <w:tab w:val="right" w:leader="dot" w:pos="9016"/>
      </w:tabs>
      <w:jc w:val="left"/>
    </w:pPr>
    <w:rPr>
      <w:color w:val="000000" w:themeColor="text1"/>
    </w:rPr>
  </w:style>
  <w:style w:type="character" w:customStyle="1" w:styleId="TOC1Char">
    <w:name w:val="TOC 1 Char"/>
    <w:basedOn w:val="DefaultParagraphFont"/>
    <w:link w:val="TOC1"/>
    <w:uiPriority w:val="39"/>
    <w:rsid w:val="00AF4190"/>
    <w:rPr>
      <w:rFonts w:ascii="Times New Roman" w:hAnsi="Times New Roman"/>
      <w:sz w:val="24"/>
    </w:rPr>
  </w:style>
  <w:style w:type="character" w:customStyle="1" w:styleId="ContentChar">
    <w:name w:val="Content Char"/>
    <w:basedOn w:val="TOC1Char"/>
    <w:link w:val="Content"/>
    <w:rsid w:val="00AF4190"/>
    <w:rPr>
      <w:rFonts w:ascii="Times New Roman" w:hAnsi="Times New Roman"/>
      <w:color w:val="000000" w:themeColor="text1"/>
      <w:sz w:val="24"/>
    </w:rPr>
  </w:style>
  <w:style w:type="paragraph" w:customStyle="1" w:styleId="Styleofnomenclayures">
    <w:name w:val="Styleof nomenclayures"/>
    <w:basedOn w:val="Normal"/>
    <w:link w:val="StyleofnomenclayuresChar"/>
    <w:qFormat/>
    <w:rsid w:val="00EE2A23"/>
    <w:pPr>
      <w:spacing w:before="160"/>
      <w:ind w:firstLine="0"/>
    </w:pPr>
    <w:rPr>
      <w:b/>
    </w:rPr>
  </w:style>
  <w:style w:type="character" w:customStyle="1" w:styleId="StyleofnomenclayuresChar">
    <w:name w:val="Styleof nomenclayures Char"/>
    <w:basedOn w:val="DefaultParagraphFont"/>
    <w:link w:val="Styleofnomenclayures"/>
    <w:rsid w:val="00EE2A23"/>
    <w:rPr>
      <w:rFonts w:ascii="Times New Roman" w:hAnsi="Times New Roman"/>
      <w:b/>
      <w:sz w:val="24"/>
    </w:rPr>
  </w:style>
  <w:style w:type="paragraph" w:styleId="Date">
    <w:name w:val="Date"/>
    <w:basedOn w:val="Normal"/>
    <w:next w:val="Normal"/>
    <w:link w:val="DateChar"/>
    <w:uiPriority w:val="99"/>
    <w:semiHidden/>
    <w:unhideWhenUsed/>
    <w:rsid w:val="00441780"/>
  </w:style>
  <w:style w:type="character" w:customStyle="1" w:styleId="DateChar">
    <w:name w:val="Date Char"/>
    <w:basedOn w:val="DefaultParagraphFont"/>
    <w:link w:val="Date"/>
    <w:uiPriority w:val="99"/>
    <w:semiHidden/>
    <w:rsid w:val="00441780"/>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8055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63" Type="http://schemas.openxmlformats.org/officeDocument/2006/relationships/image" Target="media/image50.png"/><Relationship Id="rId159" Type="http://schemas.openxmlformats.org/officeDocument/2006/relationships/image" Target="media/image146.png"/><Relationship Id="rId170" Type="http://schemas.openxmlformats.org/officeDocument/2006/relationships/image" Target="media/image157.png"/><Relationship Id="rId226" Type="http://schemas.openxmlformats.org/officeDocument/2006/relationships/image" Target="media/image213.png"/><Relationship Id="rId268" Type="http://schemas.openxmlformats.org/officeDocument/2006/relationships/image" Target="media/image255.png"/><Relationship Id="rId32" Type="http://schemas.openxmlformats.org/officeDocument/2006/relationships/image" Target="media/image20.png"/><Relationship Id="rId74" Type="http://schemas.openxmlformats.org/officeDocument/2006/relationships/image" Target="media/image61.png"/><Relationship Id="rId128" Type="http://schemas.openxmlformats.org/officeDocument/2006/relationships/image" Target="media/image115.png"/><Relationship Id="rId5" Type="http://schemas.openxmlformats.org/officeDocument/2006/relationships/numbering" Target="numbering.xml"/><Relationship Id="rId181" Type="http://schemas.openxmlformats.org/officeDocument/2006/relationships/image" Target="media/image168.jpeg"/><Relationship Id="rId237" Type="http://schemas.openxmlformats.org/officeDocument/2006/relationships/image" Target="media/image224.png"/><Relationship Id="rId279" Type="http://schemas.openxmlformats.org/officeDocument/2006/relationships/image" Target="media/image266.png"/><Relationship Id="rId43" Type="http://schemas.openxmlformats.org/officeDocument/2006/relationships/image" Target="media/image31.png"/><Relationship Id="rId139" Type="http://schemas.openxmlformats.org/officeDocument/2006/relationships/image" Target="media/image126.png"/><Relationship Id="rId290" Type="http://schemas.openxmlformats.org/officeDocument/2006/relationships/hyperlink" Target="https://sheffieldacuk0-my.sharepoint.com/personal/wzhang73_sheffield_ac_uk/Documents/2022-07-06%20PhD%20thesis/www.motor-design.com" TargetMode="External"/><Relationship Id="rId85" Type="http://schemas.openxmlformats.org/officeDocument/2006/relationships/image" Target="media/image72.jpe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jpg"/><Relationship Id="rId248" Type="http://schemas.openxmlformats.org/officeDocument/2006/relationships/image" Target="media/image235.png"/><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67.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jpeg"/><Relationship Id="rId6" Type="http://schemas.openxmlformats.org/officeDocument/2006/relationships/styles" Target="styles.xml"/><Relationship Id="rId238" Type="http://schemas.openxmlformats.org/officeDocument/2006/relationships/image" Target="media/image225.png"/><Relationship Id="rId259" Type="http://schemas.openxmlformats.org/officeDocument/2006/relationships/image" Target="media/image246.png"/><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57.png"/><Relationship Id="rId291" Type="http://schemas.openxmlformats.org/officeDocument/2006/relationships/fontTable" Target="fontTable.xml"/><Relationship Id="rId44" Type="http://schemas.openxmlformats.org/officeDocument/2006/relationships/image" Target="media/image32.png"/><Relationship Id="rId65" Type="http://schemas.openxmlformats.org/officeDocument/2006/relationships/image" Target="media/image52.png"/><Relationship Id="rId86" Type="http://schemas.openxmlformats.org/officeDocument/2006/relationships/image" Target="media/image73.jpe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jpg"/><Relationship Id="rId228" Type="http://schemas.openxmlformats.org/officeDocument/2006/relationships/image" Target="media/image215.png"/><Relationship Id="rId249" Type="http://schemas.openxmlformats.org/officeDocument/2006/relationships/image" Target="media/image236.png"/><Relationship Id="rId13" Type="http://schemas.openxmlformats.org/officeDocument/2006/relationships/footer" Target="footer2.xml"/><Relationship Id="rId109" Type="http://schemas.openxmlformats.org/officeDocument/2006/relationships/image" Target="media/image96.png"/><Relationship Id="rId260" Type="http://schemas.openxmlformats.org/officeDocument/2006/relationships/image" Target="media/image247.png"/><Relationship Id="rId281" Type="http://schemas.openxmlformats.org/officeDocument/2006/relationships/image" Target="media/image268.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jpe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png"/><Relationship Id="rId250" Type="http://schemas.openxmlformats.org/officeDocument/2006/relationships/image" Target="media/image237.jpeg"/><Relationship Id="rId271" Type="http://schemas.openxmlformats.org/officeDocument/2006/relationships/image" Target="media/image258.png"/><Relationship Id="rId292" Type="http://schemas.openxmlformats.org/officeDocument/2006/relationships/glossaryDocument" Target="glossary/document.xml"/><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jpeg"/><Relationship Id="rId173" Type="http://schemas.openxmlformats.org/officeDocument/2006/relationships/image" Target="media/image160.png"/><Relationship Id="rId194" Type="http://schemas.openxmlformats.org/officeDocument/2006/relationships/image" Target="media/image181.jpeg"/><Relationship Id="rId208" Type="http://schemas.openxmlformats.org/officeDocument/2006/relationships/image" Target="media/image195.jpeg"/><Relationship Id="rId229" Type="http://schemas.openxmlformats.org/officeDocument/2006/relationships/image" Target="media/image216.png"/><Relationship Id="rId240" Type="http://schemas.openxmlformats.org/officeDocument/2006/relationships/image" Target="media/image227.jpg"/><Relationship Id="rId261" Type="http://schemas.openxmlformats.org/officeDocument/2006/relationships/image" Target="media/image248.pn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jpeg"/><Relationship Id="rId100" Type="http://schemas.openxmlformats.org/officeDocument/2006/relationships/image" Target="media/image87.png"/><Relationship Id="rId282" Type="http://schemas.openxmlformats.org/officeDocument/2006/relationships/image" Target="media/image269.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1" Type="http://schemas.openxmlformats.org/officeDocument/2006/relationships/image" Target="media/image238.jpe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272" Type="http://schemas.openxmlformats.org/officeDocument/2006/relationships/image" Target="media/image259.png"/><Relationship Id="rId293" Type="http://schemas.openxmlformats.org/officeDocument/2006/relationships/theme" Target="theme/theme1.xml"/><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jpe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49.png"/><Relationship Id="rId283" Type="http://schemas.openxmlformats.org/officeDocument/2006/relationships/image" Target="media/image270.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9" Type="http://schemas.openxmlformats.org/officeDocument/2006/relationships/footnotes" Target="footnotes.xml"/><Relationship Id="rId210" Type="http://schemas.openxmlformats.org/officeDocument/2006/relationships/image" Target="media/image197.png"/><Relationship Id="rId26" Type="http://schemas.openxmlformats.org/officeDocument/2006/relationships/image" Target="media/image14.png"/><Relationship Id="rId231" Type="http://schemas.openxmlformats.org/officeDocument/2006/relationships/image" Target="media/image218.jpeg"/><Relationship Id="rId252" Type="http://schemas.openxmlformats.org/officeDocument/2006/relationships/image" Target="media/image239.png"/><Relationship Id="rId273" Type="http://schemas.openxmlformats.org/officeDocument/2006/relationships/image" Target="media/image260.jpeg"/><Relationship Id="rId47" Type="http://schemas.openxmlformats.org/officeDocument/2006/relationships/image" Target="media/image35.pn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1.jpeg"/><Relationship Id="rId175" Type="http://schemas.openxmlformats.org/officeDocument/2006/relationships/image" Target="media/image162.png"/><Relationship Id="rId196" Type="http://schemas.openxmlformats.org/officeDocument/2006/relationships/image" Target="media/image183.jpe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7" Type="http://schemas.openxmlformats.org/officeDocument/2006/relationships/image" Target="media/image25.png"/><Relationship Id="rId58" Type="http://schemas.openxmlformats.org/officeDocument/2006/relationships/footer" Target="footer3.xml"/><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jpe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hyperlink" Target="https://www.ansys.com" TargetMode="Externa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jpeg"/><Relationship Id="rId254" Type="http://schemas.openxmlformats.org/officeDocument/2006/relationships/image" Target="media/image24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62.png"/><Relationship Id="rId60" Type="http://schemas.openxmlformats.org/officeDocument/2006/relationships/image" Target="media/image47.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202" Type="http://schemas.openxmlformats.org/officeDocument/2006/relationships/image" Target="media/image189.png"/><Relationship Id="rId223" Type="http://schemas.openxmlformats.org/officeDocument/2006/relationships/image" Target="media/image210.jpeg"/><Relationship Id="rId244" Type="http://schemas.openxmlformats.org/officeDocument/2006/relationships/image" Target="media/image231.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52.png"/><Relationship Id="rId286" Type="http://schemas.openxmlformats.org/officeDocument/2006/relationships/hyperlink" Target="https://sheffieldacuk0-my.sharepoint.com/personal/wzhang73_sheffield_ac_uk/Documents/2022-07-06%20PhD%20thesis/www.lord.com" TargetMode="External"/><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1.jpe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242.png"/><Relationship Id="rId276" Type="http://schemas.openxmlformats.org/officeDocument/2006/relationships/image" Target="media/image263.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jpeg"/><Relationship Id="rId82" Type="http://schemas.openxmlformats.org/officeDocument/2006/relationships/image" Target="media/image69.jpeg"/><Relationship Id="rId199" Type="http://schemas.openxmlformats.org/officeDocument/2006/relationships/image" Target="media/image186.jpe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jpeg"/><Relationship Id="rId287" Type="http://schemas.openxmlformats.org/officeDocument/2006/relationships/hyperlink" Target="https://uk.rs-online.com" TargetMode="External"/><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jpeg"/><Relationship Id="rId190" Type="http://schemas.openxmlformats.org/officeDocument/2006/relationships/image" Target="media/image177.png"/><Relationship Id="rId204" Type="http://schemas.openxmlformats.org/officeDocument/2006/relationships/image" Target="media/image191.jpe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jpeg"/><Relationship Id="rId288" Type="http://schemas.openxmlformats.org/officeDocument/2006/relationships/hyperlink" Target="https://www.motor-design.com" TargetMode="External"/><Relationship Id="rId106" Type="http://schemas.openxmlformats.org/officeDocument/2006/relationships/image" Target="media/image93.jpe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0.png"/><Relationship Id="rId94" Type="http://schemas.openxmlformats.org/officeDocument/2006/relationships/image" Target="media/image81.jpeg"/><Relationship Id="rId148" Type="http://schemas.openxmlformats.org/officeDocument/2006/relationships/image" Target="media/image135.png"/><Relationship Id="rId169" Type="http://schemas.openxmlformats.org/officeDocument/2006/relationships/image" Target="media/image156.png"/><Relationship Id="rId4" Type="http://schemas.openxmlformats.org/officeDocument/2006/relationships/customXml" Target="../customXml/item4.xml"/><Relationship Id="rId180" Type="http://schemas.openxmlformats.org/officeDocument/2006/relationships/image" Target="media/image167.jpe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25.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107" Type="http://schemas.openxmlformats.org/officeDocument/2006/relationships/image" Target="media/image94.jpeg"/><Relationship Id="rId289" Type="http://schemas.openxmlformats.org/officeDocument/2006/relationships/hyperlink" Target="https://www.nema.org/Standards/view/Motors-and-Generators" TargetMode="External"/><Relationship Id="rId11" Type="http://schemas.openxmlformats.org/officeDocument/2006/relationships/image" Target="media/image1.png"/><Relationship Id="rId53" Type="http://schemas.openxmlformats.org/officeDocument/2006/relationships/image" Target="media/image41.png"/><Relationship Id="rId149" Type="http://schemas.openxmlformats.org/officeDocument/2006/relationships/image" Target="media/image136.png"/><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3.png"/><Relationship Id="rId258" Type="http://schemas.openxmlformats.org/officeDocument/2006/relationships/image" Target="media/image245.png"/><Relationship Id="rId22" Type="http://schemas.openxmlformats.org/officeDocument/2006/relationships/image" Target="media/image10.png"/><Relationship Id="rId64" Type="http://schemas.openxmlformats.org/officeDocument/2006/relationships/image" Target="media/image51.png"/><Relationship Id="rId118" Type="http://schemas.openxmlformats.org/officeDocument/2006/relationships/image" Target="media/image105.png"/><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6638BD936E41E9AD0526BF657403B5"/>
        <w:category>
          <w:name w:val="General"/>
          <w:gallery w:val="placeholder"/>
        </w:category>
        <w:types>
          <w:type w:val="bbPlcHdr"/>
        </w:types>
        <w:behaviors>
          <w:behavior w:val="content"/>
        </w:behaviors>
        <w:guid w:val="{959A552B-6291-4AD8-BE24-6ADCFD51B1D6}"/>
      </w:docPartPr>
      <w:docPartBody>
        <w:p w:rsidR="008345C1" w:rsidRDefault="00F43478" w:rsidP="00F43478">
          <w:pPr>
            <w:pStyle w:val="066638BD936E41E9AD0526BF657403B5"/>
          </w:pPr>
          <w:r>
            <w:rPr>
              <w:rFonts w:asciiTheme="majorHAnsi" w:eastAsiaTheme="majorEastAsia" w:hAnsiTheme="majorHAnsi" w:cstheme="majorBidi"/>
              <w:sz w:val="80"/>
              <w:szCs w:val="80"/>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altName w:val="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3478"/>
    <w:rsid w:val="0009356D"/>
    <w:rsid w:val="000D7219"/>
    <w:rsid w:val="00144FF0"/>
    <w:rsid w:val="00151359"/>
    <w:rsid w:val="00154EB8"/>
    <w:rsid w:val="0017063C"/>
    <w:rsid w:val="001B061C"/>
    <w:rsid w:val="001B0C65"/>
    <w:rsid w:val="002943A2"/>
    <w:rsid w:val="00322642"/>
    <w:rsid w:val="00345B08"/>
    <w:rsid w:val="0034630D"/>
    <w:rsid w:val="003610AB"/>
    <w:rsid w:val="003B19A8"/>
    <w:rsid w:val="003E3606"/>
    <w:rsid w:val="0049622A"/>
    <w:rsid w:val="00546918"/>
    <w:rsid w:val="00606D0D"/>
    <w:rsid w:val="0062653D"/>
    <w:rsid w:val="006273D2"/>
    <w:rsid w:val="0072476B"/>
    <w:rsid w:val="00752925"/>
    <w:rsid w:val="00764C3D"/>
    <w:rsid w:val="00794BF6"/>
    <w:rsid w:val="007A0310"/>
    <w:rsid w:val="007C4C98"/>
    <w:rsid w:val="007F5F0C"/>
    <w:rsid w:val="008345C1"/>
    <w:rsid w:val="0085062A"/>
    <w:rsid w:val="008E0800"/>
    <w:rsid w:val="008E362E"/>
    <w:rsid w:val="008F2647"/>
    <w:rsid w:val="00A00382"/>
    <w:rsid w:val="00A27919"/>
    <w:rsid w:val="00A9571E"/>
    <w:rsid w:val="00AC3E65"/>
    <w:rsid w:val="00B04FFF"/>
    <w:rsid w:val="00BB7CAC"/>
    <w:rsid w:val="00C602A0"/>
    <w:rsid w:val="00C653D9"/>
    <w:rsid w:val="00C866B9"/>
    <w:rsid w:val="00CE16FB"/>
    <w:rsid w:val="00CF31AC"/>
    <w:rsid w:val="00D276B4"/>
    <w:rsid w:val="00D32023"/>
    <w:rsid w:val="00DB31F0"/>
    <w:rsid w:val="00DE1B85"/>
    <w:rsid w:val="00EA5B90"/>
    <w:rsid w:val="00ED6EC3"/>
    <w:rsid w:val="00EE1EFB"/>
    <w:rsid w:val="00EE5E6E"/>
    <w:rsid w:val="00F43478"/>
    <w:rsid w:val="00F50E24"/>
    <w:rsid w:val="00FA2C5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66638BD936E41E9AD0526BF657403B5">
    <w:name w:val="066638BD936E41E9AD0526BF657403B5"/>
    <w:rsid w:val="00F43478"/>
  </w:style>
  <w:style w:type="character" w:styleId="PlaceholderText">
    <w:name w:val="Placeholder Text"/>
    <w:basedOn w:val="DefaultParagraphFont"/>
    <w:uiPriority w:val="99"/>
    <w:semiHidden/>
    <w:rsid w:val="00F50E2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0C1EC07E712AA49B140E321F8662B10" ma:contentTypeVersion="10" ma:contentTypeDescription="Create a new document." ma:contentTypeScope="" ma:versionID="c0a67407103d903ed8227d1e5c57c875">
  <xsd:schema xmlns:xsd="http://www.w3.org/2001/XMLSchema" xmlns:xs="http://www.w3.org/2001/XMLSchema" xmlns:p="http://schemas.microsoft.com/office/2006/metadata/properties" xmlns:ns3="40beac44-21d8-4c09-bb6c-578fe740d1d8" targetNamespace="http://schemas.microsoft.com/office/2006/metadata/properties" ma:root="true" ma:fieldsID="bcf801e0a30383872f743db883b6589a" ns3:_="">
    <xsd:import namespace="40beac44-21d8-4c09-bb6c-578fe740d1d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beac44-21d8-4c09-bb6c-578fe740d1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_activity" ma:index="16" nillable="true" ma:displayName="_activity" ma:hidden="true" ma:internalName="_activity">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40beac44-21d8-4c09-bb6c-578fe740d1d8" xsi:nil="true"/>
  </documentManagement>
</p:properties>
</file>

<file path=customXml/itemProps1.xml><?xml version="1.0" encoding="utf-8"?>
<ds:datastoreItem xmlns:ds="http://schemas.openxmlformats.org/officeDocument/2006/customXml" ds:itemID="{3192E204-4636-4BA8-AF1A-2721AC5A2743}">
  <ds:schemaRefs>
    <ds:schemaRef ds:uri="http://schemas.microsoft.com/sharepoint/v3/contenttype/forms"/>
  </ds:schemaRefs>
</ds:datastoreItem>
</file>

<file path=customXml/itemProps2.xml><?xml version="1.0" encoding="utf-8"?>
<ds:datastoreItem xmlns:ds="http://schemas.openxmlformats.org/officeDocument/2006/customXml" ds:itemID="{A597025F-0F29-4CC4-B45B-C39EF45FDF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beac44-21d8-4c09-bb6c-578fe740d1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696DA1-1372-4A74-AD0A-BBD6DEAADAAC}">
  <ds:schemaRefs>
    <ds:schemaRef ds:uri="http://schemas.openxmlformats.org/officeDocument/2006/bibliography"/>
  </ds:schemaRefs>
</ds:datastoreItem>
</file>

<file path=customXml/itemProps4.xml><?xml version="1.0" encoding="utf-8"?>
<ds:datastoreItem xmlns:ds="http://schemas.openxmlformats.org/officeDocument/2006/customXml" ds:itemID="{90A972CE-CBCE-4850-8BBA-F4883A40A637}">
  <ds:schemaRefs>
    <ds:schemaRef ds:uri="http://schemas.microsoft.com/office/2006/metadata/properties"/>
    <ds:schemaRef ds:uri="http://schemas.microsoft.com/office/infopath/2007/PartnerControls"/>
    <ds:schemaRef ds:uri="40beac44-21d8-4c09-bb6c-578fe740d1d8"/>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227</Pages>
  <Words>88185</Words>
  <Characters>502661</Characters>
  <Application>Microsoft Office Word</Application>
  <DocSecurity>0</DocSecurity>
  <Lines>4188</Lines>
  <Paragraphs>1179</Paragraphs>
  <ScaleCrop>false</ScaleCrop>
  <HeadingPairs>
    <vt:vector size="2" baseType="variant">
      <vt:variant>
        <vt:lpstr>Title</vt:lpstr>
      </vt:variant>
      <vt:variant>
        <vt:i4>1</vt:i4>
      </vt:variant>
    </vt:vector>
  </HeadingPairs>
  <TitlesOfParts>
    <vt:vector size="1" baseType="lpstr">
      <vt:lpstr>Advanced Thermal Management of High Torque Density Permanent Magnet Machines</vt:lpstr>
    </vt:vector>
  </TitlesOfParts>
  <Company/>
  <LinksUpToDate>false</LinksUpToDate>
  <CharactersWithSpaces>589667</CharactersWithSpaces>
  <SharedDoc>false</SharedDoc>
  <HLinks>
    <vt:vector size="36" baseType="variant">
      <vt:variant>
        <vt:i4>4915246</vt:i4>
      </vt:variant>
      <vt:variant>
        <vt:i4>3860</vt:i4>
      </vt:variant>
      <vt:variant>
        <vt:i4>0</vt:i4>
      </vt:variant>
      <vt:variant>
        <vt:i4>5</vt:i4>
      </vt:variant>
      <vt:variant>
        <vt:lpwstr>https://sheffieldacuk0-my.sharepoint.com/personal/wzhang73_sheffield_ac_uk/Documents/2022-07-06 PhD thesis/www.motor-design.com</vt:lpwstr>
      </vt:variant>
      <vt:variant>
        <vt:lpwstr/>
      </vt:variant>
      <vt:variant>
        <vt:i4>262165</vt:i4>
      </vt:variant>
      <vt:variant>
        <vt:i4>3857</vt:i4>
      </vt:variant>
      <vt:variant>
        <vt:i4>0</vt:i4>
      </vt:variant>
      <vt:variant>
        <vt:i4>5</vt:i4>
      </vt:variant>
      <vt:variant>
        <vt:lpwstr>https://www.nema.org/Standards/view/Motors-and-Generators</vt:lpwstr>
      </vt:variant>
      <vt:variant>
        <vt:lpwstr/>
      </vt:variant>
      <vt:variant>
        <vt:i4>589850</vt:i4>
      </vt:variant>
      <vt:variant>
        <vt:i4>3854</vt:i4>
      </vt:variant>
      <vt:variant>
        <vt:i4>0</vt:i4>
      </vt:variant>
      <vt:variant>
        <vt:i4>5</vt:i4>
      </vt:variant>
      <vt:variant>
        <vt:lpwstr>https://www.motor-design.com/</vt:lpwstr>
      </vt:variant>
      <vt:variant>
        <vt:lpwstr/>
      </vt:variant>
      <vt:variant>
        <vt:i4>4784196</vt:i4>
      </vt:variant>
      <vt:variant>
        <vt:i4>3851</vt:i4>
      </vt:variant>
      <vt:variant>
        <vt:i4>0</vt:i4>
      </vt:variant>
      <vt:variant>
        <vt:i4>5</vt:i4>
      </vt:variant>
      <vt:variant>
        <vt:lpwstr>https://uk.rs-online.com/</vt:lpwstr>
      </vt:variant>
      <vt:variant>
        <vt:lpwstr/>
      </vt:variant>
      <vt:variant>
        <vt:i4>5111914</vt:i4>
      </vt:variant>
      <vt:variant>
        <vt:i4>3848</vt:i4>
      </vt:variant>
      <vt:variant>
        <vt:i4>0</vt:i4>
      </vt:variant>
      <vt:variant>
        <vt:i4>5</vt:i4>
      </vt:variant>
      <vt:variant>
        <vt:lpwstr>https://sheffieldacuk0-my.sharepoint.com/personal/wzhang73_sheffield_ac_uk/Documents/2022-07-06 PhD thesis/www.lord.com</vt:lpwstr>
      </vt:variant>
      <vt:variant>
        <vt:lpwstr/>
      </vt:variant>
      <vt:variant>
        <vt:i4>3211311</vt:i4>
      </vt:variant>
      <vt:variant>
        <vt:i4>3845</vt:i4>
      </vt:variant>
      <vt:variant>
        <vt:i4>0</vt:i4>
      </vt:variant>
      <vt:variant>
        <vt:i4>5</vt:i4>
      </vt:variant>
      <vt:variant>
        <vt:lpwstr>https://www.ansys.com/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Advanced Thermal Management of High Torque Density Permanent Magnet Machines</dc:title>
  <dc:subject/>
  <dc:creator>Wei Zhang</dc:creator>
  <cp:keywords/>
  <dc:description/>
  <cp:lastModifiedBy>Wei Zhang</cp:lastModifiedBy>
  <cp:revision>70</cp:revision>
  <cp:lastPrinted>2024-01-15T10:21:00Z</cp:lastPrinted>
  <dcterms:created xsi:type="dcterms:W3CDTF">2024-02-03T13:22:00Z</dcterms:created>
  <dcterms:modified xsi:type="dcterms:W3CDTF">2024-02-16T12:24:00Z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0x01010080C1EC07E712AA49B140E321F8662B10</vt:lpwstr>
  </property>
</Properties>
</file>